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textAlignment w:val="bottom"/>
        <w:rPr>
          <w:rFonts w:hint="eastAsia" w:ascii="宋体" w:hAnsi="宋体" w:eastAsia="宋体" w:cs="宋体"/>
          <w:b/>
          <w:bCs/>
          <w:color w:val="auto"/>
          <w:spacing w:val="120"/>
          <w:sz w:val="72"/>
          <w:szCs w:val="72"/>
          <w:highlight w:val="none"/>
        </w:rPr>
      </w:pPr>
    </w:p>
    <w:p>
      <w:pPr>
        <w:autoSpaceDE w:val="0"/>
        <w:autoSpaceDN w:val="0"/>
        <w:spacing w:line="500" w:lineRule="atLeast"/>
        <w:jc w:val="center"/>
        <w:textAlignment w:val="bottom"/>
        <w:rPr>
          <w:rFonts w:hint="eastAsia" w:ascii="宋体" w:hAnsi="宋体" w:eastAsia="宋体" w:cs="宋体"/>
          <w:bCs/>
          <w:color w:val="auto"/>
          <w:sz w:val="84"/>
          <w:szCs w:val="84"/>
          <w:highlight w:val="none"/>
        </w:rPr>
      </w:pPr>
      <w:r>
        <w:rPr>
          <w:rFonts w:hint="eastAsia" w:ascii="宋体" w:hAnsi="宋体" w:eastAsia="宋体" w:cs="宋体"/>
          <w:b/>
          <w:bCs/>
          <w:color w:val="auto"/>
          <w:spacing w:val="120"/>
          <w:sz w:val="84"/>
          <w:szCs w:val="84"/>
          <w:highlight w:val="none"/>
        </w:rPr>
        <w:t>温州市国有企业</w:t>
      </w:r>
    </w:p>
    <w:p>
      <w:pPr>
        <w:spacing w:line="400" w:lineRule="atLeast"/>
        <w:jc w:val="center"/>
        <w:rPr>
          <w:rFonts w:hint="eastAsia" w:ascii="宋体" w:hAnsi="宋体" w:eastAsia="宋体" w:cs="宋体"/>
          <w:b/>
          <w:color w:val="auto"/>
          <w:sz w:val="52"/>
          <w:highlight w:val="none"/>
        </w:rPr>
      </w:pPr>
    </w:p>
    <w:p>
      <w:pPr>
        <w:spacing w:line="400" w:lineRule="atLeast"/>
        <w:jc w:val="both"/>
        <w:rPr>
          <w:rFonts w:hint="eastAsia" w:ascii="宋体" w:hAnsi="宋体" w:eastAsia="宋体" w:cs="宋体"/>
          <w:b/>
          <w:color w:val="auto"/>
          <w:sz w:val="52"/>
          <w:highlight w:val="none"/>
        </w:rPr>
      </w:pPr>
    </w:p>
    <w:p>
      <w:pPr>
        <w:spacing w:line="400" w:lineRule="atLeast"/>
        <w:jc w:val="center"/>
        <w:rPr>
          <w:rFonts w:hint="eastAsia" w:ascii="宋体" w:hAnsi="宋体" w:eastAsia="宋体" w:cs="宋体"/>
          <w:b/>
          <w:color w:val="auto"/>
          <w:sz w:val="52"/>
          <w:highlight w:val="none"/>
        </w:rPr>
      </w:pPr>
    </w:p>
    <w:p>
      <w:pPr>
        <w:autoSpaceDE w:val="0"/>
        <w:autoSpaceDN w:val="0"/>
        <w:spacing w:line="500" w:lineRule="atLeast"/>
        <w:jc w:val="center"/>
        <w:textAlignment w:val="bottom"/>
        <w:rPr>
          <w:rFonts w:hint="eastAsia" w:ascii="宋体" w:hAnsi="宋体" w:eastAsia="宋体" w:cs="宋体"/>
          <w:b/>
          <w:color w:val="auto"/>
          <w:sz w:val="72"/>
          <w:szCs w:val="72"/>
          <w:highlight w:val="none"/>
        </w:rPr>
      </w:pPr>
      <w:r>
        <w:rPr>
          <w:rFonts w:hint="eastAsia" w:ascii="宋体" w:hAnsi="宋体" w:eastAsia="宋体" w:cs="宋体"/>
          <w:b/>
          <w:bCs/>
          <w:color w:val="auto"/>
          <w:sz w:val="72"/>
          <w:szCs w:val="72"/>
          <w:highlight w:val="none"/>
        </w:rPr>
        <w:t>采 购 文 件</w:t>
      </w:r>
    </w:p>
    <w:p>
      <w:pPr>
        <w:spacing w:line="400" w:lineRule="atLeast"/>
        <w:jc w:val="center"/>
        <w:rPr>
          <w:rFonts w:hint="eastAsia" w:ascii="宋体" w:hAnsi="宋体" w:eastAsia="宋体" w:cs="宋体"/>
          <w:b/>
          <w:color w:val="auto"/>
          <w:sz w:val="52"/>
          <w:highlight w:val="none"/>
        </w:rPr>
      </w:pPr>
    </w:p>
    <w:p>
      <w:pPr>
        <w:spacing w:line="400" w:lineRule="atLeast"/>
        <w:jc w:val="center"/>
        <w:rPr>
          <w:rFonts w:hint="eastAsia" w:ascii="宋体" w:hAnsi="宋体" w:eastAsia="宋体" w:cs="宋体"/>
          <w:b/>
          <w:color w:val="auto"/>
          <w:sz w:val="52"/>
          <w:highlight w:val="none"/>
        </w:rPr>
      </w:pPr>
    </w:p>
    <w:p>
      <w:pPr>
        <w:spacing w:line="400" w:lineRule="atLeast"/>
        <w:jc w:val="center"/>
        <w:rPr>
          <w:rFonts w:hint="eastAsia" w:ascii="宋体" w:hAnsi="宋体" w:eastAsia="宋体" w:cs="宋体"/>
          <w:b/>
          <w:color w:val="auto"/>
          <w:sz w:val="52"/>
          <w:highlight w:val="none"/>
        </w:rPr>
      </w:pPr>
    </w:p>
    <w:p>
      <w:pPr>
        <w:tabs>
          <w:tab w:val="left" w:pos="4860"/>
        </w:tabs>
        <w:spacing w:line="600" w:lineRule="exact"/>
        <w:ind w:right="1143" w:firstLine="2224" w:firstLineChars="616"/>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pacing w:val="40"/>
          <w:sz w:val="28"/>
          <w:szCs w:val="28"/>
          <w:highlight w:val="none"/>
        </w:rPr>
        <w:t>项目编号：</w:t>
      </w:r>
      <w:r>
        <w:rPr>
          <w:rFonts w:hint="eastAsia" w:ascii="宋体" w:hAnsi="宋体" w:eastAsia="宋体" w:cs="宋体"/>
          <w:b/>
          <w:color w:val="auto"/>
          <w:spacing w:val="40"/>
          <w:sz w:val="28"/>
          <w:szCs w:val="28"/>
          <w:highlight w:val="none"/>
          <w:lang w:eastAsia="zh-CN"/>
        </w:rPr>
        <w:t>WGSS-JYJT-Z-2022045</w:t>
      </w:r>
    </w:p>
    <w:p>
      <w:pPr>
        <w:tabs>
          <w:tab w:val="left" w:pos="2100"/>
          <w:tab w:val="left" w:pos="4860"/>
        </w:tabs>
        <w:spacing w:line="600" w:lineRule="exact"/>
        <w:ind w:left="4509" w:leftChars="1050" w:right="1143" w:hanging="2304" w:hangingChars="638"/>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pacing w:val="40"/>
          <w:sz w:val="28"/>
          <w:szCs w:val="28"/>
          <w:highlight w:val="none"/>
        </w:rPr>
        <w:t>项目名称：</w:t>
      </w:r>
      <w:r>
        <w:rPr>
          <w:rFonts w:hint="eastAsia" w:ascii="宋体" w:hAnsi="宋体" w:eastAsia="宋体" w:cs="宋体"/>
          <w:b/>
          <w:color w:val="auto"/>
          <w:spacing w:val="40"/>
          <w:sz w:val="28"/>
          <w:szCs w:val="28"/>
          <w:highlight w:val="none"/>
          <w:lang w:val="en-US" w:eastAsia="zh-CN"/>
        </w:rPr>
        <w:t xml:space="preserve">4 辆新能源冷藏车（纯电） </w:t>
      </w:r>
    </w:p>
    <w:p>
      <w:pPr>
        <w:tabs>
          <w:tab w:val="left" w:pos="4860"/>
        </w:tabs>
        <w:spacing w:line="600" w:lineRule="exact"/>
        <w:ind w:right="1143" w:firstLine="2224" w:firstLineChars="616"/>
        <w:jc w:val="left"/>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rPr>
        <w:t>采购方式：公 开 招 标</w:t>
      </w:r>
    </w:p>
    <w:p>
      <w:pPr>
        <w:spacing w:line="400" w:lineRule="atLeast"/>
        <w:rPr>
          <w:rFonts w:hint="eastAsia" w:ascii="宋体" w:hAnsi="宋体" w:eastAsia="宋体" w:cs="宋体"/>
          <w:b/>
          <w:color w:val="auto"/>
          <w:sz w:val="52"/>
          <w:highlight w:val="none"/>
        </w:rPr>
      </w:pPr>
    </w:p>
    <w:p>
      <w:pPr>
        <w:spacing w:line="400" w:lineRule="atLeast"/>
        <w:jc w:val="center"/>
        <w:rPr>
          <w:rFonts w:hint="eastAsia" w:ascii="宋体" w:hAnsi="宋体" w:eastAsia="宋体" w:cs="宋体"/>
          <w:b/>
          <w:color w:val="auto"/>
          <w:sz w:val="52"/>
          <w:highlight w:val="none"/>
        </w:rPr>
      </w:pPr>
    </w:p>
    <w:p>
      <w:pPr>
        <w:spacing w:line="400" w:lineRule="atLeast"/>
        <w:jc w:val="center"/>
        <w:rPr>
          <w:rFonts w:hint="eastAsia" w:ascii="宋体" w:hAnsi="宋体" w:eastAsia="宋体" w:cs="宋体"/>
          <w:b/>
          <w:color w:val="auto"/>
          <w:sz w:val="52"/>
          <w:highlight w:val="none"/>
        </w:rPr>
      </w:pPr>
    </w:p>
    <w:p>
      <w:pPr>
        <w:spacing w:line="600" w:lineRule="exact"/>
        <w:ind w:firstLine="2159" w:firstLineChars="717"/>
        <w:rPr>
          <w:rFonts w:hint="eastAsia" w:ascii="宋体" w:hAnsi="宋体" w:eastAsia="宋体" w:cs="宋体"/>
          <w:b/>
          <w:color w:val="auto"/>
          <w:sz w:val="30"/>
          <w:szCs w:val="30"/>
          <w:highlight w:val="none"/>
        </w:rPr>
      </w:pPr>
    </w:p>
    <w:p>
      <w:pPr>
        <w:pStyle w:val="10"/>
        <w:ind w:firstLine="200"/>
        <w:rPr>
          <w:rFonts w:hint="eastAsia" w:ascii="宋体" w:hAnsi="宋体" w:eastAsia="宋体" w:cs="宋体"/>
          <w:color w:val="auto"/>
          <w:highlight w:val="none"/>
        </w:rPr>
      </w:pPr>
    </w:p>
    <w:p>
      <w:pPr>
        <w:spacing w:line="600" w:lineRule="exact"/>
        <w:ind w:firstLine="2159" w:firstLineChars="717"/>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 购 人：</w:t>
      </w:r>
      <w:r>
        <w:rPr>
          <w:rFonts w:hint="eastAsia" w:ascii="宋体" w:hAnsi="宋体" w:eastAsia="宋体" w:cs="宋体"/>
          <w:b/>
          <w:color w:val="auto"/>
          <w:sz w:val="30"/>
          <w:szCs w:val="30"/>
          <w:highlight w:val="none"/>
          <w:lang w:eastAsia="zh-CN"/>
        </w:rPr>
        <w:t>温州交运集团城西公交有限公司</w:t>
      </w:r>
      <w:r>
        <w:rPr>
          <w:rFonts w:hint="eastAsia" w:ascii="宋体" w:hAnsi="宋体" w:eastAsia="宋体" w:cs="宋体"/>
          <w:b/>
          <w:color w:val="auto"/>
          <w:sz w:val="30"/>
          <w:szCs w:val="30"/>
          <w:highlight w:val="none"/>
        </w:rPr>
        <w:t xml:space="preserve"> </w:t>
      </w:r>
    </w:p>
    <w:p>
      <w:pPr>
        <w:spacing w:line="600" w:lineRule="exact"/>
        <w:ind w:firstLine="2159" w:firstLineChars="717"/>
        <w:rPr>
          <w:rFonts w:hint="eastAsia" w:ascii="宋体" w:hAnsi="宋体" w:eastAsia="宋体" w:cs="宋体"/>
          <w:b/>
          <w:color w:val="auto"/>
          <w:spacing w:val="40"/>
          <w:sz w:val="30"/>
          <w:szCs w:val="30"/>
          <w:highlight w:val="none"/>
        </w:rPr>
      </w:pPr>
      <w:r>
        <w:rPr>
          <w:rFonts w:hint="eastAsia" w:ascii="宋体" w:hAnsi="宋体" w:eastAsia="宋体" w:cs="宋体"/>
          <w:b/>
          <w:color w:val="auto"/>
          <w:sz w:val="30"/>
          <w:szCs w:val="30"/>
          <w:highlight w:val="none"/>
        </w:rPr>
        <w:t>采购代理：温州市智信招标代理有限公司</w:t>
      </w:r>
    </w:p>
    <w:p>
      <w:pPr>
        <w:spacing w:line="600" w:lineRule="exact"/>
        <w:jc w:val="center"/>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二〇二</w:t>
      </w:r>
      <w:r>
        <w:rPr>
          <w:rFonts w:hint="eastAsia" w:ascii="宋体" w:hAnsi="宋体" w:eastAsia="宋体" w:cs="宋体"/>
          <w:b/>
          <w:color w:val="auto"/>
          <w:spacing w:val="40"/>
          <w:sz w:val="30"/>
          <w:szCs w:val="30"/>
          <w:highlight w:val="none"/>
          <w:lang w:val="en-US" w:eastAsia="zh-CN"/>
        </w:rPr>
        <w:t>二</w:t>
      </w:r>
      <w:r>
        <w:rPr>
          <w:rFonts w:hint="eastAsia" w:ascii="宋体" w:hAnsi="宋体" w:eastAsia="宋体" w:cs="宋体"/>
          <w:b/>
          <w:color w:val="auto"/>
          <w:spacing w:val="40"/>
          <w:sz w:val="30"/>
          <w:szCs w:val="30"/>
          <w:highlight w:val="none"/>
        </w:rPr>
        <w:t>年</w:t>
      </w:r>
      <w:r>
        <w:rPr>
          <w:rFonts w:hint="eastAsia" w:ascii="宋体" w:hAnsi="宋体" w:eastAsia="宋体" w:cs="宋体"/>
          <w:b/>
          <w:color w:val="auto"/>
          <w:spacing w:val="40"/>
          <w:sz w:val="30"/>
          <w:szCs w:val="30"/>
          <w:highlight w:val="none"/>
          <w:lang w:val="en-US" w:eastAsia="zh-CN"/>
        </w:rPr>
        <w:t>十</w:t>
      </w:r>
      <w:r>
        <w:rPr>
          <w:rFonts w:hint="eastAsia" w:ascii="宋体" w:hAnsi="宋体" w:eastAsia="宋体" w:cs="宋体"/>
          <w:b/>
          <w:color w:val="auto"/>
          <w:spacing w:val="40"/>
          <w:sz w:val="30"/>
          <w:szCs w:val="30"/>
          <w:highlight w:val="none"/>
        </w:rPr>
        <w:t>月</w:t>
      </w:r>
    </w:p>
    <w:p>
      <w:pPr>
        <w:spacing w:line="600" w:lineRule="exact"/>
        <w:jc w:val="center"/>
        <w:rPr>
          <w:rFonts w:hint="eastAsia" w:ascii="宋体" w:hAnsi="宋体" w:eastAsia="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0" w:h="16840"/>
          <w:pgMar w:top="1134" w:right="1134" w:bottom="1134" w:left="1134" w:header="850" w:footer="850" w:gutter="0"/>
          <w:cols w:space="720" w:num="1"/>
          <w:titlePg/>
          <w:docGrid w:linePitch="360" w:charSpace="0"/>
        </w:sectPr>
      </w:pPr>
    </w:p>
    <w:p>
      <w:pPr>
        <w:spacing w:line="6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pPr>
        <w:pStyle w:val="10"/>
        <w:ind w:firstLine="200"/>
        <w:rPr>
          <w:rFonts w:hint="eastAsia" w:ascii="宋体" w:hAnsi="宋体" w:eastAsia="宋体" w:cs="宋体"/>
          <w:color w:val="auto"/>
          <w:highlight w:val="none"/>
        </w:rPr>
      </w:pPr>
    </w:p>
    <w:p>
      <w:pPr>
        <w:pStyle w:val="14"/>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TOC \o "1-3" \h \z \u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_Toc8803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lang w:eastAsia="zh-CN"/>
        </w:rPr>
        <w:t>温州</w:t>
      </w:r>
      <w:r>
        <w:rPr>
          <w:rFonts w:hint="eastAsia" w:ascii="宋体" w:hAnsi="宋体" w:eastAsia="宋体" w:cs="宋体"/>
          <w:color w:val="auto"/>
          <w:sz w:val="22"/>
          <w:szCs w:val="22"/>
          <w:highlight w:val="none"/>
          <w:lang w:val="en-US" w:eastAsia="zh-CN"/>
        </w:rPr>
        <w:t>市</w:t>
      </w:r>
      <w:r>
        <w:rPr>
          <w:rFonts w:hint="eastAsia" w:ascii="宋体" w:hAnsi="宋体" w:eastAsia="宋体" w:cs="宋体"/>
          <w:color w:val="auto"/>
          <w:sz w:val="22"/>
          <w:szCs w:val="22"/>
          <w:highlight w:val="none"/>
          <w:lang w:eastAsia="zh-CN"/>
        </w:rPr>
        <w:t>交运集团所属温州交运集团城西公交有限公司</w:t>
      </w:r>
      <w:r>
        <w:rPr>
          <w:rFonts w:hint="eastAsia" w:ascii="宋体" w:hAnsi="宋体" w:eastAsia="宋体" w:cs="宋体"/>
          <w:color w:val="auto"/>
          <w:sz w:val="22"/>
          <w:szCs w:val="22"/>
          <w:highlight w:val="none"/>
          <w:lang w:val="en-US" w:eastAsia="zh-CN"/>
        </w:rPr>
        <w:t>关于4 辆新能源冷藏车（纯电）</w:t>
      </w:r>
      <w:r>
        <w:rPr>
          <w:rFonts w:hint="eastAsia" w:ascii="宋体" w:hAnsi="宋体" w:eastAsia="宋体" w:cs="宋体"/>
          <w:color w:val="auto"/>
          <w:sz w:val="22"/>
          <w:szCs w:val="22"/>
          <w:highlight w:val="none"/>
        </w:rPr>
        <w:t>项目</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自主</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的采购公告</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_Toc8803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14"/>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_Toc407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lang w:eastAsia="zh-CN"/>
        </w:rPr>
        <w:t>温州</w:t>
      </w:r>
      <w:r>
        <w:rPr>
          <w:rFonts w:hint="eastAsia" w:ascii="宋体" w:hAnsi="宋体" w:eastAsia="宋体" w:cs="宋体"/>
          <w:color w:val="auto"/>
          <w:sz w:val="22"/>
          <w:szCs w:val="22"/>
          <w:highlight w:val="none"/>
          <w:lang w:val="en-US" w:eastAsia="zh-CN"/>
        </w:rPr>
        <w:t>市</w:t>
      </w:r>
      <w:r>
        <w:rPr>
          <w:rFonts w:hint="eastAsia" w:ascii="宋体" w:hAnsi="宋体" w:eastAsia="宋体" w:cs="宋体"/>
          <w:color w:val="auto"/>
          <w:sz w:val="22"/>
          <w:szCs w:val="22"/>
          <w:highlight w:val="none"/>
          <w:lang w:eastAsia="zh-CN"/>
        </w:rPr>
        <w:t>交运集团所属温州交运集团城西公交有限公司</w:t>
      </w:r>
      <w:r>
        <w:rPr>
          <w:rFonts w:hint="eastAsia" w:ascii="宋体" w:hAnsi="宋体" w:eastAsia="宋体" w:cs="宋体"/>
          <w:color w:val="auto"/>
          <w:sz w:val="22"/>
          <w:szCs w:val="22"/>
          <w:highlight w:val="none"/>
          <w:lang w:val="en-US" w:eastAsia="zh-CN"/>
        </w:rPr>
        <w:t>关于4 辆新能源冷藏车（纯电）</w:t>
      </w:r>
      <w:r>
        <w:rPr>
          <w:rFonts w:hint="eastAsia" w:ascii="宋体" w:hAnsi="宋体" w:eastAsia="宋体" w:cs="宋体"/>
          <w:color w:val="auto"/>
          <w:sz w:val="22"/>
          <w:szCs w:val="22"/>
          <w:highlight w:val="none"/>
        </w:rPr>
        <w:t>项目</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自主</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的征求意见公示</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_Toc407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14"/>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_Toc16425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投标人须知前附表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_Toc16425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14"/>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_Toc22933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第一部分    投标人须知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_Toc22933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14"/>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_Toc4309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olor w:val="auto"/>
          <w:sz w:val="22"/>
          <w:szCs w:val="22"/>
          <w:highlight w:val="none"/>
        </w:rPr>
        <w:t>一、  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_Toc4309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14"/>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_Toc6074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olor w:val="auto"/>
          <w:sz w:val="22"/>
          <w:szCs w:val="22"/>
          <w:highlight w:val="none"/>
        </w:rPr>
        <w:t>二、 采购文件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_Toc6074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14"/>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_Toc6032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olor w:val="auto"/>
          <w:sz w:val="22"/>
          <w:szCs w:val="22"/>
          <w:highlight w:val="none"/>
        </w:rPr>
        <w:t>三、 投标文件的编制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_Toc6032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14"/>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_Toc19247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olor w:val="auto"/>
          <w:sz w:val="22"/>
          <w:szCs w:val="22"/>
          <w:highlight w:val="none"/>
        </w:rPr>
        <w:t>四、 投标文件的递交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_Toc19247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14"/>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_Toc1242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olor w:val="auto"/>
          <w:sz w:val="22"/>
          <w:szCs w:val="22"/>
          <w:highlight w:val="none"/>
        </w:rPr>
        <w:t>五、 开标和评标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_Toc1242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14"/>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_Toc20594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olor w:val="auto"/>
          <w:sz w:val="22"/>
          <w:szCs w:val="22"/>
          <w:highlight w:val="none"/>
        </w:rPr>
        <w:t>六、 授予合同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_Toc20594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18</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14"/>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_Toc24911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第二部分   合同格式及合同主要条款</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_Toc24911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14"/>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_Toc4024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第三部分   投标文件格式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_Toc4024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14"/>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_Toc4093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第四部分   采购内容及要求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_Toc4093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14"/>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_Toc26755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第五部分   评标原则及方法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_Toc26755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14"/>
        <w:tabs>
          <w:tab w:val="right" w:leader="dot" w:pos="9972"/>
          <w:tab w:val="clear" w:pos="9628"/>
        </w:tabs>
        <w:rPr>
          <w:rFonts w:hint="eastAsia" w:ascii="宋体" w:hAnsi="宋体" w:eastAsia="宋体" w:cs="宋体"/>
          <w:b/>
          <w:bCs w:val="0"/>
          <w:color w:val="auto"/>
          <w:sz w:val="22"/>
          <w:szCs w:val="22"/>
          <w:highlight w:val="none"/>
        </w:rPr>
      </w:pPr>
      <w:r>
        <w:rPr>
          <w:rFonts w:hint="eastAsia" w:ascii="宋体" w:hAnsi="宋体" w:eastAsia="宋体" w:cs="宋体"/>
          <w:color w:val="auto"/>
          <w:sz w:val="22"/>
          <w:szCs w:val="22"/>
          <w:highlight w:val="none"/>
        </w:rPr>
        <w:fldChar w:fldCharType="end"/>
      </w:r>
    </w:p>
    <w:p>
      <w:pPr>
        <w:spacing w:line="5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注：采购文件中加“▲”且加下划线的条款，为采购的实质性要求和条件，着重提醒各投标人注意，并认真查看采购文件中的每一个条款及要求，因误读采购文件而造成的后果，采购人概不负责。</w:t>
      </w:r>
    </w:p>
    <w:p>
      <w:pPr>
        <w:spacing w:line="560" w:lineRule="exact"/>
        <w:rPr>
          <w:rFonts w:hint="eastAsia" w:ascii="宋体" w:hAnsi="宋体" w:eastAsia="宋体" w:cs="宋体"/>
          <w:b/>
          <w:bCs/>
          <w:color w:val="auto"/>
          <w:sz w:val="22"/>
          <w:szCs w:val="22"/>
          <w:highlight w:val="none"/>
        </w:rPr>
      </w:pPr>
    </w:p>
    <w:p>
      <w:pPr>
        <w:spacing w:line="480" w:lineRule="auto"/>
        <w:jc w:val="right"/>
        <w:rPr>
          <w:rFonts w:hint="eastAsia" w:ascii="宋体" w:hAnsi="宋体" w:eastAsia="宋体" w:cs="宋体"/>
          <w:color w:val="auto"/>
          <w:sz w:val="22"/>
          <w:szCs w:val="22"/>
          <w:highlight w:val="none"/>
        </w:rPr>
      </w:pPr>
    </w:p>
    <w:p>
      <w:pPr>
        <w:pStyle w:val="3"/>
        <w:spacing w:line="360" w:lineRule="auto"/>
        <w:rPr>
          <w:rFonts w:hint="eastAsia" w:ascii="宋体" w:hAnsi="宋体" w:eastAsia="宋体" w:cs="宋体"/>
          <w:color w:val="auto"/>
          <w:sz w:val="32"/>
          <w:szCs w:val="32"/>
          <w:highlight w:val="none"/>
        </w:rPr>
      </w:pPr>
      <w:bookmarkStart w:id="0" w:name="_Toc462130148"/>
      <w:bookmarkStart w:id="1" w:name="_Toc434310670"/>
      <w:bookmarkStart w:id="2" w:name="_Toc15028"/>
      <w:r>
        <w:rPr>
          <w:rFonts w:hint="eastAsia" w:ascii="宋体" w:hAnsi="宋体" w:eastAsia="宋体" w:cs="宋体"/>
          <w:color w:val="auto"/>
          <w:sz w:val="32"/>
          <w:szCs w:val="32"/>
          <w:highlight w:val="none"/>
        </w:rPr>
        <w:br w:type="page"/>
      </w:r>
      <w:bookmarkStart w:id="3" w:name="_Toc71374667"/>
      <w:bookmarkStart w:id="4" w:name="_Toc8803"/>
      <w:r>
        <w:rPr>
          <w:rFonts w:hint="eastAsia" w:ascii="宋体" w:hAnsi="宋体" w:eastAsia="宋体" w:cs="宋体"/>
          <w:color w:val="auto"/>
          <w:sz w:val="32"/>
          <w:szCs w:val="32"/>
          <w:highlight w:val="none"/>
          <w:lang w:eastAsia="zh-CN"/>
        </w:rPr>
        <w:t>温州市交运集团所属温州交运集团城西公交有限公司</w:t>
      </w:r>
      <w:r>
        <w:rPr>
          <w:rFonts w:hint="eastAsia" w:ascii="宋体" w:hAnsi="宋体" w:eastAsia="宋体" w:cs="宋体"/>
          <w:color w:val="auto"/>
          <w:sz w:val="32"/>
          <w:szCs w:val="32"/>
          <w:highlight w:val="none"/>
          <w:lang w:val="en-US" w:eastAsia="zh-CN"/>
        </w:rPr>
        <w:t>关于4 辆新能源冷藏车（纯电）</w:t>
      </w:r>
      <w:r>
        <w:rPr>
          <w:rFonts w:hint="eastAsia" w:ascii="宋体" w:hAnsi="宋体" w:eastAsia="宋体" w:cs="宋体"/>
          <w:color w:val="auto"/>
          <w:sz w:val="32"/>
          <w:szCs w:val="32"/>
          <w:highlight w:val="none"/>
        </w:rPr>
        <w:t>项目</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自主</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的采购公告</w:t>
      </w:r>
      <w:bookmarkEnd w:id="0"/>
      <w:bookmarkEnd w:id="1"/>
      <w:bookmarkEnd w:id="2"/>
      <w:bookmarkEnd w:id="3"/>
      <w:bookmarkEnd w:id="4"/>
    </w:p>
    <w:p>
      <w:pPr>
        <w:pStyle w:val="10"/>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根据《温州市市属国有企业采购管理办法（试行）》等有关规定，温州市</w:t>
      </w:r>
      <w:r>
        <w:rPr>
          <w:rFonts w:hint="eastAsia" w:ascii="宋体" w:hAnsi="宋体" w:eastAsia="宋体" w:cs="宋体"/>
          <w:color w:val="auto"/>
          <w:sz w:val="22"/>
          <w:szCs w:val="22"/>
          <w:highlight w:val="none"/>
          <w:lang w:val="en-US" w:eastAsia="zh-CN"/>
        </w:rPr>
        <w:t>智信招标代理</w:t>
      </w:r>
      <w:r>
        <w:rPr>
          <w:rFonts w:hint="eastAsia" w:ascii="宋体" w:hAnsi="宋体" w:eastAsia="宋体" w:cs="宋体"/>
          <w:color w:val="auto"/>
          <w:sz w:val="22"/>
          <w:szCs w:val="22"/>
          <w:highlight w:val="none"/>
        </w:rPr>
        <w:t>有限公司受</w:t>
      </w:r>
      <w:r>
        <w:rPr>
          <w:rFonts w:hint="eastAsia" w:ascii="宋体" w:hAnsi="宋体" w:eastAsia="宋体" w:cs="宋体"/>
          <w:color w:val="auto"/>
          <w:sz w:val="22"/>
          <w:szCs w:val="22"/>
          <w:highlight w:val="none"/>
          <w:lang w:eastAsia="zh-CN"/>
        </w:rPr>
        <w:t>温州交运集团城西公交有限公司</w:t>
      </w:r>
      <w:r>
        <w:rPr>
          <w:rFonts w:hint="eastAsia" w:ascii="宋体" w:hAnsi="宋体" w:eastAsia="宋体" w:cs="宋体"/>
          <w:color w:val="auto"/>
          <w:sz w:val="22"/>
          <w:szCs w:val="22"/>
          <w:highlight w:val="none"/>
        </w:rPr>
        <w:t>委托，就</w:t>
      </w:r>
      <w:r>
        <w:rPr>
          <w:rFonts w:hint="eastAsia" w:ascii="宋体" w:hAnsi="宋体" w:eastAsia="宋体" w:cs="宋体"/>
          <w:color w:val="auto"/>
          <w:sz w:val="22"/>
          <w:szCs w:val="22"/>
          <w:highlight w:val="none"/>
          <w:lang w:val="en-US" w:eastAsia="zh-CN"/>
        </w:rPr>
        <w:t>4 辆新能源冷藏车（纯电）</w:t>
      </w:r>
      <w:r>
        <w:rPr>
          <w:rFonts w:hint="eastAsia" w:ascii="宋体" w:hAnsi="宋体" w:eastAsia="宋体" w:cs="宋体"/>
          <w:color w:val="auto"/>
          <w:sz w:val="22"/>
          <w:szCs w:val="22"/>
          <w:highlight w:val="none"/>
        </w:rPr>
        <w:t>项目以公开招标方式进行国企采购，欢迎国内合格的供应商前来投标。</w:t>
      </w:r>
    </w:p>
    <w:p>
      <w:pPr>
        <w:widowControl/>
        <w:spacing w:line="360" w:lineRule="auto"/>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一、公告类型：</w:t>
      </w:r>
      <w:r>
        <w:rPr>
          <w:rFonts w:hint="eastAsia" w:ascii="宋体" w:hAnsi="宋体" w:eastAsia="宋体" w:cs="宋体"/>
          <w:bCs/>
          <w:color w:val="auto"/>
          <w:kern w:val="0"/>
          <w:sz w:val="22"/>
          <w:szCs w:val="22"/>
          <w:highlight w:val="none"/>
        </w:rPr>
        <w:t>采购公告</w:t>
      </w:r>
    </w:p>
    <w:p>
      <w:pPr>
        <w:widowControl/>
        <w:spacing w:line="360" w:lineRule="auto"/>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二、采购方式：</w:t>
      </w:r>
      <w:r>
        <w:rPr>
          <w:rFonts w:hint="eastAsia" w:ascii="宋体" w:hAnsi="宋体" w:eastAsia="宋体" w:cs="宋体"/>
          <w:bCs/>
          <w:color w:val="auto"/>
          <w:kern w:val="0"/>
          <w:sz w:val="22"/>
          <w:szCs w:val="22"/>
          <w:highlight w:val="none"/>
        </w:rPr>
        <w:t>公开招标</w:t>
      </w:r>
    </w:p>
    <w:p>
      <w:pPr>
        <w:widowControl/>
        <w:spacing w:line="360" w:lineRule="auto"/>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
          <w:bCs/>
          <w:color w:val="auto"/>
          <w:kern w:val="0"/>
          <w:sz w:val="22"/>
          <w:szCs w:val="22"/>
          <w:highlight w:val="none"/>
        </w:rPr>
        <w:t>三、项目编号：</w:t>
      </w:r>
      <w:r>
        <w:rPr>
          <w:rFonts w:hint="eastAsia" w:ascii="宋体" w:hAnsi="宋体" w:eastAsia="宋体" w:cs="宋体"/>
          <w:b w:val="0"/>
          <w:bCs w:val="0"/>
          <w:color w:val="auto"/>
          <w:kern w:val="0"/>
          <w:sz w:val="22"/>
          <w:szCs w:val="22"/>
          <w:highlight w:val="none"/>
          <w:lang w:eastAsia="zh-CN"/>
        </w:rPr>
        <w:t>WGSS-JYJT-Z-2022045</w:t>
      </w:r>
    </w:p>
    <w:p>
      <w:pPr>
        <w:pStyle w:val="10"/>
        <w:spacing w:after="0" w:line="36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四、项目性质：</w:t>
      </w:r>
      <w:r>
        <w:rPr>
          <w:rFonts w:hint="eastAsia" w:ascii="宋体" w:hAnsi="宋体" w:eastAsia="宋体" w:cs="宋体"/>
          <w:color w:val="auto"/>
          <w:sz w:val="22"/>
          <w:szCs w:val="22"/>
          <w:highlight w:val="none"/>
        </w:rPr>
        <w:t>国企采购（非政府采购）</w:t>
      </w:r>
    </w:p>
    <w:p>
      <w:pPr>
        <w:widowControl/>
        <w:spacing w:line="360" w:lineRule="auto"/>
        <w:jc w:val="left"/>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rPr>
        <w:t>五、项目名称：</w:t>
      </w:r>
      <w:r>
        <w:rPr>
          <w:rFonts w:hint="eastAsia" w:ascii="宋体" w:hAnsi="宋体" w:eastAsia="宋体" w:cs="宋体"/>
          <w:color w:val="auto"/>
          <w:sz w:val="22"/>
          <w:szCs w:val="22"/>
          <w:highlight w:val="none"/>
          <w:lang w:val="en-US" w:eastAsia="zh-CN"/>
        </w:rPr>
        <w:t>4 辆新能源冷藏车（纯电）</w:t>
      </w:r>
    </w:p>
    <w:p>
      <w:pPr>
        <w:widowControl/>
        <w:spacing w:line="360" w:lineRule="auto"/>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六、预算金额：</w:t>
      </w:r>
      <w:r>
        <w:rPr>
          <w:rFonts w:hint="eastAsia" w:ascii="宋体" w:hAnsi="宋体" w:eastAsia="宋体" w:cs="宋体"/>
          <w:bCs/>
          <w:color w:val="auto"/>
          <w:kern w:val="0"/>
          <w:sz w:val="22"/>
          <w:szCs w:val="22"/>
          <w:highlight w:val="none"/>
          <w:lang w:val="en-US" w:eastAsia="zh-CN"/>
        </w:rPr>
        <w:t>920000</w:t>
      </w:r>
      <w:r>
        <w:rPr>
          <w:rFonts w:hint="eastAsia" w:ascii="宋体" w:hAnsi="宋体" w:eastAsia="宋体" w:cs="宋体"/>
          <w:bCs/>
          <w:color w:val="auto"/>
          <w:kern w:val="0"/>
          <w:sz w:val="22"/>
          <w:szCs w:val="22"/>
          <w:highlight w:val="none"/>
        </w:rPr>
        <w:t>元</w:t>
      </w:r>
    </w:p>
    <w:p>
      <w:pPr>
        <w:widowControl/>
        <w:spacing w:line="360" w:lineRule="auto"/>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七、采购内容（具体采购内容及详细技术要求见采购文件相关部分）：</w:t>
      </w:r>
    </w:p>
    <w:tbl>
      <w:tblPr>
        <w:tblStyle w:val="18"/>
        <w:tblW w:w="0" w:type="auto"/>
        <w:tblInd w:w="0" w:type="dxa"/>
        <w:tblLayout w:type="fixed"/>
        <w:tblCellMar>
          <w:top w:w="0" w:type="dxa"/>
          <w:left w:w="108" w:type="dxa"/>
          <w:bottom w:w="0" w:type="dxa"/>
          <w:right w:w="108" w:type="dxa"/>
        </w:tblCellMar>
      </w:tblPr>
      <w:tblGrid>
        <w:gridCol w:w="694"/>
        <w:gridCol w:w="2249"/>
        <w:gridCol w:w="851"/>
        <w:gridCol w:w="992"/>
        <w:gridCol w:w="5068"/>
      </w:tblGrid>
      <w:tr>
        <w:tblPrEx>
          <w:tblCellMar>
            <w:top w:w="0" w:type="dxa"/>
            <w:left w:w="108" w:type="dxa"/>
            <w:bottom w:w="0" w:type="dxa"/>
            <w:right w:w="108" w:type="dxa"/>
          </w:tblCellMar>
        </w:tblPrEx>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240" w:lineRule="auto"/>
              <w:ind w:left="60" w:right="60"/>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序号</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240" w:lineRule="auto"/>
              <w:ind w:left="60" w:right="60"/>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标项内容</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240" w:lineRule="auto"/>
              <w:ind w:left="60" w:right="60"/>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数量</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240" w:lineRule="auto"/>
              <w:ind w:left="60" w:right="60"/>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单位</w:t>
            </w:r>
          </w:p>
        </w:tc>
        <w:tc>
          <w:tcPr>
            <w:tcW w:w="506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240" w:lineRule="auto"/>
              <w:ind w:left="60" w:right="60"/>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简要技术要求、用途</w:t>
            </w:r>
          </w:p>
        </w:tc>
      </w:tr>
      <w:tr>
        <w:tblPrEx>
          <w:tblCellMar>
            <w:top w:w="0" w:type="dxa"/>
            <w:left w:w="108" w:type="dxa"/>
            <w:bottom w:w="0" w:type="dxa"/>
            <w:right w:w="108" w:type="dxa"/>
          </w:tblCellMar>
        </w:tblPrEx>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240" w:lineRule="auto"/>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240" w:lineRule="auto"/>
              <w:jc w:val="center"/>
              <w:rPr>
                <w:rFonts w:hint="eastAsia" w:ascii="宋体" w:hAnsi="宋体" w:eastAsia="宋体" w:cs="宋体"/>
                <w:bCs/>
                <w:color w:val="auto"/>
                <w:kern w:val="0"/>
                <w:sz w:val="22"/>
                <w:szCs w:val="22"/>
                <w:highlight w:val="none"/>
                <w:lang w:val="en-US" w:eastAsia="zh-CN"/>
              </w:rPr>
            </w:pPr>
            <w:r>
              <w:rPr>
                <w:rFonts w:hint="eastAsia" w:ascii="宋体" w:hAnsi="宋体" w:eastAsia="宋体" w:cs="宋体"/>
                <w:color w:val="auto"/>
                <w:sz w:val="22"/>
                <w:szCs w:val="22"/>
                <w:highlight w:val="none"/>
                <w:lang w:val="en-US" w:eastAsia="zh-CN"/>
              </w:rPr>
              <w:t>4 辆新能源冷藏车（纯电）</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240" w:lineRule="auto"/>
              <w:jc w:val="center"/>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val="en-US" w:eastAsia="zh-CN"/>
              </w:rPr>
              <w:t>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辆</w:t>
            </w:r>
          </w:p>
        </w:tc>
        <w:tc>
          <w:tcPr>
            <w:tcW w:w="506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240" w:lineRule="auto"/>
              <w:rPr>
                <w:rFonts w:hint="eastAsia" w:ascii="宋体" w:hAnsi="宋体" w:eastAsia="宋体" w:cs="宋体"/>
                <w:bCs/>
                <w:color w:val="auto"/>
                <w:kern w:val="0"/>
                <w:sz w:val="22"/>
                <w:szCs w:val="22"/>
                <w:highlight w:val="none"/>
              </w:rPr>
            </w:pPr>
            <w:r>
              <w:rPr>
                <w:rFonts w:hint="eastAsia" w:ascii="宋体" w:hAnsi="宋体" w:eastAsia="宋体" w:cs="宋体"/>
                <w:color w:val="auto"/>
                <w:kern w:val="0"/>
                <w:sz w:val="22"/>
                <w:szCs w:val="22"/>
                <w:highlight w:val="none"/>
                <w:lang w:val="en-US" w:eastAsia="zh-CN"/>
              </w:rPr>
              <w:t>4 辆新能源冷藏车（纯电）的供货及售后服务</w:t>
            </w:r>
            <w:r>
              <w:rPr>
                <w:rFonts w:hint="eastAsia" w:ascii="宋体" w:hAnsi="宋体" w:eastAsia="宋体" w:cs="宋体"/>
                <w:bCs/>
                <w:color w:val="auto"/>
                <w:kern w:val="0"/>
                <w:sz w:val="22"/>
                <w:szCs w:val="22"/>
                <w:highlight w:val="none"/>
              </w:rPr>
              <w:t>，具体采购内容及详细技术要求见采购文件相关部分。</w:t>
            </w:r>
          </w:p>
        </w:tc>
      </w:tr>
    </w:tbl>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八、投标人资格要求</w:t>
      </w:r>
    </w:p>
    <w:p>
      <w:pPr>
        <w:keepNext w:val="0"/>
        <w:keepLines w:val="0"/>
        <w:pageBreakBefore w:val="0"/>
        <w:widowControl/>
        <w:kinsoku/>
        <w:wordWrap/>
        <w:overflowPunct/>
        <w:topLinePunct w:val="0"/>
        <w:bidi w:val="0"/>
        <w:snapToGrid/>
        <w:spacing w:line="440" w:lineRule="exact"/>
        <w:ind w:right="60" w:firstLine="440" w:firstLineChars="200"/>
        <w:jc w:val="lef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1、符合《温州市市属国有企业采购管理办法（试行）》第十五条对供应商参加温州市国有企业采购活动应当具备的条件的要求；</w:t>
      </w:r>
    </w:p>
    <w:p>
      <w:pPr>
        <w:keepNext w:val="0"/>
        <w:keepLines w:val="0"/>
        <w:pageBreakBefore w:val="0"/>
        <w:widowControl/>
        <w:kinsoku/>
        <w:wordWrap/>
        <w:overflowPunct/>
        <w:topLinePunct w:val="0"/>
        <w:bidi w:val="0"/>
        <w:snapToGrid/>
        <w:spacing w:line="440" w:lineRule="exact"/>
        <w:ind w:right="60" w:firstLine="440" w:firstLineChars="200"/>
        <w:jc w:val="lef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2、投标人须是具有独立法人资格的投标</w:t>
      </w:r>
      <w:r>
        <w:rPr>
          <w:rFonts w:hint="eastAsia" w:ascii="宋体" w:hAnsi="宋体" w:eastAsia="宋体" w:cs="宋体"/>
          <w:snapToGrid w:val="0"/>
          <w:color w:val="auto"/>
          <w:sz w:val="22"/>
          <w:szCs w:val="22"/>
          <w:highlight w:val="none"/>
          <w:lang w:val="en-US" w:eastAsia="zh-CN"/>
        </w:rPr>
        <w:t>产品</w:t>
      </w:r>
      <w:r>
        <w:rPr>
          <w:rFonts w:hint="eastAsia" w:ascii="宋体" w:hAnsi="宋体" w:eastAsia="宋体" w:cs="宋体"/>
          <w:snapToGrid w:val="0"/>
          <w:color w:val="auto"/>
          <w:sz w:val="22"/>
          <w:szCs w:val="22"/>
          <w:highlight w:val="none"/>
        </w:rPr>
        <w:t>的制造商或经销商（若为经销商须提供制造商销售授权书）；</w:t>
      </w:r>
    </w:p>
    <w:p>
      <w:pPr>
        <w:keepNext w:val="0"/>
        <w:keepLines w:val="0"/>
        <w:pageBreakBefore w:val="0"/>
        <w:widowControl/>
        <w:kinsoku/>
        <w:wordWrap/>
        <w:overflowPunct/>
        <w:topLinePunct w:val="0"/>
        <w:bidi w:val="0"/>
        <w:snapToGrid/>
        <w:spacing w:line="440" w:lineRule="exact"/>
        <w:ind w:right="60" w:firstLine="440" w:firstLineChars="200"/>
        <w:jc w:val="lef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w:t>
      </w:r>
      <w:r>
        <w:rPr>
          <w:rFonts w:hint="eastAsia" w:ascii="宋体" w:hAnsi="宋体" w:eastAsia="宋体" w:cs="宋体"/>
          <w:snapToGrid w:val="0"/>
          <w:color w:val="auto"/>
          <w:sz w:val="22"/>
          <w:szCs w:val="22"/>
          <w:highlight w:val="none"/>
          <w:lang w:eastAsia="zh-CN"/>
        </w:rPr>
        <w:t>投标人</w:t>
      </w:r>
      <w:r>
        <w:rPr>
          <w:rFonts w:hint="eastAsia" w:ascii="宋体" w:hAnsi="宋体" w:eastAsia="宋体" w:cs="宋体"/>
          <w:snapToGrid w:val="0"/>
          <w:color w:val="auto"/>
          <w:sz w:val="22"/>
          <w:szCs w:val="22"/>
          <w:highlight w:val="none"/>
        </w:rPr>
        <w:t>未被列入“信用中国”网(</w:t>
      </w:r>
      <w:r>
        <w:rPr>
          <w:rFonts w:hint="eastAsia" w:ascii="宋体" w:hAnsi="宋体" w:eastAsia="宋体" w:cs="宋体"/>
          <w:snapToGrid w:val="0"/>
          <w:color w:val="auto"/>
          <w:sz w:val="22"/>
          <w:szCs w:val="22"/>
          <w:highlight w:val="none"/>
        </w:rPr>
        <w:fldChar w:fldCharType="begin"/>
      </w:r>
      <w:r>
        <w:rPr>
          <w:rFonts w:hint="eastAsia" w:ascii="宋体" w:hAnsi="宋体" w:eastAsia="宋体" w:cs="宋体"/>
          <w:snapToGrid w:val="0"/>
          <w:color w:val="auto"/>
          <w:sz w:val="22"/>
          <w:szCs w:val="22"/>
          <w:highlight w:val="none"/>
        </w:rPr>
        <w:instrText xml:space="preserve"> HYPERLINK "http://www.creditchina.gov.cn" </w:instrText>
      </w:r>
      <w:r>
        <w:rPr>
          <w:rFonts w:hint="eastAsia" w:ascii="宋体" w:hAnsi="宋体" w:eastAsia="宋体" w:cs="宋体"/>
          <w:snapToGrid w:val="0"/>
          <w:color w:val="auto"/>
          <w:sz w:val="22"/>
          <w:szCs w:val="22"/>
          <w:highlight w:val="none"/>
        </w:rPr>
        <w:fldChar w:fldCharType="separate"/>
      </w:r>
      <w:r>
        <w:rPr>
          <w:rFonts w:hint="eastAsia" w:ascii="宋体" w:hAnsi="宋体" w:eastAsia="宋体" w:cs="宋体"/>
          <w:snapToGrid w:val="0"/>
          <w:color w:val="auto"/>
          <w:sz w:val="22"/>
          <w:szCs w:val="22"/>
          <w:highlight w:val="none"/>
        </w:rPr>
        <w:t>www.creditchina.gov.cn</w:t>
      </w:r>
      <w:r>
        <w:rPr>
          <w:rFonts w:hint="eastAsia" w:ascii="宋体" w:hAnsi="宋体" w:eastAsia="宋体" w:cs="宋体"/>
          <w:snapToGrid w:val="0"/>
          <w:color w:val="auto"/>
          <w:sz w:val="22"/>
          <w:szCs w:val="22"/>
          <w:highlight w:val="none"/>
        </w:rPr>
        <w:fldChar w:fldCharType="end"/>
      </w:r>
      <w:r>
        <w:rPr>
          <w:rFonts w:hint="eastAsia" w:ascii="宋体" w:hAnsi="宋体" w:eastAsia="宋体" w:cs="宋体"/>
          <w:snapToGrid w:val="0"/>
          <w:color w:val="auto"/>
          <w:sz w:val="22"/>
          <w:szCs w:val="22"/>
          <w:highlight w:val="none"/>
        </w:rPr>
        <w:t>)、中国政府采购网（http://www.ccgp.gov.cn/）失信被执行人、重大税收违法案件当事人名单、政府采购严重违法失信行为记录名单且尚处于禁止参加采购活动期内；</w:t>
      </w:r>
    </w:p>
    <w:p>
      <w:pPr>
        <w:keepNext w:val="0"/>
        <w:keepLines w:val="0"/>
        <w:pageBreakBefore w:val="0"/>
        <w:widowControl/>
        <w:kinsoku/>
        <w:wordWrap/>
        <w:overflowPunct/>
        <w:topLinePunct w:val="0"/>
        <w:bidi w:val="0"/>
        <w:snapToGrid/>
        <w:spacing w:line="440" w:lineRule="exact"/>
        <w:ind w:right="60" w:firstLine="440" w:firstLineChars="200"/>
        <w:jc w:val="lef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4、单位负责人为同一人或者存在直接控股、管理关系的不同供应商，不得参加同一合同项下的国企采购活动；</w:t>
      </w:r>
    </w:p>
    <w:p>
      <w:pPr>
        <w:keepNext w:val="0"/>
        <w:keepLines w:val="0"/>
        <w:pageBreakBefore w:val="0"/>
        <w:widowControl/>
        <w:kinsoku/>
        <w:wordWrap/>
        <w:overflowPunct/>
        <w:topLinePunct w:val="0"/>
        <w:bidi w:val="0"/>
        <w:snapToGrid/>
        <w:spacing w:line="440" w:lineRule="exact"/>
        <w:ind w:right="60" w:firstLine="440" w:firstLineChars="200"/>
        <w:jc w:val="lef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5、本项目不接受联合体投标。</w:t>
      </w:r>
    </w:p>
    <w:p>
      <w:pPr>
        <w:keepNext w:val="0"/>
        <w:keepLines w:val="0"/>
        <w:pageBreakBefore w:val="0"/>
        <w:widowControl/>
        <w:kinsoku/>
        <w:wordWrap/>
        <w:overflowPunct/>
        <w:topLinePunct w:val="0"/>
        <w:bidi w:val="0"/>
        <w:snapToGrid/>
        <w:spacing w:line="440" w:lineRule="exact"/>
        <w:ind w:right="6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九、</w:t>
      </w:r>
      <w:r>
        <w:rPr>
          <w:rFonts w:hint="eastAsia" w:ascii="宋体" w:hAnsi="宋体" w:eastAsia="宋体" w:cs="宋体"/>
          <w:b/>
          <w:color w:val="auto"/>
          <w:kern w:val="0"/>
          <w:sz w:val="22"/>
          <w:szCs w:val="22"/>
          <w:highlight w:val="none"/>
        </w:rPr>
        <w:t>获取采购文件时间、地点及方式:</w:t>
      </w:r>
    </w:p>
    <w:p>
      <w:pPr>
        <w:keepNext w:val="0"/>
        <w:keepLines w:val="0"/>
        <w:pageBreakBefore w:val="0"/>
        <w:widowControl/>
        <w:kinsoku/>
        <w:wordWrap/>
        <w:overflowPunct/>
        <w:topLinePunct w:val="0"/>
        <w:bidi w:val="0"/>
        <w:snapToGrid/>
        <w:spacing w:line="440" w:lineRule="exact"/>
        <w:ind w:right="60" w:firstLine="440" w:firstLineChars="200"/>
        <w:jc w:val="lef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1．申请获取采购文件方式：供应商在“政采云”（http://www.zcygov.cn）上登录申请获取本项目采购文件，将以下书面资料提交至采购代理机构并办理购买采购文件事宜</w:t>
      </w:r>
      <w:r>
        <w:rPr>
          <w:rFonts w:hint="eastAsia" w:ascii="宋体" w:hAnsi="宋体" w:eastAsia="宋体" w:cs="宋体"/>
          <w:snapToGrid w:val="0"/>
          <w:color w:val="auto"/>
          <w:sz w:val="22"/>
          <w:szCs w:val="22"/>
          <w:highlight w:val="none"/>
          <w:lang w:eastAsia="zh-CN"/>
        </w:rPr>
        <w:t>（</w:t>
      </w:r>
      <w:r>
        <w:rPr>
          <w:rFonts w:hint="eastAsia" w:ascii="宋体" w:hAnsi="宋体" w:eastAsia="宋体" w:cs="宋体"/>
          <w:snapToGrid w:val="0"/>
          <w:color w:val="auto"/>
          <w:sz w:val="22"/>
          <w:szCs w:val="22"/>
          <w:highlight w:val="none"/>
          <w:lang w:val="en-US" w:eastAsia="zh-CN"/>
        </w:rPr>
        <w:t>疫情期间亦可通过邮箱将报名资料扫描件发送至462978466@qq.com进行报名</w:t>
      </w:r>
      <w:r>
        <w:rPr>
          <w:rFonts w:hint="eastAsia" w:ascii="宋体" w:hAnsi="宋体" w:eastAsia="宋体" w:cs="宋体"/>
          <w:snapToGrid w:val="0"/>
          <w:color w:val="auto"/>
          <w:sz w:val="22"/>
          <w:szCs w:val="22"/>
          <w:highlight w:val="none"/>
          <w:lang w:eastAsia="zh-CN"/>
        </w:rPr>
        <w:t>）</w:t>
      </w:r>
      <w:r>
        <w:rPr>
          <w:rFonts w:hint="eastAsia" w:ascii="宋体" w:hAnsi="宋体" w:eastAsia="宋体" w:cs="宋体"/>
          <w:snapToGrid w:val="0"/>
          <w:color w:val="auto"/>
          <w:sz w:val="22"/>
          <w:szCs w:val="22"/>
          <w:highlight w:val="none"/>
        </w:rPr>
        <w:t>，采购代理机构将对书面资料进行审核：</w:t>
      </w:r>
    </w:p>
    <w:p>
      <w:pPr>
        <w:keepNext w:val="0"/>
        <w:keepLines w:val="0"/>
        <w:pageBreakBefore w:val="0"/>
        <w:widowControl/>
        <w:kinsoku/>
        <w:wordWrap/>
        <w:overflowPunct/>
        <w:topLinePunct w:val="0"/>
        <w:bidi w:val="0"/>
        <w:snapToGrid/>
        <w:spacing w:line="440" w:lineRule="exact"/>
        <w:ind w:right="60" w:firstLine="424" w:firstLineChars="193"/>
        <w:jc w:val="lef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①　法定代表人（单位负责人）授权委托书/公司介绍信；</w:t>
      </w:r>
    </w:p>
    <w:p>
      <w:pPr>
        <w:keepNext w:val="0"/>
        <w:keepLines w:val="0"/>
        <w:pageBreakBefore w:val="0"/>
        <w:widowControl/>
        <w:kinsoku/>
        <w:wordWrap/>
        <w:overflowPunct/>
        <w:topLinePunct w:val="0"/>
        <w:bidi w:val="0"/>
        <w:snapToGrid/>
        <w:spacing w:line="440" w:lineRule="exact"/>
        <w:ind w:right="60" w:firstLine="424" w:firstLineChars="193"/>
        <w:jc w:val="lef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②　被授权人身份证复印件；</w:t>
      </w:r>
    </w:p>
    <w:p>
      <w:pPr>
        <w:keepNext w:val="0"/>
        <w:keepLines w:val="0"/>
        <w:pageBreakBefore w:val="0"/>
        <w:widowControl/>
        <w:kinsoku/>
        <w:wordWrap/>
        <w:overflowPunct/>
        <w:topLinePunct w:val="0"/>
        <w:bidi w:val="0"/>
        <w:snapToGrid/>
        <w:spacing w:line="440" w:lineRule="exact"/>
        <w:ind w:right="60" w:firstLine="424" w:firstLineChars="193"/>
        <w:jc w:val="lef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③　加盖有效公章的营业执照副本复印件。</w:t>
      </w:r>
    </w:p>
    <w:p>
      <w:pPr>
        <w:keepNext w:val="0"/>
        <w:keepLines w:val="0"/>
        <w:pageBreakBefore w:val="0"/>
        <w:widowControl/>
        <w:kinsoku/>
        <w:wordWrap/>
        <w:overflowPunct/>
        <w:topLinePunct w:val="0"/>
        <w:bidi w:val="0"/>
        <w:snapToGrid/>
        <w:spacing w:line="440" w:lineRule="exact"/>
        <w:ind w:right="60" w:firstLine="440" w:firstLineChars="200"/>
        <w:jc w:val="lef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2．申请获取采购文件时间：公告发布之日起至投标响应文件递交截止时间前（节假日除外），上午：08:30－11:30，下午：14:00－16:30。</w:t>
      </w:r>
    </w:p>
    <w:p>
      <w:pPr>
        <w:keepNext w:val="0"/>
        <w:keepLines w:val="0"/>
        <w:pageBreakBefore w:val="0"/>
        <w:widowControl/>
        <w:kinsoku/>
        <w:wordWrap/>
        <w:overflowPunct/>
        <w:topLinePunct w:val="0"/>
        <w:bidi w:val="0"/>
        <w:snapToGrid/>
        <w:spacing w:line="440" w:lineRule="exact"/>
        <w:ind w:right="60" w:firstLine="550" w:firstLineChars="250"/>
        <w:jc w:val="lef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3.购领采购文件时间和地点：温州市智信招标代理有限公司（</w:t>
      </w:r>
      <w:r>
        <w:rPr>
          <w:rFonts w:hint="eastAsia" w:ascii="宋体" w:hAnsi="宋体" w:eastAsia="宋体" w:cs="宋体"/>
          <w:snapToGrid w:val="0"/>
          <w:color w:val="auto"/>
          <w:sz w:val="22"/>
          <w:szCs w:val="22"/>
          <w:highlight w:val="none"/>
          <w:lang w:eastAsia="zh-CN"/>
        </w:rPr>
        <w:t>温州市瓯海区新桥街道高昂路1号牛山广场2号楼1409室</w:t>
      </w:r>
      <w:r>
        <w:rPr>
          <w:rFonts w:hint="eastAsia" w:ascii="宋体" w:hAnsi="宋体" w:eastAsia="宋体" w:cs="宋体"/>
          <w:snapToGrid w:val="0"/>
          <w:color w:val="auto"/>
          <w:sz w:val="22"/>
          <w:szCs w:val="22"/>
          <w:highlight w:val="none"/>
        </w:rPr>
        <w:t>）。采购代理机构将拒收未购领采购文件的潜在供应商递交的投标响应文件，采购文件每套500元整，售后不退。</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十、投标文件递交截止时间、开标时间及地点：</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1.投标文件递交截止时间：</w:t>
      </w:r>
      <w:r>
        <w:rPr>
          <w:rFonts w:hint="eastAsia" w:ascii="宋体" w:hAnsi="宋体" w:eastAsia="宋体" w:cs="宋体"/>
          <w:color w:val="auto"/>
          <w:kern w:val="0"/>
          <w:sz w:val="22"/>
          <w:szCs w:val="22"/>
          <w:highlight w:val="none"/>
          <w:lang w:eastAsia="zh-CN"/>
        </w:rPr>
        <w:t>2022年</w:t>
      </w:r>
      <w:r>
        <w:rPr>
          <w:rFonts w:hint="eastAsia" w:ascii="宋体" w:hAnsi="宋体" w:eastAsia="宋体" w:cs="宋体"/>
          <w:color w:val="auto"/>
          <w:kern w:val="0"/>
          <w:sz w:val="22"/>
          <w:szCs w:val="22"/>
          <w:highlight w:val="none"/>
          <w:lang w:val="en-US" w:eastAsia="zh-CN"/>
        </w:rPr>
        <w:t>11</w:t>
      </w:r>
      <w:r>
        <w:rPr>
          <w:rFonts w:hint="eastAsia" w:ascii="宋体" w:hAnsi="宋体" w:eastAsia="宋体" w:cs="宋体"/>
          <w:color w:val="auto"/>
          <w:kern w:val="0"/>
          <w:sz w:val="22"/>
          <w:szCs w:val="22"/>
          <w:highlight w:val="none"/>
          <w:lang w:eastAsia="zh-CN"/>
        </w:rPr>
        <w:t>月</w:t>
      </w:r>
      <w:r>
        <w:rPr>
          <w:rFonts w:hint="eastAsia" w:ascii="宋体" w:hAnsi="宋体" w:eastAsia="宋体" w:cs="宋体"/>
          <w:color w:val="auto"/>
          <w:kern w:val="0"/>
          <w:sz w:val="22"/>
          <w:szCs w:val="22"/>
          <w:highlight w:val="none"/>
          <w:lang w:val="en-US" w:eastAsia="zh-CN"/>
        </w:rPr>
        <w:t>18</w:t>
      </w:r>
      <w:r>
        <w:rPr>
          <w:rFonts w:hint="eastAsia" w:ascii="宋体" w:hAnsi="宋体" w:eastAsia="宋体" w:cs="宋体"/>
          <w:color w:val="auto"/>
          <w:kern w:val="0"/>
          <w:sz w:val="22"/>
          <w:szCs w:val="22"/>
          <w:highlight w:val="none"/>
          <w:lang w:eastAsia="zh-CN"/>
        </w:rPr>
        <w:t>日</w:t>
      </w:r>
      <w:r>
        <w:rPr>
          <w:rFonts w:hint="eastAsia" w:ascii="宋体" w:hAnsi="宋体" w:eastAsia="宋体" w:cs="宋体"/>
          <w:color w:val="auto"/>
          <w:kern w:val="0"/>
          <w:sz w:val="22"/>
          <w:szCs w:val="22"/>
          <w:highlight w:val="none"/>
          <w:lang w:val="en-US" w:eastAsia="zh-CN"/>
        </w:rPr>
        <w:t>09</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lang w:eastAsia="zh-CN"/>
        </w:rPr>
        <w:t>0</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2.递交地点：</w:t>
      </w:r>
      <w:r>
        <w:rPr>
          <w:rFonts w:hint="eastAsia" w:ascii="宋体" w:hAnsi="宋体" w:eastAsia="宋体" w:cs="宋体"/>
          <w:color w:val="auto"/>
          <w:kern w:val="0"/>
          <w:sz w:val="22"/>
          <w:szCs w:val="22"/>
          <w:highlight w:val="none"/>
          <w:lang w:val="zh-CN"/>
        </w:rPr>
        <w:t>温州市瓯海区新桥街道高昂路1号牛山广场2号楼1409室</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3.开标时间：</w:t>
      </w:r>
      <w:r>
        <w:rPr>
          <w:rFonts w:hint="eastAsia" w:ascii="宋体" w:hAnsi="宋体" w:eastAsia="宋体" w:cs="宋体"/>
          <w:color w:val="auto"/>
          <w:kern w:val="0"/>
          <w:sz w:val="22"/>
          <w:szCs w:val="22"/>
          <w:highlight w:val="none"/>
          <w:lang w:eastAsia="zh-CN"/>
        </w:rPr>
        <w:t>2022年11月18日09：00</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4.开标地点：</w:t>
      </w:r>
      <w:r>
        <w:rPr>
          <w:rFonts w:hint="eastAsia" w:ascii="宋体" w:hAnsi="宋体" w:eastAsia="宋体" w:cs="宋体"/>
          <w:color w:val="auto"/>
          <w:kern w:val="0"/>
          <w:sz w:val="22"/>
          <w:szCs w:val="22"/>
          <w:highlight w:val="none"/>
          <w:lang w:val="zh-CN"/>
        </w:rPr>
        <w:t>温州市瓯海区新桥街道高昂路1号牛山广场2号楼1409室</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十一、投标保证金</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投标保证金：人民币</w:t>
      </w:r>
      <w:r>
        <w:rPr>
          <w:rFonts w:hint="eastAsia" w:ascii="宋体" w:hAnsi="宋体" w:eastAsia="宋体" w:cs="宋体"/>
          <w:color w:val="auto"/>
          <w:kern w:val="0"/>
          <w:sz w:val="22"/>
          <w:szCs w:val="22"/>
          <w:highlight w:val="none"/>
          <w:lang w:val="en-US" w:eastAsia="zh-CN"/>
        </w:rPr>
        <w:t>玖仟贰佰</w:t>
      </w:r>
      <w:r>
        <w:rPr>
          <w:rFonts w:hint="eastAsia" w:ascii="宋体" w:hAnsi="宋体" w:eastAsia="宋体" w:cs="宋体"/>
          <w:color w:val="auto"/>
          <w:kern w:val="0"/>
          <w:sz w:val="22"/>
          <w:szCs w:val="22"/>
          <w:highlight w:val="none"/>
        </w:rPr>
        <w:t>元整（¥</w:t>
      </w:r>
      <w:r>
        <w:rPr>
          <w:rFonts w:hint="eastAsia" w:ascii="宋体" w:hAnsi="宋体" w:eastAsia="宋体" w:cs="宋体"/>
          <w:color w:val="auto"/>
          <w:kern w:val="0"/>
          <w:sz w:val="22"/>
          <w:szCs w:val="22"/>
          <w:highlight w:val="none"/>
          <w:lang w:val="en-US" w:eastAsia="zh-CN"/>
        </w:rPr>
        <w:t>92</w:t>
      </w:r>
      <w:r>
        <w:rPr>
          <w:rFonts w:hint="eastAsia" w:ascii="宋体" w:hAnsi="宋体" w:eastAsia="宋体" w:cs="宋体"/>
          <w:color w:val="auto"/>
          <w:kern w:val="0"/>
          <w:sz w:val="22"/>
          <w:szCs w:val="22"/>
          <w:highlight w:val="none"/>
        </w:rPr>
        <w:t>00元）</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投标保证金缴纳截止时间：</w:t>
      </w:r>
      <w:r>
        <w:rPr>
          <w:rFonts w:hint="eastAsia" w:ascii="宋体" w:hAnsi="宋体" w:eastAsia="宋体" w:cs="宋体"/>
          <w:color w:val="auto"/>
          <w:kern w:val="0"/>
          <w:sz w:val="22"/>
          <w:szCs w:val="22"/>
          <w:highlight w:val="none"/>
          <w:lang w:eastAsia="zh-CN"/>
        </w:rPr>
        <w:t>2022年11月18日09：00</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户名：政采云有限公司</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账号：190001010400276210000003640</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开户行：中国农业银行杭州西湖支行</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十二、联系人及联系电话</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w:t>
      </w:r>
      <w:r>
        <w:rPr>
          <w:rFonts w:hint="eastAsia" w:ascii="宋体" w:hAnsi="宋体" w:eastAsia="宋体" w:cs="宋体"/>
          <w:color w:val="auto"/>
          <w:kern w:val="0"/>
          <w:sz w:val="22"/>
          <w:szCs w:val="22"/>
          <w:highlight w:val="none"/>
          <w:lang w:eastAsia="zh-CN"/>
        </w:rPr>
        <w:t>温州交运集团城西公交有限公司</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地址：</w:t>
      </w:r>
      <w:r>
        <w:rPr>
          <w:rFonts w:hint="eastAsia" w:ascii="宋体" w:hAnsi="宋体" w:eastAsia="宋体" w:cs="宋体"/>
          <w:color w:val="auto"/>
          <w:kern w:val="0"/>
          <w:sz w:val="22"/>
          <w:szCs w:val="22"/>
          <w:highlight w:val="none"/>
          <w:lang w:eastAsia="zh-CN"/>
        </w:rPr>
        <w:t>温州市鹿城区南郊街道牛山北路405号</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联系人：</w:t>
      </w:r>
      <w:r>
        <w:rPr>
          <w:rFonts w:hint="eastAsia" w:ascii="宋体" w:hAnsi="宋体" w:eastAsia="宋体" w:cs="宋体"/>
          <w:color w:val="auto"/>
          <w:kern w:val="0"/>
          <w:sz w:val="22"/>
          <w:szCs w:val="22"/>
          <w:highlight w:val="none"/>
          <w:lang w:val="en-US" w:eastAsia="zh-CN"/>
        </w:rPr>
        <w:t>陈先生</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联系电话：</w:t>
      </w:r>
      <w:r>
        <w:rPr>
          <w:rFonts w:hint="eastAsia" w:ascii="宋体" w:hAnsi="宋体" w:eastAsia="宋体" w:cs="宋体"/>
          <w:color w:val="auto"/>
          <w:kern w:val="0"/>
          <w:sz w:val="22"/>
          <w:szCs w:val="22"/>
          <w:highlight w:val="none"/>
          <w:lang w:eastAsia="zh-CN"/>
        </w:rPr>
        <w:t>13356175991</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采购代理机构名称：温州市智信招标代理有限公司</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地址：</w:t>
      </w:r>
      <w:r>
        <w:rPr>
          <w:rFonts w:hint="eastAsia" w:ascii="宋体" w:hAnsi="宋体" w:eastAsia="宋体" w:cs="宋体"/>
          <w:color w:val="auto"/>
          <w:kern w:val="0"/>
          <w:sz w:val="22"/>
          <w:szCs w:val="22"/>
          <w:highlight w:val="none"/>
          <w:lang w:eastAsia="zh-CN"/>
        </w:rPr>
        <w:t>温州市瓯海区新桥街道高昂路1号牛山广场2号楼1409室</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联系人：苏先生/叶先生</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 13626506308/13958779970  传真: 0577-88270122</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采购</w:t>
      </w:r>
      <w:r>
        <w:rPr>
          <w:rFonts w:hint="eastAsia" w:ascii="宋体" w:hAnsi="宋体" w:eastAsia="宋体" w:cs="宋体"/>
          <w:color w:val="auto"/>
          <w:kern w:val="0"/>
          <w:sz w:val="22"/>
          <w:szCs w:val="22"/>
          <w:highlight w:val="none"/>
        </w:rPr>
        <w:t>监督部门：温州交运集团监察监事审计室</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 系 人：杨女士</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联系电话：0577-55587663</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十三、其他事项</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采购公告期限：5个工作日</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以公告发布次日起计</w:t>
      </w:r>
      <w:r>
        <w:rPr>
          <w:rFonts w:hint="eastAsia" w:ascii="宋体" w:hAnsi="宋体" w:eastAsia="宋体" w:cs="宋体"/>
          <w:color w:val="auto"/>
          <w:kern w:val="0"/>
          <w:sz w:val="22"/>
          <w:szCs w:val="22"/>
          <w:highlight w:val="none"/>
        </w:rPr>
        <w:t>。</w:t>
      </w:r>
    </w:p>
    <w:p>
      <w:pPr>
        <w:pStyle w:val="10"/>
        <w:keepNext w:val="0"/>
        <w:keepLines w:val="0"/>
        <w:pageBreakBefore w:val="0"/>
        <w:kinsoku/>
        <w:wordWrap/>
        <w:overflowPunct/>
        <w:topLinePunct w:val="0"/>
        <w:bidi w:val="0"/>
        <w:snapToGrid/>
        <w:spacing w:after="0" w:line="44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b/>
          <w:bCs/>
          <w:color w:val="auto"/>
          <w:kern w:val="0"/>
          <w:sz w:val="22"/>
          <w:szCs w:val="22"/>
          <w:highlight w:val="none"/>
          <w:u w:val="single"/>
        </w:rPr>
        <w:t>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供应商对采购人、采购代理机构的答复不满意或者采购人、采购代理机构未在规定的时间内作出答复的，可以在答复期满后15个工作日内向采购人（集团）的内设监管职能部门投诉</w:t>
      </w:r>
      <w:r>
        <w:rPr>
          <w:rFonts w:hint="eastAsia" w:ascii="宋体" w:hAnsi="宋体" w:eastAsia="宋体" w:cs="宋体"/>
          <w:color w:val="auto"/>
          <w:kern w:val="0"/>
          <w:sz w:val="22"/>
          <w:szCs w:val="22"/>
          <w:highlight w:val="none"/>
        </w:rPr>
        <w:t>。</w:t>
      </w:r>
    </w:p>
    <w:p>
      <w:pPr>
        <w:pStyle w:val="10"/>
        <w:keepNext w:val="0"/>
        <w:keepLines w:val="0"/>
        <w:pageBreakBefore w:val="0"/>
        <w:kinsoku/>
        <w:wordWrap/>
        <w:overflowPunct/>
        <w:topLinePunct w:val="0"/>
        <w:bidi w:val="0"/>
        <w:snapToGrid/>
        <w:spacing w:after="0" w:line="440" w:lineRule="exact"/>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kern w:val="0"/>
          <w:sz w:val="22"/>
          <w:szCs w:val="22"/>
          <w:highlight w:val="none"/>
        </w:rPr>
        <w:t>3.</w:t>
      </w:r>
      <w:r>
        <w:rPr>
          <w:rFonts w:hint="eastAsia" w:ascii="宋体" w:hAnsi="宋体" w:eastAsia="宋体" w:cs="宋体"/>
          <w:b/>
          <w:bCs/>
          <w:color w:val="auto"/>
          <w:kern w:val="0"/>
          <w:sz w:val="22"/>
          <w:szCs w:val="22"/>
          <w:highlight w:val="none"/>
          <w:u w:val="single"/>
        </w:rPr>
        <w:t>温州市交通运输集团有限公司负责对投标供应商反映的企业本部及所属企业在采购活动中出现的违法违规问题进行答疑回复。投标供应商认为温州市交通运输集团有限公司答疑回复处理结果不合法的，可以采购人或代理机构为对象依法向人民法院提起诉讼</w:t>
      </w:r>
      <w:r>
        <w:rPr>
          <w:rFonts w:hint="eastAsia" w:ascii="宋体" w:hAnsi="宋体" w:eastAsia="宋体" w:cs="宋体"/>
          <w:color w:val="auto"/>
          <w:kern w:val="0"/>
          <w:sz w:val="22"/>
          <w:szCs w:val="22"/>
          <w:highlight w:val="none"/>
        </w:rPr>
        <w:t>。</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4.采购公告附件的采购文件仅供阅览使用，未按照本公告规定的方式获取采购文件的潜在供应商提起的质疑采购组织机构将不予受理、答复。</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5.采购文件发售截止时间之后潜在投标人仍然可以购买采购文件，但该投标人如对采购文件有疑问应按采购文件规定的询疑截止时间前提出，逾期提出的，采购代理机构可以不予受理、答复。</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6.书面质疑受理地点：</w:t>
      </w:r>
      <w:r>
        <w:rPr>
          <w:rFonts w:hint="eastAsia" w:ascii="宋体" w:hAnsi="宋体" w:eastAsia="宋体" w:cs="宋体"/>
          <w:color w:val="auto"/>
          <w:kern w:val="0"/>
          <w:sz w:val="22"/>
          <w:szCs w:val="22"/>
          <w:highlight w:val="none"/>
          <w:lang w:eastAsia="zh-CN"/>
        </w:rPr>
        <w:t>温州市瓯海区新桥街道高昂路1号牛山广场2号楼1409室</w:t>
      </w:r>
      <w:r>
        <w:rPr>
          <w:rFonts w:hint="eastAsia" w:ascii="宋体" w:hAnsi="宋体" w:eastAsia="宋体" w:cs="宋体"/>
          <w:color w:val="auto"/>
          <w:kern w:val="0"/>
          <w:sz w:val="22"/>
          <w:szCs w:val="22"/>
          <w:highlight w:val="none"/>
        </w:rPr>
        <w:t>，联系人：熊先生 ，联系电话：13676780329</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根据温州疫情防控需求，参与本项目的投标人代表（法定代表人或其授权委托人）必须严格遵守省市区及属地防疫要求，如有冲突，以标书递交所在地防疫要求为准，否则不得参与项目投标：具体要求如下（不限于）：</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1）投标人代表在进入开标地点前必须出示温州防疫码，且显示绿码。如投标人代表的温州防疫码无法正常展示的，不能参与此次投标。</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2）凡来自有报告核酸阳性病例所在地中高风险地区人员不得作为投标人代表。</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3）其他低风险地区投标人代表若为省外来温、返温人员，在进入开标地点前必须提供48小时内（标书递交截止时间前）核酸检测阴性证明。</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有新的省市区文件按新的文件执行。</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rPr>
        <w:t>5）如投标人无法满足以上要求的，允许其邮寄投标文件，但投标文件必须在</w:t>
      </w:r>
      <w:r>
        <w:rPr>
          <w:rFonts w:hint="eastAsia" w:ascii="宋体" w:hAnsi="宋体" w:eastAsia="宋体" w:cs="宋体"/>
          <w:color w:val="auto"/>
          <w:kern w:val="0"/>
          <w:sz w:val="22"/>
          <w:szCs w:val="22"/>
          <w:highlight w:val="none"/>
          <w:u w:val="single"/>
          <w:lang w:val="en-US" w:eastAsia="zh-CN"/>
        </w:rPr>
        <w:t>2022年11月18日09时00分</w:t>
      </w:r>
      <w:r>
        <w:rPr>
          <w:rFonts w:hint="eastAsia" w:ascii="宋体" w:hAnsi="宋体" w:eastAsia="宋体" w:cs="宋体"/>
          <w:color w:val="auto"/>
          <w:kern w:val="0"/>
          <w:sz w:val="22"/>
          <w:szCs w:val="22"/>
          <w:highlight w:val="none"/>
          <w:u w:val="single"/>
        </w:rPr>
        <w:t>前</w:t>
      </w:r>
      <w:r>
        <w:rPr>
          <w:rFonts w:hint="eastAsia" w:ascii="宋体" w:hAnsi="宋体" w:eastAsia="宋体" w:cs="宋体"/>
          <w:color w:val="auto"/>
          <w:kern w:val="0"/>
          <w:sz w:val="22"/>
          <w:szCs w:val="22"/>
          <w:highlight w:val="none"/>
        </w:rPr>
        <w:t>邮寄到</w:t>
      </w:r>
      <w:r>
        <w:rPr>
          <w:rFonts w:hint="eastAsia" w:ascii="宋体" w:hAnsi="宋体" w:eastAsia="宋体" w:cs="宋体"/>
          <w:color w:val="auto"/>
          <w:kern w:val="0"/>
          <w:sz w:val="22"/>
          <w:szCs w:val="22"/>
          <w:highlight w:val="none"/>
          <w:lang w:eastAsia="zh-CN"/>
        </w:rPr>
        <w:t>温州市瓯海区新桥街道高昂路1号牛山广场2号楼1409室（以签收时间为准）</w:t>
      </w:r>
      <w:r>
        <w:rPr>
          <w:rFonts w:hint="eastAsia" w:ascii="宋体" w:hAnsi="宋体" w:eastAsia="宋体" w:cs="宋体"/>
          <w:color w:val="auto"/>
          <w:kern w:val="0"/>
          <w:sz w:val="22"/>
          <w:szCs w:val="22"/>
          <w:highlight w:val="none"/>
        </w:rPr>
        <w:t>。各投标人务必充分考虑邮寄可能存在的延迟送达、包装破损、资料遗失等一系列意外情形。投标文件寄出后请尽快告之代理机构叶先生（联系电话13958779970）。代理机构会在监督人员的监督下，确认所有收到的投标文件的密封、包装是否符合要求等，并于开标时间统一对符合要求的所有投标文件进行公开开标。投标人授权代表未参加开标会议、未到场签字确认的，不影响开标、评标过程，视同认可开标结果，事后不得对采购相关人员、开标过程和开标结果提出异议。</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十四、相关附件：</w:t>
      </w:r>
    </w:p>
    <w:p>
      <w:pPr>
        <w:keepNext w:val="0"/>
        <w:keepLines w:val="0"/>
        <w:pageBreakBefore w:val="0"/>
        <w:widowControl/>
        <w:kinsoku/>
        <w:wordWrap/>
        <w:overflowPunct/>
        <w:topLinePunct w:val="0"/>
        <w:bidi w:val="0"/>
        <w:snapToGrid/>
        <w:spacing w:line="440" w:lineRule="exact"/>
        <w:ind w:firstLine="442"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采购文件</w:t>
      </w:r>
    </w:p>
    <w:p>
      <w:pPr>
        <w:widowControl/>
        <w:spacing w:line="360" w:lineRule="auto"/>
        <w:jc w:val="righ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温州交运集团城西公交有限公司</w:t>
      </w:r>
    </w:p>
    <w:p>
      <w:pPr>
        <w:widowControl/>
        <w:spacing w:line="360" w:lineRule="auto"/>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温州市智信招标代理有限公司</w:t>
      </w:r>
    </w:p>
    <w:p>
      <w:pPr>
        <w:widowControl/>
        <w:spacing w:line="360" w:lineRule="auto"/>
        <w:jc w:val="righ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2022年</w:t>
      </w:r>
      <w:r>
        <w:rPr>
          <w:rFonts w:hint="eastAsia" w:ascii="宋体" w:hAnsi="宋体" w:eastAsia="宋体" w:cs="宋体"/>
          <w:color w:val="auto"/>
          <w:kern w:val="0"/>
          <w:sz w:val="22"/>
          <w:szCs w:val="22"/>
          <w:highlight w:val="none"/>
          <w:lang w:val="en-US" w:eastAsia="zh-CN"/>
        </w:rPr>
        <w:t>10</w:t>
      </w:r>
      <w:r>
        <w:rPr>
          <w:rFonts w:hint="eastAsia" w:ascii="宋体" w:hAnsi="宋体" w:eastAsia="宋体" w:cs="宋体"/>
          <w:color w:val="auto"/>
          <w:kern w:val="0"/>
          <w:sz w:val="22"/>
          <w:szCs w:val="22"/>
          <w:highlight w:val="none"/>
          <w:lang w:eastAsia="zh-CN"/>
        </w:rPr>
        <w:t>月</w:t>
      </w:r>
      <w:r>
        <w:rPr>
          <w:rFonts w:hint="eastAsia" w:ascii="宋体" w:hAnsi="宋体" w:eastAsia="宋体" w:cs="宋体"/>
          <w:color w:val="auto"/>
          <w:kern w:val="0"/>
          <w:sz w:val="22"/>
          <w:szCs w:val="22"/>
          <w:highlight w:val="none"/>
          <w:lang w:val="en-US" w:eastAsia="zh-CN"/>
        </w:rPr>
        <w:t>28</w:t>
      </w:r>
      <w:r>
        <w:rPr>
          <w:rFonts w:hint="eastAsia" w:ascii="宋体" w:hAnsi="宋体" w:eastAsia="宋体" w:cs="宋体"/>
          <w:color w:val="auto"/>
          <w:kern w:val="0"/>
          <w:sz w:val="22"/>
          <w:szCs w:val="22"/>
          <w:highlight w:val="none"/>
          <w:lang w:eastAsia="zh-CN"/>
        </w:rPr>
        <w:t>日</w:t>
      </w:r>
    </w:p>
    <w:p>
      <w:pPr>
        <w:pStyle w:val="3"/>
        <w:spacing w:line="360" w:lineRule="auto"/>
        <w:rPr>
          <w:rFonts w:hint="eastAsia" w:ascii="宋体" w:hAnsi="宋体" w:eastAsia="宋体" w:cs="宋体"/>
          <w:color w:val="auto"/>
          <w:sz w:val="32"/>
          <w:szCs w:val="32"/>
          <w:highlight w:val="none"/>
        </w:rPr>
      </w:pPr>
      <w:bookmarkStart w:id="5" w:name="_Toc71374668"/>
      <w:bookmarkStart w:id="6" w:name="_Toc407"/>
      <w:r>
        <w:rPr>
          <w:rFonts w:hint="eastAsia" w:ascii="宋体" w:hAnsi="宋体" w:eastAsia="宋体" w:cs="宋体"/>
          <w:color w:val="auto"/>
          <w:sz w:val="32"/>
          <w:szCs w:val="32"/>
          <w:highlight w:val="none"/>
          <w:lang w:eastAsia="zh-CN"/>
        </w:rPr>
        <w:t>温州</w:t>
      </w:r>
      <w:r>
        <w:rPr>
          <w:rFonts w:hint="eastAsia" w:ascii="宋体" w:hAnsi="宋体" w:eastAsia="宋体" w:cs="宋体"/>
          <w:color w:val="auto"/>
          <w:sz w:val="32"/>
          <w:szCs w:val="32"/>
          <w:highlight w:val="none"/>
          <w:lang w:val="en-US" w:eastAsia="zh-CN"/>
        </w:rPr>
        <w:t>市</w:t>
      </w:r>
      <w:r>
        <w:rPr>
          <w:rFonts w:hint="eastAsia" w:ascii="宋体" w:hAnsi="宋体" w:eastAsia="宋体" w:cs="宋体"/>
          <w:color w:val="auto"/>
          <w:sz w:val="32"/>
          <w:szCs w:val="32"/>
          <w:highlight w:val="none"/>
          <w:lang w:eastAsia="zh-CN"/>
        </w:rPr>
        <w:t>交运集团所属温州交运集团城西公交有限公司</w:t>
      </w:r>
      <w:r>
        <w:rPr>
          <w:rFonts w:hint="eastAsia" w:ascii="宋体" w:hAnsi="宋体" w:eastAsia="宋体" w:cs="宋体"/>
          <w:color w:val="auto"/>
          <w:sz w:val="32"/>
          <w:szCs w:val="32"/>
          <w:highlight w:val="none"/>
          <w:lang w:val="en-US" w:eastAsia="zh-CN"/>
        </w:rPr>
        <w:t>关于</w:t>
      </w:r>
      <w:r>
        <w:rPr>
          <w:rFonts w:hint="eastAsia" w:ascii="宋体" w:hAnsi="宋体" w:eastAsia="宋体" w:cs="宋体"/>
          <w:color w:val="auto"/>
          <w:sz w:val="32"/>
          <w:szCs w:val="32"/>
          <w:highlight w:val="none"/>
          <w:lang w:val="en-US" w:eastAsia="zh-CN"/>
        </w:rPr>
        <w:t>4 辆新能源冷藏车（纯电）</w:t>
      </w:r>
      <w:r>
        <w:rPr>
          <w:rFonts w:hint="eastAsia" w:ascii="宋体" w:hAnsi="宋体" w:eastAsia="宋体" w:cs="宋体"/>
          <w:color w:val="auto"/>
          <w:sz w:val="32"/>
          <w:szCs w:val="32"/>
          <w:highlight w:val="none"/>
        </w:rPr>
        <w:t>项目</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自主</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的征求意见公示</w:t>
      </w:r>
      <w:bookmarkEnd w:id="5"/>
      <w:bookmarkEnd w:id="6"/>
    </w:p>
    <w:p>
      <w:pPr>
        <w:pStyle w:val="10"/>
        <w:spacing w:line="360" w:lineRule="auto"/>
        <w:ind w:firstLine="0" w:firstLineChars="0"/>
        <w:rPr>
          <w:rFonts w:hint="eastAsia" w:ascii="宋体" w:hAnsi="宋体" w:eastAsia="宋体" w:cs="宋体"/>
          <w:color w:val="auto"/>
          <w:highlight w:val="none"/>
        </w:rPr>
      </w:pPr>
    </w:p>
    <w:p>
      <w:pPr>
        <w:widowControl/>
        <w:spacing w:line="360" w:lineRule="auto"/>
        <w:ind w:left="60" w:right="60" w:firstLine="435"/>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温州市智信招标代理有限公司就</w:t>
      </w:r>
      <w:r>
        <w:rPr>
          <w:rFonts w:hint="eastAsia" w:ascii="宋体" w:hAnsi="宋体" w:eastAsia="宋体" w:cs="宋体"/>
          <w:color w:val="auto"/>
          <w:kern w:val="0"/>
          <w:sz w:val="22"/>
          <w:szCs w:val="22"/>
          <w:highlight w:val="none"/>
          <w:lang w:eastAsia="zh-CN"/>
        </w:rPr>
        <w:t>温州交运集团城西公交有限公司</w:t>
      </w:r>
      <w:r>
        <w:rPr>
          <w:rFonts w:hint="eastAsia" w:ascii="宋体" w:hAnsi="宋体" w:eastAsia="宋体" w:cs="宋体"/>
          <w:color w:val="auto"/>
          <w:sz w:val="22"/>
          <w:szCs w:val="22"/>
          <w:highlight w:val="none"/>
          <w:lang w:val="en-US" w:eastAsia="zh-CN"/>
        </w:rPr>
        <w:t>4 辆新能源冷藏车（纯电）</w:t>
      </w:r>
      <w:r>
        <w:rPr>
          <w:rFonts w:hint="eastAsia" w:ascii="宋体" w:hAnsi="宋体" w:eastAsia="宋体" w:cs="宋体"/>
          <w:color w:val="auto"/>
          <w:kern w:val="0"/>
          <w:sz w:val="22"/>
          <w:szCs w:val="22"/>
          <w:highlight w:val="none"/>
        </w:rPr>
        <w:t>项目以公开招标方式进行国有企业采购。现将采购文件公布如下,并公开征求供应商及专家意见。</w:t>
      </w:r>
    </w:p>
    <w:p>
      <w:pPr>
        <w:widowControl/>
        <w:spacing w:line="360" w:lineRule="auto"/>
        <w:ind w:left="60" w:right="60" w:firstLine="435"/>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一、征求意见范围：</w:t>
      </w:r>
    </w:p>
    <w:p>
      <w:pPr>
        <w:widowControl/>
        <w:spacing w:line="360" w:lineRule="auto"/>
        <w:ind w:left="60" w:right="60" w:firstLine="435"/>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1.是否出现明显的倾向性意见和特定的性能指标；</w:t>
      </w:r>
    </w:p>
    <w:p>
      <w:pPr>
        <w:widowControl/>
        <w:spacing w:line="360" w:lineRule="auto"/>
        <w:ind w:left="60" w:right="60" w:firstLine="435"/>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2.供应商资格条件是否具有明显倾向性和歧视性；</w:t>
      </w:r>
    </w:p>
    <w:p>
      <w:pPr>
        <w:widowControl/>
        <w:spacing w:line="360" w:lineRule="auto"/>
        <w:ind w:left="60" w:right="60" w:firstLine="435"/>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3.影响国有企业采购“公开、公平、公正”原则的其他情况。 </w:t>
      </w:r>
    </w:p>
    <w:p>
      <w:pPr>
        <w:widowControl/>
        <w:spacing w:line="360" w:lineRule="auto"/>
        <w:ind w:left="60" w:right="60" w:firstLine="435"/>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二、征求意见的回复：</w:t>
      </w:r>
    </w:p>
    <w:p>
      <w:pPr>
        <w:widowControl/>
        <w:spacing w:line="360" w:lineRule="auto"/>
        <w:ind w:left="60" w:right="60" w:firstLine="435"/>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各供应商及专家提出修改理由和建议的，请于202</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lang w:val="en-US" w:eastAsia="zh-CN"/>
        </w:rPr>
        <w:t>11</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lang w:val="en-US" w:eastAsia="zh-CN"/>
        </w:rPr>
        <w:t>02</w:t>
      </w:r>
      <w:r>
        <w:rPr>
          <w:rFonts w:hint="eastAsia" w:ascii="宋体" w:hAnsi="宋体" w:eastAsia="宋体" w:cs="宋体"/>
          <w:color w:val="auto"/>
          <w:kern w:val="0"/>
          <w:sz w:val="22"/>
          <w:szCs w:val="22"/>
          <w:highlight w:val="none"/>
        </w:rPr>
        <w:t>日下午17:00前（节假日除外）将书面材料签字（盖章）并密封后送至</w:t>
      </w:r>
      <w:r>
        <w:rPr>
          <w:rFonts w:hint="eastAsia" w:ascii="宋体" w:hAnsi="宋体" w:eastAsia="宋体" w:cs="宋体"/>
          <w:color w:val="auto"/>
          <w:kern w:val="0"/>
          <w:sz w:val="22"/>
          <w:szCs w:val="22"/>
          <w:highlight w:val="none"/>
          <w:lang w:eastAsia="zh-CN"/>
        </w:rPr>
        <w:t>温州市瓯海区新桥街道高昂路1号牛山广场2号楼1409室</w:t>
      </w:r>
      <w:r>
        <w:rPr>
          <w:rFonts w:hint="eastAsia" w:ascii="宋体" w:hAnsi="宋体" w:eastAsia="宋体" w:cs="宋体"/>
          <w:color w:val="auto"/>
          <w:kern w:val="0"/>
          <w:sz w:val="22"/>
          <w:szCs w:val="22"/>
          <w:highlight w:val="none"/>
        </w:rPr>
        <w:t>，外地可传真送达，传真：0577-88270122，传真件必须签字（盖章）。同时将电子文档发送至以下信箱：43759625@qq.com 。</w:t>
      </w:r>
    </w:p>
    <w:p>
      <w:pPr>
        <w:widowControl/>
        <w:spacing w:line="360" w:lineRule="auto"/>
        <w:ind w:left="60" w:right="60" w:firstLine="435"/>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联系人：熊先生 联系电话：13676780329。对逾期送达的意见、建议书恕不接受。</w:t>
      </w:r>
    </w:p>
    <w:p>
      <w:pPr>
        <w:widowControl/>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rPr>
        <w:t> </w:t>
      </w:r>
    </w:p>
    <w:p>
      <w:pPr>
        <w:widowControl/>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rPr>
        <w:t> </w:t>
      </w:r>
    </w:p>
    <w:p>
      <w:pPr>
        <w:widowControl/>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rPr>
        <w:t> </w:t>
      </w:r>
    </w:p>
    <w:p>
      <w:pPr>
        <w:widowControl/>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rPr>
        <w:t> </w:t>
      </w:r>
    </w:p>
    <w:p>
      <w:pPr>
        <w:widowControl/>
        <w:spacing w:line="360" w:lineRule="auto"/>
        <w:jc w:val="right"/>
        <w:rPr>
          <w:rFonts w:hint="eastAsia" w:ascii="宋体" w:hAnsi="宋体" w:eastAsia="宋体" w:cs="宋体"/>
          <w:color w:val="auto"/>
          <w:szCs w:val="21"/>
          <w:highlight w:val="none"/>
          <w:lang w:eastAsia="zh-CN"/>
        </w:rPr>
      </w:pPr>
      <w:r>
        <w:rPr>
          <w:rFonts w:hint="eastAsia" w:ascii="宋体" w:hAnsi="宋体" w:eastAsia="宋体" w:cs="宋体"/>
          <w:color w:val="auto"/>
          <w:kern w:val="0"/>
          <w:sz w:val="22"/>
          <w:szCs w:val="22"/>
          <w:highlight w:val="none"/>
          <w:lang w:eastAsia="zh-CN"/>
        </w:rPr>
        <w:t>温州交运集团城西公交有限公司</w:t>
      </w:r>
    </w:p>
    <w:p>
      <w:pPr>
        <w:widowControl/>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rPr>
        <w:t>温州市智信招标代理有限公司</w:t>
      </w:r>
    </w:p>
    <w:p>
      <w:pPr>
        <w:widowControl/>
        <w:spacing w:before="60" w:after="60" w:line="360" w:lineRule="auto"/>
        <w:ind w:right="60"/>
        <w:jc w:val="right"/>
        <w:rPr>
          <w:rFonts w:hint="eastAsia" w:ascii="宋体" w:hAnsi="宋体" w:eastAsia="宋体" w:cs="宋体"/>
          <w:color w:val="auto"/>
          <w:highlight w:val="none"/>
          <w:lang w:eastAsia="zh-CN"/>
        </w:rPr>
      </w:pPr>
      <w:r>
        <w:rPr>
          <w:rFonts w:hint="eastAsia" w:ascii="宋体" w:hAnsi="宋体" w:eastAsia="宋体" w:cs="宋体"/>
          <w:color w:val="auto"/>
          <w:kern w:val="0"/>
          <w:sz w:val="22"/>
          <w:szCs w:val="22"/>
          <w:highlight w:val="none"/>
          <w:lang w:eastAsia="zh-CN"/>
        </w:rPr>
        <w:t>2022年</w:t>
      </w:r>
      <w:r>
        <w:rPr>
          <w:rFonts w:hint="eastAsia" w:ascii="宋体" w:hAnsi="宋体" w:eastAsia="宋体" w:cs="宋体"/>
          <w:color w:val="auto"/>
          <w:kern w:val="0"/>
          <w:sz w:val="22"/>
          <w:szCs w:val="22"/>
          <w:highlight w:val="none"/>
          <w:lang w:val="en-US" w:eastAsia="zh-CN"/>
        </w:rPr>
        <w:t>10</w:t>
      </w:r>
      <w:r>
        <w:rPr>
          <w:rFonts w:hint="eastAsia" w:ascii="宋体" w:hAnsi="宋体" w:eastAsia="宋体" w:cs="宋体"/>
          <w:color w:val="auto"/>
          <w:kern w:val="0"/>
          <w:sz w:val="22"/>
          <w:szCs w:val="22"/>
          <w:highlight w:val="none"/>
          <w:lang w:eastAsia="zh-CN"/>
        </w:rPr>
        <w:t>月</w:t>
      </w:r>
      <w:r>
        <w:rPr>
          <w:rFonts w:hint="eastAsia" w:ascii="宋体" w:hAnsi="宋体" w:eastAsia="宋体" w:cs="宋体"/>
          <w:color w:val="auto"/>
          <w:kern w:val="0"/>
          <w:sz w:val="22"/>
          <w:szCs w:val="22"/>
          <w:highlight w:val="none"/>
          <w:lang w:val="en-US" w:eastAsia="zh-CN"/>
        </w:rPr>
        <w:t>28</w:t>
      </w:r>
      <w:r>
        <w:rPr>
          <w:rFonts w:hint="eastAsia" w:ascii="宋体" w:hAnsi="宋体" w:eastAsia="宋体" w:cs="宋体"/>
          <w:color w:val="auto"/>
          <w:kern w:val="0"/>
          <w:sz w:val="22"/>
          <w:szCs w:val="22"/>
          <w:highlight w:val="none"/>
          <w:lang w:eastAsia="zh-CN"/>
        </w:rPr>
        <w:t>日</w:t>
      </w:r>
    </w:p>
    <w:p>
      <w:pPr>
        <w:widowControl/>
        <w:spacing w:line="360" w:lineRule="auto"/>
        <w:jc w:val="right"/>
        <w:rPr>
          <w:rFonts w:hint="eastAsia" w:ascii="宋体" w:hAnsi="宋体" w:eastAsia="宋体" w:cs="宋体"/>
          <w:color w:val="auto"/>
          <w:szCs w:val="21"/>
          <w:highlight w:val="none"/>
        </w:rPr>
      </w:pPr>
    </w:p>
    <w:p>
      <w:pPr>
        <w:widowControl/>
        <w:spacing w:line="360" w:lineRule="auto"/>
        <w:jc w:val="right"/>
        <w:rPr>
          <w:rFonts w:hint="eastAsia" w:ascii="宋体" w:hAnsi="宋体" w:eastAsia="宋体" w:cs="宋体"/>
          <w:color w:val="auto"/>
          <w:szCs w:val="21"/>
          <w:highlight w:val="none"/>
        </w:rPr>
      </w:pPr>
    </w:p>
    <w:p>
      <w:pPr>
        <w:widowControl/>
        <w:spacing w:line="360" w:lineRule="auto"/>
        <w:jc w:val="right"/>
        <w:rPr>
          <w:rFonts w:hint="eastAsia" w:ascii="宋体" w:hAnsi="宋体" w:eastAsia="宋体" w:cs="宋体"/>
          <w:color w:val="auto"/>
          <w:szCs w:val="21"/>
          <w:highlight w:val="none"/>
        </w:rPr>
      </w:pPr>
    </w:p>
    <w:p>
      <w:pPr>
        <w:widowControl/>
        <w:spacing w:line="360" w:lineRule="auto"/>
        <w:jc w:val="right"/>
        <w:rPr>
          <w:rFonts w:hint="eastAsia" w:ascii="宋体" w:hAnsi="宋体" w:eastAsia="宋体" w:cs="宋体"/>
          <w:color w:val="auto"/>
          <w:szCs w:val="21"/>
          <w:highlight w:val="none"/>
        </w:rPr>
      </w:pPr>
    </w:p>
    <w:p>
      <w:pPr>
        <w:widowControl/>
        <w:spacing w:line="360" w:lineRule="auto"/>
        <w:jc w:val="right"/>
        <w:rPr>
          <w:rFonts w:hint="eastAsia" w:ascii="宋体" w:hAnsi="宋体" w:eastAsia="宋体" w:cs="宋体"/>
          <w:color w:val="auto"/>
          <w:szCs w:val="21"/>
          <w:highlight w:val="none"/>
        </w:rPr>
      </w:pPr>
    </w:p>
    <w:p>
      <w:pPr>
        <w:widowControl/>
        <w:spacing w:line="360" w:lineRule="auto"/>
        <w:jc w:val="right"/>
        <w:rPr>
          <w:rFonts w:hint="eastAsia" w:ascii="宋体" w:hAnsi="宋体" w:eastAsia="宋体" w:cs="宋体"/>
          <w:color w:val="auto"/>
          <w:szCs w:val="21"/>
          <w:highlight w:val="none"/>
        </w:rPr>
      </w:pPr>
    </w:p>
    <w:p>
      <w:pPr>
        <w:widowControl/>
        <w:spacing w:line="360" w:lineRule="auto"/>
        <w:jc w:val="right"/>
        <w:rPr>
          <w:rFonts w:hint="eastAsia" w:ascii="宋体" w:hAnsi="宋体" w:eastAsia="宋体" w:cs="宋体"/>
          <w:color w:val="auto"/>
          <w:szCs w:val="21"/>
          <w:highlight w:val="none"/>
        </w:rPr>
      </w:pPr>
    </w:p>
    <w:p>
      <w:pPr>
        <w:widowControl/>
        <w:spacing w:line="360" w:lineRule="auto"/>
        <w:jc w:val="right"/>
        <w:rPr>
          <w:rFonts w:hint="eastAsia" w:ascii="宋体" w:hAnsi="宋体" w:eastAsia="宋体" w:cs="宋体"/>
          <w:color w:val="auto"/>
          <w:szCs w:val="21"/>
          <w:highlight w:val="none"/>
        </w:rPr>
      </w:pPr>
    </w:p>
    <w:p>
      <w:pPr>
        <w:widowControl/>
        <w:spacing w:line="360" w:lineRule="auto"/>
        <w:jc w:val="right"/>
        <w:rPr>
          <w:rFonts w:hint="eastAsia" w:ascii="宋体" w:hAnsi="宋体" w:eastAsia="宋体" w:cs="宋体"/>
          <w:color w:val="auto"/>
          <w:szCs w:val="21"/>
          <w:highlight w:val="none"/>
        </w:rPr>
      </w:pPr>
    </w:p>
    <w:p>
      <w:pPr>
        <w:widowControl/>
        <w:spacing w:line="360" w:lineRule="auto"/>
        <w:jc w:val="right"/>
        <w:rPr>
          <w:rFonts w:hint="eastAsia" w:ascii="宋体" w:hAnsi="宋体" w:eastAsia="宋体" w:cs="宋体"/>
          <w:color w:val="auto"/>
          <w:szCs w:val="21"/>
          <w:highlight w:val="none"/>
        </w:rPr>
      </w:pPr>
    </w:p>
    <w:p>
      <w:pPr>
        <w:rPr>
          <w:rFonts w:hint="eastAsia" w:ascii="宋体" w:hAnsi="宋体" w:eastAsia="宋体" w:cs="宋体"/>
          <w:color w:val="auto"/>
          <w:highlight w:val="none"/>
        </w:rPr>
      </w:pPr>
    </w:p>
    <w:p>
      <w:pPr>
        <w:pStyle w:val="10"/>
        <w:ind w:firstLine="200"/>
        <w:rPr>
          <w:rFonts w:hint="eastAsia" w:ascii="宋体" w:hAnsi="宋体" w:eastAsia="宋体" w:cs="宋体"/>
          <w:color w:val="auto"/>
          <w:highlight w:val="none"/>
        </w:rPr>
      </w:pPr>
    </w:p>
    <w:p>
      <w:pPr>
        <w:pStyle w:val="3"/>
        <w:rPr>
          <w:rFonts w:hint="eastAsia" w:ascii="宋体" w:hAnsi="宋体" w:eastAsia="宋体" w:cs="宋体"/>
          <w:color w:val="auto"/>
          <w:sz w:val="36"/>
          <w:szCs w:val="36"/>
          <w:highlight w:val="none"/>
        </w:rPr>
      </w:pPr>
      <w:bookmarkStart w:id="7" w:name="_Toc71374669"/>
      <w:bookmarkStart w:id="8" w:name="_Toc16425"/>
      <w:r>
        <w:rPr>
          <w:rFonts w:hint="eastAsia" w:ascii="宋体" w:hAnsi="宋体" w:eastAsia="宋体" w:cs="宋体"/>
          <w:color w:val="auto"/>
          <w:sz w:val="36"/>
          <w:szCs w:val="36"/>
          <w:highlight w:val="none"/>
        </w:rPr>
        <w:t>投标人须知前附表</w:t>
      </w:r>
      <w:bookmarkEnd w:id="7"/>
      <w:bookmarkEnd w:id="8"/>
    </w:p>
    <w:tbl>
      <w:tblPr>
        <w:tblStyle w:val="18"/>
        <w:tblW w:w="0" w:type="auto"/>
        <w:tblInd w:w="0" w:type="dxa"/>
        <w:tblLayout w:type="fixed"/>
        <w:tblCellMar>
          <w:top w:w="0" w:type="dxa"/>
          <w:left w:w="108" w:type="dxa"/>
          <w:bottom w:w="0" w:type="dxa"/>
          <w:right w:w="108" w:type="dxa"/>
        </w:tblCellMar>
      </w:tblPr>
      <w:tblGrid>
        <w:gridCol w:w="1048"/>
        <w:gridCol w:w="1687"/>
        <w:gridCol w:w="7119"/>
      </w:tblGrid>
      <w:tr>
        <w:tblPrEx>
          <w:tblCellMar>
            <w:top w:w="0" w:type="dxa"/>
            <w:left w:w="108" w:type="dxa"/>
            <w:bottom w:w="0" w:type="dxa"/>
            <w:right w:w="108" w:type="dxa"/>
          </w:tblCellMar>
        </w:tblPrEx>
        <w:trPr>
          <w:trHeight w:val="669" w:hRule="atLeast"/>
          <w:tblHeader/>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序号</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条款名称</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编列内容</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w:t>
            </w:r>
            <w:r>
              <w:rPr>
                <w:rFonts w:hint="eastAsia" w:ascii="宋体" w:hAnsi="宋体" w:eastAsia="宋体" w:cs="宋体"/>
                <w:color w:val="auto"/>
                <w:kern w:val="0"/>
                <w:sz w:val="22"/>
                <w:szCs w:val="22"/>
                <w:highlight w:val="none"/>
                <w:lang w:eastAsia="zh-CN"/>
              </w:rPr>
              <w:t>温州交运集团城西公交有限公司</w:t>
            </w:r>
          </w:p>
          <w:p>
            <w:pP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地址：温州市鹿城区南郊街道牛山北路405号</w:t>
            </w:r>
          </w:p>
          <w:p>
            <w:pP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联系人：</w:t>
            </w:r>
            <w:r>
              <w:rPr>
                <w:rFonts w:hint="eastAsia" w:ascii="宋体" w:hAnsi="宋体" w:eastAsia="宋体" w:cs="宋体"/>
                <w:color w:val="auto"/>
                <w:kern w:val="0"/>
                <w:sz w:val="22"/>
                <w:szCs w:val="22"/>
                <w:highlight w:val="none"/>
                <w:lang w:val="en-US" w:eastAsia="zh-CN"/>
              </w:rPr>
              <w:t>陈先生</w:t>
            </w:r>
          </w:p>
          <w:p>
            <w:pP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联系电话：13356175991</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采购代理机构</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代理机构名称：温州市智信招标代理有限公司</w:t>
            </w:r>
          </w:p>
          <w:p>
            <w:pP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代理机构地址：</w:t>
            </w:r>
            <w:r>
              <w:rPr>
                <w:rFonts w:hint="eastAsia" w:ascii="宋体" w:hAnsi="宋体" w:eastAsia="宋体" w:cs="宋体"/>
                <w:color w:val="auto"/>
                <w:kern w:val="0"/>
                <w:sz w:val="22"/>
                <w:szCs w:val="22"/>
                <w:highlight w:val="none"/>
                <w:lang w:eastAsia="zh-CN"/>
              </w:rPr>
              <w:t>温州市瓯海区新桥街道高昂路1号牛山广场2号楼1409室</w:t>
            </w:r>
          </w:p>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联系人：苏先生/叶先生</w:t>
            </w:r>
          </w:p>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 13626506308/13958779970</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项目名称:</w:t>
            </w:r>
            <w:r>
              <w:rPr>
                <w:rFonts w:hint="eastAsia" w:ascii="宋体" w:hAnsi="宋体" w:eastAsia="宋体" w:cs="宋体"/>
                <w:color w:val="auto"/>
                <w:sz w:val="22"/>
                <w:szCs w:val="22"/>
                <w:highlight w:val="none"/>
                <w:lang w:val="en-US" w:eastAsia="zh-CN"/>
              </w:rPr>
              <w:t>4 辆新能源冷藏车（纯电）</w:t>
            </w:r>
          </w:p>
          <w:p>
            <w:pP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lang w:eastAsia="zh-CN"/>
              </w:rPr>
              <w:t>WGSS-JYJT-Z-2022045</w:t>
            </w:r>
          </w:p>
        </w:tc>
      </w:tr>
      <w:tr>
        <w:tblPrEx>
          <w:tblCellMar>
            <w:top w:w="0" w:type="dxa"/>
            <w:left w:w="108" w:type="dxa"/>
            <w:bottom w:w="0" w:type="dxa"/>
            <w:right w:w="108" w:type="dxa"/>
          </w:tblCellMar>
        </w:tblPrEx>
        <w:trPr>
          <w:trHeight w:val="82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采购内容</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 辆新能源冷藏车（纯电）的供货及售后服务</w:t>
            </w:r>
            <w:r>
              <w:rPr>
                <w:rFonts w:hint="eastAsia" w:ascii="宋体" w:hAnsi="宋体" w:eastAsia="宋体" w:cs="宋体"/>
                <w:color w:val="auto"/>
                <w:kern w:val="0"/>
                <w:sz w:val="22"/>
                <w:szCs w:val="22"/>
                <w:highlight w:val="none"/>
              </w:rPr>
              <w:t>，具体采购内容及详细技术要求见采购文件相关部分。</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项目交付时间</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u w:val="none"/>
                <w:lang w:eastAsia="zh-CN"/>
              </w:rPr>
              <w:t>合同签订后30日历天内完成供货并通过采购人验收</w:t>
            </w:r>
            <w:r>
              <w:rPr>
                <w:rFonts w:hint="eastAsia" w:ascii="宋体" w:hAnsi="宋体" w:eastAsia="宋体" w:cs="宋体"/>
                <w:b/>
                <w:bCs/>
                <w:color w:val="auto"/>
                <w:kern w:val="0"/>
                <w:sz w:val="22"/>
                <w:szCs w:val="22"/>
                <w:highlight w:val="none"/>
                <w:u w:val="none"/>
              </w:rPr>
              <w:t>。</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投标人资格</w:t>
            </w:r>
          </w:p>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要求</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1、符合《温州市市属国有企业采购管理办法（试行）》第十五条对供应商参加温州市国有企业采购活动应当具备的条件的要求；</w:t>
            </w:r>
          </w:p>
          <w:p>
            <w:pP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2、投标人须是具有独立法人资格的投标</w:t>
            </w:r>
            <w:r>
              <w:rPr>
                <w:rFonts w:hint="eastAsia" w:ascii="宋体" w:hAnsi="宋体" w:eastAsia="宋体" w:cs="宋体"/>
                <w:color w:val="auto"/>
                <w:kern w:val="0"/>
                <w:sz w:val="22"/>
                <w:szCs w:val="22"/>
                <w:highlight w:val="none"/>
                <w:lang w:val="en-US" w:eastAsia="zh-CN"/>
              </w:rPr>
              <w:t>产品</w:t>
            </w:r>
            <w:r>
              <w:rPr>
                <w:rFonts w:hint="eastAsia" w:ascii="宋体" w:hAnsi="宋体" w:eastAsia="宋体" w:cs="宋体"/>
                <w:color w:val="auto"/>
                <w:kern w:val="0"/>
                <w:sz w:val="22"/>
                <w:szCs w:val="22"/>
                <w:highlight w:val="none"/>
                <w:lang w:eastAsia="zh-CN"/>
              </w:rPr>
              <w:t>的制造商或经销商（若为经销商须提供制造商销售授权书）；</w:t>
            </w:r>
          </w:p>
          <w:p>
            <w:pP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3、投标人未被列入“信用中国”网(</w:t>
            </w:r>
            <w:r>
              <w:rPr>
                <w:rFonts w:hint="eastAsia" w:ascii="宋体" w:hAnsi="宋体" w:eastAsia="宋体" w:cs="宋体"/>
                <w:color w:val="auto"/>
                <w:kern w:val="0"/>
                <w:sz w:val="22"/>
                <w:szCs w:val="22"/>
                <w:highlight w:val="none"/>
                <w:lang w:eastAsia="zh-CN"/>
              </w:rPr>
              <w:fldChar w:fldCharType="begin"/>
            </w:r>
            <w:r>
              <w:rPr>
                <w:rFonts w:hint="eastAsia" w:ascii="宋体" w:hAnsi="宋体" w:eastAsia="宋体" w:cs="宋体"/>
                <w:color w:val="auto"/>
                <w:kern w:val="0"/>
                <w:sz w:val="22"/>
                <w:szCs w:val="22"/>
                <w:highlight w:val="none"/>
                <w:lang w:eastAsia="zh-CN"/>
              </w:rPr>
              <w:instrText xml:space="preserve"> HYPERLINK "http://www.creditchina.gov.cn" </w:instrText>
            </w:r>
            <w:r>
              <w:rPr>
                <w:rFonts w:hint="eastAsia" w:ascii="宋体" w:hAnsi="宋体" w:eastAsia="宋体" w:cs="宋体"/>
                <w:color w:val="auto"/>
                <w:kern w:val="0"/>
                <w:sz w:val="22"/>
                <w:szCs w:val="22"/>
                <w:highlight w:val="none"/>
                <w:lang w:eastAsia="zh-CN"/>
              </w:rPr>
              <w:fldChar w:fldCharType="separate"/>
            </w:r>
            <w:r>
              <w:rPr>
                <w:rFonts w:hint="eastAsia" w:ascii="宋体" w:hAnsi="宋体" w:eastAsia="宋体" w:cs="宋体"/>
                <w:color w:val="auto"/>
                <w:kern w:val="0"/>
                <w:sz w:val="22"/>
                <w:szCs w:val="22"/>
                <w:highlight w:val="none"/>
                <w:lang w:eastAsia="zh-CN"/>
              </w:rPr>
              <w:t>www.creditchina.gov.cn</w:t>
            </w:r>
            <w:r>
              <w:rPr>
                <w:rFonts w:hint="eastAsia" w:ascii="宋体" w:hAnsi="宋体" w:eastAsia="宋体" w:cs="宋体"/>
                <w:color w:val="auto"/>
                <w:kern w:val="0"/>
                <w:sz w:val="22"/>
                <w:szCs w:val="22"/>
                <w:highlight w:val="none"/>
                <w:lang w:eastAsia="zh-CN"/>
              </w:rPr>
              <w:fldChar w:fldCharType="end"/>
            </w:r>
            <w:r>
              <w:rPr>
                <w:rFonts w:hint="eastAsia" w:ascii="宋体" w:hAnsi="宋体" w:eastAsia="宋体" w:cs="宋体"/>
                <w:color w:val="auto"/>
                <w:kern w:val="0"/>
                <w:sz w:val="22"/>
                <w:szCs w:val="22"/>
                <w:highlight w:val="none"/>
                <w:lang w:eastAsia="zh-CN"/>
              </w:rPr>
              <w:t>)、中国政府采购网（http://www.ccgp.gov.cn/）失信被执行人、重大税收违法案件当事人名单、政府采购严重违法失信行为记录名单且尚处于禁止参加采购活动期内；</w:t>
            </w:r>
          </w:p>
          <w:p>
            <w:pP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4、单位负责人为同一人或者存在直接控股、管理关系的不同供应商，不得参加同一合同项下的国企采购活动；</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是否接受联合体投标</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不接受</w:t>
            </w:r>
          </w:p>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b/>
                <w:color w:val="auto"/>
                <w:kern w:val="0"/>
                <w:sz w:val="22"/>
                <w:szCs w:val="22"/>
                <w:highlight w:val="none"/>
              </w:rPr>
              <w:t>接受，应满足下列要求</w:t>
            </w:r>
            <w:r>
              <w:rPr>
                <w:rFonts w:hint="eastAsia" w:ascii="宋体" w:hAnsi="宋体" w:eastAsia="宋体" w:cs="宋体"/>
                <w:color w:val="auto"/>
                <w:kern w:val="0"/>
                <w:sz w:val="22"/>
                <w:szCs w:val="22"/>
                <w:highlight w:val="none"/>
              </w:rPr>
              <w:t>：</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踏勘现场</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w:t>
            </w:r>
          </w:p>
          <w:p>
            <w:pPr>
              <w:rPr>
                <w:rFonts w:hint="eastAsia" w:ascii="宋体" w:hAnsi="宋体" w:eastAsia="宋体" w:cs="宋体"/>
                <w:color w:val="auto"/>
                <w:kern w:val="0"/>
                <w:sz w:val="22"/>
                <w:szCs w:val="22"/>
                <w:highlight w:val="none"/>
              </w:rPr>
            </w:pPr>
            <w:r>
              <w:rPr>
                <w:rFonts w:hint="eastAsia" w:ascii="宋体" w:hAnsi="宋体" w:eastAsia="宋体" w:cs="宋体"/>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不组织。</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投标预备会</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□召开</w:t>
            </w:r>
          </w:p>
          <w:p>
            <w:pPr>
              <w:rPr>
                <w:rFonts w:hint="eastAsia" w:ascii="宋体" w:hAnsi="宋体" w:eastAsia="宋体" w:cs="宋体"/>
                <w:color w:val="auto"/>
                <w:kern w:val="0"/>
                <w:sz w:val="22"/>
                <w:szCs w:val="22"/>
                <w:highlight w:val="none"/>
              </w:rPr>
            </w:pPr>
            <w:r>
              <w:rPr>
                <w:rFonts w:hint="eastAsia" w:ascii="宋体" w:hAnsi="宋体" w:eastAsia="宋体" w:cs="宋体"/>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不召开</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投标截止时间</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2022年</w:t>
            </w:r>
            <w:r>
              <w:rPr>
                <w:rFonts w:hint="eastAsia" w:ascii="宋体" w:hAnsi="宋体" w:eastAsia="宋体" w:cs="宋体"/>
                <w:color w:val="auto"/>
                <w:kern w:val="0"/>
                <w:sz w:val="22"/>
                <w:szCs w:val="22"/>
                <w:highlight w:val="none"/>
                <w:lang w:val="en-US" w:eastAsia="zh-CN"/>
              </w:rPr>
              <w:t>11</w:t>
            </w:r>
            <w:r>
              <w:rPr>
                <w:rFonts w:hint="eastAsia" w:ascii="宋体" w:hAnsi="宋体" w:eastAsia="宋体" w:cs="宋体"/>
                <w:color w:val="auto"/>
                <w:kern w:val="0"/>
                <w:sz w:val="22"/>
                <w:szCs w:val="22"/>
                <w:highlight w:val="none"/>
                <w:lang w:eastAsia="zh-CN"/>
              </w:rPr>
              <w:t>月</w:t>
            </w:r>
            <w:r>
              <w:rPr>
                <w:rFonts w:hint="eastAsia" w:ascii="宋体" w:hAnsi="宋体" w:eastAsia="宋体" w:cs="宋体"/>
                <w:color w:val="auto"/>
                <w:kern w:val="0"/>
                <w:sz w:val="22"/>
                <w:szCs w:val="22"/>
                <w:highlight w:val="none"/>
                <w:lang w:val="en-US" w:eastAsia="zh-CN"/>
              </w:rPr>
              <w:t>18</w:t>
            </w:r>
            <w:r>
              <w:rPr>
                <w:rFonts w:hint="eastAsia" w:ascii="宋体" w:hAnsi="宋体" w:eastAsia="宋体" w:cs="宋体"/>
                <w:color w:val="auto"/>
                <w:kern w:val="0"/>
                <w:sz w:val="22"/>
                <w:szCs w:val="22"/>
                <w:highlight w:val="none"/>
                <w:lang w:eastAsia="zh-CN"/>
              </w:rPr>
              <w:t>日</w:t>
            </w:r>
            <w:r>
              <w:rPr>
                <w:rFonts w:hint="eastAsia" w:ascii="宋体" w:hAnsi="宋体" w:eastAsia="宋体" w:cs="宋体"/>
                <w:color w:val="auto"/>
                <w:kern w:val="0"/>
                <w:sz w:val="22"/>
                <w:szCs w:val="22"/>
                <w:highlight w:val="none"/>
                <w:lang w:val="en-US" w:eastAsia="zh-CN"/>
              </w:rPr>
              <w:t>09</w:t>
            </w:r>
            <w:r>
              <w:rPr>
                <w:rFonts w:hint="eastAsia" w:ascii="宋体" w:hAnsi="宋体" w:eastAsia="宋体" w:cs="宋体"/>
                <w:color w:val="auto"/>
                <w:kern w:val="0"/>
                <w:sz w:val="22"/>
                <w:szCs w:val="22"/>
                <w:highlight w:val="none"/>
                <w:lang w:eastAsia="zh-CN"/>
              </w:rPr>
              <w:t>时</w:t>
            </w:r>
            <w:r>
              <w:rPr>
                <w:rFonts w:hint="eastAsia" w:ascii="宋体" w:hAnsi="宋体" w:eastAsia="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lang w:eastAsia="zh-CN"/>
              </w:rPr>
              <w:t>0分整</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分包</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□允许</w:t>
            </w:r>
          </w:p>
          <w:p>
            <w:pPr>
              <w:rPr>
                <w:rFonts w:hint="eastAsia" w:ascii="宋体" w:hAnsi="宋体" w:eastAsia="宋体" w:cs="宋体"/>
                <w:color w:val="auto"/>
                <w:kern w:val="0"/>
                <w:sz w:val="22"/>
                <w:szCs w:val="22"/>
                <w:highlight w:val="none"/>
              </w:rPr>
            </w:pPr>
            <w:r>
              <w:rPr>
                <w:rFonts w:hint="eastAsia" w:ascii="宋体" w:hAnsi="宋体" w:eastAsia="宋体" w:cs="宋体"/>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不允许</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偏离</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投标有效期</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投标文件自投标截止时间起生效，有效期90</w:t>
            </w:r>
            <w:r>
              <w:rPr>
                <w:rFonts w:hint="eastAsia" w:ascii="宋体" w:hAnsi="宋体" w:eastAsia="宋体" w:cs="宋体"/>
                <w:color w:val="auto"/>
                <w:kern w:val="0"/>
                <w:sz w:val="22"/>
                <w:szCs w:val="22"/>
                <w:highlight w:val="none"/>
                <w:lang w:val="en-US" w:eastAsia="zh-CN"/>
              </w:rPr>
              <w:t>日历</w:t>
            </w:r>
            <w:r>
              <w:rPr>
                <w:rFonts w:hint="eastAsia" w:ascii="宋体" w:hAnsi="宋体" w:eastAsia="宋体" w:cs="宋体"/>
                <w:color w:val="auto"/>
                <w:kern w:val="0"/>
                <w:sz w:val="22"/>
                <w:szCs w:val="22"/>
                <w:highlight w:val="none"/>
              </w:rPr>
              <w:t>天。</w:t>
            </w:r>
          </w:p>
        </w:tc>
      </w:tr>
      <w:tr>
        <w:tblPrEx>
          <w:tblCellMar>
            <w:top w:w="0" w:type="dxa"/>
            <w:left w:w="108" w:type="dxa"/>
            <w:bottom w:w="0" w:type="dxa"/>
            <w:right w:w="108" w:type="dxa"/>
          </w:tblCellMar>
        </w:tblPrEx>
        <w:trPr>
          <w:trHeight w:val="421"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投标保证金</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投标保证金：人民币</w:t>
            </w:r>
            <w:r>
              <w:rPr>
                <w:rFonts w:hint="eastAsia" w:ascii="宋体" w:hAnsi="宋体" w:eastAsia="宋体" w:cs="宋体"/>
                <w:color w:val="auto"/>
                <w:kern w:val="0"/>
                <w:sz w:val="22"/>
                <w:szCs w:val="22"/>
                <w:highlight w:val="none"/>
                <w:lang w:val="en-US" w:eastAsia="zh-CN"/>
              </w:rPr>
              <w:t>玖仟贰佰</w:t>
            </w:r>
            <w:r>
              <w:rPr>
                <w:rFonts w:hint="eastAsia" w:ascii="宋体" w:hAnsi="宋体" w:eastAsia="宋体" w:cs="宋体"/>
                <w:color w:val="auto"/>
                <w:kern w:val="0"/>
                <w:sz w:val="22"/>
                <w:szCs w:val="22"/>
                <w:highlight w:val="none"/>
              </w:rPr>
              <w:t>元（¥</w:t>
            </w:r>
            <w:r>
              <w:rPr>
                <w:rFonts w:hint="eastAsia" w:ascii="宋体" w:hAnsi="宋体" w:eastAsia="宋体" w:cs="宋体"/>
                <w:color w:val="auto"/>
                <w:kern w:val="0"/>
                <w:sz w:val="22"/>
                <w:szCs w:val="22"/>
                <w:highlight w:val="none"/>
                <w:lang w:val="en-US" w:eastAsia="zh-CN"/>
              </w:rPr>
              <w:t>92</w:t>
            </w:r>
            <w:r>
              <w:rPr>
                <w:rFonts w:hint="eastAsia" w:ascii="宋体" w:hAnsi="宋体" w:eastAsia="宋体" w:cs="宋体"/>
                <w:color w:val="auto"/>
                <w:kern w:val="0"/>
                <w:sz w:val="22"/>
                <w:szCs w:val="22"/>
                <w:highlight w:val="none"/>
              </w:rPr>
              <w:t>00元）整；</w:t>
            </w:r>
          </w:p>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必须在投标截止时间前以转账方式向政采云公司提交。</w:t>
            </w:r>
          </w:p>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户名：政采云有限公司</w:t>
            </w:r>
          </w:p>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账号：190001010400276210000003640</w:t>
            </w:r>
          </w:p>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开户行：中国农业银行杭州西湖支行</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Cs w:val="21"/>
                <w:highlight w:val="none"/>
              </w:rPr>
              <w:t>投标文件装订及封装要求</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（1）资格审查资料一式5份，正本1份，副本4份；</w:t>
            </w:r>
          </w:p>
          <w:p>
            <w:pPr>
              <w:rPr>
                <w:rFonts w:hint="eastAsia" w:ascii="宋体" w:hAnsi="宋体" w:eastAsia="宋体" w:cs="宋体"/>
                <w:color w:val="auto"/>
                <w:highlight w:val="none"/>
              </w:rPr>
            </w:pPr>
            <w:r>
              <w:rPr>
                <w:rFonts w:hint="eastAsia" w:ascii="宋体" w:hAnsi="宋体" w:eastAsia="宋体" w:cs="宋体"/>
                <w:color w:val="auto"/>
                <w:highlight w:val="none"/>
              </w:rPr>
              <w:t>（2）技术资信标一式5份，正本1份，副本4份；</w:t>
            </w:r>
          </w:p>
          <w:p>
            <w:pPr>
              <w:rPr>
                <w:rFonts w:hint="eastAsia" w:ascii="宋体" w:hAnsi="宋体" w:eastAsia="宋体" w:cs="宋体"/>
                <w:color w:val="auto"/>
                <w:highlight w:val="none"/>
              </w:rPr>
            </w:pPr>
            <w:r>
              <w:rPr>
                <w:rFonts w:hint="eastAsia" w:ascii="宋体" w:hAnsi="宋体" w:eastAsia="宋体" w:cs="宋体"/>
                <w:color w:val="auto"/>
                <w:highlight w:val="none"/>
              </w:rPr>
              <w:t>（3）商务报价标一式5份，正本1份，副本4份。</w:t>
            </w:r>
          </w:p>
          <w:p>
            <w:pPr>
              <w:rPr>
                <w:rFonts w:hint="eastAsia" w:ascii="宋体" w:hAnsi="宋体" w:eastAsia="宋体" w:cs="宋体"/>
                <w:color w:val="auto"/>
                <w:highlight w:val="none"/>
              </w:rPr>
            </w:pPr>
            <w:r>
              <w:rPr>
                <w:rFonts w:hint="eastAsia" w:ascii="宋体" w:hAnsi="宋体" w:eastAsia="宋体" w:cs="宋体"/>
                <w:color w:val="auto"/>
                <w:highlight w:val="none"/>
              </w:rPr>
              <w:t>（4）投标文件“资格审查资料”、“技术资信标”、“商务报价标”密封于各自包封袋中，并加盖密封印章，并在封套的封口处加盖投标人单位章，并由法定代表人或其授权代表签字。</w:t>
            </w:r>
          </w:p>
          <w:p>
            <w:pPr>
              <w:rPr>
                <w:rFonts w:hint="eastAsia" w:ascii="宋体" w:hAnsi="宋体" w:eastAsia="宋体" w:cs="宋体"/>
                <w:color w:val="auto"/>
                <w:highlight w:val="none"/>
                <w:lang w:eastAsia="zh-CN"/>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 w:val="22"/>
                <w:szCs w:val="22"/>
                <w:highlight w:val="none"/>
              </w:rPr>
              <w:t>电子版投标文件一份：包含资格审查资料、商务报价部分、技术资信部分，电子版采用扫描方式，内容跟纸质投标文件保持一致并带有公章，闪存介质存储，不得带有密码，单独密封，随投标文件一同提交。</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szCs w:val="21"/>
                <w:highlight w:val="none"/>
              </w:rPr>
              <w:t>签字或盖章要求</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投标文件的相应位置应加盖：</w:t>
            </w:r>
          </w:p>
          <w:p>
            <w:pPr>
              <w:adjustRightInd w:val="0"/>
              <w:snapToGrid w:val="0"/>
              <w:spacing w:line="2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（1）单位公章；</w:t>
            </w:r>
          </w:p>
          <w:p>
            <w:pPr>
              <w:adjustRightInd w:val="0"/>
              <w:snapToGrid w:val="0"/>
              <w:spacing w:line="2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（2）法定代表人或其授权委托代理人签字或盖章（如为授权委托代理人签字或盖章的须提供法定代表人授权委托书）；</w:t>
            </w:r>
          </w:p>
          <w:p>
            <w:pPr>
              <w:adjustRightInd w:val="0"/>
              <w:snapToGrid w:val="0"/>
              <w:spacing w:line="260" w:lineRule="exact"/>
              <w:rPr>
                <w:rFonts w:hint="eastAsia" w:ascii="宋体" w:hAnsi="宋体" w:eastAsia="宋体" w:cs="宋体"/>
                <w:color w:val="auto"/>
                <w:kern w:val="0"/>
                <w:sz w:val="22"/>
                <w:szCs w:val="22"/>
                <w:highlight w:val="none"/>
              </w:rPr>
            </w:pPr>
            <w:r>
              <w:rPr>
                <w:rFonts w:hint="eastAsia" w:ascii="宋体" w:hAnsi="宋体" w:eastAsia="宋体" w:cs="宋体"/>
                <w:color w:val="auto"/>
                <w:szCs w:val="21"/>
                <w:highlight w:val="none"/>
              </w:rPr>
              <w:t>（3）投标人单位章不得以分公司章、投标专用章、合同专用章等其他形式印章代替，否则视为无效印章。</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递交投标</w:t>
            </w:r>
          </w:p>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文件地点</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温州市瓯海区新桥街道高昂路1号牛山广场2号楼1409室</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开标时间</w:t>
            </w:r>
          </w:p>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和地点</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开标时间：</w:t>
            </w:r>
            <w:r>
              <w:rPr>
                <w:rFonts w:hint="eastAsia" w:ascii="宋体" w:hAnsi="宋体" w:eastAsia="宋体" w:cs="宋体"/>
                <w:color w:val="auto"/>
                <w:kern w:val="0"/>
                <w:sz w:val="22"/>
                <w:szCs w:val="22"/>
                <w:highlight w:val="none"/>
                <w:lang w:eastAsia="zh-CN"/>
              </w:rPr>
              <w:t>2022年</w:t>
            </w:r>
            <w:r>
              <w:rPr>
                <w:rFonts w:hint="eastAsia" w:ascii="宋体" w:hAnsi="宋体" w:eastAsia="宋体" w:cs="宋体"/>
                <w:color w:val="auto"/>
                <w:kern w:val="0"/>
                <w:sz w:val="22"/>
                <w:szCs w:val="22"/>
                <w:highlight w:val="none"/>
                <w:lang w:val="en-US" w:eastAsia="zh-CN"/>
              </w:rPr>
              <w:t>11</w:t>
            </w:r>
            <w:r>
              <w:rPr>
                <w:rFonts w:hint="eastAsia" w:ascii="宋体" w:hAnsi="宋体" w:eastAsia="宋体" w:cs="宋体"/>
                <w:color w:val="auto"/>
                <w:kern w:val="0"/>
                <w:sz w:val="22"/>
                <w:szCs w:val="22"/>
                <w:highlight w:val="none"/>
                <w:lang w:eastAsia="zh-CN"/>
              </w:rPr>
              <w:t>月</w:t>
            </w:r>
            <w:r>
              <w:rPr>
                <w:rFonts w:hint="eastAsia" w:ascii="宋体" w:hAnsi="宋体" w:eastAsia="宋体" w:cs="宋体"/>
                <w:color w:val="auto"/>
                <w:kern w:val="0"/>
                <w:sz w:val="22"/>
                <w:szCs w:val="22"/>
                <w:highlight w:val="none"/>
                <w:lang w:val="en-US" w:eastAsia="zh-CN"/>
              </w:rPr>
              <w:t>18</w:t>
            </w:r>
            <w:r>
              <w:rPr>
                <w:rFonts w:hint="eastAsia" w:ascii="宋体" w:hAnsi="宋体" w:eastAsia="宋体" w:cs="宋体"/>
                <w:color w:val="auto"/>
                <w:kern w:val="0"/>
                <w:sz w:val="22"/>
                <w:szCs w:val="22"/>
                <w:highlight w:val="none"/>
                <w:lang w:eastAsia="zh-CN"/>
              </w:rPr>
              <w:t>日</w:t>
            </w:r>
            <w:r>
              <w:rPr>
                <w:rFonts w:hint="eastAsia" w:ascii="宋体" w:hAnsi="宋体" w:eastAsia="宋体" w:cs="宋体"/>
                <w:color w:val="auto"/>
                <w:kern w:val="0"/>
                <w:sz w:val="22"/>
                <w:szCs w:val="22"/>
                <w:highlight w:val="none"/>
                <w:lang w:val="en-US" w:eastAsia="zh-CN"/>
              </w:rPr>
              <w:t>09</w:t>
            </w:r>
            <w:r>
              <w:rPr>
                <w:rFonts w:hint="eastAsia" w:ascii="宋体" w:hAnsi="宋体" w:eastAsia="宋体" w:cs="宋体"/>
                <w:color w:val="auto"/>
                <w:kern w:val="0"/>
                <w:sz w:val="22"/>
                <w:szCs w:val="22"/>
                <w:highlight w:val="none"/>
                <w:lang w:eastAsia="zh-CN"/>
              </w:rPr>
              <w:t>时</w:t>
            </w:r>
            <w:r>
              <w:rPr>
                <w:rFonts w:hint="eastAsia" w:ascii="宋体" w:hAnsi="宋体" w:eastAsia="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lang w:eastAsia="zh-CN"/>
              </w:rPr>
              <w:t>0分整</w:t>
            </w:r>
          </w:p>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开标地点：</w:t>
            </w:r>
            <w:r>
              <w:rPr>
                <w:rFonts w:hint="eastAsia" w:ascii="宋体" w:hAnsi="宋体" w:eastAsia="宋体" w:cs="宋体"/>
                <w:color w:val="auto"/>
                <w:kern w:val="0"/>
                <w:sz w:val="22"/>
                <w:szCs w:val="22"/>
                <w:highlight w:val="none"/>
                <w:lang w:val="zh-CN"/>
              </w:rPr>
              <w:t>温州市瓯海区新桥街道高昂路1号牛山广场2号楼1409室</w:t>
            </w:r>
          </w:p>
        </w:tc>
      </w:tr>
      <w:tr>
        <w:tblPrEx>
          <w:tblCellMar>
            <w:top w:w="0" w:type="dxa"/>
            <w:left w:w="108" w:type="dxa"/>
            <w:bottom w:w="0" w:type="dxa"/>
            <w:right w:w="108" w:type="dxa"/>
          </w:tblCellMar>
        </w:tblPrEx>
        <w:trPr>
          <w:trHeight w:val="416"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开评标程序</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t>（1）宣布开标纪律；</w:t>
            </w:r>
          </w:p>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t>（2）公布在投标截止时间前递交投标文件的投标人名称，并点名确认投标人是否派授权代表到场；</w:t>
            </w:r>
          </w:p>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t>（3）宣布唱标人、记录人、监督人员等有关人员姓名；</w:t>
            </w:r>
          </w:p>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t>（4）密封情况检查：由监督人员或投标人推选的代表检查投标文件密封情况；</w:t>
            </w:r>
          </w:p>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t>（5）开标顺序：投标人送达投标文件的逆序；</w:t>
            </w:r>
            <w:r>
              <w:rPr>
                <w:rFonts w:hint="eastAsia" w:ascii="宋体" w:hAnsi="宋体" w:eastAsia="宋体" w:cs="宋体"/>
                <w:color w:val="auto"/>
                <w:highlight w:val="none"/>
              </w:rPr>
              <w:t>在开标室里先开启技术资信标，再送达评审室评审。技术资信标评审结束后，再开启商务报价标；</w:t>
            </w:r>
          </w:p>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t>（6）确认开标结果：投标人授权代表对开标记录进行当场校核及勘误，并签字确认；并同时由记录人、监督人当场签字确认；</w:t>
            </w:r>
          </w:p>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t>（7）宣布开标结束；</w:t>
            </w:r>
          </w:p>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t>（8）投标人授权代表未参加开标会议；未到场签字确认的，不影响开标，评标过程，视同认可开标结果；事后不得对采购相关人员、开标过程和开标结果提出异议；</w:t>
            </w:r>
          </w:p>
          <w:p>
            <w:pPr>
              <w:ind w:left="2"/>
              <w:rPr>
                <w:rFonts w:hint="eastAsia" w:ascii="宋体" w:hAnsi="宋体" w:eastAsia="宋体" w:cs="宋体"/>
                <w:color w:val="auto"/>
                <w:kern w:val="0"/>
                <w:sz w:val="22"/>
                <w:szCs w:val="22"/>
                <w:highlight w:val="none"/>
              </w:rPr>
            </w:pPr>
            <w:r>
              <w:rPr>
                <w:rFonts w:hint="eastAsia" w:ascii="宋体" w:hAnsi="宋体" w:eastAsia="宋体" w:cs="宋体"/>
                <w:color w:val="auto"/>
                <w:sz w:val="22"/>
                <w:highlight w:val="none"/>
              </w:rPr>
              <w:t>（9）将开启的投标文件送交评标委员会评审。</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评标委员会</w:t>
            </w:r>
          </w:p>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的组建</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采购人按照相关规定组建评标委员会，评标委员会成员由采购人代表和有关技术、经济等方面的专家组成，成员人数为5人（含）以上单数。</w:t>
            </w:r>
          </w:p>
        </w:tc>
      </w:tr>
      <w:tr>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履约担保</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t>□不需要</w:t>
            </w:r>
          </w:p>
          <w:p>
            <w:pPr>
              <w:rPr>
                <w:rFonts w:hint="eastAsia" w:ascii="宋体" w:hAnsi="宋体" w:eastAsia="宋体" w:cs="宋体"/>
                <w:color w:val="auto"/>
                <w:kern w:val="0"/>
                <w:sz w:val="22"/>
                <w:szCs w:val="22"/>
                <w:highlight w:val="none"/>
              </w:rPr>
            </w:pPr>
            <w:r>
              <w:rPr>
                <w:rFonts w:hint="eastAsia" w:ascii="宋体" w:hAnsi="宋体" w:eastAsia="宋体" w:cs="宋体"/>
                <w:snapToGrid w:val="0"/>
                <w:color w:val="auto"/>
                <w:sz w:val="22"/>
                <w:szCs w:val="22"/>
                <w:highlight w:val="none"/>
              </w:rPr>
              <w:sym w:font="Wingdings" w:char="F0FE"/>
            </w:r>
            <w:r>
              <w:rPr>
                <w:rFonts w:hint="eastAsia" w:ascii="宋体" w:hAnsi="宋体" w:eastAsia="宋体" w:cs="宋体"/>
                <w:color w:val="auto"/>
                <w:sz w:val="22"/>
                <w:highlight w:val="none"/>
              </w:rPr>
              <w:t xml:space="preserve">需要 </w:t>
            </w:r>
            <w:r>
              <w:rPr>
                <w:rFonts w:hint="eastAsia" w:ascii="宋体" w:hAnsi="宋体" w:eastAsia="宋体" w:cs="宋体"/>
                <w:color w:val="auto"/>
                <w:sz w:val="22"/>
                <w:szCs w:val="22"/>
                <w:highlight w:val="none"/>
                <w:lang w:eastAsia="zh-CN"/>
              </w:rPr>
              <w:t>合同总价5%的履约保证金</w:t>
            </w:r>
            <w:r>
              <w:rPr>
                <w:rFonts w:hint="eastAsia" w:ascii="宋体" w:hAnsi="宋体" w:eastAsia="宋体" w:cs="宋体"/>
                <w:color w:val="auto"/>
                <w:sz w:val="22"/>
                <w:szCs w:val="22"/>
                <w:highlight w:val="none"/>
              </w:rPr>
              <w:t>（接受保函</w:t>
            </w:r>
            <w:r>
              <w:rPr>
                <w:rFonts w:hint="eastAsia" w:ascii="宋体" w:hAnsi="宋体" w:eastAsia="宋体" w:cs="宋体"/>
                <w:color w:val="auto"/>
                <w:sz w:val="22"/>
                <w:szCs w:val="22"/>
                <w:highlight w:val="none"/>
                <w:lang w:val="en-US" w:eastAsia="zh-CN"/>
              </w:rPr>
              <w:t>等其他形式</w:t>
            </w:r>
            <w:r>
              <w:rPr>
                <w:rFonts w:hint="eastAsia" w:ascii="宋体" w:hAnsi="宋体" w:eastAsia="宋体" w:cs="宋体"/>
                <w:color w:val="auto"/>
                <w:sz w:val="22"/>
                <w:szCs w:val="22"/>
                <w:highlight w:val="none"/>
              </w:rPr>
              <w:t>）</w:t>
            </w:r>
          </w:p>
        </w:tc>
      </w:tr>
      <w:tr>
        <w:tblPrEx>
          <w:tblCellMar>
            <w:top w:w="0" w:type="dxa"/>
            <w:left w:w="108" w:type="dxa"/>
            <w:bottom w:w="0" w:type="dxa"/>
            <w:right w:w="108" w:type="dxa"/>
          </w:tblCellMar>
        </w:tblPrEx>
        <w:trPr>
          <w:trHeight w:val="594"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kern w:val="0"/>
                <w:sz w:val="22"/>
                <w:szCs w:val="22"/>
                <w:highlight w:val="none"/>
              </w:rPr>
            </w:pPr>
            <w:bookmarkStart w:id="9" w:name="_Toc241404198"/>
            <w:bookmarkStart w:id="10" w:name="_Toc222114875"/>
            <w:bookmarkStart w:id="11" w:name="_Toc221356947"/>
            <w:bookmarkStart w:id="12" w:name="_Toc239145350"/>
            <w:bookmarkStart w:id="13" w:name="_Toc265529379"/>
            <w:bookmarkStart w:id="14" w:name="_Toc223715994"/>
            <w:bookmarkStart w:id="15" w:name="_Toc221374622"/>
            <w:bookmarkStart w:id="16" w:name="_Toc221356882"/>
            <w:bookmarkStart w:id="17" w:name="_Toc221423615"/>
            <w:r>
              <w:rPr>
                <w:rFonts w:hint="eastAsia" w:ascii="宋体" w:hAnsi="宋体" w:eastAsia="宋体" w:cs="宋体"/>
                <w:color w:val="auto"/>
                <w:kern w:val="0"/>
                <w:sz w:val="22"/>
                <w:szCs w:val="22"/>
                <w:highlight w:val="none"/>
              </w:rPr>
              <w:t>22</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原 件</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□提交</w:t>
            </w:r>
          </w:p>
          <w:p>
            <w:pPr>
              <w:spacing w:line="3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b/>
                <w:snapToGrid w:val="0"/>
                <w:color w:val="auto"/>
                <w:sz w:val="22"/>
                <w:szCs w:val="22"/>
                <w:highlight w:val="none"/>
              </w:rPr>
              <w:sym w:font="Wingdings" w:char="00FE"/>
            </w:r>
            <w:r>
              <w:rPr>
                <w:rFonts w:hint="eastAsia" w:ascii="宋体" w:hAnsi="宋体" w:eastAsia="宋体" w:cs="宋体"/>
                <w:color w:val="auto"/>
                <w:kern w:val="0"/>
                <w:sz w:val="22"/>
                <w:szCs w:val="22"/>
                <w:highlight w:val="none"/>
              </w:rPr>
              <w:t>不提交</w:t>
            </w:r>
          </w:p>
        </w:tc>
      </w:tr>
      <w:tr>
        <w:tblPrEx>
          <w:tblCellMar>
            <w:top w:w="0" w:type="dxa"/>
            <w:left w:w="108" w:type="dxa"/>
            <w:bottom w:w="0" w:type="dxa"/>
            <w:right w:w="108" w:type="dxa"/>
          </w:tblCellMar>
        </w:tblPrEx>
        <w:trPr>
          <w:trHeight w:val="594" w:hRule="atLeast"/>
        </w:trPr>
        <w:tc>
          <w:tcPr>
            <w:tcW w:w="10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23</w:t>
            </w:r>
          </w:p>
        </w:tc>
        <w:tc>
          <w:tcPr>
            <w:tcW w:w="16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投标人信用查询</w:t>
            </w:r>
          </w:p>
        </w:tc>
        <w:tc>
          <w:tcPr>
            <w:tcW w:w="71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（1）供应商信用信息查询的查询渠道：“信用中国”(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"http://www.creditchina.gov.cn"</w:instrText>
            </w:r>
            <w:r>
              <w:rPr>
                <w:rFonts w:hint="eastAsia" w:ascii="宋体" w:hAnsi="宋体" w:eastAsia="宋体" w:cs="宋体"/>
                <w:color w:val="auto"/>
                <w:highlight w:val="none"/>
              </w:rPr>
              <w:fldChar w:fldCharType="separate"/>
            </w:r>
            <w:r>
              <w:rPr>
                <w:rStyle w:val="21"/>
                <w:rFonts w:hint="eastAsia" w:ascii="宋体" w:hAnsi="宋体" w:eastAsia="宋体" w:cs="宋体"/>
                <w:color w:val="auto"/>
                <w:sz w:val="22"/>
                <w:szCs w:val="22"/>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 w:val="22"/>
                <w:szCs w:val="22"/>
                <w:highlight w:val="none"/>
              </w:rPr>
              <w:t>)；“中国政府采购网”（http://www.ccgp.gov.cn/）；</w:t>
            </w:r>
          </w:p>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（2）供应商信用信息查询截止时点：本项目投标截止时间。</w:t>
            </w:r>
          </w:p>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（3）供应商信用信息查询记录和证据留存的具体方式：网页截图打印；</w:t>
            </w:r>
          </w:p>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p>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在“信用中国”具有负面记录：列入失信被执行人、重大税收违法案件当事人名单、采购严重违法失信行为名单；</w:t>
            </w:r>
          </w:p>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（5）具有以上（4）所述信息记录的供应商，其投标做无效投标处理。</w:t>
            </w:r>
          </w:p>
          <w:p>
            <w:pPr>
              <w:rPr>
                <w:rFonts w:hint="eastAsia" w:ascii="宋体" w:hAnsi="宋体" w:eastAsia="宋体" w:cs="宋体"/>
                <w:color w:val="auto"/>
                <w:highlight w:val="none"/>
              </w:rPr>
            </w:pPr>
            <w:r>
              <w:rPr>
                <w:rFonts w:hint="eastAsia" w:ascii="宋体" w:hAnsi="宋体" w:eastAsia="宋体" w:cs="宋体"/>
                <w:b/>
                <w:bCs/>
                <w:color w:val="auto"/>
                <w:szCs w:val="21"/>
                <w:highlight w:val="none"/>
                <w:u w:val="single"/>
              </w:rPr>
              <w:t>（6）▲</w:t>
            </w:r>
            <w:r>
              <w:rPr>
                <w:rFonts w:hint="eastAsia" w:ascii="宋体" w:hAnsi="宋体" w:eastAsia="宋体" w:cs="宋体"/>
                <w:b/>
                <w:color w:val="auto"/>
                <w:sz w:val="22"/>
                <w:szCs w:val="22"/>
                <w:highlight w:val="none"/>
                <w:u w:val="single"/>
              </w:rPr>
              <w:t>关于</w:t>
            </w:r>
            <w:r>
              <w:rPr>
                <w:rFonts w:hint="eastAsia" w:ascii="宋体" w:hAnsi="宋体" w:eastAsia="宋体" w:cs="宋体"/>
                <w:b/>
                <w:bCs/>
                <w:color w:val="auto"/>
                <w:sz w:val="22"/>
                <w:szCs w:val="22"/>
                <w:highlight w:val="none"/>
                <w:u w:val="single"/>
              </w:rPr>
              <w:t>“信用中国”(www.creditchina.gov.cn) 信用记录网页截图相关说明</w:t>
            </w:r>
            <w:r>
              <w:rPr>
                <w:rFonts w:hint="eastAsia" w:ascii="宋体" w:hAnsi="宋体" w:eastAsia="宋体" w:cs="宋体"/>
                <w:bCs/>
                <w:color w:val="auto"/>
                <w:sz w:val="22"/>
                <w:szCs w:val="22"/>
                <w:highlight w:val="none"/>
              </w:rPr>
              <w:t>：</w:t>
            </w:r>
          </w:p>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①若供应商查询页面“行政处罚”栏显示有行政处罚事项，须将所有行政处罚事项在“信用中国”网页上列出的明细一并打印，并附说明，是否属于“</w:t>
            </w:r>
            <w:r>
              <w:rPr>
                <w:rFonts w:hint="eastAsia" w:ascii="宋体" w:hAnsi="宋体" w:eastAsia="宋体" w:cs="宋体"/>
                <w:color w:val="auto"/>
                <w:sz w:val="22"/>
                <w:szCs w:val="22"/>
                <w:highlight w:val="none"/>
              </w:rPr>
              <w:t>经营活动中的重大违法记录</w:t>
            </w:r>
            <w:r>
              <w:rPr>
                <w:rFonts w:hint="eastAsia" w:ascii="宋体" w:hAnsi="宋体" w:eastAsia="宋体" w:cs="宋体"/>
                <w:bCs/>
                <w:color w:val="auto"/>
                <w:sz w:val="22"/>
                <w:szCs w:val="22"/>
                <w:highlight w:val="none"/>
              </w:rPr>
              <w:t>”。</w:t>
            </w:r>
          </w:p>
          <w:p>
            <w:pPr>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②若供应商在“信用中国”无数据，亦须将搜索结果页面打印，并附说明。</w:t>
            </w:r>
          </w:p>
        </w:tc>
      </w:tr>
      <w:tr>
        <w:tblPrEx>
          <w:tblCellMar>
            <w:top w:w="0" w:type="dxa"/>
            <w:left w:w="108" w:type="dxa"/>
            <w:bottom w:w="0" w:type="dxa"/>
            <w:right w:w="108" w:type="dxa"/>
          </w:tblCellMar>
        </w:tblPrEx>
        <w:trPr>
          <w:trHeight w:val="594" w:hRule="atLeast"/>
        </w:trPr>
        <w:tc>
          <w:tcPr>
            <w:tcW w:w="10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w:t>
            </w:r>
          </w:p>
        </w:tc>
        <w:tc>
          <w:tcPr>
            <w:tcW w:w="16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合同备案</w:t>
            </w:r>
          </w:p>
        </w:tc>
        <w:tc>
          <w:tcPr>
            <w:tcW w:w="71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（1）中标投标人须在收到中标通知书之日起30日历天内与采购人签订合同。</w:t>
            </w:r>
          </w:p>
          <w:p>
            <w:pPr>
              <w:jc w:val="left"/>
              <w:rPr>
                <w:rFonts w:hint="eastAsia"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（2）中标投标人与采购人签订合同后，2日历天内将合同扫描件电子版发给采购代理机构：邮箱：</w:t>
            </w:r>
            <w:r>
              <w:rPr>
                <w:rFonts w:hint="eastAsia" w:ascii="宋体" w:hAnsi="宋体" w:eastAsia="宋体" w:cs="宋体"/>
                <w:b/>
                <w:color w:val="auto"/>
                <w:sz w:val="22"/>
                <w:szCs w:val="22"/>
                <w:highlight w:val="none"/>
                <w:u w:val="single"/>
              </w:rPr>
              <w:t>ye462978466@qq.com</w:t>
            </w:r>
            <w:r>
              <w:rPr>
                <w:rFonts w:hint="eastAsia" w:ascii="宋体" w:hAnsi="宋体" w:eastAsia="宋体" w:cs="宋体"/>
                <w:color w:val="auto"/>
                <w:sz w:val="22"/>
                <w:szCs w:val="22"/>
                <w:highlight w:val="none"/>
              </w:rPr>
              <w:t>。</w:t>
            </w:r>
          </w:p>
        </w:tc>
      </w:tr>
      <w:tr>
        <w:tblPrEx>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w:t>
            </w:r>
          </w:p>
        </w:tc>
        <w:tc>
          <w:tcPr>
            <w:tcW w:w="16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合同履约管理</w:t>
            </w:r>
          </w:p>
        </w:tc>
        <w:tc>
          <w:tcPr>
            <w:tcW w:w="71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合同签订后，采购人依法加强对合同履约进行管理，并在中标单位服务、项目验收等重要关节，如实填写《合同验收报告》（或考核资料），并及时向</w:t>
            </w:r>
            <w:r>
              <w:rPr>
                <w:rFonts w:hint="eastAsia" w:ascii="宋体" w:hAnsi="宋体" w:eastAsia="宋体" w:cs="宋体"/>
                <w:color w:val="auto"/>
                <w:sz w:val="22"/>
                <w:szCs w:val="22"/>
                <w:highlight w:val="none"/>
                <w:lang w:val="en-US" w:eastAsia="zh-CN"/>
              </w:rPr>
              <w:t>集团公司采购</w:t>
            </w:r>
            <w:r>
              <w:rPr>
                <w:rFonts w:hint="eastAsia" w:ascii="宋体" w:hAnsi="宋体" w:eastAsia="宋体" w:cs="宋体"/>
                <w:color w:val="auto"/>
                <w:sz w:val="22"/>
                <w:szCs w:val="22"/>
                <w:highlight w:val="none"/>
              </w:rPr>
              <w:t>管理部门报告验收过程中遇到的问题。</w:t>
            </w:r>
          </w:p>
        </w:tc>
      </w:tr>
      <w:tr>
        <w:tblPrEx>
          <w:tblCellMar>
            <w:top w:w="0" w:type="dxa"/>
            <w:left w:w="108" w:type="dxa"/>
            <w:bottom w:w="0" w:type="dxa"/>
            <w:right w:w="108" w:type="dxa"/>
          </w:tblCellMar>
        </w:tblPrEx>
        <w:trPr>
          <w:trHeight w:val="63" w:hRule="atLeast"/>
        </w:trPr>
        <w:tc>
          <w:tcPr>
            <w:tcW w:w="10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26</w:t>
            </w:r>
          </w:p>
        </w:tc>
        <w:tc>
          <w:tcPr>
            <w:tcW w:w="16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解释权</w:t>
            </w:r>
          </w:p>
        </w:tc>
        <w:tc>
          <w:tcPr>
            <w:tcW w:w="71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63" w:hRule="atLeast"/>
        </w:trPr>
        <w:tc>
          <w:tcPr>
            <w:tcW w:w="10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27</w:t>
            </w:r>
          </w:p>
        </w:tc>
        <w:tc>
          <w:tcPr>
            <w:tcW w:w="16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质疑与投诉</w:t>
            </w:r>
          </w:p>
        </w:tc>
        <w:tc>
          <w:tcPr>
            <w:tcW w:w="71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1.投标人认为采购文件、采购过程、中标和成交结果使自己的合法权益受到损害的，可以在知道或应知道其权益受到损害之日起七个工作日内以书面形式向采购人或采购代理机构提出质疑。</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人或采购代理机构在收到投标人的书面质疑后七个工作日内作出答复，但答复的内容不得涉及商业秘密。质疑投标人对采购人或采购代理机构的答复不满意，可以在答复期满后十五个工作日内向温州交运集团监察监事审计室投诉。</w:t>
            </w:r>
          </w:p>
        </w:tc>
      </w:tr>
    </w:tbl>
    <w:p>
      <w:pPr>
        <w:pStyle w:val="3"/>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 </w:t>
      </w:r>
      <w:r>
        <w:rPr>
          <w:rFonts w:hint="eastAsia" w:ascii="宋体" w:hAnsi="宋体" w:eastAsia="宋体" w:cs="宋体"/>
          <w:color w:val="auto"/>
          <w:sz w:val="36"/>
          <w:szCs w:val="36"/>
          <w:highlight w:val="none"/>
        </w:rPr>
        <w:br w:type="page"/>
      </w:r>
      <w:bookmarkStart w:id="18" w:name="_Toc71374670"/>
      <w:bookmarkStart w:id="19" w:name="_Toc71374671"/>
      <w:bookmarkStart w:id="20" w:name="_Toc22933"/>
      <w:r>
        <w:rPr>
          <w:rFonts w:hint="eastAsia" w:ascii="宋体" w:hAnsi="宋体" w:eastAsia="宋体" w:cs="宋体"/>
          <w:color w:val="auto"/>
          <w:sz w:val="36"/>
          <w:szCs w:val="36"/>
          <w:highlight w:val="none"/>
        </w:rPr>
        <w:t>第一部分    投标人须知</w:t>
      </w:r>
      <w:bookmarkEnd w:id="9"/>
      <w:bookmarkEnd w:id="10"/>
      <w:bookmarkEnd w:id="11"/>
      <w:bookmarkEnd w:id="12"/>
      <w:bookmarkEnd w:id="13"/>
      <w:bookmarkEnd w:id="14"/>
      <w:bookmarkEnd w:id="15"/>
      <w:bookmarkEnd w:id="16"/>
      <w:bookmarkEnd w:id="17"/>
      <w:bookmarkEnd w:id="18"/>
      <w:bookmarkEnd w:id="19"/>
      <w:bookmarkEnd w:id="20"/>
    </w:p>
    <w:p>
      <w:p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bookmarkStart w:id="21" w:name="_Toc265529380"/>
      <w:bookmarkStart w:id="22" w:name="_Toc221374623"/>
      <w:bookmarkStart w:id="23" w:name="_Toc241404199"/>
      <w:bookmarkStart w:id="24" w:name="_Toc4309"/>
      <w:bookmarkStart w:id="25" w:name="_Toc71374672"/>
      <w:bookmarkStart w:id="26" w:name="_Toc221423616"/>
      <w:bookmarkStart w:id="27" w:name="_Toc239145351"/>
      <w:bookmarkStart w:id="28" w:name="_Toc221356883"/>
      <w:bookmarkStart w:id="29" w:name="_Toc223715995"/>
      <w:bookmarkStart w:id="30" w:name="_Toc222114876"/>
      <w:bookmarkStart w:id="31" w:name="_Toc221356948"/>
      <w:r>
        <w:rPr>
          <w:rFonts w:hint="eastAsia" w:ascii="宋体" w:hAnsi="宋体" w:eastAsia="宋体" w:cs="宋体"/>
          <w:b/>
          <w:bCs/>
          <w:color w:val="auto"/>
          <w:sz w:val="26"/>
          <w:szCs w:val="26"/>
          <w:highlight w:val="none"/>
        </w:rPr>
        <w:t>一、  说明</w:t>
      </w:r>
      <w:bookmarkEnd w:id="21"/>
      <w:bookmarkEnd w:id="22"/>
      <w:bookmarkEnd w:id="23"/>
      <w:bookmarkEnd w:id="24"/>
      <w:bookmarkEnd w:id="25"/>
      <w:bookmarkEnd w:id="26"/>
      <w:bookmarkEnd w:id="27"/>
      <w:bookmarkEnd w:id="28"/>
      <w:bookmarkEnd w:id="29"/>
      <w:bookmarkEnd w:id="30"/>
      <w:bookmarkEnd w:id="31"/>
    </w:p>
    <w:p>
      <w:pPr>
        <w:numPr>
          <w:ilvl w:val="0"/>
          <w:numId w:val="1"/>
        </w:numPr>
        <w:tabs>
          <w:tab w:val="left" w:pos="540"/>
          <w:tab w:val="left" w:pos="900"/>
          <w:tab w:val="clear" w:pos="420"/>
        </w:tabs>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本次采购是</w:t>
      </w:r>
      <w:r>
        <w:rPr>
          <w:rFonts w:hint="eastAsia" w:ascii="宋体" w:hAnsi="宋体" w:eastAsia="宋体" w:cs="宋体"/>
          <w:color w:val="auto"/>
          <w:kern w:val="0"/>
          <w:sz w:val="22"/>
          <w:szCs w:val="22"/>
          <w:highlight w:val="none"/>
        </w:rPr>
        <w:t>根据《温州市市属国有企业采购管理办法（试行）》等有关规定</w:t>
      </w:r>
      <w:r>
        <w:rPr>
          <w:rFonts w:hint="eastAsia" w:ascii="宋体" w:hAnsi="宋体" w:eastAsia="宋体" w:cs="宋体"/>
          <w:color w:val="auto"/>
          <w:sz w:val="22"/>
          <w:szCs w:val="22"/>
          <w:highlight w:val="none"/>
        </w:rPr>
        <w:t>及有关法规组织和实施的。</w:t>
      </w:r>
    </w:p>
    <w:p>
      <w:pPr>
        <w:numPr>
          <w:ilvl w:val="0"/>
          <w:numId w:val="1"/>
        </w:numPr>
        <w:tabs>
          <w:tab w:val="left" w:pos="540"/>
          <w:tab w:val="left" w:pos="900"/>
          <w:tab w:val="clear" w:pos="420"/>
        </w:tabs>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合格投标人</w:t>
      </w:r>
    </w:p>
    <w:p>
      <w:pPr>
        <w:tabs>
          <w:tab w:val="left" w:pos="54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投标人合格条件见本项目采购公告。</w:t>
      </w:r>
    </w:p>
    <w:p>
      <w:pPr>
        <w:numPr>
          <w:ilvl w:val="0"/>
          <w:numId w:val="1"/>
        </w:numPr>
        <w:tabs>
          <w:tab w:val="left" w:pos="540"/>
          <w:tab w:val="left" w:pos="900"/>
          <w:tab w:val="clear" w:pos="420"/>
        </w:tabs>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指全权代表投标人参加投标活动并签署投标文件的人。如果投标人代表不是法定代表人，须持有《法定代表人授权书》。</w:t>
      </w:r>
    </w:p>
    <w:p>
      <w:pPr>
        <w:numPr>
          <w:ilvl w:val="0"/>
          <w:numId w:val="1"/>
        </w:numPr>
        <w:tabs>
          <w:tab w:val="left" w:pos="540"/>
          <w:tab w:val="left" w:pos="900"/>
          <w:tab w:val="clear" w:pos="420"/>
        </w:tabs>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投标费用</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投标人应承担所有与准备和参加投标有关费用，不论投标的结果如何，采购人和采购代理机构均无义务和责任承担这些费用。</w:t>
      </w:r>
    </w:p>
    <w:p>
      <w:p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bookmarkStart w:id="32" w:name="_Toc265529381"/>
      <w:bookmarkStart w:id="33" w:name="_Toc223715996"/>
      <w:bookmarkStart w:id="34" w:name="_Toc6074"/>
      <w:bookmarkStart w:id="35" w:name="_Toc221374624"/>
      <w:bookmarkStart w:id="36" w:name="_Toc222114877"/>
      <w:bookmarkStart w:id="37" w:name="_Toc71374673"/>
      <w:bookmarkStart w:id="38" w:name="_Toc221356949"/>
      <w:bookmarkStart w:id="39" w:name="_Toc239145352"/>
      <w:bookmarkStart w:id="40" w:name="_Toc241404200"/>
      <w:bookmarkStart w:id="41" w:name="_Toc221423617"/>
      <w:bookmarkStart w:id="42" w:name="_Toc221356884"/>
      <w:r>
        <w:rPr>
          <w:rFonts w:hint="eastAsia" w:ascii="宋体" w:hAnsi="宋体" w:eastAsia="宋体" w:cs="宋体"/>
          <w:b/>
          <w:bCs/>
          <w:color w:val="auto"/>
          <w:sz w:val="26"/>
          <w:szCs w:val="26"/>
          <w:highlight w:val="none"/>
        </w:rPr>
        <w:t>二、 采购文件</w:t>
      </w:r>
      <w:bookmarkEnd w:id="32"/>
      <w:bookmarkEnd w:id="33"/>
      <w:bookmarkEnd w:id="34"/>
      <w:bookmarkEnd w:id="35"/>
      <w:bookmarkEnd w:id="36"/>
      <w:bookmarkEnd w:id="37"/>
      <w:bookmarkEnd w:id="38"/>
      <w:bookmarkEnd w:id="39"/>
      <w:bookmarkEnd w:id="40"/>
      <w:bookmarkEnd w:id="41"/>
      <w:bookmarkEnd w:id="42"/>
    </w:p>
    <w:p>
      <w:pPr>
        <w:numPr>
          <w:ilvl w:val="0"/>
          <w:numId w:val="2"/>
        </w:numPr>
        <w:tabs>
          <w:tab w:val="left" w:pos="54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采购文件由采购文件目录所列内容及相关资料组成。</w:t>
      </w:r>
    </w:p>
    <w:p>
      <w:pPr>
        <w:numPr>
          <w:ilvl w:val="0"/>
          <w:numId w:val="2"/>
        </w:numPr>
        <w:tabs>
          <w:tab w:val="left" w:pos="540"/>
        </w:tabs>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采购文件的澄清</w:t>
      </w:r>
    </w:p>
    <w:p>
      <w:pPr>
        <w:tabs>
          <w:tab w:val="left" w:pos="54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投标人对采购文件如有疑点或未尽事宜要求澄清，或认为有必要进行说明或交流，可以在知道或应知其权益受到损害之日起七个工作日内，以书面形式（包括信函、传真、下同）向采购人</w:t>
      </w:r>
      <w:r>
        <w:rPr>
          <w:rFonts w:hint="eastAsia" w:ascii="宋体" w:hAnsi="宋体" w:eastAsia="宋体" w:cs="宋体"/>
          <w:color w:val="auto"/>
          <w:sz w:val="22"/>
          <w:szCs w:val="22"/>
          <w:highlight w:val="none"/>
          <w:lang w:val="en-US" w:eastAsia="zh-CN"/>
        </w:rPr>
        <w:t>及代理机构</w:t>
      </w:r>
      <w:r>
        <w:rPr>
          <w:rFonts w:hint="eastAsia" w:ascii="宋体" w:hAnsi="宋体" w:eastAsia="宋体" w:cs="宋体"/>
          <w:color w:val="auto"/>
          <w:sz w:val="22"/>
          <w:szCs w:val="22"/>
          <w:highlight w:val="none"/>
        </w:rPr>
        <w:t>提出质疑，但质疑不得迟于采购文件规定的询疑截止时间前使采购人收到，采购人和采购代理机构将用书面形式予以答复。如有必要，可将不说明问题来源的答复发给各有关投标人或召开答疑会。如果标书答疑期内未收到有关疑问，视为投标人完全同意采购文件所有条款，且对于采购文件相关表述以及未尽事宜如有争议，以采购人解释为准。</w:t>
      </w:r>
    </w:p>
    <w:p>
      <w:pPr>
        <w:tabs>
          <w:tab w:val="left" w:pos="54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 采购文件的修改</w:t>
      </w:r>
    </w:p>
    <w:p>
      <w:pPr>
        <w:tabs>
          <w:tab w:val="left" w:pos="360"/>
          <w:tab w:val="left" w:pos="747"/>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 在投标截止期十五天前，采购人无论是出于何种原因，均可对采购文件用补充文件的方式进行修改，并在政采云平台、温州市国有企业采购平台以及集团网站发布更正公告。该澄清和修改的内容为采购文件的组成部分。采购人可以视采购具体情况在采购文件要求提交截止时间前，作出延长投标文件递交截止时间和开标时间的决定，并将变更时间书面通知所有采购文件收受人，并在政采云平台、温州市国有企业采购平台以及集团网站上发布变更公告。</w:t>
      </w:r>
    </w:p>
    <w:p>
      <w:pPr>
        <w:tabs>
          <w:tab w:val="left" w:pos="360"/>
          <w:tab w:val="left" w:pos="747"/>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 采购文件如有补充更正均见政采云平台、温州市国有企业采购平台以及集团网站。投标人须在开标前一日自行查看是否有补充更正文件，并按补充更正文件要求投标响应，否则责任自负</w:t>
      </w:r>
      <w:r>
        <w:rPr>
          <w:rFonts w:hint="eastAsia" w:ascii="宋体" w:hAnsi="宋体" w:eastAsia="宋体" w:cs="宋体"/>
          <w:bCs/>
          <w:color w:val="auto"/>
          <w:sz w:val="22"/>
          <w:szCs w:val="22"/>
          <w:highlight w:val="none"/>
        </w:rPr>
        <w:t>。</w:t>
      </w:r>
    </w:p>
    <w:p>
      <w:p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bookmarkStart w:id="43" w:name="_Toc239145353"/>
      <w:bookmarkStart w:id="44" w:name="_Toc241404201"/>
      <w:bookmarkStart w:id="45" w:name="_Toc223715997"/>
      <w:bookmarkStart w:id="46" w:name="_Toc6032"/>
      <w:bookmarkStart w:id="47" w:name="_Toc265529382"/>
      <w:bookmarkStart w:id="48" w:name="_Toc221374625"/>
      <w:bookmarkStart w:id="49" w:name="_Toc221356950"/>
      <w:bookmarkStart w:id="50" w:name="_Toc71374674"/>
      <w:bookmarkStart w:id="51" w:name="_Toc221356885"/>
      <w:bookmarkStart w:id="52" w:name="_Toc221423618"/>
      <w:bookmarkStart w:id="53" w:name="_Toc222114878"/>
      <w:r>
        <w:rPr>
          <w:rFonts w:hint="eastAsia" w:ascii="宋体" w:hAnsi="宋体" w:eastAsia="宋体" w:cs="宋体"/>
          <w:b/>
          <w:bCs/>
          <w:color w:val="auto"/>
          <w:sz w:val="26"/>
          <w:szCs w:val="26"/>
          <w:highlight w:val="none"/>
        </w:rPr>
        <w:t>三、 投标文件的编制</w:t>
      </w:r>
      <w:bookmarkEnd w:id="43"/>
      <w:bookmarkEnd w:id="44"/>
      <w:bookmarkEnd w:id="45"/>
      <w:bookmarkEnd w:id="46"/>
      <w:bookmarkEnd w:id="47"/>
      <w:bookmarkEnd w:id="48"/>
      <w:bookmarkEnd w:id="49"/>
      <w:bookmarkEnd w:id="50"/>
      <w:bookmarkEnd w:id="51"/>
      <w:bookmarkEnd w:id="52"/>
      <w:bookmarkEnd w:id="53"/>
    </w:p>
    <w:p>
      <w:pPr>
        <w:numPr>
          <w:ilvl w:val="0"/>
          <w:numId w:val="3"/>
        </w:numPr>
        <w:tabs>
          <w:tab w:val="left" w:pos="54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投标人应认真阅读采购文件中所有事项格式、条款和技术规范等。</w:t>
      </w:r>
      <w:r>
        <w:rPr>
          <w:rFonts w:hint="eastAsia" w:ascii="宋体" w:hAnsi="宋体" w:eastAsia="宋体" w:cs="宋体"/>
          <w:b/>
          <w:color w:val="auto"/>
          <w:sz w:val="22"/>
          <w:szCs w:val="22"/>
          <w:highlight w:val="none"/>
        </w:rPr>
        <w:t>投标人没有按照采购文件要求提交全部资料，或者没有对采购文件各个方面做出实质性响应，导致投标被拒绝的风险由投标人自行承担。</w:t>
      </w:r>
    </w:p>
    <w:p>
      <w:pPr>
        <w:numPr>
          <w:ilvl w:val="0"/>
          <w:numId w:val="3"/>
        </w:numPr>
        <w:tabs>
          <w:tab w:val="left" w:pos="540"/>
        </w:tabs>
        <w:spacing w:line="46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投标人法律责任</w:t>
      </w:r>
    </w:p>
    <w:p>
      <w:pPr>
        <w:tabs>
          <w:tab w:val="left" w:pos="540"/>
        </w:tabs>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9.1 投标人应保证所提供文件资料的真实性，所有文件资料必须是针对本次投标的。如发现投标人提供了虚假文件资料，其投标将被拒绝，并自行承担相应的法律责任。</w:t>
      </w:r>
    </w:p>
    <w:p>
      <w:pPr>
        <w:tabs>
          <w:tab w:val="left" w:pos="540"/>
        </w:tabs>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9.2 参加投标的单位不得有行贿犯罪档案记录，否则其投标将被否决。</w:t>
      </w:r>
    </w:p>
    <w:p>
      <w:pPr>
        <w:numPr>
          <w:ilvl w:val="0"/>
          <w:numId w:val="3"/>
        </w:numPr>
        <w:tabs>
          <w:tab w:val="left" w:pos="540"/>
        </w:tabs>
        <w:spacing w:line="46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投标文件的构成：</w:t>
      </w:r>
    </w:p>
    <w:p>
      <w:pPr>
        <w:tabs>
          <w:tab w:val="left" w:pos="540"/>
        </w:tabs>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10.1投标文件由资格审查资料、技术资信标、商务报价标三部分构成：</w:t>
      </w:r>
    </w:p>
    <w:p>
      <w:pPr>
        <w:spacing w:line="430" w:lineRule="exact"/>
        <w:ind w:left="187" w:leftChars="85" w:hanging="9" w:hangingChars="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（1）资格审查资料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法定代表人授权书和授权代表人有效身份证明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snapToGrid w:val="0"/>
                <w:color w:val="auto"/>
                <w:sz w:val="22"/>
                <w:szCs w:val="22"/>
                <w:highlight w:val="none"/>
              </w:rPr>
              <w:t>投标人须是具有独立法人资格的投标</w:t>
            </w:r>
            <w:r>
              <w:rPr>
                <w:rFonts w:hint="eastAsia" w:ascii="宋体" w:hAnsi="宋体" w:eastAsia="宋体" w:cs="宋体"/>
                <w:snapToGrid w:val="0"/>
                <w:color w:val="auto"/>
                <w:sz w:val="22"/>
                <w:szCs w:val="22"/>
                <w:highlight w:val="none"/>
                <w:lang w:val="en-US" w:eastAsia="zh-CN"/>
              </w:rPr>
              <w:t>产品</w:t>
            </w:r>
            <w:r>
              <w:rPr>
                <w:rFonts w:hint="eastAsia" w:ascii="宋体" w:hAnsi="宋体" w:eastAsia="宋体" w:cs="宋体"/>
                <w:snapToGrid w:val="0"/>
                <w:color w:val="auto"/>
                <w:sz w:val="22"/>
                <w:szCs w:val="22"/>
                <w:highlight w:val="none"/>
              </w:rPr>
              <w:t>的制造商或经销商（若为经销商须提供制造商销售授权书</w:t>
            </w:r>
            <w:r>
              <w:rPr>
                <w:rFonts w:hint="eastAsia" w:ascii="宋体" w:hAnsi="宋体" w:eastAsia="宋体" w:cs="宋体"/>
                <w:snapToGrid w:val="0"/>
                <w:color w:val="auto"/>
                <w:sz w:val="22"/>
                <w:szCs w:val="22"/>
                <w:highlight w:val="none"/>
                <w:lang w:eastAsia="zh-CN"/>
              </w:rPr>
              <w:t>，</w:t>
            </w:r>
            <w:r>
              <w:rPr>
                <w:rFonts w:hint="eastAsia" w:ascii="宋体" w:hAnsi="宋体" w:eastAsia="宋体" w:cs="宋体"/>
                <w:snapToGrid w:val="0"/>
                <w:color w:val="auto"/>
                <w:sz w:val="22"/>
                <w:szCs w:val="22"/>
                <w:highlight w:val="none"/>
                <w:lang w:val="en-US" w:eastAsia="zh-CN"/>
              </w:rPr>
              <w:t>若为制造商则只需提供营业执照即可</w:t>
            </w:r>
            <w:r>
              <w:rPr>
                <w:rFonts w:hint="eastAsia" w:ascii="宋体" w:hAnsi="宋体" w:eastAsia="宋体" w:cs="宋体"/>
                <w:snapToGrid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4</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kern w:val="0"/>
                <w:sz w:val="22"/>
                <w:szCs w:val="22"/>
                <w:highlight w:val="none"/>
              </w:rPr>
              <w:t>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5</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申请材料真实性声明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投标保证金缴纳凭证,最终以实际到帐为准（加盖公章）</w:t>
            </w:r>
          </w:p>
        </w:tc>
      </w:tr>
    </w:tbl>
    <w:p>
      <w:pPr>
        <w:spacing w:line="430" w:lineRule="exact"/>
        <w:ind w:left="187" w:leftChars="85" w:hanging="9" w:hangingChars="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p>
      <w:pPr>
        <w:numPr>
          <w:ilvl w:val="0"/>
          <w:numId w:val="4"/>
        </w:numPr>
        <w:spacing w:line="430" w:lineRule="exact"/>
        <w:rPr>
          <w:rFonts w:hint="eastAsia" w:ascii="宋体" w:hAnsi="宋体" w:eastAsia="宋体" w:cs="宋体"/>
          <w:color w:val="auto"/>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numPr>
          <w:ilvl w:val="0"/>
          <w:numId w:val="4"/>
        </w:numPr>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以上所需的各种证书、证件、证明、执照若系复印件，须在复印件上加盖投标人有效的公章。</w:t>
      </w:r>
    </w:p>
    <w:p>
      <w:pPr>
        <w:numPr>
          <w:ilvl w:val="0"/>
          <w:numId w:val="4"/>
        </w:numPr>
        <w:spacing w:line="430" w:lineRule="exact"/>
        <w:rPr>
          <w:rFonts w:hint="eastAsia" w:ascii="宋体" w:hAnsi="宋体" w:eastAsia="宋体" w:cs="宋体"/>
          <w:color w:val="auto"/>
          <w:highlight w:val="none"/>
        </w:rPr>
      </w:pPr>
      <w:r>
        <w:rPr>
          <w:rFonts w:hint="eastAsia" w:ascii="宋体" w:hAnsi="宋体" w:eastAsia="宋体" w:cs="宋体"/>
          <w:b/>
          <w:bCs/>
          <w:color w:val="auto"/>
          <w:szCs w:val="21"/>
          <w:highlight w:val="none"/>
          <w:u w:val="single"/>
        </w:rPr>
        <w:t>▲</w:t>
      </w:r>
      <w:r>
        <w:rPr>
          <w:rFonts w:hint="eastAsia" w:ascii="宋体" w:hAnsi="宋体" w:eastAsia="宋体" w:cs="宋体"/>
          <w:b/>
          <w:color w:val="auto"/>
          <w:sz w:val="22"/>
          <w:szCs w:val="22"/>
          <w:highlight w:val="none"/>
          <w:u w:val="single"/>
        </w:rPr>
        <w:t>关于</w:t>
      </w:r>
      <w:r>
        <w:rPr>
          <w:rFonts w:hint="eastAsia" w:ascii="宋体" w:hAnsi="宋体" w:eastAsia="宋体" w:cs="宋体"/>
          <w:b/>
          <w:bCs/>
          <w:color w:val="auto"/>
          <w:sz w:val="22"/>
          <w:szCs w:val="22"/>
          <w:highlight w:val="none"/>
          <w:u w:val="single"/>
        </w:rPr>
        <w:t>“信用中国”(www.creditchina.gov.cn) 信用记录网页截图相关说明</w:t>
      </w:r>
      <w:r>
        <w:rPr>
          <w:rFonts w:hint="eastAsia" w:ascii="宋体" w:hAnsi="宋体" w:eastAsia="宋体" w:cs="宋体"/>
          <w:bCs/>
          <w:color w:val="auto"/>
          <w:sz w:val="22"/>
          <w:szCs w:val="22"/>
          <w:highlight w:val="none"/>
        </w:rPr>
        <w:t>：</w:t>
      </w:r>
    </w:p>
    <w:p>
      <w:pPr>
        <w:numPr>
          <w:ilvl w:val="0"/>
          <w:numId w:val="5"/>
        </w:numPr>
        <w:spacing w:line="43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若供应商查询页面“行政处罚”栏显示有行政处罚事项，须将所有行政处罚事项在“信用中国”网页上列出的明细一并打印，并附说明，是否属于“经营活动中的重大违法记录”。</w:t>
      </w:r>
    </w:p>
    <w:p>
      <w:pPr>
        <w:numPr>
          <w:ilvl w:val="0"/>
          <w:numId w:val="5"/>
        </w:numPr>
        <w:spacing w:line="43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若供应商在“信用中国”无数据，亦须将搜索结果页面打印，并附说明。</w:t>
      </w:r>
    </w:p>
    <w:p>
      <w:pPr>
        <w:numPr>
          <w:ilvl w:val="0"/>
          <w:numId w:val="6"/>
        </w:numPr>
        <w:spacing w:line="430" w:lineRule="exact"/>
        <w:ind w:left="187" w:leftChars="85" w:hanging="9" w:hangingChars="4"/>
        <w:rPr>
          <w:rFonts w:hint="eastAsia" w:ascii="宋体" w:hAnsi="宋体" w:eastAsia="宋体" w:cs="宋体"/>
          <w:color w:val="auto"/>
          <w:highlight w:val="none"/>
        </w:rPr>
      </w:pPr>
      <w:r>
        <w:rPr>
          <w:rFonts w:hint="eastAsia" w:ascii="宋体" w:hAnsi="宋体" w:eastAsia="宋体" w:cs="宋体"/>
          <w:b/>
          <w:color w:val="auto"/>
          <w:sz w:val="22"/>
          <w:szCs w:val="22"/>
          <w:highlight w:val="none"/>
        </w:rPr>
        <w:t>技术资信标</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针对评分细则，编制目录索引，注明评标细则项目所在投标文件页码，格式自拟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1"/>
                <w:sz w:val="22"/>
                <w:szCs w:val="22"/>
                <w:highlight w:val="none"/>
                <w:lang w:val="en-US" w:eastAsia="zh-CN"/>
              </w:rPr>
              <w:t>4</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b/>
                <w:color w:val="auto"/>
                <w:kern w:val="1"/>
                <w:sz w:val="22"/>
                <w:szCs w:val="22"/>
                <w:highlight w:val="none"/>
              </w:rPr>
              <w:t>资信证明文件（本项为评分量化内容，非强制性要求）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kern w:val="1"/>
                <w:sz w:val="22"/>
                <w:szCs w:val="22"/>
                <w:highlight w:val="none"/>
              </w:rPr>
              <w:t>a</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color w:val="auto"/>
                <w:kern w:val="1"/>
                <w:sz w:val="22"/>
                <w:szCs w:val="22"/>
                <w:highlight w:val="none"/>
                <w:lang w:eastAsia="zh-CN"/>
              </w:rPr>
              <w:t>投标人</w:t>
            </w:r>
            <w:r>
              <w:rPr>
                <w:rFonts w:hint="eastAsia" w:ascii="宋体" w:hAnsi="宋体" w:eastAsia="宋体" w:cs="宋体"/>
                <w:color w:val="auto"/>
                <w:kern w:val="1"/>
                <w:sz w:val="22"/>
                <w:szCs w:val="22"/>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kern w:val="1"/>
                <w:sz w:val="22"/>
                <w:szCs w:val="22"/>
                <w:highlight w:val="none"/>
              </w:rPr>
              <w:t>b</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 2019 年</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 xml:space="preserve"> 月 1 日至今投标品牌车型的销售业绩情况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1"/>
                <w:sz w:val="22"/>
                <w:szCs w:val="22"/>
                <w:highlight w:val="none"/>
                <w:lang w:val="en-US" w:eastAsia="zh-CN"/>
              </w:rPr>
              <w:t>5</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color w:val="auto"/>
                <w:kern w:val="1"/>
                <w:sz w:val="22"/>
                <w:szCs w:val="22"/>
                <w:highlight w:val="none"/>
              </w:rPr>
              <w:t>技术说明书（</w:t>
            </w:r>
            <w:r>
              <w:rPr>
                <w:rFonts w:hint="eastAsia" w:ascii="宋体" w:hAnsi="宋体" w:eastAsia="宋体" w:cs="宋体"/>
                <w:color w:val="auto"/>
                <w:kern w:val="1"/>
                <w:sz w:val="22"/>
                <w:szCs w:val="22"/>
                <w:highlight w:val="none"/>
                <w:lang w:val="en-US" w:eastAsia="zh-CN"/>
              </w:rPr>
              <w:t>所投产品</w:t>
            </w:r>
            <w:r>
              <w:rPr>
                <w:rFonts w:hint="eastAsia" w:ascii="宋体" w:hAnsi="宋体" w:eastAsia="宋体" w:cs="宋体"/>
                <w:color w:val="auto"/>
                <w:kern w:val="1"/>
                <w:sz w:val="22"/>
                <w:szCs w:val="22"/>
                <w:highlight w:val="none"/>
              </w:rPr>
              <w:t>性能、技术、结构、图纸和质量水平的描述</w:t>
            </w:r>
            <w:r>
              <w:rPr>
                <w:rFonts w:hint="eastAsia" w:ascii="宋体" w:hAnsi="宋体" w:eastAsia="宋体" w:cs="宋体"/>
                <w:color w:val="auto"/>
                <w:kern w:val="1"/>
                <w:sz w:val="22"/>
                <w:szCs w:val="22"/>
                <w:highlight w:val="none"/>
                <w:lang w:eastAsia="zh-CN"/>
              </w:rPr>
              <w:t>，</w:t>
            </w:r>
            <w:r>
              <w:rPr>
                <w:rFonts w:hint="eastAsia" w:ascii="宋体" w:hAnsi="宋体" w:eastAsia="宋体" w:cs="宋体"/>
                <w:color w:val="auto"/>
                <w:kern w:val="1"/>
                <w:sz w:val="22"/>
                <w:szCs w:val="22"/>
                <w:highlight w:val="none"/>
                <w:lang w:val="en-US" w:eastAsia="zh-CN"/>
              </w:rPr>
              <w:t>所投产品的</w:t>
            </w:r>
            <w:r>
              <w:rPr>
                <w:rFonts w:hint="eastAsia" w:ascii="宋体" w:hAnsi="宋体" w:eastAsia="宋体" w:cs="宋体"/>
                <w:color w:val="auto"/>
                <w:szCs w:val="21"/>
                <w:highlight w:val="none"/>
              </w:rPr>
              <w:t>四面外观造型，及关键零部件装置照片</w:t>
            </w:r>
            <w:r>
              <w:rPr>
                <w:rFonts w:hint="eastAsia" w:ascii="宋体" w:hAnsi="宋体" w:eastAsia="宋体" w:cs="宋体"/>
                <w:color w:val="auto"/>
                <w:szCs w:val="21"/>
                <w:highlight w:val="none"/>
                <w:lang w:val="en-US" w:eastAsia="zh-CN"/>
              </w:rPr>
              <w:t>及该产品附带参数的厂家宣传资料</w:t>
            </w:r>
            <w:r>
              <w:rPr>
                <w:rFonts w:hint="eastAsia" w:ascii="宋体" w:hAnsi="宋体" w:eastAsia="宋体" w:cs="宋体"/>
                <w:color w:val="auto"/>
                <w:kern w:val="1"/>
                <w:sz w:val="22"/>
                <w:szCs w:val="22"/>
                <w:highlight w:val="none"/>
              </w:rPr>
              <w:t>）</w:t>
            </w:r>
            <w:r>
              <w:rPr>
                <w:rFonts w:hint="eastAsia" w:ascii="宋体" w:hAnsi="宋体" w:eastAsia="宋体" w:cs="宋体"/>
                <w:color w:val="auto"/>
                <w:kern w:val="1"/>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kern w:val="1"/>
                <w:sz w:val="22"/>
                <w:szCs w:val="22"/>
                <w:highlight w:val="none"/>
              </w:rPr>
              <w:t>a</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color w:val="auto"/>
                <w:kern w:val="1"/>
                <w:sz w:val="22"/>
                <w:szCs w:val="22"/>
                <w:highlight w:val="none"/>
                <w:lang w:val="en-US" w:eastAsia="zh-CN"/>
              </w:rPr>
              <w:t>所投产品</w:t>
            </w:r>
            <w:r>
              <w:rPr>
                <w:rFonts w:hint="eastAsia" w:ascii="宋体" w:hAnsi="宋体" w:eastAsia="宋体" w:cs="宋体"/>
                <w:color w:val="auto"/>
                <w:kern w:val="1"/>
                <w:sz w:val="22"/>
                <w:szCs w:val="22"/>
                <w:highlight w:val="none"/>
              </w:rPr>
              <w:t>的主要技术、结构、性能、特点和质量水平的详细描述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1"/>
                <w:sz w:val="22"/>
                <w:szCs w:val="22"/>
                <w:highlight w:val="none"/>
                <w:lang w:val="en-US" w:eastAsia="zh-CN"/>
              </w:rPr>
            </w:pPr>
            <w:r>
              <w:rPr>
                <w:rFonts w:hint="eastAsia" w:ascii="宋体" w:hAnsi="宋体" w:eastAsia="宋体" w:cs="宋体"/>
                <w:color w:val="auto"/>
                <w:kern w:val="1"/>
                <w:sz w:val="22"/>
                <w:szCs w:val="22"/>
                <w:highlight w:val="none"/>
                <w:lang w:val="en-US" w:eastAsia="zh-CN"/>
              </w:rPr>
              <w:t>b</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1"/>
                <w:sz w:val="22"/>
                <w:szCs w:val="22"/>
                <w:highlight w:val="none"/>
                <w:lang w:val="en-US"/>
              </w:rPr>
            </w:pPr>
            <w:r>
              <w:rPr>
                <w:rFonts w:hint="eastAsia" w:ascii="宋体" w:hAnsi="宋体" w:eastAsia="宋体" w:cs="宋体"/>
                <w:color w:val="auto"/>
                <w:kern w:val="1"/>
                <w:sz w:val="22"/>
                <w:szCs w:val="22"/>
                <w:highlight w:val="none"/>
                <w:lang w:val="en-US" w:eastAsia="zh-CN"/>
              </w:rPr>
              <w:t>所投产品的</w:t>
            </w:r>
            <w:r>
              <w:rPr>
                <w:rFonts w:hint="eastAsia" w:ascii="宋体" w:hAnsi="宋体" w:eastAsia="宋体" w:cs="宋体"/>
                <w:color w:val="auto"/>
                <w:szCs w:val="21"/>
                <w:highlight w:val="none"/>
              </w:rPr>
              <w:t>四面外观造型及关键零部件装置照片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该产品附带参数的厂家宣传资料</w:t>
            </w:r>
            <w:r>
              <w:rPr>
                <w:rFonts w:hint="eastAsia" w:ascii="宋体" w:hAnsi="宋体" w:eastAsia="宋体" w:cs="宋体"/>
                <w:color w:val="auto"/>
                <w:kern w:val="1"/>
                <w:sz w:val="22"/>
                <w:szCs w:val="22"/>
                <w:highlight w:val="none"/>
              </w:rPr>
              <w:t>）</w:t>
            </w:r>
            <w:r>
              <w:rPr>
                <w:rFonts w:hint="eastAsia" w:ascii="宋体" w:hAnsi="宋体" w:eastAsia="宋体" w:cs="宋体"/>
                <w:color w:val="auto"/>
                <w:kern w:val="1"/>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1"/>
                <w:sz w:val="22"/>
                <w:szCs w:val="22"/>
                <w:highlight w:val="none"/>
                <w:lang w:val="en-US" w:eastAsia="zh-CN"/>
              </w:rPr>
              <w:t>c</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color w:val="auto"/>
                <w:kern w:val="1"/>
                <w:sz w:val="22"/>
                <w:szCs w:val="22"/>
                <w:highlight w:val="none"/>
                <w:lang w:val="en-US" w:eastAsia="zh-CN"/>
              </w:rPr>
              <w:t>所投产品</w:t>
            </w:r>
            <w:r>
              <w:rPr>
                <w:rFonts w:hint="eastAsia" w:ascii="宋体" w:hAnsi="宋体" w:eastAsia="宋体" w:cs="宋体"/>
                <w:color w:val="auto"/>
                <w:kern w:val="1"/>
                <w:sz w:val="22"/>
                <w:szCs w:val="22"/>
                <w:highlight w:val="none"/>
              </w:rPr>
              <w:t>的供货、测试、验收标准及方案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1"/>
                <w:sz w:val="22"/>
                <w:szCs w:val="22"/>
                <w:highlight w:val="none"/>
                <w:lang w:val="en-US" w:eastAsia="zh-CN"/>
              </w:rPr>
              <w:t>d</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color w:val="auto"/>
                <w:kern w:val="1"/>
                <w:sz w:val="22"/>
                <w:szCs w:val="22"/>
                <w:highlight w:val="none"/>
              </w:rPr>
              <w:t>质量控制、质量保证的详细介绍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1"/>
                <w:sz w:val="22"/>
                <w:szCs w:val="22"/>
                <w:highlight w:val="none"/>
                <w:lang w:val="en-US" w:eastAsia="zh-CN"/>
              </w:rPr>
              <w:t>e</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lang w:val="en-US" w:eastAsia="zh-CN"/>
              </w:rPr>
            </w:pPr>
            <w:r>
              <w:rPr>
                <w:rFonts w:hint="eastAsia" w:ascii="宋体" w:hAnsi="宋体" w:eastAsia="宋体" w:cs="宋体"/>
                <w:color w:val="auto"/>
                <w:kern w:val="1"/>
                <w:sz w:val="22"/>
                <w:szCs w:val="22"/>
                <w:highlight w:val="none"/>
              </w:rPr>
              <w:t>售后服务</w:t>
            </w:r>
            <w:r>
              <w:rPr>
                <w:rFonts w:hint="eastAsia" w:ascii="宋体" w:hAnsi="宋体" w:eastAsia="宋体" w:cs="宋体"/>
                <w:color w:val="auto"/>
                <w:kern w:val="1"/>
                <w:sz w:val="22"/>
                <w:szCs w:val="22"/>
                <w:highlight w:val="none"/>
                <w:lang w:val="en-US" w:eastAsia="zh-CN"/>
              </w:rPr>
              <w:t>及优惠条件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2"/>
                <w:szCs w:val="22"/>
                <w:highlight w:val="none"/>
              </w:rPr>
            </w:pPr>
            <w:r>
              <w:rPr>
                <w:rFonts w:hint="eastAsia" w:ascii="宋体" w:hAnsi="宋体" w:eastAsia="宋体" w:cs="宋体"/>
                <w:bCs/>
                <w:color w:val="auto"/>
                <w:sz w:val="22"/>
                <w:highlight w:val="none"/>
                <w:lang w:eastAsia="zh-CN"/>
              </w:rPr>
              <w:t>投标人</w:t>
            </w:r>
            <w:r>
              <w:rPr>
                <w:rFonts w:hint="eastAsia" w:ascii="宋体" w:hAnsi="宋体" w:eastAsia="宋体" w:cs="宋体"/>
                <w:bCs/>
                <w:color w:val="auto"/>
                <w:sz w:val="22"/>
                <w:highlight w:val="none"/>
              </w:rPr>
              <w:t>认为需要提供的其他技术资料</w:t>
            </w:r>
          </w:p>
        </w:tc>
      </w:tr>
    </w:tbl>
    <w:p>
      <w:pPr>
        <w:spacing w:line="430" w:lineRule="exact"/>
        <w:ind w:left="187" w:leftChars="85" w:hanging="9" w:hangingChars="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说明：</w:t>
      </w:r>
    </w:p>
    <w:p>
      <w:pPr>
        <w:numPr>
          <w:ilvl w:val="0"/>
          <w:numId w:val="7"/>
        </w:numPr>
        <w:tabs>
          <w:tab w:val="left" w:pos="5355"/>
        </w:tabs>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投标人可根据采购文件中的技术规格书以及技术资信评分表，提供投标人认为需要提供的文件和资料。</w:t>
      </w:r>
    </w:p>
    <w:p>
      <w:pPr>
        <w:numPr>
          <w:ilvl w:val="0"/>
          <w:numId w:val="7"/>
        </w:numPr>
        <w:tabs>
          <w:tab w:val="left" w:pos="5355"/>
        </w:tabs>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中应承诺：投标人所提供的货物或服务所有权归采购人所有。如若发生侵权事件，其侵权责任与采购人及采购代理机构无关，由投标人承担全部责任。侵权造成的所有相关费用，均由投标人支付，保证不伤害采购人的利益。</w:t>
      </w:r>
    </w:p>
    <w:p>
      <w:pPr>
        <w:numPr>
          <w:ilvl w:val="0"/>
          <w:numId w:val="7"/>
        </w:numPr>
        <w:tabs>
          <w:tab w:val="left" w:pos="5355"/>
        </w:tabs>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投标人可在投标文件中对采购文件中的技术要求选用替代标准、补充或更改，但这些替代标准及补充更改必须相当于或优于采购文件中提出的相应技术要求，并使采购人满意。同时在技术偏离表中作出详细说明。</w:t>
      </w:r>
    </w:p>
    <w:p>
      <w:pPr>
        <w:numPr>
          <w:ilvl w:val="0"/>
          <w:numId w:val="7"/>
        </w:numPr>
        <w:tabs>
          <w:tab w:val="left" w:pos="5355"/>
        </w:tabs>
        <w:spacing w:line="430" w:lineRule="exact"/>
        <w:rPr>
          <w:rFonts w:hint="eastAsia" w:ascii="宋体" w:hAnsi="宋体" w:eastAsia="宋体" w:cs="宋体"/>
          <w:b/>
          <w:bCs/>
          <w:color w:val="auto"/>
          <w:sz w:val="22"/>
          <w:szCs w:val="22"/>
          <w:highlight w:val="none"/>
          <w:u w:val="none"/>
        </w:rPr>
      </w:pPr>
      <w:r>
        <w:rPr>
          <w:rFonts w:hint="eastAsia" w:ascii="宋体" w:hAnsi="宋体" w:eastAsia="宋体" w:cs="宋体"/>
          <w:b/>
          <w:bCs/>
          <w:color w:val="auto"/>
          <w:sz w:val="22"/>
          <w:szCs w:val="22"/>
          <w:highlight w:val="none"/>
          <w:u w:val="none"/>
        </w:rPr>
        <w:t>以上所需的各种证书、证件、证明、执照若系复印件，须在复印件上加盖投标人有效的公章。</w:t>
      </w:r>
    </w:p>
    <w:p>
      <w:pPr>
        <w:spacing w:line="430" w:lineRule="exact"/>
        <w:rPr>
          <w:rFonts w:hint="eastAsia" w:ascii="宋体" w:hAnsi="宋体" w:eastAsia="宋体" w:cs="宋体"/>
          <w:b/>
          <w:color w:val="auto"/>
          <w:sz w:val="22"/>
          <w:szCs w:val="22"/>
          <w:highlight w:val="none"/>
        </w:rPr>
      </w:pPr>
      <w:bookmarkStart w:id="54" w:name="_Toc221356886"/>
      <w:r>
        <w:rPr>
          <w:rFonts w:hint="eastAsia" w:ascii="宋体" w:hAnsi="宋体" w:eastAsia="宋体" w:cs="宋体"/>
          <w:b/>
          <w:color w:val="auto"/>
          <w:sz w:val="22"/>
          <w:szCs w:val="22"/>
          <w:highlight w:val="none"/>
        </w:rPr>
        <w:t>（3） 商务报价标</w:t>
      </w:r>
      <w:bookmarkEnd w:id="54"/>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369"/>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pPr>
              <w:spacing w:line="43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369" w:type="dxa"/>
            <w:noWrap w:val="0"/>
            <w:vAlign w:val="center"/>
          </w:tcPr>
          <w:p>
            <w:pPr>
              <w:spacing w:line="43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c>
          <w:tcPr>
            <w:tcW w:w="1577" w:type="dxa"/>
            <w:noWrap w:val="0"/>
            <w:vAlign w:val="center"/>
          </w:tcPr>
          <w:p>
            <w:pPr>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pPr>
              <w:spacing w:line="43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369" w:type="dxa"/>
            <w:noWrap w:val="0"/>
            <w:vAlign w:val="center"/>
          </w:tcPr>
          <w:p>
            <w:pPr>
              <w:spacing w:line="430" w:lineRule="exac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开标一览表</w:t>
            </w:r>
          </w:p>
        </w:tc>
        <w:tc>
          <w:tcPr>
            <w:tcW w:w="1577" w:type="dxa"/>
            <w:noWrap w:val="0"/>
            <w:vAlign w:val="center"/>
          </w:tcPr>
          <w:p>
            <w:pPr>
              <w:spacing w:line="430" w:lineRule="exac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pPr>
              <w:spacing w:line="43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369" w:type="dxa"/>
            <w:noWrap w:val="0"/>
            <w:vAlign w:val="center"/>
          </w:tcPr>
          <w:p>
            <w:pPr>
              <w:spacing w:line="430" w:lineRule="exac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投标分项报价表</w:t>
            </w:r>
          </w:p>
        </w:tc>
        <w:tc>
          <w:tcPr>
            <w:tcW w:w="1577" w:type="dxa"/>
            <w:noWrap w:val="0"/>
            <w:vAlign w:val="center"/>
          </w:tcPr>
          <w:p>
            <w:pPr>
              <w:spacing w:line="430" w:lineRule="exac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（附件三）</w:t>
            </w:r>
          </w:p>
        </w:tc>
      </w:tr>
    </w:tbl>
    <w:p>
      <w:pPr>
        <w:numPr>
          <w:ilvl w:val="1"/>
          <w:numId w:val="8"/>
        </w:numPr>
        <w:tabs>
          <w:tab w:val="left" w:pos="360"/>
          <w:tab w:val="clear" w:pos="992"/>
        </w:tabs>
        <w:spacing w:line="460" w:lineRule="exact"/>
        <w:ind w:left="360" w:hanging="3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投标文件格式</w:t>
      </w:r>
    </w:p>
    <w:p>
      <w:pPr>
        <w:numPr>
          <w:ilvl w:val="0"/>
          <w:numId w:val="9"/>
        </w:numPr>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投标人应根据</w:t>
      </w:r>
      <w:r>
        <w:rPr>
          <w:rFonts w:hint="eastAsia" w:ascii="宋体" w:hAnsi="宋体" w:eastAsia="宋体" w:cs="宋体"/>
          <w:color w:val="auto"/>
          <w:sz w:val="22"/>
          <w:szCs w:val="22"/>
          <w:highlight w:val="none"/>
        </w:rPr>
        <w:t>采购</w:t>
      </w:r>
      <w:r>
        <w:rPr>
          <w:rFonts w:hint="eastAsia" w:ascii="宋体" w:hAnsi="宋体" w:eastAsia="宋体" w:cs="宋体"/>
          <w:bCs/>
          <w:color w:val="auto"/>
          <w:sz w:val="22"/>
          <w:szCs w:val="22"/>
          <w:highlight w:val="none"/>
        </w:rPr>
        <w:t>文件中所提供的格式，内容按顺序填写并装订成册,不允许以活页夹形式装订投标文件；</w:t>
      </w:r>
    </w:p>
    <w:p>
      <w:pPr>
        <w:numPr>
          <w:ilvl w:val="0"/>
          <w:numId w:val="9"/>
        </w:numPr>
        <w:spacing w:line="440" w:lineRule="exac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资格审查资料、技术资信标、商务报价标分别包装于各自标函袋中，标函袋不做统一要求。</w:t>
      </w:r>
    </w:p>
    <w:p>
      <w:pPr>
        <w:numPr>
          <w:ilvl w:val="0"/>
          <w:numId w:val="9"/>
        </w:numPr>
        <w:spacing w:line="440" w:lineRule="exac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投标文件应有目录以及页码，以便评委检索。</w:t>
      </w:r>
    </w:p>
    <w:p>
      <w:pPr>
        <w:numPr>
          <w:ilvl w:val="0"/>
          <w:numId w:val="9"/>
        </w:numPr>
        <w:spacing w:line="440" w:lineRule="exac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证书、证件、证明等原件，属备查项目，并非强制性要求。投标人若提交原件资料，应将原件单独包封，与投标文件一同向采购代理机构递交。</w:t>
      </w:r>
      <w:r>
        <w:rPr>
          <w:rFonts w:hint="eastAsia" w:ascii="宋体" w:hAnsi="宋体" w:eastAsia="宋体" w:cs="宋体"/>
          <w:color w:val="auto"/>
          <w:sz w:val="22"/>
          <w:szCs w:val="22"/>
          <w:highlight w:val="none"/>
        </w:rPr>
        <w:t>评标主要依据投标人投标文件中加盖有效公章的证书/证明文件复印件，如评标委员会对复印件有异议的，可在投标人提供原件资料里核查，若投标人未提供原件资料佐证的，则承担相应评分项不得分的风险。</w:t>
      </w:r>
    </w:p>
    <w:p>
      <w:pPr>
        <w:numPr>
          <w:ilvl w:val="0"/>
          <w:numId w:val="3"/>
        </w:numPr>
        <w:tabs>
          <w:tab w:val="left" w:pos="540"/>
        </w:tabs>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投标报价</w:t>
      </w:r>
    </w:p>
    <w:p>
      <w:pPr>
        <w:tabs>
          <w:tab w:val="left" w:pos="525"/>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u w:val="single"/>
        </w:rPr>
        <w:t>本项目投标报价为中标人在正确地完全履行合同义务后采购人应支付给中标人所有的货物及服务价款，包括为完成本项目所要求的货物制造、运输、调试、验收（含第三方验收）、</w:t>
      </w:r>
      <w:r>
        <w:rPr>
          <w:rFonts w:hint="eastAsia" w:ascii="宋体" w:hAnsi="宋体" w:eastAsia="宋体" w:cs="宋体"/>
          <w:b/>
          <w:color w:val="auto"/>
          <w:sz w:val="22"/>
          <w:szCs w:val="22"/>
          <w:highlight w:val="none"/>
          <w:u w:val="single"/>
          <w:lang w:val="en-US" w:eastAsia="zh-CN"/>
        </w:rPr>
        <w:t>上牌服务</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税费（增值税发票）、</w:t>
      </w:r>
      <w:r>
        <w:rPr>
          <w:rFonts w:hint="eastAsia" w:ascii="宋体" w:hAnsi="宋体" w:eastAsia="宋体" w:cs="宋体"/>
          <w:b/>
          <w:color w:val="auto"/>
          <w:sz w:val="22"/>
          <w:szCs w:val="22"/>
          <w:highlight w:val="none"/>
          <w:u w:val="single"/>
          <w:lang w:val="en-US" w:eastAsia="zh-CN"/>
        </w:rPr>
        <w:t>售后服务、</w:t>
      </w:r>
      <w:r>
        <w:rPr>
          <w:rFonts w:hint="eastAsia" w:ascii="宋体" w:hAnsi="宋体" w:eastAsia="宋体" w:cs="宋体"/>
          <w:b/>
          <w:color w:val="auto"/>
          <w:sz w:val="22"/>
          <w:szCs w:val="22"/>
          <w:highlight w:val="none"/>
          <w:u w:val="single"/>
        </w:rPr>
        <w:t>招标代理服务费等所可能产生的全部费用</w:t>
      </w:r>
      <w:r>
        <w:rPr>
          <w:rFonts w:hint="eastAsia" w:ascii="宋体" w:hAnsi="宋体" w:eastAsia="宋体" w:cs="宋体"/>
          <w:b/>
          <w:color w:val="auto"/>
          <w:sz w:val="22"/>
          <w:szCs w:val="22"/>
          <w:highlight w:val="none"/>
          <w:u w:val="single"/>
          <w:lang w:eastAsia="zh-CN"/>
        </w:rPr>
        <w:t>，实行固定费用</w:t>
      </w:r>
      <w:r>
        <w:rPr>
          <w:rFonts w:hint="eastAsia" w:ascii="宋体" w:hAnsi="宋体" w:eastAsia="宋体" w:cs="宋体"/>
          <w:b/>
          <w:color w:val="auto"/>
          <w:sz w:val="22"/>
          <w:szCs w:val="22"/>
          <w:highlight w:val="none"/>
          <w:u w:val="single"/>
        </w:rPr>
        <w:t>总包干，报价人应根据上述因素自行考虑含入投标总价，否则由此而引起的一切费用均视为已包括在投标报价中。</w:t>
      </w:r>
    </w:p>
    <w:p>
      <w:pPr>
        <w:tabs>
          <w:tab w:val="left" w:pos="525"/>
        </w:tabs>
        <w:spacing w:line="400" w:lineRule="exact"/>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rPr>
        <w:t xml:space="preserve">11.2 </w:t>
      </w:r>
      <w:r>
        <w:rPr>
          <w:rFonts w:hint="eastAsia" w:ascii="宋体" w:hAnsi="宋体" w:eastAsia="宋体" w:cs="宋体"/>
          <w:bCs/>
          <w:color w:val="auto"/>
          <w:kern w:val="0"/>
          <w:sz w:val="22"/>
          <w:szCs w:val="22"/>
          <w:highlight w:val="none"/>
          <w:lang w:val="zh-CN"/>
        </w:rPr>
        <w:t>投标人须认真阅读、充分理解采购文件，如有疑问可在询疑截止时间前送达（或传真）采购代理机构，采购代理机构将会统一解答。任何因对本项目采购文件理解不清、产生歧义等由此产生的费用，视作已含在投标总价中。</w:t>
      </w:r>
    </w:p>
    <w:p>
      <w:pPr>
        <w:tabs>
          <w:tab w:val="left" w:pos="525"/>
        </w:tabs>
        <w:spacing w:line="40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11.3 </w:t>
      </w:r>
      <w:r>
        <w:rPr>
          <w:rFonts w:hint="eastAsia" w:ascii="宋体" w:hAnsi="宋体" w:eastAsia="宋体" w:cs="宋体"/>
          <w:bCs/>
          <w:color w:val="auto"/>
          <w:kern w:val="0"/>
          <w:sz w:val="22"/>
          <w:szCs w:val="22"/>
          <w:highlight w:val="none"/>
          <w:lang w:val="zh-CN"/>
        </w:rPr>
        <w:t>投标人必须按第三部分附件的开标一览表（统一格式）、投标分项报价表（统一格式）的内容填写单价、合价及其他事项，并由法定代表人或授权代表签署。</w:t>
      </w:r>
    </w:p>
    <w:p>
      <w:pPr>
        <w:tabs>
          <w:tab w:val="left" w:pos="525"/>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 报价货币基础为人民币。</w:t>
      </w:r>
    </w:p>
    <w:p>
      <w:pPr>
        <w:tabs>
          <w:tab w:val="left" w:pos="525"/>
        </w:tabs>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11.5 采购人不接受任何选择报价，只允许一个报价。</w:t>
      </w:r>
    </w:p>
    <w:p>
      <w:pPr>
        <w:tabs>
          <w:tab w:val="left" w:pos="525"/>
        </w:tabs>
        <w:spacing w:line="400" w:lineRule="exact"/>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rPr>
        <w:t xml:space="preserve">11.6 </w:t>
      </w:r>
      <w:r>
        <w:rPr>
          <w:rFonts w:hint="eastAsia" w:ascii="宋体" w:hAnsi="宋体" w:eastAsia="宋体" w:cs="宋体"/>
          <w:bCs/>
          <w:color w:val="auto"/>
          <w:kern w:val="0"/>
          <w:sz w:val="22"/>
          <w:szCs w:val="22"/>
          <w:highlight w:val="none"/>
          <w:lang w:val="zh-CN"/>
        </w:rPr>
        <w:t>投标人所报的投标价在合同执行过程中是固定不变的，不得以任何理由予以变更。任何包含价格调整的要求，将被认为是非实质性响应投标而予以拒绝。</w:t>
      </w:r>
    </w:p>
    <w:p>
      <w:pPr>
        <w:tabs>
          <w:tab w:val="left" w:pos="525"/>
        </w:tabs>
        <w:spacing w:line="400" w:lineRule="exac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rPr>
        <w:t>11.7</w:t>
      </w:r>
      <w:r>
        <w:rPr>
          <w:rFonts w:hint="eastAsia" w:ascii="宋体" w:hAnsi="宋体" w:eastAsia="宋体" w:cs="宋体"/>
          <w:b/>
          <w:bCs w:val="0"/>
          <w:color w:val="auto"/>
          <w:kern w:val="0"/>
          <w:sz w:val="22"/>
          <w:szCs w:val="22"/>
          <w:highlight w:val="none"/>
          <w:u w:val="none"/>
        </w:rPr>
        <w:t>报价是中标的一个重要因素，但最低报价不是中标的唯一依据</w:t>
      </w:r>
      <w:r>
        <w:rPr>
          <w:rFonts w:hint="eastAsia" w:ascii="宋体" w:hAnsi="宋体" w:eastAsia="宋体" w:cs="宋体"/>
          <w:bCs/>
          <w:color w:val="auto"/>
          <w:kern w:val="0"/>
          <w:sz w:val="22"/>
          <w:szCs w:val="22"/>
          <w:highlight w:val="none"/>
        </w:rPr>
        <w:t>。</w:t>
      </w:r>
    </w:p>
    <w:p>
      <w:pPr>
        <w:numPr>
          <w:ilvl w:val="0"/>
          <w:numId w:val="3"/>
        </w:numPr>
        <w:tabs>
          <w:tab w:val="left" w:pos="540"/>
        </w:tabs>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投标保证金</w:t>
      </w:r>
    </w:p>
    <w:p>
      <w:pPr>
        <w:tabs>
          <w:tab w:val="left" w:pos="540"/>
        </w:tabs>
        <w:spacing w:line="460" w:lineRule="exact"/>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12.1 投标人须提供由投标单位汇出的投标保证金（金额详见《投标人须知前附表》），否则采购人将不接受其投标。</w:t>
      </w:r>
    </w:p>
    <w:p>
      <w:pPr>
        <w:tabs>
          <w:tab w:val="left" w:pos="540"/>
        </w:tabs>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 投标人的投标保证金在中标人与采购人签订了合同</w:t>
      </w:r>
      <w:r>
        <w:rPr>
          <w:rFonts w:hint="eastAsia" w:ascii="宋体" w:hAnsi="宋体" w:eastAsia="宋体" w:cs="宋体"/>
          <w:color w:val="auto"/>
          <w:sz w:val="22"/>
          <w:szCs w:val="22"/>
          <w:highlight w:val="none"/>
        </w:rPr>
        <w:t>并合同经备案后5个工作日内无息退还，未中标人的投标保证金将在确定中标人后7个工作日内无息退还。</w:t>
      </w:r>
    </w:p>
    <w:p>
      <w:pPr>
        <w:tabs>
          <w:tab w:val="left" w:pos="540"/>
        </w:tabs>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12.3 如发生下列情况之一，投标保证金将不予退还：</w:t>
      </w:r>
    </w:p>
    <w:p>
      <w:pPr>
        <w:numPr>
          <w:ilvl w:val="0"/>
          <w:numId w:val="10"/>
        </w:numPr>
        <w:tabs>
          <w:tab w:val="left" w:pos="360"/>
          <w:tab w:val="clear" w:pos="420"/>
        </w:tabs>
        <w:spacing w:line="43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投标人在采购文件规定的投标有效期内撤回投标；</w:t>
      </w:r>
    </w:p>
    <w:p>
      <w:pPr>
        <w:numPr>
          <w:ilvl w:val="0"/>
          <w:numId w:val="10"/>
        </w:numPr>
        <w:tabs>
          <w:tab w:val="left" w:pos="360"/>
          <w:tab w:val="clear" w:pos="420"/>
        </w:tabs>
        <w:spacing w:line="43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中标人未按中标通知书中规定的时间与采购人签订合同；</w:t>
      </w:r>
    </w:p>
    <w:p>
      <w:pPr>
        <w:numPr>
          <w:ilvl w:val="0"/>
          <w:numId w:val="10"/>
        </w:numPr>
        <w:tabs>
          <w:tab w:val="left" w:pos="360"/>
          <w:tab w:val="clear" w:pos="420"/>
        </w:tabs>
        <w:spacing w:line="43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中标人在规定期限内未能根据采购文件要求提供履约保证金；</w:t>
      </w:r>
    </w:p>
    <w:p>
      <w:pPr>
        <w:numPr>
          <w:ilvl w:val="0"/>
          <w:numId w:val="10"/>
        </w:numPr>
        <w:tabs>
          <w:tab w:val="left" w:pos="360"/>
          <w:tab w:val="clear" w:pos="420"/>
        </w:tabs>
        <w:spacing w:line="43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投标人在采购文件中提供虚假技术指标及参数，经评标委员会确认属实的。</w:t>
      </w:r>
    </w:p>
    <w:p>
      <w:pPr>
        <w:numPr>
          <w:ilvl w:val="0"/>
          <w:numId w:val="10"/>
        </w:numPr>
        <w:tabs>
          <w:tab w:val="left" w:pos="360"/>
          <w:tab w:val="clear" w:pos="420"/>
        </w:tabs>
        <w:spacing w:line="43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经认定投标人有违反有关法律法规的行为。</w:t>
      </w:r>
    </w:p>
    <w:p>
      <w:pPr>
        <w:numPr>
          <w:ilvl w:val="0"/>
          <w:numId w:val="3"/>
        </w:numPr>
        <w:tabs>
          <w:tab w:val="left" w:pos="540"/>
        </w:tabs>
        <w:spacing w:line="460" w:lineRule="exact"/>
        <w:ind w:left="540" w:hanging="540"/>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投标有效期</w:t>
      </w:r>
    </w:p>
    <w:p>
      <w:pPr>
        <w:tabs>
          <w:tab w:val="left" w:pos="540"/>
        </w:tabs>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13.1 自开标之日起</w:t>
      </w:r>
      <w:r>
        <w:rPr>
          <w:rFonts w:hint="eastAsia" w:ascii="宋体" w:hAnsi="宋体" w:eastAsia="宋体" w:cs="宋体"/>
          <w:b/>
          <w:color w:val="auto"/>
          <w:sz w:val="22"/>
          <w:szCs w:val="22"/>
          <w:highlight w:val="none"/>
          <w:u w:val="single"/>
        </w:rPr>
        <w:t xml:space="preserve"> 90</w:t>
      </w:r>
      <w:r>
        <w:rPr>
          <w:rFonts w:hint="eastAsia" w:ascii="宋体" w:hAnsi="宋体" w:eastAsia="宋体" w:cs="宋体"/>
          <w:b/>
          <w:color w:val="auto"/>
          <w:sz w:val="22"/>
          <w:szCs w:val="22"/>
          <w:highlight w:val="none"/>
        </w:rPr>
        <w:t>天内投标应保持有效。投标有效期短于这个规定期限的投标将视为非响应性投标而予以拒绝。</w:t>
      </w:r>
    </w:p>
    <w:p>
      <w:pPr>
        <w:tabs>
          <w:tab w:val="left" w:pos="54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3"/>
        </w:numPr>
        <w:tabs>
          <w:tab w:val="left" w:pos="540"/>
        </w:tabs>
        <w:spacing w:line="46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投标文件的签署和规定</w:t>
      </w:r>
    </w:p>
    <w:p>
      <w:pPr>
        <w:numPr>
          <w:ilvl w:val="1"/>
          <w:numId w:val="11"/>
        </w:numPr>
        <w:tabs>
          <w:tab w:val="left" w:pos="540"/>
          <w:tab w:val="clear" w:pos="992"/>
        </w:tabs>
        <w:spacing w:line="460" w:lineRule="exact"/>
        <w:ind w:left="540"/>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投标人应按照前附表的要求提供投标文件，分别装订成册。每套投标文件的封面应清楚标明“正本”或“副本”字样，若“正本”与“副本”不符，以“正本”为准。</w:t>
      </w:r>
    </w:p>
    <w:p>
      <w:pPr>
        <w:numPr>
          <w:ilvl w:val="1"/>
          <w:numId w:val="11"/>
        </w:numPr>
        <w:tabs>
          <w:tab w:val="left" w:pos="540"/>
          <w:tab w:val="clear" w:pos="992"/>
        </w:tabs>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投标文件的正本必须打印或用不褪色的墨水书写，并由法定代表人或其授权代表签署，副本可用正本的复印。</w:t>
      </w:r>
    </w:p>
    <w:p>
      <w:pPr>
        <w:numPr>
          <w:ilvl w:val="1"/>
          <w:numId w:val="11"/>
        </w:numPr>
        <w:tabs>
          <w:tab w:val="left" w:pos="540"/>
          <w:tab w:val="clear" w:pos="992"/>
        </w:tabs>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投标文件如有修改和增删必须由投标文件签字人在修改和增删处旁签署或盖章，方才有效。</w:t>
      </w:r>
    </w:p>
    <w:p>
      <w:pPr>
        <w:numPr>
          <w:ilvl w:val="1"/>
          <w:numId w:val="11"/>
        </w:numPr>
        <w:tabs>
          <w:tab w:val="left" w:pos="540"/>
          <w:tab w:val="clear" w:pos="992"/>
        </w:tabs>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投标文件字迹模糊或在关键的技术、商务条款上表述不清楚，将可能导致其投标被拒绝。</w:t>
      </w:r>
    </w:p>
    <w:p>
      <w:pPr>
        <w:numPr>
          <w:ilvl w:val="0"/>
          <w:numId w:val="3"/>
        </w:numPr>
        <w:tabs>
          <w:tab w:val="left" w:pos="540"/>
        </w:tabs>
        <w:spacing w:line="46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投标文件的密封及标记</w:t>
      </w:r>
    </w:p>
    <w:p>
      <w:pPr>
        <w:tabs>
          <w:tab w:val="left" w:pos="54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15.1 投标人必须将投标文件的“资格审查资料”、“技术资信标”、“商务报价标”分别单独密封，且在各自的密封袋上标明“技术资信标”和“商务报价标”字样。封口处贴上封条，启封处加盖投标单位公章并由法定代表人或其授权代表签字。封皮上写明投标项目名称、项目编号，并注明“开标时启封”字样。</w:t>
      </w:r>
    </w:p>
    <w:p>
      <w:pPr>
        <w:tabs>
          <w:tab w:val="left" w:pos="540"/>
        </w:tabs>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15.2 如果投标人未按上述要求密封及加写标记，导致投标文件被拒绝接收的责任自负。</w:t>
      </w:r>
    </w:p>
    <w:p>
      <w:pPr>
        <w:spacing w:before="100" w:beforeAutospacing="1" w:after="100" w:afterAutospacing="1" w:line="440" w:lineRule="exact"/>
        <w:ind w:left="783" w:hanging="783" w:hangingChars="300"/>
        <w:jc w:val="center"/>
        <w:outlineLvl w:val="0"/>
        <w:rPr>
          <w:rFonts w:hint="eastAsia" w:ascii="宋体" w:hAnsi="宋体" w:eastAsia="宋体" w:cs="宋体"/>
          <w:color w:val="auto"/>
          <w:sz w:val="22"/>
          <w:szCs w:val="22"/>
          <w:highlight w:val="none"/>
        </w:rPr>
      </w:pPr>
      <w:bookmarkStart w:id="55" w:name="_Toc241404202"/>
      <w:bookmarkStart w:id="56" w:name="_Toc221356887"/>
      <w:bookmarkStart w:id="57" w:name="_Toc71374675"/>
      <w:bookmarkStart w:id="58" w:name="_Toc19247"/>
      <w:bookmarkStart w:id="59" w:name="_Toc265529383"/>
      <w:bookmarkStart w:id="60" w:name="_Toc239145354"/>
      <w:bookmarkStart w:id="61" w:name="_Toc221423619"/>
      <w:bookmarkStart w:id="62" w:name="_Toc223715998"/>
      <w:bookmarkStart w:id="63" w:name="_Toc222114879"/>
      <w:bookmarkStart w:id="64" w:name="_Toc221374626"/>
      <w:bookmarkStart w:id="65" w:name="_Toc221356951"/>
      <w:r>
        <w:rPr>
          <w:rFonts w:hint="eastAsia" w:ascii="宋体" w:hAnsi="宋体" w:eastAsia="宋体" w:cs="宋体"/>
          <w:b/>
          <w:bCs/>
          <w:color w:val="auto"/>
          <w:sz w:val="26"/>
          <w:szCs w:val="26"/>
          <w:highlight w:val="none"/>
        </w:rPr>
        <w:t>四、 投标文件的递交</w:t>
      </w:r>
      <w:bookmarkEnd w:id="55"/>
      <w:bookmarkEnd w:id="56"/>
      <w:bookmarkEnd w:id="57"/>
      <w:bookmarkEnd w:id="58"/>
      <w:bookmarkEnd w:id="59"/>
      <w:bookmarkEnd w:id="60"/>
      <w:bookmarkEnd w:id="61"/>
      <w:bookmarkEnd w:id="62"/>
      <w:bookmarkEnd w:id="63"/>
      <w:bookmarkEnd w:id="64"/>
      <w:bookmarkEnd w:id="65"/>
    </w:p>
    <w:p>
      <w:pPr>
        <w:numPr>
          <w:ilvl w:val="0"/>
          <w:numId w:val="12"/>
        </w:numPr>
        <w:tabs>
          <w:tab w:val="left" w:pos="540"/>
        </w:tabs>
        <w:spacing w:line="460" w:lineRule="exac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投标文件的递交</w:t>
      </w:r>
    </w:p>
    <w:p>
      <w:pPr>
        <w:tabs>
          <w:tab w:val="left" w:pos="540"/>
        </w:tabs>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16.1 投标文件必须在规定的投标截止时间前送达到指定的收标地点；</w:t>
      </w:r>
    </w:p>
    <w:p>
      <w:pPr>
        <w:tabs>
          <w:tab w:val="left" w:pos="540"/>
        </w:tabs>
        <w:spacing w:line="460" w:lineRule="exac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16.2 ▲在递交投标文件同时递交以下证明文件，由采购人或采购代理机构在开启投标文件技术资信标后确认投标资格：</w:t>
      </w:r>
    </w:p>
    <w:p>
      <w:pPr>
        <w:numPr>
          <w:ilvl w:val="0"/>
          <w:numId w:val="13"/>
        </w:numPr>
        <w:tabs>
          <w:tab w:val="left" w:pos="540"/>
        </w:tabs>
        <w:spacing w:line="46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投标保证金缴纳证明文件；</w:t>
      </w:r>
    </w:p>
    <w:p>
      <w:pPr>
        <w:numPr>
          <w:ilvl w:val="0"/>
          <w:numId w:val="13"/>
        </w:numPr>
        <w:tabs>
          <w:tab w:val="left" w:pos="540"/>
        </w:tabs>
        <w:spacing w:line="46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法定代表人有效身份证明原件（若投标人代表为法定代表人）；</w:t>
      </w:r>
    </w:p>
    <w:p>
      <w:pPr>
        <w:numPr>
          <w:ilvl w:val="0"/>
          <w:numId w:val="13"/>
        </w:numPr>
        <w:tabs>
          <w:tab w:val="left" w:pos="540"/>
        </w:tabs>
        <w:spacing w:line="460" w:lineRule="exact"/>
        <w:rPr>
          <w:rFonts w:hint="eastAsia" w:ascii="宋体" w:hAnsi="宋体" w:eastAsia="宋体" w:cs="宋体"/>
          <w:bCs/>
          <w:color w:val="auto"/>
          <w:sz w:val="22"/>
          <w:szCs w:val="22"/>
          <w:highlight w:val="none"/>
          <w:u w:val="single"/>
        </w:rPr>
      </w:pPr>
      <w:r>
        <w:rPr>
          <w:rFonts w:hint="eastAsia" w:ascii="宋体" w:hAnsi="宋体" w:eastAsia="宋体" w:cs="宋体"/>
          <w:bCs/>
          <w:color w:val="auto"/>
          <w:kern w:val="0"/>
          <w:sz w:val="22"/>
          <w:szCs w:val="22"/>
          <w:highlight w:val="none"/>
        </w:rPr>
        <w:t>法定代表人授权书原件及授权代表有效身份证明原件（若法定代表人在参加投标活动的同时另行委派投标人代表，法定代表人授权书原件如密封在投标文件技术资信标中，在技术资信标开启后经采购人或采购代理机构查验符合要求亦为有效）；</w:t>
      </w:r>
    </w:p>
    <w:p>
      <w:pPr>
        <w:numPr>
          <w:ilvl w:val="0"/>
          <w:numId w:val="13"/>
        </w:numPr>
        <w:tabs>
          <w:tab w:val="left" w:pos="540"/>
        </w:tabs>
        <w:spacing w:line="460" w:lineRule="exact"/>
        <w:rPr>
          <w:rFonts w:hint="eastAsia" w:ascii="宋体" w:hAnsi="宋体" w:eastAsia="宋体" w:cs="宋体"/>
          <w:bCs/>
          <w:color w:val="auto"/>
          <w:sz w:val="22"/>
          <w:szCs w:val="22"/>
          <w:highlight w:val="none"/>
          <w:u w:val="single"/>
        </w:rPr>
      </w:pPr>
      <w:r>
        <w:rPr>
          <w:rFonts w:hint="eastAsia" w:ascii="宋体" w:hAnsi="宋体" w:eastAsia="宋体" w:cs="宋体"/>
          <w:bCs/>
          <w:color w:val="auto"/>
          <w:kern w:val="0"/>
          <w:sz w:val="22"/>
          <w:szCs w:val="22"/>
          <w:highlight w:val="none"/>
        </w:rPr>
        <w:t>企业法人营业执照复印件（加盖公章，如密封在投标文件技术资信标中，在技术资信标开启后经采购人或采购代理机构查验符合要求亦为有效）。</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16.3</w:t>
      </w:r>
      <w:r>
        <w:rPr>
          <w:rFonts w:hint="eastAsia" w:ascii="宋体" w:hAnsi="宋体" w:eastAsia="宋体" w:cs="宋体"/>
          <w:color w:val="auto"/>
          <w:kern w:val="0"/>
          <w:sz w:val="22"/>
          <w:szCs w:val="22"/>
          <w:highlight w:val="none"/>
        </w:rPr>
        <w:t>根据温州疫情防控需求，参与本项目的投标人代表（法定代表人或其授权委托人）必须严格遵守省市区及属地防疫要求，如有冲突，以标书递交所在地防疫要求为准，否则不得参与项目投标：具体要求如下（不限于）：</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1）投标人代表在进入开标地点前必须出示温州防疫码，且显示绿码。如投标人代表的温州防疫码无法正常展示的，不能参与此次投标。</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2）凡来自有报告核酸阳性病例所在地中高风险地区人员不得作为投标人代表。</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3）其他低风险地区投标人代表若为省外来温、返温人员，在进入开标地点前必须提供48小时内（标书递交截止时间前）核酸检测阴性证明。</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有新的省市区文件按新的文件执行。</w:t>
      </w:r>
    </w:p>
    <w:p>
      <w:pPr>
        <w:numPr>
          <w:ilvl w:val="0"/>
          <w:numId w:val="0"/>
        </w:numPr>
        <w:tabs>
          <w:tab w:val="left" w:pos="540"/>
        </w:tabs>
        <w:spacing w:line="460" w:lineRule="exact"/>
        <w:ind w:leftChars="0"/>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5）如投标人无法满足以上要求的，允许其邮寄投标文件，但投标文件必须在</w:t>
      </w:r>
      <w:r>
        <w:rPr>
          <w:rFonts w:hint="eastAsia" w:ascii="宋体" w:hAnsi="宋体" w:eastAsia="宋体" w:cs="宋体"/>
          <w:color w:val="auto"/>
          <w:kern w:val="0"/>
          <w:sz w:val="22"/>
          <w:szCs w:val="22"/>
          <w:highlight w:val="none"/>
          <w:lang w:val="en-US" w:eastAsia="zh-CN"/>
        </w:rPr>
        <w:t>2022年11月18日09时00分</w:t>
      </w:r>
      <w:r>
        <w:rPr>
          <w:rFonts w:hint="eastAsia" w:ascii="宋体" w:hAnsi="宋体" w:eastAsia="宋体" w:cs="宋体"/>
          <w:color w:val="auto"/>
          <w:kern w:val="0"/>
          <w:sz w:val="22"/>
          <w:szCs w:val="22"/>
          <w:highlight w:val="none"/>
        </w:rPr>
        <w:t>前</w:t>
      </w:r>
      <w:r>
        <w:rPr>
          <w:rFonts w:hint="eastAsia" w:ascii="宋体" w:hAnsi="宋体" w:eastAsia="宋体" w:cs="宋体"/>
          <w:color w:val="auto"/>
          <w:kern w:val="0"/>
          <w:sz w:val="22"/>
          <w:szCs w:val="22"/>
          <w:highlight w:val="none"/>
        </w:rPr>
        <w:t>邮寄到</w:t>
      </w:r>
      <w:r>
        <w:rPr>
          <w:rFonts w:hint="eastAsia" w:ascii="宋体" w:hAnsi="宋体" w:eastAsia="宋体" w:cs="宋体"/>
          <w:color w:val="auto"/>
          <w:kern w:val="0"/>
          <w:sz w:val="22"/>
          <w:szCs w:val="22"/>
          <w:highlight w:val="none"/>
          <w:lang w:eastAsia="zh-CN"/>
        </w:rPr>
        <w:t>温州市瓯海区新桥街道高昂路1号牛山广场2号楼1409室（以签收时间为准）</w:t>
      </w:r>
      <w:r>
        <w:rPr>
          <w:rFonts w:hint="eastAsia" w:ascii="宋体" w:hAnsi="宋体" w:eastAsia="宋体" w:cs="宋体"/>
          <w:color w:val="auto"/>
          <w:kern w:val="0"/>
          <w:sz w:val="22"/>
          <w:szCs w:val="22"/>
          <w:highlight w:val="none"/>
        </w:rPr>
        <w:t>。各投标人务必充分考虑邮寄可能存在的延迟送达、包装破损、资料遗失等一系列意外情形。投标文件寄出后请尽快告之代理机构叶先生（联系电话13958779970）。代理机构会在监督人员的监督下，确认所有收到的投标文件的密封、包装是否符合要求等，并于开标时间统一对符合要求的所有投标文件进行公开开标。投标人授权代表未参加开标会议、未到场签字确认的，不影响开标、评标过程，视同认可开标结果，事后不得对采购相关人员、开标过程和开标结果提出异议。</w:t>
      </w:r>
    </w:p>
    <w:p>
      <w:pPr>
        <w:numPr>
          <w:ilvl w:val="0"/>
          <w:numId w:val="12"/>
        </w:numPr>
        <w:tabs>
          <w:tab w:val="left" w:pos="540"/>
        </w:tabs>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投标文件的修改和撤回</w:t>
      </w:r>
    </w:p>
    <w:p>
      <w:pPr>
        <w:tabs>
          <w:tab w:val="left" w:pos="540"/>
        </w:tabs>
        <w:spacing w:line="460" w:lineRule="exact"/>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17.1 在投标截止时间前，投标人可以用书面形式提出修改或撤回其投标并送达到采购人，但不得影响开标活动的正常进行。</w:t>
      </w:r>
    </w:p>
    <w:p>
      <w:pPr>
        <w:tabs>
          <w:tab w:val="left" w:pos="540"/>
        </w:tabs>
        <w:spacing w:line="460" w:lineRule="exac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17.2 “投标文件修改”或“投标文件撤回通知”都应密封并在密封袋上写明投标项目名称、项目编号、投标单位名称，并注明“投标文件修改”或“投标文件撤回通知”字样。</w:t>
      </w:r>
    </w:p>
    <w:p>
      <w:pPr>
        <w:tabs>
          <w:tab w:val="left" w:pos="540"/>
        </w:tabs>
        <w:spacing w:line="460" w:lineRule="exac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17.3 从投标截止日期起至投标有效期满这段时间内，投标人不得撤回其投标，否则投标保证金将</w:t>
      </w:r>
      <w:r>
        <w:rPr>
          <w:rFonts w:hint="eastAsia" w:ascii="宋体" w:hAnsi="宋体" w:eastAsia="宋体" w:cs="宋体"/>
          <w:color w:val="auto"/>
          <w:sz w:val="22"/>
          <w:szCs w:val="22"/>
          <w:highlight w:val="none"/>
        </w:rPr>
        <w:t>被不予退还。</w:t>
      </w:r>
    </w:p>
    <w:p>
      <w:pPr>
        <w:numPr>
          <w:ilvl w:val="0"/>
          <w:numId w:val="12"/>
        </w:numPr>
        <w:tabs>
          <w:tab w:val="left" w:pos="540"/>
        </w:tabs>
        <w:spacing w:line="46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highlight w:val="none"/>
        </w:rPr>
        <w:t>递交投标文件时，需满足以下要求，否则该投标文件予以拒绝：</w:t>
      </w:r>
    </w:p>
    <w:p>
      <w:pPr>
        <w:tabs>
          <w:tab w:val="left" w:pos="540"/>
        </w:tabs>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18.1 在投标截止时间之前递交。</w:t>
      </w:r>
    </w:p>
    <w:p>
      <w:pPr>
        <w:tabs>
          <w:tab w:val="left" w:pos="540"/>
        </w:tabs>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18.</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 xml:space="preserve"> 包装与密封符合采购文件要求。</w:t>
      </w:r>
    </w:p>
    <w:p>
      <w:pPr>
        <w:tabs>
          <w:tab w:val="left" w:pos="540"/>
        </w:tabs>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18.</w:t>
      </w: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 xml:space="preserve"> 投标文件递交到指定的投标地点。</w:t>
      </w:r>
    </w:p>
    <w:p>
      <w:pPr>
        <w:tabs>
          <w:tab w:val="left" w:pos="360"/>
          <w:tab w:val="left" w:pos="540"/>
          <w:tab w:val="left" w:pos="1260"/>
        </w:tabs>
        <w:spacing w:before="100" w:beforeAutospacing="1" w:after="100" w:afterAutospacing="1" w:line="440" w:lineRule="exact"/>
        <w:ind w:left="919" w:hanging="919" w:hangingChars="352"/>
        <w:jc w:val="center"/>
        <w:outlineLvl w:val="0"/>
        <w:rPr>
          <w:rFonts w:hint="eastAsia" w:ascii="宋体" w:hAnsi="宋体" w:eastAsia="宋体" w:cs="宋体"/>
          <w:color w:val="auto"/>
          <w:sz w:val="22"/>
          <w:szCs w:val="22"/>
          <w:highlight w:val="none"/>
        </w:rPr>
      </w:pPr>
      <w:bookmarkStart w:id="66" w:name="_Toc221374627"/>
      <w:bookmarkStart w:id="67" w:name="_Toc222114880"/>
      <w:bookmarkStart w:id="68" w:name="_Toc221423620"/>
      <w:bookmarkStart w:id="69" w:name="_Toc71374676"/>
      <w:bookmarkStart w:id="70" w:name="_Toc221356888"/>
      <w:bookmarkStart w:id="71" w:name="_Toc221356952"/>
      <w:bookmarkStart w:id="72" w:name="_Toc1242"/>
      <w:bookmarkStart w:id="73" w:name="_Toc239145355"/>
      <w:bookmarkStart w:id="74" w:name="_Toc265529384"/>
      <w:bookmarkStart w:id="75" w:name="_Toc223715999"/>
      <w:bookmarkStart w:id="76" w:name="_Toc241404203"/>
      <w:r>
        <w:rPr>
          <w:rFonts w:hint="eastAsia" w:ascii="宋体" w:hAnsi="宋体" w:eastAsia="宋体" w:cs="宋体"/>
          <w:b/>
          <w:bCs/>
          <w:color w:val="auto"/>
          <w:sz w:val="26"/>
          <w:szCs w:val="26"/>
          <w:highlight w:val="none"/>
        </w:rPr>
        <w:t>五、 开标和评标</w:t>
      </w:r>
      <w:bookmarkEnd w:id="66"/>
      <w:bookmarkEnd w:id="67"/>
      <w:bookmarkEnd w:id="68"/>
      <w:bookmarkEnd w:id="69"/>
      <w:bookmarkEnd w:id="70"/>
      <w:bookmarkEnd w:id="71"/>
      <w:bookmarkEnd w:id="72"/>
      <w:bookmarkEnd w:id="73"/>
      <w:bookmarkEnd w:id="74"/>
      <w:bookmarkEnd w:id="75"/>
      <w:bookmarkEnd w:id="76"/>
    </w:p>
    <w:p>
      <w:pPr>
        <w:numPr>
          <w:ilvl w:val="0"/>
          <w:numId w:val="14"/>
        </w:numPr>
        <w:tabs>
          <w:tab w:val="left" w:pos="540"/>
        </w:tabs>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评标委员会</w:t>
      </w:r>
    </w:p>
    <w:p>
      <w:pPr>
        <w:spacing w:line="440" w:lineRule="exact"/>
        <w:ind w:left="42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标委员会成员由采购人代表和有关技术、经济等方面的专家组成，不少于5人，其中技术、经济等方面的专家成员人数不得少于成员总数的2/3，所有评标专家应在评标专家库中随机抽取产生。评标委员会的成员在评标过程中必须严格遵守《温州市市属国有企业采购管理办法（试行）》及有关法律、法规组织和实施的</w:t>
      </w:r>
      <w:r>
        <w:rPr>
          <w:rFonts w:hint="eastAsia" w:ascii="宋体" w:hAnsi="宋体" w:eastAsia="宋体" w:cs="宋体"/>
          <w:bCs/>
          <w:color w:val="auto"/>
          <w:sz w:val="22"/>
          <w:szCs w:val="22"/>
          <w:highlight w:val="none"/>
        </w:rPr>
        <w:t>。</w:t>
      </w:r>
    </w:p>
    <w:p>
      <w:pPr>
        <w:numPr>
          <w:ilvl w:val="0"/>
          <w:numId w:val="14"/>
        </w:numPr>
        <w:tabs>
          <w:tab w:val="left" w:pos="540"/>
        </w:tabs>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评标过程的保密性</w:t>
      </w:r>
    </w:p>
    <w:p>
      <w:pPr>
        <w:spacing w:line="44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pPr>
        <w:numPr>
          <w:ilvl w:val="0"/>
          <w:numId w:val="14"/>
        </w:numPr>
        <w:tabs>
          <w:tab w:val="left" w:pos="540"/>
        </w:tabs>
        <w:spacing w:line="440" w:lineRule="exact"/>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开标、评标</w:t>
      </w:r>
    </w:p>
    <w:p>
      <w:pPr>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21.1采购人按采购文件规定的时间、地点开启投标文件。开标前，首先检查投标文件的密封情况，确认无误后开启投标文件。</w:t>
      </w:r>
    </w:p>
    <w:p>
      <w:pPr>
        <w:numPr>
          <w:ilvl w:val="0"/>
          <w:numId w:val="15"/>
        </w:num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开标时邀请所有投标人代表参加，参加开标的代表应准时出席并签名报到以证明其出席。投标人代表未参加开标会的，事后不得对开标过程和开标结果提出异议。</w:t>
      </w:r>
    </w:p>
    <w:p>
      <w:pPr>
        <w:numPr>
          <w:ilvl w:val="0"/>
          <w:numId w:val="15"/>
        </w:num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时，应当由投标人推选的代表检查投标文件的密封情况；经确认无误后，由采购代理机构工作人员当众拆封，宣布投标人名称、投标价格和采购文件规定的需要宣布的其他内容。采购代理机构指定专人作好记录，存档备查。投标人代表应对宣读内容及记录结果当场进行校核和签字确认，如有异议应当场提出，否则视为默许同意。</w:t>
      </w:r>
    </w:p>
    <w:p>
      <w:pPr>
        <w:numPr>
          <w:ilvl w:val="0"/>
          <w:numId w:val="15"/>
        </w:num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结束后，采购人或采购代理机构依法对投标人的资格进行审查。审查内容包括但不仅限于随投标文件一同提交的法定代表人授权书（原件）、投标人代表有效身份证件（原件）、企业法人营业执照复印件、投标保证金，以及投标文件所提交证明材料是否能证明符合本项目对合格投标人的实质性要求。通过资格审查视作具备投标资格，审查不合格的投标文件将不进入后续详细评审。</w:t>
      </w:r>
    </w:p>
    <w:p>
      <w:pPr>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21.2投标文件的初审（符合性检查）。</w:t>
      </w:r>
    </w:p>
    <w:p>
      <w:pPr>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pPr>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21.3▲</w:t>
      </w:r>
      <w:r>
        <w:rPr>
          <w:rFonts w:hint="eastAsia" w:ascii="宋体" w:hAnsi="宋体" w:eastAsia="宋体" w:cs="宋体"/>
          <w:b/>
          <w:bCs/>
          <w:color w:val="auto"/>
          <w:kern w:val="0"/>
          <w:sz w:val="22"/>
          <w:szCs w:val="22"/>
          <w:highlight w:val="none"/>
          <w:u w:val="single"/>
        </w:rPr>
        <w:t>投标人存在下列情况之一的，投标无效</w:t>
      </w:r>
      <w:r>
        <w:rPr>
          <w:rFonts w:hint="eastAsia" w:ascii="宋体" w:hAnsi="宋体" w:eastAsia="宋体" w:cs="宋体"/>
          <w:color w:val="auto"/>
          <w:kern w:val="0"/>
          <w:sz w:val="22"/>
          <w:szCs w:val="22"/>
          <w:highlight w:val="none"/>
        </w:rPr>
        <w:t>:</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1）未按照采购文件的规定提交投标保证金的；</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2）投标文件正本未按采购文件要求签署、盖章的；</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3）不具备采购文件中规定的资格要求的；</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4）报价超过采购文件中规定的</w:t>
      </w:r>
      <w:r>
        <w:rPr>
          <w:rFonts w:hint="eastAsia" w:ascii="宋体" w:hAnsi="宋体" w:eastAsia="宋体" w:cs="宋体"/>
          <w:color w:val="auto"/>
          <w:kern w:val="0"/>
          <w:sz w:val="22"/>
          <w:szCs w:val="22"/>
          <w:highlight w:val="none"/>
          <w:lang w:val="en-US" w:eastAsia="zh-CN"/>
        </w:rPr>
        <w:t>采购预算或</w:t>
      </w:r>
      <w:r>
        <w:rPr>
          <w:rFonts w:hint="eastAsia" w:ascii="宋体" w:hAnsi="宋体" w:eastAsia="宋体" w:cs="宋体"/>
          <w:color w:val="auto"/>
          <w:kern w:val="0"/>
          <w:sz w:val="22"/>
          <w:szCs w:val="22"/>
          <w:highlight w:val="none"/>
        </w:rPr>
        <w:t>投标限价的；</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5）投标文件含有采购人不能接受的附加条件的（包括采购文件中明确要求不得偏离的采购要求，存在负偏离的）；</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6）投标人递交两份或两份以上内容不同的投标文件，未声明哪一份有效的；</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7）对关键条文的偏离、保留或反对，例如关于投标保证金、付款方式、完工期（服务期）、免费质保期、适用法律法规、标准、税费等其他内容；</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8）存在串标、抬标或弄虚作假情况的；</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9）法律、法规和采购文件规定的其他无效情形（或出现重大偏差）。</w:t>
      </w:r>
    </w:p>
    <w:p>
      <w:pPr>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21.4▲</w:t>
      </w:r>
      <w:r>
        <w:rPr>
          <w:rFonts w:hint="eastAsia" w:ascii="宋体" w:hAnsi="宋体" w:eastAsia="宋体" w:cs="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宋体" w:hAnsi="宋体" w:eastAsia="宋体" w:cs="宋体"/>
          <w:color w:val="auto"/>
          <w:kern w:val="0"/>
          <w:sz w:val="22"/>
          <w:szCs w:val="22"/>
          <w:highlight w:val="none"/>
        </w:rPr>
        <w:t>：</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1）未按采购文件要求编制或字迹模糊、辨认不清的投标文件；</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2）除21.3条款以外，出现其它明显不符合技术规格、技术标准的要求或不满足采购文件技术规格书中的主要参数的投标文件；</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3）除21.3条款以外，出现投标项目数量与采购文件对比出现较大偏差；商务报价明细表计算错误，出现较大差错；</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4）除21.3条款以外，出现其它不符合采购文件中规定的实质性要求的投标文件，是否为偏离实质性要求由评标委员会认定。</w:t>
      </w:r>
    </w:p>
    <w:p>
      <w:pPr>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21.5</w:t>
      </w:r>
      <w:r>
        <w:rPr>
          <w:rFonts w:hint="eastAsia" w:ascii="宋体" w:hAnsi="宋体" w:eastAsia="宋体" w:cs="宋体"/>
          <w:b/>
          <w:bCs/>
          <w:color w:val="auto"/>
          <w:kern w:val="0"/>
          <w:sz w:val="22"/>
          <w:szCs w:val="22"/>
          <w:highlight w:val="none"/>
          <w:u w:val="single"/>
        </w:rPr>
        <w:t>有下列情形之一的，视为投标人串通投标，其投标无效</w:t>
      </w:r>
      <w:r>
        <w:rPr>
          <w:rFonts w:hint="eastAsia" w:ascii="宋体" w:hAnsi="宋体" w:eastAsia="宋体" w:cs="宋体"/>
          <w:color w:val="auto"/>
          <w:kern w:val="0"/>
          <w:sz w:val="22"/>
          <w:szCs w:val="22"/>
          <w:highlight w:val="none"/>
        </w:rPr>
        <w:t>：</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1)不同投标人的投标文件由同一单位或者个人编制；</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2)不同投标人委托同一单位或者个人办理投标事宜；</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3)不同投标人的投标文件载明的项目管理成员或者联系人员为同一人；</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4）不同投标人的投标文件异常一致或者投标报价呈规律性差异；</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5）不同投标人的投标文件相互混装；</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6）不同投标人的投标保证金从同一单位或者个人的账户转出。</w:t>
      </w:r>
    </w:p>
    <w:p>
      <w:pPr>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21.6评标委员会对各投标人的商务报价进行核查时，若发现投标报价内容不清楚可要求投标人书面澄清，计算上的错误，可按下面方法修正：</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投标文件的大写金额与小写金额不一致时以大写金额为准。大写金额有明显文字表述错误而造成歧义的，则以小写金额为准。总价金额与按单价汇总金额不一致的，以单价金额计算结果为准，单价金额小数点有明显错位的，应以总价为准，并修正单价。</w:t>
      </w:r>
    </w:p>
    <w:p>
      <w:pPr>
        <w:spacing w:line="44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2）如果投标人不接受对其价格错误进行修正，其投标将被否决。</w:t>
      </w:r>
    </w:p>
    <w:p>
      <w:pPr>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21.7在详细评标之前，评标委员会要审查每份投标文件是否实质上响应了采购文件的要求。实质上响应的投标应该是与采购文件要求的全部条款、条件和规格基本相符。没有重大偏离。评标委员会决定投标的响应性只根据投标文件本身的内容，而不寻求外部的证据。</w:t>
      </w:r>
    </w:p>
    <w:p>
      <w:pPr>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21.8实质上没有响应采购文件要求的投标将被拒绝，投标人不得通过修正或撤消不合要求的偏离或保留从而使其投标成为实质上响应的投标。</w:t>
      </w:r>
    </w:p>
    <w:p>
      <w:pPr>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21.9▲</w:t>
      </w:r>
      <w:r>
        <w:rPr>
          <w:rFonts w:hint="eastAsia" w:ascii="宋体" w:hAnsi="宋体" w:eastAsia="宋体" w:cs="宋体"/>
          <w:b/>
          <w:bCs/>
          <w:color w:val="auto"/>
          <w:kern w:val="0"/>
          <w:sz w:val="22"/>
          <w:szCs w:val="22"/>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color w:val="auto"/>
          <w:kern w:val="0"/>
          <w:sz w:val="22"/>
          <w:szCs w:val="22"/>
          <w:highlight w:val="none"/>
        </w:rPr>
        <w:t>。</w:t>
      </w:r>
    </w:p>
    <w:p>
      <w:pPr>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21.10评标委员会对审查合格的投标文件按照采购文件中制订的评标方法进行综合评定打分。</w:t>
      </w:r>
    </w:p>
    <w:p>
      <w:pPr>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21.11评标过程中遇到特殊情况，由评标委员会遵循公开、公正原则，采取投票方式按照少数服从多数原则决定。</w:t>
      </w:r>
    </w:p>
    <w:p>
      <w:pPr>
        <w:tabs>
          <w:tab w:val="left" w:pos="540"/>
        </w:tabs>
        <w:spacing w:line="44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21.12</w:t>
      </w:r>
      <w:r>
        <w:rPr>
          <w:rFonts w:hint="eastAsia" w:ascii="宋体" w:hAnsi="宋体" w:eastAsia="宋体" w:cs="宋体"/>
          <w:color w:val="auto"/>
          <w:kern w:val="0"/>
          <w:sz w:val="22"/>
          <w:szCs w:val="22"/>
          <w:highlight w:val="none"/>
        </w:rPr>
        <w:t>▲</w:t>
      </w:r>
      <w:r>
        <w:rPr>
          <w:rFonts w:hint="eastAsia" w:ascii="宋体" w:hAnsi="宋体" w:eastAsia="宋体" w:cs="宋体"/>
          <w:b/>
          <w:bCs/>
          <w:color w:val="auto"/>
          <w:sz w:val="22"/>
          <w:szCs w:val="22"/>
          <w:highlight w:val="none"/>
          <w:u w:val="single"/>
        </w:rPr>
        <w:t>投标截止时间止及评审期间，出现有效投标人不足3家的，本次采购按流（废）标处理，重新组织采购。</w:t>
      </w:r>
    </w:p>
    <w:p>
      <w:pPr>
        <w:numPr>
          <w:ilvl w:val="0"/>
          <w:numId w:val="14"/>
        </w:numPr>
        <w:tabs>
          <w:tab w:val="left" w:pos="540"/>
        </w:tabs>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投标文件的澄清</w:t>
      </w:r>
    </w:p>
    <w:p>
      <w:pPr>
        <w:tabs>
          <w:tab w:val="left" w:pos="540"/>
        </w:tabs>
        <w:spacing w:line="440" w:lineRule="exac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22.1 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pPr>
        <w:tabs>
          <w:tab w:val="left" w:pos="540"/>
        </w:tabs>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22.2 经澄清后，若偏差仍存在，且不可接受，投标人则被认为是“没有实质性响应采购文件要求”，其投标不进入下一步评审。</w:t>
      </w:r>
    </w:p>
    <w:p>
      <w:pPr>
        <w:numPr>
          <w:ilvl w:val="0"/>
          <w:numId w:val="14"/>
        </w:numPr>
        <w:spacing w:line="440" w:lineRule="exact"/>
        <w:rPr>
          <w:rFonts w:hint="eastAsia" w:ascii="宋体" w:hAnsi="宋体" w:eastAsia="宋体" w:cs="宋体"/>
          <w:color w:val="auto"/>
          <w:sz w:val="22"/>
          <w:szCs w:val="22"/>
          <w:highlight w:val="none"/>
        </w:rPr>
      </w:pPr>
      <w:bookmarkStart w:id="77" w:name="_Toc223716000"/>
      <w:bookmarkStart w:id="78" w:name="_Toc221423621"/>
      <w:bookmarkStart w:id="79" w:name="_Toc241404204"/>
      <w:bookmarkStart w:id="80" w:name="_Toc221356889"/>
      <w:bookmarkStart w:id="81" w:name="_Toc222114881"/>
      <w:bookmarkStart w:id="82" w:name="_Toc221374628"/>
      <w:bookmarkStart w:id="83" w:name="_Toc239145356"/>
      <w:bookmarkStart w:id="84" w:name="_Toc221356953"/>
      <w:bookmarkStart w:id="85" w:name="_Toc265529385"/>
      <w:r>
        <w:rPr>
          <w:rFonts w:hint="eastAsia" w:ascii="宋体" w:hAnsi="宋体" w:eastAsia="宋体" w:cs="宋体"/>
          <w:bCs/>
          <w:color w:val="auto"/>
          <w:sz w:val="22"/>
          <w:szCs w:val="22"/>
          <w:highlight w:val="none"/>
        </w:rPr>
        <w:t>确定中标候选人</w:t>
      </w:r>
    </w:p>
    <w:p>
      <w:pPr>
        <w:tabs>
          <w:tab w:val="left" w:pos="540"/>
        </w:tabs>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 本次采购由评标委员会推荐中标候选人，采购人根据评标委员会的推荐结果进行最终确认。</w:t>
      </w:r>
    </w:p>
    <w:p>
      <w:pPr>
        <w:tabs>
          <w:tab w:val="left" w:pos="540"/>
        </w:tabs>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 评标委员会依据法律、法规及采购文件有关规定在有效标中按投标人的最终得分（即技术分与商务分之和）高低进行排序，得分前二名的投标人推荐为中标候选人与备选中标人（得分相同投标报价低的排序第一；得分且投标报价相同的，由评标委员会成员抽签决定排序）。</w:t>
      </w:r>
    </w:p>
    <w:p>
      <w:pPr>
        <w:tabs>
          <w:tab w:val="left" w:pos="540"/>
        </w:tabs>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23.3 </w:t>
      </w:r>
      <w:r>
        <w:rPr>
          <w:rFonts w:hint="eastAsia" w:ascii="宋体" w:hAnsi="宋体" w:eastAsia="宋体" w:cs="宋体"/>
          <w:color w:val="auto"/>
          <w:kern w:val="0"/>
          <w:sz w:val="22"/>
          <w:szCs w:val="22"/>
          <w:highlight w:val="none"/>
          <w:lang w:val="zh-CN"/>
        </w:rPr>
        <w:t>若出现以下情形之一，采购人可视具体情况确定是否由备选中标人为中标人或重新组织采购：</w:t>
      </w:r>
    </w:p>
    <w:p>
      <w:pPr>
        <w:tabs>
          <w:tab w:val="left" w:pos="540"/>
        </w:tabs>
        <w:autoSpaceDE w:val="0"/>
        <w:autoSpaceDN w:val="0"/>
        <w:adjustRightInd w:val="0"/>
        <w:spacing w:line="440" w:lineRule="atLeast"/>
        <w:ind w:left="567"/>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1）中标候选人放弃中标资格；</w:t>
      </w:r>
    </w:p>
    <w:p>
      <w:pPr>
        <w:tabs>
          <w:tab w:val="left" w:pos="540"/>
        </w:tabs>
        <w:autoSpaceDE w:val="0"/>
        <w:autoSpaceDN w:val="0"/>
        <w:adjustRightInd w:val="0"/>
        <w:spacing w:line="440" w:lineRule="atLeast"/>
        <w:ind w:left="567"/>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2）中标候选人因不可抗力提出不能履行合同；</w:t>
      </w:r>
    </w:p>
    <w:p>
      <w:pPr>
        <w:tabs>
          <w:tab w:val="left" w:pos="540"/>
        </w:tabs>
        <w:autoSpaceDE w:val="0"/>
        <w:autoSpaceDN w:val="0"/>
        <w:adjustRightInd w:val="0"/>
        <w:spacing w:line="440" w:lineRule="atLeast"/>
        <w:ind w:left="567"/>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3）中标候选人未能在规定的期限内提交履约保证金；</w:t>
      </w:r>
    </w:p>
    <w:p>
      <w:pPr>
        <w:tabs>
          <w:tab w:val="left" w:pos="540"/>
        </w:tabs>
        <w:autoSpaceDE w:val="0"/>
        <w:autoSpaceDN w:val="0"/>
        <w:adjustRightInd w:val="0"/>
        <w:spacing w:line="440" w:lineRule="atLeast"/>
        <w:ind w:left="567"/>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4）中标候选人未能在规定时间内与采购单位签订合同；</w:t>
      </w:r>
    </w:p>
    <w:p>
      <w:pPr>
        <w:tabs>
          <w:tab w:val="left" w:pos="540"/>
        </w:tabs>
        <w:autoSpaceDE w:val="0"/>
        <w:autoSpaceDN w:val="0"/>
        <w:adjustRightInd w:val="0"/>
        <w:spacing w:line="440" w:lineRule="atLeast"/>
        <w:ind w:left="567"/>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5）经质疑，采购人审查后，中标候选人确实在本次采购活动中存在违法违规行为或其他原因使质疑成立的。</w:t>
      </w:r>
    </w:p>
    <w:p>
      <w:pPr>
        <w:tabs>
          <w:tab w:val="left" w:pos="540"/>
        </w:tabs>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23.4 采购人、采购代理机构及评标委员会不向落标的投标人解释落标原因，也不公布评标过程中的相关细节。</w:t>
      </w:r>
    </w:p>
    <w:p>
      <w:pPr>
        <w:numPr>
          <w:ilvl w:val="0"/>
          <w:numId w:val="14"/>
        </w:numPr>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评标细则详见“评标原则及方法”。</w:t>
      </w:r>
    </w:p>
    <w:p>
      <w:pPr>
        <w:spacing w:before="100" w:beforeAutospacing="1" w:after="100" w:afterAutospacing="1" w:line="440" w:lineRule="exact"/>
        <w:ind w:left="-6"/>
        <w:jc w:val="center"/>
        <w:outlineLvl w:val="0"/>
        <w:rPr>
          <w:rFonts w:hint="eastAsia" w:ascii="宋体" w:hAnsi="宋体" w:eastAsia="宋体" w:cs="宋体"/>
          <w:b/>
          <w:bCs/>
          <w:color w:val="auto"/>
          <w:sz w:val="26"/>
          <w:szCs w:val="26"/>
          <w:highlight w:val="none"/>
        </w:rPr>
      </w:pPr>
      <w:bookmarkStart w:id="86" w:name="_Toc20594"/>
      <w:bookmarkStart w:id="87" w:name="_Toc71374677"/>
      <w:r>
        <w:rPr>
          <w:rFonts w:hint="eastAsia" w:ascii="宋体" w:hAnsi="宋体" w:eastAsia="宋体" w:cs="宋体"/>
          <w:b/>
          <w:bCs/>
          <w:color w:val="auto"/>
          <w:sz w:val="26"/>
          <w:szCs w:val="26"/>
          <w:highlight w:val="none"/>
        </w:rPr>
        <w:t>六、 授予合同</w:t>
      </w:r>
      <w:bookmarkEnd w:id="77"/>
      <w:bookmarkEnd w:id="78"/>
      <w:bookmarkEnd w:id="79"/>
      <w:bookmarkEnd w:id="80"/>
      <w:bookmarkEnd w:id="81"/>
      <w:bookmarkEnd w:id="82"/>
      <w:bookmarkEnd w:id="83"/>
      <w:bookmarkEnd w:id="84"/>
      <w:bookmarkEnd w:id="85"/>
      <w:bookmarkEnd w:id="86"/>
      <w:bookmarkEnd w:id="87"/>
    </w:p>
    <w:p>
      <w:pPr>
        <w:numPr>
          <w:ilvl w:val="0"/>
          <w:numId w:val="14"/>
        </w:numPr>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确定中标人</w:t>
      </w:r>
    </w:p>
    <w:p>
      <w:pPr>
        <w:tabs>
          <w:tab w:val="left" w:pos="640"/>
        </w:tabs>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25.1 采购人自收到评标报告之日起5个工作日内，在评标报告确定的中标候选人名单中按顺序确定中标人。</w:t>
      </w:r>
    </w:p>
    <w:p>
      <w:pPr>
        <w:tabs>
          <w:tab w:val="left" w:pos="640"/>
        </w:tabs>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25.2 中标人确定之日起2个工作日内，在政采云平台、温州市国有企业采购平台以及集团网站上公告中标结果，中标公告期限为1个工作日。</w:t>
      </w:r>
    </w:p>
    <w:p>
      <w:pPr>
        <w:tabs>
          <w:tab w:val="left" w:pos="640"/>
        </w:tabs>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25.3 在公告中标结果的同时，采购人向中标人发出中标通知书。</w:t>
      </w:r>
    </w:p>
    <w:p>
      <w:pPr>
        <w:tabs>
          <w:tab w:val="left" w:pos="640"/>
        </w:tabs>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25.4 各投标人对评标结果如有异议，可在中标结果公示之日起7个工作日内以书面形式向采购人进行署名投诉或提出质疑，但需对投诉或质疑内容的真实性承担法律责任。</w:t>
      </w:r>
    </w:p>
    <w:p>
      <w:pPr>
        <w:numPr>
          <w:ilvl w:val="0"/>
          <w:numId w:val="14"/>
        </w:numPr>
        <w:spacing w:line="440" w:lineRule="exac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签订合同</w:t>
      </w:r>
    </w:p>
    <w:p>
      <w:pPr>
        <w:tabs>
          <w:tab w:val="left" w:pos="64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26.1 公示期结束后，中标投标人须在5个工作日内主动联系采购人或采购机构领取中标通知书。中标投标人应当在中标通知书发出之日起30日内与采购人签订合同。中标投标人未经采购人许可，在规定时间内未到采购人处与采购人签订合同，则视为拒签合同。</w:t>
      </w:r>
    </w:p>
    <w:p>
      <w:pPr>
        <w:tabs>
          <w:tab w:val="left" w:pos="64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26.2 采购文件、中标投标人的投标文件及投标修改文件、评标过程中有关澄清文件及经双方签字的询标纪要（承诺）和中标通知书均作为合同附件。</w:t>
      </w:r>
    </w:p>
    <w:p>
      <w:pPr>
        <w:tabs>
          <w:tab w:val="left" w:pos="64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26.3 拒签合同的责任</w:t>
      </w:r>
    </w:p>
    <w:p>
      <w:pPr>
        <w:tabs>
          <w:tab w:val="left" w:pos="640"/>
        </w:tabs>
        <w:spacing w:line="460" w:lineRule="exact"/>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26.4 中标投标人在规定时间内（30日历天）借故否认已经承诺的条件、拒签合同或拒交履约保证金者，以投标违约处理，其投标保证金不予退回，并赔偿采购人由此造成的直接经济损失；采购人重新组织采购的，所需费用由原中标投标人承担。</w:t>
      </w:r>
    </w:p>
    <w:p>
      <w:pPr>
        <w:numPr>
          <w:ilvl w:val="0"/>
          <w:numId w:val="14"/>
        </w:numPr>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履约保证金</w:t>
      </w:r>
    </w:p>
    <w:p>
      <w:pPr>
        <w:tabs>
          <w:tab w:val="left" w:pos="640"/>
        </w:tabs>
        <w:spacing w:line="440" w:lineRule="exac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27.1 中标人在收到中标通知书后，签订合同前须向采购人提交履约保证金。</w:t>
      </w:r>
    </w:p>
    <w:p>
      <w:pPr>
        <w:tabs>
          <w:tab w:val="left" w:pos="640"/>
        </w:tabs>
        <w:spacing w:line="440" w:lineRule="exac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27.2 履约保证金用于补偿委托方因中标人不能完成其合同义务而蒙受的损失。</w:t>
      </w:r>
    </w:p>
    <w:p>
      <w:pPr>
        <w:tabs>
          <w:tab w:val="left" w:pos="640"/>
        </w:tabs>
        <w:spacing w:line="440" w:lineRule="exact"/>
        <w:rPr>
          <w:rFonts w:hint="eastAsia" w:ascii="宋体" w:hAnsi="宋体" w:eastAsia="宋体" w:cs="宋体"/>
          <w:b/>
          <w:color w:val="auto"/>
          <w:sz w:val="22"/>
          <w:szCs w:val="22"/>
          <w:highlight w:val="none"/>
          <w:lang w:val="en-US" w:eastAsia="zh-CN"/>
        </w:rPr>
      </w:pPr>
      <w:r>
        <w:rPr>
          <w:rFonts w:hint="eastAsia" w:ascii="宋体" w:hAnsi="宋体" w:eastAsia="宋体" w:cs="宋体"/>
          <w:color w:val="auto"/>
          <w:spacing w:val="6"/>
          <w:sz w:val="22"/>
          <w:szCs w:val="22"/>
          <w:highlight w:val="none"/>
        </w:rPr>
        <w:t>27.3 履约保证金自合同签定生效之日起至完成整个项目并通过最终验收之日止有效。有效期满后，</w:t>
      </w:r>
      <w:r>
        <w:rPr>
          <w:rFonts w:hint="eastAsia" w:ascii="宋体" w:hAnsi="宋体" w:eastAsia="宋体" w:cs="宋体"/>
          <w:color w:val="auto"/>
          <w:spacing w:val="6"/>
          <w:sz w:val="22"/>
          <w:szCs w:val="22"/>
          <w:highlight w:val="none"/>
          <w:lang w:val="en-US" w:eastAsia="zh-CN"/>
        </w:rPr>
        <w:t>履约保证金转为质保金。</w:t>
      </w:r>
    </w:p>
    <w:p>
      <w:pPr>
        <w:numPr>
          <w:ilvl w:val="0"/>
          <w:numId w:val="14"/>
        </w:num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采购代理服务费</w:t>
      </w:r>
    </w:p>
    <w:p>
      <w:pPr>
        <w:tabs>
          <w:tab w:val="left" w:pos="640"/>
        </w:tabs>
        <w:spacing w:line="440" w:lineRule="exac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28.1本项目采购代理服务费按照人民币</w:t>
      </w:r>
      <w:r>
        <w:rPr>
          <w:rFonts w:hint="eastAsia" w:ascii="宋体" w:hAnsi="宋体" w:eastAsia="宋体" w:cs="宋体"/>
          <w:b/>
          <w:bCs/>
          <w:color w:val="auto"/>
          <w:sz w:val="22"/>
          <w:szCs w:val="22"/>
          <w:highlight w:val="none"/>
          <w:lang w:val="en-US" w:eastAsia="zh-CN"/>
        </w:rPr>
        <w:t>捌仟伍佰</w:t>
      </w:r>
      <w:r>
        <w:rPr>
          <w:rFonts w:hint="eastAsia" w:ascii="宋体" w:hAnsi="宋体" w:eastAsia="宋体" w:cs="宋体"/>
          <w:b/>
          <w:bCs/>
          <w:color w:val="auto"/>
          <w:sz w:val="22"/>
          <w:szCs w:val="22"/>
          <w:highlight w:val="none"/>
        </w:rPr>
        <w:t>元</w:t>
      </w:r>
      <w:r>
        <w:rPr>
          <w:rFonts w:hint="eastAsia" w:ascii="宋体" w:hAnsi="宋体" w:eastAsia="宋体" w:cs="宋体"/>
          <w:color w:val="auto"/>
          <w:sz w:val="22"/>
          <w:szCs w:val="22"/>
          <w:highlight w:val="none"/>
        </w:rPr>
        <w:t>整收取，该服务费须计入投标报价，由中标供应商在领取中标（成交）通知书之前支付给采购代理机构。</w:t>
      </w:r>
    </w:p>
    <w:p>
      <w:pPr>
        <w:tabs>
          <w:tab w:val="left" w:pos="640"/>
        </w:tabs>
        <w:spacing w:line="440" w:lineRule="exact"/>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rPr>
        <w:t>28.2 采购代理服务费可以是现金、支票或汇票。</w:t>
      </w:r>
      <w:r>
        <w:rPr>
          <w:rFonts w:hint="eastAsia" w:ascii="宋体" w:hAnsi="宋体" w:eastAsia="宋体" w:cs="宋体"/>
          <w:color w:val="auto"/>
          <w:spacing w:val="6"/>
          <w:sz w:val="22"/>
          <w:szCs w:val="22"/>
          <w:highlight w:val="none"/>
          <w:lang w:val="en-US" w:eastAsia="zh-CN"/>
        </w:rPr>
        <w:t>代理机构仅提供增值税普通发票。</w:t>
      </w:r>
    </w:p>
    <w:p>
      <w:pPr>
        <w:tabs>
          <w:tab w:val="left" w:pos="640"/>
        </w:tabs>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28.3户名：温州市智信招标代理有限公司</w:t>
      </w:r>
    </w:p>
    <w:p>
      <w:pPr>
        <w:tabs>
          <w:tab w:val="left" w:pos="640"/>
        </w:tabs>
        <w:spacing w:line="44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 333504140018800009390</w:t>
      </w:r>
    </w:p>
    <w:p>
      <w:pPr>
        <w:tabs>
          <w:tab w:val="left" w:pos="640"/>
        </w:tabs>
        <w:spacing w:line="44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开户行：交通银行温州分行瓯海支行</w:t>
      </w:r>
    </w:p>
    <w:p>
      <w:pPr>
        <w:pStyle w:val="10"/>
        <w:ind w:firstLine="200"/>
        <w:rPr>
          <w:rFonts w:hint="eastAsia" w:ascii="宋体" w:hAnsi="宋体" w:eastAsia="宋体" w:cs="宋体"/>
          <w:color w:val="auto"/>
          <w:highlight w:val="none"/>
        </w:rPr>
      </w:pPr>
    </w:p>
    <w:p>
      <w:pPr>
        <w:tabs>
          <w:tab w:val="left" w:pos="640"/>
        </w:tabs>
        <w:spacing w:line="440" w:lineRule="exact"/>
        <w:rPr>
          <w:rFonts w:hint="eastAsia" w:ascii="宋体" w:hAnsi="宋体" w:eastAsia="宋体" w:cs="宋体"/>
          <w:color w:val="auto"/>
          <w:spacing w:val="6"/>
          <w:sz w:val="22"/>
          <w:szCs w:val="22"/>
          <w:highlight w:val="none"/>
        </w:rPr>
      </w:pPr>
    </w:p>
    <w:p>
      <w:pPr>
        <w:pStyle w:val="3"/>
        <w:rPr>
          <w:rFonts w:hint="eastAsia" w:ascii="宋体" w:hAnsi="宋体" w:eastAsia="宋体" w:cs="宋体"/>
          <w:color w:val="auto"/>
          <w:sz w:val="36"/>
          <w:szCs w:val="36"/>
          <w:highlight w:val="none"/>
        </w:rPr>
      </w:pPr>
      <w:r>
        <w:rPr>
          <w:rFonts w:hint="eastAsia" w:ascii="宋体" w:hAnsi="宋体" w:eastAsia="宋体" w:cs="宋体"/>
          <w:color w:val="auto"/>
          <w:sz w:val="22"/>
          <w:szCs w:val="22"/>
          <w:highlight w:val="none"/>
        </w:rPr>
        <w:br w:type="page"/>
      </w:r>
      <w:bookmarkStart w:id="88" w:name="_Toc221423622"/>
      <w:bookmarkStart w:id="89" w:name="_Toc221356954"/>
      <w:bookmarkStart w:id="90" w:name="_Toc221374629"/>
      <w:bookmarkStart w:id="91" w:name="_Toc241404205"/>
      <w:bookmarkStart w:id="92" w:name="_Toc222114882"/>
      <w:bookmarkStart w:id="93" w:name="_Toc223716001"/>
      <w:bookmarkStart w:id="94" w:name="_Toc221356890"/>
      <w:bookmarkStart w:id="95" w:name="_Toc239145357"/>
      <w:bookmarkStart w:id="96" w:name="_Toc265529386"/>
      <w:r>
        <w:rPr>
          <w:rFonts w:hint="eastAsia" w:ascii="宋体" w:hAnsi="宋体" w:eastAsia="宋体" w:cs="宋体"/>
          <w:color w:val="auto"/>
          <w:sz w:val="22"/>
          <w:szCs w:val="22"/>
          <w:highlight w:val="none"/>
        </w:rPr>
        <w:t xml:space="preserve">          </w:t>
      </w:r>
      <w:bookmarkStart w:id="97" w:name="_Toc71374678"/>
      <w:bookmarkStart w:id="98" w:name="_Toc24911"/>
      <w:r>
        <w:rPr>
          <w:rFonts w:hint="eastAsia" w:ascii="宋体" w:hAnsi="宋体" w:eastAsia="宋体" w:cs="宋体"/>
          <w:color w:val="auto"/>
          <w:sz w:val="36"/>
          <w:szCs w:val="36"/>
          <w:highlight w:val="none"/>
        </w:rPr>
        <w:t xml:space="preserve">第二部分   </w:t>
      </w:r>
      <w:bookmarkEnd w:id="88"/>
      <w:bookmarkEnd w:id="89"/>
      <w:bookmarkEnd w:id="90"/>
      <w:bookmarkEnd w:id="91"/>
      <w:bookmarkEnd w:id="92"/>
      <w:bookmarkEnd w:id="93"/>
      <w:bookmarkEnd w:id="94"/>
      <w:bookmarkEnd w:id="95"/>
      <w:bookmarkEnd w:id="96"/>
      <w:r>
        <w:rPr>
          <w:rFonts w:hint="eastAsia" w:ascii="宋体" w:hAnsi="宋体" w:eastAsia="宋体" w:cs="宋体"/>
          <w:color w:val="auto"/>
          <w:sz w:val="36"/>
          <w:szCs w:val="36"/>
          <w:highlight w:val="none"/>
        </w:rPr>
        <w:t>合同格式及合同主要条款</w:t>
      </w:r>
      <w:bookmarkEnd w:id="97"/>
      <w:bookmarkEnd w:id="98"/>
    </w:p>
    <w:p>
      <w:pPr>
        <w:spacing w:line="360" w:lineRule="auto"/>
        <w:ind w:firstLine="440" w:firstLineChars="200"/>
        <w:rPr>
          <w:rFonts w:hint="eastAsia" w:ascii="宋体" w:hAnsi="宋体" w:eastAsia="宋体" w:cs="宋体"/>
          <w:color w:val="auto"/>
          <w:kern w:val="0"/>
          <w:sz w:val="22"/>
          <w:szCs w:val="22"/>
          <w:highlight w:val="none"/>
        </w:rPr>
      </w:pPr>
    </w:p>
    <w:p>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说明：本合同签订依据：《中华人民共和国民法典》，以下部分条款不一定和最终合同条款内容完全一致，采购人有权进行适当调整，但此调整不能与本合同（范本）内容相悖。</w:t>
      </w:r>
    </w:p>
    <w:p>
      <w:pPr>
        <w:rPr>
          <w:rFonts w:hint="eastAsia" w:ascii="宋体" w:hAnsi="宋体" w:eastAsia="宋体" w:cs="宋体"/>
          <w:color w:val="auto"/>
          <w:kern w:val="1"/>
          <w:highlight w:val="none"/>
        </w:rPr>
      </w:pPr>
      <w:bookmarkStart w:id="99" w:name="_Toc71374679"/>
    </w:p>
    <w:p>
      <w:pPr>
        <w:spacing w:line="440" w:lineRule="exact"/>
        <w:jc w:val="center"/>
        <w:rPr>
          <w:rFonts w:hint="eastAsia" w:ascii="宋体" w:hAnsi="宋体" w:eastAsia="宋体" w:cs="宋体"/>
          <w:color w:val="auto"/>
          <w:kern w:val="1"/>
          <w:sz w:val="44"/>
          <w:highlight w:val="none"/>
        </w:rPr>
      </w:pPr>
    </w:p>
    <w:p>
      <w:pPr>
        <w:spacing w:line="400" w:lineRule="exact"/>
        <w:rPr>
          <w:rFonts w:hint="eastAsia" w:ascii="宋体" w:hAnsi="宋体" w:eastAsia="宋体" w:cs="宋体"/>
          <w:b/>
          <w:bCs/>
          <w:color w:val="auto"/>
          <w:sz w:val="22"/>
          <w:szCs w:val="22"/>
          <w:highlight w:val="none"/>
        </w:rPr>
      </w:pPr>
      <w:bookmarkStart w:id="100" w:name="_Toc31606"/>
    </w:p>
    <w:p>
      <w:pPr>
        <w:spacing w:line="440" w:lineRule="exact"/>
        <w:ind w:left="552" w:hanging="552" w:hangingChars="250"/>
        <w:rPr>
          <w:rFonts w:hint="eastAsia" w:ascii="宋体" w:hAnsi="宋体" w:eastAsia="宋体" w:cs="宋体"/>
          <w:b/>
          <w:bCs/>
          <w:color w:val="auto"/>
          <w:sz w:val="22"/>
          <w:szCs w:val="22"/>
          <w:highlight w:val="none"/>
        </w:rPr>
      </w:pPr>
    </w:p>
    <w:p>
      <w:pPr>
        <w:spacing w:line="440" w:lineRule="exact"/>
        <w:ind w:left="552" w:hanging="552" w:hangingChars="250"/>
        <w:rPr>
          <w:rFonts w:hint="eastAsia" w:ascii="宋体" w:hAnsi="宋体" w:eastAsia="宋体" w:cs="宋体"/>
          <w:b/>
          <w:bCs/>
          <w:color w:val="auto"/>
          <w:sz w:val="22"/>
          <w:szCs w:val="22"/>
          <w:highlight w:val="none"/>
        </w:rPr>
      </w:pPr>
    </w:p>
    <w:p>
      <w:pPr>
        <w:spacing w:line="440" w:lineRule="exact"/>
        <w:ind w:left="550" w:hanging="550" w:hangingChars="250"/>
        <w:rPr>
          <w:rFonts w:hint="eastAsia" w:ascii="宋体" w:hAnsi="宋体" w:eastAsia="宋体" w:cs="宋体"/>
          <w:color w:val="auto"/>
          <w:sz w:val="22"/>
          <w:szCs w:val="22"/>
          <w:highlight w:val="none"/>
        </w:rPr>
      </w:pPr>
    </w:p>
    <w:p>
      <w:pPr>
        <w:spacing w:line="440" w:lineRule="exact"/>
        <w:ind w:firstLine="2380" w:firstLineChars="850"/>
        <w:rPr>
          <w:rFonts w:hint="eastAsia" w:ascii="宋体" w:hAnsi="宋体" w:eastAsia="宋体" w:cs="宋体"/>
          <w:color w:val="auto"/>
          <w:sz w:val="28"/>
          <w:highlight w:val="none"/>
        </w:rPr>
      </w:pPr>
      <w:r>
        <w:rPr>
          <w:rFonts w:hint="eastAsia" w:ascii="宋体" w:hAnsi="宋体" w:eastAsia="宋体" w:cs="宋体"/>
          <w:color w:val="auto"/>
          <w:sz w:val="28"/>
          <w:highlight w:val="none"/>
        </w:rPr>
        <w:t>项 目 名 称：</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_</w:t>
      </w:r>
    </w:p>
    <w:p>
      <w:pPr>
        <w:spacing w:line="440" w:lineRule="exact"/>
        <w:ind w:firstLine="2380" w:firstLineChars="850"/>
        <w:rPr>
          <w:rFonts w:hint="eastAsia" w:ascii="宋体" w:hAnsi="宋体" w:eastAsia="宋体" w:cs="宋体"/>
          <w:color w:val="auto"/>
          <w:sz w:val="28"/>
          <w:highlight w:val="none"/>
        </w:rPr>
      </w:pPr>
    </w:p>
    <w:p>
      <w:pPr>
        <w:spacing w:line="440" w:lineRule="exact"/>
        <w:ind w:firstLine="2413" w:firstLineChars="862"/>
        <w:rPr>
          <w:rFonts w:hint="eastAsia" w:ascii="宋体" w:hAnsi="宋体" w:eastAsia="宋体" w:cs="宋体"/>
          <w:color w:val="auto"/>
          <w:sz w:val="28"/>
          <w:highlight w:val="none"/>
        </w:rPr>
      </w:pPr>
    </w:p>
    <w:p>
      <w:pPr>
        <w:spacing w:line="440" w:lineRule="exact"/>
        <w:ind w:firstLine="2413" w:firstLineChars="862"/>
        <w:rPr>
          <w:rFonts w:hint="eastAsia" w:ascii="宋体" w:hAnsi="宋体" w:eastAsia="宋体" w:cs="宋体"/>
          <w:color w:val="auto"/>
          <w:sz w:val="28"/>
          <w:highlight w:val="none"/>
        </w:rPr>
      </w:pPr>
      <w:r>
        <w:rPr>
          <w:rFonts w:hint="eastAsia" w:ascii="宋体" w:hAnsi="宋体" w:eastAsia="宋体" w:cs="宋体"/>
          <w:color w:val="auto"/>
          <w:sz w:val="28"/>
          <w:highlight w:val="none"/>
          <w:lang w:val="en-US" w:eastAsia="zh-CN"/>
        </w:rPr>
        <w:t>项 目</w:t>
      </w:r>
      <w:r>
        <w:rPr>
          <w:rFonts w:hint="eastAsia" w:ascii="宋体" w:hAnsi="宋体" w:eastAsia="宋体" w:cs="宋体"/>
          <w:color w:val="auto"/>
          <w:sz w:val="28"/>
          <w:highlight w:val="none"/>
        </w:rPr>
        <w:t xml:space="preserve"> 编 号：______________________</w:t>
      </w:r>
    </w:p>
    <w:p>
      <w:pPr>
        <w:spacing w:line="440" w:lineRule="exact"/>
        <w:ind w:firstLine="4373" w:firstLineChars="1562"/>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w:t>
      </w:r>
    </w:p>
    <w:p>
      <w:pPr>
        <w:spacing w:line="440" w:lineRule="exact"/>
        <w:ind w:firstLine="2413" w:firstLineChars="862"/>
        <w:rPr>
          <w:rFonts w:hint="eastAsia" w:ascii="宋体" w:hAnsi="宋体" w:eastAsia="宋体" w:cs="宋体"/>
          <w:color w:val="auto"/>
          <w:sz w:val="28"/>
          <w:highlight w:val="none"/>
        </w:rPr>
      </w:pPr>
    </w:p>
    <w:p>
      <w:pPr>
        <w:spacing w:line="440" w:lineRule="exact"/>
        <w:ind w:firstLine="2413" w:firstLineChars="862"/>
        <w:rPr>
          <w:rFonts w:hint="eastAsia" w:ascii="宋体" w:hAnsi="宋体" w:eastAsia="宋体" w:cs="宋体"/>
          <w:color w:val="auto"/>
          <w:sz w:val="28"/>
          <w:highlight w:val="none"/>
        </w:rPr>
      </w:pPr>
    </w:p>
    <w:p>
      <w:pPr>
        <w:spacing w:line="440" w:lineRule="exact"/>
        <w:ind w:firstLine="2413" w:firstLineChars="862"/>
        <w:rPr>
          <w:rFonts w:hint="eastAsia" w:ascii="宋体" w:hAnsi="宋体" w:eastAsia="宋体" w:cs="宋体"/>
          <w:color w:val="auto"/>
          <w:sz w:val="28"/>
          <w:highlight w:val="none"/>
        </w:rPr>
      </w:pPr>
    </w:p>
    <w:p>
      <w:pPr>
        <w:spacing w:line="440" w:lineRule="exact"/>
        <w:ind w:firstLine="2413" w:firstLineChars="862"/>
        <w:rPr>
          <w:rFonts w:hint="eastAsia" w:ascii="宋体" w:hAnsi="宋体" w:eastAsia="宋体" w:cs="宋体"/>
          <w:color w:val="auto"/>
          <w:sz w:val="28"/>
          <w:highlight w:val="none"/>
        </w:rPr>
      </w:pPr>
      <w:r>
        <w:rPr>
          <w:rFonts w:hint="eastAsia" w:ascii="宋体" w:hAnsi="宋体" w:eastAsia="宋体" w:cs="宋体"/>
          <w:color w:val="auto"/>
          <w:sz w:val="28"/>
          <w:highlight w:val="none"/>
        </w:rPr>
        <w:t>采 购 人：</w:t>
      </w:r>
      <w:r>
        <w:rPr>
          <w:rFonts w:hint="eastAsia" w:ascii="宋体" w:hAnsi="宋体" w:eastAsia="宋体" w:cs="宋体"/>
          <w:color w:val="auto"/>
          <w:sz w:val="28"/>
          <w:highlight w:val="none"/>
          <w:u w:val="single"/>
        </w:rPr>
        <w:t xml:space="preserve">                       </w:t>
      </w:r>
    </w:p>
    <w:p>
      <w:pPr>
        <w:spacing w:line="440" w:lineRule="exact"/>
        <w:ind w:firstLine="2413" w:firstLineChars="862"/>
        <w:rPr>
          <w:rFonts w:hint="eastAsia" w:ascii="宋体" w:hAnsi="宋体" w:eastAsia="宋体" w:cs="宋体"/>
          <w:color w:val="auto"/>
          <w:sz w:val="28"/>
          <w:highlight w:val="none"/>
        </w:rPr>
      </w:pPr>
    </w:p>
    <w:p>
      <w:pPr>
        <w:spacing w:line="440" w:lineRule="exact"/>
        <w:ind w:firstLine="2409" w:firstLineChars="753"/>
        <w:rPr>
          <w:rFonts w:hint="eastAsia" w:ascii="宋体" w:hAnsi="宋体" w:eastAsia="宋体" w:cs="宋体"/>
          <w:color w:val="auto"/>
          <w:sz w:val="28"/>
          <w:highlight w:val="none"/>
          <w:u w:val="single"/>
        </w:rPr>
      </w:pPr>
      <w:r>
        <w:rPr>
          <w:rFonts w:hint="eastAsia" w:ascii="宋体" w:hAnsi="宋体" w:eastAsia="宋体" w:cs="宋体"/>
          <w:color w:val="auto"/>
          <w:spacing w:val="20"/>
          <w:sz w:val="28"/>
          <w:highlight w:val="none"/>
        </w:rPr>
        <w:t>中标人：</w:t>
      </w:r>
      <w:r>
        <w:rPr>
          <w:rFonts w:hint="eastAsia" w:ascii="宋体" w:hAnsi="宋体" w:eastAsia="宋体" w:cs="宋体"/>
          <w:color w:val="auto"/>
          <w:sz w:val="28"/>
          <w:highlight w:val="none"/>
          <w:u w:val="single"/>
        </w:rPr>
        <w:t xml:space="preserve">                       </w:t>
      </w:r>
    </w:p>
    <w:p>
      <w:pPr>
        <w:spacing w:line="440" w:lineRule="exact"/>
        <w:ind w:firstLine="2413" w:firstLineChars="862"/>
        <w:rPr>
          <w:rFonts w:hint="eastAsia" w:ascii="宋体" w:hAnsi="宋体" w:eastAsia="宋体" w:cs="宋体"/>
          <w:color w:val="auto"/>
          <w:sz w:val="28"/>
          <w:highlight w:val="none"/>
        </w:rPr>
      </w:pPr>
    </w:p>
    <w:p>
      <w:pPr>
        <w:spacing w:line="400" w:lineRule="exact"/>
        <w:ind w:firstLine="2380" w:firstLineChars="850"/>
        <w:rPr>
          <w:rFonts w:hint="eastAsia" w:ascii="宋体" w:hAnsi="宋体" w:eastAsia="宋体" w:cs="宋体"/>
          <w:b/>
          <w:bCs/>
          <w:color w:val="auto"/>
          <w:sz w:val="22"/>
          <w:szCs w:val="22"/>
          <w:highlight w:val="none"/>
        </w:rPr>
      </w:pPr>
      <w:r>
        <w:rPr>
          <w:rFonts w:hint="eastAsia" w:ascii="宋体" w:hAnsi="宋体" w:eastAsia="宋体" w:cs="宋体"/>
          <w:color w:val="auto"/>
          <w:sz w:val="28"/>
          <w:highlight w:val="none"/>
        </w:rPr>
        <w:t>签  订 日 期：___________________</w:t>
      </w:r>
    </w:p>
    <w:p>
      <w:pPr>
        <w:spacing w:line="400" w:lineRule="exact"/>
        <w:rPr>
          <w:rFonts w:hint="eastAsia" w:ascii="宋体" w:hAnsi="宋体" w:eastAsia="宋体" w:cs="宋体"/>
          <w:b/>
          <w:bCs/>
          <w:color w:val="auto"/>
          <w:sz w:val="22"/>
          <w:szCs w:val="22"/>
          <w:highlight w:val="none"/>
        </w:rPr>
      </w:pPr>
    </w:p>
    <w:p>
      <w:pPr>
        <w:spacing w:line="400" w:lineRule="exact"/>
        <w:rPr>
          <w:rFonts w:hint="eastAsia" w:ascii="宋体" w:hAnsi="宋体" w:eastAsia="宋体" w:cs="宋体"/>
          <w:b/>
          <w:bCs/>
          <w:color w:val="auto"/>
          <w:sz w:val="22"/>
          <w:szCs w:val="22"/>
          <w:highlight w:val="none"/>
        </w:rPr>
      </w:pPr>
    </w:p>
    <w:p>
      <w:pPr>
        <w:spacing w:line="400" w:lineRule="exact"/>
        <w:rPr>
          <w:rFonts w:hint="eastAsia" w:ascii="宋体" w:hAnsi="宋体" w:eastAsia="宋体" w:cs="宋体"/>
          <w:b/>
          <w:bCs/>
          <w:color w:val="auto"/>
          <w:sz w:val="22"/>
          <w:szCs w:val="22"/>
          <w:highlight w:val="none"/>
        </w:rPr>
      </w:pPr>
    </w:p>
    <w:p>
      <w:pPr>
        <w:spacing w:line="400" w:lineRule="exact"/>
        <w:rPr>
          <w:rFonts w:hint="eastAsia" w:ascii="宋体" w:hAnsi="宋体" w:eastAsia="宋体" w:cs="宋体"/>
          <w:b/>
          <w:bCs/>
          <w:color w:val="auto"/>
          <w:sz w:val="22"/>
          <w:szCs w:val="22"/>
          <w:highlight w:val="none"/>
        </w:rPr>
      </w:pPr>
    </w:p>
    <w:p>
      <w:pPr>
        <w:spacing w:line="400" w:lineRule="exact"/>
        <w:rPr>
          <w:rFonts w:hint="eastAsia" w:ascii="宋体" w:hAnsi="宋体" w:eastAsia="宋体" w:cs="宋体"/>
          <w:b/>
          <w:bCs/>
          <w:color w:val="auto"/>
          <w:sz w:val="22"/>
          <w:szCs w:val="22"/>
          <w:highlight w:val="none"/>
        </w:rPr>
      </w:pP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bCs/>
          <w:color w:val="auto"/>
          <w:sz w:val="22"/>
          <w:szCs w:val="22"/>
          <w:highlight w:val="none"/>
        </w:rPr>
        <w:br w:type="page"/>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                     （</w:t>
      </w:r>
      <w:r>
        <w:rPr>
          <w:rFonts w:hint="eastAsia" w:ascii="宋体" w:hAnsi="宋体" w:eastAsia="宋体" w:cs="宋体"/>
          <w:color w:val="auto"/>
          <w:kern w:val="1"/>
          <w:sz w:val="22"/>
          <w:szCs w:val="22"/>
          <w:highlight w:val="none"/>
          <w:lang w:val="en-US" w:eastAsia="zh-CN"/>
        </w:rPr>
        <w:t>采购人</w:t>
      </w:r>
      <w:r>
        <w:rPr>
          <w:rFonts w:hint="eastAsia" w:ascii="宋体" w:hAnsi="宋体" w:eastAsia="宋体" w:cs="宋体"/>
          <w:color w:val="auto"/>
          <w:kern w:val="1"/>
          <w:sz w:val="22"/>
          <w:szCs w:val="22"/>
          <w:highlight w:val="none"/>
        </w:rPr>
        <w:t>）</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                     （</w:t>
      </w:r>
      <w:r>
        <w:rPr>
          <w:rFonts w:hint="eastAsia" w:ascii="宋体" w:hAnsi="宋体" w:eastAsia="宋体" w:cs="宋体"/>
          <w:color w:val="auto"/>
          <w:kern w:val="1"/>
          <w:sz w:val="22"/>
          <w:szCs w:val="22"/>
          <w:highlight w:val="none"/>
          <w:lang w:val="en-US" w:eastAsia="zh-CN"/>
        </w:rPr>
        <w:t>中标人</w:t>
      </w:r>
      <w:r>
        <w:rPr>
          <w:rFonts w:hint="eastAsia" w:ascii="宋体" w:hAnsi="宋体" w:eastAsia="宋体" w:cs="宋体"/>
          <w:color w:val="auto"/>
          <w:kern w:val="1"/>
          <w:sz w:val="22"/>
          <w:szCs w:val="22"/>
          <w:highlight w:val="none"/>
        </w:rPr>
        <w:t>）</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鉴于</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于</w:t>
      </w:r>
      <w:r>
        <w:rPr>
          <w:rFonts w:hint="eastAsia" w:ascii="宋体" w:hAnsi="宋体" w:eastAsia="宋体" w:cs="宋体"/>
          <w:color w:val="auto"/>
          <w:kern w:val="1"/>
          <w:sz w:val="22"/>
          <w:szCs w:val="22"/>
          <w:highlight w:val="none"/>
          <w:u w:val="single"/>
        </w:rPr>
        <w:t xml:space="preserve">    </w:t>
      </w:r>
      <w:r>
        <w:rPr>
          <w:rFonts w:hint="eastAsia" w:ascii="宋体" w:hAnsi="宋体" w:eastAsia="宋体" w:cs="宋体"/>
          <w:color w:val="auto"/>
          <w:kern w:val="1"/>
          <w:sz w:val="22"/>
          <w:szCs w:val="22"/>
          <w:highlight w:val="none"/>
        </w:rPr>
        <w:t>年</w:t>
      </w:r>
      <w:r>
        <w:rPr>
          <w:rFonts w:hint="eastAsia" w:ascii="宋体" w:hAnsi="宋体" w:eastAsia="宋体" w:cs="宋体"/>
          <w:color w:val="auto"/>
          <w:kern w:val="1"/>
          <w:sz w:val="22"/>
          <w:szCs w:val="22"/>
          <w:highlight w:val="none"/>
          <w:u w:val="single"/>
        </w:rPr>
        <w:t xml:space="preserve">    </w:t>
      </w:r>
      <w:r>
        <w:rPr>
          <w:rFonts w:hint="eastAsia" w:ascii="宋体" w:hAnsi="宋体" w:eastAsia="宋体" w:cs="宋体"/>
          <w:color w:val="auto"/>
          <w:kern w:val="1"/>
          <w:sz w:val="22"/>
          <w:szCs w:val="22"/>
          <w:highlight w:val="none"/>
        </w:rPr>
        <w:t>月</w:t>
      </w:r>
      <w:r>
        <w:rPr>
          <w:rFonts w:hint="eastAsia" w:ascii="宋体" w:hAnsi="宋体" w:eastAsia="宋体" w:cs="宋体"/>
          <w:color w:val="auto"/>
          <w:kern w:val="1"/>
          <w:sz w:val="22"/>
          <w:szCs w:val="22"/>
          <w:highlight w:val="none"/>
          <w:u w:val="single"/>
        </w:rPr>
        <w:t xml:space="preserve">    </w:t>
      </w:r>
      <w:r>
        <w:rPr>
          <w:rFonts w:hint="eastAsia" w:ascii="宋体" w:hAnsi="宋体" w:eastAsia="宋体" w:cs="宋体"/>
          <w:color w:val="auto"/>
          <w:kern w:val="1"/>
          <w:sz w:val="22"/>
          <w:szCs w:val="22"/>
          <w:highlight w:val="none"/>
        </w:rPr>
        <w:t>日接受</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对</w:t>
      </w:r>
      <w:r>
        <w:rPr>
          <w:rFonts w:hint="eastAsia" w:ascii="宋体" w:hAnsi="宋体" w:eastAsia="宋体" w:cs="宋体"/>
          <w:color w:val="auto"/>
          <w:kern w:val="1"/>
          <w:sz w:val="22"/>
          <w:szCs w:val="22"/>
          <w:highlight w:val="none"/>
          <w:u w:val="single"/>
        </w:rPr>
        <w:t xml:space="preserve">                      </w:t>
      </w:r>
      <w:r>
        <w:rPr>
          <w:rFonts w:hint="eastAsia" w:ascii="宋体" w:hAnsi="宋体" w:eastAsia="宋体" w:cs="宋体"/>
          <w:color w:val="auto"/>
          <w:kern w:val="1"/>
          <w:sz w:val="22"/>
          <w:szCs w:val="22"/>
          <w:highlight w:val="none"/>
        </w:rPr>
        <w:t>的投标，双方根据《</w:t>
      </w:r>
      <w:r>
        <w:rPr>
          <w:rFonts w:hint="eastAsia" w:ascii="宋体" w:hAnsi="宋体" w:eastAsia="宋体" w:cs="宋体"/>
          <w:color w:val="auto"/>
          <w:kern w:val="1"/>
          <w:sz w:val="22"/>
          <w:szCs w:val="22"/>
          <w:highlight w:val="none"/>
          <w:lang w:val="en-US" w:eastAsia="zh-CN"/>
        </w:rPr>
        <w:t>民法典</w:t>
      </w:r>
      <w:r>
        <w:rPr>
          <w:rFonts w:hint="eastAsia" w:ascii="宋体" w:hAnsi="宋体" w:eastAsia="宋体" w:cs="宋体"/>
          <w:color w:val="auto"/>
          <w:kern w:val="1"/>
          <w:sz w:val="22"/>
          <w:szCs w:val="22"/>
          <w:highlight w:val="none"/>
        </w:rPr>
        <w:t>》和本项目的</w:t>
      </w:r>
      <w:r>
        <w:rPr>
          <w:rFonts w:hint="eastAsia" w:ascii="宋体" w:hAnsi="宋体" w:eastAsia="宋体" w:cs="宋体"/>
          <w:color w:val="auto"/>
          <w:kern w:val="1"/>
          <w:sz w:val="22"/>
          <w:szCs w:val="22"/>
          <w:highlight w:val="none"/>
          <w:lang w:eastAsia="zh-CN"/>
        </w:rPr>
        <w:t>采购文件</w:t>
      </w:r>
      <w:r>
        <w:rPr>
          <w:rFonts w:hint="eastAsia" w:ascii="宋体" w:hAnsi="宋体" w:eastAsia="宋体" w:cs="宋体"/>
          <w:color w:val="auto"/>
          <w:kern w:val="1"/>
          <w:sz w:val="22"/>
          <w:szCs w:val="22"/>
          <w:highlight w:val="none"/>
        </w:rPr>
        <w:t>、投标文件及其投标中的承诺，经双方友好协商，同意签订本合同，共同遵守：</w:t>
      </w:r>
    </w:p>
    <w:p>
      <w:pPr>
        <w:tabs>
          <w:tab w:val="left" w:pos="360"/>
        </w:tabs>
        <w:spacing w:line="460" w:lineRule="exact"/>
        <w:rPr>
          <w:rFonts w:hint="eastAsia" w:ascii="宋体" w:hAnsi="宋体" w:eastAsia="宋体" w:cs="宋体"/>
          <w:b/>
          <w:color w:val="auto"/>
          <w:kern w:val="1"/>
          <w:sz w:val="22"/>
          <w:szCs w:val="22"/>
          <w:highlight w:val="none"/>
        </w:rPr>
      </w:pPr>
      <w:r>
        <w:rPr>
          <w:rFonts w:hint="eastAsia" w:ascii="宋体" w:hAnsi="宋体" w:eastAsia="宋体" w:cs="宋体"/>
          <w:b/>
          <w:color w:val="auto"/>
          <w:kern w:val="1"/>
          <w:sz w:val="22"/>
          <w:szCs w:val="22"/>
          <w:highlight w:val="none"/>
        </w:rPr>
        <w:t>第一条　合同价格</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 xml:space="preserve">本合同总价为人民币 </w:t>
      </w:r>
      <w:r>
        <w:rPr>
          <w:rFonts w:hint="eastAsia" w:ascii="宋体" w:hAnsi="宋体" w:eastAsia="宋体" w:cs="宋体"/>
          <w:color w:val="auto"/>
          <w:kern w:val="1"/>
          <w:sz w:val="22"/>
          <w:szCs w:val="22"/>
          <w:highlight w:val="none"/>
          <w:u w:val="single"/>
        </w:rPr>
        <w:t xml:space="preserve">       </w:t>
      </w:r>
      <w:r>
        <w:rPr>
          <w:rFonts w:hint="eastAsia" w:ascii="宋体" w:hAnsi="宋体" w:eastAsia="宋体" w:cs="宋体"/>
          <w:color w:val="auto"/>
          <w:kern w:val="1"/>
          <w:sz w:val="22"/>
          <w:szCs w:val="22"/>
          <w:highlight w:val="none"/>
        </w:rPr>
        <w:t>万元，（大写</w:t>
      </w:r>
      <w:r>
        <w:rPr>
          <w:rFonts w:hint="eastAsia" w:ascii="宋体" w:hAnsi="宋体" w:eastAsia="宋体" w:cs="宋体"/>
          <w:color w:val="auto"/>
          <w:kern w:val="1"/>
          <w:sz w:val="22"/>
          <w:szCs w:val="22"/>
          <w:highlight w:val="none"/>
          <w:u w:val="single"/>
        </w:rPr>
        <w:t xml:space="preserve">                           </w:t>
      </w:r>
      <w:r>
        <w:rPr>
          <w:rFonts w:hint="eastAsia" w:ascii="宋体" w:hAnsi="宋体" w:eastAsia="宋体" w:cs="宋体"/>
          <w:color w:val="auto"/>
          <w:kern w:val="1"/>
          <w:sz w:val="22"/>
          <w:szCs w:val="22"/>
          <w:highlight w:val="none"/>
        </w:rPr>
        <w:t>）。</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本合同总价包括车辆的制造、</w:t>
      </w:r>
      <w:r>
        <w:rPr>
          <w:rFonts w:hint="eastAsia" w:ascii="宋体" w:hAnsi="宋体" w:eastAsia="宋体" w:cs="宋体"/>
          <w:color w:val="auto"/>
          <w:kern w:val="1"/>
          <w:sz w:val="22"/>
          <w:szCs w:val="22"/>
          <w:highlight w:val="none"/>
          <w:lang w:val="en-US" w:eastAsia="zh-CN"/>
        </w:rPr>
        <w:t>安装、调试</w:t>
      </w:r>
      <w:r>
        <w:rPr>
          <w:rFonts w:hint="eastAsia" w:ascii="宋体" w:hAnsi="宋体" w:eastAsia="宋体" w:cs="宋体"/>
          <w:color w:val="auto"/>
          <w:kern w:val="1"/>
          <w:sz w:val="22"/>
          <w:szCs w:val="22"/>
          <w:highlight w:val="none"/>
        </w:rPr>
        <w:t>、至最终目的地的费用、税费以及测试、验收</w:t>
      </w:r>
      <w:r>
        <w:rPr>
          <w:rFonts w:hint="eastAsia" w:ascii="宋体" w:hAnsi="宋体" w:eastAsia="宋体" w:cs="宋体"/>
          <w:color w:val="auto"/>
          <w:kern w:val="1"/>
          <w:sz w:val="22"/>
          <w:szCs w:val="22"/>
          <w:highlight w:val="none"/>
          <w:lang w:eastAsia="zh-CN"/>
        </w:rPr>
        <w:t>（</w:t>
      </w:r>
      <w:r>
        <w:rPr>
          <w:rFonts w:hint="eastAsia" w:ascii="宋体" w:hAnsi="宋体" w:eastAsia="宋体" w:cs="宋体"/>
          <w:color w:val="auto"/>
          <w:kern w:val="1"/>
          <w:sz w:val="22"/>
          <w:szCs w:val="22"/>
          <w:highlight w:val="none"/>
          <w:lang w:val="en-US" w:eastAsia="zh-CN"/>
        </w:rPr>
        <w:t>第三方验收</w:t>
      </w:r>
      <w:r>
        <w:rPr>
          <w:rFonts w:hint="eastAsia" w:ascii="宋体" w:hAnsi="宋体" w:eastAsia="宋体" w:cs="宋体"/>
          <w:color w:val="auto"/>
          <w:kern w:val="1"/>
          <w:sz w:val="22"/>
          <w:szCs w:val="22"/>
          <w:highlight w:val="none"/>
          <w:lang w:eastAsia="zh-CN"/>
        </w:rPr>
        <w:t>）</w:t>
      </w:r>
      <w:r>
        <w:rPr>
          <w:rFonts w:hint="eastAsia" w:ascii="宋体" w:hAnsi="宋体" w:eastAsia="宋体" w:cs="宋体"/>
          <w:color w:val="auto"/>
          <w:kern w:val="1"/>
          <w:sz w:val="22"/>
          <w:szCs w:val="22"/>
          <w:highlight w:val="none"/>
        </w:rPr>
        <w:t>、技术服务（包括技术资料的提供）</w:t>
      </w:r>
      <w:r>
        <w:rPr>
          <w:rFonts w:hint="eastAsia" w:ascii="宋体" w:hAnsi="宋体" w:eastAsia="宋体" w:cs="宋体"/>
          <w:color w:val="auto"/>
          <w:kern w:val="1"/>
          <w:sz w:val="22"/>
          <w:szCs w:val="22"/>
          <w:highlight w:val="none"/>
          <w:lang w:eastAsia="zh-CN"/>
        </w:rPr>
        <w:t>、</w:t>
      </w:r>
      <w:r>
        <w:rPr>
          <w:rFonts w:hint="eastAsia" w:ascii="宋体" w:hAnsi="宋体" w:eastAsia="宋体" w:cs="宋体"/>
          <w:color w:val="auto"/>
          <w:kern w:val="1"/>
          <w:sz w:val="22"/>
          <w:szCs w:val="22"/>
          <w:highlight w:val="none"/>
          <w:lang w:val="en-US" w:eastAsia="zh-CN"/>
        </w:rPr>
        <w:t>上牌服务</w:t>
      </w:r>
      <w:r>
        <w:rPr>
          <w:rFonts w:hint="eastAsia" w:ascii="宋体" w:hAnsi="宋体" w:eastAsia="宋体" w:cs="宋体"/>
          <w:color w:val="auto"/>
          <w:kern w:val="1"/>
          <w:sz w:val="22"/>
          <w:szCs w:val="22"/>
          <w:highlight w:val="none"/>
        </w:rPr>
        <w:t>、售后服务、质保期保障、采购代理服务费等完成合同所需的一切本身和不可或缺的所有工作开支、政策性文件规定及合同包含的所有风险、责任等各项全部费用。</w:t>
      </w:r>
    </w:p>
    <w:p>
      <w:pPr>
        <w:tabs>
          <w:tab w:val="left" w:pos="360"/>
        </w:tabs>
        <w:spacing w:line="460" w:lineRule="exact"/>
        <w:rPr>
          <w:rFonts w:hint="eastAsia" w:ascii="宋体" w:hAnsi="宋体" w:eastAsia="宋体" w:cs="宋体"/>
          <w:b/>
          <w:color w:val="auto"/>
          <w:kern w:val="1"/>
          <w:sz w:val="22"/>
          <w:szCs w:val="22"/>
          <w:highlight w:val="none"/>
        </w:rPr>
      </w:pPr>
      <w:r>
        <w:rPr>
          <w:rFonts w:hint="eastAsia" w:ascii="宋体" w:hAnsi="宋体" w:eastAsia="宋体" w:cs="宋体"/>
          <w:b/>
          <w:color w:val="auto"/>
          <w:kern w:val="1"/>
          <w:sz w:val="22"/>
          <w:szCs w:val="22"/>
          <w:highlight w:val="none"/>
        </w:rPr>
        <w:t>第二条 车辆品牌名称、型号、颜色、数量、配置</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车辆品牌名称</w:t>
      </w:r>
      <w:r>
        <w:rPr>
          <w:rFonts w:hint="eastAsia" w:ascii="宋体" w:hAnsi="宋体" w:eastAsia="宋体" w:cs="宋体"/>
          <w:color w:val="auto"/>
          <w:kern w:val="1"/>
          <w:sz w:val="22"/>
          <w:szCs w:val="22"/>
          <w:highlight w:val="none"/>
          <w:u w:val="single"/>
        </w:rPr>
        <w:t xml:space="preserve">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型号规格：</w:t>
      </w:r>
      <w:r>
        <w:rPr>
          <w:rFonts w:hint="eastAsia" w:ascii="宋体" w:hAnsi="宋体" w:eastAsia="宋体" w:cs="宋体"/>
          <w:color w:val="auto"/>
          <w:kern w:val="1"/>
          <w:sz w:val="22"/>
          <w:szCs w:val="22"/>
          <w:highlight w:val="none"/>
          <w:u w:val="single"/>
        </w:rPr>
        <w:t xml:space="preserve">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 xml:space="preserve">颜色 </w:t>
      </w:r>
      <w:r>
        <w:rPr>
          <w:rFonts w:hint="eastAsia" w:ascii="宋体" w:hAnsi="宋体" w:eastAsia="宋体" w:cs="宋体"/>
          <w:color w:val="auto"/>
          <w:kern w:val="1"/>
          <w:sz w:val="22"/>
          <w:szCs w:val="22"/>
          <w:highlight w:val="none"/>
          <w:u w:val="single"/>
        </w:rPr>
        <w:t xml:space="preserve">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数量（辆）</w:t>
      </w:r>
      <w:r>
        <w:rPr>
          <w:rFonts w:hint="eastAsia" w:ascii="宋体" w:hAnsi="宋体" w:eastAsia="宋体" w:cs="宋体"/>
          <w:color w:val="auto"/>
          <w:kern w:val="1"/>
          <w:sz w:val="22"/>
          <w:szCs w:val="22"/>
          <w:highlight w:val="none"/>
          <w:u w:val="single"/>
        </w:rPr>
        <w:t xml:space="preserve">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 xml:space="preserve">配置及技术性能要求 </w:t>
      </w:r>
      <w:r>
        <w:rPr>
          <w:rFonts w:hint="eastAsia" w:ascii="宋体" w:hAnsi="宋体" w:eastAsia="宋体" w:cs="宋体"/>
          <w:color w:val="auto"/>
          <w:kern w:val="1"/>
          <w:sz w:val="22"/>
          <w:szCs w:val="22"/>
          <w:highlight w:val="none"/>
          <w:u w:val="single"/>
        </w:rPr>
        <w:t xml:space="preserve"> 依据</w:t>
      </w:r>
      <w:r>
        <w:rPr>
          <w:rFonts w:hint="eastAsia" w:ascii="宋体" w:hAnsi="宋体" w:eastAsia="宋体" w:cs="宋体"/>
          <w:color w:val="auto"/>
          <w:kern w:val="1"/>
          <w:sz w:val="22"/>
          <w:szCs w:val="22"/>
          <w:highlight w:val="none"/>
          <w:u w:val="single"/>
          <w:lang w:eastAsia="zh-CN"/>
        </w:rPr>
        <w:t>甲方采购文件</w:t>
      </w:r>
      <w:r>
        <w:rPr>
          <w:rFonts w:hint="eastAsia" w:ascii="宋体" w:hAnsi="宋体" w:eastAsia="宋体" w:cs="宋体"/>
          <w:color w:val="auto"/>
          <w:kern w:val="1"/>
          <w:sz w:val="22"/>
          <w:szCs w:val="22"/>
          <w:highlight w:val="none"/>
          <w:u w:val="single"/>
        </w:rPr>
        <w:t>采购内容及</w:t>
      </w:r>
      <w:r>
        <w:rPr>
          <w:rFonts w:hint="eastAsia" w:ascii="宋体" w:hAnsi="宋体" w:eastAsia="宋体" w:cs="宋体"/>
          <w:color w:val="auto"/>
          <w:kern w:val="1"/>
          <w:sz w:val="22"/>
          <w:szCs w:val="22"/>
          <w:highlight w:val="none"/>
          <w:u w:val="single"/>
          <w:lang w:eastAsia="zh-CN"/>
        </w:rPr>
        <w:t>乙方</w:t>
      </w:r>
      <w:r>
        <w:rPr>
          <w:rFonts w:hint="eastAsia" w:ascii="宋体" w:hAnsi="宋体" w:eastAsia="宋体" w:cs="宋体"/>
          <w:color w:val="auto"/>
          <w:kern w:val="1"/>
          <w:sz w:val="22"/>
          <w:szCs w:val="22"/>
          <w:highlight w:val="none"/>
          <w:u w:val="single"/>
        </w:rPr>
        <w:t xml:space="preserve">投标文件承诺  </w:t>
      </w:r>
    </w:p>
    <w:p>
      <w:pPr>
        <w:tabs>
          <w:tab w:val="left" w:pos="360"/>
        </w:tabs>
        <w:spacing w:line="460" w:lineRule="exact"/>
        <w:rPr>
          <w:rFonts w:hint="eastAsia" w:ascii="宋体" w:hAnsi="宋体" w:eastAsia="宋体" w:cs="宋体"/>
          <w:b/>
          <w:color w:val="auto"/>
          <w:kern w:val="1"/>
          <w:sz w:val="22"/>
          <w:szCs w:val="22"/>
          <w:highlight w:val="none"/>
        </w:rPr>
      </w:pPr>
      <w:r>
        <w:rPr>
          <w:rFonts w:hint="eastAsia" w:ascii="宋体" w:hAnsi="宋体" w:eastAsia="宋体" w:cs="宋体"/>
          <w:b/>
          <w:color w:val="auto"/>
          <w:kern w:val="1"/>
          <w:sz w:val="22"/>
          <w:szCs w:val="22"/>
          <w:highlight w:val="none"/>
        </w:rPr>
        <w:t xml:space="preserve">第三条　质量要求、技术标准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（一）本合同约定的车辆，其质量必须符合国家汽车产品标准，并符合生产厂家出厂检验标准，符合安全驾驶和说明书载明的基本使用要求（</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应在上述材料上盖章确认），符合国家关于尾气排放的标准。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（二）本合同约定的车辆，必须是进入工信部《车辆生产企业及产品公告》目录且在有效期内的，并能通过公安交通管理部门的检测，可以上牌行驶的车辆。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（三）双方对车辆质量的认定有争议的，以</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指定的国家授权汽车检验机构出具的书面鉴定意见为处理争议的依据。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（四）</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 xml:space="preserve">必须保证汽车为新车，保证汽车的外观没有任何损坏，不得出现掉漆、磨损等现象。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（五）</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保证向</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出售的车辆，在交给</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使用前已作必要的检验和清洁。 　　</w:t>
      </w:r>
    </w:p>
    <w:p>
      <w:pPr>
        <w:tabs>
          <w:tab w:val="left" w:pos="360"/>
        </w:tabs>
        <w:spacing w:line="460" w:lineRule="exact"/>
        <w:rPr>
          <w:rFonts w:hint="eastAsia" w:ascii="宋体" w:hAnsi="宋体" w:eastAsia="宋体" w:cs="宋体"/>
          <w:b/>
          <w:color w:val="auto"/>
          <w:kern w:val="1"/>
          <w:sz w:val="22"/>
          <w:szCs w:val="22"/>
          <w:highlight w:val="none"/>
        </w:rPr>
      </w:pPr>
      <w:r>
        <w:rPr>
          <w:rFonts w:hint="eastAsia" w:ascii="宋体" w:hAnsi="宋体" w:eastAsia="宋体" w:cs="宋体"/>
          <w:b/>
          <w:color w:val="auto"/>
          <w:kern w:val="1"/>
          <w:sz w:val="22"/>
          <w:szCs w:val="22"/>
          <w:highlight w:val="none"/>
        </w:rPr>
        <w:t xml:space="preserve">第四条　付款方式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(一）本项目采取分段付款方式。</w:t>
      </w:r>
    </w:p>
    <w:p>
      <w:pPr>
        <w:tabs>
          <w:tab w:val="left" w:pos="360"/>
        </w:tabs>
        <w:spacing w:line="460" w:lineRule="exact"/>
        <w:ind w:firstLine="440" w:firstLineChars="20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（二）</w:t>
      </w:r>
      <w:r>
        <w:rPr>
          <w:rFonts w:hint="eastAsia" w:ascii="宋体" w:hAnsi="宋体" w:eastAsia="宋体" w:cs="宋体"/>
          <w:color w:val="auto"/>
          <w:kern w:val="1"/>
          <w:sz w:val="22"/>
          <w:szCs w:val="22"/>
          <w:highlight w:val="none"/>
          <w:lang w:eastAsia="zh-CN"/>
        </w:rPr>
        <w:t>采购人</w:t>
      </w:r>
      <w:r>
        <w:rPr>
          <w:rFonts w:hint="eastAsia" w:ascii="宋体" w:hAnsi="宋体" w:eastAsia="宋体" w:cs="宋体"/>
          <w:color w:val="auto"/>
          <w:kern w:val="1"/>
          <w:sz w:val="22"/>
          <w:szCs w:val="22"/>
          <w:highlight w:val="none"/>
        </w:rPr>
        <w:t>的付款方式：</w:t>
      </w:r>
    </w:p>
    <w:p>
      <w:pPr>
        <w:tabs>
          <w:tab w:val="left" w:pos="360"/>
        </w:tabs>
        <w:spacing w:line="460" w:lineRule="exact"/>
        <w:ind w:firstLine="433" w:firstLineChars="196"/>
        <w:rPr>
          <w:rFonts w:hint="eastAsia" w:ascii="宋体" w:hAnsi="宋体" w:eastAsia="宋体" w:cs="宋体"/>
          <w:b/>
          <w:color w:val="auto"/>
          <w:sz w:val="22"/>
          <w:szCs w:val="22"/>
          <w:highlight w:val="none"/>
          <w:lang w:val="en-US" w:eastAsia="zh-CN"/>
        </w:rPr>
      </w:pPr>
      <w:bookmarkStart w:id="101" w:name="OLE_LINK12"/>
      <w:bookmarkEnd w:id="101"/>
      <w:r>
        <w:rPr>
          <w:rFonts w:hint="eastAsia" w:ascii="宋体" w:hAnsi="宋体" w:eastAsia="宋体" w:cs="宋体"/>
          <w:b/>
          <w:color w:val="auto"/>
          <w:sz w:val="22"/>
          <w:szCs w:val="22"/>
          <w:highlight w:val="none"/>
          <w:lang w:val="en-US" w:eastAsia="zh-CN"/>
        </w:rPr>
        <w:t>在合同签订前，乙方须向甲方缴纳合同金额5%的履约保证金，如不提供，甲方有权终止投标人的中标资格；合同签订后，待乙方完成全部货物的生产、运输、安装、调试、车辆上牌并通过最终验收合格后无质量及服务问题15个工作日内，甲方向乙方一次性支付全部货款（乙方必须开具合同金额100%的增值税专用发票）并无息退还履约保证金。</w:t>
      </w:r>
    </w:p>
    <w:p>
      <w:pPr>
        <w:tabs>
          <w:tab w:val="left" w:pos="360"/>
        </w:tabs>
        <w:spacing w:line="460" w:lineRule="exact"/>
        <w:ind w:firstLine="433" w:firstLineChars="196"/>
        <w:rPr>
          <w:rFonts w:hint="eastAsia" w:ascii="宋体" w:hAnsi="宋体" w:eastAsia="宋体" w:cs="宋体"/>
          <w:b/>
          <w:color w:val="auto"/>
          <w:kern w:val="1"/>
          <w:sz w:val="22"/>
          <w:szCs w:val="22"/>
          <w:highlight w:val="none"/>
        </w:rPr>
      </w:pPr>
      <w:r>
        <w:rPr>
          <w:rFonts w:hint="eastAsia" w:ascii="宋体" w:hAnsi="宋体" w:eastAsia="宋体" w:cs="宋体"/>
          <w:b/>
          <w:color w:val="auto"/>
          <w:kern w:val="1"/>
          <w:sz w:val="22"/>
          <w:szCs w:val="22"/>
          <w:highlight w:val="none"/>
        </w:rPr>
        <w:t>第五条　交车时间、地点及交车方式 　</w:t>
      </w:r>
    </w:p>
    <w:p>
      <w:pPr>
        <w:tabs>
          <w:tab w:val="left" w:pos="360"/>
        </w:tabs>
        <w:spacing w:line="460" w:lineRule="exact"/>
        <w:ind w:firstLine="550"/>
        <w:rPr>
          <w:rFonts w:hint="eastAsia" w:ascii="宋体" w:hAnsi="宋体" w:eastAsia="宋体" w:cs="宋体"/>
          <w:color w:val="auto"/>
          <w:kern w:val="1"/>
          <w:sz w:val="22"/>
          <w:szCs w:val="22"/>
          <w:highlight w:val="none"/>
          <w:u w:val="single"/>
        </w:rPr>
      </w:pPr>
      <w:r>
        <w:rPr>
          <w:rFonts w:hint="eastAsia" w:ascii="宋体" w:hAnsi="宋体" w:eastAsia="宋体" w:cs="宋体"/>
          <w:color w:val="auto"/>
          <w:kern w:val="1"/>
          <w:sz w:val="22"/>
          <w:szCs w:val="22"/>
          <w:highlight w:val="none"/>
        </w:rPr>
        <w:t>（一）</w:t>
      </w:r>
      <w:r>
        <w:rPr>
          <w:rFonts w:hint="eastAsia" w:ascii="宋体" w:hAnsi="宋体" w:eastAsia="宋体" w:cs="宋体"/>
          <w:bCs/>
          <w:color w:val="auto"/>
          <w:sz w:val="22"/>
          <w:szCs w:val="22"/>
          <w:highlight w:val="none"/>
        </w:rPr>
        <w:t>车辆交付使用时间：</w:t>
      </w:r>
      <w:r>
        <w:rPr>
          <w:rFonts w:hint="eastAsia" w:ascii="宋体" w:hAnsi="宋体" w:eastAsia="宋体" w:cs="宋体"/>
          <w:b/>
          <w:bCs w:val="0"/>
          <w:color w:val="auto"/>
          <w:sz w:val="22"/>
          <w:szCs w:val="22"/>
          <w:highlight w:val="none"/>
          <w:lang w:eastAsia="zh-CN"/>
        </w:rPr>
        <w:t>合同签订后30日历天内完成供货并通过采购人验收</w:t>
      </w:r>
      <w:r>
        <w:rPr>
          <w:rFonts w:hint="eastAsia" w:ascii="宋体" w:hAnsi="宋体" w:eastAsia="宋体" w:cs="宋体"/>
          <w:b/>
          <w:bCs w:val="0"/>
          <w:color w:val="auto"/>
          <w:sz w:val="22"/>
          <w:szCs w:val="22"/>
          <w:highlight w:val="none"/>
        </w:rPr>
        <w:t>。</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（二）</w:t>
      </w:r>
      <w:r>
        <w:rPr>
          <w:rFonts w:hint="eastAsia" w:ascii="宋体" w:hAnsi="宋体" w:eastAsia="宋体" w:cs="宋体"/>
          <w:bCs/>
          <w:color w:val="auto"/>
          <w:kern w:val="1"/>
          <w:sz w:val="22"/>
          <w:szCs w:val="22"/>
          <w:highlight w:val="none"/>
        </w:rPr>
        <w:t>车辆交付地点：</w:t>
      </w:r>
      <w:r>
        <w:rPr>
          <w:rFonts w:hint="eastAsia" w:ascii="宋体" w:hAnsi="宋体" w:eastAsia="宋体" w:cs="宋体"/>
          <w:bCs/>
          <w:color w:val="auto"/>
          <w:kern w:val="1"/>
          <w:sz w:val="22"/>
          <w:szCs w:val="22"/>
          <w:highlight w:val="none"/>
          <w:lang w:eastAsia="zh-CN"/>
        </w:rPr>
        <w:t>甲方</w:t>
      </w:r>
      <w:r>
        <w:rPr>
          <w:rFonts w:hint="eastAsia" w:ascii="宋体" w:hAnsi="宋体" w:eastAsia="宋体" w:cs="宋体"/>
          <w:bCs/>
          <w:color w:val="auto"/>
          <w:kern w:val="1"/>
          <w:sz w:val="22"/>
          <w:szCs w:val="22"/>
          <w:highlight w:val="none"/>
        </w:rPr>
        <w:t>指定现场</w:t>
      </w:r>
      <w:r>
        <w:rPr>
          <w:rFonts w:hint="eastAsia" w:ascii="宋体" w:hAnsi="宋体" w:eastAsia="宋体" w:cs="宋体"/>
          <w:color w:val="auto"/>
          <w:kern w:val="1"/>
          <w:sz w:val="22"/>
          <w:szCs w:val="22"/>
          <w:highlight w:val="none"/>
        </w:rPr>
        <w:t>。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（三）交车方式：</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送车上门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（四）</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在向</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交付车辆时须同时提供：</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 xml:space="preserve"> 1、销售发票。 　　　　</w:t>
      </w:r>
    </w:p>
    <w:p>
      <w:pPr>
        <w:tabs>
          <w:tab w:val="left" w:pos="360"/>
        </w:tabs>
        <w:spacing w:line="460" w:lineRule="exact"/>
        <w:ind w:firstLine="66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2、车辆合格证。</w:t>
      </w:r>
    </w:p>
    <w:p>
      <w:pPr>
        <w:tabs>
          <w:tab w:val="left" w:pos="360"/>
        </w:tabs>
        <w:spacing w:line="460" w:lineRule="exact"/>
        <w:ind w:firstLine="66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3、质量服务卡或保修手册。</w:t>
      </w:r>
    </w:p>
    <w:p>
      <w:pPr>
        <w:tabs>
          <w:tab w:val="left" w:pos="360"/>
        </w:tabs>
        <w:spacing w:line="460" w:lineRule="exact"/>
        <w:ind w:firstLine="66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4、车辆使用说明书或用户使用手册（中文）。</w:t>
      </w:r>
    </w:p>
    <w:p>
      <w:pPr>
        <w:tabs>
          <w:tab w:val="left" w:pos="360"/>
        </w:tabs>
        <w:spacing w:line="460" w:lineRule="exact"/>
        <w:ind w:firstLine="66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5、随车工具及备件清单。 　　</w:t>
      </w:r>
    </w:p>
    <w:p>
      <w:pPr>
        <w:tabs>
          <w:tab w:val="left" w:pos="360"/>
        </w:tabs>
        <w:spacing w:line="460" w:lineRule="exact"/>
        <w:ind w:firstLine="66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 xml:space="preserve">经双方验收，签订车辆验收文件。 </w:t>
      </w:r>
    </w:p>
    <w:p>
      <w:pPr>
        <w:tabs>
          <w:tab w:val="left" w:pos="360"/>
        </w:tabs>
        <w:spacing w:line="460" w:lineRule="exact"/>
        <w:rPr>
          <w:rFonts w:hint="eastAsia" w:ascii="宋体" w:hAnsi="宋体" w:eastAsia="宋体" w:cs="宋体"/>
          <w:b/>
          <w:color w:val="auto"/>
          <w:kern w:val="1"/>
          <w:sz w:val="22"/>
          <w:szCs w:val="22"/>
          <w:highlight w:val="none"/>
        </w:rPr>
      </w:pPr>
      <w:r>
        <w:rPr>
          <w:rFonts w:hint="eastAsia" w:ascii="宋体" w:hAnsi="宋体" w:eastAsia="宋体" w:cs="宋体"/>
          <w:b/>
          <w:color w:val="auto"/>
          <w:kern w:val="1"/>
          <w:sz w:val="22"/>
          <w:szCs w:val="22"/>
          <w:highlight w:val="none"/>
        </w:rPr>
        <w:t>第六条　车辆交付及验收方式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（一）车辆交接时当场验收，</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应对所购车辆外观和基本使用功能等进行认真检查、确认。如对外观有异议，应当场向</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提出。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w:t>
      </w:r>
      <w:r>
        <w:rPr>
          <w:rFonts w:hint="eastAsia" w:ascii="宋体" w:hAnsi="宋体" w:eastAsia="宋体" w:cs="宋体"/>
          <w:color w:val="auto"/>
          <w:kern w:val="1"/>
          <w:sz w:val="22"/>
          <w:szCs w:val="22"/>
          <w:highlight w:val="none"/>
          <w:lang w:val="en-US" w:eastAsia="zh-CN"/>
        </w:rPr>
        <w:t>二</w:t>
      </w:r>
      <w:r>
        <w:rPr>
          <w:rFonts w:hint="eastAsia" w:ascii="宋体" w:hAnsi="宋体" w:eastAsia="宋体" w:cs="宋体"/>
          <w:color w:val="auto"/>
          <w:kern w:val="1"/>
          <w:sz w:val="22"/>
          <w:szCs w:val="22"/>
          <w:highlight w:val="none"/>
        </w:rPr>
        <w:t>）自车辆正式交付使用之时起，该车辆的风险责任由</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转移至</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 xml:space="preserve">。 </w:t>
      </w:r>
    </w:p>
    <w:p>
      <w:pPr>
        <w:tabs>
          <w:tab w:val="left" w:pos="360"/>
        </w:tabs>
        <w:spacing w:line="460" w:lineRule="exact"/>
        <w:rPr>
          <w:rFonts w:hint="eastAsia" w:ascii="宋体" w:hAnsi="宋体" w:eastAsia="宋体" w:cs="宋体"/>
          <w:b/>
          <w:color w:val="auto"/>
          <w:kern w:val="1"/>
          <w:sz w:val="22"/>
          <w:szCs w:val="22"/>
          <w:highlight w:val="none"/>
        </w:rPr>
      </w:pPr>
      <w:r>
        <w:rPr>
          <w:rFonts w:hint="eastAsia" w:ascii="宋体" w:hAnsi="宋体" w:eastAsia="宋体" w:cs="宋体"/>
          <w:b/>
          <w:color w:val="auto"/>
          <w:kern w:val="1"/>
          <w:sz w:val="22"/>
          <w:szCs w:val="22"/>
          <w:highlight w:val="none"/>
        </w:rPr>
        <w:t>第七条　</w:t>
      </w:r>
      <w:r>
        <w:rPr>
          <w:rFonts w:hint="eastAsia" w:ascii="宋体" w:hAnsi="宋体" w:eastAsia="宋体" w:cs="宋体"/>
          <w:b/>
          <w:color w:val="auto"/>
          <w:kern w:val="1"/>
          <w:sz w:val="22"/>
          <w:szCs w:val="22"/>
          <w:highlight w:val="none"/>
          <w:lang w:val="en-US" w:eastAsia="zh-CN"/>
        </w:rPr>
        <w:t>质保及</w:t>
      </w:r>
      <w:r>
        <w:rPr>
          <w:rFonts w:hint="eastAsia" w:ascii="宋体" w:hAnsi="宋体" w:eastAsia="宋体" w:cs="宋体"/>
          <w:b/>
          <w:color w:val="auto"/>
          <w:kern w:val="1"/>
          <w:sz w:val="22"/>
          <w:szCs w:val="22"/>
          <w:highlight w:val="none"/>
        </w:rPr>
        <w:t>售后服务 　　</w:t>
      </w:r>
    </w:p>
    <w:p>
      <w:pPr>
        <w:tabs>
          <w:tab w:val="left" w:pos="360"/>
        </w:tabs>
        <w:spacing w:line="460" w:lineRule="exact"/>
        <w:ind w:firstLine="550"/>
        <w:rPr>
          <w:rFonts w:hint="eastAsia" w:ascii="宋体" w:hAnsi="宋体" w:eastAsia="宋体" w:cs="宋体"/>
          <w:color w:val="auto"/>
          <w:kern w:val="1"/>
          <w:sz w:val="22"/>
          <w:szCs w:val="22"/>
          <w:highlight w:val="none"/>
          <w:lang w:eastAsia="zh-CN"/>
        </w:rPr>
      </w:pPr>
      <w:r>
        <w:rPr>
          <w:rFonts w:hint="eastAsia" w:ascii="宋体" w:hAnsi="宋体" w:eastAsia="宋体" w:cs="宋体"/>
          <w:color w:val="auto"/>
          <w:kern w:val="1"/>
          <w:sz w:val="22"/>
          <w:szCs w:val="22"/>
          <w:highlight w:val="none"/>
          <w:lang w:eastAsia="zh-CN"/>
        </w:rPr>
        <w:t xml:space="preserve">（1）车辆质保期：整车保修免费质保期不得少于 3 年或 10 万公里（先到为准）。若乙方给予延长，质保期各部件质保期按乙方对外承诺的标准执行，但不得少于 3 年或 10 万公里（先到为准）。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lang w:val="en-US" w:eastAsia="zh-CN"/>
        </w:rPr>
        <w:t>（2）</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lang w:val="en-US" w:eastAsia="zh-CN"/>
        </w:rPr>
        <w:t>售后服务</w:t>
      </w:r>
      <w:r>
        <w:rPr>
          <w:rFonts w:hint="eastAsia" w:ascii="宋体" w:hAnsi="宋体" w:eastAsia="宋体" w:cs="宋体"/>
          <w:color w:val="auto"/>
          <w:kern w:val="1"/>
          <w:sz w:val="22"/>
          <w:szCs w:val="22"/>
          <w:highlight w:val="none"/>
        </w:rPr>
        <w:t>承诺：见</w:t>
      </w:r>
      <w:r>
        <w:rPr>
          <w:rFonts w:hint="eastAsia" w:ascii="宋体" w:hAnsi="宋体" w:eastAsia="宋体" w:cs="宋体"/>
          <w:color w:val="auto"/>
          <w:kern w:val="1"/>
          <w:sz w:val="22"/>
          <w:szCs w:val="22"/>
          <w:highlight w:val="none"/>
          <w:lang w:eastAsia="zh-CN"/>
        </w:rPr>
        <w:t>甲方采购文件</w:t>
      </w:r>
      <w:r>
        <w:rPr>
          <w:rFonts w:hint="eastAsia" w:ascii="宋体" w:hAnsi="宋体" w:eastAsia="宋体" w:cs="宋体"/>
          <w:color w:val="auto"/>
          <w:kern w:val="1"/>
          <w:sz w:val="22"/>
          <w:szCs w:val="22"/>
          <w:highlight w:val="none"/>
        </w:rPr>
        <w:t>要求和</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投标文件承诺 。</w:t>
      </w:r>
    </w:p>
    <w:p>
      <w:pPr>
        <w:tabs>
          <w:tab w:val="left" w:pos="360"/>
        </w:tabs>
        <w:spacing w:line="460" w:lineRule="exact"/>
        <w:rPr>
          <w:rFonts w:hint="eastAsia" w:ascii="宋体" w:hAnsi="宋体" w:eastAsia="宋体" w:cs="宋体"/>
          <w:b/>
          <w:color w:val="auto"/>
          <w:kern w:val="1"/>
          <w:sz w:val="22"/>
          <w:szCs w:val="22"/>
          <w:highlight w:val="none"/>
        </w:rPr>
      </w:pPr>
      <w:r>
        <w:rPr>
          <w:rFonts w:hint="eastAsia" w:ascii="宋体" w:hAnsi="宋体" w:eastAsia="宋体" w:cs="宋体"/>
          <w:b/>
          <w:color w:val="auto"/>
          <w:kern w:val="1"/>
          <w:sz w:val="22"/>
          <w:szCs w:val="22"/>
          <w:highlight w:val="none"/>
        </w:rPr>
        <w:t>第八条　无效条款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提供给</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的说明书及其他材料中，排除或限制</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权利、免除或减轻</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责任的条款无效，无论该条款是否通知</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w:t>
      </w:r>
    </w:p>
    <w:p>
      <w:pPr>
        <w:numPr>
          <w:ilvl w:val="0"/>
          <w:numId w:val="16"/>
        </w:numPr>
        <w:tabs>
          <w:tab w:val="left" w:pos="360"/>
        </w:tabs>
        <w:spacing w:line="460" w:lineRule="exact"/>
        <w:rPr>
          <w:rFonts w:hint="eastAsia" w:ascii="宋体" w:hAnsi="宋体" w:eastAsia="宋体" w:cs="宋体"/>
          <w:b/>
          <w:color w:val="auto"/>
          <w:kern w:val="1"/>
          <w:sz w:val="22"/>
          <w:szCs w:val="22"/>
          <w:highlight w:val="none"/>
        </w:rPr>
      </w:pPr>
      <w:r>
        <w:rPr>
          <w:rFonts w:hint="eastAsia" w:ascii="宋体" w:hAnsi="宋体" w:eastAsia="宋体" w:cs="宋体"/>
          <w:b/>
          <w:color w:val="auto"/>
          <w:kern w:val="1"/>
          <w:sz w:val="22"/>
          <w:szCs w:val="22"/>
          <w:highlight w:val="none"/>
        </w:rPr>
        <w:t>　在车辆的三包有效期内，双方按照《国家汽车产品修理、更换、退货责任规定》执行。</w:t>
      </w:r>
    </w:p>
    <w:p>
      <w:pPr>
        <w:numPr>
          <w:ilvl w:val="0"/>
          <w:numId w:val="16"/>
        </w:numPr>
        <w:tabs>
          <w:tab w:val="left" w:pos="360"/>
        </w:tabs>
        <w:spacing w:line="460" w:lineRule="exact"/>
        <w:rPr>
          <w:rFonts w:hint="eastAsia" w:ascii="宋体" w:hAnsi="宋体" w:eastAsia="宋体" w:cs="宋体"/>
          <w:b/>
          <w:color w:val="auto"/>
          <w:kern w:val="1"/>
          <w:sz w:val="22"/>
          <w:szCs w:val="22"/>
          <w:highlight w:val="none"/>
        </w:rPr>
      </w:pPr>
      <w:r>
        <w:rPr>
          <w:rFonts w:hint="eastAsia" w:ascii="宋体" w:hAnsi="宋体" w:eastAsia="宋体" w:cs="宋体"/>
          <w:b/>
          <w:color w:val="auto"/>
          <w:kern w:val="1"/>
          <w:sz w:val="22"/>
          <w:szCs w:val="22"/>
          <w:highlight w:val="none"/>
        </w:rPr>
        <w:t>　违约责任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一）一方迟延交车或迟延支付车款（属于不可预见的财政原因导致的迟延支付除外）的，应每日按照迟延部分车款百分之零点二（0.2%）的标准向对方支付违约金。迟延超过十五日的，对方有权解除合同，并要求迟延方赔偿本合同价款的</w:t>
      </w:r>
      <w:r>
        <w:rPr>
          <w:rFonts w:hint="eastAsia" w:ascii="宋体" w:hAnsi="宋体" w:eastAsia="宋体" w:cs="宋体"/>
          <w:color w:val="auto"/>
          <w:kern w:val="1"/>
          <w:sz w:val="22"/>
          <w:szCs w:val="22"/>
          <w:highlight w:val="none"/>
          <w:u w:val="single"/>
          <w:lang w:val="en-US" w:eastAsia="zh-CN"/>
        </w:rPr>
        <w:t>3</w:t>
      </w:r>
      <w:r>
        <w:rPr>
          <w:rFonts w:hint="eastAsia" w:ascii="宋体" w:hAnsi="宋体" w:eastAsia="宋体" w:cs="宋体"/>
          <w:color w:val="auto"/>
          <w:kern w:val="1"/>
          <w:sz w:val="22"/>
          <w:szCs w:val="22"/>
          <w:highlight w:val="none"/>
        </w:rPr>
        <w:t>%作为违约金。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（二）在车辆交付使用后</w:t>
      </w:r>
      <w:r>
        <w:rPr>
          <w:rFonts w:hint="eastAsia" w:ascii="宋体" w:hAnsi="宋体" w:eastAsia="宋体" w:cs="宋体"/>
          <w:color w:val="auto"/>
          <w:kern w:val="1"/>
          <w:sz w:val="22"/>
          <w:szCs w:val="22"/>
          <w:highlight w:val="none"/>
          <w:u w:val="single"/>
        </w:rPr>
        <w:t xml:space="preserve"> </w:t>
      </w:r>
      <w:r>
        <w:rPr>
          <w:rFonts w:hint="eastAsia" w:ascii="宋体" w:hAnsi="宋体" w:eastAsia="宋体" w:cs="宋体"/>
          <w:color w:val="auto"/>
          <w:kern w:val="1"/>
          <w:sz w:val="22"/>
          <w:szCs w:val="22"/>
          <w:highlight w:val="none"/>
          <w:u w:val="single"/>
          <w:lang w:val="en-US" w:eastAsia="zh-CN"/>
        </w:rPr>
        <w:t>30</w:t>
      </w:r>
      <w:r>
        <w:rPr>
          <w:rFonts w:hint="eastAsia" w:ascii="宋体" w:hAnsi="宋体" w:eastAsia="宋体" w:cs="宋体"/>
          <w:color w:val="auto"/>
          <w:kern w:val="1"/>
          <w:sz w:val="22"/>
          <w:szCs w:val="22"/>
          <w:highlight w:val="none"/>
          <w:u w:val="single"/>
        </w:rPr>
        <w:t xml:space="preserve"> </w:t>
      </w:r>
      <w:r>
        <w:rPr>
          <w:rFonts w:hint="eastAsia" w:ascii="宋体" w:hAnsi="宋体" w:eastAsia="宋体" w:cs="宋体"/>
          <w:color w:val="auto"/>
          <w:kern w:val="1"/>
          <w:sz w:val="22"/>
          <w:szCs w:val="22"/>
          <w:highlight w:val="none"/>
        </w:rPr>
        <w:t>日内，</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交付的汽车不符合说明书中表明的质量标准或本合同约定的标准，</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有权要求</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承担无偿修复、补偿损失或减少价款的违约责任。</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也可以选择解除本合同，</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应向</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支付</w:t>
      </w:r>
      <w:r>
        <w:rPr>
          <w:rFonts w:hint="eastAsia" w:ascii="宋体" w:hAnsi="宋体" w:eastAsia="宋体" w:cs="宋体"/>
          <w:color w:val="auto"/>
          <w:kern w:val="1"/>
          <w:sz w:val="22"/>
          <w:szCs w:val="22"/>
          <w:highlight w:val="none"/>
          <w:lang w:val="en-US" w:eastAsia="zh-CN"/>
        </w:rPr>
        <w:t>合同金额的5%违约金</w:t>
      </w:r>
      <w:r>
        <w:rPr>
          <w:rFonts w:hint="eastAsia" w:ascii="宋体" w:hAnsi="宋体" w:eastAsia="宋体" w:cs="宋体"/>
          <w:color w:val="auto"/>
          <w:kern w:val="1"/>
          <w:sz w:val="22"/>
          <w:szCs w:val="22"/>
          <w:highlight w:val="none"/>
        </w:rPr>
        <w:t>。</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行使上述约定权利时，所发生的一切费用也由</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 xml:space="preserve">承担。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（三）经国家授权的汽车检验机构鉴定，</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所购汽车确实存在设计、制造缺陷，</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可依据国家关于召回的法律法规协助汽车制造商主动召回有问题的车辆；由车辆缺陷所造成的人身和他人财产损害，</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可向</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要求赔偿。若该车有特殊的使用要求时，</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应该明示告知，否则应承担相应赔偿责任。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（四）</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不履行售后服务义务时，</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有权要求</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双倍赔偿</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为维修汽车而花费的一切合理费用，包括但不限于维修费、购买汽车配件费、交通费等。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（五）因车身超重、尾气不合格等情况导致</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无法上牌照，</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有权退车并要求</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承担</w:t>
      </w:r>
      <w:r>
        <w:rPr>
          <w:rFonts w:hint="eastAsia" w:ascii="宋体" w:hAnsi="宋体" w:eastAsia="宋体" w:cs="宋体"/>
          <w:color w:val="auto"/>
          <w:kern w:val="1"/>
          <w:sz w:val="22"/>
          <w:szCs w:val="22"/>
          <w:highlight w:val="none"/>
          <w:lang w:val="en-US" w:eastAsia="zh-CN"/>
        </w:rPr>
        <w:t>合同金额的5%违约金</w:t>
      </w:r>
      <w:r>
        <w:rPr>
          <w:rFonts w:hint="eastAsia" w:ascii="宋体" w:hAnsi="宋体" w:eastAsia="宋体" w:cs="宋体"/>
          <w:color w:val="auto"/>
          <w:kern w:val="1"/>
          <w:sz w:val="22"/>
          <w:szCs w:val="22"/>
          <w:highlight w:val="none"/>
        </w:rPr>
        <w:t>，违约金不足以弥补</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损失的，</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有权追偿。</w:t>
      </w:r>
    </w:p>
    <w:p>
      <w:pPr>
        <w:tabs>
          <w:tab w:val="left" w:pos="360"/>
        </w:tabs>
        <w:spacing w:line="460" w:lineRule="exact"/>
        <w:rPr>
          <w:rFonts w:hint="eastAsia" w:ascii="宋体" w:hAnsi="宋体" w:eastAsia="宋体" w:cs="宋体"/>
          <w:b/>
          <w:color w:val="auto"/>
          <w:kern w:val="1"/>
          <w:sz w:val="22"/>
          <w:szCs w:val="22"/>
          <w:highlight w:val="none"/>
        </w:rPr>
      </w:pPr>
      <w:r>
        <w:rPr>
          <w:rFonts w:hint="eastAsia" w:ascii="宋体" w:hAnsi="宋体" w:eastAsia="宋体" w:cs="宋体"/>
          <w:b/>
          <w:color w:val="auto"/>
          <w:kern w:val="1"/>
          <w:sz w:val="22"/>
          <w:szCs w:val="22"/>
          <w:highlight w:val="none"/>
        </w:rPr>
        <w:t>第十一条　不可抗力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（一）任何一方对由于不可抗力造成的部分或全部不能履行本合同不负责任。但迟延履行后发生不可抗力或发生不可抗力后没有采取补救措施和通知义务的，不能免除责任。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（二）遇有不可抗力的一方，应在3 日内将事件的情况以书面形式（含传真、电子邮件、手机短信等形式）通知另一方，并在事件发生后10 日内，向另一方提交合同不能履行或部分不能履行或需要延期履行理由的报告。 　　</w:t>
      </w:r>
    </w:p>
    <w:p>
      <w:pPr>
        <w:tabs>
          <w:tab w:val="left" w:pos="360"/>
        </w:tabs>
        <w:spacing w:line="460" w:lineRule="exact"/>
        <w:rPr>
          <w:rFonts w:hint="eastAsia" w:ascii="宋体" w:hAnsi="宋体" w:eastAsia="宋体" w:cs="宋体"/>
          <w:b/>
          <w:color w:val="auto"/>
          <w:kern w:val="1"/>
          <w:sz w:val="22"/>
          <w:szCs w:val="22"/>
          <w:highlight w:val="none"/>
        </w:rPr>
      </w:pPr>
      <w:r>
        <w:rPr>
          <w:rFonts w:hint="eastAsia" w:ascii="宋体" w:hAnsi="宋体" w:eastAsia="宋体" w:cs="宋体"/>
          <w:b/>
          <w:color w:val="auto"/>
          <w:kern w:val="1"/>
          <w:sz w:val="22"/>
          <w:szCs w:val="22"/>
          <w:highlight w:val="none"/>
        </w:rPr>
        <w:t>第十二条　解决争议的方式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合同发生纠纷，甲乙双方应协商解决，也可向有关部门申请调解，协商或者调解不成时约定采取下列第</w:t>
      </w:r>
      <w:r>
        <w:rPr>
          <w:rFonts w:hint="eastAsia" w:ascii="宋体" w:hAnsi="宋体" w:eastAsia="宋体" w:cs="宋体"/>
          <w:color w:val="auto"/>
          <w:kern w:val="1"/>
          <w:sz w:val="22"/>
          <w:szCs w:val="22"/>
          <w:highlight w:val="none"/>
          <w:u w:val="single"/>
        </w:rPr>
        <w:t xml:space="preserve">      </w:t>
      </w:r>
      <w:r>
        <w:rPr>
          <w:rFonts w:hint="eastAsia" w:ascii="宋体" w:hAnsi="宋体" w:eastAsia="宋体" w:cs="宋体"/>
          <w:color w:val="auto"/>
          <w:kern w:val="1"/>
          <w:sz w:val="22"/>
          <w:szCs w:val="22"/>
          <w:highlight w:val="none"/>
        </w:rPr>
        <w:t>种方式解决: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（一）向</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所在地仲裁委员会申请仲裁。</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（二）依法向</w:t>
      </w: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所在地人民法院起诉。 　　</w:t>
      </w:r>
    </w:p>
    <w:p>
      <w:pPr>
        <w:tabs>
          <w:tab w:val="left" w:pos="360"/>
        </w:tabs>
        <w:spacing w:line="460" w:lineRule="exact"/>
        <w:rPr>
          <w:rFonts w:hint="eastAsia" w:ascii="宋体" w:hAnsi="宋体" w:eastAsia="宋体" w:cs="宋体"/>
          <w:b/>
          <w:color w:val="auto"/>
          <w:kern w:val="1"/>
          <w:sz w:val="22"/>
          <w:szCs w:val="22"/>
          <w:highlight w:val="none"/>
        </w:rPr>
      </w:pPr>
      <w:r>
        <w:rPr>
          <w:rFonts w:hint="eastAsia" w:ascii="宋体" w:hAnsi="宋体" w:eastAsia="宋体" w:cs="宋体"/>
          <w:b/>
          <w:color w:val="auto"/>
          <w:kern w:val="1"/>
          <w:sz w:val="22"/>
          <w:szCs w:val="22"/>
          <w:highlight w:val="none"/>
        </w:rPr>
        <w:t>第十二条 其他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（一）双方地址、电话若有改变，应在变更之日起3日内书面通知对方，因一方迟延通知而造成损失的，由过错方承担责任。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（二）本合同的未尽事宜及需变更的事宜，双方应通过订立补充条款或补充协议进行约定。本合同的补充条款、补充协议及附件均为本合同不可分割的部分。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（三）本合同的金额应当同时以大、小写表示，大小写数额应当一致，不一致的，以大写为准。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（四）违约方应当承担守约方为进行仲裁/诉讼而支出的一切合理费用，包括但不限于律师费、仲裁费用/诉讼费用、差旅费。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（五）其他约定条款：　 　　</w:t>
      </w:r>
    </w:p>
    <w:p>
      <w:pPr>
        <w:tabs>
          <w:tab w:val="left" w:pos="360"/>
        </w:tabs>
        <w:spacing w:line="460" w:lineRule="exact"/>
        <w:rPr>
          <w:rFonts w:hint="eastAsia" w:ascii="宋体" w:hAnsi="宋体" w:eastAsia="宋体" w:cs="宋体"/>
          <w:b/>
          <w:color w:val="auto"/>
          <w:kern w:val="1"/>
          <w:sz w:val="22"/>
          <w:szCs w:val="22"/>
          <w:highlight w:val="none"/>
        </w:rPr>
      </w:pPr>
      <w:r>
        <w:rPr>
          <w:rFonts w:hint="eastAsia" w:ascii="宋体" w:hAnsi="宋体" w:eastAsia="宋体" w:cs="宋体"/>
          <w:b/>
          <w:color w:val="auto"/>
          <w:kern w:val="1"/>
          <w:sz w:val="22"/>
          <w:szCs w:val="22"/>
          <w:highlight w:val="none"/>
        </w:rPr>
        <w:t>第十三条 合同的生效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本合同自双方签字或盖章之日起生效，本合同壹式伍份，双方各执</w:t>
      </w:r>
      <w:r>
        <w:rPr>
          <w:rFonts w:hint="eastAsia" w:ascii="宋体" w:hAnsi="宋体" w:eastAsia="宋体" w:cs="宋体"/>
          <w:color w:val="auto"/>
          <w:kern w:val="1"/>
          <w:sz w:val="22"/>
          <w:szCs w:val="22"/>
          <w:highlight w:val="none"/>
          <w:lang w:val="en-US" w:eastAsia="zh-CN"/>
        </w:rPr>
        <w:t>贰</w:t>
      </w:r>
      <w:r>
        <w:rPr>
          <w:rFonts w:hint="eastAsia" w:ascii="宋体" w:hAnsi="宋体" w:eastAsia="宋体" w:cs="宋体"/>
          <w:color w:val="auto"/>
          <w:kern w:val="1"/>
          <w:sz w:val="22"/>
          <w:szCs w:val="22"/>
          <w:highlight w:val="none"/>
        </w:rPr>
        <w:t xml:space="preserve">份。温州市智信招标代理有限公司执一份，所有合同具有同等法律效力。 　　 　　 　　 </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lang w:eastAsia="zh-CN"/>
        </w:rPr>
        <w:t>甲方</w:t>
      </w:r>
      <w:r>
        <w:rPr>
          <w:rFonts w:hint="eastAsia" w:ascii="宋体" w:hAnsi="宋体" w:eastAsia="宋体" w:cs="宋体"/>
          <w:color w:val="auto"/>
          <w:kern w:val="1"/>
          <w:sz w:val="22"/>
          <w:szCs w:val="22"/>
          <w:highlight w:val="none"/>
        </w:rPr>
        <w:t xml:space="preserve">：（印章）                        </w:t>
      </w:r>
      <w:r>
        <w:rPr>
          <w:rFonts w:hint="eastAsia" w:ascii="宋体" w:hAnsi="宋体" w:eastAsia="宋体" w:cs="宋体"/>
          <w:color w:val="auto"/>
          <w:kern w:val="1"/>
          <w:sz w:val="22"/>
          <w:szCs w:val="22"/>
          <w:highlight w:val="none"/>
          <w:lang w:eastAsia="zh-CN"/>
        </w:rPr>
        <w:t>乙方</w:t>
      </w:r>
      <w:r>
        <w:rPr>
          <w:rFonts w:hint="eastAsia" w:ascii="宋体" w:hAnsi="宋体" w:eastAsia="宋体" w:cs="宋体"/>
          <w:color w:val="auto"/>
          <w:kern w:val="1"/>
          <w:sz w:val="22"/>
          <w:szCs w:val="22"/>
          <w:highlight w:val="none"/>
        </w:rPr>
        <w:t>：（印章）</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全权代表:（签字）                    全权代表:（签字）</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地址：                               地址：</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邮政编码：                           邮政编码：</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电话：                               电话：</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传真：                               传真：</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开户银行：                           开户银行：</w:t>
      </w:r>
    </w:p>
    <w:p>
      <w:pPr>
        <w:tabs>
          <w:tab w:val="left" w:pos="360"/>
        </w:tabs>
        <w:spacing w:line="460" w:lineRule="exact"/>
        <w:ind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帐号：                               帐号：</w:t>
      </w:r>
    </w:p>
    <w:p>
      <w:pPr>
        <w:spacing w:line="440" w:lineRule="exact"/>
        <w:ind w:left="210" w:leftChars="10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kern w:val="1"/>
          <w:sz w:val="22"/>
          <w:szCs w:val="22"/>
          <w:highlight w:val="none"/>
        </w:rPr>
        <w:t>签约日期：　　　　　　　　　　　　　 签约地点</w:t>
      </w:r>
    </w:p>
    <w:p>
      <w:pPr>
        <w:pStyle w:val="3"/>
        <w:ind w:firstLine="442" w:firstLineChars="200"/>
        <w:jc w:val="both"/>
        <w:rPr>
          <w:rFonts w:hint="eastAsia" w:ascii="宋体" w:hAnsi="宋体" w:eastAsia="宋体" w:cs="宋体"/>
          <w:color w:val="auto"/>
          <w:sz w:val="36"/>
          <w:szCs w:val="36"/>
          <w:highlight w:val="none"/>
        </w:rPr>
      </w:pPr>
      <w:r>
        <w:rPr>
          <w:rFonts w:hint="eastAsia" w:ascii="宋体" w:hAnsi="宋体" w:eastAsia="宋体" w:cs="宋体"/>
          <w:color w:val="auto"/>
          <w:kern w:val="1"/>
          <w:sz w:val="22"/>
          <w:szCs w:val="22"/>
          <w:highlight w:val="none"/>
        </w:rPr>
        <w:br w:type="page"/>
      </w:r>
      <w:bookmarkEnd w:id="100"/>
    </w:p>
    <w:p>
      <w:pPr>
        <w:pStyle w:val="3"/>
        <w:rPr>
          <w:rFonts w:hint="eastAsia" w:ascii="宋体" w:hAnsi="宋体" w:eastAsia="宋体" w:cs="宋体"/>
          <w:color w:val="auto"/>
          <w:sz w:val="36"/>
          <w:szCs w:val="36"/>
          <w:highlight w:val="none"/>
        </w:rPr>
      </w:pPr>
      <w:bookmarkStart w:id="102" w:name="_Toc4024"/>
      <w:r>
        <w:rPr>
          <w:rFonts w:hint="eastAsia" w:ascii="宋体" w:hAnsi="宋体" w:eastAsia="宋体" w:cs="宋体"/>
          <w:color w:val="auto"/>
          <w:sz w:val="36"/>
          <w:szCs w:val="36"/>
          <w:highlight w:val="none"/>
        </w:rPr>
        <w:t>第三部分   投标文件格式</w:t>
      </w:r>
      <w:bookmarkEnd w:id="99"/>
      <w:bookmarkEnd w:id="102"/>
    </w:p>
    <w:p>
      <w:pPr>
        <w:spacing w:before="120" w:beforeLines="50" w:after="12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（资格审查资料封面，供参考）</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投标文件</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0"/>
        <w:ind w:firstLine="280"/>
        <w:rPr>
          <w:rFonts w:hint="eastAsia" w:ascii="宋体" w:hAnsi="宋体" w:eastAsia="宋体" w:cs="宋体"/>
          <w:color w:val="auto"/>
          <w:sz w:val="28"/>
          <w:szCs w:val="28"/>
          <w:highlight w:val="none"/>
        </w:rPr>
      </w:pPr>
    </w:p>
    <w:p>
      <w:pPr>
        <w:pStyle w:val="10"/>
        <w:ind w:firstLine="280"/>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资格审查资料</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rPr>
          <w:rFonts w:hint="eastAsia" w:ascii="宋体" w:hAnsi="宋体" w:eastAsia="宋体" w:cs="宋体"/>
          <w:color w:val="auto"/>
          <w:sz w:val="28"/>
          <w:szCs w:val="28"/>
          <w:highlight w:val="none"/>
          <w:u w:val="singl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pPr>
        <w:rPr>
          <w:rFonts w:hint="eastAsia" w:ascii="宋体" w:hAnsi="宋体" w:eastAsia="宋体" w:cs="宋体"/>
          <w:color w:val="auto"/>
          <w:sz w:val="28"/>
          <w:szCs w:val="28"/>
          <w:highlight w:val="none"/>
        </w:rPr>
      </w:pPr>
    </w:p>
    <w:p>
      <w:pPr>
        <w:overflowPunct w:val="0"/>
        <w:spacing w:line="380" w:lineRule="exact"/>
        <w:ind w:firstLine="2738" w:firstLineChars="9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目    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法定代表人授权书和授权代表人有效身份证明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snapToGrid w:val="0"/>
                <w:color w:val="auto"/>
                <w:sz w:val="22"/>
                <w:szCs w:val="22"/>
                <w:highlight w:val="none"/>
              </w:rPr>
              <w:t>投标人须是具有独立法人资格的投标</w:t>
            </w:r>
            <w:r>
              <w:rPr>
                <w:rFonts w:hint="eastAsia" w:ascii="宋体" w:hAnsi="宋体" w:eastAsia="宋体" w:cs="宋体"/>
                <w:snapToGrid w:val="0"/>
                <w:color w:val="auto"/>
                <w:sz w:val="22"/>
                <w:szCs w:val="22"/>
                <w:highlight w:val="none"/>
                <w:lang w:val="en-US" w:eastAsia="zh-CN"/>
              </w:rPr>
              <w:t>产品</w:t>
            </w:r>
            <w:r>
              <w:rPr>
                <w:rFonts w:hint="eastAsia" w:ascii="宋体" w:hAnsi="宋体" w:eastAsia="宋体" w:cs="宋体"/>
                <w:snapToGrid w:val="0"/>
                <w:color w:val="auto"/>
                <w:sz w:val="22"/>
                <w:szCs w:val="22"/>
                <w:highlight w:val="none"/>
              </w:rPr>
              <w:t>的制造商或经销商（若为经销商须提供制造商销售授权书</w:t>
            </w:r>
            <w:r>
              <w:rPr>
                <w:rFonts w:hint="eastAsia" w:ascii="宋体" w:hAnsi="宋体" w:eastAsia="宋体" w:cs="宋体"/>
                <w:snapToGrid w:val="0"/>
                <w:color w:val="auto"/>
                <w:sz w:val="22"/>
                <w:szCs w:val="22"/>
                <w:highlight w:val="none"/>
                <w:lang w:eastAsia="zh-CN"/>
              </w:rPr>
              <w:t>，</w:t>
            </w:r>
            <w:r>
              <w:rPr>
                <w:rFonts w:hint="eastAsia" w:ascii="宋体" w:hAnsi="宋体" w:eastAsia="宋体" w:cs="宋体"/>
                <w:snapToGrid w:val="0"/>
                <w:color w:val="auto"/>
                <w:sz w:val="22"/>
                <w:szCs w:val="22"/>
                <w:highlight w:val="none"/>
                <w:lang w:val="en-US" w:eastAsia="zh-CN"/>
              </w:rPr>
              <w:t>若为制造商则只需提供营业执照即可</w:t>
            </w:r>
            <w:r>
              <w:rPr>
                <w:rFonts w:hint="eastAsia" w:ascii="宋体" w:hAnsi="宋体" w:eastAsia="宋体" w:cs="宋体"/>
                <w:snapToGrid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4</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kern w:val="0"/>
                <w:sz w:val="22"/>
                <w:szCs w:val="22"/>
                <w:highlight w:val="none"/>
              </w:rPr>
              <w:t>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5</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申请材料真实性声明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投标保证金缴纳凭证,最终以实际到帐为准（加盖公章）</w:t>
            </w:r>
          </w:p>
        </w:tc>
      </w:tr>
    </w:tbl>
    <w:p>
      <w:pPr>
        <w:spacing w:line="588" w:lineRule="exact"/>
        <w:ind w:left="420"/>
        <w:rPr>
          <w:rFonts w:hint="eastAsia" w:ascii="宋体" w:hAnsi="宋体" w:eastAsia="宋体" w:cs="宋体"/>
          <w:color w:val="auto"/>
          <w:sz w:val="22"/>
          <w:szCs w:val="22"/>
          <w:highlight w:val="none"/>
        </w:rPr>
      </w:pPr>
    </w:p>
    <w:p>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kern w:val="0"/>
          <w:sz w:val="28"/>
          <w:szCs w:val="28"/>
          <w:highlight w:val="none"/>
        </w:rPr>
        <w:t>法定代表人授权书</w:t>
      </w:r>
    </w:p>
    <w:p>
      <w:pPr>
        <w:spacing w:line="420" w:lineRule="exact"/>
        <w:rPr>
          <w:rFonts w:hint="eastAsia" w:ascii="宋体" w:hAnsi="宋体" w:eastAsia="宋体" w:cs="宋体"/>
          <w:b/>
          <w:color w:val="auto"/>
          <w:sz w:val="22"/>
          <w:szCs w:val="22"/>
          <w:highlight w:val="none"/>
        </w:rPr>
      </w:pPr>
    </w:p>
    <w:p>
      <w:pPr>
        <w:spacing w:line="42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温州交运集团城西公交有限公司</w:t>
      </w:r>
    </w:p>
    <w:p>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温州市智信招标代理有限公司：</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（采购项目名称、编号）的采购活动，全权代表我方处理采购活动中的一切事宜。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3971" w:firstLineChars="18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pPr>
        <w:spacing w:line="460" w:lineRule="exact"/>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授权代表姓名：</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bl>
      <w:tblPr>
        <w:tblStyle w:val="18"/>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0"/>
            <w:vAlign w:val="center"/>
          </w:tcPr>
          <w:p>
            <w:pPr>
              <w:spacing w:line="38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投标人代表身份证复印件</w:t>
            </w:r>
          </w:p>
          <w:p>
            <w:pPr>
              <w:spacing w:line="380" w:lineRule="exact"/>
              <w:jc w:val="center"/>
              <w:rPr>
                <w:rFonts w:hint="eastAsia" w:ascii="宋体" w:hAnsi="宋体" w:eastAsia="宋体" w:cs="宋体"/>
                <w:b/>
                <w:bCs/>
                <w:color w:val="auto"/>
                <w:sz w:val="28"/>
                <w:highlight w:val="none"/>
              </w:rPr>
            </w:pPr>
          </w:p>
        </w:tc>
      </w:tr>
    </w:tbl>
    <w:p>
      <w:pPr>
        <w:pStyle w:val="3"/>
        <w:jc w:val="left"/>
        <w:rPr>
          <w:rFonts w:hint="eastAsia" w:ascii="宋体" w:hAnsi="宋体" w:eastAsia="宋体" w:cs="宋体"/>
          <w:b w:val="0"/>
          <w:color w:val="auto"/>
          <w:szCs w:val="21"/>
          <w:highlight w:val="none"/>
        </w:rPr>
      </w:pPr>
      <w:r>
        <w:rPr>
          <w:rFonts w:hint="eastAsia" w:ascii="宋体" w:hAnsi="宋体" w:eastAsia="宋体" w:cs="宋体"/>
          <w:color w:val="auto"/>
          <w:sz w:val="22"/>
          <w:szCs w:val="22"/>
          <w:highlight w:val="none"/>
        </w:rPr>
        <w:br w:type="page"/>
      </w:r>
    </w:p>
    <w:p>
      <w:pPr>
        <w:pStyle w:val="3"/>
        <w:jc w:val="center"/>
        <w:rPr>
          <w:rFonts w:hint="eastAsia" w:ascii="宋体" w:hAnsi="宋体" w:eastAsia="宋体" w:cs="宋体"/>
          <w:b/>
          <w:color w:val="auto"/>
          <w:kern w:val="0"/>
          <w:sz w:val="28"/>
          <w:szCs w:val="28"/>
          <w:highlight w:val="none"/>
        </w:rPr>
      </w:pPr>
      <w:bookmarkStart w:id="103" w:name="_Toc9801"/>
      <w:bookmarkStart w:id="104" w:name="_Toc5222"/>
      <w:r>
        <w:rPr>
          <w:rFonts w:hint="eastAsia" w:ascii="宋体" w:hAnsi="宋体" w:eastAsia="宋体" w:cs="宋体"/>
          <w:b/>
          <w:color w:val="auto"/>
          <w:kern w:val="0"/>
          <w:sz w:val="28"/>
          <w:szCs w:val="28"/>
          <w:highlight w:val="none"/>
        </w:rPr>
        <w:t>资格条件承诺函</w:t>
      </w:r>
      <w:bookmarkEnd w:id="103"/>
      <w:bookmarkEnd w:id="104"/>
    </w:p>
    <w:p>
      <w:pPr>
        <w:spacing w:line="440" w:lineRule="exact"/>
        <w:ind w:right="-153" w:rightChars="-73"/>
        <w:rPr>
          <w:rFonts w:hint="eastAsia" w:ascii="宋体" w:hAnsi="宋体" w:eastAsia="宋体" w:cs="宋体"/>
          <w:color w:val="auto"/>
          <w:sz w:val="22"/>
          <w:szCs w:val="22"/>
          <w:highlight w:val="none"/>
        </w:rPr>
      </w:pPr>
    </w:p>
    <w:p>
      <w:pPr>
        <w:spacing w:line="42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温州交运集团城西公交有限公司</w:t>
      </w:r>
    </w:p>
    <w:p>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温州市智信招标代理有限公司：</w:t>
      </w:r>
    </w:p>
    <w:p>
      <w:pPr>
        <w:shd w:val="clear" w:color="auto" w:fill="FFFFFF"/>
        <w:snapToGrid w:val="0"/>
        <w:spacing w:line="440" w:lineRule="exact"/>
        <w:rPr>
          <w:rFonts w:hint="eastAsia" w:ascii="宋体" w:hAnsi="宋体" w:eastAsia="宋体" w:cs="宋体"/>
          <w:color w:val="auto"/>
          <w:sz w:val="22"/>
          <w:szCs w:val="22"/>
          <w:highlight w:val="none"/>
        </w:rPr>
      </w:pPr>
    </w:p>
    <w:p>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，现郑重承诺：</w:t>
      </w:r>
    </w:p>
    <w:p>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我方符合</w:t>
      </w:r>
      <w:r>
        <w:rPr>
          <w:rFonts w:hint="eastAsia" w:ascii="宋体" w:hAnsi="宋体" w:eastAsia="宋体" w:cs="宋体"/>
          <w:color w:val="auto"/>
          <w:kern w:val="0"/>
          <w:sz w:val="22"/>
          <w:szCs w:val="22"/>
          <w:highlight w:val="none"/>
        </w:rPr>
        <w:t>《温州市市属国有企业采购管理办法（试行）》第十五条</w:t>
      </w:r>
      <w:r>
        <w:rPr>
          <w:rFonts w:hint="eastAsia" w:ascii="宋体" w:hAnsi="宋体" w:eastAsia="宋体" w:cs="宋体"/>
          <w:color w:val="auto"/>
          <w:sz w:val="22"/>
          <w:szCs w:val="22"/>
          <w:highlight w:val="none"/>
        </w:rPr>
        <w:t>规定的资格条件，即</w:t>
      </w:r>
    </w:p>
    <w:p>
      <w:pPr>
        <w:widowControl/>
        <w:snapToGrid w:val="0"/>
        <w:spacing w:line="440" w:lineRule="exact"/>
        <w:ind w:left="420"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pPr>
        <w:widowControl/>
        <w:snapToGrid w:val="0"/>
        <w:spacing w:line="440" w:lineRule="exact"/>
        <w:ind w:left="420"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pPr>
        <w:widowControl/>
        <w:snapToGrid w:val="0"/>
        <w:spacing w:line="440" w:lineRule="exact"/>
        <w:ind w:left="420"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w:t>
      </w:r>
      <w:r>
        <w:rPr>
          <w:rFonts w:hint="eastAsia" w:ascii="宋体" w:hAnsi="宋体" w:eastAsia="宋体" w:cs="宋体"/>
          <w:color w:val="auto"/>
          <w:kern w:val="0"/>
          <w:sz w:val="22"/>
          <w:szCs w:val="22"/>
          <w:highlight w:val="none"/>
          <w:lang w:eastAsia="zh-CN"/>
        </w:rPr>
        <w:t>、售后保障等</w:t>
      </w:r>
      <w:r>
        <w:rPr>
          <w:rFonts w:hint="eastAsia" w:ascii="宋体" w:hAnsi="宋体" w:eastAsia="宋体" w:cs="宋体"/>
          <w:color w:val="auto"/>
          <w:kern w:val="0"/>
          <w:sz w:val="22"/>
          <w:szCs w:val="22"/>
          <w:highlight w:val="none"/>
        </w:rPr>
        <w:t>能力；</w:t>
      </w:r>
    </w:p>
    <w:p>
      <w:pPr>
        <w:widowControl/>
        <w:snapToGrid w:val="0"/>
        <w:spacing w:line="440" w:lineRule="exact"/>
        <w:ind w:left="420"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pPr>
        <w:widowControl/>
        <w:snapToGrid w:val="0"/>
        <w:spacing w:line="440" w:lineRule="exact"/>
        <w:ind w:left="970" w:leftChars="200" w:hanging="550" w:hangingChars="2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w:t>
      </w:r>
      <w:r>
        <w:rPr>
          <w:rFonts w:hint="eastAsia" w:ascii="宋体" w:hAnsi="宋体" w:eastAsia="宋体" w:cs="宋体"/>
          <w:color w:val="auto"/>
          <w:kern w:val="0"/>
          <w:sz w:val="22"/>
          <w:szCs w:val="22"/>
          <w:highlight w:val="none"/>
          <w:lang w:eastAsia="zh-CN"/>
        </w:rPr>
        <w:t>采购</w:t>
      </w:r>
      <w:r>
        <w:rPr>
          <w:rFonts w:hint="eastAsia" w:ascii="宋体" w:hAnsi="宋体" w:eastAsia="宋体" w:cs="宋体"/>
          <w:color w:val="auto"/>
          <w:kern w:val="0"/>
          <w:sz w:val="22"/>
          <w:szCs w:val="22"/>
          <w:highlight w:val="none"/>
        </w:rPr>
        <w:t>活动前3年内在经营活动中没有重大违法记录</w:t>
      </w:r>
      <w:r>
        <w:rPr>
          <w:rFonts w:hint="eastAsia" w:ascii="宋体" w:hAnsi="宋体" w:eastAsia="宋体" w:cs="宋体"/>
          <w:color w:val="auto"/>
          <w:kern w:val="0"/>
          <w:sz w:val="22"/>
          <w:szCs w:val="22"/>
          <w:highlight w:val="none"/>
          <w:lang w:eastAsia="zh-CN"/>
        </w:rPr>
        <w:t>、严重失信行为和行贿记录</w:t>
      </w:r>
      <w:r>
        <w:rPr>
          <w:rFonts w:hint="eastAsia" w:ascii="宋体" w:hAnsi="宋体" w:eastAsia="宋体" w:cs="宋体"/>
          <w:color w:val="auto"/>
          <w:kern w:val="0"/>
          <w:sz w:val="22"/>
          <w:szCs w:val="22"/>
          <w:highlight w:val="none"/>
        </w:rPr>
        <w:t>。</w:t>
      </w:r>
    </w:p>
    <w:p>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Style w:val="21"/>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40" w:lineRule="exact"/>
        <w:ind w:left="210" w:left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我方任何资格（投标/中标/签订合同）</w:t>
      </w:r>
      <w:r>
        <w:rPr>
          <w:rFonts w:hint="eastAsia" w:ascii="宋体" w:hAnsi="宋体" w:eastAsia="宋体" w:cs="宋体"/>
          <w:color w:val="auto"/>
          <w:sz w:val="22"/>
          <w:szCs w:val="22"/>
          <w:highlight w:val="none"/>
        </w:rPr>
        <w:t>及其他任何形式的处理。</w:t>
      </w:r>
    </w:p>
    <w:p>
      <w:pPr>
        <w:pStyle w:val="11"/>
        <w:spacing w:line="600" w:lineRule="exact"/>
        <w:ind w:firstLine="4840" w:firstLineChars="2200"/>
        <w:rPr>
          <w:rFonts w:hint="eastAsia" w:ascii="宋体" w:hAnsi="宋体" w:eastAsia="宋体" w:cs="宋体"/>
          <w:color w:val="auto"/>
          <w:sz w:val="22"/>
          <w:szCs w:val="22"/>
          <w:highlight w:val="none"/>
        </w:rPr>
      </w:pPr>
    </w:p>
    <w:p>
      <w:pPr>
        <w:spacing w:line="400" w:lineRule="exact"/>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pacing w:line="400" w:lineRule="exact"/>
        <w:ind w:firstLine="770" w:firstLine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spacing w:line="380" w:lineRule="exact"/>
        <w:rPr>
          <w:rFonts w:hint="eastAsia" w:ascii="宋体" w:hAnsi="宋体" w:eastAsia="宋体" w:cs="宋体"/>
          <w:bCs/>
          <w:color w:val="auto"/>
          <w:sz w:val="22"/>
          <w:szCs w:val="22"/>
          <w:highlight w:val="none"/>
        </w:rPr>
      </w:pPr>
    </w:p>
    <w:p>
      <w:pPr>
        <w:spacing w:line="380" w:lineRule="exact"/>
        <w:ind w:left="-358" w:leftChars="-171" w:hanging="1"/>
        <w:jc w:val="center"/>
        <w:rPr>
          <w:rFonts w:hint="eastAsia" w:ascii="宋体" w:hAnsi="宋体" w:eastAsia="宋体" w:cs="宋体"/>
          <w:bCs/>
          <w:color w:val="auto"/>
          <w:sz w:val="22"/>
          <w:szCs w:val="22"/>
          <w:highlight w:val="none"/>
        </w:rPr>
      </w:pPr>
    </w:p>
    <w:p>
      <w:pPr>
        <w:spacing w:line="380" w:lineRule="exact"/>
        <w:ind w:left="-359" w:leftChars="-171"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u w:val="single"/>
        </w:rPr>
        <w:t>▲不提交本承诺书按无效标处理。</w:t>
      </w:r>
    </w:p>
    <w:p>
      <w:pPr>
        <w:widowControl/>
        <w:adjustRightInd w:val="0"/>
        <w:snapToGrid w:val="0"/>
        <w:spacing w:line="360" w:lineRule="auto"/>
        <w:rPr>
          <w:rFonts w:hint="eastAsia" w:ascii="宋体" w:hAnsi="宋体" w:eastAsia="宋体" w:cs="宋体"/>
          <w:b/>
          <w:bCs/>
          <w:color w:val="auto"/>
          <w:sz w:val="22"/>
          <w:szCs w:val="22"/>
          <w:highlight w:val="none"/>
        </w:rPr>
      </w:pPr>
    </w:p>
    <w:p>
      <w:pPr>
        <w:widowControl/>
        <w:adjustRightInd w:val="0"/>
        <w:snapToGrid w:val="0"/>
        <w:spacing w:line="360" w:lineRule="auto"/>
        <w:rPr>
          <w:rFonts w:hint="eastAsia" w:ascii="宋体" w:hAnsi="宋体" w:eastAsia="宋体" w:cs="宋体"/>
          <w:b/>
          <w:bCs/>
          <w:color w:val="auto"/>
          <w:sz w:val="22"/>
          <w:szCs w:val="22"/>
          <w:highlight w:val="none"/>
        </w:rPr>
      </w:pPr>
    </w:p>
    <w:p>
      <w:pPr>
        <w:widowControl/>
        <w:adjustRightInd w:val="0"/>
        <w:snapToGrid w:val="0"/>
        <w:spacing w:line="360" w:lineRule="auto"/>
        <w:rPr>
          <w:rFonts w:hint="eastAsia" w:ascii="宋体" w:hAnsi="宋体" w:eastAsia="宋体" w:cs="宋体"/>
          <w:b/>
          <w:bCs/>
          <w:color w:val="auto"/>
          <w:sz w:val="22"/>
          <w:szCs w:val="22"/>
          <w:highlight w:val="none"/>
        </w:rPr>
      </w:pPr>
    </w:p>
    <w:p>
      <w:pPr>
        <w:widowControl/>
        <w:adjustRightInd w:val="0"/>
        <w:snapToGrid w:val="0"/>
        <w:spacing w:line="360" w:lineRule="auto"/>
        <w:rPr>
          <w:rFonts w:hint="eastAsia" w:ascii="宋体" w:hAnsi="宋体" w:eastAsia="宋体" w:cs="宋体"/>
          <w:b/>
          <w:bCs/>
          <w:color w:val="auto"/>
          <w:sz w:val="22"/>
          <w:szCs w:val="22"/>
          <w:highlight w:val="none"/>
        </w:rPr>
      </w:pPr>
    </w:p>
    <w:p>
      <w:pPr>
        <w:widowControl/>
        <w:adjustRightInd w:val="0"/>
        <w:snapToGrid w:val="0"/>
        <w:spacing w:line="360" w:lineRule="auto"/>
        <w:rPr>
          <w:rFonts w:hint="eastAsia" w:ascii="宋体" w:hAnsi="宋体" w:eastAsia="宋体" w:cs="宋体"/>
          <w:b/>
          <w:bCs/>
          <w:color w:val="auto"/>
          <w:sz w:val="22"/>
          <w:szCs w:val="22"/>
          <w:highlight w:val="none"/>
        </w:rPr>
      </w:pPr>
    </w:p>
    <w:p>
      <w:pPr>
        <w:widowControl/>
        <w:adjustRightInd w:val="0"/>
        <w:snapToGrid w:val="0"/>
        <w:spacing w:line="360" w:lineRule="auto"/>
        <w:rPr>
          <w:rFonts w:hint="eastAsia" w:ascii="宋体" w:hAnsi="宋体" w:eastAsia="宋体" w:cs="宋体"/>
          <w:b/>
          <w:bCs/>
          <w:color w:val="auto"/>
          <w:sz w:val="22"/>
          <w:szCs w:val="22"/>
          <w:highlight w:val="none"/>
        </w:rPr>
      </w:pPr>
    </w:p>
    <w:p>
      <w:pPr>
        <w:widowControl/>
        <w:adjustRightInd w:val="0"/>
        <w:snapToGrid w:val="0"/>
        <w:spacing w:line="360" w:lineRule="auto"/>
        <w:rPr>
          <w:rFonts w:hint="eastAsia" w:ascii="宋体" w:hAnsi="宋体" w:eastAsia="宋体" w:cs="宋体"/>
          <w:b/>
          <w:bCs/>
          <w:color w:val="auto"/>
          <w:sz w:val="22"/>
          <w:szCs w:val="22"/>
          <w:highlight w:val="none"/>
        </w:rPr>
      </w:pPr>
    </w:p>
    <w:p>
      <w:pPr>
        <w:widowControl/>
        <w:adjustRightInd w:val="0"/>
        <w:snapToGrid w:val="0"/>
        <w:spacing w:line="360" w:lineRule="auto"/>
        <w:rPr>
          <w:rFonts w:hint="eastAsia" w:ascii="宋体" w:hAnsi="宋体" w:eastAsia="宋体" w:cs="宋体"/>
          <w:b/>
          <w:bCs/>
          <w:color w:val="auto"/>
          <w:sz w:val="22"/>
          <w:szCs w:val="22"/>
          <w:highlight w:val="none"/>
        </w:rPr>
      </w:pPr>
    </w:p>
    <w:p>
      <w:pPr>
        <w:widowControl/>
        <w:adjustRightInd w:val="0"/>
        <w:snapToGrid w:val="0"/>
        <w:spacing w:line="360" w:lineRule="auto"/>
        <w:rPr>
          <w:rFonts w:hint="eastAsia" w:ascii="宋体" w:hAnsi="宋体" w:eastAsia="宋体" w:cs="宋体"/>
          <w:b/>
          <w:bCs/>
          <w:color w:val="auto"/>
          <w:sz w:val="22"/>
          <w:szCs w:val="22"/>
          <w:highlight w:val="none"/>
        </w:rPr>
      </w:pPr>
    </w:p>
    <w:p>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申请材料真实性声明</w:t>
      </w:r>
    </w:p>
    <w:p>
      <w:pPr>
        <w:widowControl/>
        <w:adjustRightInd w:val="0"/>
        <w:snapToGrid w:val="0"/>
        <w:spacing w:line="360" w:lineRule="auto"/>
        <w:jc w:val="center"/>
        <w:rPr>
          <w:rFonts w:hint="eastAsia" w:ascii="宋体" w:hAnsi="宋体" w:eastAsia="宋体" w:cs="宋体"/>
          <w:b/>
          <w:color w:val="auto"/>
          <w:kern w:val="0"/>
          <w:sz w:val="28"/>
          <w:szCs w:val="28"/>
          <w:highlight w:val="none"/>
        </w:rPr>
      </w:pPr>
    </w:p>
    <w:p>
      <w:pPr>
        <w:spacing w:line="42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温州交运集团城西公交有限公司</w:t>
      </w:r>
    </w:p>
    <w:p>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温州市智信招标代理有限公司：</w:t>
      </w:r>
    </w:p>
    <w:p>
      <w:pPr>
        <w:shd w:val="clear" w:color="auto" w:fill="FFFFFF"/>
        <w:snapToGrid w:val="0"/>
        <w:spacing w:line="440" w:lineRule="exact"/>
        <w:rPr>
          <w:rFonts w:hint="eastAsia" w:ascii="宋体" w:hAnsi="宋体" w:eastAsia="宋体" w:cs="宋体"/>
          <w:color w:val="auto"/>
          <w:sz w:val="22"/>
          <w:szCs w:val="22"/>
          <w:highlight w:val="none"/>
        </w:rPr>
      </w:pPr>
    </w:p>
    <w:p>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w:t>
      </w:r>
      <w:r>
        <w:rPr>
          <w:rFonts w:hint="eastAsia" w:ascii="宋体" w:hAnsi="宋体" w:eastAsia="宋体" w:cs="宋体"/>
          <w:color w:val="auto"/>
          <w:kern w:val="0"/>
          <w:sz w:val="22"/>
          <w:szCs w:val="22"/>
          <w:highlight w:val="none"/>
          <w:lang w:eastAsia="zh-CN"/>
        </w:rPr>
        <w:t>单位</w:t>
      </w:r>
      <w:r>
        <w:rPr>
          <w:rFonts w:hint="eastAsia" w:ascii="宋体" w:hAnsi="宋体" w:eastAsia="宋体" w:cs="宋体"/>
          <w:color w:val="auto"/>
          <w:kern w:val="0"/>
          <w:sz w:val="22"/>
          <w:szCs w:val="22"/>
          <w:highlight w:val="none"/>
        </w:rPr>
        <w:t>此次</w:t>
      </w:r>
      <w:r>
        <w:rPr>
          <w:rFonts w:hint="eastAsia" w:ascii="宋体" w:hAnsi="宋体" w:eastAsia="宋体" w:cs="宋体"/>
          <w:color w:val="auto"/>
          <w:kern w:val="0"/>
          <w:sz w:val="22"/>
          <w:szCs w:val="22"/>
          <w:highlight w:val="none"/>
          <w:lang w:eastAsia="zh-CN"/>
        </w:rPr>
        <w:t>响应参与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w:t>
      </w:r>
      <w:r>
        <w:rPr>
          <w:rFonts w:hint="eastAsia" w:ascii="宋体" w:hAnsi="宋体" w:eastAsia="宋体" w:cs="宋体"/>
          <w:color w:val="auto"/>
          <w:sz w:val="22"/>
          <w:szCs w:val="22"/>
          <w:highlight w:val="none"/>
          <w:lang w:val="en-US" w:eastAsia="zh-CN"/>
        </w:rPr>
        <w:t>公开招标</w:t>
      </w:r>
      <w:r>
        <w:rPr>
          <w:rFonts w:hint="eastAsia" w:ascii="宋体" w:hAnsi="宋体" w:eastAsia="宋体" w:cs="宋体"/>
          <w:color w:val="auto"/>
          <w:sz w:val="22"/>
          <w:szCs w:val="22"/>
          <w:highlight w:val="none"/>
          <w:lang w:eastAsia="zh-CN"/>
        </w:rPr>
        <w:t>活动</w:t>
      </w:r>
      <w:r>
        <w:rPr>
          <w:rFonts w:hint="eastAsia" w:ascii="宋体" w:hAnsi="宋体" w:eastAsia="宋体" w:cs="宋体"/>
          <w:color w:val="auto"/>
          <w:kern w:val="0"/>
          <w:sz w:val="22"/>
          <w:szCs w:val="22"/>
          <w:highlight w:val="none"/>
        </w:rPr>
        <w:t>所提交的全部材料均真实、合法。如有不实之处，愿负相应的法律责任，并承担由此产生的一切后果。</w:t>
      </w:r>
    </w:p>
    <w:p>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p>
    <w:p>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特此声明。</w:t>
      </w:r>
    </w:p>
    <w:p>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p>
    <w:p>
      <w:pPr>
        <w:spacing w:line="400" w:lineRule="exact"/>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pacing w:line="400" w:lineRule="exact"/>
        <w:ind w:firstLine="770" w:firstLine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pStyle w:val="10"/>
        <w:ind w:firstLine="221"/>
        <w:rPr>
          <w:rFonts w:hint="eastAsia" w:ascii="宋体" w:hAnsi="宋体" w:eastAsia="宋体" w:cs="宋体"/>
          <w:color w:val="auto"/>
          <w:sz w:val="22"/>
          <w:szCs w:val="22"/>
          <w:highlight w:val="none"/>
          <w:u w:val="single"/>
        </w:rPr>
      </w:pPr>
    </w:p>
    <w:p>
      <w:pPr>
        <w:spacing w:line="360" w:lineRule="auto"/>
        <w:rPr>
          <w:rFonts w:hint="eastAsia" w:ascii="宋体" w:hAnsi="宋体" w:eastAsia="宋体" w:cs="宋体"/>
          <w:color w:val="auto"/>
          <w:sz w:val="22"/>
          <w:szCs w:val="22"/>
          <w:highlight w:val="none"/>
        </w:rPr>
      </w:pPr>
    </w:p>
    <w:p>
      <w:pPr>
        <w:pStyle w:val="10"/>
        <w:ind w:firstLine="321"/>
        <w:rPr>
          <w:rFonts w:hint="eastAsia" w:ascii="宋体" w:hAnsi="宋体" w:eastAsia="宋体" w:cs="宋体"/>
          <w:color w:val="auto"/>
          <w:highlight w:val="none"/>
        </w:rPr>
      </w:pPr>
    </w:p>
    <w:p>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4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u w:val="single"/>
        </w:rPr>
        <w:t>▲不提交本承诺书按无效标处理。</w:t>
      </w:r>
    </w:p>
    <w:p>
      <w:pPr>
        <w:spacing w:line="360" w:lineRule="auto"/>
        <w:rPr>
          <w:rFonts w:hint="eastAsia" w:ascii="宋体" w:hAnsi="宋体" w:eastAsia="宋体" w:cs="宋体"/>
          <w:color w:val="auto"/>
          <w:sz w:val="22"/>
          <w:szCs w:val="22"/>
          <w:highlight w:val="none"/>
        </w:rPr>
      </w:pPr>
    </w:p>
    <w:p>
      <w:pPr>
        <w:pStyle w:val="10"/>
        <w:ind w:firstLine="200"/>
        <w:rPr>
          <w:rFonts w:hint="eastAsia" w:ascii="宋体" w:hAnsi="宋体" w:eastAsia="宋体" w:cs="宋体"/>
          <w:color w:val="auto"/>
          <w:highlight w:val="none"/>
        </w:rPr>
      </w:pPr>
    </w:p>
    <w:p>
      <w:pPr>
        <w:pStyle w:val="3"/>
        <w:jc w:val="left"/>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br w:type="page"/>
      </w:r>
    </w:p>
    <w:p>
      <w:pPr>
        <w:spacing w:before="120" w:beforeLines="50" w:after="12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（技术资信标封面，供参考）</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投标文件</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0"/>
        <w:ind w:firstLine="280"/>
        <w:rPr>
          <w:rFonts w:hint="eastAsia" w:ascii="宋体" w:hAnsi="宋体" w:eastAsia="宋体" w:cs="宋体"/>
          <w:color w:val="auto"/>
          <w:sz w:val="28"/>
          <w:szCs w:val="28"/>
          <w:highlight w:val="none"/>
        </w:rPr>
      </w:pPr>
    </w:p>
    <w:p>
      <w:pPr>
        <w:pStyle w:val="10"/>
        <w:ind w:firstLine="280"/>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技 术 资 信 标</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pStyle w:val="10"/>
        <w:ind w:firstLine="200"/>
        <w:rPr>
          <w:rFonts w:hint="eastAsia" w:ascii="宋体" w:hAnsi="宋体" w:eastAsia="宋体" w:cs="宋体"/>
          <w:color w:val="auto"/>
          <w:highlight w:val="none"/>
        </w:rPr>
      </w:pPr>
    </w:p>
    <w:p>
      <w:pPr>
        <w:spacing w:line="360" w:lineRule="auto"/>
        <w:rPr>
          <w:rFonts w:hint="eastAsia" w:ascii="宋体" w:hAnsi="宋体" w:eastAsia="宋体" w:cs="宋体"/>
          <w:color w:val="auto"/>
          <w:szCs w:val="21"/>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rPr>
          <w:rFonts w:hint="eastAsia" w:ascii="宋体" w:hAnsi="宋体" w:eastAsia="宋体" w:cs="宋体"/>
          <w:color w:val="auto"/>
          <w:sz w:val="28"/>
          <w:szCs w:val="28"/>
          <w:highlight w:val="none"/>
          <w:u w:val="singl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8"/>
          <w:szCs w:val="28"/>
          <w:highlight w:val="none"/>
        </w:rPr>
        <w:t>目  录</w:t>
      </w:r>
    </w:p>
    <w:p>
      <w:pPr>
        <w:spacing w:line="360" w:lineRule="auto"/>
        <w:jc w:val="center"/>
        <w:rPr>
          <w:rFonts w:hint="eastAsia" w:ascii="宋体" w:hAnsi="宋体" w:eastAsia="宋体" w:cs="宋体"/>
          <w:color w:val="auto"/>
          <w:sz w:val="24"/>
          <w:highlight w:val="non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针对评分细则，编制目录索引，注明评标细则项目所在投标文件页码，格式自拟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1"/>
                <w:sz w:val="22"/>
                <w:szCs w:val="22"/>
                <w:highlight w:val="none"/>
                <w:lang w:val="en-US" w:eastAsia="zh-CN"/>
              </w:rPr>
              <w:t>4</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b/>
                <w:color w:val="auto"/>
                <w:kern w:val="1"/>
                <w:sz w:val="22"/>
                <w:szCs w:val="22"/>
                <w:highlight w:val="none"/>
              </w:rPr>
              <w:t>资信证明文件（本项为评分量化内容，非强制性要求）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kern w:val="1"/>
                <w:sz w:val="22"/>
                <w:szCs w:val="22"/>
                <w:highlight w:val="none"/>
              </w:rPr>
              <w:t>a</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color w:val="auto"/>
                <w:kern w:val="1"/>
                <w:sz w:val="22"/>
                <w:szCs w:val="22"/>
                <w:highlight w:val="none"/>
                <w:lang w:eastAsia="zh-CN"/>
              </w:rPr>
              <w:t>投标人</w:t>
            </w:r>
            <w:r>
              <w:rPr>
                <w:rFonts w:hint="eastAsia" w:ascii="宋体" w:hAnsi="宋体" w:eastAsia="宋体" w:cs="宋体"/>
                <w:color w:val="auto"/>
                <w:kern w:val="1"/>
                <w:sz w:val="22"/>
                <w:szCs w:val="22"/>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kern w:val="1"/>
                <w:sz w:val="22"/>
                <w:szCs w:val="22"/>
                <w:highlight w:val="none"/>
              </w:rPr>
              <w:t>b</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 2019 年</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 xml:space="preserve"> 月 1 日至今投标品牌车型的销售业绩情况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1"/>
                <w:sz w:val="22"/>
                <w:szCs w:val="22"/>
                <w:highlight w:val="none"/>
                <w:lang w:val="en-US" w:eastAsia="zh-CN"/>
              </w:rPr>
              <w:t>5</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color w:val="auto"/>
                <w:kern w:val="1"/>
                <w:sz w:val="22"/>
                <w:szCs w:val="22"/>
                <w:highlight w:val="none"/>
              </w:rPr>
              <w:t>技术说明书（</w:t>
            </w:r>
            <w:r>
              <w:rPr>
                <w:rFonts w:hint="eastAsia" w:ascii="宋体" w:hAnsi="宋体" w:eastAsia="宋体" w:cs="宋体"/>
                <w:color w:val="auto"/>
                <w:kern w:val="1"/>
                <w:sz w:val="22"/>
                <w:szCs w:val="22"/>
                <w:highlight w:val="none"/>
                <w:lang w:val="en-US" w:eastAsia="zh-CN"/>
              </w:rPr>
              <w:t>所投产品</w:t>
            </w:r>
            <w:r>
              <w:rPr>
                <w:rFonts w:hint="eastAsia" w:ascii="宋体" w:hAnsi="宋体" w:eastAsia="宋体" w:cs="宋体"/>
                <w:color w:val="auto"/>
                <w:kern w:val="1"/>
                <w:sz w:val="22"/>
                <w:szCs w:val="22"/>
                <w:highlight w:val="none"/>
              </w:rPr>
              <w:t>性能、技术、结构、图纸和质量水平的描述</w:t>
            </w:r>
            <w:r>
              <w:rPr>
                <w:rFonts w:hint="eastAsia" w:ascii="宋体" w:hAnsi="宋体" w:eastAsia="宋体" w:cs="宋体"/>
                <w:color w:val="auto"/>
                <w:kern w:val="1"/>
                <w:sz w:val="22"/>
                <w:szCs w:val="22"/>
                <w:highlight w:val="none"/>
                <w:lang w:eastAsia="zh-CN"/>
              </w:rPr>
              <w:t>，</w:t>
            </w:r>
            <w:r>
              <w:rPr>
                <w:rFonts w:hint="eastAsia" w:ascii="宋体" w:hAnsi="宋体" w:eastAsia="宋体" w:cs="宋体"/>
                <w:color w:val="auto"/>
                <w:kern w:val="1"/>
                <w:sz w:val="22"/>
                <w:szCs w:val="22"/>
                <w:highlight w:val="none"/>
                <w:lang w:val="en-US" w:eastAsia="zh-CN"/>
              </w:rPr>
              <w:t>所投产品的</w:t>
            </w:r>
            <w:r>
              <w:rPr>
                <w:rFonts w:hint="eastAsia" w:ascii="宋体" w:hAnsi="宋体" w:eastAsia="宋体" w:cs="宋体"/>
                <w:color w:val="auto"/>
                <w:szCs w:val="21"/>
                <w:highlight w:val="none"/>
              </w:rPr>
              <w:t>四面外观造型，及关键零部件装置照片</w:t>
            </w:r>
            <w:r>
              <w:rPr>
                <w:rFonts w:hint="eastAsia" w:ascii="宋体" w:hAnsi="宋体" w:eastAsia="宋体" w:cs="宋体"/>
                <w:color w:val="auto"/>
                <w:szCs w:val="21"/>
                <w:highlight w:val="none"/>
                <w:lang w:val="en-US" w:eastAsia="zh-CN"/>
              </w:rPr>
              <w:t>及该产品附带参数的厂家宣传资料</w:t>
            </w:r>
            <w:r>
              <w:rPr>
                <w:rFonts w:hint="eastAsia" w:ascii="宋体" w:hAnsi="宋体" w:eastAsia="宋体" w:cs="宋体"/>
                <w:color w:val="auto"/>
                <w:kern w:val="1"/>
                <w:sz w:val="22"/>
                <w:szCs w:val="22"/>
                <w:highlight w:val="none"/>
              </w:rPr>
              <w:t>）</w:t>
            </w:r>
            <w:r>
              <w:rPr>
                <w:rFonts w:hint="eastAsia" w:ascii="宋体" w:hAnsi="宋体" w:eastAsia="宋体" w:cs="宋体"/>
                <w:color w:val="auto"/>
                <w:kern w:val="1"/>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kern w:val="1"/>
                <w:sz w:val="22"/>
                <w:szCs w:val="22"/>
                <w:highlight w:val="none"/>
              </w:rPr>
              <w:t>a</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color w:val="auto"/>
                <w:kern w:val="1"/>
                <w:sz w:val="22"/>
                <w:szCs w:val="22"/>
                <w:highlight w:val="none"/>
                <w:lang w:val="en-US" w:eastAsia="zh-CN"/>
              </w:rPr>
              <w:t>所投产品</w:t>
            </w:r>
            <w:r>
              <w:rPr>
                <w:rFonts w:hint="eastAsia" w:ascii="宋体" w:hAnsi="宋体" w:eastAsia="宋体" w:cs="宋体"/>
                <w:color w:val="auto"/>
                <w:kern w:val="1"/>
                <w:sz w:val="22"/>
                <w:szCs w:val="22"/>
                <w:highlight w:val="none"/>
              </w:rPr>
              <w:t>的主要技术、结构、性能、特点和质量水平的详细描述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1"/>
                <w:sz w:val="22"/>
                <w:szCs w:val="22"/>
                <w:highlight w:val="none"/>
                <w:lang w:val="en-US" w:eastAsia="zh-CN"/>
              </w:rPr>
            </w:pPr>
            <w:r>
              <w:rPr>
                <w:rFonts w:hint="eastAsia" w:ascii="宋体" w:hAnsi="宋体" w:eastAsia="宋体" w:cs="宋体"/>
                <w:color w:val="auto"/>
                <w:kern w:val="1"/>
                <w:sz w:val="22"/>
                <w:szCs w:val="22"/>
                <w:highlight w:val="none"/>
                <w:lang w:val="en-US" w:eastAsia="zh-CN"/>
              </w:rPr>
              <w:t>b</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1"/>
                <w:sz w:val="22"/>
                <w:szCs w:val="22"/>
                <w:highlight w:val="none"/>
                <w:lang w:val="en-US"/>
              </w:rPr>
            </w:pPr>
            <w:r>
              <w:rPr>
                <w:rFonts w:hint="eastAsia" w:ascii="宋体" w:hAnsi="宋体" w:eastAsia="宋体" w:cs="宋体"/>
                <w:color w:val="auto"/>
                <w:kern w:val="1"/>
                <w:sz w:val="22"/>
                <w:szCs w:val="22"/>
                <w:highlight w:val="none"/>
                <w:lang w:val="en-US" w:eastAsia="zh-CN"/>
              </w:rPr>
              <w:t>所投产品的</w:t>
            </w:r>
            <w:r>
              <w:rPr>
                <w:rFonts w:hint="eastAsia" w:ascii="宋体" w:hAnsi="宋体" w:eastAsia="宋体" w:cs="宋体"/>
                <w:color w:val="auto"/>
                <w:szCs w:val="21"/>
                <w:highlight w:val="none"/>
              </w:rPr>
              <w:t>四面外观造型及关键零部件装置照片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该产品附带参数的厂家宣传资料</w:t>
            </w:r>
            <w:r>
              <w:rPr>
                <w:rFonts w:hint="eastAsia" w:ascii="宋体" w:hAnsi="宋体" w:eastAsia="宋体" w:cs="宋体"/>
                <w:color w:val="auto"/>
                <w:kern w:val="1"/>
                <w:sz w:val="22"/>
                <w:szCs w:val="22"/>
                <w:highlight w:val="none"/>
              </w:rPr>
              <w:t>）</w:t>
            </w:r>
            <w:r>
              <w:rPr>
                <w:rFonts w:hint="eastAsia" w:ascii="宋体" w:hAnsi="宋体" w:eastAsia="宋体" w:cs="宋体"/>
                <w:color w:val="auto"/>
                <w:kern w:val="1"/>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1"/>
                <w:sz w:val="22"/>
                <w:szCs w:val="22"/>
                <w:highlight w:val="none"/>
                <w:lang w:val="en-US" w:eastAsia="zh-CN"/>
              </w:rPr>
              <w:t>c</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color w:val="auto"/>
                <w:kern w:val="1"/>
                <w:sz w:val="22"/>
                <w:szCs w:val="22"/>
                <w:highlight w:val="none"/>
                <w:lang w:val="en-US" w:eastAsia="zh-CN"/>
              </w:rPr>
              <w:t>所投产品</w:t>
            </w:r>
            <w:r>
              <w:rPr>
                <w:rFonts w:hint="eastAsia" w:ascii="宋体" w:hAnsi="宋体" w:eastAsia="宋体" w:cs="宋体"/>
                <w:color w:val="auto"/>
                <w:kern w:val="1"/>
                <w:sz w:val="22"/>
                <w:szCs w:val="22"/>
                <w:highlight w:val="none"/>
              </w:rPr>
              <w:t>的供货、测试、验收标准及方案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1"/>
                <w:sz w:val="22"/>
                <w:szCs w:val="22"/>
                <w:highlight w:val="none"/>
                <w:lang w:val="en-US" w:eastAsia="zh-CN"/>
              </w:rPr>
              <w:t>d</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rPr>
            </w:pPr>
            <w:r>
              <w:rPr>
                <w:rFonts w:hint="eastAsia" w:ascii="宋体" w:hAnsi="宋体" w:eastAsia="宋体" w:cs="宋体"/>
                <w:color w:val="auto"/>
                <w:kern w:val="1"/>
                <w:sz w:val="22"/>
                <w:szCs w:val="22"/>
                <w:highlight w:val="none"/>
              </w:rPr>
              <w:t>质量控制、质量保证的详细介绍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1"/>
                <w:sz w:val="22"/>
                <w:szCs w:val="22"/>
                <w:highlight w:val="none"/>
                <w:lang w:val="en-US" w:eastAsia="zh-CN"/>
              </w:rPr>
              <w:t>e</w:t>
            </w:r>
          </w:p>
        </w:tc>
        <w:tc>
          <w:tcPr>
            <w:tcW w:w="9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2"/>
                <w:szCs w:val="22"/>
                <w:highlight w:val="none"/>
                <w:lang w:val="en-US" w:eastAsia="zh-CN"/>
              </w:rPr>
            </w:pPr>
            <w:r>
              <w:rPr>
                <w:rFonts w:hint="eastAsia" w:ascii="宋体" w:hAnsi="宋体" w:eastAsia="宋体" w:cs="宋体"/>
                <w:color w:val="auto"/>
                <w:kern w:val="1"/>
                <w:sz w:val="22"/>
                <w:szCs w:val="22"/>
                <w:highlight w:val="none"/>
              </w:rPr>
              <w:t>售后服务</w:t>
            </w:r>
            <w:r>
              <w:rPr>
                <w:rFonts w:hint="eastAsia" w:ascii="宋体" w:hAnsi="宋体" w:eastAsia="宋体" w:cs="宋体"/>
                <w:color w:val="auto"/>
                <w:kern w:val="1"/>
                <w:sz w:val="22"/>
                <w:szCs w:val="22"/>
                <w:highlight w:val="none"/>
                <w:lang w:val="en-US" w:eastAsia="zh-CN"/>
              </w:rPr>
              <w:t>及优惠条件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2"/>
                <w:szCs w:val="22"/>
                <w:highlight w:val="none"/>
              </w:rPr>
            </w:pPr>
            <w:r>
              <w:rPr>
                <w:rFonts w:hint="eastAsia" w:ascii="宋体" w:hAnsi="宋体" w:eastAsia="宋体" w:cs="宋体"/>
                <w:bCs/>
                <w:color w:val="auto"/>
                <w:sz w:val="22"/>
                <w:highlight w:val="none"/>
                <w:lang w:eastAsia="zh-CN"/>
              </w:rPr>
              <w:t>投标人</w:t>
            </w:r>
            <w:r>
              <w:rPr>
                <w:rFonts w:hint="eastAsia" w:ascii="宋体" w:hAnsi="宋体" w:eastAsia="宋体" w:cs="宋体"/>
                <w:bCs/>
                <w:color w:val="auto"/>
                <w:sz w:val="22"/>
                <w:highlight w:val="none"/>
              </w:rPr>
              <w:t>认为需要提供的其他技术资料</w:t>
            </w:r>
          </w:p>
        </w:tc>
      </w:tr>
    </w:tbl>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sz w:val="22"/>
          <w:szCs w:val="22"/>
          <w:highlight w:val="none"/>
        </w:rPr>
        <w:t>附件一</w:t>
      </w: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温州交运集团城西公交有限公司</w:t>
      </w:r>
      <w:r>
        <w:rPr>
          <w:rFonts w:hint="eastAsia" w:ascii="宋体" w:hAnsi="宋体" w:eastAsia="宋体" w:cs="宋体"/>
          <w:color w:val="auto"/>
          <w:sz w:val="22"/>
          <w:szCs w:val="22"/>
          <w:highlight w:val="none"/>
        </w:rPr>
        <w:t>：</w:t>
      </w:r>
    </w:p>
    <w:p>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温州市智信招标代理有限公司：</w:t>
      </w:r>
    </w:p>
    <w:p>
      <w:pPr>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项目（采购编号：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w:t>
      </w:r>
    </w:p>
    <w:p>
      <w:pPr>
        <w:autoSpaceDE w:val="0"/>
        <w:autoSpaceDN w:val="0"/>
        <w:adjustRightInd w:val="0"/>
        <w:spacing w:line="420" w:lineRule="atLeas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在此提交的投标文件中，包括如下内容，并已分别单独密封装袋：</w:t>
      </w:r>
    </w:p>
    <w:p>
      <w:pPr>
        <w:numPr>
          <w:ilvl w:val="0"/>
          <w:numId w:val="17"/>
        </w:numPr>
        <w:spacing w:line="420" w:lineRule="exact"/>
        <w:rPr>
          <w:rFonts w:hint="eastAsia" w:ascii="宋体" w:hAnsi="宋体" w:eastAsia="宋体" w:cs="宋体"/>
          <w:color w:val="auto"/>
          <w:szCs w:val="21"/>
          <w:highlight w:val="none"/>
        </w:rPr>
      </w:pPr>
      <w:r>
        <w:rPr>
          <w:rFonts w:hint="eastAsia" w:ascii="宋体" w:hAnsi="宋体" w:eastAsia="宋体" w:cs="宋体"/>
          <w:color w:val="auto"/>
          <w:sz w:val="22"/>
          <w:highlight w:val="none"/>
        </w:rPr>
        <w:t>按“投标人须知”要求编制的投标文件资格审查资料【正本一份，副本四份】；</w:t>
      </w:r>
    </w:p>
    <w:p>
      <w:pPr>
        <w:numPr>
          <w:ilvl w:val="0"/>
          <w:numId w:val="17"/>
        </w:numPr>
        <w:spacing w:line="420" w:lineRule="exact"/>
        <w:rPr>
          <w:rFonts w:hint="eastAsia" w:ascii="宋体" w:hAnsi="宋体" w:eastAsia="宋体" w:cs="宋体"/>
          <w:color w:val="auto"/>
          <w:szCs w:val="21"/>
          <w:highlight w:val="none"/>
        </w:rPr>
      </w:pPr>
      <w:r>
        <w:rPr>
          <w:rFonts w:hint="eastAsia" w:ascii="宋体" w:hAnsi="宋体" w:eastAsia="宋体" w:cs="宋体"/>
          <w:color w:val="auto"/>
          <w:sz w:val="22"/>
          <w:highlight w:val="none"/>
        </w:rPr>
        <w:t>按“投标人须知”要求编制的投标文件技术资信标【正本一份，副本四份】；</w:t>
      </w:r>
    </w:p>
    <w:p>
      <w:pPr>
        <w:numPr>
          <w:ilvl w:val="0"/>
          <w:numId w:val="17"/>
        </w:numPr>
        <w:spacing w:line="420" w:lineRule="exact"/>
        <w:rPr>
          <w:rFonts w:hint="eastAsia" w:ascii="宋体" w:hAnsi="宋体" w:eastAsia="宋体" w:cs="宋体"/>
          <w:color w:val="auto"/>
          <w:szCs w:val="21"/>
          <w:highlight w:val="none"/>
        </w:rPr>
      </w:pPr>
      <w:r>
        <w:rPr>
          <w:rFonts w:hint="eastAsia" w:ascii="宋体" w:hAnsi="宋体" w:eastAsia="宋体" w:cs="宋体"/>
          <w:color w:val="auto"/>
          <w:sz w:val="22"/>
          <w:highlight w:val="none"/>
        </w:rPr>
        <w:t>按“投标人须知”要求编制的投标文件商务报价标【正本一份，副本四份】。</w:t>
      </w:r>
    </w:p>
    <w:p>
      <w:pPr>
        <w:tabs>
          <w:tab w:val="left" w:pos="8124"/>
        </w:tabs>
        <w:autoSpaceDE w:val="0"/>
        <w:autoSpaceDN w:val="0"/>
        <w:adjustRightInd w:val="0"/>
        <w:spacing w:line="420" w:lineRule="atLeast"/>
        <w:ind w:firstLine="44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我方已完全明白采购文件的所有条</w:t>
      </w:r>
      <w:bookmarkStart w:id="127" w:name="_GoBack"/>
      <w:bookmarkEnd w:id="127"/>
      <w:r>
        <w:rPr>
          <w:rFonts w:hint="eastAsia" w:ascii="宋体" w:hAnsi="宋体" w:eastAsia="宋体" w:cs="宋体"/>
          <w:color w:val="auto"/>
          <w:kern w:val="0"/>
          <w:sz w:val="22"/>
          <w:szCs w:val="22"/>
          <w:highlight w:val="none"/>
          <w:lang w:val="zh-CN"/>
        </w:rPr>
        <w:t>款要求，并重申以下几点：</w:t>
      </w:r>
      <w:r>
        <w:rPr>
          <w:rFonts w:hint="eastAsia" w:ascii="宋体" w:hAnsi="宋体" w:eastAsia="宋体" w:cs="宋体"/>
          <w:color w:val="auto"/>
          <w:kern w:val="0"/>
          <w:sz w:val="22"/>
          <w:szCs w:val="22"/>
          <w:highlight w:val="none"/>
          <w:lang w:val="zh-CN"/>
        </w:rPr>
        <w:tab/>
      </w:r>
    </w:p>
    <w:p>
      <w:pPr>
        <w:numPr>
          <w:ilvl w:val="0"/>
          <w:numId w:val="18"/>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pPr>
        <w:numPr>
          <w:ilvl w:val="0"/>
          <w:numId w:val="18"/>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同意提供按照贵方可能要求的与投标有关的一切数据或资料等。若贵方需要，我方愿意提供我方作出的一切承诺的证明材料。</w:t>
      </w:r>
    </w:p>
    <w:p>
      <w:pPr>
        <w:numPr>
          <w:ilvl w:val="0"/>
          <w:numId w:val="18"/>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如中标，保证按照采购文件要求及投标文件的承诺与采购人签订合同，保证履行合同条款。</w:t>
      </w:r>
    </w:p>
    <w:p>
      <w:pPr>
        <w:numPr>
          <w:ilvl w:val="0"/>
          <w:numId w:val="18"/>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同意在采购文件中投标人须知规定的开标日期起遵守本投标书中的承诺且在投标有效期满之前均具有约束力。</w:t>
      </w:r>
    </w:p>
    <w:p>
      <w:pPr>
        <w:numPr>
          <w:ilvl w:val="0"/>
          <w:numId w:val="18"/>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如果在开标后规定的投标有效期内撤回投标，我方的投标保证金可被贵方没收。</w:t>
      </w:r>
    </w:p>
    <w:p>
      <w:pPr>
        <w:numPr>
          <w:ilvl w:val="0"/>
          <w:numId w:val="18"/>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完全理解贵方不一定要接受最低价的投标。</w:t>
      </w:r>
    </w:p>
    <w:p>
      <w:pPr>
        <w:numPr>
          <w:ilvl w:val="0"/>
          <w:numId w:val="18"/>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在参加本项目前三年内（被通报或者处罚的违法行为有：</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）或（没有因违法经营受到刑事处罚或者责令停产停业、吊销许可证或者执照、较大数额罚款等行政处罚或处罚）或（在</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至</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期间禁止参加采购活动但是期限届满，须附相关证明文件）</w:t>
      </w:r>
    </w:p>
    <w:p>
      <w:pPr>
        <w:numPr>
          <w:ilvl w:val="0"/>
          <w:numId w:val="18"/>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如有列情形之一的，我方愿意被取消中标资格（如中标），并可没收我方的投标保证金，同时继续承担其他一切法律后果，并不再寻求任何旨在减轻或免除法律责任的解释：</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(1)提供虚假材料（承诺）谋取中标、成交的；</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(2)采取不正当手段诋毁、排挤其他投标人的；</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(3)与采购人、其它投标人或者采购代理机构恶意串通的；</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(4)向采购人、采购代理机构行贿或者提供其他不正当利益的；</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(5)在采购过程中与采购人进行协商谈判的；</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(6)拒绝有关部门监督检查或提供虚假情况的。</w:t>
      </w:r>
    </w:p>
    <w:p>
      <w:pPr>
        <w:numPr>
          <w:ilvl w:val="0"/>
          <w:numId w:val="18"/>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所有与本投标有关的函件请发往下列地址：</w:t>
      </w:r>
    </w:p>
    <w:p>
      <w:pPr>
        <w:spacing w:line="42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地址</w:t>
      </w:r>
      <w:r>
        <w:rPr>
          <w:rFonts w:hint="eastAsia" w:ascii="宋体" w:hAnsi="宋体" w:eastAsia="宋体" w:cs="宋体"/>
          <w:color w:val="auto"/>
          <w:sz w:val="22"/>
          <w:szCs w:val="22"/>
          <w:highlight w:val="none"/>
          <w:u w:val="single"/>
        </w:rPr>
        <w:t xml:space="preserve">                           </w:t>
      </w:r>
    </w:p>
    <w:p>
      <w:pPr>
        <w:spacing w:line="42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w:t>
      </w:r>
      <w:r>
        <w:rPr>
          <w:rFonts w:hint="eastAsia" w:ascii="宋体" w:hAnsi="宋体" w:eastAsia="宋体" w:cs="宋体"/>
          <w:color w:val="auto"/>
          <w:sz w:val="22"/>
          <w:szCs w:val="22"/>
          <w:highlight w:val="none"/>
          <w:u w:val="single"/>
        </w:rPr>
        <w:t xml:space="preserve">                           </w:t>
      </w:r>
    </w:p>
    <w:p>
      <w:pPr>
        <w:spacing w:line="420" w:lineRule="exact"/>
        <w:ind w:firstLine="435"/>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u w:val="single"/>
        </w:rPr>
        <w:t xml:space="preserve">                           </w:t>
      </w:r>
    </w:p>
    <w:p>
      <w:pPr>
        <w:spacing w:line="420" w:lineRule="exact"/>
        <w:ind w:firstLine="770" w:firstLine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line="420" w:lineRule="exact"/>
        <w:ind w:firstLine="435"/>
        <w:rPr>
          <w:rFonts w:hint="eastAsia" w:ascii="宋体" w:hAnsi="宋体" w:eastAsia="宋体" w:cs="宋体"/>
          <w:color w:val="auto"/>
          <w:sz w:val="22"/>
          <w:szCs w:val="22"/>
          <w:highlight w:val="none"/>
        </w:rPr>
      </w:pPr>
    </w:p>
    <w:p>
      <w:pPr>
        <w:spacing w:line="420" w:lineRule="exact"/>
        <w:ind w:firstLine="46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投标人名称（盖章）</w:t>
      </w:r>
      <w:r>
        <w:rPr>
          <w:rFonts w:hint="eastAsia" w:ascii="宋体" w:hAnsi="宋体" w:eastAsia="宋体" w:cs="宋体"/>
          <w:color w:val="auto"/>
          <w:sz w:val="22"/>
          <w:szCs w:val="22"/>
          <w:highlight w:val="none"/>
          <w:u w:val="single"/>
        </w:rPr>
        <w:t xml:space="preserve">                  </w:t>
      </w:r>
    </w:p>
    <w:p>
      <w:pPr>
        <w:spacing w:line="420" w:lineRule="exact"/>
        <w:ind w:firstLine="46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法定代表人或授权代表（签字或盖章）</w:t>
      </w:r>
      <w:r>
        <w:rPr>
          <w:rFonts w:hint="eastAsia" w:ascii="宋体" w:hAnsi="宋体" w:eastAsia="宋体" w:cs="宋体"/>
          <w:color w:val="auto"/>
          <w:sz w:val="22"/>
          <w:szCs w:val="22"/>
          <w:highlight w:val="none"/>
          <w:u w:val="single"/>
        </w:rPr>
        <w:t xml:space="preserve">                   </w:t>
      </w:r>
    </w:p>
    <w:p>
      <w:pPr>
        <w:spacing w:line="460" w:lineRule="exact"/>
        <w:ind w:firstLine="462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pPr>
        <w:spacing w:line="460" w:lineRule="exact"/>
        <w:ind w:firstLine="4620"/>
        <w:rPr>
          <w:rFonts w:hint="eastAsia" w:ascii="宋体" w:hAnsi="宋体" w:eastAsia="宋体" w:cs="宋体"/>
          <w:color w:val="auto"/>
          <w:sz w:val="22"/>
          <w:szCs w:val="22"/>
          <w:highlight w:val="none"/>
          <w:u w:val="single"/>
        </w:rPr>
      </w:pPr>
    </w:p>
    <w:p>
      <w:pPr>
        <w:spacing w:line="420" w:lineRule="exact"/>
        <w:ind w:firstLine="442" w:firstLineChars="200"/>
        <w:rPr>
          <w:rFonts w:hint="eastAsia" w:ascii="宋体" w:hAnsi="宋体" w:eastAsia="宋体" w:cs="宋体"/>
          <w:color w:val="auto"/>
          <w:sz w:val="22"/>
          <w:highlight w:val="none"/>
        </w:rPr>
      </w:pPr>
      <w:r>
        <w:rPr>
          <w:rFonts w:hint="eastAsia" w:ascii="宋体" w:hAnsi="宋体" w:eastAsia="宋体" w:cs="宋体"/>
          <w:b/>
          <w:color w:val="auto"/>
          <w:sz w:val="22"/>
          <w:szCs w:val="22"/>
          <w:highlight w:val="none"/>
          <w:u w:val="single"/>
        </w:rPr>
        <w:t>▲不提供投标函的投标文件将被视为未实质性响应采购文件。</w:t>
      </w:r>
    </w:p>
    <w:p>
      <w:pPr>
        <w:spacing w:line="38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sz w:val="22"/>
          <w:szCs w:val="22"/>
          <w:highlight w:val="none"/>
        </w:rPr>
        <w:t>附件二：</w:t>
      </w: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技术参数应答表</w:t>
      </w:r>
    </w:p>
    <w:p>
      <w:pPr>
        <w:ind w:firstLine="435"/>
        <w:jc w:val="center"/>
        <w:rPr>
          <w:rFonts w:hint="eastAsia" w:ascii="宋体" w:hAnsi="宋体" w:eastAsia="宋体" w:cs="宋体"/>
          <w:b/>
          <w:color w:val="auto"/>
          <w:sz w:val="44"/>
          <w:highlight w:val="none"/>
        </w:rPr>
      </w:pPr>
    </w:p>
    <w:p>
      <w:pPr>
        <w:overflowPunct w:val="0"/>
        <w:spacing w:line="380" w:lineRule="exact"/>
        <w:rPr>
          <w:rFonts w:hint="eastAsia" w:ascii="宋体" w:hAnsi="宋体" w:eastAsia="宋体" w:cs="宋体"/>
          <w:bCs/>
          <w:color w:val="auto"/>
          <w:sz w:val="22"/>
          <w:szCs w:val="22"/>
          <w:highlight w:val="none"/>
        </w:rPr>
      </w:pPr>
      <w:r>
        <w:rPr>
          <w:rFonts w:hint="eastAsia" w:ascii="宋体" w:hAnsi="宋体" w:eastAsia="宋体" w:cs="宋体"/>
          <w:b/>
          <w:color w:val="auto"/>
          <w:sz w:val="24"/>
          <w:highlight w:val="none"/>
        </w:rPr>
        <w:t xml:space="preserve">   </w:t>
      </w:r>
      <w:r>
        <w:rPr>
          <w:rFonts w:hint="eastAsia" w:ascii="宋体" w:hAnsi="宋体" w:eastAsia="宋体" w:cs="宋体"/>
          <w:bCs/>
          <w:color w:val="auto"/>
          <w:sz w:val="22"/>
          <w:szCs w:val="22"/>
          <w:highlight w:val="none"/>
        </w:rPr>
        <w:t>项目名称：                                      采购编号：</w:t>
      </w:r>
    </w:p>
    <w:p>
      <w:pPr>
        <w:ind w:firstLine="361" w:firstLineChars="150"/>
        <w:rPr>
          <w:rFonts w:hint="eastAsia" w:ascii="宋体" w:hAnsi="宋体" w:eastAsia="宋体" w:cs="宋体"/>
          <w:b/>
          <w:color w:val="auto"/>
          <w:sz w:val="24"/>
          <w:highlight w:val="none"/>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538"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采购文件技术规格</w:t>
            </w:r>
          </w:p>
        </w:tc>
        <w:tc>
          <w:tcPr>
            <w:tcW w:w="2326"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实际技术规格</w:t>
            </w:r>
          </w:p>
        </w:tc>
        <w:tc>
          <w:tcPr>
            <w:tcW w:w="2115"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w:t>
            </w:r>
          </w:p>
        </w:tc>
        <w:tc>
          <w:tcPr>
            <w:tcW w:w="1902"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pPr>
              <w:jc w:val="center"/>
              <w:rPr>
                <w:rFonts w:hint="eastAsia" w:ascii="宋体" w:hAnsi="宋体" w:eastAsia="宋体" w:cs="宋体"/>
                <w:color w:val="auto"/>
                <w:sz w:val="22"/>
                <w:szCs w:val="22"/>
                <w:highlight w:val="none"/>
              </w:rPr>
            </w:pPr>
          </w:p>
        </w:tc>
        <w:tc>
          <w:tcPr>
            <w:tcW w:w="2538" w:type="dxa"/>
            <w:noWrap w:val="0"/>
            <w:vAlign w:val="center"/>
          </w:tcPr>
          <w:p>
            <w:pPr>
              <w:jc w:val="center"/>
              <w:rPr>
                <w:rFonts w:hint="eastAsia" w:ascii="宋体" w:hAnsi="宋体" w:eastAsia="宋体" w:cs="宋体"/>
                <w:color w:val="auto"/>
                <w:sz w:val="22"/>
                <w:szCs w:val="22"/>
                <w:highlight w:val="none"/>
              </w:rPr>
            </w:pPr>
          </w:p>
        </w:tc>
        <w:tc>
          <w:tcPr>
            <w:tcW w:w="2326" w:type="dxa"/>
            <w:noWrap w:val="0"/>
            <w:vAlign w:val="center"/>
          </w:tcPr>
          <w:p>
            <w:pPr>
              <w:jc w:val="center"/>
              <w:rPr>
                <w:rFonts w:hint="eastAsia" w:ascii="宋体" w:hAnsi="宋体" w:eastAsia="宋体" w:cs="宋体"/>
                <w:color w:val="auto"/>
                <w:sz w:val="22"/>
                <w:szCs w:val="22"/>
                <w:highlight w:val="none"/>
              </w:rPr>
            </w:pPr>
          </w:p>
        </w:tc>
        <w:tc>
          <w:tcPr>
            <w:tcW w:w="2115" w:type="dxa"/>
            <w:noWrap w:val="0"/>
            <w:vAlign w:val="center"/>
          </w:tcPr>
          <w:p>
            <w:pPr>
              <w:jc w:val="center"/>
              <w:rPr>
                <w:rFonts w:hint="eastAsia" w:ascii="宋体" w:hAnsi="宋体" w:eastAsia="宋体" w:cs="宋体"/>
                <w:color w:val="auto"/>
                <w:sz w:val="22"/>
                <w:szCs w:val="22"/>
                <w:highlight w:val="none"/>
              </w:rPr>
            </w:pPr>
          </w:p>
        </w:tc>
        <w:tc>
          <w:tcPr>
            <w:tcW w:w="1902"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hint="eastAsia" w:ascii="宋体" w:hAnsi="宋体" w:eastAsia="宋体" w:cs="宋体"/>
                <w:color w:val="auto"/>
                <w:sz w:val="22"/>
                <w:szCs w:val="22"/>
                <w:highlight w:val="none"/>
              </w:rPr>
            </w:pPr>
          </w:p>
        </w:tc>
        <w:tc>
          <w:tcPr>
            <w:tcW w:w="2538" w:type="dxa"/>
            <w:noWrap w:val="0"/>
            <w:vAlign w:val="center"/>
          </w:tcPr>
          <w:p>
            <w:pPr>
              <w:jc w:val="center"/>
              <w:rPr>
                <w:rFonts w:hint="eastAsia" w:ascii="宋体" w:hAnsi="宋体" w:eastAsia="宋体" w:cs="宋体"/>
                <w:color w:val="auto"/>
                <w:sz w:val="22"/>
                <w:szCs w:val="22"/>
                <w:highlight w:val="none"/>
              </w:rPr>
            </w:pPr>
          </w:p>
        </w:tc>
        <w:tc>
          <w:tcPr>
            <w:tcW w:w="2326" w:type="dxa"/>
            <w:noWrap w:val="0"/>
            <w:vAlign w:val="center"/>
          </w:tcPr>
          <w:p>
            <w:pPr>
              <w:jc w:val="center"/>
              <w:rPr>
                <w:rFonts w:hint="eastAsia" w:ascii="宋体" w:hAnsi="宋体" w:eastAsia="宋体" w:cs="宋体"/>
                <w:color w:val="auto"/>
                <w:sz w:val="22"/>
                <w:szCs w:val="22"/>
                <w:highlight w:val="none"/>
              </w:rPr>
            </w:pPr>
          </w:p>
        </w:tc>
        <w:tc>
          <w:tcPr>
            <w:tcW w:w="2115" w:type="dxa"/>
            <w:noWrap w:val="0"/>
            <w:vAlign w:val="center"/>
          </w:tcPr>
          <w:p>
            <w:pPr>
              <w:jc w:val="center"/>
              <w:rPr>
                <w:rFonts w:hint="eastAsia" w:ascii="宋体" w:hAnsi="宋体" w:eastAsia="宋体" w:cs="宋体"/>
                <w:color w:val="auto"/>
                <w:sz w:val="22"/>
                <w:szCs w:val="22"/>
                <w:highlight w:val="none"/>
              </w:rPr>
            </w:pPr>
          </w:p>
        </w:tc>
        <w:tc>
          <w:tcPr>
            <w:tcW w:w="1902"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hint="eastAsia" w:ascii="宋体" w:hAnsi="宋体" w:eastAsia="宋体" w:cs="宋体"/>
                <w:color w:val="auto"/>
                <w:sz w:val="22"/>
                <w:szCs w:val="22"/>
                <w:highlight w:val="none"/>
              </w:rPr>
            </w:pPr>
          </w:p>
        </w:tc>
        <w:tc>
          <w:tcPr>
            <w:tcW w:w="2538" w:type="dxa"/>
            <w:noWrap w:val="0"/>
            <w:vAlign w:val="center"/>
          </w:tcPr>
          <w:p>
            <w:pPr>
              <w:jc w:val="center"/>
              <w:rPr>
                <w:rFonts w:hint="eastAsia" w:ascii="宋体" w:hAnsi="宋体" w:eastAsia="宋体" w:cs="宋体"/>
                <w:color w:val="auto"/>
                <w:sz w:val="22"/>
                <w:szCs w:val="22"/>
                <w:highlight w:val="none"/>
              </w:rPr>
            </w:pPr>
          </w:p>
        </w:tc>
        <w:tc>
          <w:tcPr>
            <w:tcW w:w="2326" w:type="dxa"/>
            <w:noWrap w:val="0"/>
            <w:vAlign w:val="center"/>
          </w:tcPr>
          <w:p>
            <w:pPr>
              <w:jc w:val="center"/>
              <w:rPr>
                <w:rFonts w:hint="eastAsia" w:ascii="宋体" w:hAnsi="宋体" w:eastAsia="宋体" w:cs="宋体"/>
                <w:color w:val="auto"/>
                <w:sz w:val="22"/>
                <w:szCs w:val="22"/>
                <w:highlight w:val="none"/>
              </w:rPr>
            </w:pPr>
          </w:p>
        </w:tc>
        <w:tc>
          <w:tcPr>
            <w:tcW w:w="2115" w:type="dxa"/>
            <w:noWrap w:val="0"/>
            <w:vAlign w:val="center"/>
          </w:tcPr>
          <w:p>
            <w:pPr>
              <w:jc w:val="center"/>
              <w:rPr>
                <w:rFonts w:hint="eastAsia" w:ascii="宋体" w:hAnsi="宋体" w:eastAsia="宋体" w:cs="宋体"/>
                <w:color w:val="auto"/>
                <w:sz w:val="22"/>
                <w:szCs w:val="22"/>
                <w:highlight w:val="none"/>
              </w:rPr>
            </w:pPr>
          </w:p>
        </w:tc>
        <w:tc>
          <w:tcPr>
            <w:tcW w:w="1902"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hint="eastAsia" w:ascii="宋体" w:hAnsi="宋体" w:eastAsia="宋体" w:cs="宋体"/>
                <w:color w:val="auto"/>
                <w:sz w:val="22"/>
                <w:szCs w:val="22"/>
                <w:highlight w:val="none"/>
              </w:rPr>
            </w:pPr>
          </w:p>
        </w:tc>
        <w:tc>
          <w:tcPr>
            <w:tcW w:w="2538" w:type="dxa"/>
            <w:noWrap w:val="0"/>
            <w:vAlign w:val="center"/>
          </w:tcPr>
          <w:p>
            <w:pPr>
              <w:jc w:val="center"/>
              <w:rPr>
                <w:rFonts w:hint="eastAsia" w:ascii="宋体" w:hAnsi="宋体" w:eastAsia="宋体" w:cs="宋体"/>
                <w:color w:val="auto"/>
                <w:sz w:val="22"/>
                <w:szCs w:val="22"/>
                <w:highlight w:val="none"/>
              </w:rPr>
            </w:pPr>
          </w:p>
        </w:tc>
        <w:tc>
          <w:tcPr>
            <w:tcW w:w="2326" w:type="dxa"/>
            <w:noWrap w:val="0"/>
            <w:vAlign w:val="center"/>
          </w:tcPr>
          <w:p>
            <w:pPr>
              <w:jc w:val="center"/>
              <w:rPr>
                <w:rFonts w:hint="eastAsia" w:ascii="宋体" w:hAnsi="宋体" w:eastAsia="宋体" w:cs="宋体"/>
                <w:color w:val="auto"/>
                <w:sz w:val="22"/>
                <w:szCs w:val="22"/>
                <w:highlight w:val="none"/>
              </w:rPr>
            </w:pPr>
          </w:p>
        </w:tc>
        <w:tc>
          <w:tcPr>
            <w:tcW w:w="2115" w:type="dxa"/>
            <w:noWrap w:val="0"/>
            <w:vAlign w:val="center"/>
          </w:tcPr>
          <w:p>
            <w:pPr>
              <w:jc w:val="center"/>
              <w:rPr>
                <w:rFonts w:hint="eastAsia" w:ascii="宋体" w:hAnsi="宋体" w:eastAsia="宋体" w:cs="宋体"/>
                <w:color w:val="auto"/>
                <w:sz w:val="22"/>
                <w:szCs w:val="22"/>
                <w:highlight w:val="none"/>
              </w:rPr>
            </w:pPr>
          </w:p>
        </w:tc>
        <w:tc>
          <w:tcPr>
            <w:tcW w:w="1902"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hint="eastAsia" w:ascii="宋体" w:hAnsi="宋体" w:eastAsia="宋体" w:cs="宋体"/>
                <w:color w:val="auto"/>
                <w:sz w:val="22"/>
                <w:szCs w:val="22"/>
                <w:highlight w:val="none"/>
              </w:rPr>
            </w:pPr>
          </w:p>
        </w:tc>
        <w:tc>
          <w:tcPr>
            <w:tcW w:w="2538" w:type="dxa"/>
            <w:noWrap w:val="0"/>
            <w:vAlign w:val="center"/>
          </w:tcPr>
          <w:p>
            <w:pPr>
              <w:jc w:val="center"/>
              <w:rPr>
                <w:rFonts w:hint="eastAsia" w:ascii="宋体" w:hAnsi="宋体" w:eastAsia="宋体" w:cs="宋体"/>
                <w:color w:val="auto"/>
                <w:sz w:val="22"/>
                <w:szCs w:val="22"/>
                <w:highlight w:val="none"/>
              </w:rPr>
            </w:pPr>
          </w:p>
        </w:tc>
        <w:tc>
          <w:tcPr>
            <w:tcW w:w="2326" w:type="dxa"/>
            <w:noWrap w:val="0"/>
            <w:vAlign w:val="center"/>
          </w:tcPr>
          <w:p>
            <w:pPr>
              <w:jc w:val="center"/>
              <w:rPr>
                <w:rFonts w:hint="eastAsia" w:ascii="宋体" w:hAnsi="宋体" w:eastAsia="宋体" w:cs="宋体"/>
                <w:color w:val="auto"/>
                <w:sz w:val="22"/>
                <w:szCs w:val="22"/>
                <w:highlight w:val="none"/>
              </w:rPr>
            </w:pPr>
          </w:p>
        </w:tc>
        <w:tc>
          <w:tcPr>
            <w:tcW w:w="2115" w:type="dxa"/>
            <w:noWrap w:val="0"/>
            <w:vAlign w:val="center"/>
          </w:tcPr>
          <w:p>
            <w:pPr>
              <w:jc w:val="center"/>
              <w:rPr>
                <w:rFonts w:hint="eastAsia" w:ascii="宋体" w:hAnsi="宋体" w:eastAsia="宋体" w:cs="宋体"/>
                <w:color w:val="auto"/>
                <w:sz w:val="22"/>
                <w:szCs w:val="22"/>
                <w:highlight w:val="none"/>
              </w:rPr>
            </w:pPr>
          </w:p>
        </w:tc>
        <w:tc>
          <w:tcPr>
            <w:tcW w:w="1902" w:type="dxa"/>
            <w:noWrap w:val="0"/>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4"/>
          <w:highlight w:val="none"/>
        </w:rPr>
      </w:pPr>
    </w:p>
    <w:p>
      <w:pPr>
        <w:spacing w:line="400" w:lineRule="exact"/>
        <w:ind w:left="218" w:leftChars="1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r>
        <w:rPr>
          <w:rFonts w:hint="eastAsia" w:ascii="宋体" w:hAnsi="宋体" w:eastAsia="宋体" w:cs="宋体"/>
          <w:color w:val="auto"/>
          <w:sz w:val="22"/>
          <w:szCs w:val="22"/>
          <w:highlight w:val="none"/>
        </w:rPr>
        <w:t>不填写此表视作完全响应采购文件要求</w:t>
      </w:r>
    </w:p>
    <w:p>
      <w:pPr>
        <w:spacing w:line="420" w:lineRule="exact"/>
        <w:ind w:firstLine="442" w:firstLineChars="200"/>
        <w:rPr>
          <w:rFonts w:hint="eastAsia" w:ascii="宋体" w:hAnsi="宋体" w:eastAsia="宋体" w:cs="宋体"/>
          <w:color w:val="auto"/>
          <w:sz w:val="22"/>
          <w:highlight w:val="none"/>
        </w:rPr>
      </w:pPr>
      <w:r>
        <w:rPr>
          <w:rFonts w:hint="eastAsia" w:ascii="宋体" w:hAnsi="宋体" w:eastAsia="宋体" w:cs="宋体"/>
          <w:b/>
          <w:color w:val="auto"/>
          <w:sz w:val="22"/>
          <w:szCs w:val="22"/>
          <w:highlight w:val="none"/>
          <w:u w:val="single"/>
        </w:rPr>
        <w:t>▲不提供</w:t>
      </w:r>
      <w:r>
        <w:rPr>
          <w:rFonts w:hint="eastAsia" w:ascii="宋体" w:hAnsi="宋体" w:eastAsia="宋体" w:cs="宋体"/>
          <w:b/>
          <w:color w:val="auto"/>
          <w:sz w:val="22"/>
          <w:szCs w:val="22"/>
          <w:highlight w:val="none"/>
          <w:u w:val="single"/>
          <w:lang w:val="en-US" w:eastAsia="zh-CN"/>
        </w:rPr>
        <w:t>应答表</w:t>
      </w:r>
      <w:r>
        <w:rPr>
          <w:rFonts w:hint="eastAsia" w:ascii="宋体" w:hAnsi="宋体" w:eastAsia="宋体" w:cs="宋体"/>
          <w:b/>
          <w:color w:val="auto"/>
          <w:sz w:val="22"/>
          <w:szCs w:val="22"/>
          <w:highlight w:val="none"/>
          <w:u w:val="single"/>
        </w:rPr>
        <w:t>的投标文件将被视为未实质性响应采购文件。</w:t>
      </w:r>
    </w:p>
    <w:p>
      <w:pPr>
        <w:pStyle w:val="10"/>
        <w:rPr>
          <w:rFonts w:hint="eastAsia" w:ascii="宋体" w:hAnsi="宋体" w:eastAsia="宋体" w:cs="宋体"/>
          <w:color w:val="auto"/>
          <w:highlight w:val="none"/>
        </w:rPr>
      </w:pPr>
    </w:p>
    <w:p>
      <w:pPr>
        <w:spacing w:line="400" w:lineRule="exact"/>
        <w:rPr>
          <w:rFonts w:hint="eastAsia" w:ascii="宋体" w:hAnsi="宋体" w:eastAsia="宋体" w:cs="宋体"/>
          <w:color w:val="auto"/>
          <w:sz w:val="22"/>
          <w:szCs w:val="22"/>
          <w:highlight w:val="none"/>
        </w:rPr>
      </w:pPr>
    </w:p>
    <w:p>
      <w:pPr>
        <w:spacing w:line="400" w:lineRule="exact"/>
        <w:rPr>
          <w:rFonts w:hint="eastAsia" w:ascii="宋体" w:hAnsi="宋体" w:eastAsia="宋体" w:cs="宋体"/>
          <w:color w:val="auto"/>
          <w:sz w:val="22"/>
          <w:szCs w:val="22"/>
          <w:highlight w:val="none"/>
        </w:rPr>
      </w:pPr>
    </w:p>
    <w:p>
      <w:pPr>
        <w:spacing w:line="400" w:lineRule="exact"/>
        <w:rPr>
          <w:rFonts w:hint="eastAsia" w:ascii="宋体" w:hAnsi="宋体" w:eastAsia="宋体" w:cs="宋体"/>
          <w:color w:val="auto"/>
          <w:sz w:val="22"/>
          <w:szCs w:val="22"/>
          <w:highlight w:val="none"/>
        </w:rPr>
      </w:pPr>
    </w:p>
    <w:p>
      <w:pPr>
        <w:spacing w:line="400" w:lineRule="exact"/>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pacing w:line="400" w:lineRule="exact"/>
        <w:ind w:firstLine="770" w:firstLine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spacing w:line="400" w:lineRule="exact"/>
        <w:rPr>
          <w:rFonts w:hint="eastAsia" w:ascii="宋体" w:hAnsi="宋体" w:eastAsia="宋体" w:cs="宋体"/>
          <w:color w:val="auto"/>
          <w:sz w:val="22"/>
          <w:szCs w:val="22"/>
          <w:highlight w:val="none"/>
        </w:rPr>
      </w:pP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4"/>
          <w:highlight w:val="none"/>
        </w:rPr>
        <w:t>附件三：</w:t>
      </w:r>
    </w:p>
    <w:p>
      <w:pPr>
        <w:spacing w:line="5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商务条款偏离表</w:t>
      </w:r>
    </w:p>
    <w:p>
      <w:pPr>
        <w:ind w:firstLine="435"/>
        <w:jc w:val="center"/>
        <w:rPr>
          <w:rFonts w:hint="eastAsia" w:ascii="宋体" w:hAnsi="宋体" w:eastAsia="宋体" w:cs="宋体"/>
          <w:b/>
          <w:color w:val="auto"/>
          <w:sz w:val="44"/>
          <w:highlight w:val="none"/>
        </w:rPr>
      </w:pPr>
    </w:p>
    <w:p>
      <w:pPr>
        <w:overflowPunct w:val="0"/>
        <w:spacing w:line="380" w:lineRule="exact"/>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 xml:space="preserve">  </w:t>
      </w:r>
      <w:r>
        <w:rPr>
          <w:rFonts w:hint="eastAsia" w:ascii="宋体" w:hAnsi="宋体" w:eastAsia="宋体" w:cs="宋体"/>
          <w:bCs/>
          <w:color w:val="auto"/>
          <w:sz w:val="22"/>
          <w:szCs w:val="22"/>
          <w:highlight w:val="none"/>
        </w:rPr>
        <w:t>项目名称：                                      采购编号：</w:t>
      </w:r>
    </w:p>
    <w:p>
      <w:pPr>
        <w:ind w:firstLine="221" w:firstLineChars="100"/>
        <w:rPr>
          <w:rFonts w:hint="eastAsia" w:ascii="宋体" w:hAnsi="宋体" w:eastAsia="宋体" w:cs="宋体"/>
          <w:b/>
          <w:color w:val="auto"/>
          <w:sz w:val="22"/>
          <w:szCs w:val="22"/>
          <w:highlight w:val="none"/>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559"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条款内容</w:t>
            </w:r>
          </w:p>
        </w:tc>
        <w:tc>
          <w:tcPr>
            <w:tcW w:w="2184"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采购文件商务条款描述</w:t>
            </w:r>
          </w:p>
        </w:tc>
        <w:tc>
          <w:tcPr>
            <w:tcW w:w="2402"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投标文件商务条款</w:t>
            </w:r>
          </w:p>
        </w:tc>
        <w:tc>
          <w:tcPr>
            <w:tcW w:w="120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w:t>
            </w:r>
          </w:p>
        </w:tc>
        <w:tc>
          <w:tcPr>
            <w:tcW w:w="1588"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559" w:type="dxa"/>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付款方式</w:t>
            </w:r>
          </w:p>
        </w:tc>
        <w:tc>
          <w:tcPr>
            <w:tcW w:w="2184" w:type="dxa"/>
            <w:noWrap w:val="0"/>
            <w:vAlign w:val="center"/>
          </w:tcPr>
          <w:p>
            <w:pPr>
              <w:jc w:val="center"/>
              <w:rPr>
                <w:rFonts w:hint="eastAsia" w:ascii="宋体" w:hAnsi="宋体" w:eastAsia="宋体" w:cs="宋体"/>
                <w:color w:val="auto"/>
                <w:sz w:val="22"/>
                <w:szCs w:val="22"/>
                <w:highlight w:val="none"/>
              </w:rPr>
            </w:pPr>
          </w:p>
        </w:tc>
        <w:tc>
          <w:tcPr>
            <w:tcW w:w="2402" w:type="dxa"/>
            <w:noWrap w:val="0"/>
            <w:vAlign w:val="center"/>
          </w:tcPr>
          <w:p>
            <w:pPr>
              <w:jc w:val="center"/>
              <w:rPr>
                <w:rFonts w:hint="eastAsia" w:ascii="宋体" w:hAnsi="宋体" w:eastAsia="宋体" w:cs="宋体"/>
                <w:color w:val="auto"/>
                <w:sz w:val="22"/>
                <w:szCs w:val="22"/>
                <w:highlight w:val="none"/>
              </w:rPr>
            </w:pPr>
          </w:p>
        </w:tc>
        <w:tc>
          <w:tcPr>
            <w:tcW w:w="1200" w:type="dxa"/>
            <w:noWrap w:val="0"/>
            <w:vAlign w:val="center"/>
          </w:tcPr>
          <w:p>
            <w:pPr>
              <w:jc w:val="center"/>
              <w:rPr>
                <w:rFonts w:hint="eastAsia" w:ascii="宋体" w:hAnsi="宋体" w:eastAsia="宋体" w:cs="宋体"/>
                <w:color w:val="auto"/>
                <w:sz w:val="22"/>
                <w:szCs w:val="22"/>
                <w:highlight w:val="none"/>
              </w:rPr>
            </w:pPr>
          </w:p>
        </w:tc>
        <w:tc>
          <w:tcPr>
            <w:tcW w:w="1588"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559" w:type="dxa"/>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供货时间</w:t>
            </w:r>
          </w:p>
        </w:tc>
        <w:tc>
          <w:tcPr>
            <w:tcW w:w="2184" w:type="dxa"/>
            <w:noWrap w:val="0"/>
            <w:vAlign w:val="center"/>
          </w:tcPr>
          <w:p>
            <w:pPr>
              <w:jc w:val="center"/>
              <w:rPr>
                <w:rFonts w:hint="eastAsia" w:ascii="宋体" w:hAnsi="宋体" w:eastAsia="宋体" w:cs="宋体"/>
                <w:color w:val="auto"/>
                <w:sz w:val="22"/>
                <w:szCs w:val="22"/>
                <w:highlight w:val="none"/>
              </w:rPr>
            </w:pPr>
          </w:p>
        </w:tc>
        <w:tc>
          <w:tcPr>
            <w:tcW w:w="2402" w:type="dxa"/>
            <w:noWrap w:val="0"/>
            <w:vAlign w:val="center"/>
          </w:tcPr>
          <w:p>
            <w:pPr>
              <w:jc w:val="center"/>
              <w:rPr>
                <w:rFonts w:hint="eastAsia" w:ascii="宋体" w:hAnsi="宋体" w:eastAsia="宋体" w:cs="宋体"/>
                <w:color w:val="auto"/>
                <w:sz w:val="22"/>
                <w:szCs w:val="22"/>
                <w:highlight w:val="none"/>
              </w:rPr>
            </w:pPr>
          </w:p>
        </w:tc>
        <w:tc>
          <w:tcPr>
            <w:tcW w:w="1200" w:type="dxa"/>
            <w:noWrap w:val="0"/>
            <w:vAlign w:val="center"/>
          </w:tcPr>
          <w:p>
            <w:pPr>
              <w:jc w:val="center"/>
              <w:rPr>
                <w:rFonts w:hint="eastAsia" w:ascii="宋体" w:hAnsi="宋体" w:eastAsia="宋体" w:cs="宋体"/>
                <w:color w:val="auto"/>
                <w:sz w:val="22"/>
                <w:szCs w:val="22"/>
                <w:highlight w:val="none"/>
              </w:rPr>
            </w:pPr>
          </w:p>
        </w:tc>
        <w:tc>
          <w:tcPr>
            <w:tcW w:w="1588"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559" w:type="dxa"/>
            <w:noWrap w:val="0"/>
            <w:vAlign w:val="center"/>
          </w:tcPr>
          <w:p>
            <w:pPr>
              <w:jc w:val="center"/>
              <w:rPr>
                <w:rFonts w:hint="eastAsia" w:ascii="宋体" w:hAnsi="宋体" w:eastAsia="宋体" w:cs="宋体"/>
                <w:color w:val="auto"/>
                <w:sz w:val="22"/>
                <w:szCs w:val="22"/>
                <w:highlight w:val="none"/>
              </w:rPr>
            </w:pPr>
          </w:p>
        </w:tc>
        <w:tc>
          <w:tcPr>
            <w:tcW w:w="2184" w:type="dxa"/>
            <w:noWrap w:val="0"/>
            <w:vAlign w:val="center"/>
          </w:tcPr>
          <w:p>
            <w:pPr>
              <w:jc w:val="center"/>
              <w:rPr>
                <w:rFonts w:hint="eastAsia" w:ascii="宋体" w:hAnsi="宋体" w:eastAsia="宋体" w:cs="宋体"/>
                <w:color w:val="auto"/>
                <w:sz w:val="22"/>
                <w:szCs w:val="22"/>
                <w:highlight w:val="none"/>
              </w:rPr>
            </w:pPr>
          </w:p>
        </w:tc>
        <w:tc>
          <w:tcPr>
            <w:tcW w:w="2402" w:type="dxa"/>
            <w:noWrap w:val="0"/>
            <w:vAlign w:val="center"/>
          </w:tcPr>
          <w:p>
            <w:pPr>
              <w:jc w:val="center"/>
              <w:rPr>
                <w:rFonts w:hint="eastAsia" w:ascii="宋体" w:hAnsi="宋体" w:eastAsia="宋体" w:cs="宋体"/>
                <w:color w:val="auto"/>
                <w:sz w:val="22"/>
                <w:szCs w:val="22"/>
                <w:highlight w:val="none"/>
              </w:rPr>
            </w:pPr>
          </w:p>
        </w:tc>
        <w:tc>
          <w:tcPr>
            <w:tcW w:w="1200" w:type="dxa"/>
            <w:noWrap w:val="0"/>
            <w:vAlign w:val="center"/>
          </w:tcPr>
          <w:p>
            <w:pPr>
              <w:jc w:val="center"/>
              <w:rPr>
                <w:rFonts w:hint="eastAsia" w:ascii="宋体" w:hAnsi="宋体" w:eastAsia="宋体" w:cs="宋体"/>
                <w:color w:val="auto"/>
                <w:sz w:val="22"/>
                <w:szCs w:val="22"/>
                <w:highlight w:val="none"/>
              </w:rPr>
            </w:pPr>
          </w:p>
        </w:tc>
        <w:tc>
          <w:tcPr>
            <w:tcW w:w="1588"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559" w:type="dxa"/>
            <w:noWrap w:val="0"/>
            <w:vAlign w:val="center"/>
          </w:tcPr>
          <w:p>
            <w:pPr>
              <w:jc w:val="center"/>
              <w:rPr>
                <w:rFonts w:hint="eastAsia" w:ascii="宋体" w:hAnsi="宋体" w:eastAsia="宋体" w:cs="宋体"/>
                <w:color w:val="auto"/>
                <w:sz w:val="22"/>
                <w:szCs w:val="22"/>
                <w:highlight w:val="none"/>
              </w:rPr>
            </w:pPr>
          </w:p>
        </w:tc>
        <w:tc>
          <w:tcPr>
            <w:tcW w:w="2184" w:type="dxa"/>
            <w:noWrap w:val="0"/>
            <w:vAlign w:val="center"/>
          </w:tcPr>
          <w:p>
            <w:pPr>
              <w:jc w:val="center"/>
              <w:rPr>
                <w:rFonts w:hint="eastAsia" w:ascii="宋体" w:hAnsi="宋体" w:eastAsia="宋体" w:cs="宋体"/>
                <w:color w:val="auto"/>
                <w:sz w:val="22"/>
                <w:szCs w:val="22"/>
                <w:highlight w:val="none"/>
              </w:rPr>
            </w:pPr>
          </w:p>
        </w:tc>
        <w:tc>
          <w:tcPr>
            <w:tcW w:w="2402" w:type="dxa"/>
            <w:noWrap w:val="0"/>
            <w:vAlign w:val="center"/>
          </w:tcPr>
          <w:p>
            <w:pPr>
              <w:jc w:val="center"/>
              <w:rPr>
                <w:rFonts w:hint="eastAsia" w:ascii="宋体" w:hAnsi="宋体" w:eastAsia="宋体" w:cs="宋体"/>
                <w:color w:val="auto"/>
                <w:sz w:val="22"/>
                <w:szCs w:val="22"/>
                <w:highlight w:val="none"/>
              </w:rPr>
            </w:pPr>
          </w:p>
        </w:tc>
        <w:tc>
          <w:tcPr>
            <w:tcW w:w="1200" w:type="dxa"/>
            <w:noWrap w:val="0"/>
            <w:vAlign w:val="center"/>
          </w:tcPr>
          <w:p>
            <w:pPr>
              <w:jc w:val="center"/>
              <w:rPr>
                <w:rFonts w:hint="eastAsia" w:ascii="宋体" w:hAnsi="宋体" w:eastAsia="宋体" w:cs="宋体"/>
                <w:color w:val="auto"/>
                <w:sz w:val="22"/>
                <w:szCs w:val="22"/>
                <w:highlight w:val="none"/>
              </w:rPr>
            </w:pPr>
          </w:p>
        </w:tc>
        <w:tc>
          <w:tcPr>
            <w:tcW w:w="1588"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559" w:type="dxa"/>
            <w:noWrap w:val="0"/>
            <w:vAlign w:val="center"/>
          </w:tcPr>
          <w:p>
            <w:pPr>
              <w:jc w:val="center"/>
              <w:rPr>
                <w:rFonts w:hint="eastAsia" w:ascii="宋体" w:hAnsi="宋体" w:eastAsia="宋体" w:cs="宋体"/>
                <w:color w:val="auto"/>
                <w:sz w:val="22"/>
                <w:szCs w:val="22"/>
                <w:highlight w:val="none"/>
              </w:rPr>
            </w:pPr>
          </w:p>
        </w:tc>
        <w:tc>
          <w:tcPr>
            <w:tcW w:w="2184" w:type="dxa"/>
            <w:noWrap w:val="0"/>
            <w:vAlign w:val="center"/>
          </w:tcPr>
          <w:p>
            <w:pPr>
              <w:jc w:val="center"/>
              <w:rPr>
                <w:rFonts w:hint="eastAsia" w:ascii="宋体" w:hAnsi="宋体" w:eastAsia="宋体" w:cs="宋体"/>
                <w:color w:val="auto"/>
                <w:sz w:val="22"/>
                <w:szCs w:val="22"/>
                <w:highlight w:val="none"/>
              </w:rPr>
            </w:pPr>
          </w:p>
        </w:tc>
        <w:tc>
          <w:tcPr>
            <w:tcW w:w="2402" w:type="dxa"/>
            <w:noWrap w:val="0"/>
            <w:vAlign w:val="center"/>
          </w:tcPr>
          <w:p>
            <w:pPr>
              <w:jc w:val="center"/>
              <w:rPr>
                <w:rFonts w:hint="eastAsia" w:ascii="宋体" w:hAnsi="宋体" w:eastAsia="宋体" w:cs="宋体"/>
                <w:color w:val="auto"/>
                <w:sz w:val="22"/>
                <w:szCs w:val="22"/>
                <w:highlight w:val="none"/>
              </w:rPr>
            </w:pPr>
          </w:p>
        </w:tc>
        <w:tc>
          <w:tcPr>
            <w:tcW w:w="1200" w:type="dxa"/>
            <w:noWrap w:val="0"/>
            <w:vAlign w:val="center"/>
          </w:tcPr>
          <w:p>
            <w:pPr>
              <w:jc w:val="center"/>
              <w:rPr>
                <w:rFonts w:hint="eastAsia" w:ascii="宋体" w:hAnsi="宋体" w:eastAsia="宋体" w:cs="宋体"/>
                <w:color w:val="auto"/>
                <w:sz w:val="22"/>
                <w:szCs w:val="22"/>
                <w:highlight w:val="none"/>
              </w:rPr>
            </w:pPr>
          </w:p>
        </w:tc>
        <w:tc>
          <w:tcPr>
            <w:tcW w:w="1588" w:type="dxa"/>
            <w:noWrap w:val="0"/>
            <w:vAlign w:val="center"/>
          </w:tcPr>
          <w:p>
            <w:pPr>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559"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2184" w:type="dxa"/>
            <w:noWrap w:val="0"/>
            <w:vAlign w:val="center"/>
          </w:tcPr>
          <w:p>
            <w:pPr>
              <w:jc w:val="center"/>
              <w:rPr>
                <w:rFonts w:hint="eastAsia" w:ascii="宋体" w:hAnsi="宋体" w:eastAsia="宋体" w:cs="宋体"/>
                <w:color w:val="auto"/>
                <w:sz w:val="22"/>
                <w:szCs w:val="22"/>
                <w:highlight w:val="none"/>
              </w:rPr>
            </w:pPr>
          </w:p>
        </w:tc>
        <w:tc>
          <w:tcPr>
            <w:tcW w:w="2402" w:type="dxa"/>
            <w:noWrap w:val="0"/>
            <w:vAlign w:val="center"/>
          </w:tcPr>
          <w:p>
            <w:pPr>
              <w:jc w:val="center"/>
              <w:rPr>
                <w:rFonts w:hint="eastAsia" w:ascii="宋体" w:hAnsi="宋体" w:eastAsia="宋体" w:cs="宋体"/>
                <w:color w:val="auto"/>
                <w:sz w:val="22"/>
                <w:szCs w:val="22"/>
                <w:highlight w:val="none"/>
              </w:rPr>
            </w:pPr>
          </w:p>
        </w:tc>
        <w:tc>
          <w:tcPr>
            <w:tcW w:w="1200" w:type="dxa"/>
            <w:noWrap w:val="0"/>
            <w:vAlign w:val="center"/>
          </w:tcPr>
          <w:p>
            <w:pPr>
              <w:jc w:val="center"/>
              <w:rPr>
                <w:rFonts w:hint="eastAsia" w:ascii="宋体" w:hAnsi="宋体" w:eastAsia="宋体" w:cs="宋体"/>
                <w:color w:val="auto"/>
                <w:sz w:val="22"/>
                <w:szCs w:val="22"/>
                <w:highlight w:val="none"/>
              </w:rPr>
            </w:pPr>
          </w:p>
        </w:tc>
        <w:tc>
          <w:tcPr>
            <w:tcW w:w="1588" w:type="dxa"/>
            <w:noWrap w:val="0"/>
            <w:vAlign w:val="center"/>
          </w:tcPr>
          <w:p>
            <w:pPr>
              <w:jc w:val="center"/>
              <w:rPr>
                <w:rFonts w:hint="eastAsia" w:ascii="宋体" w:hAnsi="宋体" w:eastAsia="宋体" w:cs="宋体"/>
                <w:color w:val="auto"/>
                <w:sz w:val="22"/>
                <w:szCs w:val="22"/>
                <w:highlight w:val="none"/>
              </w:rPr>
            </w:pPr>
          </w:p>
        </w:tc>
      </w:tr>
    </w:tbl>
    <w:p>
      <w:pPr>
        <w:spacing w:line="500" w:lineRule="exact"/>
        <w:ind w:firstLine="4800" w:firstLineChars="2000"/>
        <w:rPr>
          <w:rFonts w:hint="eastAsia" w:ascii="宋体" w:hAnsi="宋体" w:eastAsia="宋体" w:cs="宋体"/>
          <w:color w:val="auto"/>
          <w:sz w:val="24"/>
          <w:highlight w:val="none"/>
        </w:rPr>
      </w:pPr>
    </w:p>
    <w:p>
      <w:pPr>
        <w:spacing w:line="400" w:lineRule="exact"/>
        <w:ind w:left="218" w:leftChars="1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r>
        <w:rPr>
          <w:rFonts w:hint="eastAsia" w:ascii="宋体" w:hAnsi="宋体" w:eastAsia="宋体" w:cs="宋体"/>
          <w:color w:val="auto"/>
          <w:sz w:val="22"/>
          <w:szCs w:val="22"/>
          <w:highlight w:val="none"/>
        </w:rPr>
        <w:t>不填写此表视作完全响应采购文件要求</w:t>
      </w:r>
    </w:p>
    <w:p>
      <w:pPr>
        <w:spacing w:line="420" w:lineRule="exact"/>
        <w:ind w:firstLine="442" w:firstLineChars="200"/>
        <w:rPr>
          <w:rFonts w:hint="eastAsia" w:ascii="宋体" w:hAnsi="宋体" w:eastAsia="宋体" w:cs="宋体"/>
          <w:color w:val="auto"/>
          <w:sz w:val="22"/>
          <w:highlight w:val="none"/>
        </w:rPr>
      </w:pPr>
      <w:r>
        <w:rPr>
          <w:rFonts w:hint="eastAsia" w:ascii="宋体" w:hAnsi="宋体" w:eastAsia="宋体" w:cs="宋体"/>
          <w:b/>
          <w:color w:val="auto"/>
          <w:sz w:val="22"/>
          <w:szCs w:val="22"/>
          <w:highlight w:val="none"/>
          <w:u w:val="single"/>
        </w:rPr>
        <w:t>▲不提供</w:t>
      </w:r>
      <w:r>
        <w:rPr>
          <w:rFonts w:hint="eastAsia" w:ascii="宋体" w:hAnsi="宋体" w:eastAsia="宋体" w:cs="宋体"/>
          <w:b/>
          <w:color w:val="auto"/>
          <w:sz w:val="22"/>
          <w:szCs w:val="22"/>
          <w:highlight w:val="none"/>
          <w:u w:val="single"/>
          <w:lang w:val="en-US" w:eastAsia="zh-CN"/>
        </w:rPr>
        <w:t>偏离表</w:t>
      </w:r>
      <w:r>
        <w:rPr>
          <w:rFonts w:hint="eastAsia" w:ascii="宋体" w:hAnsi="宋体" w:eastAsia="宋体" w:cs="宋体"/>
          <w:b/>
          <w:color w:val="auto"/>
          <w:sz w:val="22"/>
          <w:szCs w:val="22"/>
          <w:highlight w:val="none"/>
          <w:u w:val="single"/>
        </w:rPr>
        <w:t>的投标文件将被视为未实质性响应采购文件。</w:t>
      </w:r>
    </w:p>
    <w:p>
      <w:pPr>
        <w:spacing w:line="500" w:lineRule="exact"/>
        <w:rPr>
          <w:rFonts w:hint="eastAsia" w:ascii="宋体" w:hAnsi="宋体" w:eastAsia="宋体" w:cs="宋体"/>
          <w:color w:val="auto"/>
          <w:sz w:val="22"/>
          <w:szCs w:val="22"/>
          <w:highlight w:val="none"/>
        </w:rPr>
      </w:pPr>
    </w:p>
    <w:p>
      <w:pPr>
        <w:spacing w:line="500" w:lineRule="exact"/>
        <w:ind w:firstLine="4400" w:firstLineChars="2000"/>
        <w:rPr>
          <w:rFonts w:hint="eastAsia" w:ascii="宋体" w:hAnsi="宋体" w:eastAsia="宋体" w:cs="宋体"/>
          <w:color w:val="auto"/>
          <w:sz w:val="22"/>
          <w:szCs w:val="22"/>
          <w:highlight w:val="none"/>
        </w:rPr>
      </w:pPr>
    </w:p>
    <w:p>
      <w:pPr>
        <w:spacing w:line="500" w:lineRule="exact"/>
        <w:ind w:firstLine="4400" w:firstLineChars="2000"/>
        <w:rPr>
          <w:rFonts w:hint="eastAsia" w:ascii="宋体" w:hAnsi="宋体" w:eastAsia="宋体" w:cs="宋体"/>
          <w:color w:val="auto"/>
          <w:sz w:val="22"/>
          <w:szCs w:val="22"/>
          <w:highlight w:val="none"/>
        </w:rPr>
      </w:pPr>
    </w:p>
    <w:p>
      <w:pPr>
        <w:spacing w:line="500" w:lineRule="exact"/>
        <w:ind w:firstLine="4400" w:firstLineChars="2000"/>
        <w:rPr>
          <w:rFonts w:hint="eastAsia" w:ascii="宋体" w:hAnsi="宋体" w:eastAsia="宋体" w:cs="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spacing w:line="460" w:lineRule="exact"/>
        <w:rPr>
          <w:rFonts w:hint="eastAsia" w:ascii="宋体" w:hAnsi="宋体" w:eastAsia="宋体" w:cs="宋体"/>
          <w:color w:val="auto"/>
          <w:sz w:val="22"/>
          <w:szCs w:val="22"/>
          <w:highlight w:val="none"/>
        </w:rPr>
      </w:pPr>
    </w:p>
    <w:p>
      <w:pPr>
        <w:tabs>
          <w:tab w:val="left" w:pos="840"/>
          <w:tab w:val="left" w:pos="5400"/>
        </w:tabs>
        <w:adjustRightInd w:val="0"/>
        <w:snapToGrid w:val="0"/>
        <w:spacing w:line="400" w:lineRule="exact"/>
        <w:ind w:left="420" w:leftChars="200" w:firstLine="4638" w:firstLineChars="2100"/>
        <w:rPr>
          <w:rFonts w:hint="eastAsia" w:ascii="宋体" w:hAnsi="宋体" w:eastAsia="宋体" w:cs="宋体"/>
          <w:b/>
          <w:bCs/>
          <w:color w:val="auto"/>
          <w:sz w:val="22"/>
          <w:szCs w:val="22"/>
          <w:highlight w:val="none"/>
        </w:rPr>
      </w:pPr>
    </w:p>
    <w:p>
      <w:pPr>
        <w:tabs>
          <w:tab w:val="left" w:pos="840"/>
        </w:tabs>
        <w:adjustRightInd w:val="0"/>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sz w:val="22"/>
          <w:szCs w:val="22"/>
          <w:highlight w:val="none"/>
        </w:rPr>
        <w:t>附件四</w:t>
      </w:r>
    </w:p>
    <w:p>
      <w:pPr>
        <w:spacing w:line="460" w:lineRule="exact"/>
        <w:jc w:val="center"/>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投标人 2019 年</w:t>
      </w:r>
      <w:r>
        <w:rPr>
          <w:rFonts w:hint="eastAsia" w:ascii="宋体" w:hAnsi="宋体" w:eastAsia="宋体" w:cs="宋体"/>
          <w:b/>
          <w:color w:val="auto"/>
          <w:kern w:val="1"/>
          <w:sz w:val="28"/>
          <w:szCs w:val="28"/>
          <w:highlight w:val="none"/>
          <w:lang w:val="en-US" w:eastAsia="zh-CN"/>
        </w:rPr>
        <w:t>1</w:t>
      </w:r>
      <w:r>
        <w:rPr>
          <w:rFonts w:hint="eastAsia" w:ascii="宋体" w:hAnsi="宋体" w:eastAsia="宋体" w:cs="宋体"/>
          <w:b/>
          <w:color w:val="auto"/>
          <w:kern w:val="1"/>
          <w:sz w:val="28"/>
          <w:szCs w:val="28"/>
          <w:highlight w:val="none"/>
        </w:rPr>
        <w:t xml:space="preserve"> 月 1 日至今投标品牌车型的销售业绩情况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noWrap w:val="0"/>
            <w:vAlign w:val="center"/>
          </w:tcPr>
          <w:p>
            <w:pPr>
              <w:spacing w:line="4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序号</w:t>
            </w:r>
          </w:p>
        </w:tc>
        <w:tc>
          <w:tcPr>
            <w:tcW w:w="2192" w:type="dxa"/>
            <w:shd w:val="clear" w:color="auto" w:fill="D9D9D9"/>
            <w:noWrap w:val="0"/>
            <w:vAlign w:val="center"/>
          </w:tcPr>
          <w:p>
            <w:pPr>
              <w:spacing w:line="4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用户名称</w:t>
            </w:r>
          </w:p>
        </w:tc>
        <w:tc>
          <w:tcPr>
            <w:tcW w:w="1636" w:type="dxa"/>
            <w:shd w:val="clear" w:color="auto" w:fill="D9D9D9"/>
            <w:noWrap w:val="0"/>
            <w:vAlign w:val="center"/>
          </w:tcPr>
          <w:p>
            <w:pPr>
              <w:spacing w:line="4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项目名称</w:t>
            </w:r>
          </w:p>
        </w:tc>
        <w:tc>
          <w:tcPr>
            <w:tcW w:w="1260" w:type="dxa"/>
            <w:shd w:val="clear" w:color="auto" w:fill="D9D9D9"/>
            <w:noWrap w:val="0"/>
            <w:vAlign w:val="center"/>
          </w:tcPr>
          <w:p>
            <w:pPr>
              <w:spacing w:line="4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合同金额</w:t>
            </w:r>
          </w:p>
        </w:tc>
        <w:tc>
          <w:tcPr>
            <w:tcW w:w="1345" w:type="dxa"/>
            <w:shd w:val="clear" w:color="auto" w:fill="D9D9D9"/>
            <w:noWrap w:val="0"/>
            <w:vAlign w:val="center"/>
          </w:tcPr>
          <w:p>
            <w:pPr>
              <w:spacing w:line="4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合同时间</w:t>
            </w:r>
          </w:p>
        </w:tc>
        <w:tc>
          <w:tcPr>
            <w:tcW w:w="2435" w:type="dxa"/>
            <w:shd w:val="clear" w:color="auto" w:fill="D9D9D9"/>
            <w:noWrap w:val="0"/>
            <w:vAlign w:val="center"/>
          </w:tcPr>
          <w:p>
            <w:pPr>
              <w:spacing w:line="4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eastAsia="宋体" w:cs="宋体"/>
                <w:b/>
                <w:bCs/>
                <w:color w:val="auto"/>
                <w:sz w:val="22"/>
                <w:highlight w:val="none"/>
              </w:rPr>
            </w:pPr>
          </w:p>
        </w:tc>
        <w:tc>
          <w:tcPr>
            <w:tcW w:w="2192" w:type="dxa"/>
            <w:noWrap w:val="0"/>
            <w:vAlign w:val="center"/>
          </w:tcPr>
          <w:p>
            <w:pPr>
              <w:spacing w:line="460" w:lineRule="exact"/>
              <w:jc w:val="center"/>
              <w:rPr>
                <w:rFonts w:hint="eastAsia" w:ascii="宋体" w:hAnsi="宋体" w:eastAsia="宋体" w:cs="宋体"/>
                <w:b/>
                <w:bCs/>
                <w:color w:val="auto"/>
                <w:sz w:val="22"/>
                <w:highlight w:val="none"/>
              </w:rPr>
            </w:pPr>
          </w:p>
        </w:tc>
        <w:tc>
          <w:tcPr>
            <w:tcW w:w="1636" w:type="dxa"/>
            <w:noWrap w:val="0"/>
            <w:vAlign w:val="center"/>
          </w:tcPr>
          <w:p>
            <w:pPr>
              <w:spacing w:line="460" w:lineRule="exact"/>
              <w:jc w:val="center"/>
              <w:rPr>
                <w:rFonts w:hint="eastAsia" w:ascii="宋体" w:hAnsi="宋体" w:eastAsia="宋体" w:cs="宋体"/>
                <w:b/>
                <w:bCs/>
                <w:color w:val="auto"/>
                <w:sz w:val="22"/>
                <w:highlight w:val="none"/>
              </w:rPr>
            </w:pPr>
          </w:p>
        </w:tc>
        <w:tc>
          <w:tcPr>
            <w:tcW w:w="1260" w:type="dxa"/>
            <w:noWrap w:val="0"/>
            <w:vAlign w:val="center"/>
          </w:tcPr>
          <w:p>
            <w:pPr>
              <w:spacing w:line="460" w:lineRule="exact"/>
              <w:jc w:val="center"/>
              <w:rPr>
                <w:rFonts w:hint="eastAsia" w:ascii="宋体" w:hAnsi="宋体" w:eastAsia="宋体" w:cs="宋体"/>
                <w:b/>
                <w:bCs/>
                <w:color w:val="auto"/>
                <w:sz w:val="22"/>
                <w:highlight w:val="none"/>
              </w:rPr>
            </w:pPr>
          </w:p>
        </w:tc>
        <w:tc>
          <w:tcPr>
            <w:tcW w:w="1345" w:type="dxa"/>
            <w:noWrap w:val="0"/>
            <w:vAlign w:val="center"/>
          </w:tcPr>
          <w:p>
            <w:pPr>
              <w:spacing w:line="460" w:lineRule="exact"/>
              <w:jc w:val="center"/>
              <w:rPr>
                <w:rFonts w:hint="eastAsia" w:ascii="宋体" w:hAnsi="宋体" w:eastAsia="宋体" w:cs="宋体"/>
                <w:b/>
                <w:bCs/>
                <w:color w:val="auto"/>
                <w:sz w:val="22"/>
                <w:highlight w:val="none"/>
              </w:rPr>
            </w:pPr>
          </w:p>
        </w:tc>
        <w:tc>
          <w:tcPr>
            <w:tcW w:w="2435" w:type="dxa"/>
            <w:noWrap w:val="0"/>
            <w:vAlign w:val="center"/>
          </w:tcPr>
          <w:p>
            <w:pPr>
              <w:spacing w:line="460" w:lineRule="exact"/>
              <w:jc w:val="center"/>
              <w:rPr>
                <w:rFonts w:hint="eastAsia" w:ascii="宋体" w:hAnsi="宋体" w:eastAsia="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eastAsia="宋体" w:cs="宋体"/>
                <w:b/>
                <w:bCs/>
                <w:color w:val="auto"/>
                <w:sz w:val="22"/>
                <w:highlight w:val="none"/>
              </w:rPr>
            </w:pPr>
          </w:p>
        </w:tc>
        <w:tc>
          <w:tcPr>
            <w:tcW w:w="2192" w:type="dxa"/>
            <w:noWrap w:val="0"/>
            <w:vAlign w:val="center"/>
          </w:tcPr>
          <w:p>
            <w:pPr>
              <w:spacing w:line="460" w:lineRule="exact"/>
              <w:jc w:val="center"/>
              <w:rPr>
                <w:rFonts w:hint="eastAsia" w:ascii="宋体" w:hAnsi="宋体" w:eastAsia="宋体" w:cs="宋体"/>
                <w:b/>
                <w:bCs/>
                <w:color w:val="auto"/>
                <w:sz w:val="22"/>
                <w:highlight w:val="none"/>
              </w:rPr>
            </w:pPr>
          </w:p>
        </w:tc>
        <w:tc>
          <w:tcPr>
            <w:tcW w:w="1636" w:type="dxa"/>
            <w:noWrap w:val="0"/>
            <w:vAlign w:val="center"/>
          </w:tcPr>
          <w:p>
            <w:pPr>
              <w:spacing w:line="460" w:lineRule="exact"/>
              <w:jc w:val="center"/>
              <w:rPr>
                <w:rFonts w:hint="eastAsia" w:ascii="宋体" w:hAnsi="宋体" w:eastAsia="宋体" w:cs="宋体"/>
                <w:b/>
                <w:bCs/>
                <w:color w:val="auto"/>
                <w:sz w:val="22"/>
                <w:highlight w:val="none"/>
              </w:rPr>
            </w:pPr>
          </w:p>
        </w:tc>
        <w:tc>
          <w:tcPr>
            <w:tcW w:w="1260" w:type="dxa"/>
            <w:noWrap w:val="0"/>
            <w:vAlign w:val="center"/>
          </w:tcPr>
          <w:p>
            <w:pPr>
              <w:spacing w:line="460" w:lineRule="exact"/>
              <w:jc w:val="center"/>
              <w:rPr>
                <w:rFonts w:hint="eastAsia" w:ascii="宋体" w:hAnsi="宋体" w:eastAsia="宋体" w:cs="宋体"/>
                <w:b/>
                <w:bCs/>
                <w:color w:val="auto"/>
                <w:sz w:val="22"/>
                <w:highlight w:val="none"/>
              </w:rPr>
            </w:pPr>
          </w:p>
        </w:tc>
        <w:tc>
          <w:tcPr>
            <w:tcW w:w="1345" w:type="dxa"/>
            <w:noWrap w:val="0"/>
            <w:vAlign w:val="center"/>
          </w:tcPr>
          <w:p>
            <w:pPr>
              <w:spacing w:line="460" w:lineRule="exact"/>
              <w:jc w:val="center"/>
              <w:rPr>
                <w:rFonts w:hint="eastAsia" w:ascii="宋体" w:hAnsi="宋体" w:eastAsia="宋体" w:cs="宋体"/>
                <w:b/>
                <w:bCs/>
                <w:color w:val="auto"/>
                <w:sz w:val="22"/>
                <w:highlight w:val="none"/>
              </w:rPr>
            </w:pPr>
          </w:p>
        </w:tc>
        <w:tc>
          <w:tcPr>
            <w:tcW w:w="2435" w:type="dxa"/>
            <w:noWrap w:val="0"/>
            <w:vAlign w:val="center"/>
          </w:tcPr>
          <w:p>
            <w:pPr>
              <w:spacing w:line="460" w:lineRule="exact"/>
              <w:jc w:val="center"/>
              <w:rPr>
                <w:rFonts w:hint="eastAsia" w:ascii="宋体" w:hAnsi="宋体" w:eastAsia="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eastAsia="宋体" w:cs="宋体"/>
                <w:b/>
                <w:bCs/>
                <w:color w:val="auto"/>
                <w:sz w:val="22"/>
                <w:highlight w:val="none"/>
              </w:rPr>
            </w:pPr>
          </w:p>
        </w:tc>
        <w:tc>
          <w:tcPr>
            <w:tcW w:w="2192" w:type="dxa"/>
            <w:noWrap w:val="0"/>
            <w:vAlign w:val="center"/>
          </w:tcPr>
          <w:p>
            <w:pPr>
              <w:spacing w:line="460" w:lineRule="exact"/>
              <w:jc w:val="center"/>
              <w:rPr>
                <w:rFonts w:hint="eastAsia" w:ascii="宋体" w:hAnsi="宋体" w:eastAsia="宋体" w:cs="宋体"/>
                <w:b/>
                <w:bCs/>
                <w:color w:val="auto"/>
                <w:sz w:val="22"/>
                <w:highlight w:val="none"/>
              </w:rPr>
            </w:pPr>
          </w:p>
        </w:tc>
        <w:tc>
          <w:tcPr>
            <w:tcW w:w="1636" w:type="dxa"/>
            <w:noWrap w:val="0"/>
            <w:vAlign w:val="center"/>
          </w:tcPr>
          <w:p>
            <w:pPr>
              <w:spacing w:line="460" w:lineRule="exact"/>
              <w:jc w:val="center"/>
              <w:rPr>
                <w:rFonts w:hint="eastAsia" w:ascii="宋体" w:hAnsi="宋体" w:eastAsia="宋体" w:cs="宋体"/>
                <w:b/>
                <w:bCs/>
                <w:color w:val="auto"/>
                <w:sz w:val="22"/>
                <w:highlight w:val="none"/>
              </w:rPr>
            </w:pPr>
          </w:p>
        </w:tc>
        <w:tc>
          <w:tcPr>
            <w:tcW w:w="1260" w:type="dxa"/>
            <w:noWrap w:val="0"/>
            <w:vAlign w:val="center"/>
          </w:tcPr>
          <w:p>
            <w:pPr>
              <w:spacing w:line="460" w:lineRule="exact"/>
              <w:jc w:val="center"/>
              <w:rPr>
                <w:rFonts w:hint="eastAsia" w:ascii="宋体" w:hAnsi="宋体" w:eastAsia="宋体" w:cs="宋体"/>
                <w:b/>
                <w:bCs/>
                <w:color w:val="auto"/>
                <w:sz w:val="22"/>
                <w:highlight w:val="none"/>
              </w:rPr>
            </w:pPr>
          </w:p>
        </w:tc>
        <w:tc>
          <w:tcPr>
            <w:tcW w:w="1345" w:type="dxa"/>
            <w:noWrap w:val="0"/>
            <w:vAlign w:val="center"/>
          </w:tcPr>
          <w:p>
            <w:pPr>
              <w:spacing w:line="460" w:lineRule="exact"/>
              <w:jc w:val="center"/>
              <w:rPr>
                <w:rFonts w:hint="eastAsia" w:ascii="宋体" w:hAnsi="宋体" w:eastAsia="宋体" w:cs="宋体"/>
                <w:b/>
                <w:bCs/>
                <w:color w:val="auto"/>
                <w:sz w:val="22"/>
                <w:highlight w:val="none"/>
              </w:rPr>
            </w:pPr>
          </w:p>
        </w:tc>
        <w:tc>
          <w:tcPr>
            <w:tcW w:w="2435" w:type="dxa"/>
            <w:noWrap w:val="0"/>
            <w:vAlign w:val="center"/>
          </w:tcPr>
          <w:p>
            <w:pPr>
              <w:spacing w:line="460" w:lineRule="exact"/>
              <w:jc w:val="center"/>
              <w:rPr>
                <w:rFonts w:hint="eastAsia" w:ascii="宋体" w:hAnsi="宋体" w:eastAsia="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eastAsia="宋体" w:cs="宋体"/>
                <w:b/>
                <w:bCs/>
                <w:color w:val="auto"/>
                <w:sz w:val="22"/>
                <w:highlight w:val="none"/>
              </w:rPr>
            </w:pPr>
          </w:p>
        </w:tc>
        <w:tc>
          <w:tcPr>
            <w:tcW w:w="2192" w:type="dxa"/>
            <w:noWrap w:val="0"/>
            <w:vAlign w:val="center"/>
          </w:tcPr>
          <w:p>
            <w:pPr>
              <w:spacing w:line="460" w:lineRule="exact"/>
              <w:jc w:val="center"/>
              <w:rPr>
                <w:rFonts w:hint="eastAsia" w:ascii="宋体" w:hAnsi="宋体" w:eastAsia="宋体" w:cs="宋体"/>
                <w:b/>
                <w:bCs/>
                <w:color w:val="auto"/>
                <w:sz w:val="22"/>
                <w:highlight w:val="none"/>
              </w:rPr>
            </w:pPr>
          </w:p>
        </w:tc>
        <w:tc>
          <w:tcPr>
            <w:tcW w:w="1636" w:type="dxa"/>
            <w:noWrap w:val="0"/>
            <w:vAlign w:val="center"/>
          </w:tcPr>
          <w:p>
            <w:pPr>
              <w:spacing w:line="460" w:lineRule="exact"/>
              <w:jc w:val="center"/>
              <w:rPr>
                <w:rFonts w:hint="eastAsia" w:ascii="宋体" w:hAnsi="宋体" w:eastAsia="宋体" w:cs="宋体"/>
                <w:b/>
                <w:bCs/>
                <w:color w:val="auto"/>
                <w:sz w:val="22"/>
                <w:highlight w:val="none"/>
              </w:rPr>
            </w:pPr>
          </w:p>
        </w:tc>
        <w:tc>
          <w:tcPr>
            <w:tcW w:w="1260" w:type="dxa"/>
            <w:noWrap w:val="0"/>
            <w:vAlign w:val="center"/>
          </w:tcPr>
          <w:p>
            <w:pPr>
              <w:spacing w:line="460" w:lineRule="exact"/>
              <w:jc w:val="center"/>
              <w:rPr>
                <w:rFonts w:hint="eastAsia" w:ascii="宋体" w:hAnsi="宋体" w:eastAsia="宋体" w:cs="宋体"/>
                <w:b/>
                <w:bCs/>
                <w:color w:val="auto"/>
                <w:sz w:val="22"/>
                <w:highlight w:val="none"/>
              </w:rPr>
            </w:pPr>
          </w:p>
        </w:tc>
        <w:tc>
          <w:tcPr>
            <w:tcW w:w="1345" w:type="dxa"/>
            <w:noWrap w:val="0"/>
            <w:vAlign w:val="center"/>
          </w:tcPr>
          <w:p>
            <w:pPr>
              <w:spacing w:line="460" w:lineRule="exact"/>
              <w:jc w:val="center"/>
              <w:rPr>
                <w:rFonts w:hint="eastAsia" w:ascii="宋体" w:hAnsi="宋体" w:eastAsia="宋体" w:cs="宋体"/>
                <w:b/>
                <w:bCs/>
                <w:color w:val="auto"/>
                <w:sz w:val="22"/>
                <w:highlight w:val="none"/>
              </w:rPr>
            </w:pPr>
          </w:p>
        </w:tc>
        <w:tc>
          <w:tcPr>
            <w:tcW w:w="2435" w:type="dxa"/>
            <w:noWrap w:val="0"/>
            <w:vAlign w:val="center"/>
          </w:tcPr>
          <w:p>
            <w:pPr>
              <w:spacing w:line="460" w:lineRule="exact"/>
              <w:jc w:val="center"/>
              <w:rPr>
                <w:rFonts w:hint="eastAsia" w:ascii="宋体" w:hAnsi="宋体" w:eastAsia="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eastAsia="宋体" w:cs="宋体"/>
                <w:b/>
                <w:bCs/>
                <w:color w:val="auto"/>
                <w:sz w:val="22"/>
                <w:highlight w:val="none"/>
              </w:rPr>
            </w:pPr>
          </w:p>
        </w:tc>
        <w:tc>
          <w:tcPr>
            <w:tcW w:w="2192" w:type="dxa"/>
            <w:noWrap w:val="0"/>
            <w:vAlign w:val="center"/>
          </w:tcPr>
          <w:p>
            <w:pPr>
              <w:spacing w:line="460" w:lineRule="exact"/>
              <w:jc w:val="center"/>
              <w:rPr>
                <w:rFonts w:hint="eastAsia" w:ascii="宋体" w:hAnsi="宋体" w:eastAsia="宋体" w:cs="宋体"/>
                <w:b/>
                <w:bCs/>
                <w:color w:val="auto"/>
                <w:sz w:val="22"/>
                <w:highlight w:val="none"/>
              </w:rPr>
            </w:pPr>
          </w:p>
        </w:tc>
        <w:tc>
          <w:tcPr>
            <w:tcW w:w="1636" w:type="dxa"/>
            <w:noWrap w:val="0"/>
            <w:vAlign w:val="center"/>
          </w:tcPr>
          <w:p>
            <w:pPr>
              <w:spacing w:line="460" w:lineRule="exact"/>
              <w:jc w:val="center"/>
              <w:rPr>
                <w:rFonts w:hint="eastAsia" w:ascii="宋体" w:hAnsi="宋体" w:eastAsia="宋体" w:cs="宋体"/>
                <w:b/>
                <w:bCs/>
                <w:color w:val="auto"/>
                <w:sz w:val="22"/>
                <w:highlight w:val="none"/>
              </w:rPr>
            </w:pPr>
          </w:p>
        </w:tc>
        <w:tc>
          <w:tcPr>
            <w:tcW w:w="1260" w:type="dxa"/>
            <w:noWrap w:val="0"/>
            <w:vAlign w:val="center"/>
          </w:tcPr>
          <w:p>
            <w:pPr>
              <w:spacing w:line="460" w:lineRule="exact"/>
              <w:jc w:val="center"/>
              <w:rPr>
                <w:rFonts w:hint="eastAsia" w:ascii="宋体" w:hAnsi="宋体" w:eastAsia="宋体" w:cs="宋体"/>
                <w:b/>
                <w:bCs/>
                <w:color w:val="auto"/>
                <w:sz w:val="22"/>
                <w:highlight w:val="none"/>
              </w:rPr>
            </w:pPr>
          </w:p>
        </w:tc>
        <w:tc>
          <w:tcPr>
            <w:tcW w:w="1345" w:type="dxa"/>
            <w:noWrap w:val="0"/>
            <w:vAlign w:val="center"/>
          </w:tcPr>
          <w:p>
            <w:pPr>
              <w:spacing w:line="460" w:lineRule="exact"/>
              <w:jc w:val="center"/>
              <w:rPr>
                <w:rFonts w:hint="eastAsia" w:ascii="宋体" w:hAnsi="宋体" w:eastAsia="宋体" w:cs="宋体"/>
                <w:b/>
                <w:bCs/>
                <w:color w:val="auto"/>
                <w:sz w:val="22"/>
                <w:highlight w:val="none"/>
              </w:rPr>
            </w:pPr>
          </w:p>
        </w:tc>
        <w:tc>
          <w:tcPr>
            <w:tcW w:w="2435" w:type="dxa"/>
            <w:noWrap w:val="0"/>
            <w:vAlign w:val="center"/>
          </w:tcPr>
          <w:p>
            <w:pPr>
              <w:spacing w:line="460" w:lineRule="exact"/>
              <w:jc w:val="center"/>
              <w:rPr>
                <w:rFonts w:hint="eastAsia" w:ascii="宋体" w:hAnsi="宋体" w:eastAsia="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eastAsia="宋体" w:cs="宋体"/>
                <w:b/>
                <w:bCs/>
                <w:color w:val="auto"/>
                <w:sz w:val="22"/>
                <w:highlight w:val="none"/>
              </w:rPr>
            </w:pPr>
          </w:p>
        </w:tc>
        <w:tc>
          <w:tcPr>
            <w:tcW w:w="2192" w:type="dxa"/>
            <w:noWrap w:val="0"/>
            <w:vAlign w:val="center"/>
          </w:tcPr>
          <w:p>
            <w:pPr>
              <w:spacing w:line="460" w:lineRule="exact"/>
              <w:jc w:val="center"/>
              <w:rPr>
                <w:rFonts w:hint="eastAsia" w:ascii="宋体" w:hAnsi="宋体" w:eastAsia="宋体" w:cs="宋体"/>
                <w:b/>
                <w:bCs/>
                <w:color w:val="auto"/>
                <w:sz w:val="22"/>
                <w:highlight w:val="none"/>
              </w:rPr>
            </w:pPr>
          </w:p>
        </w:tc>
        <w:tc>
          <w:tcPr>
            <w:tcW w:w="1636" w:type="dxa"/>
            <w:noWrap w:val="0"/>
            <w:vAlign w:val="center"/>
          </w:tcPr>
          <w:p>
            <w:pPr>
              <w:spacing w:line="460" w:lineRule="exact"/>
              <w:jc w:val="center"/>
              <w:rPr>
                <w:rFonts w:hint="eastAsia" w:ascii="宋体" w:hAnsi="宋体" w:eastAsia="宋体" w:cs="宋体"/>
                <w:b/>
                <w:bCs/>
                <w:color w:val="auto"/>
                <w:sz w:val="22"/>
                <w:highlight w:val="none"/>
              </w:rPr>
            </w:pPr>
          </w:p>
        </w:tc>
        <w:tc>
          <w:tcPr>
            <w:tcW w:w="1260" w:type="dxa"/>
            <w:noWrap w:val="0"/>
            <w:vAlign w:val="center"/>
          </w:tcPr>
          <w:p>
            <w:pPr>
              <w:spacing w:line="460" w:lineRule="exact"/>
              <w:jc w:val="center"/>
              <w:rPr>
                <w:rFonts w:hint="eastAsia" w:ascii="宋体" w:hAnsi="宋体" w:eastAsia="宋体" w:cs="宋体"/>
                <w:b/>
                <w:bCs/>
                <w:color w:val="auto"/>
                <w:sz w:val="22"/>
                <w:highlight w:val="none"/>
              </w:rPr>
            </w:pPr>
          </w:p>
        </w:tc>
        <w:tc>
          <w:tcPr>
            <w:tcW w:w="1345" w:type="dxa"/>
            <w:noWrap w:val="0"/>
            <w:vAlign w:val="center"/>
          </w:tcPr>
          <w:p>
            <w:pPr>
              <w:spacing w:line="460" w:lineRule="exact"/>
              <w:jc w:val="center"/>
              <w:rPr>
                <w:rFonts w:hint="eastAsia" w:ascii="宋体" w:hAnsi="宋体" w:eastAsia="宋体" w:cs="宋体"/>
                <w:b/>
                <w:bCs/>
                <w:color w:val="auto"/>
                <w:sz w:val="22"/>
                <w:highlight w:val="none"/>
              </w:rPr>
            </w:pPr>
          </w:p>
        </w:tc>
        <w:tc>
          <w:tcPr>
            <w:tcW w:w="2435" w:type="dxa"/>
            <w:noWrap w:val="0"/>
            <w:vAlign w:val="center"/>
          </w:tcPr>
          <w:p>
            <w:pPr>
              <w:spacing w:line="460" w:lineRule="exact"/>
              <w:jc w:val="center"/>
              <w:rPr>
                <w:rFonts w:hint="eastAsia" w:ascii="宋体" w:hAnsi="宋体" w:eastAsia="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eastAsia="宋体" w:cs="宋体"/>
                <w:b/>
                <w:bCs/>
                <w:color w:val="auto"/>
                <w:sz w:val="22"/>
                <w:highlight w:val="none"/>
              </w:rPr>
            </w:pPr>
          </w:p>
        </w:tc>
        <w:tc>
          <w:tcPr>
            <w:tcW w:w="2192" w:type="dxa"/>
            <w:noWrap w:val="0"/>
            <w:vAlign w:val="center"/>
          </w:tcPr>
          <w:p>
            <w:pPr>
              <w:spacing w:line="460" w:lineRule="exact"/>
              <w:jc w:val="center"/>
              <w:rPr>
                <w:rFonts w:hint="eastAsia" w:ascii="宋体" w:hAnsi="宋体" w:eastAsia="宋体" w:cs="宋体"/>
                <w:b/>
                <w:bCs/>
                <w:color w:val="auto"/>
                <w:sz w:val="22"/>
                <w:highlight w:val="none"/>
              </w:rPr>
            </w:pPr>
          </w:p>
        </w:tc>
        <w:tc>
          <w:tcPr>
            <w:tcW w:w="1636" w:type="dxa"/>
            <w:noWrap w:val="0"/>
            <w:vAlign w:val="center"/>
          </w:tcPr>
          <w:p>
            <w:pPr>
              <w:spacing w:line="460" w:lineRule="exact"/>
              <w:jc w:val="center"/>
              <w:rPr>
                <w:rFonts w:hint="eastAsia" w:ascii="宋体" w:hAnsi="宋体" w:eastAsia="宋体" w:cs="宋体"/>
                <w:b/>
                <w:bCs/>
                <w:color w:val="auto"/>
                <w:sz w:val="22"/>
                <w:highlight w:val="none"/>
              </w:rPr>
            </w:pPr>
          </w:p>
        </w:tc>
        <w:tc>
          <w:tcPr>
            <w:tcW w:w="1260" w:type="dxa"/>
            <w:noWrap w:val="0"/>
            <w:vAlign w:val="center"/>
          </w:tcPr>
          <w:p>
            <w:pPr>
              <w:spacing w:line="460" w:lineRule="exact"/>
              <w:jc w:val="center"/>
              <w:rPr>
                <w:rFonts w:hint="eastAsia" w:ascii="宋体" w:hAnsi="宋体" w:eastAsia="宋体" w:cs="宋体"/>
                <w:b/>
                <w:bCs/>
                <w:color w:val="auto"/>
                <w:sz w:val="22"/>
                <w:highlight w:val="none"/>
              </w:rPr>
            </w:pPr>
          </w:p>
        </w:tc>
        <w:tc>
          <w:tcPr>
            <w:tcW w:w="1345" w:type="dxa"/>
            <w:noWrap w:val="0"/>
            <w:vAlign w:val="center"/>
          </w:tcPr>
          <w:p>
            <w:pPr>
              <w:spacing w:line="460" w:lineRule="exact"/>
              <w:jc w:val="center"/>
              <w:rPr>
                <w:rFonts w:hint="eastAsia" w:ascii="宋体" w:hAnsi="宋体" w:eastAsia="宋体" w:cs="宋体"/>
                <w:b/>
                <w:bCs/>
                <w:color w:val="auto"/>
                <w:sz w:val="22"/>
                <w:highlight w:val="none"/>
              </w:rPr>
            </w:pPr>
          </w:p>
        </w:tc>
        <w:tc>
          <w:tcPr>
            <w:tcW w:w="2435" w:type="dxa"/>
            <w:noWrap w:val="0"/>
            <w:vAlign w:val="center"/>
          </w:tcPr>
          <w:p>
            <w:pPr>
              <w:spacing w:line="460" w:lineRule="exact"/>
              <w:jc w:val="center"/>
              <w:rPr>
                <w:rFonts w:hint="eastAsia" w:ascii="宋体" w:hAnsi="宋体" w:eastAsia="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eastAsia="宋体" w:cs="宋体"/>
                <w:b/>
                <w:bCs/>
                <w:color w:val="auto"/>
                <w:sz w:val="22"/>
                <w:highlight w:val="none"/>
              </w:rPr>
            </w:pPr>
          </w:p>
        </w:tc>
        <w:tc>
          <w:tcPr>
            <w:tcW w:w="2192" w:type="dxa"/>
            <w:noWrap w:val="0"/>
            <w:vAlign w:val="center"/>
          </w:tcPr>
          <w:p>
            <w:pPr>
              <w:spacing w:line="460" w:lineRule="exact"/>
              <w:jc w:val="center"/>
              <w:rPr>
                <w:rFonts w:hint="eastAsia" w:ascii="宋体" w:hAnsi="宋体" w:eastAsia="宋体" w:cs="宋体"/>
                <w:b/>
                <w:bCs/>
                <w:color w:val="auto"/>
                <w:sz w:val="22"/>
                <w:highlight w:val="none"/>
              </w:rPr>
            </w:pPr>
          </w:p>
        </w:tc>
        <w:tc>
          <w:tcPr>
            <w:tcW w:w="1636" w:type="dxa"/>
            <w:noWrap w:val="0"/>
            <w:vAlign w:val="center"/>
          </w:tcPr>
          <w:p>
            <w:pPr>
              <w:spacing w:line="460" w:lineRule="exact"/>
              <w:jc w:val="center"/>
              <w:rPr>
                <w:rFonts w:hint="eastAsia" w:ascii="宋体" w:hAnsi="宋体" w:eastAsia="宋体" w:cs="宋体"/>
                <w:b/>
                <w:bCs/>
                <w:color w:val="auto"/>
                <w:sz w:val="22"/>
                <w:highlight w:val="none"/>
              </w:rPr>
            </w:pPr>
          </w:p>
        </w:tc>
        <w:tc>
          <w:tcPr>
            <w:tcW w:w="1260" w:type="dxa"/>
            <w:noWrap w:val="0"/>
            <w:vAlign w:val="center"/>
          </w:tcPr>
          <w:p>
            <w:pPr>
              <w:spacing w:line="460" w:lineRule="exact"/>
              <w:jc w:val="center"/>
              <w:rPr>
                <w:rFonts w:hint="eastAsia" w:ascii="宋体" w:hAnsi="宋体" w:eastAsia="宋体" w:cs="宋体"/>
                <w:b/>
                <w:bCs/>
                <w:color w:val="auto"/>
                <w:sz w:val="22"/>
                <w:highlight w:val="none"/>
              </w:rPr>
            </w:pPr>
          </w:p>
        </w:tc>
        <w:tc>
          <w:tcPr>
            <w:tcW w:w="1345" w:type="dxa"/>
            <w:noWrap w:val="0"/>
            <w:vAlign w:val="center"/>
          </w:tcPr>
          <w:p>
            <w:pPr>
              <w:spacing w:line="460" w:lineRule="exact"/>
              <w:jc w:val="center"/>
              <w:rPr>
                <w:rFonts w:hint="eastAsia" w:ascii="宋体" w:hAnsi="宋体" w:eastAsia="宋体" w:cs="宋体"/>
                <w:b/>
                <w:bCs/>
                <w:color w:val="auto"/>
                <w:sz w:val="22"/>
                <w:highlight w:val="none"/>
              </w:rPr>
            </w:pPr>
          </w:p>
        </w:tc>
        <w:tc>
          <w:tcPr>
            <w:tcW w:w="2435" w:type="dxa"/>
            <w:noWrap w:val="0"/>
            <w:vAlign w:val="center"/>
          </w:tcPr>
          <w:p>
            <w:pPr>
              <w:spacing w:line="460" w:lineRule="exact"/>
              <w:jc w:val="center"/>
              <w:rPr>
                <w:rFonts w:hint="eastAsia" w:ascii="宋体" w:hAnsi="宋体" w:eastAsia="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eastAsia="宋体" w:cs="宋体"/>
                <w:b/>
                <w:bCs/>
                <w:color w:val="auto"/>
                <w:sz w:val="22"/>
                <w:highlight w:val="none"/>
              </w:rPr>
            </w:pPr>
          </w:p>
        </w:tc>
        <w:tc>
          <w:tcPr>
            <w:tcW w:w="2192" w:type="dxa"/>
            <w:noWrap w:val="0"/>
            <w:vAlign w:val="center"/>
          </w:tcPr>
          <w:p>
            <w:pPr>
              <w:spacing w:line="460" w:lineRule="exact"/>
              <w:jc w:val="center"/>
              <w:rPr>
                <w:rFonts w:hint="eastAsia" w:ascii="宋体" w:hAnsi="宋体" w:eastAsia="宋体" w:cs="宋体"/>
                <w:b/>
                <w:bCs/>
                <w:color w:val="auto"/>
                <w:sz w:val="22"/>
                <w:highlight w:val="none"/>
              </w:rPr>
            </w:pPr>
          </w:p>
        </w:tc>
        <w:tc>
          <w:tcPr>
            <w:tcW w:w="1636" w:type="dxa"/>
            <w:noWrap w:val="0"/>
            <w:vAlign w:val="center"/>
          </w:tcPr>
          <w:p>
            <w:pPr>
              <w:spacing w:line="460" w:lineRule="exact"/>
              <w:jc w:val="center"/>
              <w:rPr>
                <w:rFonts w:hint="eastAsia" w:ascii="宋体" w:hAnsi="宋体" w:eastAsia="宋体" w:cs="宋体"/>
                <w:b/>
                <w:bCs/>
                <w:color w:val="auto"/>
                <w:sz w:val="22"/>
                <w:highlight w:val="none"/>
              </w:rPr>
            </w:pPr>
          </w:p>
        </w:tc>
        <w:tc>
          <w:tcPr>
            <w:tcW w:w="1260" w:type="dxa"/>
            <w:noWrap w:val="0"/>
            <w:vAlign w:val="center"/>
          </w:tcPr>
          <w:p>
            <w:pPr>
              <w:spacing w:line="460" w:lineRule="exact"/>
              <w:jc w:val="center"/>
              <w:rPr>
                <w:rFonts w:hint="eastAsia" w:ascii="宋体" w:hAnsi="宋体" w:eastAsia="宋体" w:cs="宋体"/>
                <w:b/>
                <w:bCs/>
                <w:color w:val="auto"/>
                <w:sz w:val="22"/>
                <w:highlight w:val="none"/>
              </w:rPr>
            </w:pPr>
          </w:p>
        </w:tc>
        <w:tc>
          <w:tcPr>
            <w:tcW w:w="1345" w:type="dxa"/>
            <w:noWrap w:val="0"/>
            <w:vAlign w:val="center"/>
          </w:tcPr>
          <w:p>
            <w:pPr>
              <w:spacing w:line="460" w:lineRule="exact"/>
              <w:jc w:val="center"/>
              <w:rPr>
                <w:rFonts w:hint="eastAsia" w:ascii="宋体" w:hAnsi="宋体" w:eastAsia="宋体" w:cs="宋体"/>
                <w:b/>
                <w:bCs/>
                <w:color w:val="auto"/>
                <w:sz w:val="22"/>
                <w:highlight w:val="none"/>
              </w:rPr>
            </w:pPr>
          </w:p>
        </w:tc>
        <w:tc>
          <w:tcPr>
            <w:tcW w:w="2435" w:type="dxa"/>
            <w:noWrap w:val="0"/>
            <w:vAlign w:val="center"/>
          </w:tcPr>
          <w:p>
            <w:pPr>
              <w:spacing w:line="460" w:lineRule="exact"/>
              <w:jc w:val="center"/>
              <w:rPr>
                <w:rFonts w:hint="eastAsia" w:ascii="宋体" w:hAnsi="宋体" w:eastAsia="宋体" w:cs="宋体"/>
                <w:b/>
                <w:bCs/>
                <w:color w:val="auto"/>
                <w:sz w:val="22"/>
                <w:highlight w:val="none"/>
              </w:rPr>
            </w:pPr>
          </w:p>
        </w:tc>
      </w:tr>
    </w:tbl>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1.此表仅提供了表格形式，投标人应根据需要准备足够数量的表格来填写。</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2.每项业绩须根据商务技术文件评分细则的要求提供证明材料； </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3.投标人不按此要求填写此项内容或未按要求提供业绩证明材料将视为无业绩，不纳入评分范围。</w:t>
      </w:r>
    </w:p>
    <w:p>
      <w:pPr>
        <w:spacing w:line="400" w:lineRule="exact"/>
        <w:ind w:left="180"/>
        <w:rPr>
          <w:rFonts w:hint="eastAsia" w:ascii="宋体" w:hAnsi="宋体" w:eastAsia="宋体" w:cs="宋体"/>
          <w:b/>
          <w:color w:val="auto"/>
          <w:sz w:val="22"/>
          <w:szCs w:val="22"/>
          <w:highlight w:val="none"/>
        </w:rPr>
      </w:pPr>
    </w:p>
    <w:p>
      <w:pPr>
        <w:tabs>
          <w:tab w:val="left" w:pos="840"/>
          <w:tab w:val="left" w:pos="5400"/>
        </w:tabs>
        <w:adjustRightInd w:val="0"/>
        <w:snapToGrid w:val="0"/>
        <w:spacing w:line="400" w:lineRule="exact"/>
        <w:ind w:left="420" w:leftChars="200" w:firstLine="4620" w:firstLineChars="2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tabs>
          <w:tab w:val="left" w:pos="840"/>
          <w:tab w:val="left" w:pos="5400"/>
        </w:tabs>
        <w:adjustRightInd w:val="0"/>
        <w:snapToGrid w:val="0"/>
        <w:spacing w:line="400" w:lineRule="exact"/>
        <w:ind w:left="420" w:leftChars="200" w:firstLine="4620" w:firstLineChars="2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法定代表人或授权代表（签字或盖章）</w:t>
      </w:r>
      <w:r>
        <w:rPr>
          <w:rFonts w:hint="eastAsia" w:ascii="宋体" w:hAnsi="宋体" w:eastAsia="宋体" w:cs="宋体"/>
          <w:color w:val="auto"/>
          <w:sz w:val="22"/>
          <w:szCs w:val="22"/>
          <w:highlight w:val="none"/>
        </w:rPr>
        <w:t>：</w:t>
      </w:r>
    </w:p>
    <w:p>
      <w:pPr>
        <w:tabs>
          <w:tab w:val="left" w:pos="840"/>
          <w:tab w:val="left" w:pos="5400"/>
        </w:tabs>
        <w:adjustRightInd w:val="0"/>
        <w:snapToGrid w:val="0"/>
        <w:spacing w:line="400" w:lineRule="exact"/>
        <w:ind w:left="420" w:leftChars="200" w:firstLine="4620" w:firstLineChars="2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spacing w:line="4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2"/>
          <w:szCs w:val="22"/>
          <w:highlight w:val="none"/>
        </w:rPr>
        <w:br w:type="page"/>
      </w:r>
      <w:bookmarkStart w:id="105" w:name="_Toc29351"/>
      <w:r>
        <w:rPr>
          <w:rFonts w:hint="eastAsia" w:ascii="宋体" w:hAnsi="宋体" w:eastAsia="宋体" w:cs="宋体"/>
          <w:b/>
          <w:bCs/>
          <w:color w:val="auto"/>
          <w:sz w:val="24"/>
          <w:szCs w:val="24"/>
          <w:highlight w:val="none"/>
        </w:rPr>
        <w:t xml:space="preserve">附件五 </w:t>
      </w:r>
      <w:bookmarkEnd w:id="105"/>
    </w:p>
    <w:p>
      <w:pPr>
        <w:spacing w:line="460" w:lineRule="exact"/>
        <w:jc w:val="center"/>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设备</w:t>
      </w:r>
      <w:r>
        <w:rPr>
          <w:rFonts w:hint="eastAsia" w:ascii="宋体" w:hAnsi="宋体" w:eastAsia="宋体" w:cs="宋体"/>
          <w:b/>
          <w:color w:val="auto"/>
          <w:kern w:val="1"/>
          <w:sz w:val="28"/>
          <w:szCs w:val="28"/>
          <w:highlight w:val="none"/>
          <w:lang w:val="en-US" w:eastAsia="zh-CN"/>
        </w:rPr>
        <w:t>配置</w:t>
      </w:r>
      <w:r>
        <w:rPr>
          <w:rFonts w:hint="eastAsia" w:ascii="宋体" w:hAnsi="宋体" w:eastAsia="宋体" w:cs="宋体"/>
          <w:b/>
          <w:color w:val="auto"/>
          <w:kern w:val="1"/>
          <w:sz w:val="28"/>
          <w:szCs w:val="28"/>
          <w:highlight w:val="none"/>
        </w:rPr>
        <w:t>详细清单</w:t>
      </w:r>
    </w:p>
    <w:p>
      <w:pPr>
        <w:spacing w:line="380" w:lineRule="exact"/>
        <w:rPr>
          <w:rFonts w:hint="eastAsia" w:ascii="宋体" w:hAnsi="宋体" w:eastAsia="宋体" w:cs="宋体"/>
          <w:b/>
          <w:color w:val="auto"/>
          <w:kern w:val="1"/>
          <w:sz w:val="22"/>
          <w:szCs w:val="22"/>
          <w:highlight w:val="none"/>
        </w:rPr>
      </w:pPr>
      <w:r>
        <w:rPr>
          <w:rFonts w:hint="eastAsia" w:ascii="宋体" w:hAnsi="宋体" w:eastAsia="宋体" w:cs="宋体"/>
          <w:color w:val="auto"/>
          <w:kern w:val="1"/>
          <w:sz w:val="22"/>
          <w:szCs w:val="22"/>
          <w:highlight w:val="none"/>
        </w:rPr>
        <w:t xml:space="preserve">项目名称：                                        </w:t>
      </w:r>
      <w:r>
        <w:rPr>
          <w:rFonts w:hint="eastAsia" w:ascii="宋体" w:hAnsi="宋体" w:eastAsia="宋体" w:cs="宋体"/>
          <w:color w:val="auto"/>
          <w:kern w:val="1"/>
          <w:sz w:val="22"/>
          <w:szCs w:val="22"/>
          <w:highlight w:val="none"/>
          <w:lang w:eastAsia="zh-CN"/>
        </w:rPr>
        <w:t>项目编号</w:t>
      </w:r>
      <w:r>
        <w:rPr>
          <w:rFonts w:hint="eastAsia" w:ascii="宋体" w:hAnsi="宋体" w:eastAsia="宋体" w:cs="宋体"/>
          <w:color w:val="auto"/>
          <w:kern w:val="1"/>
          <w:sz w:val="22"/>
          <w:szCs w:val="22"/>
          <w:highlight w:val="none"/>
        </w:rPr>
        <w:t>：</w:t>
      </w:r>
    </w:p>
    <w:tbl>
      <w:tblPr>
        <w:tblStyle w:val="18"/>
        <w:tblW w:w="0" w:type="auto"/>
        <w:tblInd w:w="0" w:type="dxa"/>
        <w:tblLayout w:type="fixed"/>
        <w:tblCellMar>
          <w:top w:w="0" w:type="dxa"/>
          <w:left w:w="108" w:type="dxa"/>
          <w:bottom w:w="0" w:type="dxa"/>
          <w:right w:w="108" w:type="dxa"/>
        </w:tblCellMar>
      </w:tblPr>
      <w:tblGrid>
        <w:gridCol w:w="878"/>
        <w:gridCol w:w="1583"/>
        <w:gridCol w:w="3193"/>
        <w:gridCol w:w="956"/>
        <w:gridCol w:w="765"/>
        <w:gridCol w:w="1336"/>
        <w:gridCol w:w="1143"/>
      </w:tblGrid>
      <w:tr>
        <w:tblPrEx>
          <w:tblCellMar>
            <w:top w:w="0" w:type="dxa"/>
            <w:left w:w="108" w:type="dxa"/>
            <w:bottom w:w="0" w:type="dxa"/>
            <w:right w:w="108" w:type="dxa"/>
          </w:tblCellMar>
        </w:tblPrEx>
        <w:trPr>
          <w:cantSplit/>
          <w:trHeight w:val="397" w:hRule="atLeast"/>
        </w:trPr>
        <w:tc>
          <w:tcPr>
            <w:tcW w:w="878" w:type="dxa"/>
            <w:tcBorders>
              <w:top w:val="single" w:color="000000" w:sz="12" w:space="0"/>
              <w:left w:val="single" w:color="000000" w:sz="12" w:space="0"/>
              <w:bottom w:val="single" w:color="000000" w:sz="12" w:space="0"/>
              <w:right w:val="single" w:color="000000" w:sz="4" w:space="0"/>
            </w:tcBorders>
            <w:noWrap w:val="0"/>
            <w:vAlign w:val="top"/>
          </w:tcPr>
          <w:p>
            <w:pPr>
              <w:jc w:val="center"/>
              <w:rPr>
                <w:rFonts w:hint="eastAsia" w:ascii="宋体" w:hAnsi="宋体" w:eastAsia="宋体" w:cs="宋体"/>
                <w:b/>
                <w:color w:val="auto"/>
                <w:kern w:val="1"/>
                <w:sz w:val="24"/>
                <w:highlight w:val="none"/>
              </w:rPr>
            </w:pPr>
            <w:r>
              <w:rPr>
                <w:rFonts w:hint="eastAsia" w:ascii="宋体" w:hAnsi="宋体" w:eastAsia="宋体" w:cs="宋体"/>
                <w:b/>
                <w:color w:val="auto"/>
                <w:kern w:val="1"/>
                <w:sz w:val="24"/>
                <w:highlight w:val="none"/>
              </w:rPr>
              <w:t>序号</w:t>
            </w:r>
          </w:p>
        </w:tc>
        <w:tc>
          <w:tcPr>
            <w:tcW w:w="1583" w:type="dxa"/>
            <w:tcBorders>
              <w:top w:val="single" w:color="000000" w:sz="12" w:space="0"/>
              <w:left w:val="single" w:color="000000" w:sz="4" w:space="0"/>
              <w:bottom w:val="single" w:color="000000" w:sz="12" w:space="0"/>
              <w:right w:val="single" w:color="000000" w:sz="4" w:space="0"/>
            </w:tcBorders>
            <w:noWrap w:val="0"/>
            <w:vAlign w:val="top"/>
          </w:tcPr>
          <w:p>
            <w:pPr>
              <w:jc w:val="center"/>
              <w:rPr>
                <w:rFonts w:hint="eastAsia" w:ascii="宋体" w:hAnsi="宋体" w:eastAsia="宋体" w:cs="宋体"/>
                <w:b/>
                <w:color w:val="auto"/>
                <w:kern w:val="1"/>
                <w:sz w:val="24"/>
                <w:highlight w:val="none"/>
              </w:rPr>
            </w:pPr>
            <w:r>
              <w:rPr>
                <w:rFonts w:hint="eastAsia" w:ascii="宋体" w:hAnsi="宋体" w:eastAsia="宋体" w:cs="宋体"/>
                <w:b/>
                <w:color w:val="auto"/>
                <w:kern w:val="1"/>
                <w:sz w:val="24"/>
                <w:highlight w:val="none"/>
              </w:rPr>
              <w:t>零部件</w:t>
            </w:r>
            <w:r>
              <w:rPr>
                <w:rFonts w:hint="eastAsia" w:ascii="宋体" w:hAnsi="宋体" w:eastAsia="宋体" w:cs="宋体"/>
                <w:b/>
                <w:color w:val="auto"/>
                <w:kern w:val="1"/>
                <w:sz w:val="24"/>
                <w:highlight w:val="none"/>
              </w:rPr>
              <w:t>名称</w:t>
            </w:r>
          </w:p>
        </w:tc>
        <w:tc>
          <w:tcPr>
            <w:tcW w:w="3193" w:type="dxa"/>
            <w:tcBorders>
              <w:top w:val="single" w:color="000000" w:sz="12" w:space="0"/>
              <w:left w:val="single" w:color="000000" w:sz="4" w:space="0"/>
              <w:bottom w:val="single" w:color="000000" w:sz="12" w:space="0"/>
              <w:right w:val="single" w:color="000000" w:sz="4" w:space="0"/>
            </w:tcBorders>
            <w:noWrap w:val="0"/>
            <w:vAlign w:val="top"/>
          </w:tcPr>
          <w:p>
            <w:pPr>
              <w:jc w:val="center"/>
              <w:rPr>
                <w:rFonts w:hint="eastAsia" w:ascii="宋体" w:hAnsi="宋体" w:eastAsia="宋体" w:cs="宋体"/>
                <w:b/>
                <w:color w:val="auto"/>
                <w:kern w:val="1"/>
                <w:sz w:val="24"/>
                <w:highlight w:val="none"/>
              </w:rPr>
            </w:pPr>
            <w:r>
              <w:rPr>
                <w:rFonts w:hint="eastAsia" w:ascii="宋体" w:hAnsi="宋体" w:eastAsia="宋体" w:cs="宋体"/>
                <w:b/>
                <w:color w:val="auto"/>
                <w:kern w:val="1"/>
                <w:sz w:val="24"/>
                <w:highlight w:val="none"/>
              </w:rPr>
              <w:t>详细配置说明</w:t>
            </w:r>
          </w:p>
        </w:tc>
        <w:tc>
          <w:tcPr>
            <w:tcW w:w="956" w:type="dxa"/>
            <w:tcBorders>
              <w:top w:val="single" w:color="000000" w:sz="12" w:space="0"/>
              <w:left w:val="single" w:color="000000" w:sz="4" w:space="0"/>
              <w:bottom w:val="single" w:color="000000" w:sz="12" w:space="0"/>
              <w:right w:val="single" w:color="000000" w:sz="4" w:space="0"/>
            </w:tcBorders>
            <w:noWrap w:val="0"/>
            <w:vAlign w:val="top"/>
          </w:tcPr>
          <w:p>
            <w:pPr>
              <w:jc w:val="center"/>
              <w:rPr>
                <w:rFonts w:hint="eastAsia" w:ascii="宋体" w:hAnsi="宋体" w:eastAsia="宋体" w:cs="宋体"/>
                <w:b/>
                <w:color w:val="auto"/>
                <w:kern w:val="1"/>
                <w:sz w:val="24"/>
                <w:highlight w:val="none"/>
              </w:rPr>
            </w:pPr>
            <w:r>
              <w:rPr>
                <w:rFonts w:hint="eastAsia" w:ascii="宋体" w:hAnsi="宋体" w:eastAsia="宋体" w:cs="宋体"/>
                <w:b/>
                <w:color w:val="auto"/>
                <w:kern w:val="1"/>
                <w:sz w:val="24"/>
                <w:highlight w:val="none"/>
              </w:rPr>
              <w:t>产地</w:t>
            </w:r>
          </w:p>
        </w:tc>
        <w:tc>
          <w:tcPr>
            <w:tcW w:w="765" w:type="dxa"/>
            <w:tcBorders>
              <w:top w:val="single" w:color="000000" w:sz="12" w:space="0"/>
              <w:left w:val="single" w:color="000000" w:sz="4" w:space="0"/>
              <w:bottom w:val="single" w:color="000000" w:sz="12" w:space="0"/>
              <w:right w:val="single" w:color="000000" w:sz="4" w:space="0"/>
            </w:tcBorders>
            <w:noWrap w:val="0"/>
            <w:vAlign w:val="top"/>
          </w:tcPr>
          <w:p>
            <w:pPr>
              <w:jc w:val="center"/>
              <w:rPr>
                <w:rFonts w:hint="eastAsia" w:ascii="宋体" w:hAnsi="宋体" w:eastAsia="宋体" w:cs="宋体"/>
                <w:b/>
                <w:color w:val="auto"/>
                <w:kern w:val="1"/>
                <w:sz w:val="24"/>
                <w:highlight w:val="none"/>
              </w:rPr>
            </w:pPr>
            <w:r>
              <w:rPr>
                <w:rFonts w:hint="eastAsia" w:ascii="宋体" w:hAnsi="宋体" w:eastAsia="宋体" w:cs="宋体"/>
                <w:b/>
                <w:color w:val="auto"/>
                <w:kern w:val="1"/>
                <w:sz w:val="24"/>
                <w:highlight w:val="none"/>
              </w:rPr>
              <w:t>数量</w:t>
            </w:r>
          </w:p>
        </w:tc>
        <w:tc>
          <w:tcPr>
            <w:tcW w:w="1336" w:type="dxa"/>
            <w:tcBorders>
              <w:top w:val="single" w:color="000000" w:sz="12" w:space="0"/>
              <w:left w:val="single" w:color="000000" w:sz="4" w:space="0"/>
              <w:bottom w:val="single" w:color="000000" w:sz="12" w:space="0"/>
              <w:right w:val="single" w:color="000000" w:sz="4" w:space="0"/>
            </w:tcBorders>
            <w:noWrap w:val="0"/>
            <w:vAlign w:val="top"/>
          </w:tcPr>
          <w:p>
            <w:pPr>
              <w:jc w:val="center"/>
              <w:rPr>
                <w:rFonts w:hint="eastAsia" w:ascii="宋体" w:hAnsi="宋体" w:eastAsia="宋体" w:cs="宋体"/>
                <w:b/>
                <w:color w:val="auto"/>
                <w:kern w:val="1"/>
                <w:sz w:val="24"/>
                <w:highlight w:val="none"/>
              </w:rPr>
            </w:pPr>
            <w:r>
              <w:rPr>
                <w:rFonts w:hint="eastAsia" w:ascii="宋体" w:hAnsi="宋体" w:eastAsia="宋体" w:cs="宋体"/>
                <w:b/>
                <w:color w:val="auto"/>
                <w:kern w:val="1"/>
                <w:sz w:val="24"/>
                <w:highlight w:val="none"/>
              </w:rPr>
              <w:t>质保期限</w:t>
            </w:r>
          </w:p>
        </w:tc>
        <w:tc>
          <w:tcPr>
            <w:tcW w:w="1143" w:type="dxa"/>
            <w:tcBorders>
              <w:top w:val="single" w:color="000000" w:sz="12" w:space="0"/>
              <w:left w:val="single" w:color="000000" w:sz="4" w:space="0"/>
              <w:bottom w:val="single" w:color="000000" w:sz="12" w:space="0"/>
              <w:right w:val="single" w:color="000000" w:sz="12" w:space="0"/>
            </w:tcBorders>
            <w:noWrap w:val="0"/>
            <w:vAlign w:val="top"/>
          </w:tcPr>
          <w:p>
            <w:pPr>
              <w:jc w:val="center"/>
              <w:rPr>
                <w:rFonts w:hint="eastAsia" w:ascii="宋体" w:hAnsi="宋体" w:eastAsia="宋体" w:cs="宋体"/>
                <w:b/>
                <w:color w:val="auto"/>
                <w:kern w:val="1"/>
                <w:sz w:val="24"/>
                <w:highlight w:val="none"/>
              </w:rPr>
            </w:pPr>
            <w:r>
              <w:rPr>
                <w:rFonts w:hint="eastAsia" w:ascii="宋体" w:hAnsi="宋体" w:eastAsia="宋体" w:cs="宋体"/>
                <w:b/>
                <w:color w:val="auto"/>
                <w:kern w:val="1"/>
                <w:sz w:val="24"/>
                <w:highlight w:val="none"/>
              </w:rPr>
              <w:t>备注</w:t>
            </w:r>
          </w:p>
        </w:tc>
      </w:tr>
      <w:tr>
        <w:tblPrEx>
          <w:tblCellMar>
            <w:top w:w="0" w:type="dxa"/>
            <w:left w:w="108" w:type="dxa"/>
            <w:bottom w:w="0" w:type="dxa"/>
            <w:right w:w="108" w:type="dxa"/>
          </w:tblCellMar>
        </w:tblPrEx>
        <w:trPr>
          <w:cantSplit/>
          <w:trHeight w:val="397" w:hRule="atLeast"/>
        </w:trPr>
        <w:tc>
          <w:tcPr>
            <w:tcW w:w="878" w:type="dxa"/>
            <w:vMerge w:val="restart"/>
            <w:tcBorders>
              <w:top w:val="single" w:color="000000" w:sz="12" w:space="0"/>
              <w:left w:val="single" w:color="000000" w:sz="12"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583" w:type="dxa"/>
            <w:vMerge w:val="restart"/>
            <w:tcBorders>
              <w:top w:val="single" w:color="000000" w:sz="12"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3193" w:type="dxa"/>
            <w:tcBorders>
              <w:top w:val="single" w:color="000000" w:sz="12"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956" w:type="dxa"/>
            <w:tcBorders>
              <w:top w:val="single" w:color="000000" w:sz="12"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765" w:type="dxa"/>
            <w:tcBorders>
              <w:top w:val="single" w:color="000000" w:sz="12"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336" w:type="dxa"/>
            <w:tcBorders>
              <w:top w:val="single" w:color="000000" w:sz="12"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143" w:type="dxa"/>
            <w:tcBorders>
              <w:top w:val="single" w:color="000000" w:sz="12"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sz w:val="24"/>
                <w:highlight w:val="none"/>
              </w:rPr>
            </w:pPr>
          </w:p>
        </w:tc>
      </w:tr>
      <w:tr>
        <w:tblPrEx>
          <w:tblCellMar>
            <w:top w:w="0" w:type="dxa"/>
            <w:left w:w="108" w:type="dxa"/>
            <w:bottom w:w="0" w:type="dxa"/>
            <w:right w:w="108"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pPr>
              <w:jc w:val="left"/>
              <w:rPr>
                <w:rFonts w:hint="eastAsia" w:ascii="宋体" w:hAnsi="宋体" w:eastAsia="宋体" w:cs="宋体"/>
                <w:b/>
                <w:color w:val="auto"/>
                <w:kern w:val="1"/>
                <w:sz w:val="24"/>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b/>
                <w:color w:val="auto"/>
                <w:kern w:val="1"/>
                <w:sz w:val="24"/>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sz w:val="24"/>
                <w:highlight w:val="none"/>
              </w:rPr>
            </w:pPr>
          </w:p>
        </w:tc>
      </w:tr>
      <w:tr>
        <w:tblPrEx>
          <w:tblCellMar>
            <w:top w:w="0" w:type="dxa"/>
            <w:left w:w="108" w:type="dxa"/>
            <w:bottom w:w="0" w:type="dxa"/>
            <w:right w:w="108"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pPr>
              <w:jc w:val="left"/>
              <w:rPr>
                <w:rFonts w:hint="eastAsia" w:ascii="宋体" w:hAnsi="宋体" w:eastAsia="宋体" w:cs="宋体"/>
                <w:b/>
                <w:color w:val="auto"/>
                <w:kern w:val="1"/>
                <w:sz w:val="24"/>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b/>
                <w:color w:val="auto"/>
                <w:kern w:val="1"/>
                <w:sz w:val="24"/>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sz w:val="24"/>
                <w:highlight w:val="none"/>
              </w:rPr>
            </w:pPr>
          </w:p>
        </w:tc>
      </w:tr>
      <w:tr>
        <w:tblPrEx>
          <w:tblCellMar>
            <w:top w:w="0" w:type="dxa"/>
            <w:left w:w="108" w:type="dxa"/>
            <w:bottom w:w="0" w:type="dxa"/>
            <w:right w:w="108"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sz w:val="24"/>
                <w:highlight w:val="none"/>
              </w:rPr>
            </w:pPr>
          </w:p>
        </w:tc>
      </w:tr>
      <w:tr>
        <w:tblPrEx>
          <w:tblCellMar>
            <w:top w:w="0" w:type="dxa"/>
            <w:left w:w="108" w:type="dxa"/>
            <w:bottom w:w="0" w:type="dxa"/>
            <w:right w:w="108"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pPr>
              <w:jc w:val="left"/>
              <w:rPr>
                <w:rFonts w:hint="eastAsia" w:ascii="宋体" w:hAnsi="宋体" w:eastAsia="宋体" w:cs="宋体"/>
                <w:b/>
                <w:color w:val="auto"/>
                <w:kern w:val="1"/>
                <w:sz w:val="24"/>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b/>
                <w:color w:val="auto"/>
                <w:kern w:val="1"/>
                <w:sz w:val="24"/>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sz w:val="24"/>
                <w:highlight w:val="none"/>
              </w:rPr>
            </w:pPr>
          </w:p>
        </w:tc>
      </w:tr>
      <w:tr>
        <w:tblPrEx>
          <w:tblCellMar>
            <w:top w:w="0" w:type="dxa"/>
            <w:left w:w="108" w:type="dxa"/>
            <w:bottom w:w="0" w:type="dxa"/>
            <w:right w:w="108"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pPr>
              <w:jc w:val="left"/>
              <w:rPr>
                <w:rFonts w:hint="eastAsia" w:ascii="宋体" w:hAnsi="宋体" w:eastAsia="宋体" w:cs="宋体"/>
                <w:b/>
                <w:color w:val="auto"/>
                <w:kern w:val="1"/>
                <w:sz w:val="24"/>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b/>
                <w:color w:val="auto"/>
                <w:kern w:val="1"/>
                <w:sz w:val="24"/>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sz w:val="24"/>
                <w:highlight w:val="none"/>
              </w:rPr>
            </w:pPr>
          </w:p>
        </w:tc>
      </w:tr>
      <w:tr>
        <w:tblPrEx>
          <w:tblCellMar>
            <w:top w:w="0" w:type="dxa"/>
            <w:left w:w="108" w:type="dxa"/>
            <w:bottom w:w="0" w:type="dxa"/>
            <w:right w:w="108"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sz w:val="24"/>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sz w:val="24"/>
                <w:highlight w:val="none"/>
              </w:rPr>
            </w:pPr>
          </w:p>
        </w:tc>
      </w:tr>
      <w:tr>
        <w:tblPrEx>
          <w:tblCellMar>
            <w:top w:w="0" w:type="dxa"/>
            <w:left w:w="108" w:type="dxa"/>
            <w:bottom w:w="0" w:type="dxa"/>
            <w:right w:w="108"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pPr>
              <w:jc w:val="left"/>
              <w:rPr>
                <w:rFonts w:hint="eastAsia" w:ascii="宋体" w:hAnsi="宋体" w:eastAsia="宋体" w:cs="宋体"/>
                <w:b/>
                <w:color w:val="auto"/>
                <w:kern w:val="1"/>
                <w:sz w:val="24"/>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b/>
                <w:color w:val="auto"/>
                <w:kern w:val="1"/>
                <w:sz w:val="24"/>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highlight w:val="none"/>
              </w:rPr>
            </w:pPr>
          </w:p>
        </w:tc>
      </w:tr>
      <w:tr>
        <w:tblPrEx>
          <w:tblCellMar>
            <w:top w:w="0" w:type="dxa"/>
            <w:left w:w="108" w:type="dxa"/>
            <w:bottom w:w="0" w:type="dxa"/>
            <w:right w:w="108"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highlight w:val="none"/>
              </w:rPr>
            </w:pPr>
          </w:p>
        </w:tc>
      </w:tr>
      <w:tr>
        <w:tblPrEx>
          <w:tblCellMar>
            <w:top w:w="0" w:type="dxa"/>
            <w:left w:w="108" w:type="dxa"/>
            <w:bottom w:w="0" w:type="dxa"/>
            <w:right w:w="108"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highlight w:val="none"/>
              </w:rPr>
            </w:pPr>
          </w:p>
        </w:tc>
      </w:tr>
      <w:tr>
        <w:tblPrEx>
          <w:tblCellMar>
            <w:top w:w="0" w:type="dxa"/>
            <w:left w:w="108" w:type="dxa"/>
            <w:bottom w:w="0" w:type="dxa"/>
            <w:right w:w="108"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highlight w:val="none"/>
              </w:rPr>
            </w:pPr>
          </w:p>
        </w:tc>
      </w:tr>
      <w:tr>
        <w:tblPrEx>
          <w:tblCellMar>
            <w:top w:w="0" w:type="dxa"/>
            <w:left w:w="108" w:type="dxa"/>
            <w:bottom w:w="0" w:type="dxa"/>
            <w:right w:w="108"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highlight w:val="none"/>
              </w:rPr>
            </w:pPr>
          </w:p>
        </w:tc>
      </w:tr>
      <w:tr>
        <w:tblPrEx>
          <w:tblCellMar>
            <w:top w:w="0" w:type="dxa"/>
            <w:left w:w="108" w:type="dxa"/>
            <w:bottom w:w="0" w:type="dxa"/>
            <w:right w:w="108"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highlight w:val="none"/>
              </w:rPr>
            </w:pPr>
          </w:p>
        </w:tc>
      </w:tr>
      <w:tr>
        <w:tblPrEx>
          <w:tblCellMar>
            <w:top w:w="0" w:type="dxa"/>
            <w:left w:w="108" w:type="dxa"/>
            <w:bottom w:w="0" w:type="dxa"/>
            <w:right w:w="108"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highlight w:val="none"/>
              </w:rPr>
            </w:pPr>
          </w:p>
        </w:tc>
      </w:tr>
      <w:tr>
        <w:tblPrEx>
          <w:tblCellMar>
            <w:top w:w="0" w:type="dxa"/>
            <w:left w:w="108" w:type="dxa"/>
            <w:bottom w:w="0" w:type="dxa"/>
            <w:right w:w="108"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highlight w:val="none"/>
              </w:rPr>
            </w:pPr>
          </w:p>
        </w:tc>
      </w:tr>
      <w:tr>
        <w:tblPrEx>
          <w:tblCellMar>
            <w:top w:w="0" w:type="dxa"/>
            <w:left w:w="108" w:type="dxa"/>
            <w:bottom w:w="0" w:type="dxa"/>
            <w:right w:w="108"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highlight w:val="none"/>
              </w:rPr>
            </w:pPr>
          </w:p>
        </w:tc>
      </w:tr>
      <w:tr>
        <w:tblPrEx>
          <w:tblCellMar>
            <w:top w:w="0" w:type="dxa"/>
            <w:left w:w="108" w:type="dxa"/>
            <w:bottom w:w="0" w:type="dxa"/>
            <w:right w:w="108"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highlight w:val="none"/>
              </w:rPr>
            </w:pPr>
          </w:p>
        </w:tc>
      </w:tr>
      <w:tr>
        <w:tblPrEx>
          <w:tblCellMar>
            <w:top w:w="0" w:type="dxa"/>
            <w:left w:w="108" w:type="dxa"/>
            <w:bottom w:w="0" w:type="dxa"/>
            <w:right w:w="108"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highlight w:val="none"/>
              </w:rPr>
            </w:pPr>
          </w:p>
        </w:tc>
      </w:tr>
      <w:tr>
        <w:tblPrEx>
          <w:tblCellMar>
            <w:top w:w="0" w:type="dxa"/>
            <w:left w:w="108" w:type="dxa"/>
            <w:bottom w:w="0" w:type="dxa"/>
            <w:right w:w="108"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highlight w:val="none"/>
              </w:rPr>
            </w:pPr>
          </w:p>
        </w:tc>
      </w:tr>
      <w:tr>
        <w:tblPrEx>
          <w:tblCellMar>
            <w:top w:w="0" w:type="dxa"/>
            <w:left w:w="108" w:type="dxa"/>
            <w:bottom w:w="0" w:type="dxa"/>
            <w:right w:w="108"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color w:val="auto"/>
                <w:kern w:val="1"/>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pPr>
              <w:rPr>
                <w:rFonts w:hint="eastAsia" w:ascii="宋体" w:hAnsi="宋体" w:eastAsia="宋体" w:cs="宋体"/>
                <w:b/>
                <w:color w:val="auto"/>
                <w:kern w:val="1"/>
                <w:highlight w:val="none"/>
              </w:rPr>
            </w:pPr>
          </w:p>
        </w:tc>
      </w:tr>
      <w:tr>
        <w:tblPrEx>
          <w:tblCellMar>
            <w:top w:w="0" w:type="dxa"/>
            <w:left w:w="108" w:type="dxa"/>
            <w:bottom w:w="0" w:type="dxa"/>
            <w:right w:w="108" w:type="dxa"/>
          </w:tblCellMar>
        </w:tblPrEx>
        <w:trPr>
          <w:cantSplit/>
          <w:trHeight w:val="397" w:hRule="atLeast"/>
        </w:trPr>
        <w:tc>
          <w:tcPr>
            <w:tcW w:w="878" w:type="dxa"/>
            <w:vMerge w:val="continue"/>
            <w:tcBorders>
              <w:top w:val="single" w:color="000000" w:sz="4" w:space="0"/>
              <w:left w:val="single" w:color="000000" w:sz="12" w:space="0"/>
              <w:bottom w:val="single" w:color="000000" w:sz="12"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1583" w:type="dxa"/>
            <w:vMerge w:val="continue"/>
            <w:tcBorders>
              <w:top w:val="single" w:color="000000" w:sz="4" w:space="0"/>
              <w:left w:val="single" w:color="000000" w:sz="4" w:space="0"/>
              <w:bottom w:val="single" w:color="000000" w:sz="12" w:space="0"/>
              <w:right w:val="single" w:color="000000" w:sz="4" w:space="0"/>
            </w:tcBorders>
            <w:noWrap w:val="0"/>
            <w:vAlign w:val="top"/>
          </w:tcPr>
          <w:p>
            <w:pPr>
              <w:jc w:val="left"/>
              <w:rPr>
                <w:rFonts w:hint="eastAsia" w:ascii="宋体" w:hAnsi="宋体" w:eastAsia="宋体" w:cs="宋体"/>
                <w:b/>
                <w:color w:val="auto"/>
                <w:kern w:val="1"/>
                <w:highlight w:val="none"/>
              </w:rPr>
            </w:pPr>
          </w:p>
        </w:tc>
        <w:tc>
          <w:tcPr>
            <w:tcW w:w="3193" w:type="dxa"/>
            <w:tcBorders>
              <w:top w:val="single" w:color="000000" w:sz="4" w:space="0"/>
              <w:left w:val="single" w:color="000000" w:sz="4" w:space="0"/>
              <w:bottom w:val="single" w:color="000000" w:sz="12" w:space="0"/>
              <w:right w:val="single" w:color="000000" w:sz="4" w:space="0"/>
            </w:tcBorders>
            <w:noWrap w:val="0"/>
            <w:vAlign w:val="top"/>
          </w:tcPr>
          <w:p>
            <w:pPr>
              <w:rPr>
                <w:rFonts w:hint="eastAsia" w:ascii="宋体" w:hAnsi="宋体" w:eastAsia="宋体" w:cs="宋体"/>
                <w:b/>
                <w:color w:val="auto"/>
                <w:kern w:val="1"/>
                <w:highlight w:val="none"/>
              </w:rPr>
            </w:pPr>
          </w:p>
        </w:tc>
        <w:tc>
          <w:tcPr>
            <w:tcW w:w="956" w:type="dxa"/>
            <w:tcBorders>
              <w:top w:val="single" w:color="000000" w:sz="4" w:space="0"/>
              <w:left w:val="single" w:color="000000" w:sz="4" w:space="0"/>
              <w:bottom w:val="single" w:color="000000" w:sz="12" w:space="0"/>
              <w:right w:val="single" w:color="000000" w:sz="4" w:space="0"/>
            </w:tcBorders>
            <w:noWrap w:val="0"/>
            <w:vAlign w:val="top"/>
          </w:tcPr>
          <w:p>
            <w:pPr>
              <w:rPr>
                <w:rFonts w:hint="eastAsia" w:ascii="宋体" w:hAnsi="宋体" w:eastAsia="宋体" w:cs="宋体"/>
                <w:b/>
                <w:color w:val="auto"/>
                <w:kern w:val="1"/>
                <w:highlight w:val="none"/>
              </w:rPr>
            </w:pPr>
          </w:p>
        </w:tc>
        <w:tc>
          <w:tcPr>
            <w:tcW w:w="765" w:type="dxa"/>
            <w:tcBorders>
              <w:top w:val="single" w:color="000000" w:sz="4" w:space="0"/>
              <w:left w:val="single" w:color="000000" w:sz="4" w:space="0"/>
              <w:bottom w:val="single" w:color="000000" w:sz="12" w:space="0"/>
              <w:right w:val="single" w:color="000000" w:sz="4" w:space="0"/>
            </w:tcBorders>
            <w:noWrap w:val="0"/>
            <w:vAlign w:val="top"/>
          </w:tcPr>
          <w:p>
            <w:pPr>
              <w:rPr>
                <w:rFonts w:hint="eastAsia" w:ascii="宋体" w:hAnsi="宋体" w:eastAsia="宋体" w:cs="宋体"/>
                <w:b/>
                <w:color w:val="auto"/>
                <w:kern w:val="1"/>
                <w:highlight w:val="none"/>
              </w:rPr>
            </w:pPr>
          </w:p>
        </w:tc>
        <w:tc>
          <w:tcPr>
            <w:tcW w:w="1336" w:type="dxa"/>
            <w:tcBorders>
              <w:top w:val="single" w:color="000000" w:sz="4" w:space="0"/>
              <w:left w:val="single" w:color="000000" w:sz="4" w:space="0"/>
              <w:bottom w:val="single" w:color="000000" w:sz="12" w:space="0"/>
              <w:right w:val="single" w:color="000000" w:sz="4" w:space="0"/>
            </w:tcBorders>
            <w:noWrap w:val="0"/>
            <w:vAlign w:val="top"/>
          </w:tcPr>
          <w:p>
            <w:pPr>
              <w:rPr>
                <w:rFonts w:hint="eastAsia" w:ascii="宋体" w:hAnsi="宋体" w:eastAsia="宋体" w:cs="宋体"/>
                <w:b/>
                <w:color w:val="auto"/>
                <w:kern w:val="1"/>
                <w:highlight w:val="none"/>
              </w:rPr>
            </w:pPr>
          </w:p>
        </w:tc>
        <w:tc>
          <w:tcPr>
            <w:tcW w:w="1143" w:type="dxa"/>
            <w:tcBorders>
              <w:top w:val="single" w:color="000000" w:sz="4" w:space="0"/>
              <w:left w:val="single" w:color="000000" w:sz="4" w:space="0"/>
              <w:bottom w:val="single" w:color="000000" w:sz="12" w:space="0"/>
              <w:right w:val="single" w:color="000000" w:sz="12" w:space="0"/>
            </w:tcBorders>
            <w:noWrap w:val="0"/>
            <w:vAlign w:val="top"/>
          </w:tcPr>
          <w:p>
            <w:pPr>
              <w:rPr>
                <w:rFonts w:hint="eastAsia" w:ascii="宋体" w:hAnsi="宋体" w:eastAsia="宋体" w:cs="宋体"/>
                <w:b/>
                <w:color w:val="auto"/>
                <w:kern w:val="1"/>
                <w:highlight w:val="none"/>
              </w:rPr>
            </w:pPr>
          </w:p>
        </w:tc>
      </w:tr>
    </w:tbl>
    <w:p>
      <w:pPr>
        <w:ind w:left="745" w:hanging="737"/>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注：</w:t>
      </w:r>
    </w:p>
    <w:p>
      <w:pPr>
        <w:ind w:left="745" w:hanging="737"/>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1.</w:t>
      </w:r>
      <w:r>
        <w:rPr>
          <w:rFonts w:hint="eastAsia" w:ascii="宋体" w:hAnsi="宋体" w:eastAsia="宋体" w:cs="宋体"/>
          <w:color w:val="auto"/>
          <w:kern w:val="1"/>
          <w:sz w:val="24"/>
          <w:highlight w:val="none"/>
        </w:rPr>
        <w:t>详细配置说明一栏中需提供车辆或其主要零部件的规格、型号、名称、性能描述等。</w:t>
      </w:r>
    </w:p>
    <w:p>
      <w:pPr>
        <w:spacing w:line="400" w:lineRule="atLeast"/>
        <w:ind w:left="315" w:hanging="315"/>
        <w:jc w:val="left"/>
        <w:rPr>
          <w:rFonts w:hint="eastAsia" w:ascii="宋体" w:hAnsi="宋体" w:eastAsia="宋体" w:cs="宋体"/>
          <w:color w:val="auto"/>
          <w:sz w:val="22"/>
          <w:szCs w:val="22"/>
          <w:highlight w:val="none"/>
          <w:lang w:val="zh-CN"/>
        </w:rPr>
      </w:pPr>
      <w:r>
        <w:rPr>
          <w:rFonts w:hint="eastAsia" w:ascii="宋体" w:hAnsi="宋体" w:eastAsia="宋体" w:cs="宋体"/>
          <w:color w:val="auto"/>
          <w:kern w:val="1"/>
          <w:sz w:val="24"/>
          <w:highlight w:val="none"/>
        </w:rPr>
        <w:t>2.此表仅提供了表格形式，</w:t>
      </w:r>
      <w:r>
        <w:rPr>
          <w:rFonts w:hint="eastAsia" w:ascii="宋体" w:hAnsi="宋体" w:eastAsia="宋体" w:cs="宋体"/>
          <w:color w:val="auto"/>
          <w:kern w:val="1"/>
          <w:sz w:val="24"/>
          <w:highlight w:val="none"/>
          <w:lang w:eastAsia="zh-CN"/>
        </w:rPr>
        <w:t>投标人</w:t>
      </w:r>
      <w:r>
        <w:rPr>
          <w:rFonts w:hint="eastAsia" w:ascii="宋体" w:hAnsi="宋体" w:eastAsia="宋体" w:cs="宋体"/>
          <w:color w:val="auto"/>
          <w:kern w:val="1"/>
          <w:sz w:val="24"/>
          <w:highlight w:val="none"/>
        </w:rPr>
        <w:t>应根据需要准备足够数量的表格来填写。</w:t>
      </w:r>
    </w:p>
    <w:p>
      <w:pPr>
        <w:spacing w:line="460" w:lineRule="exact"/>
        <w:ind w:firstLine="4679"/>
        <w:rPr>
          <w:rFonts w:hint="eastAsia" w:ascii="宋体" w:hAnsi="宋体" w:eastAsia="宋体" w:cs="宋体"/>
          <w:color w:val="auto"/>
          <w:kern w:val="1"/>
          <w:sz w:val="22"/>
          <w:szCs w:val="22"/>
          <w:highlight w:val="none"/>
        </w:rPr>
      </w:pPr>
    </w:p>
    <w:p>
      <w:pPr>
        <w:spacing w:line="460" w:lineRule="exact"/>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投标</w:t>
      </w:r>
      <w:r>
        <w:rPr>
          <w:rFonts w:hint="eastAsia" w:ascii="宋体" w:hAnsi="宋体" w:eastAsia="宋体" w:cs="宋体"/>
          <w:color w:val="auto"/>
          <w:kern w:val="1"/>
          <w:sz w:val="22"/>
          <w:szCs w:val="22"/>
          <w:highlight w:val="none"/>
          <w:lang w:val="en-US" w:eastAsia="zh-CN"/>
        </w:rPr>
        <w:t>人</w:t>
      </w:r>
      <w:r>
        <w:rPr>
          <w:rFonts w:hint="eastAsia" w:ascii="宋体" w:hAnsi="宋体" w:eastAsia="宋体" w:cs="宋体"/>
          <w:color w:val="auto"/>
          <w:kern w:val="1"/>
          <w:sz w:val="22"/>
          <w:szCs w:val="22"/>
          <w:highlight w:val="none"/>
        </w:rPr>
        <w:t>全称（盖章）：</w:t>
      </w:r>
    </w:p>
    <w:p>
      <w:pPr>
        <w:spacing w:line="460" w:lineRule="exact"/>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法定代表人或授权代表（签字或盖章）：</w:t>
      </w:r>
    </w:p>
    <w:p>
      <w:pPr>
        <w:spacing w:line="460" w:lineRule="exact"/>
        <w:rPr>
          <w:rFonts w:hint="eastAsia" w:ascii="宋体" w:hAnsi="宋体" w:eastAsia="宋体" w:cs="宋体"/>
          <w:color w:val="auto"/>
          <w:highlight w:val="none"/>
        </w:rPr>
      </w:pPr>
      <w:r>
        <w:rPr>
          <w:rFonts w:hint="eastAsia" w:ascii="宋体" w:hAnsi="宋体" w:eastAsia="宋体" w:cs="宋体"/>
          <w:color w:val="auto"/>
          <w:kern w:val="1"/>
          <w:sz w:val="22"/>
          <w:szCs w:val="22"/>
          <w:highlight w:val="none"/>
        </w:rPr>
        <w:t>日 期：  年  月  日</w:t>
      </w: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spacing w:before="120" w:beforeLines="50" w:after="120" w:afterLines="50"/>
        <w:rPr>
          <w:rFonts w:hint="eastAsia" w:ascii="宋体" w:hAnsi="宋体" w:eastAsia="宋体" w:cs="宋体"/>
          <w:b/>
          <w:bCs/>
          <w:color w:val="auto"/>
          <w:sz w:val="28"/>
          <w:szCs w:val="28"/>
          <w:highlight w:val="none"/>
          <w:lang w:eastAsia="zh-CN"/>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spacing w:before="120" w:beforeLines="50" w:after="12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（商务报价标封面，供参考）</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投标文件</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0"/>
        <w:ind w:firstLine="280"/>
        <w:rPr>
          <w:rFonts w:hint="eastAsia" w:ascii="宋体" w:hAnsi="宋体" w:eastAsia="宋体" w:cs="宋体"/>
          <w:color w:val="auto"/>
          <w:sz w:val="28"/>
          <w:szCs w:val="28"/>
          <w:highlight w:val="none"/>
        </w:rPr>
      </w:pPr>
    </w:p>
    <w:p>
      <w:pPr>
        <w:pStyle w:val="10"/>
        <w:ind w:firstLine="280"/>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商  务  标</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rPr>
          <w:rFonts w:hint="eastAsia" w:ascii="宋体" w:hAnsi="宋体" w:eastAsia="宋体" w:cs="宋体"/>
          <w:color w:val="auto"/>
          <w:sz w:val="28"/>
          <w:szCs w:val="28"/>
          <w:highlight w:val="none"/>
          <w:u w:val="singl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pPr>
        <w:rPr>
          <w:rFonts w:hint="eastAsia" w:ascii="宋体" w:hAnsi="宋体" w:eastAsia="宋体" w:cs="宋体"/>
          <w:color w:val="auto"/>
          <w:sz w:val="28"/>
          <w:szCs w:val="28"/>
          <w:highlight w:val="none"/>
        </w:rPr>
      </w:pPr>
    </w:p>
    <w:p>
      <w:pPr>
        <w:overflowPunct w:val="0"/>
        <w:spacing w:line="380" w:lineRule="exact"/>
        <w:ind w:firstLine="2738" w:firstLineChars="9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overflowPunct w:val="0"/>
        <w:spacing w:line="38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sz w:val="22"/>
          <w:szCs w:val="22"/>
          <w:highlight w:val="none"/>
        </w:rPr>
        <w:t>附件一</w:t>
      </w:r>
    </w:p>
    <w:p>
      <w:pPr>
        <w:autoSpaceDE w:val="0"/>
        <w:autoSpaceDN w:val="0"/>
        <w:adjustRightInd w:val="0"/>
        <w:spacing w:line="460" w:lineRule="atLeast"/>
        <w:jc w:val="center"/>
        <w:rPr>
          <w:rFonts w:hint="eastAsia" w:ascii="宋体" w:hAnsi="宋体" w:eastAsia="宋体" w:cs="宋体"/>
          <w:b/>
          <w:bCs/>
          <w:color w:val="auto"/>
          <w:kern w:val="0"/>
          <w:sz w:val="28"/>
          <w:szCs w:val="28"/>
          <w:highlight w:val="none"/>
          <w:lang w:val="zh-CN"/>
        </w:rPr>
      </w:pPr>
    </w:p>
    <w:p>
      <w:pPr>
        <w:autoSpaceDE w:val="0"/>
        <w:autoSpaceDN w:val="0"/>
        <w:adjustRightInd w:val="0"/>
        <w:spacing w:line="460" w:lineRule="atLeast"/>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开标一览表</w:t>
      </w:r>
    </w:p>
    <w:p>
      <w:pPr>
        <w:overflowPunct w:val="0"/>
        <w:spacing w:line="380" w:lineRule="exact"/>
        <w:jc w:val="center"/>
        <w:rPr>
          <w:rFonts w:hint="eastAsia" w:ascii="宋体" w:hAnsi="宋体" w:eastAsia="宋体" w:cs="宋体"/>
          <w:b/>
          <w:bCs/>
          <w:color w:val="auto"/>
          <w:sz w:val="28"/>
          <w:highlight w:val="none"/>
        </w:rPr>
      </w:pPr>
    </w:p>
    <w:p>
      <w:pPr>
        <w:overflowPunct w:val="0"/>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项目名称：                                   项目编号：</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6"/>
        <w:gridCol w:w="355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1" w:hRule="atLeast"/>
        </w:trPr>
        <w:tc>
          <w:tcPr>
            <w:tcW w:w="2235" w:type="pct"/>
            <w:noWrap w:val="0"/>
            <w:vAlign w:val="center"/>
          </w:tcPr>
          <w:p>
            <w:pPr>
              <w:pStyle w:val="11"/>
              <w:spacing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报价项目</w:t>
            </w:r>
          </w:p>
        </w:tc>
        <w:tc>
          <w:tcPr>
            <w:tcW w:w="1803" w:type="pct"/>
            <w:noWrap w:val="0"/>
            <w:vAlign w:val="center"/>
          </w:tcPr>
          <w:p>
            <w:pPr>
              <w:pStyle w:val="11"/>
              <w:spacing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961" w:type="pct"/>
            <w:noWrap w:val="0"/>
            <w:vAlign w:val="center"/>
          </w:tcPr>
          <w:p>
            <w:pPr>
              <w:pStyle w:val="11"/>
              <w:spacing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trPr>
        <w:tc>
          <w:tcPr>
            <w:tcW w:w="2235" w:type="pct"/>
            <w:noWrap w:val="0"/>
            <w:vAlign w:val="center"/>
          </w:tcPr>
          <w:p>
            <w:pPr>
              <w:autoSpaceDE w:val="0"/>
              <w:autoSpaceDN w:val="0"/>
              <w:adjustRightInd w:val="0"/>
              <w:spacing w:line="30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 辆新能源冷藏车（纯电）</w:t>
            </w:r>
          </w:p>
        </w:tc>
        <w:tc>
          <w:tcPr>
            <w:tcW w:w="1803" w:type="pct"/>
            <w:noWrap w:val="0"/>
            <w:vAlign w:val="center"/>
          </w:tcPr>
          <w:p>
            <w:pPr>
              <w:pStyle w:val="16"/>
              <w:spacing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w:t>
            </w:r>
          </w:p>
          <w:p>
            <w:pPr>
              <w:pStyle w:val="16"/>
              <w:spacing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小写：</w:t>
            </w:r>
          </w:p>
        </w:tc>
        <w:tc>
          <w:tcPr>
            <w:tcW w:w="961" w:type="pct"/>
            <w:noWrap w:val="0"/>
            <w:vAlign w:val="center"/>
          </w:tcPr>
          <w:p>
            <w:pPr>
              <w:pStyle w:val="16"/>
              <w:spacing w:line="400" w:lineRule="atLeast"/>
              <w:rPr>
                <w:rFonts w:hint="eastAsia" w:ascii="宋体" w:hAnsi="宋体" w:eastAsia="宋体" w:cs="宋体"/>
                <w:color w:val="auto"/>
                <w:sz w:val="22"/>
                <w:szCs w:val="22"/>
                <w:highlight w:val="none"/>
              </w:rPr>
            </w:pPr>
          </w:p>
        </w:tc>
      </w:tr>
    </w:tbl>
    <w:p>
      <w:pPr>
        <w:overflowPunct w:val="0"/>
        <w:spacing w:line="380" w:lineRule="exact"/>
        <w:rPr>
          <w:rFonts w:hint="eastAsia" w:ascii="宋体" w:hAnsi="宋体" w:eastAsia="宋体" w:cs="宋体"/>
          <w:bCs/>
          <w:color w:val="auto"/>
          <w:sz w:val="22"/>
          <w:szCs w:val="22"/>
          <w:highlight w:val="none"/>
        </w:rPr>
      </w:pPr>
    </w:p>
    <w:p>
      <w:pPr>
        <w:overflowPunct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pPr>
        <w:numPr>
          <w:ilvl w:val="0"/>
          <w:numId w:val="19"/>
        </w:numPr>
        <w:autoSpaceDE w:val="0"/>
        <w:autoSpaceDN w:val="0"/>
        <w:adjustRightInd w:val="0"/>
        <w:spacing w:line="380" w:lineRule="atLeas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此栏内“投标报价”应与附件三</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lang w:val="zh-CN"/>
        </w:rPr>
        <w:t>投标分项报价表</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lang w:val="zh-CN"/>
        </w:rPr>
        <w:t>中“合计总价”相一致。</w:t>
      </w:r>
    </w:p>
    <w:p>
      <w:pPr>
        <w:numPr>
          <w:ilvl w:val="0"/>
          <w:numId w:val="19"/>
        </w:numPr>
        <w:overflowPunct w:val="0"/>
        <w:spacing w:line="460" w:lineRule="exact"/>
        <w:rPr>
          <w:rFonts w:hint="eastAsia" w:ascii="宋体" w:hAnsi="宋体" w:eastAsia="宋体" w:cs="宋体"/>
          <w:b/>
          <w:color w:val="auto"/>
          <w:sz w:val="22"/>
          <w:szCs w:val="22"/>
          <w:highlight w:val="none"/>
        </w:rPr>
      </w:pPr>
      <w:r>
        <w:rPr>
          <w:rFonts w:hint="eastAsia" w:ascii="宋体" w:hAnsi="宋体" w:eastAsia="宋体" w:cs="宋体"/>
          <w:b/>
          <w:bCs/>
          <w:color w:val="auto"/>
          <w:kern w:val="0"/>
          <w:sz w:val="22"/>
          <w:szCs w:val="22"/>
          <w:highlight w:val="none"/>
          <w:u w:val="single"/>
          <w:lang w:val="zh-CN"/>
        </w:rPr>
        <w:t>不提供此表格将被视为没有实质性响应采购文件</w:t>
      </w:r>
      <w:r>
        <w:rPr>
          <w:rFonts w:hint="eastAsia" w:ascii="宋体" w:hAnsi="宋体" w:eastAsia="宋体" w:cs="宋体"/>
          <w:b/>
          <w:bCs/>
          <w:color w:val="auto"/>
          <w:kern w:val="0"/>
          <w:sz w:val="22"/>
          <w:szCs w:val="22"/>
          <w:highlight w:val="none"/>
          <w:u w:val="single"/>
          <w:lang w:val="zh-CN"/>
        </w:rPr>
        <w:t>,</w:t>
      </w:r>
      <w:r>
        <w:rPr>
          <w:rFonts w:hint="eastAsia" w:ascii="宋体" w:hAnsi="宋体" w:eastAsia="宋体" w:cs="宋体"/>
          <w:b/>
          <w:bCs/>
          <w:color w:val="auto"/>
          <w:kern w:val="0"/>
          <w:sz w:val="22"/>
          <w:szCs w:val="22"/>
          <w:highlight w:val="none"/>
          <w:u w:val="single"/>
          <w:lang w:val="zh-CN"/>
        </w:rPr>
        <w:t>其投标文件将被拒绝。</w:t>
      </w:r>
    </w:p>
    <w:p>
      <w:pPr>
        <w:overflowPunct w:val="0"/>
        <w:spacing w:line="460" w:lineRule="exact"/>
        <w:rPr>
          <w:rFonts w:hint="eastAsia" w:ascii="宋体" w:hAnsi="宋体" w:eastAsia="宋体" w:cs="宋体"/>
          <w:b/>
          <w:color w:val="auto"/>
          <w:sz w:val="22"/>
          <w:szCs w:val="22"/>
          <w:highlight w:val="none"/>
        </w:rPr>
      </w:pPr>
    </w:p>
    <w:p>
      <w:pPr>
        <w:overflowPunct w:val="0"/>
        <w:spacing w:line="460" w:lineRule="exact"/>
        <w:rPr>
          <w:rFonts w:hint="eastAsia" w:ascii="宋体" w:hAnsi="宋体" w:eastAsia="宋体" w:cs="宋体"/>
          <w:color w:val="auto"/>
          <w:sz w:val="22"/>
          <w:szCs w:val="22"/>
          <w:highlight w:val="none"/>
        </w:rPr>
      </w:pPr>
    </w:p>
    <w:p>
      <w:pPr>
        <w:overflowPunct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overflowPunct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法定代表人或授权代表（签名或盖章）：</w:t>
      </w:r>
    </w:p>
    <w:p>
      <w:pPr>
        <w:overflowPunct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overflowPunct w:val="0"/>
        <w:spacing w:line="460" w:lineRule="exact"/>
        <w:rPr>
          <w:rFonts w:hint="eastAsia" w:ascii="宋体" w:hAnsi="宋体" w:eastAsia="宋体" w:cs="宋体"/>
          <w:color w:val="auto"/>
          <w:sz w:val="22"/>
          <w:szCs w:val="22"/>
          <w:highlight w:val="none"/>
        </w:rPr>
      </w:pPr>
    </w:p>
    <w:p>
      <w:pPr>
        <w:overflowPunct w:val="0"/>
        <w:spacing w:line="380" w:lineRule="exact"/>
        <w:ind w:firstLine="9460" w:firstLineChars="4300"/>
        <w:rPr>
          <w:rFonts w:hint="eastAsia" w:ascii="宋体" w:hAnsi="宋体" w:eastAsia="宋体" w:cs="宋体"/>
          <w:color w:val="auto"/>
          <w:sz w:val="22"/>
          <w:szCs w:val="22"/>
          <w:highlight w:val="none"/>
        </w:rPr>
      </w:pPr>
    </w:p>
    <w:p>
      <w:pPr>
        <w:spacing w:line="38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sz w:val="28"/>
          <w:szCs w:val="28"/>
          <w:highlight w:val="none"/>
        </w:rPr>
        <w:t>投标分项报价表</w:t>
      </w:r>
    </w:p>
    <w:p>
      <w:pPr>
        <w:spacing w:line="38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项目名称： </w:t>
      </w:r>
      <w:r>
        <w:rPr>
          <w:rFonts w:hint="eastAsia" w:ascii="宋体" w:hAnsi="宋体" w:eastAsia="宋体" w:cs="宋体"/>
          <w:color w:val="auto"/>
          <w:sz w:val="22"/>
          <w:highlight w:val="none"/>
        </w:rPr>
        <w:t xml:space="preserve">       </w:t>
      </w:r>
      <w:r>
        <w:rPr>
          <w:rFonts w:hint="eastAsia" w:ascii="宋体" w:hAnsi="宋体" w:eastAsia="宋体" w:cs="宋体"/>
          <w:b/>
          <w:color w:val="auto"/>
          <w:sz w:val="22"/>
          <w:highlight w:val="none"/>
        </w:rPr>
        <w:t xml:space="preserve">                             项目编号：</w:t>
      </w:r>
    </w:p>
    <w:p>
      <w:pPr>
        <w:spacing w:line="38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价格单位：元</w:t>
      </w:r>
    </w:p>
    <w:tbl>
      <w:tblPr>
        <w:tblStyle w:val="18"/>
        <w:tblW w:w="0" w:type="auto"/>
        <w:tblInd w:w="0" w:type="dxa"/>
        <w:tblLayout w:type="fixed"/>
        <w:tblCellMar>
          <w:top w:w="0" w:type="dxa"/>
          <w:left w:w="108" w:type="dxa"/>
          <w:bottom w:w="0" w:type="dxa"/>
          <w:right w:w="108" w:type="dxa"/>
        </w:tblCellMar>
      </w:tblPr>
      <w:tblGrid>
        <w:gridCol w:w="437"/>
        <w:gridCol w:w="3254"/>
        <w:gridCol w:w="1329"/>
        <w:gridCol w:w="1207"/>
        <w:gridCol w:w="1247"/>
        <w:gridCol w:w="1180"/>
        <w:gridCol w:w="1198"/>
      </w:tblGrid>
      <w:tr>
        <w:tblPrEx>
          <w:tblCellMar>
            <w:top w:w="0" w:type="dxa"/>
            <w:left w:w="108" w:type="dxa"/>
            <w:bottom w:w="0" w:type="dxa"/>
            <w:right w:w="108" w:type="dxa"/>
          </w:tblCellMar>
        </w:tblPrEx>
        <w:trPr>
          <w:trHeight w:val="1310" w:hRule="exact"/>
        </w:trPr>
        <w:tc>
          <w:tcPr>
            <w:tcW w:w="437" w:type="dxa"/>
            <w:tcBorders>
              <w:top w:val="single" w:color="000000" w:sz="12" w:space="0"/>
              <w:left w:val="single" w:color="000000" w:sz="1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序号</w:t>
            </w:r>
          </w:p>
          <w:p>
            <w:pPr>
              <w:spacing w:line="400" w:lineRule="exact"/>
              <w:jc w:val="center"/>
              <w:rPr>
                <w:rFonts w:hint="eastAsia" w:ascii="宋体" w:hAnsi="宋体" w:eastAsia="宋体" w:cs="宋体"/>
                <w:color w:val="auto"/>
                <w:kern w:val="1"/>
                <w:sz w:val="22"/>
                <w:szCs w:val="22"/>
                <w:highlight w:val="none"/>
              </w:rPr>
            </w:pPr>
          </w:p>
        </w:tc>
        <w:tc>
          <w:tcPr>
            <w:tcW w:w="3254" w:type="dxa"/>
            <w:tcBorders>
              <w:top w:val="single" w:color="000000" w:sz="12"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项目内容</w:t>
            </w:r>
          </w:p>
        </w:tc>
        <w:tc>
          <w:tcPr>
            <w:tcW w:w="1329" w:type="dxa"/>
            <w:tcBorders>
              <w:top w:val="single" w:color="000000" w:sz="12"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lang w:val="en-US" w:eastAsia="zh-CN"/>
              </w:rPr>
            </w:pPr>
            <w:r>
              <w:rPr>
                <w:rFonts w:hint="eastAsia" w:ascii="宋体" w:hAnsi="宋体" w:eastAsia="宋体" w:cs="宋体"/>
                <w:color w:val="auto"/>
                <w:kern w:val="1"/>
                <w:sz w:val="22"/>
                <w:szCs w:val="22"/>
                <w:highlight w:val="none"/>
                <w:lang w:val="en-US" w:eastAsia="zh-CN"/>
              </w:rPr>
              <w:t>品牌、型号、规格</w:t>
            </w:r>
          </w:p>
        </w:tc>
        <w:tc>
          <w:tcPr>
            <w:tcW w:w="1207" w:type="dxa"/>
            <w:tcBorders>
              <w:top w:val="single" w:color="000000" w:sz="12"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数量</w:t>
            </w:r>
          </w:p>
        </w:tc>
        <w:tc>
          <w:tcPr>
            <w:tcW w:w="1247" w:type="dxa"/>
            <w:tcBorders>
              <w:top w:val="single" w:color="000000" w:sz="12"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制造厂商名称</w:t>
            </w:r>
          </w:p>
        </w:tc>
        <w:tc>
          <w:tcPr>
            <w:tcW w:w="1180" w:type="dxa"/>
            <w:tcBorders>
              <w:top w:val="single" w:color="000000" w:sz="12"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单价（元）</w:t>
            </w:r>
          </w:p>
        </w:tc>
        <w:tc>
          <w:tcPr>
            <w:tcW w:w="1198" w:type="dxa"/>
            <w:tcBorders>
              <w:top w:val="single" w:color="000000" w:sz="12" w:space="0"/>
              <w:left w:val="single" w:color="000000" w:sz="2" w:space="0"/>
              <w:bottom w:val="single" w:color="000000" w:sz="2" w:space="0"/>
              <w:right w:val="single" w:color="000000" w:sz="12" w:space="0"/>
            </w:tcBorders>
            <w:noWrap w:val="0"/>
            <w:vAlign w:val="center"/>
          </w:tcPr>
          <w:p>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合价（元）</w:t>
            </w:r>
          </w:p>
        </w:tc>
      </w:tr>
      <w:tr>
        <w:tblPrEx>
          <w:tblCellMar>
            <w:top w:w="0" w:type="dxa"/>
            <w:left w:w="108" w:type="dxa"/>
            <w:bottom w:w="0" w:type="dxa"/>
            <w:right w:w="108" w:type="dxa"/>
          </w:tblCellMar>
        </w:tblPrEx>
        <w:trPr>
          <w:trHeight w:val="894"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1</w:t>
            </w:r>
          </w:p>
        </w:tc>
        <w:tc>
          <w:tcPr>
            <w:tcW w:w="3254" w:type="dxa"/>
            <w:tcBorders>
              <w:top w:val="single" w:color="000000" w:sz="2" w:space="0"/>
              <w:left w:val="single" w:color="000000" w:sz="2" w:space="0"/>
              <w:bottom w:val="single" w:color="auto" w:sz="4" w:space="0"/>
              <w:right w:val="single" w:color="000000" w:sz="2" w:space="0"/>
            </w:tcBorders>
            <w:noWrap w:val="0"/>
            <w:vAlign w:val="center"/>
          </w:tcPr>
          <w:p>
            <w:pPr>
              <w:spacing w:line="400" w:lineRule="exact"/>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产品和标准附件 (含税)（按配置清单逐项列出）</w:t>
            </w:r>
          </w:p>
        </w:tc>
        <w:tc>
          <w:tcPr>
            <w:tcW w:w="1329"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rPr>
            </w:pPr>
          </w:p>
        </w:tc>
        <w:tc>
          <w:tcPr>
            <w:tcW w:w="1207"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rPr>
            </w:pPr>
          </w:p>
        </w:tc>
        <w:tc>
          <w:tcPr>
            <w:tcW w:w="1247"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rPr>
            </w:pPr>
          </w:p>
        </w:tc>
        <w:tc>
          <w:tcPr>
            <w:tcW w:w="1180"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rPr>
            </w:pPr>
          </w:p>
        </w:tc>
        <w:tc>
          <w:tcPr>
            <w:tcW w:w="1198" w:type="dxa"/>
            <w:tcBorders>
              <w:top w:val="single" w:color="000000" w:sz="2" w:space="0"/>
              <w:left w:val="single" w:color="000000" w:sz="2" w:space="0"/>
              <w:bottom w:val="single" w:color="000000" w:sz="2" w:space="0"/>
              <w:right w:val="single" w:color="000000" w:sz="12" w:space="0"/>
            </w:tcBorders>
            <w:noWrap w:val="0"/>
            <w:vAlign w:val="center"/>
          </w:tcPr>
          <w:p>
            <w:pPr>
              <w:spacing w:line="400" w:lineRule="exact"/>
              <w:jc w:val="center"/>
              <w:rPr>
                <w:rFonts w:hint="eastAsia" w:ascii="宋体" w:hAnsi="宋体" w:eastAsia="宋体" w:cs="宋体"/>
                <w:color w:val="auto"/>
                <w:kern w:val="1"/>
                <w:sz w:val="22"/>
                <w:szCs w:val="22"/>
                <w:highlight w:val="none"/>
              </w:rPr>
            </w:pPr>
          </w:p>
        </w:tc>
      </w:tr>
      <w:tr>
        <w:tblPrEx>
          <w:tblCellMar>
            <w:top w:w="0" w:type="dxa"/>
            <w:left w:w="108" w:type="dxa"/>
            <w:bottom w:w="0" w:type="dxa"/>
            <w:right w:w="108" w:type="dxa"/>
          </w:tblCellMar>
        </w:tblPrEx>
        <w:trPr>
          <w:trHeight w:val="968"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2</w:t>
            </w:r>
          </w:p>
        </w:tc>
        <w:tc>
          <w:tcPr>
            <w:tcW w:w="3254"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随机备品备件、耗材、专用工具（如有）</w:t>
            </w:r>
          </w:p>
        </w:tc>
        <w:tc>
          <w:tcPr>
            <w:tcW w:w="6161" w:type="dxa"/>
            <w:gridSpan w:val="5"/>
            <w:tcBorders>
              <w:top w:val="single" w:color="000000" w:sz="2" w:space="0"/>
              <w:left w:val="single" w:color="000000" w:sz="2" w:space="0"/>
              <w:bottom w:val="single" w:color="000000" w:sz="2" w:space="0"/>
              <w:right w:val="single" w:color="000000" w:sz="12" w:space="0"/>
            </w:tcBorders>
            <w:noWrap w:val="0"/>
            <w:vAlign w:val="center"/>
          </w:tcPr>
          <w:p>
            <w:pPr>
              <w:spacing w:line="400" w:lineRule="exact"/>
              <w:jc w:val="center"/>
              <w:rPr>
                <w:rFonts w:hint="eastAsia" w:ascii="宋体" w:hAnsi="宋体" w:eastAsia="宋体" w:cs="宋体"/>
                <w:color w:val="auto"/>
                <w:kern w:val="1"/>
                <w:sz w:val="22"/>
                <w:szCs w:val="22"/>
                <w:highlight w:val="none"/>
              </w:rPr>
            </w:pPr>
          </w:p>
        </w:tc>
      </w:tr>
      <w:tr>
        <w:trPr>
          <w:trHeight w:val="936"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3</w:t>
            </w:r>
          </w:p>
        </w:tc>
        <w:tc>
          <w:tcPr>
            <w:tcW w:w="3254"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lang w:val="en-US" w:eastAsia="zh-CN"/>
              </w:rPr>
              <w:t>设计、</w:t>
            </w:r>
            <w:r>
              <w:rPr>
                <w:rFonts w:hint="eastAsia" w:ascii="宋体" w:hAnsi="宋体" w:eastAsia="宋体" w:cs="宋体"/>
                <w:color w:val="auto"/>
                <w:kern w:val="1"/>
                <w:sz w:val="22"/>
                <w:szCs w:val="22"/>
                <w:highlight w:val="none"/>
              </w:rPr>
              <w:t>安装、调试、检验费（含第三方检验费）</w:t>
            </w:r>
          </w:p>
        </w:tc>
        <w:tc>
          <w:tcPr>
            <w:tcW w:w="6161" w:type="dxa"/>
            <w:gridSpan w:val="5"/>
            <w:tcBorders>
              <w:top w:val="single" w:color="000000" w:sz="2" w:space="0"/>
              <w:left w:val="single" w:color="000000" w:sz="2" w:space="0"/>
              <w:bottom w:val="single" w:color="000000" w:sz="2" w:space="0"/>
              <w:right w:val="single" w:color="000000" w:sz="12" w:space="0"/>
            </w:tcBorders>
            <w:noWrap w:val="0"/>
            <w:vAlign w:val="center"/>
          </w:tcPr>
          <w:p>
            <w:pPr>
              <w:spacing w:line="400" w:lineRule="exact"/>
              <w:jc w:val="center"/>
              <w:rPr>
                <w:rFonts w:hint="eastAsia" w:ascii="宋体" w:hAnsi="宋体" w:eastAsia="宋体" w:cs="宋体"/>
                <w:color w:val="auto"/>
                <w:kern w:val="1"/>
                <w:sz w:val="22"/>
                <w:szCs w:val="22"/>
                <w:highlight w:val="none"/>
              </w:rPr>
            </w:pPr>
          </w:p>
        </w:tc>
      </w:tr>
      <w:tr>
        <w:trPr>
          <w:trHeight w:val="724"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4</w:t>
            </w:r>
          </w:p>
        </w:tc>
        <w:tc>
          <w:tcPr>
            <w:tcW w:w="3254"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宋体" w:hAnsi="宋体" w:eastAsia="宋体" w:cs="宋体"/>
                <w:color w:val="auto"/>
                <w:kern w:val="1"/>
                <w:sz w:val="22"/>
                <w:szCs w:val="22"/>
                <w:highlight w:val="none"/>
                <w:lang w:val="en-US" w:eastAsia="zh-CN" w:bidi="ar-SA"/>
              </w:rPr>
            </w:pPr>
            <w:r>
              <w:rPr>
                <w:rFonts w:hint="eastAsia" w:ascii="宋体" w:hAnsi="宋体" w:eastAsia="宋体" w:cs="宋体"/>
                <w:color w:val="auto"/>
                <w:kern w:val="1"/>
                <w:sz w:val="22"/>
                <w:szCs w:val="22"/>
                <w:highlight w:val="none"/>
              </w:rPr>
              <w:t>技术服务费</w:t>
            </w:r>
            <w:r>
              <w:rPr>
                <w:rFonts w:hint="eastAsia" w:ascii="宋体" w:hAnsi="宋体" w:eastAsia="宋体" w:cs="宋体"/>
                <w:color w:val="auto"/>
                <w:kern w:val="1"/>
                <w:sz w:val="22"/>
                <w:szCs w:val="22"/>
                <w:highlight w:val="none"/>
                <w:lang w:eastAsia="zh-CN"/>
              </w:rPr>
              <w:t>、</w:t>
            </w:r>
            <w:r>
              <w:rPr>
                <w:rFonts w:hint="eastAsia" w:ascii="宋体" w:hAnsi="宋体" w:eastAsia="宋体" w:cs="宋体"/>
                <w:color w:val="auto"/>
                <w:kern w:val="1"/>
                <w:sz w:val="22"/>
                <w:szCs w:val="22"/>
                <w:highlight w:val="none"/>
                <w:lang w:val="en-US" w:eastAsia="zh-CN"/>
              </w:rPr>
              <w:t>培训费</w:t>
            </w:r>
            <w:r>
              <w:rPr>
                <w:rFonts w:hint="eastAsia" w:ascii="宋体" w:hAnsi="宋体" w:eastAsia="宋体" w:cs="宋体"/>
                <w:color w:val="auto"/>
                <w:kern w:val="1"/>
                <w:sz w:val="22"/>
                <w:szCs w:val="22"/>
                <w:highlight w:val="none"/>
              </w:rPr>
              <w:t>（如有）</w:t>
            </w:r>
          </w:p>
        </w:tc>
        <w:tc>
          <w:tcPr>
            <w:tcW w:w="6161" w:type="dxa"/>
            <w:gridSpan w:val="5"/>
            <w:tcBorders>
              <w:top w:val="single" w:color="000000" w:sz="2" w:space="0"/>
              <w:left w:val="single" w:color="000000" w:sz="2" w:space="0"/>
              <w:bottom w:val="single" w:color="000000" w:sz="2" w:space="0"/>
              <w:right w:val="single" w:color="000000" w:sz="12" w:space="0"/>
            </w:tcBorders>
            <w:noWrap w:val="0"/>
            <w:vAlign w:val="center"/>
          </w:tcPr>
          <w:p>
            <w:pPr>
              <w:spacing w:line="400" w:lineRule="exact"/>
              <w:jc w:val="center"/>
              <w:rPr>
                <w:rFonts w:hint="eastAsia" w:ascii="宋体" w:hAnsi="宋体" w:eastAsia="宋体" w:cs="宋体"/>
                <w:color w:val="auto"/>
                <w:kern w:val="1"/>
                <w:sz w:val="22"/>
                <w:szCs w:val="22"/>
                <w:highlight w:val="none"/>
              </w:rPr>
            </w:pPr>
          </w:p>
        </w:tc>
      </w:tr>
      <w:tr>
        <w:tblPrEx>
          <w:tblCellMar>
            <w:top w:w="0" w:type="dxa"/>
            <w:left w:w="108" w:type="dxa"/>
            <w:bottom w:w="0" w:type="dxa"/>
            <w:right w:w="108" w:type="dxa"/>
          </w:tblCellMar>
        </w:tblPrEx>
        <w:trPr>
          <w:trHeight w:val="980"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5</w:t>
            </w:r>
          </w:p>
        </w:tc>
        <w:tc>
          <w:tcPr>
            <w:tcW w:w="3254"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宋体" w:hAnsi="宋体" w:eastAsia="宋体" w:cs="宋体"/>
                <w:color w:val="auto"/>
                <w:kern w:val="1"/>
                <w:sz w:val="22"/>
                <w:szCs w:val="22"/>
                <w:highlight w:val="none"/>
                <w:lang w:val="en-US" w:eastAsia="zh-CN" w:bidi="ar-SA"/>
              </w:rPr>
            </w:pPr>
            <w:r>
              <w:rPr>
                <w:rFonts w:hint="eastAsia" w:ascii="宋体" w:hAnsi="宋体" w:eastAsia="宋体" w:cs="宋体"/>
                <w:color w:val="auto"/>
                <w:kern w:val="1"/>
                <w:sz w:val="22"/>
                <w:szCs w:val="22"/>
                <w:highlight w:val="none"/>
              </w:rPr>
              <w:t>至最终目的地的运费、保险费</w:t>
            </w:r>
          </w:p>
        </w:tc>
        <w:tc>
          <w:tcPr>
            <w:tcW w:w="6161" w:type="dxa"/>
            <w:gridSpan w:val="5"/>
            <w:tcBorders>
              <w:top w:val="single" w:color="000000" w:sz="2" w:space="0"/>
              <w:left w:val="single" w:color="000000" w:sz="2" w:space="0"/>
              <w:bottom w:val="single" w:color="000000" w:sz="2" w:space="0"/>
              <w:right w:val="single" w:color="000000" w:sz="12" w:space="0"/>
            </w:tcBorders>
            <w:noWrap w:val="0"/>
            <w:vAlign w:val="center"/>
          </w:tcPr>
          <w:p>
            <w:pPr>
              <w:spacing w:line="400" w:lineRule="exact"/>
              <w:jc w:val="center"/>
              <w:rPr>
                <w:rFonts w:hint="eastAsia" w:ascii="宋体" w:hAnsi="宋体" w:eastAsia="宋体" w:cs="宋体"/>
                <w:color w:val="auto"/>
                <w:kern w:val="1"/>
                <w:sz w:val="22"/>
                <w:szCs w:val="22"/>
                <w:highlight w:val="none"/>
              </w:rPr>
            </w:pPr>
          </w:p>
        </w:tc>
      </w:tr>
      <w:tr>
        <w:tblPrEx>
          <w:tblCellMar>
            <w:top w:w="0" w:type="dxa"/>
            <w:left w:w="108" w:type="dxa"/>
            <w:bottom w:w="0" w:type="dxa"/>
            <w:right w:w="108" w:type="dxa"/>
          </w:tblCellMar>
        </w:tblPrEx>
        <w:trPr>
          <w:trHeight w:val="724"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6</w:t>
            </w:r>
          </w:p>
        </w:tc>
        <w:tc>
          <w:tcPr>
            <w:tcW w:w="3254"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其它</w:t>
            </w:r>
          </w:p>
        </w:tc>
        <w:tc>
          <w:tcPr>
            <w:tcW w:w="6161" w:type="dxa"/>
            <w:gridSpan w:val="5"/>
            <w:tcBorders>
              <w:top w:val="single" w:color="000000" w:sz="2" w:space="0"/>
              <w:left w:val="single" w:color="000000" w:sz="2" w:space="0"/>
              <w:bottom w:val="single" w:color="000000" w:sz="2" w:space="0"/>
              <w:right w:val="single" w:color="000000" w:sz="12" w:space="0"/>
            </w:tcBorders>
            <w:noWrap w:val="0"/>
            <w:vAlign w:val="center"/>
          </w:tcPr>
          <w:p>
            <w:pPr>
              <w:spacing w:line="400" w:lineRule="exact"/>
              <w:jc w:val="center"/>
              <w:rPr>
                <w:rFonts w:hint="eastAsia" w:ascii="宋体" w:hAnsi="宋体" w:eastAsia="宋体" w:cs="宋体"/>
                <w:color w:val="auto"/>
                <w:kern w:val="1"/>
                <w:sz w:val="22"/>
                <w:szCs w:val="22"/>
                <w:highlight w:val="none"/>
              </w:rPr>
            </w:pPr>
          </w:p>
        </w:tc>
      </w:tr>
      <w:tr>
        <w:tblPrEx>
          <w:tblCellMar>
            <w:top w:w="0" w:type="dxa"/>
            <w:left w:w="108" w:type="dxa"/>
            <w:bottom w:w="0" w:type="dxa"/>
            <w:right w:w="108" w:type="dxa"/>
          </w:tblCellMar>
        </w:tblPrEx>
        <w:trPr>
          <w:trHeight w:val="724"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7</w:t>
            </w:r>
          </w:p>
        </w:tc>
        <w:tc>
          <w:tcPr>
            <w:tcW w:w="3254" w:type="dxa"/>
            <w:tcBorders>
              <w:top w:val="single" w:color="000000" w:sz="2" w:space="0"/>
              <w:left w:val="single" w:color="000000" w:sz="2" w:space="0"/>
              <w:bottom w:val="single" w:color="000000" w:sz="2" w:space="0"/>
              <w:right w:val="single" w:color="000000" w:sz="2" w:space="0"/>
            </w:tcBorders>
            <w:noWrap w:val="0"/>
            <w:vAlign w:val="center"/>
          </w:tcPr>
          <w:p>
            <w:pPr>
              <w:spacing w:line="380" w:lineRule="exact"/>
              <w:rPr>
                <w:rFonts w:hint="eastAsia" w:ascii="宋体" w:hAnsi="宋体" w:eastAsia="宋体" w:cs="宋体"/>
                <w:color w:val="auto"/>
                <w:kern w:val="1"/>
                <w:sz w:val="22"/>
                <w:szCs w:val="22"/>
                <w:highlight w:val="none"/>
                <w:lang w:val="en-US" w:eastAsia="zh-CN"/>
              </w:rPr>
            </w:pPr>
            <w:r>
              <w:rPr>
                <w:rFonts w:hint="eastAsia" w:ascii="宋体" w:hAnsi="宋体" w:eastAsia="宋体" w:cs="宋体"/>
                <w:color w:val="auto"/>
                <w:kern w:val="1"/>
                <w:sz w:val="22"/>
                <w:szCs w:val="22"/>
                <w:highlight w:val="none"/>
                <w:lang w:val="en-US" w:eastAsia="zh-CN"/>
              </w:rPr>
              <w:t>...</w:t>
            </w:r>
          </w:p>
        </w:tc>
        <w:tc>
          <w:tcPr>
            <w:tcW w:w="6161" w:type="dxa"/>
            <w:gridSpan w:val="5"/>
            <w:tcBorders>
              <w:top w:val="single" w:color="000000" w:sz="2" w:space="0"/>
              <w:left w:val="single" w:color="000000" w:sz="2" w:space="0"/>
              <w:bottom w:val="single" w:color="000000" w:sz="2" w:space="0"/>
              <w:right w:val="single" w:color="000000" w:sz="12" w:space="0"/>
            </w:tcBorders>
            <w:noWrap w:val="0"/>
            <w:vAlign w:val="center"/>
          </w:tcPr>
          <w:p>
            <w:pPr>
              <w:spacing w:line="400" w:lineRule="exact"/>
              <w:jc w:val="center"/>
              <w:rPr>
                <w:rFonts w:hint="eastAsia" w:ascii="宋体" w:hAnsi="宋体" w:eastAsia="宋体" w:cs="宋体"/>
                <w:color w:val="auto"/>
                <w:kern w:val="1"/>
                <w:sz w:val="22"/>
                <w:szCs w:val="22"/>
                <w:highlight w:val="none"/>
              </w:rPr>
            </w:pPr>
          </w:p>
        </w:tc>
      </w:tr>
      <w:tr>
        <w:tblPrEx>
          <w:tblCellMar>
            <w:top w:w="0" w:type="dxa"/>
            <w:left w:w="108" w:type="dxa"/>
            <w:bottom w:w="0" w:type="dxa"/>
            <w:right w:w="108" w:type="dxa"/>
          </w:tblCellMar>
        </w:tblPrEx>
        <w:trPr>
          <w:trHeight w:val="724" w:hRule="exact"/>
        </w:trPr>
        <w:tc>
          <w:tcPr>
            <w:tcW w:w="3691" w:type="dxa"/>
            <w:gridSpan w:val="2"/>
            <w:tcBorders>
              <w:top w:val="single" w:color="000000" w:sz="2" w:space="0"/>
              <w:left w:val="single" w:color="000000" w:sz="12" w:space="0"/>
              <w:bottom w:val="single" w:color="000000" w:sz="12" w:space="0"/>
              <w:right w:val="single" w:color="000000" w:sz="2" w:space="0"/>
            </w:tcBorders>
            <w:noWrap w:val="0"/>
            <w:vAlign w:val="center"/>
          </w:tcPr>
          <w:p>
            <w:pPr>
              <w:spacing w:line="400" w:lineRule="exact"/>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总    计   价（元）</w:t>
            </w:r>
          </w:p>
        </w:tc>
        <w:tc>
          <w:tcPr>
            <w:tcW w:w="6161" w:type="dxa"/>
            <w:gridSpan w:val="5"/>
            <w:tcBorders>
              <w:top w:val="single" w:color="000000" w:sz="2" w:space="0"/>
              <w:left w:val="single" w:color="000000" w:sz="2" w:space="0"/>
              <w:bottom w:val="single" w:color="000000" w:sz="12" w:space="0"/>
              <w:right w:val="single" w:color="000000" w:sz="12" w:space="0"/>
            </w:tcBorders>
            <w:noWrap w:val="0"/>
            <w:vAlign w:val="center"/>
          </w:tcPr>
          <w:p>
            <w:pPr>
              <w:spacing w:line="400" w:lineRule="exact"/>
              <w:jc w:val="center"/>
              <w:rPr>
                <w:rFonts w:hint="eastAsia" w:ascii="宋体" w:hAnsi="宋体" w:eastAsia="宋体" w:cs="宋体"/>
                <w:color w:val="auto"/>
                <w:kern w:val="1"/>
                <w:sz w:val="22"/>
                <w:szCs w:val="22"/>
                <w:highlight w:val="none"/>
              </w:rPr>
            </w:pPr>
          </w:p>
        </w:tc>
      </w:tr>
    </w:tbl>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pPr>
        <w:numPr>
          <w:ilvl w:val="0"/>
          <w:numId w:val="20"/>
        </w:num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投标分项报价表内总计价应与附件二中“开标一览表”投标总价相一致。</w:t>
      </w:r>
    </w:p>
    <w:p>
      <w:pPr>
        <w:numPr>
          <w:ilvl w:val="0"/>
          <w:numId w:val="20"/>
        </w:num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不提供此表的报价，视为没有实质性响应采购文件要求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如已包含在其他报价中填（含）</w:t>
      </w:r>
      <w:r>
        <w:rPr>
          <w:rFonts w:hint="eastAsia" w:ascii="宋体" w:hAnsi="宋体" w:eastAsia="宋体" w:cs="宋体"/>
          <w:color w:val="auto"/>
          <w:sz w:val="22"/>
          <w:szCs w:val="22"/>
          <w:highlight w:val="none"/>
        </w:rPr>
        <w:t>。</w:t>
      </w:r>
    </w:p>
    <w:p>
      <w:pPr>
        <w:numPr>
          <w:ilvl w:val="0"/>
          <w:numId w:val="20"/>
        </w:num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本表可在不改变</w:t>
      </w:r>
      <w:r>
        <w:rPr>
          <w:rFonts w:hint="eastAsia" w:ascii="宋体" w:hAnsi="宋体" w:eastAsia="宋体" w:cs="宋体"/>
          <w:color w:val="auto"/>
          <w:sz w:val="22"/>
          <w:szCs w:val="22"/>
          <w:highlight w:val="none"/>
          <w:lang w:val="en-US" w:eastAsia="zh-CN"/>
        </w:rPr>
        <w:t>主要</w:t>
      </w:r>
      <w:r>
        <w:rPr>
          <w:rFonts w:hint="eastAsia" w:ascii="宋体" w:hAnsi="宋体" w:eastAsia="宋体" w:cs="宋体"/>
          <w:color w:val="auto"/>
          <w:sz w:val="22"/>
          <w:szCs w:val="22"/>
          <w:highlight w:val="none"/>
        </w:rPr>
        <w:t>格式的情况下根据具体需要自行</w:t>
      </w:r>
      <w:r>
        <w:rPr>
          <w:rFonts w:hint="eastAsia" w:ascii="宋体" w:hAnsi="宋体" w:eastAsia="宋体" w:cs="宋体"/>
          <w:color w:val="auto"/>
          <w:sz w:val="22"/>
          <w:szCs w:val="22"/>
          <w:highlight w:val="none"/>
          <w:lang w:val="en-US" w:eastAsia="zh-CN"/>
        </w:rPr>
        <w:t>调整</w:t>
      </w:r>
      <w:r>
        <w:rPr>
          <w:rFonts w:hint="eastAsia" w:ascii="宋体" w:hAnsi="宋体" w:eastAsia="宋体" w:cs="宋体"/>
          <w:color w:val="auto"/>
          <w:sz w:val="22"/>
          <w:szCs w:val="22"/>
          <w:highlight w:val="none"/>
        </w:rPr>
        <w:t>。</w:t>
      </w:r>
    </w:p>
    <w:p>
      <w:pPr>
        <w:spacing w:line="380" w:lineRule="exact"/>
        <w:rPr>
          <w:rFonts w:hint="eastAsia" w:ascii="宋体" w:hAnsi="宋体" w:eastAsia="宋体" w:cs="宋体"/>
          <w:color w:val="auto"/>
          <w:sz w:val="22"/>
          <w:highlight w:val="none"/>
        </w:rPr>
      </w:pP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法定代表人或授权代表（签名）：</w:t>
      </w:r>
    </w:p>
    <w:p>
      <w:pPr>
        <w:overflowPunct w:val="0"/>
        <w:spacing w:line="38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日 期：  年  月  日</w:t>
      </w:r>
    </w:p>
    <w:p>
      <w:pPr>
        <w:pStyle w:val="3"/>
        <w:rPr>
          <w:rFonts w:hint="eastAsia" w:ascii="宋体" w:hAnsi="宋体" w:eastAsia="宋体" w:cs="宋体"/>
          <w:color w:val="auto"/>
          <w:sz w:val="36"/>
          <w:szCs w:val="36"/>
          <w:highlight w:val="none"/>
        </w:rPr>
      </w:pPr>
      <w:r>
        <w:rPr>
          <w:rFonts w:hint="eastAsia" w:ascii="宋体" w:hAnsi="宋体" w:eastAsia="宋体" w:cs="宋体"/>
          <w:color w:val="auto"/>
          <w:sz w:val="22"/>
          <w:szCs w:val="22"/>
          <w:highlight w:val="none"/>
        </w:rPr>
        <w:br w:type="page"/>
      </w:r>
      <w:bookmarkStart w:id="106" w:name="_Toc4093"/>
      <w:bookmarkStart w:id="107" w:name="_Toc71374680"/>
      <w:r>
        <w:rPr>
          <w:rFonts w:hint="eastAsia" w:ascii="宋体" w:hAnsi="宋体" w:eastAsia="宋体" w:cs="宋体"/>
          <w:color w:val="auto"/>
          <w:sz w:val="36"/>
          <w:szCs w:val="36"/>
          <w:highlight w:val="none"/>
        </w:rPr>
        <w:t>第四部分   采购内容及要求</w:t>
      </w:r>
      <w:bookmarkEnd w:id="106"/>
      <w:bookmarkEnd w:id="107"/>
    </w:p>
    <w:p>
      <w:pPr>
        <w:numPr>
          <w:ilvl w:val="1"/>
          <w:numId w:val="21"/>
        </w:numPr>
        <w:spacing w:line="440" w:lineRule="exact"/>
        <w:ind w:left="-176" w:right="-176"/>
        <w:rPr>
          <w:rFonts w:hint="eastAsia" w:ascii="宋体" w:hAnsi="宋体" w:eastAsia="宋体" w:cs="宋体"/>
          <w:b/>
          <w:bCs/>
          <w:color w:val="auto"/>
          <w:kern w:val="1"/>
          <w:sz w:val="22"/>
          <w:szCs w:val="22"/>
          <w:highlight w:val="none"/>
        </w:rPr>
      </w:pPr>
      <w:bookmarkStart w:id="108" w:name="_Toc221356960"/>
      <w:bookmarkStart w:id="109" w:name="_Toc222114886"/>
      <w:bookmarkStart w:id="110" w:name="_Toc239145361"/>
      <w:bookmarkStart w:id="111" w:name="_Toc265529390"/>
      <w:bookmarkStart w:id="112" w:name="_Toc241404209"/>
      <w:bookmarkStart w:id="113" w:name="_Toc221374633"/>
      <w:bookmarkStart w:id="114" w:name="_Toc221423626"/>
      <w:bookmarkStart w:id="115" w:name="_Toc71374681"/>
      <w:bookmarkStart w:id="116" w:name="_Toc223716005"/>
      <w:bookmarkStart w:id="117" w:name="_Toc221356897"/>
      <w:r>
        <w:rPr>
          <w:rFonts w:hint="eastAsia" w:ascii="宋体" w:hAnsi="宋体" w:eastAsia="宋体" w:cs="宋体"/>
          <w:b/>
          <w:bCs/>
          <w:color w:val="auto"/>
          <w:kern w:val="1"/>
          <w:sz w:val="22"/>
          <w:szCs w:val="22"/>
          <w:highlight w:val="none"/>
        </w:rPr>
        <w:t>概述</w:t>
      </w:r>
    </w:p>
    <w:p>
      <w:pPr>
        <w:spacing w:line="440" w:lineRule="exact"/>
        <w:ind w:left="-176" w:right="-176" w:firstLine="660" w:firstLineChars="30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本次采购项目为</w:t>
      </w:r>
      <w:r>
        <w:rPr>
          <w:rFonts w:hint="eastAsia" w:ascii="宋体" w:hAnsi="宋体" w:eastAsia="宋体" w:cs="宋体"/>
          <w:color w:val="auto"/>
          <w:kern w:val="1"/>
          <w:sz w:val="22"/>
          <w:szCs w:val="22"/>
          <w:highlight w:val="none"/>
          <w:lang w:val="en-US" w:eastAsia="zh-CN"/>
        </w:rPr>
        <w:t>4 辆新能源冷藏车（纯电）</w:t>
      </w:r>
      <w:r>
        <w:rPr>
          <w:rFonts w:hint="eastAsia" w:ascii="宋体" w:hAnsi="宋体" w:eastAsia="宋体" w:cs="宋体"/>
          <w:bCs/>
          <w:color w:val="auto"/>
          <w:kern w:val="1"/>
          <w:sz w:val="22"/>
          <w:szCs w:val="22"/>
          <w:highlight w:val="none"/>
        </w:rPr>
        <w:t>采购</w:t>
      </w:r>
      <w:r>
        <w:rPr>
          <w:rFonts w:hint="eastAsia" w:ascii="宋体" w:hAnsi="宋体" w:eastAsia="宋体" w:cs="宋体"/>
          <w:color w:val="auto"/>
          <w:kern w:val="1"/>
          <w:sz w:val="22"/>
          <w:szCs w:val="22"/>
          <w:highlight w:val="none"/>
        </w:rPr>
        <w:t>，包括车辆的供货及售后服务等。投标供应商可对其进行投标，本项目谢绝联合体形式投标。</w:t>
      </w:r>
    </w:p>
    <w:p>
      <w:pPr>
        <w:spacing w:line="440" w:lineRule="exact"/>
        <w:ind w:left="-176" w:right="-176"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采购的</w:t>
      </w:r>
      <w:r>
        <w:rPr>
          <w:rFonts w:hint="eastAsia" w:ascii="宋体" w:hAnsi="宋体" w:eastAsia="宋体" w:cs="宋体"/>
          <w:color w:val="auto"/>
          <w:kern w:val="1"/>
          <w:sz w:val="22"/>
          <w:szCs w:val="22"/>
          <w:highlight w:val="none"/>
          <w:lang w:val="en-US" w:eastAsia="zh-CN"/>
        </w:rPr>
        <w:t>产品</w:t>
      </w:r>
      <w:r>
        <w:rPr>
          <w:rFonts w:hint="eastAsia" w:ascii="宋体" w:hAnsi="宋体" w:eastAsia="宋体" w:cs="宋体"/>
          <w:color w:val="auto"/>
          <w:kern w:val="1"/>
          <w:sz w:val="22"/>
          <w:szCs w:val="22"/>
          <w:highlight w:val="none"/>
        </w:rPr>
        <w:t>所涉及的产品标准、规范，验收标准、规范，应符合国家有关条例及规范。</w:t>
      </w:r>
    </w:p>
    <w:p>
      <w:pPr>
        <w:spacing w:line="440" w:lineRule="exact"/>
        <w:ind w:left="-176" w:right="-176"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投标供应商应根据</w:t>
      </w:r>
      <w:r>
        <w:rPr>
          <w:rFonts w:hint="eastAsia" w:ascii="宋体" w:hAnsi="宋体" w:eastAsia="宋体" w:cs="宋体"/>
          <w:color w:val="auto"/>
          <w:kern w:val="1"/>
          <w:sz w:val="22"/>
          <w:szCs w:val="22"/>
          <w:highlight w:val="none"/>
          <w:lang w:eastAsia="zh-CN"/>
        </w:rPr>
        <w:t>采购文件</w:t>
      </w:r>
      <w:r>
        <w:rPr>
          <w:rFonts w:hint="eastAsia" w:ascii="宋体" w:hAnsi="宋体" w:eastAsia="宋体" w:cs="宋体"/>
          <w:color w:val="auto"/>
          <w:kern w:val="1"/>
          <w:sz w:val="22"/>
          <w:szCs w:val="22"/>
          <w:highlight w:val="none"/>
        </w:rPr>
        <w:t>所提出的技术规格、参数、数量和服务要求，综合考虑货物的适应性，选择具有最佳性能价格比的货物前来投标。希望投标供应商以精良的货物、优良的服务和优惠的价格，充分显示自身的竞争实力。</w:t>
      </w:r>
    </w:p>
    <w:p>
      <w:pPr>
        <w:spacing w:line="440" w:lineRule="exact"/>
        <w:ind w:left="-176" w:right="-176" w:firstLine="55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第三方知识产权的要求，卖方承担所供货物、服务或其任何一部分受第三方提出侵犯其专利权、商标权、版权和工业设计权的指控责任。</w:t>
      </w:r>
    </w:p>
    <w:p>
      <w:pPr>
        <w:numPr>
          <w:ilvl w:val="1"/>
          <w:numId w:val="21"/>
        </w:numPr>
        <w:spacing w:line="440" w:lineRule="exact"/>
        <w:ind w:left="-176" w:right="-176"/>
        <w:rPr>
          <w:rFonts w:hint="eastAsia" w:ascii="宋体" w:hAnsi="宋体" w:eastAsia="宋体" w:cs="宋体"/>
          <w:b/>
          <w:bCs/>
          <w:color w:val="auto"/>
          <w:kern w:val="1"/>
          <w:sz w:val="22"/>
          <w:szCs w:val="22"/>
          <w:highlight w:val="none"/>
        </w:rPr>
      </w:pPr>
      <w:r>
        <w:rPr>
          <w:rFonts w:hint="eastAsia" w:ascii="宋体" w:hAnsi="宋体" w:eastAsia="宋体" w:cs="宋体"/>
          <w:b/>
          <w:bCs/>
          <w:color w:val="auto"/>
          <w:kern w:val="1"/>
          <w:sz w:val="22"/>
          <w:szCs w:val="22"/>
          <w:highlight w:val="none"/>
          <w:lang w:val="en-US" w:eastAsia="zh-CN"/>
        </w:rPr>
        <w:t>技术参数要求：</w:t>
      </w:r>
    </w:p>
    <w:p>
      <w:pPr>
        <w:spacing w:line="440" w:lineRule="exac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4辆新能源冷藏车（纯电）基本配置要求</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bottom w:val="single" w:color="auto" w:sz="4" w:space="0"/>
              <w:right w:val="single" w:color="auto" w:sz="4" w:space="0"/>
            </w:tcBorders>
            <w:noWrap w:val="0"/>
            <w:vAlign w:val="center"/>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车型</w:t>
            </w:r>
          </w:p>
        </w:tc>
        <w:tc>
          <w:tcPr>
            <w:tcW w:w="2500" w:type="pct"/>
            <w:tcBorders>
              <w:left w:val="single" w:color="auto" w:sz="4" w:space="0"/>
              <w:bottom w:val="single" w:color="auto" w:sz="4" w:space="0"/>
            </w:tcBorders>
            <w:noWrap w:val="0"/>
            <w:vAlign w:val="center"/>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b w:val="0"/>
                <w:bCs/>
                <w:color w:val="auto"/>
                <w:szCs w:val="21"/>
                <w:highlight w:val="none"/>
                <w:lang w:val="en-US" w:eastAsia="zh-CN"/>
              </w:rPr>
              <w:t>新能源冷藏车（纯电）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国内知名品牌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车体结构</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承载式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整车原装性</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优选</w:t>
            </w:r>
            <w:r>
              <w:rPr>
                <w:rFonts w:hint="eastAsia" w:ascii="宋体" w:hAnsi="宋体" w:eastAsia="宋体" w:cs="宋体"/>
                <w:color w:val="auto"/>
                <w:szCs w:val="21"/>
                <w:highlight w:val="none"/>
              </w:rPr>
              <w:t>车身结构、底盘、车厢为同一厂家原厂生产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前排乘客（人）</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驱动电机类型</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永磁同步电机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驱动电机冷却方式</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驱动电机防护等级</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≥IP67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高压控制器防护等级</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≥IP67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驱动电机额定功率：kw</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驱动电机峰值功率：kw</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轮胎规格</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真空胎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外形尺寸：mm</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4400</w:t>
            </w:r>
            <w:r>
              <w:rPr>
                <w:rFonts w:hint="eastAsia" w:ascii="宋体" w:hAnsi="宋体" w:eastAsia="宋体" w:cs="宋体"/>
                <w:color w:val="auto"/>
                <w:szCs w:val="21"/>
                <w:highlight w:val="none"/>
              </w:rPr>
              <w:t>≤长＜</w:t>
            </w:r>
            <w:r>
              <w:rPr>
                <w:rFonts w:hint="eastAsia" w:ascii="宋体" w:hAnsi="宋体" w:eastAsia="宋体" w:cs="宋体"/>
                <w:color w:val="auto"/>
                <w:szCs w:val="21"/>
                <w:highlight w:val="none"/>
                <w:lang w:val="en-US" w:eastAsia="zh-CN"/>
              </w:rPr>
              <w:t>54</w:t>
            </w:r>
            <w:r>
              <w:rPr>
                <w:rFonts w:hint="eastAsia" w:ascii="宋体" w:hAnsi="宋体" w:eastAsia="宋体" w:cs="宋体"/>
                <w:color w:val="auto"/>
                <w:szCs w:val="21"/>
                <w:highlight w:val="none"/>
              </w:rPr>
              <w:t>00；</w:t>
            </w:r>
            <w:r>
              <w:rPr>
                <w:rFonts w:hint="eastAsia" w:ascii="宋体" w:hAnsi="宋体" w:eastAsia="宋体" w:cs="宋体"/>
                <w:color w:val="auto"/>
                <w:szCs w:val="21"/>
                <w:highlight w:val="none"/>
                <w:lang w:val="en-US" w:eastAsia="zh-CN"/>
              </w:rPr>
              <w:t>1650</w:t>
            </w:r>
            <w:r>
              <w:rPr>
                <w:rFonts w:hint="eastAsia" w:ascii="宋体" w:hAnsi="宋体" w:eastAsia="宋体" w:cs="宋体"/>
                <w:color w:val="auto"/>
                <w:szCs w:val="21"/>
                <w:highlight w:val="none"/>
              </w:rPr>
              <w:t>≤宽≤</w:t>
            </w:r>
            <w:r>
              <w:rPr>
                <w:rFonts w:hint="eastAsia" w:ascii="宋体" w:hAnsi="宋体" w:eastAsia="宋体" w:cs="宋体"/>
                <w:color w:val="auto"/>
                <w:szCs w:val="21"/>
                <w:highlight w:val="none"/>
                <w:lang w:val="en-US" w:eastAsia="zh-CN"/>
              </w:rPr>
              <w:t>1750</w:t>
            </w:r>
            <w:r>
              <w:rPr>
                <w:rFonts w:hint="eastAsia" w:ascii="宋体" w:hAnsi="宋体" w:eastAsia="宋体" w:cs="宋体"/>
                <w:color w:val="auto"/>
                <w:szCs w:val="21"/>
                <w:highlight w:val="none"/>
              </w:rPr>
              <w:t>；</w:t>
            </w:r>
          </w:p>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1950</w:t>
            </w:r>
            <w:r>
              <w:rPr>
                <w:rFonts w:hint="eastAsia" w:ascii="宋体" w:hAnsi="宋体" w:eastAsia="宋体" w:cs="宋体"/>
                <w:color w:val="auto"/>
                <w:szCs w:val="21"/>
                <w:highlight w:val="none"/>
              </w:rPr>
              <w:t>≤高≤</w:t>
            </w:r>
            <w:r>
              <w:rPr>
                <w:rFonts w:hint="eastAsia" w:ascii="宋体" w:hAnsi="宋体" w:eastAsia="宋体" w:cs="宋体"/>
                <w:color w:val="auto"/>
                <w:szCs w:val="21"/>
                <w:highlight w:val="none"/>
                <w:lang w:val="en-US" w:eastAsia="zh-CN"/>
              </w:rPr>
              <w:t>220</w:t>
            </w:r>
            <w:r>
              <w:rPr>
                <w:rFonts w:hint="eastAsia" w:ascii="宋体" w:hAnsi="宋体" w:eastAsia="宋体" w:cs="宋体"/>
                <w:color w:val="auto"/>
                <w:szCs w:val="21"/>
                <w:highlight w:val="non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货厢内部尺寸：mm</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2100</w:t>
            </w:r>
            <w:r>
              <w:rPr>
                <w:rFonts w:hint="eastAsia" w:ascii="宋体" w:hAnsi="宋体" w:eastAsia="宋体" w:cs="宋体"/>
                <w:color w:val="auto"/>
                <w:szCs w:val="21"/>
                <w:highlight w:val="none"/>
              </w:rPr>
              <w:t>≤长≤</w:t>
            </w:r>
            <w:r>
              <w:rPr>
                <w:rFonts w:hint="eastAsia" w:ascii="宋体" w:hAnsi="宋体" w:eastAsia="宋体" w:cs="宋体"/>
                <w:color w:val="auto"/>
                <w:szCs w:val="21"/>
                <w:highlight w:val="none"/>
                <w:lang w:val="en-US" w:eastAsia="zh-CN"/>
              </w:rPr>
              <w:t>2900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1300</w:t>
            </w:r>
            <w:r>
              <w:rPr>
                <w:rFonts w:hint="eastAsia" w:ascii="宋体" w:hAnsi="宋体" w:eastAsia="宋体" w:cs="宋体"/>
                <w:color w:val="auto"/>
                <w:szCs w:val="21"/>
                <w:highlight w:val="none"/>
              </w:rPr>
              <w:t>≤宽≤</w:t>
            </w:r>
            <w:r>
              <w:rPr>
                <w:rFonts w:hint="eastAsia" w:ascii="宋体" w:hAnsi="宋体" w:eastAsia="宋体" w:cs="宋体"/>
                <w:color w:val="auto"/>
                <w:szCs w:val="21"/>
                <w:highlight w:val="none"/>
                <w:lang w:val="en-US" w:eastAsia="zh-CN"/>
              </w:rPr>
              <w:t>1450</w:t>
            </w:r>
            <w:r>
              <w:rPr>
                <w:rFonts w:hint="eastAsia" w:ascii="宋体" w:hAnsi="宋体" w:eastAsia="宋体" w:cs="宋体"/>
                <w:color w:val="auto"/>
                <w:szCs w:val="21"/>
                <w:highlight w:val="none"/>
              </w:rPr>
              <w:t>；</w:t>
            </w:r>
          </w:p>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1150</w:t>
            </w:r>
            <w:r>
              <w:rPr>
                <w:rFonts w:hint="eastAsia" w:ascii="宋体" w:hAnsi="宋体" w:eastAsia="宋体" w:cs="宋体"/>
                <w:color w:val="auto"/>
                <w:szCs w:val="21"/>
                <w:highlight w:val="none"/>
              </w:rPr>
              <w:t>≤高≤</w:t>
            </w:r>
            <w:r>
              <w:rPr>
                <w:rFonts w:hint="eastAsia" w:ascii="宋体" w:hAnsi="宋体" w:eastAsia="宋体" w:cs="宋体"/>
                <w:color w:val="auto"/>
                <w:szCs w:val="21"/>
                <w:highlight w:val="none"/>
                <w:lang w:val="en-US" w:eastAsia="zh-CN"/>
              </w:rPr>
              <w:t>1250</w:t>
            </w:r>
            <w:r>
              <w:rPr>
                <w:rFonts w:hint="eastAsia" w:ascii="宋体" w:hAnsi="宋体" w:eastAsia="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额定载质量：kg</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工况续航里程：公里</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动力电池类型</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磷酸铁锂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bottom w:val="single" w:color="auto" w:sz="4" w:space="0"/>
              <w:right w:val="single" w:color="auto" w:sz="4" w:space="0"/>
            </w:tcBorders>
            <w:noWrap w:val="0"/>
            <w:vAlign w:val="center"/>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电池度数：KWH</w:t>
            </w:r>
          </w:p>
        </w:tc>
        <w:tc>
          <w:tcPr>
            <w:tcW w:w="2500" w:type="pct"/>
            <w:tcBorders>
              <w:top w:val="single" w:color="auto" w:sz="4" w:space="0"/>
              <w:left w:val="single" w:color="auto" w:sz="4" w:space="0"/>
              <w:bottom w:val="single" w:color="auto" w:sz="4" w:space="0"/>
            </w:tcBorders>
            <w:noWrap w:val="0"/>
            <w:vAlign w:val="center"/>
          </w:tcPr>
          <w:p>
            <w:pPr>
              <w:ind w:left="442" w:hanging="442"/>
              <w:jc w:val="center"/>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right w:val="single" w:color="auto" w:sz="4" w:space="0"/>
            </w:tcBorders>
            <w:noWrap w:val="0"/>
            <w:vAlign w:val="center"/>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车身颜色</w:t>
            </w:r>
          </w:p>
        </w:tc>
        <w:tc>
          <w:tcPr>
            <w:tcW w:w="2500" w:type="pct"/>
            <w:tcBorders>
              <w:top w:val="single" w:color="auto" w:sz="4" w:space="0"/>
              <w:left w:val="single" w:color="auto" w:sz="4" w:space="0"/>
            </w:tcBorders>
            <w:noWrap w:val="0"/>
            <w:vAlign w:val="center"/>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△白色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right w:val="single" w:color="auto" w:sz="4" w:space="0"/>
            </w:tcBorders>
            <w:noWrap w:val="0"/>
            <w:vAlign w:val="top"/>
          </w:tcPr>
          <w:p>
            <w:pPr>
              <w:spacing w:beforeLines="0" w:afterLines="0"/>
              <w:jc w:val="center"/>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sz w:val="22"/>
                <w:szCs w:val="24"/>
                <w:highlight w:val="none"/>
              </w:rPr>
              <w:t>冷机参数</w:t>
            </w:r>
          </w:p>
        </w:tc>
        <w:tc>
          <w:tcPr>
            <w:tcW w:w="2500" w:type="pct"/>
            <w:tcBorders>
              <w:top w:val="single" w:color="auto" w:sz="4" w:space="0"/>
              <w:left w:val="single" w:color="auto" w:sz="4" w:space="0"/>
            </w:tcBorders>
            <w:noWrap w:val="0"/>
            <w:vAlign w:val="top"/>
          </w:tcPr>
          <w:p>
            <w:pPr>
              <w:spacing w:beforeLines="0" w:afterLine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right w:val="single" w:color="auto" w:sz="4" w:space="0"/>
            </w:tcBorders>
            <w:noWrap w:val="0"/>
            <w:vAlign w:val="top"/>
          </w:tcPr>
          <w:p>
            <w:pPr>
              <w:spacing w:beforeLines="0" w:afterLines="0"/>
              <w:jc w:val="center"/>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sz w:val="22"/>
                <w:szCs w:val="24"/>
                <w:highlight w:val="none"/>
              </w:rPr>
              <w:t>车厢温度范围</w:t>
            </w:r>
          </w:p>
        </w:tc>
        <w:tc>
          <w:tcPr>
            <w:tcW w:w="2500" w:type="pct"/>
            <w:tcBorders>
              <w:top w:val="single" w:color="auto" w:sz="4" w:space="0"/>
              <w:left w:val="single" w:color="auto" w:sz="4" w:space="0"/>
            </w:tcBorders>
            <w:noWrap w:val="0"/>
            <w:vAlign w:val="top"/>
          </w:tcPr>
          <w:p>
            <w:pPr>
              <w:spacing w:beforeLines="0" w:afterLines="0"/>
              <w:jc w:val="center"/>
              <w:rPr>
                <w:rFonts w:hint="eastAsia" w:ascii="宋体" w:hAnsi="宋体" w:eastAsia="宋体" w:cs="宋体"/>
                <w:color w:val="auto"/>
                <w:szCs w:val="21"/>
                <w:highlight w:val="none"/>
              </w:rPr>
            </w:pPr>
            <w:r>
              <w:rPr>
                <w:rFonts w:hint="eastAsia" w:ascii="宋体" w:hAnsi="宋体" w:eastAsia="宋体" w:cs="宋体"/>
                <w:color w:val="auto"/>
                <w:sz w:val="22"/>
                <w:szCs w:val="24"/>
                <w:highlight w:val="none"/>
              </w:rPr>
              <w:t>-2</w:t>
            </w:r>
            <w:r>
              <w:rPr>
                <w:rFonts w:hint="eastAsia" w:ascii="宋体" w:hAnsi="宋体" w:eastAsia="宋体" w:cs="宋体"/>
                <w:color w:val="auto"/>
                <w:sz w:val="22"/>
                <w:szCs w:val="24"/>
                <w:highlight w:val="none"/>
                <w:lang w:val="en-US" w:eastAsia="zh-CN"/>
              </w:rPr>
              <w:t>0</w:t>
            </w:r>
            <w:r>
              <w:rPr>
                <w:rFonts w:hint="eastAsia" w:ascii="宋体" w:hAnsi="宋体" w:eastAsia="宋体" w:cs="宋体"/>
                <w:color w:val="auto"/>
                <w:sz w:val="22"/>
                <w:szCs w:val="24"/>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right w:val="single" w:color="auto" w:sz="4" w:space="0"/>
            </w:tcBorders>
            <w:noWrap w:val="0"/>
            <w:vAlign w:val="top"/>
          </w:tcPr>
          <w:p>
            <w:pPr>
              <w:spacing w:beforeLines="0" w:afterLines="0"/>
              <w:jc w:val="center"/>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sz w:val="22"/>
                <w:szCs w:val="24"/>
                <w:highlight w:val="none"/>
              </w:rPr>
              <w:t>制冷量</w:t>
            </w:r>
          </w:p>
        </w:tc>
        <w:tc>
          <w:tcPr>
            <w:tcW w:w="2500" w:type="pct"/>
            <w:tcBorders>
              <w:top w:val="single" w:color="auto" w:sz="4" w:space="0"/>
              <w:left w:val="single" w:color="auto" w:sz="4" w:space="0"/>
            </w:tcBorders>
            <w:noWrap w:val="0"/>
            <w:vAlign w:val="top"/>
          </w:tcPr>
          <w:p>
            <w:pPr>
              <w:spacing w:beforeLines="0" w:afterLines="0"/>
              <w:jc w:val="center"/>
              <w:rPr>
                <w:rFonts w:hint="eastAsia" w:ascii="宋体" w:hAnsi="宋体" w:eastAsia="宋体" w:cs="宋体"/>
                <w:color w:val="auto"/>
                <w:szCs w:val="21"/>
                <w:highlight w:val="none"/>
              </w:rPr>
            </w:pPr>
            <w:r>
              <w:rPr>
                <w:rFonts w:hint="eastAsia" w:ascii="宋体" w:hAnsi="宋体" w:eastAsia="宋体" w:cs="宋体"/>
                <w:color w:val="auto"/>
                <w:sz w:val="22"/>
                <w:szCs w:val="24"/>
                <w:highlight w:val="none"/>
              </w:rPr>
              <w:t>库温1.7℃/4700w，库温-17.8℃/2700w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right w:val="single" w:color="auto" w:sz="4" w:space="0"/>
            </w:tcBorders>
            <w:noWrap w:val="0"/>
            <w:vAlign w:val="top"/>
          </w:tcPr>
          <w:p>
            <w:pPr>
              <w:spacing w:beforeLines="0" w:afterLines="0"/>
              <w:jc w:val="center"/>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sz w:val="22"/>
                <w:szCs w:val="24"/>
                <w:highlight w:val="none"/>
              </w:rPr>
              <w:t>制冷剂</w:t>
            </w:r>
          </w:p>
        </w:tc>
        <w:tc>
          <w:tcPr>
            <w:tcW w:w="2500" w:type="pct"/>
            <w:tcBorders>
              <w:top w:val="single" w:color="auto" w:sz="4" w:space="0"/>
              <w:left w:val="single" w:color="auto" w:sz="4" w:space="0"/>
            </w:tcBorders>
            <w:noWrap w:val="0"/>
            <w:vAlign w:val="top"/>
          </w:tcPr>
          <w:p>
            <w:pPr>
              <w:spacing w:beforeLines="0" w:afterLines="0"/>
              <w:jc w:val="center"/>
              <w:rPr>
                <w:rFonts w:hint="eastAsia" w:ascii="宋体" w:hAnsi="宋体" w:eastAsia="宋体" w:cs="宋体"/>
                <w:color w:val="auto"/>
                <w:szCs w:val="21"/>
                <w:highlight w:val="none"/>
              </w:rPr>
            </w:pPr>
            <w:r>
              <w:rPr>
                <w:rFonts w:hint="eastAsia" w:ascii="宋体" w:hAnsi="宋体" w:eastAsia="宋体" w:cs="宋体"/>
                <w:color w:val="auto"/>
                <w:sz w:val="22"/>
                <w:szCs w:val="24"/>
                <w:highlight w:val="none"/>
              </w:rPr>
              <w:t>R404A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right w:val="single" w:color="auto" w:sz="4" w:space="0"/>
            </w:tcBorders>
            <w:noWrap w:val="0"/>
            <w:vAlign w:val="top"/>
          </w:tcPr>
          <w:p>
            <w:pPr>
              <w:spacing w:beforeLines="0" w:afterLines="0"/>
              <w:jc w:val="center"/>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sz w:val="22"/>
                <w:szCs w:val="24"/>
                <w:highlight w:val="none"/>
              </w:rPr>
              <w:t>电压</w:t>
            </w:r>
          </w:p>
        </w:tc>
        <w:tc>
          <w:tcPr>
            <w:tcW w:w="2500" w:type="pct"/>
            <w:tcBorders>
              <w:top w:val="single" w:color="auto" w:sz="4" w:space="0"/>
              <w:left w:val="single" w:color="auto" w:sz="4" w:space="0"/>
            </w:tcBorders>
            <w:noWrap w:val="0"/>
            <w:vAlign w:val="top"/>
          </w:tcPr>
          <w:p>
            <w:pPr>
              <w:spacing w:beforeLines="0" w:afterLine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2"/>
                <w:szCs w:val="24"/>
                <w:highlight w:val="none"/>
              </w:rPr>
              <w:t>DC 24V</w:t>
            </w:r>
            <w:r>
              <w:rPr>
                <w:rFonts w:hint="eastAsia" w:ascii="宋体" w:hAnsi="宋体" w:eastAsia="宋体" w:cs="宋体"/>
                <w:color w:val="auto"/>
                <w:sz w:val="22"/>
                <w:szCs w:val="24"/>
                <w:highlight w:val="none"/>
                <w:lang w:val="en-US" w:eastAsia="zh-CN"/>
              </w:rPr>
              <w:t>或12V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right w:val="single" w:color="auto" w:sz="4" w:space="0"/>
            </w:tcBorders>
            <w:noWrap w:val="0"/>
            <w:vAlign w:val="top"/>
          </w:tcPr>
          <w:p>
            <w:pPr>
              <w:spacing w:beforeLines="0" w:afterLines="0"/>
              <w:jc w:val="center"/>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sz w:val="22"/>
                <w:szCs w:val="24"/>
                <w:highlight w:val="none"/>
              </w:rPr>
              <w:t>冷媒充注量</w:t>
            </w:r>
          </w:p>
        </w:tc>
        <w:tc>
          <w:tcPr>
            <w:tcW w:w="2500" w:type="pct"/>
            <w:tcBorders>
              <w:top w:val="single" w:color="auto" w:sz="4" w:space="0"/>
              <w:left w:val="single" w:color="auto" w:sz="4" w:space="0"/>
            </w:tcBorders>
            <w:noWrap w:val="0"/>
            <w:vAlign w:val="top"/>
          </w:tcPr>
          <w:p>
            <w:pPr>
              <w:spacing w:beforeLines="0" w:afterLines="0"/>
              <w:jc w:val="center"/>
              <w:rPr>
                <w:rFonts w:hint="eastAsia" w:ascii="宋体" w:hAnsi="宋体" w:eastAsia="宋体" w:cs="宋体"/>
                <w:color w:val="auto"/>
                <w:szCs w:val="21"/>
                <w:highlight w:val="none"/>
              </w:rPr>
            </w:pPr>
            <w:r>
              <w:rPr>
                <w:rFonts w:hint="eastAsia" w:ascii="宋体" w:hAnsi="宋体" w:eastAsia="宋体" w:cs="宋体"/>
                <w:color w:val="auto"/>
                <w:sz w:val="22"/>
                <w:szCs w:val="24"/>
                <w:highlight w:val="none"/>
                <w:lang w:val="en-US" w:eastAsia="zh-CN"/>
              </w:rPr>
              <w:t>1.1</w:t>
            </w:r>
            <w:r>
              <w:rPr>
                <w:rFonts w:hint="eastAsia" w:ascii="宋体" w:hAnsi="宋体" w:eastAsia="宋体" w:cs="宋体"/>
                <w:color w:val="auto"/>
                <w:sz w:val="22"/>
                <w:szCs w:val="24"/>
                <w:highlight w:val="none"/>
              </w:rPr>
              <w:t>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right w:val="single" w:color="auto" w:sz="4" w:space="0"/>
            </w:tcBorders>
            <w:noWrap w:val="0"/>
            <w:vAlign w:val="center"/>
          </w:tcPr>
          <w:p>
            <w:pPr>
              <w:widowControl/>
              <w:spacing w:beforeLines="0" w:afterLine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rPr>
              <w:t>风量（m³/h)</w:t>
            </w:r>
          </w:p>
        </w:tc>
        <w:tc>
          <w:tcPr>
            <w:tcW w:w="2500" w:type="pct"/>
            <w:tcBorders>
              <w:top w:val="single" w:color="auto" w:sz="4" w:space="0"/>
              <w:left w:val="single" w:color="auto" w:sz="4" w:space="0"/>
            </w:tcBorders>
            <w:noWrap w:val="0"/>
            <w:vAlign w:val="center"/>
          </w:tcPr>
          <w:p>
            <w:pPr>
              <w:widowControl/>
              <w:spacing w:beforeLines="0" w:afterLine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rPr>
              <w:t>≥2200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0" w:type="pct"/>
            <w:tcBorders>
              <w:top w:val="single" w:color="auto" w:sz="4" w:space="0"/>
              <w:right w:val="single" w:color="auto" w:sz="4" w:space="0"/>
            </w:tcBorders>
            <w:noWrap w:val="0"/>
            <w:vAlign w:val="center"/>
          </w:tcPr>
          <w:p>
            <w:pPr>
              <w:widowControl/>
              <w:spacing w:beforeLines="0" w:afterLine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rPr>
              <w:t>压缩机型号</w:t>
            </w:r>
          </w:p>
        </w:tc>
        <w:tc>
          <w:tcPr>
            <w:tcW w:w="2500" w:type="pct"/>
            <w:tcBorders>
              <w:top w:val="single" w:color="auto" w:sz="4" w:space="0"/>
              <w:left w:val="single" w:color="auto" w:sz="4" w:space="0"/>
            </w:tcBorders>
            <w:noWrap w:val="0"/>
            <w:vAlign w:val="center"/>
          </w:tcPr>
          <w:p>
            <w:pPr>
              <w:widowControl/>
              <w:spacing w:beforeLines="0" w:afterLine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rPr>
              <w:t>知名品牌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bottom w:val="single" w:color="auto" w:sz="4" w:space="0"/>
              <w:right w:val="single" w:color="auto" w:sz="4" w:space="0"/>
            </w:tcBorders>
            <w:noWrap w:val="0"/>
            <w:vAlign w:val="top"/>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备胎</w:t>
            </w:r>
          </w:p>
        </w:tc>
        <w:tc>
          <w:tcPr>
            <w:tcW w:w="2500" w:type="pct"/>
            <w:tcBorders>
              <w:left w:val="single" w:color="auto" w:sz="4" w:space="0"/>
              <w:bottom w:val="single" w:color="auto" w:sz="4" w:space="0"/>
            </w:tcBorders>
            <w:noWrap w:val="0"/>
            <w:vAlign w:val="top"/>
          </w:tcPr>
          <w:p>
            <w:pPr>
              <w:ind w:left="442" w:hanging="4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全尺寸一只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bottom w:val="single" w:color="auto" w:sz="4" w:space="0"/>
              <w:right w:val="single" w:color="auto" w:sz="4" w:space="0"/>
            </w:tcBorders>
            <w:noWrap w:val="0"/>
            <w:vAlign w:val="top"/>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制动器类型</w:t>
            </w:r>
          </w:p>
        </w:tc>
        <w:tc>
          <w:tcPr>
            <w:tcW w:w="2500" w:type="pct"/>
            <w:tcBorders>
              <w:top w:val="single" w:color="auto" w:sz="4" w:space="0"/>
              <w:left w:val="single" w:color="auto" w:sz="4" w:space="0"/>
              <w:bottom w:val="single" w:color="auto" w:sz="4" w:space="0"/>
            </w:tcBorders>
            <w:noWrap w:val="0"/>
            <w:vAlign w:val="top"/>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液压制动、前</w:t>
            </w:r>
            <w:r>
              <w:rPr>
                <w:rFonts w:hint="eastAsia" w:ascii="宋体" w:hAnsi="宋体" w:eastAsia="宋体" w:cs="宋体"/>
                <w:color w:val="auto"/>
                <w:szCs w:val="21"/>
                <w:highlight w:val="none"/>
                <w:lang w:val="en-US" w:eastAsia="zh-CN"/>
              </w:rPr>
              <w:t>盘</w:t>
            </w:r>
            <w:r>
              <w:rPr>
                <w:rFonts w:hint="eastAsia" w:ascii="宋体" w:hAnsi="宋体" w:eastAsia="宋体" w:cs="宋体"/>
                <w:color w:val="auto"/>
                <w:szCs w:val="21"/>
                <w:highlight w:val="none"/>
              </w:rPr>
              <w:t>/后鼓式制动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bottom w:val="single" w:color="auto" w:sz="4" w:space="0"/>
              <w:right w:val="single" w:color="auto" w:sz="4" w:space="0"/>
            </w:tcBorders>
            <w:noWrap w:val="0"/>
            <w:vAlign w:val="top"/>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电动转向助力</w:t>
            </w:r>
          </w:p>
        </w:tc>
        <w:tc>
          <w:tcPr>
            <w:tcW w:w="2500" w:type="pct"/>
            <w:tcBorders>
              <w:top w:val="single" w:color="auto" w:sz="4" w:space="0"/>
              <w:left w:val="single" w:color="auto" w:sz="4" w:space="0"/>
              <w:bottom w:val="single" w:color="auto" w:sz="4" w:space="0"/>
            </w:tcBorders>
            <w:noWrap w:val="0"/>
            <w:vAlign w:val="top"/>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tcBorders>
              <w:top w:val="single" w:color="auto" w:sz="4" w:space="0"/>
              <w:right w:val="single" w:color="auto" w:sz="4" w:space="0"/>
            </w:tcBorders>
            <w:noWrap w:val="0"/>
            <w:vAlign w:val="top"/>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ABS</w:t>
            </w:r>
          </w:p>
        </w:tc>
        <w:tc>
          <w:tcPr>
            <w:tcW w:w="2500" w:type="pct"/>
            <w:tcBorders>
              <w:top w:val="single" w:color="auto" w:sz="4" w:space="0"/>
              <w:left w:val="single" w:color="auto" w:sz="4" w:space="0"/>
            </w:tcBorders>
            <w:noWrap w:val="0"/>
            <w:vAlign w:val="top"/>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bottom w:val="single" w:color="auto" w:sz="4" w:space="0"/>
              <w:right w:val="single" w:color="auto" w:sz="4" w:space="0"/>
            </w:tcBorders>
            <w:noWrap w:val="0"/>
            <w:vAlign w:val="top"/>
          </w:tcPr>
          <w:p>
            <w:pPr>
              <w:ind w:left="440" w:hanging="44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卤素大灯</w:t>
            </w:r>
          </w:p>
        </w:tc>
        <w:tc>
          <w:tcPr>
            <w:tcW w:w="2500" w:type="pct"/>
            <w:tcBorders>
              <w:left w:val="single" w:color="auto" w:sz="4" w:space="0"/>
              <w:bottom w:val="single" w:color="auto" w:sz="4" w:space="0"/>
            </w:tcBorders>
            <w:noWrap w:val="0"/>
            <w:vAlign w:val="top"/>
          </w:tcPr>
          <w:p>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bottom w:val="single" w:color="auto" w:sz="4" w:space="0"/>
              <w:right w:val="single" w:color="auto" w:sz="4" w:space="0"/>
            </w:tcBorders>
            <w:noWrap w:val="0"/>
            <w:vAlign w:val="top"/>
          </w:tcPr>
          <w:p>
            <w:pPr>
              <w:ind w:left="440" w:hanging="44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前雾灯</w:t>
            </w:r>
          </w:p>
        </w:tc>
        <w:tc>
          <w:tcPr>
            <w:tcW w:w="2500" w:type="pct"/>
            <w:tcBorders>
              <w:top w:val="single" w:color="auto" w:sz="4" w:space="0"/>
              <w:left w:val="single" w:color="auto" w:sz="4" w:space="0"/>
              <w:bottom w:val="single" w:color="auto" w:sz="4" w:space="0"/>
            </w:tcBorders>
            <w:noWrap w:val="0"/>
            <w:vAlign w:val="top"/>
          </w:tcPr>
          <w:p>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bottom w:val="single" w:color="auto" w:sz="4" w:space="0"/>
              <w:right w:val="single" w:color="auto" w:sz="4" w:space="0"/>
            </w:tcBorders>
            <w:noWrap w:val="0"/>
            <w:vAlign w:val="top"/>
          </w:tcPr>
          <w:p>
            <w:pPr>
              <w:ind w:left="440" w:hanging="44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前排三点式安全带</w:t>
            </w:r>
          </w:p>
        </w:tc>
        <w:tc>
          <w:tcPr>
            <w:tcW w:w="2500" w:type="pct"/>
            <w:tcBorders>
              <w:top w:val="single" w:color="auto" w:sz="4" w:space="0"/>
              <w:left w:val="single" w:color="auto" w:sz="4" w:space="0"/>
              <w:bottom w:val="single" w:color="auto" w:sz="4" w:space="0"/>
            </w:tcBorders>
            <w:noWrap w:val="0"/>
            <w:vAlign w:val="top"/>
          </w:tcPr>
          <w:p>
            <w:pPr>
              <w:ind w:left="440" w:hanging="44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right w:val="single" w:color="auto" w:sz="4" w:space="0"/>
            </w:tcBorders>
            <w:noWrap w:val="0"/>
            <w:vAlign w:val="top"/>
          </w:tcPr>
          <w:p>
            <w:pPr>
              <w:ind w:left="440" w:hanging="44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低速报警</w:t>
            </w:r>
          </w:p>
        </w:tc>
        <w:tc>
          <w:tcPr>
            <w:tcW w:w="2500" w:type="pct"/>
            <w:tcBorders>
              <w:top w:val="single" w:color="auto" w:sz="4" w:space="0"/>
              <w:left w:val="single" w:color="auto" w:sz="4" w:space="0"/>
            </w:tcBorders>
            <w:noWrap w:val="0"/>
            <w:vAlign w:val="top"/>
          </w:tcPr>
          <w:p>
            <w:pPr>
              <w:ind w:left="440" w:hanging="44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bottom w:val="single" w:color="auto" w:sz="4" w:space="0"/>
              <w:right w:val="single" w:color="auto" w:sz="4" w:space="0"/>
            </w:tcBorders>
            <w:noWrap w:val="0"/>
            <w:vAlign w:val="top"/>
          </w:tcPr>
          <w:p>
            <w:pPr>
              <w:ind w:left="440" w:hanging="44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导航、车载蓝牙</w:t>
            </w:r>
          </w:p>
        </w:tc>
        <w:tc>
          <w:tcPr>
            <w:tcW w:w="2500" w:type="pct"/>
            <w:tcBorders>
              <w:left w:val="single" w:color="auto" w:sz="4" w:space="0"/>
              <w:bottom w:val="single" w:color="auto" w:sz="4" w:space="0"/>
            </w:tcBorders>
            <w:noWrap w:val="0"/>
            <w:vAlign w:val="top"/>
          </w:tcPr>
          <w:p>
            <w:pPr>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bottom w:val="single" w:color="auto" w:sz="4" w:space="0"/>
              <w:right w:val="single" w:color="auto" w:sz="4" w:space="0"/>
            </w:tcBorders>
            <w:noWrap w:val="0"/>
            <w:vAlign w:val="top"/>
          </w:tcPr>
          <w:p>
            <w:pPr>
              <w:ind w:left="440" w:hanging="44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液晶仪表</w:t>
            </w:r>
          </w:p>
        </w:tc>
        <w:tc>
          <w:tcPr>
            <w:tcW w:w="2500" w:type="pct"/>
            <w:tcBorders>
              <w:top w:val="single" w:color="auto" w:sz="4" w:space="0"/>
              <w:left w:val="single" w:color="auto" w:sz="4" w:space="0"/>
              <w:bottom w:val="single" w:color="auto" w:sz="4" w:space="0"/>
            </w:tcBorders>
            <w:noWrap w:val="0"/>
            <w:vAlign w:val="top"/>
          </w:tcPr>
          <w:p>
            <w:pPr>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bottom w:val="single" w:color="auto" w:sz="4" w:space="0"/>
              <w:right w:val="single" w:color="auto" w:sz="4" w:space="0"/>
            </w:tcBorders>
            <w:noWrap w:val="0"/>
            <w:vAlign w:val="top"/>
          </w:tcPr>
          <w:p>
            <w:pPr>
              <w:ind w:left="440" w:hanging="44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倒车视频</w:t>
            </w:r>
          </w:p>
        </w:tc>
        <w:tc>
          <w:tcPr>
            <w:tcW w:w="2500" w:type="pct"/>
            <w:tcBorders>
              <w:top w:val="single" w:color="auto" w:sz="4" w:space="0"/>
              <w:left w:val="single" w:color="auto" w:sz="4" w:space="0"/>
              <w:bottom w:val="single" w:color="auto" w:sz="4" w:space="0"/>
            </w:tcBorders>
            <w:noWrap w:val="0"/>
            <w:vAlign w:val="top"/>
          </w:tcPr>
          <w:p>
            <w:pPr>
              <w:ind w:left="440" w:hanging="440"/>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bottom w:val="single" w:color="auto" w:sz="4" w:space="0"/>
              <w:right w:val="single" w:color="auto" w:sz="4" w:space="0"/>
            </w:tcBorders>
            <w:noWrap w:val="0"/>
            <w:vAlign w:val="top"/>
          </w:tcPr>
          <w:p>
            <w:pPr>
              <w:ind w:left="440" w:hanging="44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遥控中控锁</w:t>
            </w:r>
          </w:p>
        </w:tc>
        <w:tc>
          <w:tcPr>
            <w:tcW w:w="2500" w:type="pct"/>
            <w:tcBorders>
              <w:top w:val="single" w:color="auto" w:sz="4" w:space="0"/>
              <w:left w:val="single" w:color="auto" w:sz="4" w:space="0"/>
              <w:bottom w:val="single" w:color="auto" w:sz="4" w:space="0"/>
            </w:tcBorders>
            <w:noWrap w:val="0"/>
            <w:vAlign w:val="top"/>
          </w:tcPr>
          <w:p>
            <w:pPr>
              <w:ind w:left="440" w:hanging="440"/>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right w:val="single" w:color="auto" w:sz="4" w:space="0"/>
            </w:tcBorders>
            <w:noWrap w:val="0"/>
            <w:vAlign w:val="top"/>
          </w:tcPr>
          <w:p>
            <w:pPr>
              <w:ind w:left="440" w:hanging="44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电动玻璃车窗</w:t>
            </w:r>
          </w:p>
        </w:tc>
        <w:tc>
          <w:tcPr>
            <w:tcW w:w="2500" w:type="pct"/>
            <w:tcBorders>
              <w:top w:val="single" w:color="auto" w:sz="4" w:space="0"/>
              <w:left w:val="single" w:color="auto" w:sz="4" w:space="0"/>
            </w:tcBorders>
            <w:noWrap w:val="0"/>
            <w:vAlign w:val="top"/>
          </w:tcPr>
          <w:p>
            <w:pPr>
              <w:ind w:left="440" w:hanging="440"/>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bottom w:val="single" w:color="auto" w:sz="4" w:space="0"/>
              <w:right w:val="single" w:color="auto" w:sz="4" w:space="0"/>
            </w:tcBorders>
            <w:noWrap w:val="0"/>
            <w:vAlign w:val="top"/>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电控空调</w:t>
            </w:r>
          </w:p>
        </w:tc>
        <w:tc>
          <w:tcPr>
            <w:tcW w:w="2500" w:type="pct"/>
            <w:tcBorders>
              <w:left w:val="single" w:color="auto" w:sz="4" w:space="0"/>
              <w:bottom w:val="single" w:color="auto" w:sz="4" w:space="0"/>
            </w:tcBorders>
            <w:noWrap w:val="0"/>
            <w:vAlign w:val="top"/>
          </w:tcPr>
          <w:p>
            <w:pPr>
              <w:ind w:left="442" w:hanging="44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right w:val="single" w:color="auto" w:sz="4" w:space="0"/>
            </w:tcBorders>
            <w:noWrap w:val="0"/>
            <w:vAlign w:val="top"/>
          </w:tcPr>
          <w:p>
            <w:pPr>
              <w:ind w:left="442" w:leftChars="0" w:hanging="442" w:firstLineChars="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rPr>
              <w:t>主驾座椅前后可调</w:t>
            </w:r>
          </w:p>
        </w:tc>
        <w:tc>
          <w:tcPr>
            <w:tcW w:w="2500" w:type="pct"/>
            <w:tcBorders>
              <w:top w:val="single" w:color="auto" w:sz="4" w:space="0"/>
              <w:left w:val="single" w:color="auto" w:sz="4" w:space="0"/>
            </w:tcBorders>
            <w:noWrap w:val="0"/>
            <w:vAlign w:val="top"/>
          </w:tcPr>
          <w:p>
            <w:pPr>
              <w:ind w:left="442" w:leftChars="0" w:hanging="442" w:firstLineChars="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rPr>
              <w:t>△有</w:t>
            </w:r>
          </w:p>
        </w:tc>
      </w:tr>
    </w:tbl>
    <w:p>
      <w:pPr>
        <w:pStyle w:val="11"/>
        <w:snapToGrid w:val="0"/>
        <w:spacing w:line="400" w:lineRule="exact"/>
        <w:rPr>
          <w:rFonts w:hint="eastAsia" w:ascii="宋体" w:hAnsi="宋体" w:eastAsia="宋体" w:cs="宋体"/>
          <w:b/>
          <w:bCs/>
          <w:color w:val="auto"/>
          <w:highlight w:val="none"/>
        </w:rPr>
      </w:pPr>
      <w:r>
        <w:rPr>
          <w:rFonts w:hint="eastAsia" w:ascii="宋体" w:hAnsi="宋体" w:eastAsia="宋体" w:cs="宋体"/>
          <w:color w:val="auto"/>
          <w:highlight w:val="none"/>
        </w:rPr>
        <w:t xml:space="preserve">  注：</w:t>
      </w:r>
      <w:r>
        <w:rPr>
          <w:rFonts w:hint="eastAsia" w:ascii="宋体" w:hAnsi="宋体" w:eastAsia="宋体" w:cs="宋体"/>
          <w:b/>
          <w:bCs/>
          <w:color w:val="auto"/>
          <w:highlight w:val="none"/>
        </w:rPr>
        <w:t xml:space="preserve"> 1、参数中“△”为主要配备的性能</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不允许负偏离</w:t>
      </w:r>
      <w:r>
        <w:rPr>
          <w:rFonts w:hint="eastAsia" w:ascii="宋体" w:hAnsi="宋体" w:eastAsia="宋体" w:cs="宋体"/>
          <w:b/>
          <w:bCs/>
          <w:color w:val="auto"/>
          <w:highlight w:val="none"/>
        </w:rPr>
        <w:t>。</w:t>
      </w:r>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2、油漆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rPr>
        <w:t>△全车采用机器人喷漆、阴极电泳防锈喷漆工艺。</w:t>
      </w:r>
    </w:p>
    <w:p>
      <w:pPr>
        <w:pStyle w:val="5"/>
        <w:rPr>
          <w:rFonts w:hint="eastAsia" w:ascii="宋体" w:hAnsi="宋体" w:eastAsia="宋体" w:cs="宋体"/>
          <w:color w:val="auto"/>
          <w:highlight w:val="none"/>
        </w:rPr>
      </w:pPr>
    </w:p>
    <w:p>
      <w:pPr>
        <w:pStyle w:val="3"/>
        <w:rPr>
          <w:rFonts w:hint="eastAsia" w:ascii="宋体" w:hAnsi="宋体" w:eastAsia="宋体" w:cs="宋体"/>
          <w:b w:val="0"/>
          <w:bCs w:val="0"/>
          <w:color w:val="auto"/>
          <w:highlight w:val="none"/>
        </w:rPr>
      </w:pPr>
      <w:r>
        <w:rPr>
          <w:rFonts w:hint="eastAsia" w:ascii="宋体" w:hAnsi="宋体" w:eastAsia="宋体" w:cs="宋体"/>
          <w:color w:val="auto"/>
          <w:sz w:val="36"/>
          <w:szCs w:val="36"/>
          <w:highlight w:val="none"/>
        </w:rPr>
        <w:br w:type="page"/>
      </w:r>
      <w:bookmarkStart w:id="118" w:name="_Toc26755"/>
      <w:r>
        <w:rPr>
          <w:rFonts w:hint="eastAsia" w:ascii="宋体" w:hAnsi="宋体" w:eastAsia="宋体" w:cs="宋体"/>
          <w:color w:val="auto"/>
          <w:sz w:val="36"/>
          <w:szCs w:val="36"/>
          <w:highlight w:val="none"/>
        </w:rPr>
        <w:t>第五部分   评标原则及方法</w:t>
      </w:r>
      <w:bookmarkEnd w:id="108"/>
      <w:bookmarkEnd w:id="109"/>
      <w:bookmarkEnd w:id="110"/>
      <w:bookmarkEnd w:id="111"/>
      <w:bookmarkEnd w:id="112"/>
      <w:bookmarkEnd w:id="113"/>
      <w:bookmarkEnd w:id="114"/>
      <w:bookmarkEnd w:id="115"/>
      <w:bookmarkEnd w:id="116"/>
      <w:bookmarkEnd w:id="117"/>
      <w:bookmarkEnd w:id="118"/>
    </w:p>
    <w:p>
      <w:pPr>
        <w:pStyle w:val="9"/>
        <w:spacing w:after="0" w:line="460" w:lineRule="exact"/>
        <w:rPr>
          <w:rFonts w:hint="eastAsia" w:ascii="宋体" w:hAnsi="宋体" w:eastAsia="宋体" w:cs="宋体"/>
          <w:b/>
          <w:color w:val="auto"/>
          <w:highlight w:val="none"/>
        </w:rPr>
      </w:pPr>
      <w:bookmarkStart w:id="119" w:name="_Toc221356898"/>
      <w:bookmarkStart w:id="120" w:name="_Toc221356961"/>
      <w:r>
        <w:rPr>
          <w:rFonts w:hint="eastAsia" w:ascii="宋体" w:hAnsi="宋体" w:eastAsia="宋体" w:cs="宋体"/>
          <w:b/>
          <w:color w:val="auto"/>
          <w:highlight w:val="none"/>
        </w:rPr>
        <w:t>一. 总  则</w:t>
      </w:r>
      <w:bookmarkEnd w:id="119"/>
      <w:bookmarkEnd w:id="120"/>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w:t>
      </w:r>
    </w:p>
    <w:p>
      <w:pPr>
        <w:pStyle w:val="9"/>
        <w:spacing w:after="0" w:line="460" w:lineRule="exact"/>
        <w:rPr>
          <w:rFonts w:hint="eastAsia" w:ascii="宋体" w:hAnsi="宋体" w:eastAsia="宋体" w:cs="宋体"/>
          <w:b/>
          <w:color w:val="auto"/>
          <w:highlight w:val="none"/>
        </w:rPr>
      </w:pPr>
      <w:bookmarkStart w:id="121" w:name="_Toc221356962"/>
      <w:bookmarkStart w:id="122" w:name="_Toc221356899"/>
      <w:r>
        <w:rPr>
          <w:rFonts w:hint="eastAsia" w:ascii="宋体" w:hAnsi="宋体" w:eastAsia="宋体" w:cs="宋体"/>
          <w:b/>
          <w:color w:val="auto"/>
          <w:highlight w:val="none"/>
        </w:rPr>
        <w:t>二、评标组织</w:t>
      </w:r>
      <w:bookmarkEnd w:id="121"/>
      <w:bookmarkEnd w:id="122"/>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w:t>
      </w: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rPr>
        <w:t>依法组建的评标委员会负责，评标全过程由有关部门指导监督。</w:t>
      </w:r>
    </w:p>
    <w:p>
      <w:pPr>
        <w:pStyle w:val="9"/>
        <w:spacing w:after="0" w:line="460" w:lineRule="exact"/>
        <w:rPr>
          <w:rFonts w:hint="eastAsia" w:ascii="宋体" w:hAnsi="宋体" w:eastAsia="宋体" w:cs="宋体"/>
          <w:b/>
          <w:color w:val="auto"/>
          <w:highlight w:val="none"/>
        </w:rPr>
      </w:pPr>
      <w:bookmarkStart w:id="123" w:name="_Toc221356963"/>
      <w:bookmarkStart w:id="124" w:name="_Toc221356900"/>
      <w:r>
        <w:rPr>
          <w:rFonts w:hint="eastAsia" w:ascii="宋体" w:hAnsi="宋体" w:eastAsia="宋体" w:cs="宋体"/>
          <w:b/>
          <w:color w:val="auto"/>
          <w:highlight w:val="none"/>
        </w:rPr>
        <w:t>三、评标程序</w:t>
      </w:r>
      <w:bookmarkEnd w:id="123"/>
      <w:bookmarkEnd w:id="124"/>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后，采购代理机构对各投标人的资格进行审查；然后评标委员会对合格投标人的投标文件进行符合性审查，按照采购文件中规定的评标方法和标准，对符合性审查合格的投标文件进行商务和技术评估，综合比较与评价。</w:t>
      </w:r>
    </w:p>
    <w:p>
      <w:pPr>
        <w:pStyle w:val="9"/>
        <w:spacing w:after="0" w:line="460" w:lineRule="exact"/>
        <w:rPr>
          <w:rFonts w:hint="eastAsia" w:ascii="宋体" w:hAnsi="宋体" w:eastAsia="宋体" w:cs="宋体"/>
          <w:b/>
          <w:color w:val="auto"/>
          <w:highlight w:val="none"/>
        </w:rPr>
      </w:pPr>
      <w:bookmarkStart w:id="125" w:name="_Toc221356901"/>
      <w:bookmarkStart w:id="126" w:name="_Toc221356964"/>
      <w:r>
        <w:rPr>
          <w:rFonts w:hint="eastAsia" w:ascii="宋体" w:hAnsi="宋体" w:eastAsia="宋体" w:cs="宋体"/>
          <w:b/>
          <w:color w:val="auto"/>
          <w:highlight w:val="none"/>
        </w:rPr>
        <w:t>四、评标办法</w:t>
      </w:r>
      <w:bookmarkEnd w:id="125"/>
      <w:bookmarkEnd w:id="126"/>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本次采购采用百分制综合评分法，即投标人最大限度地满足采购文件实质性要求的基础上，按照采购文件的各项因素进行综合评审后，以评标总得分最高的投标人和次高的投标人作为中标候选人和备选中标人的评标方法。</w:t>
      </w:r>
    </w:p>
    <w:p>
      <w:pPr>
        <w:pStyle w:val="9"/>
        <w:spacing w:after="0" w:line="460" w:lineRule="exact"/>
        <w:rPr>
          <w:rFonts w:hint="eastAsia" w:ascii="宋体" w:hAnsi="宋体" w:eastAsia="宋体" w:cs="宋体"/>
          <w:b/>
          <w:color w:val="auto"/>
          <w:highlight w:val="none"/>
        </w:rPr>
      </w:pPr>
      <w:r>
        <w:rPr>
          <w:rFonts w:hint="eastAsia" w:ascii="宋体" w:hAnsi="宋体" w:eastAsia="宋体" w:cs="宋体"/>
          <w:b/>
          <w:color w:val="auto"/>
          <w:highlight w:val="none"/>
        </w:rPr>
        <w:t>五、评分细则</w:t>
      </w:r>
    </w:p>
    <w:p>
      <w:pPr>
        <w:numPr>
          <w:ilvl w:val="0"/>
          <w:numId w:val="22"/>
        </w:numPr>
        <w:spacing w:line="460" w:lineRule="exact"/>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技术资信部分的评定（</w:t>
      </w:r>
      <w:r>
        <w:rPr>
          <w:rFonts w:hint="eastAsia" w:ascii="宋体" w:hAnsi="宋体" w:eastAsia="宋体" w:cs="宋体"/>
          <w:b/>
          <w:bCs/>
          <w:color w:val="auto"/>
          <w:szCs w:val="21"/>
          <w:highlight w:val="none"/>
          <w:lang w:val="en-US" w:eastAsia="zh-CN"/>
        </w:rPr>
        <w:t>70</w:t>
      </w:r>
      <w:r>
        <w:rPr>
          <w:rFonts w:hint="eastAsia" w:ascii="宋体" w:hAnsi="宋体" w:eastAsia="宋体" w:cs="宋体"/>
          <w:b/>
          <w:bCs/>
          <w:color w:val="auto"/>
          <w:szCs w:val="21"/>
          <w:highlight w:val="none"/>
        </w:rPr>
        <w:t>分）</w:t>
      </w:r>
    </w:p>
    <w:p>
      <w:pPr>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各评委成员按下列评分项目进行评定，每人一张评分计算表，由评标委员会成员各自评定打分并记实名。如任何一张表的一项评分内容分值超过规定的范围，则该张表无效。各评标委员会成员对各</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的各项评分内容进行评审、独立打分，所有评委成员评分的算术平均值为该</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技术资信部分的最终得分（四舍五入，保留小数点后二位）。</w:t>
      </w:r>
    </w:p>
    <w:tbl>
      <w:tblPr>
        <w:tblStyle w:val="18"/>
        <w:tblW w:w="502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0"/>
        <w:gridCol w:w="2760"/>
        <w:gridCol w:w="1927"/>
        <w:gridCol w:w="741"/>
        <w:gridCol w:w="1238"/>
        <w:gridCol w:w="1252"/>
        <w:gridCol w:w="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412" w:type="pct"/>
            <w:tcBorders>
              <w:bottom w:val="single" w:color="auto" w:sz="4" w:space="0"/>
            </w:tcBorders>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2415" w:type="pct"/>
            <w:gridSpan w:val="2"/>
            <w:tcBorders>
              <w:bottom w:val="single" w:color="auto" w:sz="4" w:space="0"/>
            </w:tcBorders>
            <w:vAlign w:val="top"/>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评分内容</w:t>
            </w:r>
            <w:r>
              <w:rPr>
                <w:rFonts w:hint="eastAsia" w:ascii="宋体" w:hAnsi="宋体" w:eastAsia="宋体" w:cs="宋体"/>
                <w:color w:val="auto"/>
                <w:sz w:val="21"/>
                <w:highlight w:val="none"/>
              </w:rPr>
              <w:t xml:space="preserve"> </w:t>
            </w:r>
          </w:p>
        </w:tc>
        <w:tc>
          <w:tcPr>
            <w:tcW w:w="382" w:type="pct"/>
            <w:tcBorders>
              <w:bottom w:val="single" w:color="auto" w:sz="4" w:space="0"/>
            </w:tcBorders>
            <w:vAlign w:val="top"/>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分值</w:t>
            </w:r>
          </w:p>
        </w:tc>
        <w:tc>
          <w:tcPr>
            <w:tcW w:w="638" w:type="pct"/>
            <w:tcBorders>
              <w:bottom w:val="single" w:color="auto" w:sz="4" w:space="0"/>
            </w:tcBorders>
            <w:vAlign w:val="top"/>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 xml:space="preserve">A 档 </w:t>
            </w:r>
          </w:p>
        </w:tc>
        <w:tc>
          <w:tcPr>
            <w:tcW w:w="645" w:type="pct"/>
            <w:tcBorders>
              <w:bottom w:val="single" w:color="auto" w:sz="4" w:space="0"/>
            </w:tcBorders>
            <w:vAlign w:val="top"/>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 xml:space="preserve">B 档 </w:t>
            </w:r>
          </w:p>
        </w:tc>
        <w:tc>
          <w:tcPr>
            <w:tcW w:w="505" w:type="pct"/>
            <w:tcBorders>
              <w:bottom w:val="single" w:color="auto" w:sz="4" w:space="0"/>
            </w:tcBorders>
            <w:vAlign w:val="top"/>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 xml:space="preserve">C 档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412" w:type="pct"/>
            <w:vMerge w:val="restart"/>
            <w:tcBorders>
              <w:top w:val="single" w:color="auto" w:sz="4" w:space="0"/>
            </w:tcBorders>
            <w:vAlign w:val="center"/>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w:t>
            </w:r>
          </w:p>
        </w:tc>
        <w:tc>
          <w:tcPr>
            <w:tcW w:w="1422" w:type="pct"/>
            <w:vMerge w:val="restart"/>
            <w:tcBorders>
              <w:top w:val="single" w:color="auto" w:sz="4" w:space="0"/>
            </w:tcBorders>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根据所投产品技术性能及功能的先进性、完整性、质量水平与</w:t>
            </w:r>
            <w:r>
              <w:rPr>
                <w:rFonts w:hint="eastAsia" w:ascii="宋体" w:hAnsi="宋体" w:eastAsia="宋体" w:cs="宋体"/>
                <w:color w:val="auto"/>
                <w:sz w:val="21"/>
                <w:highlight w:val="none"/>
                <w:lang w:eastAsia="zh-CN"/>
              </w:rPr>
              <w:t>采购文件</w:t>
            </w:r>
            <w:r>
              <w:rPr>
                <w:rFonts w:hint="eastAsia" w:ascii="宋体" w:hAnsi="宋体" w:eastAsia="宋体" w:cs="宋体"/>
                <w:color w:val="auto"/>
                <w:sz w:val="21"/>
                <w:highlight w:val="none"/>
              </w:rPr>
              <w:t>要求的满足程度综合比较打分（带</w:t>
            </w:r>
            <w:r>
              <w:rPr>
                <w:rFonts w:hint="eastAsia" w:ascii="宋体" w:hAnsi="宋体" w:eastAsia="宋体" w:cs="宋体"/>
                <w:color w:val="auto"/>
                <w:szCs w:val="21"/>
                <w:highlight w:val="none"/>
              </w:rPr>
              <w:t>△</w:t>
            </w:r>
            <w:r>
              <w:rPr>
                <w:rFonts w:hint="eastAsia" w:ascii="宋体" w:hAnsi="宋体" w:eastAsia="宋体" w:cs="宋体"/>
                <w:color w:val="auto"/>
                <w:sz w:val="21"/>
                <w:highlight w:val="none"/>
              </w:rPr>
              <w:t xml:space="preserve">的技术参数不得负偏离）。 </w:t>
            </w:r>
          </w:p>
        </w:tc>
        <w:tc>
          <w:tcPr>
            <w:tcW w:w="993" w:type="pct"/>
            <w:tcBorders>
              <w:top w:val="single" w:color="auto" w:sz="4" w:space="0"/>
            </w:tcBorders>
            <w:vAlign w:val="top"/>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驱动电机</w:t>
            </w:r>
          </w:p>
        </w:tc>
        <w:tc>
          <w:tcPr>
            <w:tcW w:w="382" w:type="pct"/>
            <w:tcBorders>
              <w:top w:val="single" w:color="auto" w:sz="4" w:space="0"/>
            </w:tcBorders>
            <w:vAlign w:val="top"/>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8 分</w:t>
            </w:r>
          </w:p>
        </w:tc>
        <w:tc>
          <w:tcPr>
            <w:tcW w:w="638" w:type="pct"/>
            <w:tcBorders>
              <w:top w:val="single" w:color="auto" w:sz="4" w:space="0"/>
            </w:tcBorders>
            <w:vAlign w:val="top"/>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 xml:space="preserve">8-5.3 </w:t>
            </w:r>
          </w:p>
        </w:tc>
        <w:tc>
          <w:tcPr>
            <w:tcW w:w="645" w:type="pct"/>
            <w:tcBorders>
              <w:top w:val="single" w:color="auto" w:sz="4" w:space="0"/>
            </w:tcBorders>
            <w:vAlign w:val="top"/>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 xml:space="preserve">5.2-2.6 </w:t>
            </w:r>
          </w:p>
        </w:tc>
        <w:tc>
          <w:tcPr>
            <w:tcW w:w="505" w:type="pct"/>
            <w:tcBorders>
              <w:top w:val="single" w:color="auto" w:sz="4" w:space="0"/>
            </w:tcBorders>
            <w:vAlign w:val="top"/>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 xml:space="preserve">2.5-0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12" w:type="pct"/>
            <w:vMerge w:val="continue"/>
            <w:vAlign w:val="center"/>
          </w:tcPr>
          <w:p>
            <w:pPr>
              <w:pStyle w:val="29"/>
              <w:spacing w:before="162"/>
              <w:ind w:left="107" w:leftChars="0" w:right="38" w:rightChars="0"/>
              <w:jc w:val="center"/>
              <w:rPr>
                <w:rFonts w:hint="eastAsia" w:ascii="宋体" w:hAnsi="宋体" w:eastAsia="宋体" w:cs="宋体"/>
                <w:color w:val="auto"/>
                <w:sz w:val="21"/>
                <w:highlight w:val="none"/>
              </w:rPr>
            </w:pPr>
          </w:p>
        </w:tc>
        <w:tc>
          <w:tcPr>
            <w:tcW w:w="1422" w:type="pct"/>
            <w:vMerge w:val="continue"/>
          </w:tcPr>
          <w:p>
            <w:pPr>
              <w:pStyle w:val="29"/>
              <w:spacing w:before="162"/>
              <w:ind w:left="107" w:leftChars="0" w:right="38" w:rightChars="0"/>
              <w:jc w:val="center"/>
              <w:rPr>
                <w:rFonts w:hint="eastAsia" w:ascii="宋体" w:hAnsi="宋体" w:eastAsia="宋体" w:cs="宋体"/>
                <w:color w:val="auto"/>
                <w:sz w:val="21"/>
                <w:highlight w:val="none"/>
              </w:rPr>
            </w:pPr>
          </w:p>
        </w:tc>
        <w:tc>
          <w:tcPr>
            <w:tcW w:w="993" w:type="pct"/>
            <w:vAlign w:val="top"/>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动力电池</w:t>
            </w:r>
          </w:p>
        </w:tc>
        <w:tc>
          <w:tcPr>
            <w:tcW w:w="382" w:type="pct"/>
            <w:vAlign w:val="top"/>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8 分</w:t>
            </w:r>
          </w:p>
        </w:tc>
        <w:tc>
          <w:tcPr>
            <w:tcW w:w="638" w:type="pct"/>
            <w:vAlign w:val="top"/>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 xml:space="preserve">8-5.3 </w:t>
            </w:r>
          </w:p>
        </w:tc>
        <w:tc>
          <w:tcPr>
            <w:tcW w:w="645" w:type="pct"/>
            <w:vAlign w:val="top"/>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 xml:space="preserve">5.2-2.6 </w:t>
            </w:r>
          </w:p>
        </w:tc>
        <w:tc>
          <w:tcPr>
            <w:tcW w:w="505" w:type="pct"/>
            <w:vAlign w:val="top"/>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 xml:space="preserve">2.5-0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12" w:type="pct"/>
            <w:vMerge w:val="continue"/>
            <w:tcBorders>
              <w:top w:val="nil"/>
            </w:tcBorders>
            <w:vAlign w:val="center"/>
          </w:tcPr>
          <w:p>
            <w:pPr>
              <w:pStyle w:val="29"/>
              <w:spacing w:before="162"/>
              <w:ind w:left="107" w:leftChars="0" w:right="38" w:rightChars="0"/>
              <w:jc w:val="center"/>
              <w:rPr>
                <w:rFonts w:hint="eastAsia" w:ascii="宋体" w:hAnsi="宋体" w:eastAsia="宋体" w:cs="宋体"/>
                <w:color w:val="auto"/>
                <w:sz w:val="21"/>
                <w:highlight w:val="none"/>
              </w:rPr>
            </w:pPr>
          </w:p>
        </w:tc>
        <w:tc>
          <w:tcPr>
            <w:tcW w:w="1422" w:type="pct"/>
            <w:vMerge w:val="continue"/>
            <w:tcBorders>
              <w:top w:val="nil"/>
            </w:tcBorders>
          </w:tcPr>
          <w:p>
            <w:pPr>
              <w:pStyle w:val="29"/>
              <w:spacing w:before="162"/>
              <w:ind w:left="107" w:leftChars="0" w:right="38" w:rightChars="0"/>
              <w:jc w:val="center"/>
              <w:rPr>
                <w:rFonts w:hint="eastAsia" w:ascii="宋体" w:hAnsi="宋体" w:eastAsia="宋体" w:cs="宋体"/>
                <w:color w:val="auto"/>
                <w:sz w:val="21"/>
                <w:highlight w:val="none"/>
              </w:rPr>
            </w:pPr>
          </w:p>
        </w:tc>
        <w:tc>
          <w:tcPr>
            <w:tcW w:w="993" w:type="pct"/>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其他设备配置情况</w:t>
            </w:r>
          </w:p>
        </w:tc>
        <w:tc>
          <w:tcPr>
            <w:tcW w:w="382" w:type="pct"/>
            <w:vAlign w:val="top"/>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8 分</w:t>
            </w:r>
          </w:p>
        </w:tc>
        <w:tc>
          <w:tcPr>
            <w:tcW w:w="638" w:type="pct"/>
            <w:vAlign w:val="top"/>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8-5.3 </w:t>
            </w:r>
          </w:p>
        </w:tc>
        <w:tc>
          <w:tcPr>
            <w:tcW w:w="645" w:type="pct"/>
            <w:vAlign w:val="top"/>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5.2-2.6 </w:t>
            </w:r>
          </w:p>
        </w:tc>
        <w:tc>
          <w:tcPr>
            <w:tcW w:w="505" w:type="pct"/>
            <w:vAlign w:val="top"/>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2.5-0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12" w:type="pct"/>
            <w:vAlign w:val="center"/>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w:t>
            </w:r>
          </w:p>
        </w:tc>
        <w:tc>
          <w:tcPr>
            <w:tcW w:w="2415" w:type="pct"/>
            <w:gridSpan w:val="2"/>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根据所投产品的品牌形象、市场知名度、认可度、产品成熟度、用户美誉度、相关行业测评资料、获得的各种认证证书及荣誉证书等综合比较打分</w:t>
            </w:r>
          </w:p>
        </w:tc>
        <w:tc>
          <w:tcPr>
            <w:tcW w:w="382" w:type="pct"/>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8</w:t>
            </w:r>
            <w:r>
              <w:rPr>
                <w:rFonts w:hint="eastAsia" w:ascii="宋体" w:hAnsi="宋体" w:eastAsia="宋体" w:cs="宋体"/>
                <w:color w:val="auto"/>
                <w:sz w:val="21"/>
                <w:highlight w:val="none"/>
              </w:rPr>
              <w:t xml:space="preserve"> 分</w:t>
            </w:r>
          </w:p>
        </w:tc>
        <w:tc>
          <w:tcPr>
            <w:tcW w:w="1238" w:type="dxa"/>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8-5.3</w:t>
            </w:r>
          </w:p>
        </w:tc>
        <w:tc>
          <w:tcPr>
            <w:tcW w:w="1252" w:type="dxa"/>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5.2-2.6</w:t>
            </w:r>
          </w:p>
        </w:tc>
        <w:tc>
          <w:tcPr>
            <w:tcW w:w="980" w:type="dxa"/>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12" w:type="pct"/>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p>
        </w:tc>
        <w:tc>
          <w:tcPr>
            <w:tcW w:w="2415" w:type="pct"/>
            <w:gridSpan w:val="2"/>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车辆外观 </w:t>
            </w:r>
          </w:p>
        </w:tc>
        <w:tc>
          <w:tcPr>
            <w:tcW w:w="382" w:type="pct"/>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8</w:t>
            </w:r>
            <w:r>
              <w:rPr>
                <w:rFonts w:hint="eastAsia" w:ascii="宋体" w:hAnsi="宋体" w:eastAsia="宋体" w:cs="宋体"/>
                <w:color w:val="auto"/>
                <w:sz w:val="21"/>
                <w:highlight w:val="none"/>
              </w:rPr>
              <w:t xml:space="preserve"> 分</w:t>
            </w:r>
          </w:p>
        </w:tc>
        <w:tc>
          <w:tcPr>
            <w:tcW w:w="1238" w:type="dxa"/>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8-5.3</w:t>
            </w:r>
          </w:p>
        </w:tc>
        <w:tc>
          <w:tcPr>
            <w:tcW w:w="1252" w:type="dxa"/>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5.2-2.6</w:t>
            </w:r>
          </w:p>
        </w:tc>
        <w:tc>
          <w:tcPr>
            <w:tcW w:w="980" w:type="dxa"/>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412" w:type="pct"/>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p>
        </w:tc>
        <w:tc>
          <w:tcPr>
            <w:tcW w:w="2415" w:type="pct"/>
            <w:gridSpan w:val="2"/>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车辆内饰 </w:t>
            </w:r>
          </w:p>
        </w:tc>
        <w:tc>
          <w:tcPr>
            <w:tcW w:w="382" w:type="pct"/>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8</w:t>
            </w:r>
            <w:r>
              <w:rPr>
                <w:rFonts w:hint="eastAsia" w:ascii="宋体" w:hAnsi="宋体" w:eastAsia="宋体" w:cs="宋体"/>
                <w:color w:val="auto"/>
                <w:sz w:val="21"/>
                <w:highlight w:val="none"/>
              </w:rPr>
              <w:t xml:space="preserve"> 分</w:t>
            </w:r>
          </w:p>
        </w:tc>
        <w:tc>
          <w:tcPr>
            <w:tcW w:w="1238" w:type="dxa"/>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8-5.3</w:t>
            </w:r>
          </w:p>
        </w:tc>
        <w:tc>
          <w:tcPr>
            <w:tcW w:w="1252" w:type="dxa"/>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5.2-2.6</w:t>
            </w:r>
          </w:p>
        </w:tc>
        <w:tc>
          <w:tcPr>
            <w:tcW w:w="980" w:type="dxa"/>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12" w:type="pct"/>
            <w:vAlign w:val="center"/>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w:t>
            </w:r>
          </w:p>
        </w:tc>
        <w:tc>
          <w:tcPr>
            <w:tcW w:w="2415" w:type="pct"/>
            <w:gridSpan w:val="2"/>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整车工艺及先进性 </w:t>
            </w:r>
          </w:p>
        </w:tc>
        <w:tc>
          <w:tcPr>
            <w:tcW w:w="382" w:type="pct"/>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5 </w:t>
            </w:r>
            <w:r>
              <w:rPr>
                <w:rFonts w:hint="eastAsia" w:ascii="宋体" w:hAnsi="宋体" w:eastAsia="宋体" w:cs="宋体"/>
                <w:color w:val="auto"/>
                <w:sz w:val="21"/>
                <w:highlight w:val="none"/>
              </w:rPr>
              <w:t>分</w:t>
            </w:r>
          </w:p>
        </w:tc>
        <w:tc>
          <w:tcPr>
            <w:tcW w:w="1238" w:type="dxa"/>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5-3.1</w:t>
            </w:r>
          </w:p>
        </w:tc>
        <w:tc>
          <w:tcPr>
            <w:tcW w:w="1252" w:type="dxa"/>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3-2.1</w:t>
            </w:r>
          </w:p>
        </w:tc>
        <w:tc>
          <w:tcPr>
            <w:tcW w:w="980" w:type="dxa"/>
            <w:vAlign w:val="center"/>
          </w:tcPr>
          <w:p>
            <w:pPr>
              <w:pStyle w:val="29"/>
              <w:tabs>
                <w:tab w:val="left" w:pos="389"/>
              </w:tabs>
              <w:spacing w:before="162"/>
              <w:ind w:left="107" w:leftChars="0" w:right="38" w:right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ab/>
            </w:r>
            <w:r>
              <w:rPr>
                <w:rFonts w:hint="eastAsia" w:ascii="宋体" w:hAnsi="宋体" w:eastAsia="宋体" w:cs="宋体"/>
                <w:color w:val="auto"/>
                <w:sz w:val="21"/>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412" w:type="pct"/>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6</w:t>
            </w:r>
          </w:p>
        </w:tc>
        <w:tc>
          <w:tcPr>
            <w:tcW w:w="2415" w:type="pct"/>
            <w:gridSpan w:val="2"/>
            <w:tcBorders>
              <w:bottom w:val="single" w:color="000000" w:sz="6" w:space="0"/>
            </w:tcBorders>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售后服务：保修范围，保修、服务标准，人员配备，故障响应、修复时间方式、服务网点、保障措施、备品备件配备、售后服务荣誉及满意度等情况综合比较打分。 </w:t>
            </w:r>
          </w:p>
        </w:tc>
        <w:tc>
          <w:tcPr>
            <w:tcW w:w="382" w:type="pct"/>
            <w:tcBorders>
              <w:bottom w:val="single" w:color="000000" w:sz="6" w:space="0"/>
            </w:tcBorders>
          </w:tcPr>
          <w:p>
            <w:pPr>
              <w:pStyle w:val="29"/>
              <w:spacing w:before="162"/>
              <w:ind w:left="107" w:leftChars="0" w:right="38" w:rightChars="0"/>
              <w:jc w:val="center"/>
              <w:rPr>
                <w:rFonts w:hint="eastAsia" w:ascii="宋体" w:hAnsi="宋体" w:eastAsia="宋体" w:cs="宋体"/>
                <w:color w:val="auto"/>
                <w:sz w:val="21"/>
                <w:highlight w:val="none"/>
              </w:rPr>
            </w:pPr>
          </w:p>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5 分</w:t>
            </w:r>
          </w:p>
        </w:tc>
        <w:tc>
          <w:tcPr>
            <w:tcW w:w="638" w:type="pct"/>
            <w:tcBorders>
              <w:bottom w:val="single" w:color="000000" w:sz="6" w:space="0"/>
            </w:tcBorders>
          </w:tcPr>
          <w:p>
            <w:pPr>
              <w:pStyle w:val="29"/>
              <w:spacing w:before="162"/>
              <w:ind w:left="107" w:leftChars="0" w:right="38" w:rightChars="0"/>
              <w:jc w:val="center"/>
              <w:rPr>
                <w:rFonts w:hint="eastAsia" w:ascii="宋体" w:hAnsi="宋体" w:eastAsia="宋体" w:cs="宋体"/>
                <w:color w:val="auto"/>
                <w:sz w:val="21"/>
                <w:highlight w:val="none"/>
              </w:rPr>
            </w:pPr>
          </w:p>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 xml:space="preserve">5-3.1 </w:t>
            </w:r>
          </w:p>
        </w:tc>
        <w:tc>
          <w:tcPr>
            <w:tcW w:w="645" w:type="pct"/>
            <w:tcBorders>
              <w:bottom w:val="single" w:color="000000" w:sz="6" w:space="0"/>
            </w:tcBorders>
          </w:tcPr>
          <w:p>
            <w:pPr>
              <w:pStyle w:val="29"/>
              <w:spacing w:before="162"/>
              <w:ind w:left="107" w:leftChars="0" w:right="38" w:rightChars="0"/>
              <w:jc w:val="center"/>
              <w:rPr>
                <w:rFonts w:hint="eastAsia" w:ascii="宋体" w:hAnsi="宋体" w:eastAsia="宋体" w:cs="宋体"/>
                <w:color w:val="auto"/>
                <w:sz w:val="21"/>
                <w:highlight w:val="none"/>
              </w:rPr>
            </w:pPr>
          </w:p>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3-2.1 </w:t>
            </w:r>
          </w:p>
        </w:tc>
        <w:tc>
          <w:tcPr>
            <w:tcW w:w="505" w:type="pct"/>
            <w:tcBorders>
              <w:bottom w:val="single" w:color="000000" w:sz="6" w:space="0"/>
            </w:tcBorders>
          </w:tcPr>
          <w:p>
            <w:pPr>
              <w:pStyle w:val="29"/>
              <w:spacing w:before="162"/>
              <w:ind w:left="107" w:leftChars="0" w:right="38" w:rightChars="0"/>
              <w:jc w:val="center"/>
              <w:rPr>
                <w:rFonts w:hint="eastAsia" w:ascii="宋体" w:hAnsi="宋体" w:eastAsia="宋体" w:cs="宋体"/>
                <w:color w:val="auto"/>
                <w:sz w:val="21"/>
                <w:highlight w:val="none"/>
              </w:rPr>
            </w:pPr>
          </w:p>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412" w:type="pct"/>
            <w:vAlign w:val="center"/>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7</w:t>
            </w:r>
          </w:p>
        </w:tc>
        <w:tc>
          <w:tcPr>
            <w:tcW w:w="2415" w:type="pct"/>
            <w:gridSpan w:val="2"/>
            <w:tcBorders>
              <w:top w:val="single" w:color="000000" w:sz="6" w:space="0"/>
              <w:bottom w:val="single" w:color="000000" w:sz="6" w:space="0"/>
              <w:right w:val="single" w:color="000000" w:sz="6" w:space="0"/>
            </w:tcBorders>
            <w:vAlign w:val="center"/>
          </w:tcPr>
          <w:p>
            <w:pPr>
              <w:pStyle w:val="29"/>
              <w:spacing w:before="162"/>
              <w:ind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 2019 年</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 xml:space="preserve"> 月 1 日至今投标品牌车型的销售业绩情况</w:t>
            </w:r>
          </w:p>
        </w:tc>
        <w:tc>
          <w:tcPr>
            <w:tcW w:w="382" w:type="pct"/>
            <w:tcBorders>
              <w:top w:val="single" w:color="000000" w:sz="6" w:space="0"/>
              <w:left w:val="single" w:color="000000" w:sz="6" w:space="0"/>
              <w:bottom w:val="single" w:color="000000" w:sz="6" w:space="0"/>
              <w:right w:val="single" w:color="000000" w:sz="6" w:space="0"/>
            </w:tcBorders>
            <w:vAlign w:val="center"/>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 分</w:t>
            </w:r>
          </w:p>
        </w:tc>
        <w:tc>
          <w:tcPr>
            <w:tcW w:w="1788" w:type="pct"/>
            <w:gridSpan w:val="3"/>
            <w:tcBorders>
              <w:top w:val="single" w:color="000000" w:sz="6" w:space="0"/>
              <w:left w:val="single" w:color="000000" w:sz="6" w:space="0"/>
              <w:bottom w:val="single" w:color="000000" w:sz="6" w:space="0"/>
            </w:tcBorders>
            <w:vAlign w:val="center"/>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每提供一份投标品牌车型销售合同得 1 分，最高得 3 分（须提供合同复印件加盖公章，否则不得分）。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412" w:type="pct"/>
            <w:vAlign w:val="center"/>
          </w:tcPr>
          <w:p>
            <w:pPr>
              <w:pStyle w:val="29"/>
              <w:spacing w:before="162"/>
              <w:ind w:left="107" w:leftChars="0"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8</w:t>
            </w:r>
          </w:p>
        </w:tc>
        <w:tc>
          <w:tcPr>
            <w:tcW w:w="2415" w:type="pct"/>
            <w:gridSpan w:val="2"/>
            <w:tcBorders>
              <w:top w:val="single" w:color="000000" w:sz="6" w:space="0"/>
              <w:bottom w:val="single" w:color="000000" w:sz="6" w:space="0"/>
              <w:right w:val="single" w:color="000000" w:sz="6" w:space="0"/>
            </w:tcBorders>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对采购人有价值的优惠条件： 根据质保期过后的有偿服务费用的优惠程度和优惠措施、其它零配件优惠情况及赠送配件或工具等优惠条件打分。</w:t>
            </w:r>
          </w:p>
        </w:tc>
        <w:tc>
          <w:tcPr>
            <w:tcW w:w="382" w:type="pct"/>
            <w:tcBorders>
              <w:top w:val="single" w:color="000000" w:sz="6" w:space="0"/>
              <w:left w:val="single" w:color="000000" w:sz="6" w:space="0"/>
              <w:bottom w:val="single" w:color="000000" w:sz="6" w:space="0"/>
              <w:right w:val="single" w:color="000000" w:sz="6" w:space="0"/>
            </w:tcBorders>
          </w:tcPr>
          <w:p>
            <w:pPr>
              <w:pStyle w:val="29"/>
              <w:spacing w:before="162"/>
              <w:ind w:left="107" w:leftChars="0" w:right="38" w:rightChars="0"/>
              <w:jc w:val="center"/>
              <w:rPr>
                <w:rFonts w:hint="eastAsia" w:ascii="宋体" w:hAnsi="宋体" w:eastAsia="宋体" w:cs="宋体"/>
                <w:color w:val="auto"/>
                <w:sz w:val="21"/>
                <w:highlight w:val="none"/>
              </w:rPr>
            </w:pPr>
          </w:p>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5 分</w:t>
            </w:r>
          </w:p>
        </w:tc>
        <w:tc>
          <w:tcPr>
            <w:tcW w:w="638" w:type="pct"/>
            <w:tcBorders>
              <w:top w:val="single" w:color="000000" w:sz="6" w:space="0"/>
              <w:left w:val="single" w:color="000000" w:sz="6" w:space="0"/>
              <w:bottom w:val="single" w:color="000000" w:sz="6" w:space="0"/>
            </w:tcBorders>
          </w:tcPr>
          <w:p>
            <w:pPr>
              <w:pStyle w:val="29"/>
              <w:spacing w:before="162"/>
              <w:ind w:left="107" w:leftChars="0" w:right="38" w:rightChars="0"/>
              <w:jc w:val="center"/>
              <w:rPr>
                <w:rFonts w:hint="eastAsia" w:ascii="宋体" w:hAnsi="宋体" w:eastAsia="宋体" w:cs="宋体"/>
                <w:color w:val="auto"/>
                <w:sz w:val="21"/>
                <w:highlight w:val="none"/>
              </w:rPr>
            </w:pPr>
          </w:p>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5-3.1 </w:t>
            </w:r>
          </w:p>
        </w:tc>
        <w:tc>
          <w:tcPr>
            <w:tcW w:w="645" w:type="pct"/>
            <w:tcBorders>
              <w:top w:val="single" w:color="000000" w:sz="6" w:space="0"/>
              <w:bottom w:val="single" w:color="000000" w:sz="6" w:space="0"/>
            </w:tcBorders>
          </w:tcPr>
          <w:p>
            <w:pPr>
              <w:pStyle w:val="29"/>
              <w:spacing w:before="162"/>
              <w:ind w:left="107" w:leftChars="0" w:right="38" w:rightChars="0"/>
              <w:jc w:val="center"/>
              <w:rPr>
                <w:rFonts w:hint="eastAsia" w:ascii="宋体" w:hAnsi="宋体" w:eastAsia="宋体" w:cs="宋体"/>
                <w:color w:val="auto"/>
                <w:sz w:val="21"/>
                <w:highlight w:val="none"/>
              </w:rPr>
            </w:pPr>
          </w:p>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3-2.1 </w:t>
            </w:r>
          </w:p>
        </w:tc>
        <w:tc>
          <w:tcPr>
            <w:tcW w:w="505" w:type="pct"/>
            <w:tcBorders>
              <w:top w:val="single" w:color="000000" w:sz="6" w:space="0"/>
              <w:bottom w:val="single" w:color="000000" w:sz="6" w:space="0"/>
            </w:tcBorders>
          </w:tcPr>
          <w:p>
            <w:pPr>
              <w:pStyle w:val="29"/>
              <w:spacing w:before="162"/>
              <w:ind w:left="107" w:leftChars="0" w:right="38" w:rightChars="0"/>
              <w:jc w:val="center"/>
              <w:rPr>
                <w:rFonts w:hint="eastAsia" w:ascii="宋体" w:hAnsi="宋体" w:eastAsia="宋体" w:cs="宋体"/>
                <w:color w:val="auto"/>
                <w:sz w:val="21"/>
                <w:highlight w:val="none"/>
              </w:rPr>
            </w:pPr>
          </w:p>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412" w:type="pct"/>
            <w:vAlign w:val="center"/>
          </w:tcPr>
          <w:p>
            <w:pPr>
              <w:pStyle w:val="29"/>
              <w:spacing w:before="162"/>
              <w:ind w:left="107" w:leftChars="0" w:right="38" w:rightChars="0" w:firstLine="210" w:firstLineChars="100"/>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9</w:t>
            </w:r>
          </w:p>
        </w:tc>
        <w:tc>
          <w:tcPr>
            <w:tcW w:w="2415" w:type="pct"/>
            <w:gridSpan w:val="2"/>
            <w:tcBorders>
              <w:top w:val="single" w:color="000000" w:sz="6" w:space="0"/>
              <w:bottom w:val="single" w:color="000000" w:sz="6" w:space="0"/>
              <w:right w:val="single" w:color="000000" w:sz="6" w:space="0"/>
            </w:tcBorders>
            <w:vAlign w:val="center"/>
          </w:tcPr>
          <w:p>
            <w:pPr>
              <w:pStyle w:val="29"/>
              <w:spacing w:before="162"/>
              <w:ind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质保期限</w:t>
            </w:r>
          </w:p>
        </w:tc>
        <w:tc>
          <w:tcPr>
            <w:tcW w:w="382" w:type="pct"/>
            <w:tcBorders>
              <w:top w:val="single" w:color="000000" w:sz="6" w:space="0"/>
              <w:left w:val="single" w:color="000000" w:sz="6" w:space="0"/>
              <w:bottom w:val="single" w:color="000000" w:sz="6" w:space="0"/>
              <w:right w:val="single" w:color="000000" w:sz="6" w:space="0"/>
            </w:tcBorders>
          </w:tcPr>
          <w:p>
            <w:pPr>
              <w:pStyle w:val="29"/>
              <w:spacing w:before="162"/>
              <w:ind w:left="107" w:leftChars="0" w:right="38" w:rightChars="0"/>
              <w:jc w:val="center"/>
              <w:rPr>
                <w:rFonts w:hint="eastAsia" w:ascii="宋体" w:hAnsi="宋体" w:eastAsia="宋体" w:cs="宋体"/>
                <w:color w:val="auto"/>
                <w:sz w:val="21"/>
                <w:highlight w:val="none"/>
              </w:rPr>
            </w:pPr>
          </w:p>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 分</w:t>
            </w:r>
          </w:p>
        </w:tc>
        <w:tc>
          <w:tcPr>
            <w:tcW w:w="1788" w:type="pct"/>
            <w:gridSpan w:val="3"/>
            <w:tcBorders>
              <w:top w:val="single" w:color="000000" w:sz="6" w:space="0"/>
              <w:left w:val="single" w:color="000000" w:sz="6" w:space="0"/>
              <w:bottom w:val="single" w:color="000000" w:sz="6" w:space="0"/>
            </w:tcBorders>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本次</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rPr>
              <w:t xml:space="preserve">要求整车质保期为 3 年或 10 万公里，刚好满足招标要求的不得分；每延长 1 年或 3 万公里得 1 分，最高得 2 分（需提供有效书面承诺）。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12" w:type="pct"/>
            <w:vAlign w:val="center"/>
          </w:tcPr>
          <w:p>
            <w:pPr>
              <w:pStyle w:val="29"/>
              <w:spacing w:before="162"/>
              <w:ind w:right="38" w:right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10</w:t>
            </w:r>
          </w:p>
        </w:tc>
        <w:tc>
          <w:tcPr>
            <w:tcW w:w="2415" w:type="pct"/>
            <w:gridSpan w:val="2"/>
            <w:tcBorders>
              <w:top w:val="single" w:color="000000" w:sz="6" w:space="0"/>
              <w:bottom w:val="single" w:color="000000" w:sz="6" w:space="0"/>
              <w:right w:val="single" w:color="000000" w:sz="6" w:space="0"/>
            </w:tcBorders>
            <w:vAlign w:val="center"/>
          </w:tcPr>
          <w:p>
            <w:pPr>
              <w:pStyle w:val="29"/>
              <w:spacing w:before="162"/>
              <w:ind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交货期</w:t>
            </w:r>
          </w:p>
        </w:tc>
        <w:tc>
          <w:tcPr>
            <w:tcW w:w="382" w:type="pct"/>
            <w:tcBorders>
              <w:top w:val="single" w:color="000000" w:sz="6" w:space="0"/>
              <w:left w:val="single" w:color="000000" w:sz="6" w:space="0"/>
              <w:bottom w:val="single" w:color="000000" w:sz="6" w:space="0"/>
              <w:right w:val="single" w:color="000000" w:sz="6" w:space="0"/>
            </w:tcBorders>
          </w:tcPr>
          <w:p>
            <w:pPr>
              <w:pStyle w:val="29"/>
              <w:spacing w:before="162"/>
              <w:ind w:left="107" w:leftChars="0" w:right="38" w:rightChars="0"/>
              <w:jc w:val="center"/>
              <w:rPr>
                <w:rFonts w:hint="eastAsia" w:ascii="宋体" w:hAnsi="宋体" w:eastAsia="宋体" w:cs="宋体"/>
                <w:color w:val="auto"/>
                <w:sz w:val="21"/>
                <w:highlight w:val="none"/>
              </w:rPr>
            </w:pPr>
          </w:p>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 分</w:t>
            </w:r>
          </w:p>
        </w:tc>
        <w:tc>
          <w:tcPr>
            <w:tcW w:w="1788" w:type="pct"/>
            <w:gridSpan w:val="3"/>
            <w:tcBorders>
              <w:top w:val="single" w:color="000000" w:sz="6" w:space="0"/>
              <w:left w:val="single" w:color="000000" w:sz="6" w:space="0"/>
              <w:bottom w:val="single" w:color="000000" w:sz="6" w:space="0"/>
            </w:tcBorders>
          </w:tcPr>
          <w:p>
            <w:pPr>
              <w:pStyle w:val="29"/>
              <w:spacing w:before="162"/>
              <w:ind w:left="107" w:leftChars="0" w:right="3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根据投标人承诺的交货时间，本次采购要求交货期为 </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 xml:space="preserve"> 日历天，供应商交货期每提前 </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 xml:space="preserve"> 日历天的得 1 分，最高得 2 分。 </w:t>
            </w:r>
          </w:p>
        </w:tc>
      </w:tr>
    </w:tbl>
    <w:p>
      <w:pPr>
        <w:spacing w:line="460" w:lineRule="exact"/>
        <w:ind w:firstLine="440" w:firstLineChars="200"/>
        <w:rPr>
          <w:rFonts w:hint="eastAsia" w:ascii="宋体" w:hAnsi="宋体" w:eastAsia="宋体" w:cs="宋体"/>
          <w:color w:val="auto"/>
          <w:sz w:val="22"/>
          <w:highlight w:val="none"/>
        </w:rPr>
      </w:pPr>
    </w:p>
    <w:p>
      <w:pPr>
        <w:pStyle w:val="10"/>
        <w:spacing w:after="0" w:line="460" w:lineRule="exact"/>
        <w:ind w:firstLine="0"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p>
    <w:p>
      <w:pPr>
        <w:pStyle w:val="10"/>
        <w:spacing w:after="0"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以上所需的各种证书、证件、证明、执照若系复印件，须在复印件上加盖投标人有效的公章。证书、证件、证明等原件，属备查项目，并非强制性要求。评标主要依据投标人投标文件中加盖有效公章的证书/证明文件复印件，如评标委员会对复印件有异议的，可在投标人提供原件资料里核查，若投标人未提供原件资料佐证的，则承担相应评分项不得分的风险。</w:t>
      </w:r>
    </w:p>
    <w:p>
      <w:pPr>
        <w:pStyle w:val="10"/>
        <w:spacing w:after="0"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（2）评标委员会、采购机构在项目评审直至合同签订、履约期间，有权要求投标人出具投标文件中的合同文本原件，予以确认其的真实性和有效性，如出现与事实不符等情况，将根据有关规定以</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rPr>
        <w:t>提供虚假材料谋取中标</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rPr>
        <w:t>予以处理。</w:t>
      </w:r>
    </w:p>
    <w:p>
      <w:pPr>
        <w:pStyle w:val="10"/>
        <w:spacing w:after="0"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eastAsia="宋体" w:cs="宋体"/>
          <w:color w:val="auto"/>
          <w:sz w:val="22"/>
          <w:szCs w:val="22"/>
          <w:highlight w:val="none"/>
        </w:rPr>
        <w:t>技术评分标准中，“A”档以该分项方案/措施的表述详尽、科学、操作性强、可信度高等为划分标准；“B”档以该分项方案/措施的表述细致度、可操作性、科学性等方面满足采购需求基本要求为划分标准；“C”档以该分项方案/措施的表述细致度、可操作性、科学性等方面较差为划分标准。</w:t>
      </w:r>
    </w:p>
    <w:p>
      <w:pPr>
        <w:pStyle w:val="10"/>
        <w:spacing w:after="0"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（4）以上评分保留小数1位（四舍五入）。</w:t>
      </w:r>
    </w:p>
    <w:p>
      <w:pPr>
        <w:pStyle w:val="10"/>
        <w:spacing w:after="0"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（5）投标文件未提供评分项目内容的，该项按零分处理，且不受最低分值限制。</w:t>
      </w:r>
    </w:p>
    <w:p>
      <w:pPr>
        <w:numPr>
          <w:ilvl w:val="0"/>
          <w:numId w:val="22"/>
        </w:numPr>
        <w:spacing w:line="460" w:lineRule="exact"/>
        <w:ind w:firstLine="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b/>
      </w:r>
      <w:r>
        <w:rPr>
          <w:rFonts w:hint="eastAsia" w:ascii="宋体" w:hAnsi="宋体" w:eastAsia="宋体" w:cs="宋体"/>
          <w:b/>
          <w:bCs/>
          <w:color w:val="auto"/>
          <w:sz w:val="22"/>
          <w:szCs w:val="22"/>
          <w:highlight w:val="none"/>
        </w:rPr>
        <w:t>商务评分（</w:t>
      </w:r>
      <w:r>
        <w:rPr>
          <w:rFonts w:hint="eastAsia" w:ascii="宋体" w:hAnsi="宋体" w:eastAsia="宋体" w:cs="宋体"/>
          <w:b/>
          <w:bCs/>
          <w:color w:val="auto"/>
          <w:sz w:val="22"/>
          <w:szCs w:val="22"/>
          <w:highlight w:val="none"/>
          <w:lang w:val="en-US" w:eastAsia="zh-CN"/>
        </w:rPr>
        <w:t>30</w:t>
      </w:r>
      <w:r>
        <w:rPr>
          <w:rFonts w:hint="eastAsia" w:ascii="宋体" w:hAnsi="宋体" w:eastAsia="宋体" w:cs="宋体"/>
          <w:b/>
          <w:bCs/>
          <w:color w:val="auto"/>
          <w:sz w:val="22"/>
          <w:szCs w:val="22"/>
          <w:highlight w:val="none"/>
        </w:rPr>
        <w:t>分）：</w:t>
      </w:r>
    </w:p>
    <w:p>
      <w:pPr>
        <w:spacing w:line="46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满足采购文件要求且投标报价的最低价作为评标基准价；</w:t>
      </w:r>
    </w:p>
    <w:p>
      <w:pPr>
        <w:numPr>
          <w:ilvl w:val="0"/>
          <w:numId w:val="23"/>
        </w:numPr>
        <w:spacing w:line="46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有效供应商的投标报价等于评标基准价时，其最终报价评分值为满分</w:t>
      </w:r>
      <w:r>
        <w:rPr>
          <w:rFonts w:hint="eastAsia" w:ascii="宋体" w:hAnsi="宋体" w:eastAsia="宋体" w:cs="宋体"/>
          <w:bCs/>
          <w:color w:val="auto"/>
          <w:kern w:val="0"/>
          <w:sz w:val="22"/>
          <w:szCs w:val="22"/>
          <w:highlight w:val="none"/>
          <w:lang w:val="en-US" w:eastAsia="zh-CN"/>
        </w:rPr>
        <w:t>30</w:t>
      </w:r>
      <w:r>
        <w:rPr>
          <w:rFonts w:hint="eastAsia" w:ascii="宋体" w:hAnsi="宋体" w:eastAsia="宋体" w:cs="宋体"/>
          <w:bCs/>
          <w:color w:val="auto"/>
          <w:kern w:val="0"/>
          <w:sz w:val="22"/>
          <w:szCs w:val="22"/>
          <w:highlight w:val="none"/>
        </w:rPr>
        <w:t>分；</w:t>
      </w:r>
    </w:p>
    <w:p>
      <w:pPr>
        <w:numPr>
          <w:ilvl w:val="0"/>
          <w:numId w:val="23"/>
        </w:numPr>
        <w:spacing w:line="46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其他供应商的价格分按以下公式计算：</w:t>
      </w:r>
    </w:p>
    <w:p>
      <w:pPr>
        <w:spacing w:line="460" w:lineRule="exact"/>
        <w:ind w:left="40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商务分得分=（评审基准价/供应商投标报价）×价格权值×100（四舍五入后保留小数2位，价格权值为</w:t>
      </w:r>
      <w:r>
        <w:rPr>
          <w:rFonts w:hint="eastAsia" w:ascii="宋体" w:hAnsi="宋体" w:eastAsia="宋体" w:cs="宋体"/>
          <w:bCs/>
          <w:color w:val="auto"/>
          <w:kern w:val="0"/>
          <w:sz w:val="22"/>
          <w:szCs w:val="22"/>
          <w:highlight w:val="none"/>
          <w:lang w:val="en-US" w:eastAsia="zh-CN"/>
        </w:rPr>
        <w:t>30</w:t>
      </w:r>
      <w:r>
        <w:rPr>
          <w:rFonts w:hint="eastAsia" w:ascii="宋体" w:hAnsi="宋体" w:eastAsia="宋体" w:cs="宋体"/>
          <w:bCs/>
          <w:color w:val="auto"/>
          <w:kern w:val="0"/>
          <w:sz w:val="22"/>
          <w:szCs w:val="22"/>
          <w:highlight w:val="none"/>
        </w:rPr>
        <w:t>%）</w:t>
      </w:r>
    </w:p>
    <w:p>
      <w:pPr>
        <w:numPr>
          <w:ilvl w:val="0"/>
          <w:numId w:val="23"/>
        </w:numPr>
        <w:spacing w:line="46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如供应商报价超过项目采购预算金额，其投标文件作无效标处理。</w:t>
      </w:r>
    </w:p>
    <w:p>
      <w:pPr>
        <w:numPr>
          <w:ilvl w:val="0"/>
          <w:numId w:val="23"/>
        </w:numPr>
        <w:spacing w:line="46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所有供应商商务报价均超过项目采购预算金额，项目按流（废）标处理，重新组织采购程序。</w:t>
      </w:r>
    </w:p>
    <w:p>
      <w:pPr>
        <w:numPr>
          <w:ilvl w:val="0"/>
          <w:numId w:val="23"/>
        </w:num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rPr>
        <w:t>本项目采购预算金额为</w:t>
      </w:r>
      <w:r>
        <w:rPr>
          <w:rFonts w:hint="eastAsia" w:ascii="宋体" w:hAnsi="宋体" w:eastAsia="宋体" w:cs="宋体"/>
          <w:bCs/>
          <w:color w:val="auto"/>
          <w:kern w:val="0"/>
          <w:sz w:val="22"/>
          <w:szCs w:val="22"/>
          <w:highlight w:val="none"/>
          <w:lang w:val="en-US" w:eastAsia="zh-CN"/>
        </w:rPr>
        <w:t>92</w:t>
      </w:r>
      <w:r>
        <w:rPr>
          <w:rFonts w:hint="eastAsia" w:ascii="宋体" w:hAnsi="宋体" w:eastAsia="宋体" w:cs="宋体"/>
          <w:bCs/>
          <w:color w:val="auto"/>
          <w:kern w:val="0"/>
          <w:sz w:val="22"/>
          <w:szCs w:val="22"/>
          <w:highlight w:val="none"/>
        </w:rPr>
        <w:t>万元。</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的综合得分为技术资信分和商务（报价）分的总和。</w:t>
      </w:r>
    </w:p>
    <w:p>
      <w:pPr>
        <w:spacing w:line="46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4.评标委员会依据法律、法规及采购文件有关规定在有效标中按</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的最终得分（即技术分与商务分之和）高低进行排序，得分前两名的</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推荐为中标候选人与备选中标供应商（得分相同投标报价低的排序优先；得分且投标报价相同的，由评委抽签决定排序）。</w:t>
      </w:r>
    </w:p>
    <w:p>
      <w:pPr>
        <w:pStyle w:val="10"/>
        <w:ind w:firstLine="0" w:firstLineChars="0"/>
        <w:rPr>
          <w:rFonts w:hint="eastAsia" w:ascii="宋体" w:hAnsi="宋体" w:eastAsia="宋体" w:cs="宋体"/>
          <w:color w:val="auto"/>
          <w:highlight w:val="none"/>
        </w:rPr>
      </w:pPr>
    </w:p>
    <w:p>
      <w:pPr>
        <w:rPr>
          <w:rFonts w:hint="eastAsia" w:ascii="宋体" w:hAnsi="宋体" w:eastAsia="宋体" w:cs="宋体"/>
          <w:color w:val="auto"/>
          <w:highlight w:val="none"/>
        </w:rPr>
      </w:pPr>
    </w:p>
    <w:sectPr>
      <w:footerReference r:id="rId9" w:type="default"/>
      <w:type w:val="nextColumn"/>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Yu Mincho Light">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1"/>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0"/>
      </w:pBdr>
      <w:jc w:val="right"/>
    </w:pPr>
    <w:r>
      <w:rPr>
        <w:rFonts w:hint="eastAsia" w:eastAsia="宋体"/>
      </w:rPr>
      <w:t>温州市智信招标代理有限公司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0"/>
      </w:pBdr>
      <w:jc w:val="right"/>
    </w:pPr>
    <w:r>
      <mc:AlternateContent>
        <mc:Choice Requires="wps">
          <w:drawing>
            <wp:anchor distT="0" distB="0" distL="114300" distR="114300" simplePos="0" relativeHeight="251659264" behindDoc="0" locked="0" layoutInCell="1" allowOverlap="1">
              <wp:simplePos x="0" y="0"/>
              <wp:positionH relativeFrom="margin">
                <wp:posOffset>3006090</wp:posOffset>
              </wp:positionH>
              <wp:positionV relativeFrom="paragraph">
                <wp:posOffset>0</wp:posOffset>
              </wp:positionV>
              <wp:extent cx="205740"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05740" cy="131445"/>
                      </a:xfrm>
                      <a:prstGeom prst="rect">
                        <a:avLst/>
                      </a:prstGeom>
                      <a:noFill/>
                      <a:ln>
                        <a:noFill/>
                      </a:ln>
                      <a:effectLst/>
                    </wps:spPr>
                    <wps:txbx>
                      <w:txbxContent>
                        <w:p>
                          <w:pPr>
                            <w:pStyle w:val="12"/>
                            <w:rPr>
                              <w:rFonts w:eastAsia="宋体"/>
                            </w:rPr>
                          </w:pPr>
                          <w:r>
                            <w:fldChar w:fldCharType="begin"/>
                          </w:r>
                          <w:r>
                            <w:instrText xml:space="preserve"> PAGE  \* MERGEFORMAT </w:instrText>
                          </w:r>
                          <w:r>
                            <w:fldChar w:fldCharType="separate"/>
                          </w:r>
                          <w:r>
                            <w:t>21</w:t>
                          </w:r>
                          <w: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236.7pt;margin-top:0pt;height:10.35pt;width:16.2pt;mso-position-horizontal-relative:margin;z-index:251659264;mso-width-relative:page;mso-height-relative:page;" filled="f" stroked="f" coordsize="21600,21600" o:gfxdata="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3IowdUAAAAHAQAADwAAAAAAAAABACAA&#10;AAAiAAAAZHJzL2Rvd25yZXYueG1sUEsBAhQAFAAAAAgAh07iQGtNsVcQAgAAEgQAAA4AAAAAAAAA&#10;AQAgAAAAJAEAAGRycy9lMm9Eb2MueG1sUEsFBgAAAAAGAAYAWQEAAKYFAAAAAA==&#10;">
              <v:fill on="f" focussize="0,0"/>
              <v:stroke on="f"/>
              <v:imagedata o:title=""/>
              <o:lock v:ext="edit" aspectratio="f"/>
              <v:textbox inset="0mm,0mm,0mm,0mm" style="mso-fit-shape-to-text:t;">
                <w:txbxContent>
                  <w:p>
                    <w:pPr>
                      <w:pStyle w:val="12"/>
                      <w:rPr>
                        <w:rFonts w:eastAsia="宋体"/>
                      </w:rPr>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eastAsia="宋体"/>
      </w:rPr>
      <w:t>温州市智信招标代理有限公司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eastAsia="宋体"/>
      </w:rPr>
    </w:pPr>
    <w:r>
      <w:rPr>
        <w:rFonts w:hint="eastAsia" w:eastAsia="宋体"/>
      </w:rPr>
      <w:t>温州市国有企业采购文件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ADE7E"/>
    <w:multiLevelType w:val="singleLevel"/>
    <w:tmpl w:val="839ADE7E"/>
    <w:lvl w:ilvl="0" w:tentative="0">
      <w:start w:val="1"/>
      <w:numFmt w:val="decimal"/>
      <w:suff w:val="nothing"/>
      <w:lvlText w:val="%1．"/>
      <w:lvlJc w:val="left"/>
      <w:pPr>
        <w:ind w:left="0" w:firstLine="400"/>
      </w:pPr>
      <w:rPr>
        <w:rFonts w:hint="default"/>
      </w:rPr>
    </w:lvl>
  </w:abstractNum>
  <w:abstractNum w:abstractNumId="1">
    <w:nsid w:val="8A971587"/>
    <w:multiLevelType w:val="singleLevel"/>
    <w:tmpl w:val="8A971587"/>
    <w:lvl w:ilvl="0" w:tentative="0">
      <w:start w:val="1"/>
      <w:numFmt w:val="decimal"/>
      <w:suff w:val="nothing"/>
      <w:lvlText w:val="%1．"/>
      <w:lvlJc w:val="left"/>
      <w:pPr>
        <w:ind w:left="0" w:firstLine="400"/>
      </w:pPr>
      <w:rPr>
        <w:rFonts w:hint="default"/>
      </w:rPr>
    </w:lvl>
  </w:abstractNum>
  <w:abstractNum w:abstractNumId="2">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3">
    <w:nsid w:val="AEF1AA36"/>
    <w:multiLevelType w:val="singleLevel"/>
    <w:tmpl w:val="AEF1AA36"/>
    <w:lvl w:ilvl="0" w:tentative="0">
      <w:start w:val="1"/>
      <w:numFmt w:val="decimal"/>
      <w:suff w:val="nothing"/>
      <w:lvlText w:val="%1．"/>
      <w:lvlJc w:val="left"/>
      <w:pPr>
        <w:ind w:left="0" w:firstLine="400"/>
      </w:pPr>
      <w:rPr>
        <w:rFonts w:hint="default"/>
      </w:rPr>
    </w:lvl>
  </w:abstractNum>
  <w:abstractNum w:abstractNumId="4">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22"/>
    <w:multiLevelType w:val="multilevel"/>
    <w:tmpl w:val="00000022"/>
    <w:lvl w:ilvl="0" w:tentative="0">
      <w:start w:val="1"/>
      <w:numFmt w:val="decimal"/>
      <w:lvlText w:val="%1."/>
      <w:lvlJc w:val="left"/>
      <w:pPr>
        <w:tabs>
          <w:tab w:val="left" w:pos="420"/>
        </w:tabs>
        <w:ind w:left="420" w:hanging="420"/>
      </w:pPr>
      <w:rPr>
        <w:rFonts w:hint="eastAsia" w:ascii="楷体_GB2312" w:hAnsi="Tahoma" w:eastAsia="楷体_GB2312" w:cs="Courier New"/>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0.%2"/>
      <w:lvlJc w:val="left"/>
      <w:pPr>
        <w:tabs>
          <w:tab w:val="left" w:pos="992"/>
        </w:tabs>
        <w:ind w:left="992" w:hanging="567"/>
      </w:pPr>
      <w:rPr>
        <w:rFonts w:hint="eastAsia" w:ascii="楷体_GB2312" w:eastAsia="楷体_GB2312"/>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00000032"/>
    <w:multiLevelType w:val="multilevel"/>
    <w:tmpl w:val="00000032"/>
    <w:lvl w:ilvl="0" w:tentative="0">
      <w:start w:val="19"/>
      <w:numFmt w:val="decimal"/>
      <w:lvlText w:val="%1."/>
      <w:lvlJc w:val="left"/>
      <w:pPr>
        <w:tabs>
          <w:tab w:val="left" w:pos="420"/>
        </w:tabs>
        <w:ind w:left="420" w:hanging="420"/>
      </w:pPr>
      <w:rPr>
        <w:rFonts w:hint="eastAsia" w:ascii="楷体_GB2312" w:hAnsi="Tahoma" w:eastAsia="楷体_GB2312" w:cs="Courier New"/>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8">
    <w:nsid w:val="00000039"/>
    <w:multiLevelType w:val="multilevel"/>
    <w:tmpl w:val="00000039"/>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3A"/>
    <w:multiLevelType w:val="multilevel"/>
    <w:tmpl w:val="0000003A"/>
    <w:lvl w:ilvl="0" w:tentative="0">
      <w:start w:val="5"/>
      <w:numFmt w:val="decimal"/>
      <w:lvlText w:val="%1."/>
      <w:lvlJc w:val="left"/>
      <w:pPr>
        <w:tabs>
          <w:tab w:val="left" w:pos="420"/>
        </w:tabs>
        <w:ind w:left="420" w:hanging="420"/>
      </w:pPr>
      <w:rPr>
        <w:rFonts w:hint="eastAsia" w:ascii="楷体_GB2312" w:hAnsi="Tahoma" w:eastAsia="楷体_GB2312" w:cs="Courier New"/>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0">
    <w:nsid w:val="00000041"/>
    <w:multiLevelType w:val="multilevel"/>
    <w:tmpl w:val="00000041"/>
    <w:lvl w:ilvl="0" w:tentative="0">
      <w:start w:val="1"/>
      <w:numFmt w:val="decimal"/>
      <w:lvlText w:val="%1)"/>
      <w:lvlJc w:val="left"/>
      <w:pPr>
        <w:tabs>
          <w:tab w:val="left" w:pos="780"/>
        </w:tabs>
        <w:ind w:left="780" w:hanging="420"/>
      </w:pPr>
      <w:rPr>
        <w:rFonts w:hint="eastAsia" w:ascii="楷体_GB2312" w:hAnsi="Tahoma" w:eastAsia="楷体_GB2312" w:cs="Tahoma"/>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4A"/>
    <w:multiLevelType w:val="multilevel"/>
    <w:tmpl w:val="0000004A"/>
    <w:lvl w:ilvl="0" w:tentative="0">
      <w:start w:val="16"/>
      <w:numFmt w:val="decimal"/>
      <w:lvlText w:val="%1."/>
      <w:lvlJc w:val="left"/>
      <w:pPr>
        <w:tabs>
          <w:tab w:val="left" w:pos="420"/>
        </w:tabs>
        <w:ind w:left="420" w:hanging="420"/>
      </w:pPr>
      <w:rPr>
        <w:rFonts w:hint="eastAsia" w:ascii="楷体_GB2312" w:hAnsi="Tahoma" w:eastAsia="楷体_GB2312" w:cs="Courier New"/>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2">
    <w:nsid w:val="0000004D"/>
    <w:multiLevelType w:val="multilevel"/>
    <w:tmpl w:val="0000004D"/>
    <w:lvl w:ilvl="0" w:tentative="0">
      <w:start w:val="8"/>
      <w:numFmt w:val="decimal"/>
      <w:lvlText w:val="%1."/>
      <w:lvlJc w:val="left"/>
      <w:pPr>
        <w:tabs>
          <w:tab w:val="left" w:pos="420"/>
        </w:tabs>
        <w:ind w:left="420" w:hanging="420"/>
      </w:pPr>
      <w:rPr>
        <w:rFonts w:hint="eastAsia" w:ascii="楷体_GB2312" w:hAnsi="Tahoma" w:eastAsia="楷体_GB2312" w:cs="Courier New"/>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3">
    <w:nsid w:val="0E4487C0"/>
    <w:multiLevelType w:val="singleLevel"/>
    <w:tmpl w:val="0E4487C0"/>
    <w:lvl w:ilvl="0" w:tentative="0">
      <w:start w:val="1"/>
      <w:numFmt w:val="decimalEnclosedCircleChinese"/>
      <w:suff w:val="nothing"/>
      <w:lvlText w:val="%1　"/>
      <w:lvlJc w:val="left"/>
      <w:pPr>
        <w:ind w:left="0" w:firstLine="400"/>
      </w:pPr>
      <w:rPr>
        <w:rFonts w:hint="eastAsia"/>
      </w:rPr>
    </w:lvl>
  </w:abstractNum>
  <w:abstractNum w:abstractNumId="14">
    <w:nsid w:val="17501AC2"/>
    <w:multiLevelType w:val="singleLevel"/>
    <w:tmpl w:val="17501AC2"/>
    <w:lvl w:ilvl="0" w:tentative="0">
      <w:start w:val="1"/>
      <w:numFmt w:val="decimalEnclosedCircleChinese"/>
      <w:suff w:val="nothing"/>
      <w:lvlText w:val="%1　"/>
      <w:lvlJc w:val="left"/>
      <w:pPr>
        <w:ind w:left="0" w:firstLine="400"/>
      </w:pPr>
      <w:rPr>
        <w:rFonts w:hint="eastAsia"/>
      </w:rPr>
    </w:lvl>
  </w:abstractNum>
  <w:abstractNum w:abstractNumId="15">
    <w:nsid w:val="189413C5"/>
    <w:multiLevelType w:val="multilevel"/>
    <w:tmpl w:val="189413C5"/>
    <w:lvl w:ilvl="0" w:tentative="0">
      <w:start w:val="1"/>
      <w:numFmt w:val="upperLetter"/>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6">
    <w:nsid w:val="3380FA00"/>
    <w:multiLevelType w:val="singleLevel"/>
    <w:tmpl w:val="3380FA00"/>
    <w:lvl w:ilvl="0" w:tentative="0">
      <w:start w:val="1"/>
      <w:numFmt w:val="decimal"/>
      <w:suff w:val="nothing"/>
      <w:lvlText w:val="%1）"/>
      <w:lvlJc w:val="left"/>
    </w:lvl>
  </w:abstractNum>
  <w:abstractNum w:abstractNumId="17">
    <w:nsid w:val="46B2F6CA"/>
    <w:multiLevelType w:val="singleLevel"/>
    <w:tmpl w:val="46B2F6CA"/>
    <w:lvl w:ilvl="0" w:tentative="0">
      <w:start w:val="1"/>
      <w:numFmt w:val="decimal"/>
      <w:suff w:val="nothing"/>
      <w:lvlText w:val="%1．"/>
      <w:lvlJc w:val="left"/>
      <w:pPr>
        <w:ind w:left="0" w:firstLine="400"/>
      </w:pPr>
      <w:rPr>
        <w:rFonts w:hint="default"/>
      </w:rPr>
    </w:lvl>
  </w:abstractNum>
  <w:abstractNum w:abstractNumId="18">
    <w:nsid w:val="57CE32F8"/>
    <w:multiLevelType w:val="multilevel"/>
    <w:tmpl w:val="57CE32F8"/>
    <w:lvl w:ilvl="0" w:tentative="0">
      <w:start w:val="1"/>
      <w:numFmt w:val="decimal"/>
      <w:lvlText w:val="%1)"/>
      <w:lvlJc w:val="left"/>
      <w:rPr>
        <w:rFonts w:ascii="楷体_GB2312" w:hAnsi="楷体_GB2312"/>
        <w:b w:val="0"/>
      </w:rPr>
    </w:lvl>
    <w:lvl w:ilvl="1" w:tentative="0">
      <w:start w:val="1"/>
      <w:numFmt w:val="japaneseCounting"/>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9">
    <w:nsid w:val="598038E8"/>
    <w:multiLevelType w:val="singleLevel"/>
    <w:tmpl w:val="598038E8"/>
    <w:lvl w:ilvl="0" w:tentative="0">
      <w:start w:val="9"/>
      <w:numFmt w:val="chineseCounting"/>
      <w:suff w:val="nothing"/>
      <w:lvlText w:val="第%1条"/>
      <w:lvlJc w:val="left"/>
    </w:lvl>
  </w:abstractNum>
  <w:abstractNum w:abstractNumId="20">
    <w:nsid w:val="5A1B912C"/>
    <w:multiLevelType w:val="singleLevel"/>
    <w:tmpl w:val="5A1B912C"/>
    <w:lvl w:ilvl="0" w:tentative="0">
      <w:start w:val="1"/>
      <w:numFmt w:val="decimalEnclosedCircleChinese"/>
      <w:suff w:val="nothing"/>
      <w:lvlText w:val="%1　"/>
      <w:lvlJc w:val="left"/>
      <w:pPr>
        <w:ind w:left="0" w:firstLine="400"/>
      </w:pPr>
      <w:rPr>
        <w:rFonts w:hint="eastAsia"/>
      </w:rPr>
    </w:lvl>
  </w:abstractNum>
  <w:abstractNum w:abstractNumId="21">
    <w:nsid w:val="7641CACD"/>
    <w:multiLevelType w:val="singleLevel"/>
    <w:tmpl w:val="7641CACD"/>
    <w:lvl w:ilvl="0" w:tentative="0">
      <w:start w:val="2"/>
      <w:numFmt w:val="decimal"/>
      <w:suff w:val="nothing"/>
      <w:lvlText w:val="（%1）"/>
      <w:lvlJc w:val="left"/>
      <w:rPr>
        <w:b/>
      </w:rPr>
    </w:lvl>
  </w:abstractNum>
  <w:abstractNum w:abstractNumId="22">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9"/>
  </w:num>
  <w:num w:numId="3">
    <w:abstractNumId w:val="12"/>
  </w:num>
  <w:num w:numId="4">
    <w:abstractNumId w:val="22"/>
    <w:lvlOverride w:ilvl="0">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0"/>
  </w:num>
  <w:num w:numId="8">
    <w:abstractNumId w:val="6"/>
  </w:num>
  <w:num w:numId="9">
    <w:abstractNumId w:val="13"/>
  </w:num>
  <w:num w:numId="10">
    <w:abstractNumId w:val="8"/>
  </w:num>
  <w:num w:numId="11">
    <w:abstractNumId w:val="4"/>
  </w:num>
  <w:num w:numId="12">
    <w:abstractNumId w:val="11"/>
  </w:num>
  <w:num w:numId="13">
    <w:abstractNumId w:val="20"/>
  </w:num>
  <w:num w:numId="14">
    <w:abstractNumId w:val="7"/>
  </w:num>
  <w:num w:numId="15">
    <w:abstractNumId w:val="16"/>
  </w:num>
  <w:num w:numId="16">
    <w:abstractNumId w:val="19"/>
  </w:num>
  <w:num w:numId="17">
    <w:abstractNumId w:val="2"/>
  </w:num>
  <w:num w:numId="18">
    <w:abstractNumId w:val="0"/>
  </w:num>
  <w:num w:numId="19">
    <w:abstractNumId w:val="3"/>
  </w:num>
  <w:num w:numId="20">
    <w:abstractNumId w:val="17"/>
  </w:num>
  <w:num w:numId="21">
    <w:abstractNumId w:val="18"/>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10D1B65"/>
    <w:rsid w:val="02140326"/>
    <w:rsid w:val="024C1CDA"/>
    <w:rsid w:val="030C017A"/>
    <w:rsid w:val="034946EC"/>
    <w:rsid w:val="044455AE"/>
    <w:rsid w:val="06E23CE3"/>
    <w:rsid w:val="07F2003D"/>
    <w:rsid w:val="08654DB5"/>
    <w:rsid w:val="08AD1056"/>
    <w:rsid w:val="095437B6"/>
    <w:rsid w:val="0BAF21A8"/>
    <w:rsid w:val="0C646DA5"/>
    <w:rsid w:val="0DE13B50"/>
    <w:rsid w:val="0F5B5D0F"/>
    <w:rsid w:val="106D7FF1"/>
    <w:rsid w:val="136F05CC"/>
    <w:rsid w:val="13E40319"/>
    <w:rsid w:val="16254A61"/>
    <w:rsid w:val="186144D5"/>
    <w:rsid w:val="18767154"/>
    <w:rsid w:val="18C235A3"/>
    <w:rsid w:val="1A7E355A"/>
    <w:rsid w:val="1B770817"/>
    <w:rsid w:val="1C2F4126"/>
    <w:rsid w:val="1C404638"/>
    <w:rsid w:val="1C857A2D"/>
    <w:rsid w:val="1C9768AA"/>
    <w:rsid w:val="1E1B1B7D"/>
    <w:rsid w:val="1F664E2A"/>
    <w:rsid w:val="21710F7D"/>
    <w:rsid w:val="22155AB5"/>
    <w:rsid w:val="223D4F7A"/>
    <w:rsid w:val="22F76EA5"/>
    <w:rsid w:val="25F31B6B"/>
    <w:rsid w:val="2604539D"/>
    <w:rsid w:val="26664FBC"/>
    <w:rsid w:val="26A36482"/>
    <w:rsid w:val="26E90325"/>
    <w:rsid w:val="27CF71D0"/>
    <w:rsid w:val="27D0342A"/>
    <w:rsid w:val="285E6FF2"/>
    <w:rsid w:val="29172299"/>
    <w:rsid w:val="2A884BD1"/>
    <w:rsid w:val="2B160676"/>
    <w:rsid w:val="2B3C4289"/>
    <w:rsid w:val="2B6D12EE"/>
    <w:rsid w:val="2BF53CA3"/>
    <w:rsid w:val="2EC3289D"/>
    <w:rsid w:val="2FD0482B"/>
    <w:rsid w:val="30B721B1"/>
    <w:rsid w:val="31AA20CE"/>
    <w:rsid w:val="331D645F"/>
    <w:rsid w:val="347632D1"/>
    <w:rsid w:val="34AB1287"/>
    <w:rsid w:val="357C189A"/>
    <w:rsid w:val="35B87B83"/>
    <w:rsid w:val="364075DB"/>
    <w:rsid w:val="39A64F20"/>
    <w:rsid w:val="3AA27206"/>
    <w:rsid w:val="3B3512EC"/>
    <w:rsid w:val="3CE001B9"/>
    <w:rsid w:val="3DAE09FF"/>
    <w:rsid w:val="3DFE3AAD"/>
    <w:rsid w:val="40335F16"/>
    <w:rsid w:val="41176B06"/>
    <w:rsid w:val="419C650C"/>
    <w:rsid w:val="42D4673F"/>
    <w:rsid w:val="43802B3B"/>
    <w:rsid w:val="442E5A72"/>
    <w:rsid w:val="46547198"/>
    <w:rsid w:val="46AB1997"/>
    <w:rsid w:val="472D60AA"/>
    <w:rsid w:val="48781926"/>
    <w:rsid w:val="49335290"/>
    <w:rsid w:val="4AFB468C"/>
    <w:rsid w:val="4B0730BD"/>
    <w:rsid w:val="4B790F1B"/>
    <w:rsid w:val="4BF50A61"/>
    <w:rsid w:val="4DD52FF7"/>
    <w:rsid w:val="4FEF7DE4"/>
    <w:rsid w:val="50D060F5"/>
    <w:rsid w:val="5240435A"/>
    <w:rsid w:val="54D34B3C"/>
    <w:rsid w:val="553B6237"/>
    <w:rsid w:val="55A07BE0"/>
    <w:rsid w:val="56990C2D"/>
    <w:rsid w:val="56E373E7"/>
    <w:rsid w:val="57B77BD3"/>
    <w:rsid w:val="5BA600DD"/>
    <w:rsid w:val="5C524CBC"/>
    <w:rsid w:val="5E040D28"/>
    <w:rsid w:val="5E2002BE"/>
    <w:rsid w:val="5E2F697B"/>
    <w:rsid w:val="5E647FC3"/>
    <w:rsid w:val="5EA77B20"/>
    <w:rsid w:val="5EBC0D65"/>
    <w:rsid w:val="60566373"/>
    <w:rsid w:val="608C74BD"/>
    <w:rsid w:val="619C2744"/>
    <w:rsid w:val="6249466A"/>
    <w:rsid w:val="635B7BD3"/>
    <w:rsid w:val="678A0A9D"/>
    <w:rsid w:val="68392D82"/>
    <w:rsid w:val="6A891B7D"/>
    <w:rsid w:val="6A8A5B1D"/>
    <w:rsid w:val="6B3465C6"/>
    <w:rsid w:val="6C4F2237"/>
    <w:rsid w:val="6CF16E44"/>
    <w:rsid w:val="6D8353DC"/>
    <w:rsid w:val="6F065953"/>
    <w:rsid w:val="6F415EB0"/>
    <w:rsid w:val="71A5490B"/>
    <w:rsid w:val="733738EC"/>
    <w:rsid w:val="737C0836"/>
    <w:rsid w:val="73B70621"/>
    <w:rsid w:val="74562644"/>
    <w:rsid w:val="748D3FC4"/>
    <w:rsid w:val="768F7938"/>
    <w:rsid w:val="776963DA"/>
    <w:rsid w:val="77982C21"/>
    <w:rsid w:val="785A3DFC"/>
    <w:rsid w:val="78AD2357"/>
    <w:rsid w:val="78B07EDE"/>
    <w:rsid w:val="798E2E18"/>
    <w:rsid w:val="7AC57348"/>
    <w:rsid w:val="7AC9598E"/>
    <w:rsid w:val="7B853B4A"/>
    <w:rsid w:val="7BC6109E"/>
    <w:rsid w:val="7CC16371"/>
    <w:rsid w:val="7CE80705"/>
    <w:rsid w:val="7DFB7B94"/>
    <w:rsid w:val="7E5632AB"/>
    <w:rsid w:val="7E621D00"/>
    <w:rsid w:val="7EE1505B"/>
    <w:rsid w:val="7F543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Calibri" w:eastAsia="Calibri"/>
      <w:b/>
      <w:bCs/>
    </w:rPr>
  </w:style>
  <w:style w:type="paragraph" w:styleId="4">
    <w:name w:val="heading 2"/>
    <w:basedOn w:val="1"/>
    <w:next w:val="1"/>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1"/>
    <w:pPr>
      <w:ind w:left="332"/>
      <w:outlineLvl w:val="4"/>
    </w:pPr>
    <w:rPr>
      <w:rFonts w:ascii="宋体" w:hAnsi="宋体" w:eastAsia="宋体" w:cs="宋体"/>
      <w:sz w:val="22"/>
      <w:szCs w:val="22"/>
      <w:lang w:val="en-US" w:eastAsia="zh-CN" w:bidi="ar-SA"/>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7">
    <w:name w:val="Normal Indent"/>
    <w:basedOn w:val="1"/>
    <w:qFormat/>
    <w:uiPriority w:val="0"/>
    <w:pPr>
      <w:adjustRightInd w:val="0"/>
      <w:spacing w:line="312" w:lineRule="atLeast"/>
      <w:ind w:firstLine="420"/>
      <w:textAlignment w:val="baseline"/>
    </w:pPr>
    <w:rPr>
      <w:rFonts w:eastAsia="Cambria"/>
      <w:kern w:val="0"/>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pPr>
    <w:rPr>
      <w:rFonts w:eastAsia="Cambria"/>
    </w:rPr>
  </w:style>
  <w:style w:type="paragraph" w:styleId="10">
    <w:name w:val="Body Text First Indent"/>
    <w:basedOn w:val="9"/>
    <w:next w:val="1"/>
    <w:qFormat/>
    <w:uiPriority w:val="0"/>
    <w:pPr>
      <w:autoSpaceDE w:val="0"/>
      <w:autoSpaceDN w:val="0"/>
      <w:adjustRightInd w:val="0"/>
      <w:ind w:firstLine="420" w:firstLineChars="100"/>
      <w:jc w:val="left"/>
    </w:pPr>
    <w:rPr>
      <w:kern w:val="0"/>
      <w:sz w:val="20"/>
      <w:szCs w:val="20"/>
    </w:rPr>
  </w:style>
  <w:style w:type="paragraph" w:styleId="11">
    <w:name w:val="Plain Text"/>
    <w:basedOn w:val="1"/>
    <w:next w:val="1"/>
    <w:qFormat/>
    <w:uiPriority w:val="0"/>
    <w:pPr>
      <w:widowControl/>
      <w:overflowPunct w:val="0"/>
      <w:autoSpaceDE w:val="0"/>
      <w:autoSpaceDN w:val="0"/>
      <w:adjustRightInd w:val="0"/>
      <w:jc w:val="left"/>
      <w:textAlignment w:val="baseline"/>
    </w:pPr>
    <w:rPr>
      <w:rFonts w:ascii="Cambria" w:hAnsi="隶书" w:eastAsia="Cambria"/>
      <w:kern w:val="0"/>
      <w:szCs w:val="21"/>
    </w:rPr>
  </w:style>
  <w:style w:type="paragraph" w:styleId="12">
    <w:name w:val="footer"/>
    <w:basedOn w:val="1"/>
    <w:qFormat/>
    <w:uiPriority w:val="0"/>
    <w:pPr>
      <w:tabs>
        <w:tab w:val="center" w:pos="4153"/>
        <w:tab w:val="right" w:pos="8306"/>
      </w:tabs>
      <w:snapToGrid w:val="0"/>
      <w:jc w:val="left"/>
    </w:pPr>
    <w:rPr>
      <w:rFonts w:eastAsia="Cambria"/>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14">
    <w:name w:val="toc 1"/>
    <w:basedOn w:val="1"/>
    <w:next w:val="1"/>
    <w:qFormat/>
    <w:uiPriority w:val="39"/>
    <w:pPr>
      <w:tabs>
        <w:tab w:val="right" w:leader="dot" w:pos="9628"/>
      </w:tabs>
      <w:spacing w:line="480" w:lineRule="auto"/>
    </w:pPr>
    <w:rPr>
      <w:rFonts w:ascii="Courier New" w:hAnsi="Courier New" w:eastAsia="仿宋_GB2312" w:cs="Courier New"/>
      <w:bCs/>
      <w:sz w:val="24"/>
    </w:rPr>
  </w:style>
  <w:style w:type="paragraph" w:styleId="15">
    <w:name w:val="toc 6"/>
    <w:basedOn w:val="1"/>
    <w:next w:val="1"/>
    <w:qFormat/>
    <w:uiPriority w:val="0"/>
    <w:pPr>
      <w:autoSpaceDE w:val="0"/>
      <w:autoSpaceDN w:val="0"/>
      <w:adjustRightInd w:val="0"/>
      <w:ind w:left="2100" w:leftChars="1000"/>
      <w:jc w:val="left"/>
    </w:pPr>
    <w:rPr>
      <w:kern w:val="0"/>
      <w:sz w:val="20"/>
      <w:szCs w:val="20"/>
    </w:rPr>
  </w:style>
  <w:style w:type="paragraph" w:styleId="16">
    <w:name w:val="Normal (Web)"/>
    <w:basedOn w:val="1"/>
    <w:qFormat/>
    <w:uiPriority w:val="0"/>
    <w:pPr>
      <w:widowControl/>
      <w:spacing w:before="100" w:beforeAutospacing="1" w:after="100" w:afterAutospacing="1"/>
      <w:jc w:val="left"/>
    </w:pPr>
    <w:rPr>
      <w:rFonts w:ascii="Cambria" w:hAnsi="Cambria" w:cs="Cambria"/>
      <w:kern w:val="0"/>
      <w:sz w:val="24"/>
    </w:rPr>
  </w:style>
  <w:style w:type="paragraph" w:styleId="17">
    <w:name w:val="Body Text First Indent 2"/>
    <w:basedOn w:val="2"/>
    <w:unhideWhenUsed/>
    <w:qFormat/>
    <w:uiPriority w:val="99"/>
    <w:pPr>
      <w:ind w:firstLine="420" w:firstLineChars="200"/>
    </w:pPr>
  </w:style>
  <w:style w:type="character" w:styleId="20">
    <w:name w:val="Strong"/>
    <w:qFormat/>
    <w:uiPriority w:val="22"/>
    <w:rPr>
      <w:b/>
      <w:bCs/>
    </w:rPr>
  </w:style>
  <w:style w:type="character" w:styleId="21">
    <w:name w:val="Hyperlink"/>
    <w:qFormat/>
    <w:uiPriority w:val="99"/>
    <w:rPr>
      <w:color w:val="000000"/>
      <w:sz w:val="20"/>
      <w:szCs w:val="20"/>
      <w:u w:val="none"/>
    </w:rPr>
  </w:style>
  <w:style w:type="paragraph" w:customStyle="1" w:styleId="2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Tahoma" w:hAnsi="Tahoma" w:eastAsia="Tahoma"/>
      <w:kern w:val="0"/>
      <w:szCs w:val="22"/>
    </w:rPr>
  </w:style>
  <w:style w:type="paragraph" w:customStyle="1" w:styleId="23">
    <w:name w:val="1"/>
    <w:basedOn w:val="3"/>
    <w:qFormat/>
    <w:uiPriority w:val="0"/>
    <w:pPr>
      <w:spacing w:before="120" w:after="120" w:line="500" w:lineRule="exact"/>
      <w:jc w:val="left"/>
    </w:pPr>
    <w:rPr>
      <w:rFonts w:eastAsia="黑体"/>
      <w:sz w:val="30"/>
      <w:szCs w:val="72"/>
    </w:rPr>
  </w:style>
  <w:style w:type="paragraph" w:customStyle="1" w:styleId="24">
    <w:name w:val="1.1"/>
    <w:basedOn w:val="4"/>
    <w:qFormat/>
    <w:uiPriority w:val="0"/>
    <w:pPr>
      <w:spacing w:before="120" w:after="120" w:line="500" w:lineRule="exact"/>
      <w:jc w:val="left"/>
    </w:pPr>
    <w:rPr>
      <w:rFonts w:ascii="宋体" w:hAnsi="宋体" w:eastAsia="宋体"/>
      <w:sz w:val="28"/>
      <w:szCs w:val="24"/>
    </w:rPr>
  </w:style>
  <w:style w:type="paragraph" w:customStyle="1" w:styleId="25">
    <w:name w:val="1.1.1"/>
    <w:basedOn w:val="5"/>
    <w:qFormat/>
    <w:uiPriority w:val="0"/>
    <w:pPr>
      <w:spacing w:before="120" w:after="120" w:line="500" w:lineRule="exact"/>
    </w:pPr>
    <w:rPr>
      <w:sz w:val="24"/>
    </w:rPr>
  </w:style>
  <w:style w:type="paragraph" w:customStyle="1" w:styleId="26">
    <w:name w:val="表格-2"/>
    <w:basedOn w:val="1"/>
    <w:semiHidden/>
    <w:qFormat/>
    <w:uiPriority w:val="0"/>
    <w:pPr>
      <w:snapToGrid w:val="0"/>
      <w:spacing w:beforeLines="50" w:line="240" w:lineRule="auto"/>
    </w:pPr>
    <w:rPr>
      <w:rFonts w:ascii="Arial" w:hAnsi="Arial" w:cs="宋体"/>
      <w:sz w:val="21"/>
      <w:szCs w:val="22"/>
    </w:rPr>
  </w:style>
  <w:style w:type="paragraph" w:customStyle="1" w:styleId="27">
    <w:name w:val="正文A"/>
    <w:basedOn w:val="1"/>
    <w:qFormat/>
    <w:uiPriority w:val="0"/>
    <w:pPr>
      <w:adjustRightInd w:val="0"/>
      <w:snapToGrid w:val="0"/>
      <w:spacing w:beforeLines="50" w:line="240" w:lineRule="auto"/>
      <w:ind w:firstLine="200" w:firstLineChars="200"/>
    </w:pPr>
    <w:rPr>
      <w:rFonts w:ascii="Arial" w:hAnsi="Arial" w:cs="宋体"/>
      <w:szCs w:val="22"/>
    </w:rPr>
  </w:style>
  <w:style w:type="paragraph" w:customStyle="1" w:styleId="28">
    <w:name w:val="[Normal]"/>
    <w:qFormat/>
    <w:uiPriority w:val="0"/>
    <w:rPr>
      <w:rFonts w:ascii="宋体" w:hAnsi="宋体" w:eastAsia="宋体" w:cs="Times New Roman"/>
      <w:sz w:val="24"/>
      <w:szCs w:val="22"/>
      <w:lang w:val="zh-CN" w:eastAsia="zh-CN" w:bidi="ar-SA"/>
    </w:rPr>
  </w:style>
  <w:style w:type="paragraph" w:customStyle="1" w:styleId="2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49240</Words>
  <Characters>53766</Characters>
  <Lines>0</Lines>
  <Paragraphs>0</Paragraphs>
  <TotalTime>9</TotalTime>
  <ScaleCrop>false</ScaleCrop>
  <LinksUpToDate>false</LinksUpToDate>
  <CharactersWithSpaces>56349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2022-04-14T02:53:00Z</dcterms:created>
  <dc:creator>Administrator</dc:creator>
  <cp:lastModifiedBy>小杰</cp:lastModifiedBy>
  <dcterms:modified xsi:type="dcterms:W3CDTF">2022-10-28T07:16:48Z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6ED72099EC274B42B93150B42474860E</vt:lpwstr>
  </property>
  <property fmtid="{D5CDD505-2E9C-101B-9397-08002B2CF9AE}" pid="4" name="commondata">
    <vt:lpwstr>eyJoZGlkIjoiZDhkOWUyM2QzNWEzZjQ2M2U0ZjFkODM2NGI4OWVlN2MifQ==</vt:lpwstr>
  </property>
</Properties>
</file>