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_GB2312"/>
          <w:b/>
          <w:color w:val="auto"/>
          <w:sz w:val="24"/>
          <w:highlight w:val="none"/>
        </w:rPr>
      </w:pPr>
    </w:p>
    <w:p>
      <w:pPr>
        <w:adjustRightInd/>
        <w:spacing w:line="360" w:lineRule="auto"/>
        <w:rPr>
          <w:rFonts w:hint="eastAsia" w:ascii="仿宋" w:hAnsi="仿宋" w:eastAsia="仿宋" w:cs="仿宋_GB2312"/>
          <w:b/>
          <w:color w:val="auto"/>
          <w:sz w:val="44"/>
          <w:szCs w:val="44"/>
          <w:highlight w:val="none"/>
        </w:rPr>
      </w:pPr>
    </w:p>
    <w:p>
      <w:pPr>
        <w:spacing w:line="360" w:lineRule="auto"/>
        <w:jc w:val="center"/>
        <w:rPr>
          <w:rFonts w:hint="eastAsia" w:ascii="仿宋" w:hAnsi="仿宋" w:eastAsia="仿宋" w:cs="仿宋_GB2312"/>
          <w:b/>
          <w:color w:val="auto"/>
          <w:sz w:val="44"/>
          <w:szCs w:val="44"/>
          <w:highlight w:val="none"/>
          <w:lang w:eastAsia="zh-CN"/>
        </w:rPr>
      </w:pPr>
      <w:r>
        <w:rPr>
          <w:rFonts w:hint="eastAsia" w:ascii="仿宋" w:hAnsi="仿宋" w:eastAsia="仿宋" w:cs="仿宋_GB2312"/>
          <w:b/>
          <w:color w:val="auto"/>
          <w:sz w:val="44"/>
          <w:szCs w:val="44"/>
          <w:highlight w:val="none"/>
          <w:lang w:eastAsia="zh-CN"/>
        </w:rPr>
        <w:t>湖塘街道垃圾清运服务项目</w:t>
      </w:r>
    </w:p>
    <w:p>
      <w:pPr>
        <w:snapToGrid w:val="0"/>
        <w:spacing w:line="360" w:lineRule="auto"/>
        <w:jc w:val="center"/>
        <w:rPr>
          <w:rFonts w:hint="eastAsia" w:ascii="仿宋" w:hAnsi="仿宋" w:eastAsia="仿宋" w:cs="仿宋_GB2312"/>
          <w:color w:val="auto"/>
          <w:sz w:val="30"/>
          <w:szCs w:val="30"/>
          <w:highlight w:val="none"/>
          <w:lang w:eastAsia="zh-CN"/>
        </w:rPr>
      </w:pPr>
      <w:r>
        <w:rPr>
          <w:rFonts w:hint="eastAsia" w:ascii="仿宋" w:hAnsi="仿宋" w:eastAsia="仿宋" w:cs="仿宋_GB2312"/>
          <w:color w:val="auto"/>
          <w:sz w:val="30"/>
          <w:szCs w:val="30"/>
          <w:highlight w:val="none"/>
        </w:rPr>
        <w:t>项目编号:</w:t>
      </w:r>
      <w:r>
        <w:rPr>
          <w:rFonts w:hint="eastAsia" w:ascii="仿宋" w:hAnsi="仿宋" w:eastAsia="仿宋" w:cs="仿宋_GB2312"/>
          <w:color w:val="auto"/>
          <w:sz w:val="30"/>
          <w:szCs w:val="30"/>
          <w:highlight w:val="none"/>
          <w:lang w:eastAsia="zh-CN"/>
        </w:rPr>
        <w:t>绍柯采[2022]2440号</w:t>
      </w:r>
    </w:p>
    <w:p>
      <w:pPr>
        <w:spacing w:line="360" w:lineRule="auto"/>
        <w:jc w:val="center"/>
        <w:rPr>
          <w:rFonts w:hint="eastAsia" w:ascii="仿宋" w:hAnsi="仿宋" w:eastAsia="仿宋" w:cs="仿宋_GB2312"/>
          <w:b/>
          <w:color w:val="auto"/>
          <w:sz w:val="44"/>
          <w:szCs w:val="44"/>
          <w:highlight w:val="none"/>
        </w:rPr>
      </w:pPr>
    </w:p>
    <w:p>
      <w:pPr>
        <w:spacing w:line="360" w:lineRule="auto"/>
        <w:jc w:val="center"/>
        <w:rPr>
          <w:rFonts w:hint="eastAsia" w:ascii="仿宋" w:hAnsi="仿宋" w:eastAsia="仿宋" w:cs="仿宋_GB2312"/>
          <w:b/>
          <w:color w:val="auto"/>
          <w:sz w:val="44"/>
          <w:szCs w:val="44"/>
          <w:highlight w:val="none"/>
        </w:rPr>
      </w:pPr>
    </w:p>
    <w:p>
      <w:pPr>
        <w:jc w:val="center"/>
        <w:outlineLvl w:val="0"/>
        <w:rPr>
          <w:rFonts w:ascii="仿宋" w:hAnsi="仿宋" w:eastAsia="仿宋" w:cs="Arial"/>
          <w:b/>
          <w:color w:val="auto"/>
          <w:sz w:val="56"/>
          <w:szCs w:val="56"/>
          <w:highlight w:val="none"/>
        </w:rPr>
      </w:pPr>
      <w:r>
        <w:rPr>
          <w:rFonts w:hint="eastAsia" w:ascii="仿宋" w:hAnsi="仿宋" w:eastAsia="仿宋" w:cs="Arial"/>
          <w:b/>
          <w:color w:val="auto"/>
          <w:sz w:val="56"/>
          <w:szCs w:val="56"/>
          <w:highlight w:val="none"/>
        </w:rPr>
        <w:t>公</w:t>
      </w:r>
    </w:p>
    <w:p>
      <w:pPr>
        <w:jc w:val="center"/>
        <w:outlineLvl w:val="0"/>
        <w:rPr>
          <w:rFonts w:ascii="仿宋" w:hAnsi="仿宋" w:eastAsia="仿宋" w:cs="Arial"/>
          <w:b/>
          <w:color w:val="auto"/>
          <w:sz w:val="56"/>
          <w:szCs w:val="56"/>
          <w:highlight w:val="none"/>
        </w:rPr>
      </w:pPr>
      <w:r>
        <w:rPr>
          <w:rFonts w:hint="eastAsia" w:ascii="仿宋" w:hAnsi="仿宋" w:eastAsia="仿宋" w:cs="Arial"/>
          <w:b/>
          <w:color w:val="auto"/>
          <w:sz w:val="56"/>
          <w:szCs w:val="56"/>
          <w:highlight w:val="none"/>
        </w:rPr>
        <w:t>开</w:t>
      </w:r>
    </w:p>
    <w:p>
      <w:pPr>
        <w:jc w:val="center"/>
        <w:outlineLvl w:val="0"/>
        <w:rPr>
          <w:rFonts w:ascii="仿宋" w:hAnsi="仿宋" w:eastAsia="仿宋" w:cs="Arial"/>
          <w:b/>
          <w:color w:val="auto"/>
          <w:sz w:val="56"/>
          <w:szCs w:val="56"/>
          <w:highlight w:val="none"/>
        </w:rPr>
      </w:pPr>
      <w:r>
        <w:rPr>
          <w:rFonts w:hint="eastAsia" w:ascii="仿宋" w:hAnsi="仿宋" w:eastAsia="仿宋" w:cs="Arial"/>
          <w:b/>
          <w:color w:val="auto"/>
          <w:sz w:val="56"/>
          <w:szCs w:val="56"/>
          <w:highlight w:val="none"/>
        </w:rPr>
        <w:t>招</w:t>
      </w:r>
    </w:p>
    <w:p>
      <w:pPr>
        <w:jc w:val="center"/>
        <w:outlineLvl w:val="0"/>
        <w:rPr>
          <w:rFonts w:ascii="仿宋" w:hAnsi="仿宋" w:eastAsia="仿宋" w:cs="Arial"/>
          <w:b/>
          <w:color w:val="auto"/>
          <w:sz w:val="56"/>
          <w:szCs w:val="56"/>
          <w:highlight w:val="none"/>
        </w:rPr>
      </w:pPr>
      <w:r>
        <w:rPr>
          <w:rFonts w:hint="eastAsia" w:ascii="仿宋" w:hAnsi="仿宋" w:eastAsia="仿宋" w:cs="Arial"/>
          <w:b/>
          <w:color w:val="auto"/>
          <w:sz w:val="56"/>
          <w:szCs w:val="56"/>
          <w:highlight w:val="none"/>
        </w:rPr>
        <w:t>标</w:t>
      </w:r>
    </w:p>
    <w:p>
      <w:pPr>
        <w:jc w:val="center"/>
        <w:outlineLvl w:val="0"/>
        <w:rPr>
          <w:rFonts w:ascii="仿宋" w:hAnsi="仿宋" w:eastAsia="仿宋"/>
          <w:b/>
          <w:color w:val="auto"/>
          <w:sz w:val="56"/>
          <w:szCs w:val="56"/>
          <w:highlight w:val="none"/>
        </w:rPr>
      </w:pPr>
      <w:r>
        <w:rPr>
          <w:rFonts w:hint="eastAsia" w:ascii="仿宋" w:hAnsi="仿宋" w:eastAsia="仿宋"/>
          <w:b/>
          <w:color w:val="auto"/>
          <w:sz w:val="56"/>
          <w:szCs w:val="56"/>
          <w:highlight w:val="none"/>
        </w:rPr>
        <w:t>文</w:t>
      </w:r>
    </w:p>
    <w:p>
      <w:pPr>
        <w:jc w:val="center"/>
        <w:outlineLvl w:val="0"/>
        <w:rPr>
          <w:rFonts w:hint="eastAsia" w:ascii="仿宋" w:hAnsi="仿宋" w:eastAsia="仿宋" w:cs="Times New Roman"/>
          <w:b/>
          <w:color w:val="auto"/>
          <w:sz w:val="56"/>
          <w:szCs w:val="56"/>
          <w:highlight w:val="none"/>
        </w:rPr>
      </w:pPr>
      <w:r>
        <w:rPr>
          <w:rFonts w:hint="eastAsia" w:ascii="仿宋" w:hAnsi="仿宋" w:eastAsia="仿宋" w:cs="Times New Roman"/>
          <w:b/>
          <w:color w:val="auto"/>
          <w:sz w:val="56"/>
          <w:szCs w:val="56"/>
          <w:highlight w:val="none"/>
        </w:rPr>
        <w:t>件</w:t>
      </w:r>
    </w:p>
    <w:p>
      <w:pPr>
        <w:spacing w:line="360" w:lineRule="auto"/>
        <w:jc w:val="center"/>
        <w:rPr>
          <w:rFonts w:hint="eastAsia" w:ascii="仿宋" w:hAnsi="仿宋" w:eastAsia="仿宋" w:cs="仿宋_GB2312"/>
          <w:b/>
          <w:color w:val="auto"/>
          <w:sz w:val="44"/>
          <w:szCs w:val="44"/>
          <w:highlight w:val="none"/>
        </w:rPr>
      </w:pPr>
    </w:p>
    <w:p>
      <w:pPr>
        <w:spacing w:line="360" w:lineRule="auto"/>
        <w:jc w:val="center"/>
        <w:rPr>
          <w:rFonts w:hint="eastAsia" w:ascii="仿宋" w:hAnsi="仿宋" w:eastAsia="仿宋" w:cs="仿宋_GB2312"/>
          <w:b/>
          <w:color w:val="auto"/>
          <w:sz w:val="44"/>
          <w:szCs w:val="44"/>
          <w:highlight w:val="none"/>
        </w:rPr>
      </w:pPr>
    </w:p>
    <w:p>
      <w:pPr>
        <w:snapToGrid w:val="0"/>
        <w:spacing w:line="360" w:lineRule="auto"/>
        <w:ind w:firstLine="1280" w:firstLineChars="400"/>
        <w:rPr>
          <w:rFonts w:hint="eastAsia" w:ascii="仿宋" w:hAnsi="仿宋" w:eastAsia="仿宋" w:cs="仿宋_GB2312"/>
          <w:color w:val="auto"/>
          <w:sz w:val="32"/>
          <w:szCs w:val="32"/>
          <w:highlight w:val="none"/>
          <w:lang w:eastAsia="zh-CN"/>
        </w:rPr>
      </w:pPr>
      <w:r>
        <w:rPr>
          <w:rFonts w:hint="eastAsia" w:ascii="仿宋" w:hAnsi="仿宋" w:eastAsia="仿宋" w:cs="仿宋_GB2312"/>
          <w:color w:val="auto"/>
          <w:sz w:val="32"/>
          <w:szCs w:val="32"/>
          <w:highlight w:val="none"/>
        </w:rPr>
        <w:t>采购单位：</w:t>
      </w:r>
      <w:r>
        <w:rPr>
          <w:rFonts w:hint="eastAsia" w:ascii="仿宋" w:hAnsi="仿宋" w:eastAsia="仿宋" w:cs="仿宋_GB2312"/>
          <w:color w:val="auto"/>
          <w:sz w:val="32"/>
          <w:szCs w:val="32"/>
          <w:highlight w:val="none"/>
          <w:lang w:eastAsia="zh-CN"/>
        </w:rPr>
        <w:t>绍兴市柯桥区湖塘街道办事处</w:t>
      </w:r>
    </w:p>
    <w:p>
      <w:pPr>
        <w:spacing w:line="360" w:lineRule="auto"/>
        <w:ind w:firstLine="1280" w:firstLineChars="400"/>
        <w:jc w:val="both"/>
        <w:rPr>
          <w:rFonts w:hint="eastAsia" w:ascii="仿宋" w:hAnsi="仿宋" w:eastAsia="仿宋" w:cs="仿宋_GB2312"/>
          <w:bCs/>
          <w:color w:val="auto"/>
          <w:sz w:val="32"/>
          <w:szCs w:val="32"/>
          <w:highlight w:val="none"/>
          <w:lang w:eastAsia="zh-CN"/>
        </w:rPr>
      </w:pPr>
      <w:r>
        <w:rPr>
          <w:rFonts w:hint="eastAsia" w:ascii="仿宋" w:hAnsi="仿宋" w:eastAsia="仿宋" w:cs="仿宋_GB2312"/>
          <w:bCs/>
          <w:color w:val="auto"/>
          <w:sz w:val="32"/>
          <w:szCs w:val="32"/>
          <w:highlight w:val="none"/>
        </w:rPr>
        <w:t>采购代理机构：</w:t>
      </w:r>
      <w:r>
        <w:rPr>
          <w:rFonts w:hint="eastAsia" w:ascii="仿宋" w:hAnsi="仿宋" w:eastAsia="仿宋" w:cs="仿宋_GB2312"/>
          <w:bCs/>
          <w:color w:val="auto"/>
          <w:sz w:val="32"/>
          <w:szCs w:val="32"/>
          <w:highlight w:val="none"/>
          <w:lang w:eastAsia="zh-CN"/>
        </w:rPr>
        <w:t>华诚工程咨询集团有限公司</w:t>
      </w:r>
    </w:p>
    <w:p>
      <w:pPr>
        <w:snapToGrid w:val="0"/>
        <w:spacing w:line="360" w:lineRule="auto"/>
        <w:jc w:val="center"/>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lang w:val="en-US" w:eastAsia="zh-CN"/>
        </w:rPr>
        <w:t>2022</w:t>
      </w:r>
      <w:r>
        <w:rPr>
          <w:rFonts w:hint="eastAsia" w:ascii="仿宋_GB2312" w:hAnsi="仿宋_GB2312" w:eastAsia="仿宋_GB2312" w:cs="仿宋_GB2312"/>
          <w:bCs/>
          <w:color w:val="auto"/>
          <w:sz w:val="32"/>
          <w:szCs w:val="32"/>
          <w:highlight w:val="none"/>
        </w:rPr>
        <w:t>年</w:t>
      </w:r>
      <w:r>
        <w:rPr>
          <w:rFonts w:hint="eastAsia" w:ascii="仿宋_GB2312" w:hAnsi="仿宋_GB2312" w:eastAsia="仿宋_GB2312" w:cs="仿宋_GB2312"/>
          <w:bCs/>
          <w:color w:val="auto"/>
          <w:sz w:val="32"/>
          <w:szCs w:val="32"/>
          <w:highlight w:val="none"/>
          <w:lang w:val="en-US" w:eastAsia="zh-CN"/>
        </w:rPr>
        <w:t>8</w:t>
      </w:r>
      <w:r>
        <w:rPr>
          <w:rFonts w:hint="eastAsia" w:ascii="仿宋_GB2312" w:hAnsi="仿宋_GB2312" w:eastAsia="仿宋_GB2312" w:cs="仿宋_GB2312"/>
          <w:bCs/>
          <w:color w:val="auto"/>
          <w:sz w:val="32"/>
          <w:szCs w:val="32"/>
          <w:highlight w:val="none"/>
        </w:rPr>
        <w:t>月</w:t>
      </w:r>
      <w:r>
        <w:rPr>
          <w:rFonts w:hint="eastAsia" w:ascii="仿宋_GB2312" w:hAnsi="仿宋_GB2312" w:eastAsia="仿宋_GB2312" w:cs="仿宋_GB2312"/>
          <w:bCs/>
          <w:color w:val="auto"/>
          <w:sz w:val="32"/>
          <w:szCs w:val="32"/>
          <w:highlight w:val="none"/>
          <w:lang w:val="en-US" w:eastAsia="zh-CN"/>
        </w:rPr>
        <w:t>9</w:t>
      </w:r>
      <w:r>
        <w:rPr>
          <w:rFonts w:hint="eastAsia" w:ascii="仿宋_GB2312" w:hAnsi="仿宋_GB2312" w:eastAsia="仿宋_GB2312" w:cs="仿宋_GB2312"/>
          <w:bCs/>
          <w:color w:val="auto"/>
          <w:sz w:val="32"/>
          <w:szCs w:val="32"/>
          <w:highlight w:val="none"/>
        </w:rPr>
        <w:t>日</w:t>
      </w:r>
    </w:p>
    <w:p>
      <w:pPr>
        <w:spacing w:line="360" w:lineRule="auto"/>
        <w:jc w:val="center"/>
        <w:rPr>
          <w:rFonts w:hint="eastAsia" w:ascii="仿宋" w:hAnsi="仿宋" w:eastAsia="仿宋" w:cs="仿宋_GB2312"/>
          <w:bCs/>
          <w:color w:val="auto"/>
          <w:sz w:val="32"/>
          <w:szCs w:val="32"/>
          <w:highlight w:val="none"/>
        </w:rPr>
      </w:pPr>
    </w:p>
    <w:p>
      <w:pPr>
        <w:spacing w:line="360" w:lineRule="auto"/>
        <w:jc w:val="center"/>
        <w:rPr>
          <w:rFonts w:hint="eastAsia" w:ascii="仿宋" w:hAnsi="仿宋" w:eastAsia="仿宋" w:cs="仿宋_GB2312"/>
          <w:b/>
          <w:color w:val="auto"/>
          <w:sz w:val="48"/>
          <w:szCs w:val="48"/>
          <w:highlight w:val="none"/>
        </w:rPr>
      </w:pPr>
      <w:r>
        <w:rPr>
          <w:rFonts w:hint="eastAsia" w:ascii="仿宋" w:hAnsi="仿宋" w:eastAsia="仿宋" w:cs="仿宋_GB2312"/>
          <w:color w:val="auto"/>
          <w:sz w:val="24"/>
          <w:highlight w:val="none"/>
        </w:rPr>
        <w:br w:type="page"/>
      </w:r>
      <w:bookmarkStart w:id="0" w:name="_Hlt67893495"/>
      <w:bookmarkEnd w:id="0"/>
      <w:r>
        <w:rPr>
          <w:rFonts w:hint="eastAsia" w:ascii="仿宋" w:hAnsi="仿宋" w:eastAsia="仿宋" w:cs="仿宋_GB2312"/>
          <w:b/>
          <w:color w:val="auto"/>
          <w:sz w:val="48"/>
          <w:szCs w:val="48"/>
          <w:highlight w:val="none"/>
        </w:rPr>
        <w:t>目  录</w:t>
      </w:r>
    </w:p>
    <w:p>
      <w:pPr>
        <w:spacing w:line="360" w:lineRule="auto"/>
        <w:rPr>
          <w:rFonts w:hint="eastAsia" w:ascii="仿宋" w:hAnsi="仿宋" w:eastAsia="仿宋" w:cs="仿宋_GB2312"/>
          <w:color w:val="auto"/>
          <w:sz w:val="32"/>
          <w:szCs w:val="32"/>
          <w:highlight w:val="none"/>
        </w:rPr>
      </w:pPr>
    </w:p>
    <w:p>
      <w:pPr>
        <w:spacing w:line="360" w:lineRule="auto"/>
        <w:rPr>
          <w:rFonts w:hint="eastAsia" w:ascii="仿宋" w:hAnsi="仿宋" w:eastAsia="仿宋" w:cs="仿宋_GB2312"/>
          <w:color w:val="auto"/>
          <w:sz w:val="32"/>
          <w:szCs w:val="32"/>
          <w:highlight w:val="none"/>
        </w:rPr>
      </w:pPr>
    </w:p>
    <w:p>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      招标公告</w:t>
      </w:r>
    </w:p>
    <w:p>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      投标人须知</w:t>
      </w:r>
    </w:p>
    <w:p>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      采购需求</w:t>
      </w:r>
    </w:p>
    <w:p>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      评标方法及评分标准</w:t>
      </w:r>
    </w:p>
    <w:p>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      拟签订的合同文本</w:t>
      </w:r>
    </w:p>
    <w:p>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第六部分      应提交的有关格式范例</w:t>
      </w:r>
    </w:p>
    <w:p>
      <w:pPr>
        <w:spacing w:line="360" w:lineRule="auto"/>
        <w:ind w:firstLine="549" w:firstLineChars="229"/>
        <w:rPr>
          <w:rFonts w:hint="eastAsia" w:ascii="仿宋" w:hAnsi="仿宋" w:eastAsia="仿宋" w:cs="仿宋_GB2312"/>
          <w:color w:val="auto"/>
          <w:sz w:val="24"/>
          <w:highlight w:val="none"/>
        </w:rPr>
      </w:pPr>
      <w:bookmarkStart w:id="1" w:name="_Hlt91233176"/>
      <w:bookmarkEnd w:id="1"/>
      <w:bookmarkStart w:id="2" w:name="_Toc91899869"/>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ind w:firstLine="549" w:firstLineChars="229"/>
        <w:rPr>
          <w:rFonts w:hint="eastAsia" w:ascii="仿宋" w:hAnsi="仿宋" w:eastAsia="仿宋" w:cs="仿宋_GB2312"/>
          <w:color w:val="auto"/>
          <w:sz w:val="24"/>
          <w:highlight w:val="none"/>
        </w:rPr>
      </w:pPr>
    </w:p>
    <w:p>
      <w:pPr>
        <w:spacing w:line="360" w:lineRule="auto"/>
        <w:rPr>
          <w:rFonts w:hint="eastAsia" w:ascii="仿宋" w:hAnsi="仿宋" w:eastAsia="仿宋" w:cs="仿宋_GB2312"/>
          <w:color w:val="auto"/>
          <w:sz w:val="24"/>
          <w:highlight w:val="none"/>
        </w:rPr>
      </w:pPr>
    </w:p>
    <w:p>
      <w:pPr>
        <w:adjustRightInd/>
        <w:spacing w:line="360" w:lineRule="auto"/>
        <w:jc w:val="center"/>
        <w:outlineLvl w:val="0"/>
        <w:rPr>
          <w:rFonts w:ascii="仿宋" w:hAnsi="仿宋" w:eastAsia="仿宋" w:cs="仿宋_GB2312"/>
          <w:b/>
          <w:color w:val="auto"/>
          <w:sz w:val="36"/>
          <w:szCs w:val="20"/>
          <w:highlight w:val="none"/>
        </w:rPr>
      </w:pPr>
      <w:bookmarkStart w:id="3" w:name="第一部分"/>
      <w:r>
        <w:rPr>
          <w:rFonts w:hint="eastAsia" w:ascii="仿宋" w:hAnsi="仿宋" w:eastAsia="仿宋" w:cs="仿宋_GB2312"/>
          <w:b/>
          <w:color w:val="auto"/>
          <w:sz w:val="36"/>
          <w:szCs w:val="36"/>
          <w:highlight w:val="none"/>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仿宋" w:hAnsi="仿宋" w:eastAsia="仿宋" w:cs="仿宋_GB2312"/>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rPr>
          <w:rFonts w:ascii="仿宋" w:hAnsi="仿宋" w:eastAsia="仿宋"/>
          <w:color w:val="auto"/>
          <w:sz w:val="24"/>
          <w:szCs w:val="28"/>
          <w:highlight w:val="none"/>
        </w:rPr>
      </w:pPr>
      <w:r>
        <w:rPr>
          <w:rFonts w:hint="eastAsia" w:ascii="仿宋" w:hAnsi="仿宋" w:eastAsia="仿宋"/>
          <w:color w:val="auto"/>
          <w:sz w:val="24"/>
          <w:szCs w:val="28"/>
          <w:highlight w:val="none"/>
        </w:rPr>
        <w:t>项目概况</w:t>
      </w:r>
    </w:p>
    <w:p>
      <w:pPr>
        <w:pBdr>
          <w:top w:val="single" w:color="auto" w:sz="4" w:space="1"/>
          <w:left w:val="single" w:color="auto" w:sz="4" w:space="4"/>
          <w:bottom w:val="single" w:color="auto" w:sz="4" w:space="1"/>
          <w:right w:val="single" w:color="auto" w:sz="4" w:space="4"/>
        </w:pBdr>
        <w:rPr>
          <w:rFonts w:ascii="仿宋" w:hAnsi="仿宋" w:eastAsia="仿宋"/>
          <w:color w:val="auto"/>
          <w:sz w:val="24"/>
          <w:szCs w:val="28"/>
          <w:highlight w:val="none"/>
        </w:rPr>
      </w:pPr>
      <w:r>
        <w:rPr>
          <w:rFonts w:hint="eastAsia" w:ascii="仿宋" w:hAnsi="仿宋" w:eastAsia="仿宋"/>
          <w:color w:val="auto"/>
          <w:sz w:val="24"/>
          <w:szCs w:val="28"/>
          <w:highlight w:val="none"/>
          <w:u w:val="single"/>
          <w:lang w:eastAsia="zh-CN"/>
        </w:rPr>
        <w:t>湖塘街道垃圾清运服务项目</w:t>
      </w:r>
      <w:r>
        <w:rPr>
          <w:rFonts w:hint="eastAsia" w:ascii="仿宋" w:hAnsi="仿宋" w:eastAsia="仿宋"/>
          <w:color w:val="auto"/>
          <w:sz w:val="24"/>
          <w:szCs w:val="28"/>
          <w:highlight w:val="none"/>
        </w:rPr>
        <w:t>招标项目的潜在投标人应在</w:t>
      </w:r>
      <w:r>
        <w:rPr>
          <w:rFonts w:hint="eastAsia" w:ascii="仿宋" w:hAnsi="仿宋" w:eastAsia="仿宋"/>
          <w:color w:val="auto"/>
          <w:sz w:val="24"/>
          <w:szCs w:val="28"/>
          <w:highlight w:val="none"/>
          <w:u w:val="single"/>
        </w:rPr>
        <w:t>政采云系统在线</w:t>
      </w:r>
      <w:r>
        <w:rPr>
          <w:rFonts w:hint="eastAsia" w:ascii="仿宋" w:hAnsi="仿宋" w:eastAsia="仿宋"/>
          <w:color w:val="auto"/>
          <w:sz w:val="24"/>
          <w:szCs w:val="28"/>
          <w:highlight w:val="none"/>
        </w:rPr>
        <w:t>获取招标文件，并于</w:t>
      </w:r>
      <w:r>
        <w:rPr>
          <w:rFonts w:hint="eastAsia" w:ascii="仿宋" w:hAnsi="仿宋" w:eastAsia="仿宋"/>
          <w:color w:val="auto"/>
          <w:sz w:val="24"/>
          <w:szCs w:val="28"/>
          <w:highlight w:val="none"/>
          <w:u w:val="single"/>
          <w:lang w:val="en-US" w:eastAsia="zh-CN"/>
        </w:rPr>
        <w:t>2022</w:t>
      </w:r>
      <w:r>
        <w:rPr>
          <w:rFonts w:hint="eastAsia" w:ascii="仿宋" w:hAnsi="仿宋" w:eastAsia="仿宋"/>
          <w:bCs/>
          <w:color w:val="auto"/>
          <w:sz w:val="24"/>
          <w:szCs w:val="28"/>
          <w:highlight w:val="none"/>
          <w:u w:val="single"/>
        </w:rPr>
        <w:t>年</w:t>
      </w:r>
      <w:r>
        <w:rPr>
          <w:rFonts w:hint="eastAsia" w:ascii="仿宋" w:hAnsi="仿宋" w:eastAsia="仿宋"/>
          <w:bCs/>
          <w:color w:val="auto"/>
          <w:sz w:val="24"/>
          <w:szCs w:val="28"/>
          <w:highlight w:val="none"/>
          <w:u w:val="single"/>
          <w:lang w:val="en-US" w:eastAsia="zh-CN"/>
        </w:rPr>
        <w:t>8</w:t>
      </w:r>
      <w:r>
        <w:rPr>
          <w:rFonts w:hint="eastAsia" w:ascii="仿宋" w:hAnsi="仿宋" w:eastAsia="仿宋"/>
          <w:bCs/>
          <w:color w:val="auto"/>
          <w:sz w:val="24"/>
          <w:szCs w:val="28"/>
          <w:highlight w:val="none"/>
          <w:u w:val="single"/>
        </w:rPr>
        <w:t>月</w:t>
      </w:r>
      <w:r>
        <w:rPr>
          <w:rFonts w:hint="eastAsia" w:ascii="仿宋" w:hAnsi="仿宋" w:eastAsia="仿宋"/>
          <w:bCs/>
          <w:color w:val="auto"/>
          <w:sz w:val="24"/>
          <w:szCs w:val="28"/>
          <w:highlight w:val="none"/>
          <w:u w:val="single"/>
          <w:lang w:val="en-US" w:eastAsia="zh-CN"/>
        </w:rPr>
        <w:t>30</w:t>
      </w:r>
      <w:r>
        <w:rPr>
          <w:rFonts w:hint="eastAsia" w:ascii="仿宋" w:hAnsi="仿宋" w:eastAsia="仿宋"/>
          <w:bCs/>
          <w:color w:val="auto"/>
          <w:sz w:val="24"/>
          <w:szCs w:val="28"/>
          <w:highlight w:val="none"/>
          <w:u w:val="single"/>
        </w:rPr>
        <w:t>日</w:t>
      </w:r>
      <w:r>
        <w:rPr>
          <w:rFonts w:hint="eastAsia" w:ascii="仿宋" w:hAnsi="仿宋" w:eastAsia="仿宋"/>
          <w:bCs/>
          <w:color w:val="auto"/>
          <w:sz w:val="24"/>
          <w:szCs w:val="28"/>
          <w:highlight w:val="none"/>
          <w:u w:val="single"/>
          <w:lang w:val="en-US" w:eastAsia="zh-CN"/>
        </w:rPr>
        <w:t>09</w:t>
      </w:r>
      <w:r>
        <w:rPr>
          <w:rFonts w:hint="eastAsia" w:ascii="仿宋" w:hAnsi="仿宋" w:eastAsia="仿宋"/>
          <w:bCs/>
          <w:color w:val="auto"/>
          <w:sz w:val="24"/>
          <w:szCs w:val="28"/>
          <w:highlight w:val="none"/>
          <w:u w:val="single"/>
        </w:rPr>
        <w:t>点</w:t>
      </w:r>
      <w:r>
        <w:rPr>
          <w:rFonts w:hint="eastAsia" w:ascii="仿宋" w:hAnsi="仿宋" w:eastAsia="仿宋"/>
          <w:bCs/>
          <w:color w:val="auto"/>
          <w:sz w:val="24"/>
          <w:szCs w:val="28"/>
          <w:highlight w:val="none"/>
          <w:u w:val="single"/>
          <w:lang w:val="en-US" w:eastAsia="zh-CN"/>
        </w:rPr>
        <w:t>30</w:t>
      </w:r>
      <w:r>
        <w:rPr>
          <w:rFonts w:hint="eastAsia" w:ascii="仿宋" w:hAnsi="仿宋" w:eastAsia="仿宋"/>
          <w:bCs/>
          <w:color w:val="auto"/>
          <w:sz w:val="24"/>
          <w:szCs w:val="28"/>
          <w:highlight w:val="none"/>
          <w:u w:val="single"/>
        </w:rPr>
        <w:t>分</w:t>
      </w:r>
      <w:r>
        <w:rPr>
          <w:rFonts w:hint="eastAsia" w:ascii="仿宋" w:hAnsi="仿宋" w:eastAsia="仿宋"/>
          <w:bCs/>
          <w:color w:val="auto"/>
          <w:sz w:val="24"/>
          <w:szCs w:val="28"/>
          <w:highlight w:val="none"/>
          <w:u w:val="none"/>
        </w:rPr>
        <w:t>（</w:t>
      </w:r>
      <w:r>
        <w:rPr>
          <w:rFonts w:hint="eastAsia" w:ascii="仿宋" w:hAnsi="仿宋" w:eastAsia="仿宋"/>
          <w:bCs/>
          <w:color w:val="auto"/>
          <w:sz w:val="24"/>
          <w:szCs w:val="28"/>
          <w:highlight w:val="none"/>
        </w:rPr>
        <w:t>北京时间）前递交投标</w:t>
      </w:r>
      <w:r>
        <w:rPr>
          <w:rFonts w:ascii="仿宋" w:hAnsi="仿宋" w:eastAsia="仿宋"/>
          <w:bCs/>
          <w:color w:val="auto"/>
          <w:sz w:val="24"/>
          <w:szCs w:val="28"/>
          <w:highlight w:val="none"/>
        </w:rPr>
        <w:t>文件</w:t>
      </w:r>
      <w:r>
        <w:rPr>
          <w:rFonts w:hint="eastAsia" w:ascii="仿宋" w:hAnsi="仿宋" w:eastAsia="仿宋"/>
          <w:color w:val="auto"/>
          <w:sz w:val="24"/>
          <w:szCs w:val="28"/>
          <w:highlight w:val="none"/>
        </w:rPr>
        <w:t>。</w:t>
      </w:r>
    </w:p>
    <w:p>
      <w:pPr>
        <w:rPr>
          <w:color w:val="auto"/>
          <w:sz w:val="24"/>
          <w:szCs w:val="28"/>
          <w:highlight w:val="none"/>
        </w:rPr>
      </w:pPr>
    </w:p>
    <w:p>
      <w:pPr>
        <w:pStyle w:val="2"/>
        <w:numPr>
          <w:ilvl w:val="0"/>
          <w:numId w:val="0"/>
        </w:numPr>
        <w:rPr>
          <w:rFonts w:ascii="黑体" w:hAnsi="黑体" w:cs="宋体"/>
          <w:color w:val="auto"/>
          <w:sz w:val="24"/>
          <w:szCs w:val="28"/>
          <w:highlight w:val="none"/>
        </w:rPr>
      </w:pPr>
      <w:bookmarkStart w:id="11" w:name="_Toc35393621"/>
      <w:bookmarkStart w:id="12" w:name="_Toc28359079"/>
      <w:bookmarkStart w:id="13" w:name="_Toc28359002"/>
      <w:bookmarkStart w:id="14" w:name="_Toc35393790"/>
      <w:bookmarkStart w:id="15" w:name="_Hlk24379207"/>
      <w:r>
        <w:rPr>
          <w:rFonts w:hint="eastAsia" w:ascii="黑体" w:hAnsi="黑体" w:cs="宋体"/>
          <w:color w:val="auto"/>
          <w:sz w:val="24"/>
          <w:szCs w:val="28"/>
          <w:highlight w:val="none"/>
        </w:rPr>
        <w:t>一、项目基本情况</w:t>
      </w:r>
      <w:bookmarkEnd w:id="11"/>
      <w:bookmarkEnd w:id="12"/>
      <w:bookmarkEnd w:id="13"/>
      <w:bookmarkEnd w:id="14"/>
    </w:p>
    <w:bookmarkEnd w:id="15"/>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olor w:val="auto"/>
          <w:sz w:val="24"/>
          <w:szCs w:val="28"/>
          <w:highlight w:val="none"/>
          <w:lang w:eastAsia="zh-CN"/>
        </w:rPr>
      </w:pPr>
      <w:r>
        <w:rPr>
          <w:rFonts w:hint="eastAsia" w:ascii="仿宋" w:hAnsi="仿宋" w:eastAsia="仿宋"/>
          <w:color w:val="auto"/>
          <w:sz w:val="24"/>
          <w:szCs w:val="28"/>
          <w:highlight w:val="none"/>
        </w:rPr>
        <w:t>项目编号：</w:t>
      </w:r>
      <w:r>
        <w:rPr>
          <w:rFonts w:hint="eastAsia" w:ascii="仿宋" w:hAnsi="仿宋" w:eastAsia="仿宋"/>
          <w:color w:val="auto"/>
          <w:sz w:val="24"/>
          <w:szCs w:val="28"/>
          <w:highlight w:val="none"/>
          <w:lang w:eastAsia="zh-CN"/>
        </w:rPr>
        <w:t>绍柯采[2022]2440号</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olor w:val="auto"/>
          <w:sz w:val="24"/>
          <w:szCs w:val="28"/>
          <w:highlight w:val="none"/>
          <w:lang w:eastAsia="zh-CN"/>
        </w:rPr>
      </w:pPr>
      <w:r>
        <w:rPr>
          <w:rFonts w:hint="eastAsia" w:ascii="仿宋" w:hAnsi="仿宋" w:eastAsia="仿宋"/>
          <w:color w:val="auto"/>
          <w:sz w:val="24"/>
          <w:szCs w:val="28"/>
          <w:highlight w:val="none"/>
        </w:rPr>
        <w:t>项目名称：</w:t>
      </w:r>
      <w:r>
        <w:rPr>
          <w:rFonts w:hint="eastAsia" w:ascii="仿宋" w:hAnsi="仿宋" w:eastAsia="仿宋"/>
          <w:color w:val="auto"/>
          <w:sz w:val="24"/>
          <w:szCs w:val="28"/>
          <w:highlight w:val="none"/>
          <w:u w:val="single"/>
          <w:lang w:eastAsia="zh-CN"/>
        </w:rPr>
        <w:t>湖塘街道垃圾清运服务项目</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default" w:ascii="仿宋" w:hAnsi="仿宋" w:eastAsia="仿宋"/>
          <w:color w:val="auto"/>
          <w:sz w:val="24"/>
          <w:szCs w:val="28"/>
          <w:highlight w:val="none"/>
          <w:lang w:val="en-US" w:eastAsia="zh-CN"/>
        </w:rPr>
      </w:pPr>
      <w:r>
        <w:rPr>
          <w:rFonts w:hint="eastAsia" w:ascii="仿宋" w:hAnsi="仿宋" w:eastAsia="仿宋"/>
          <w:color w:val="auto"/>
          <w:sz w:val="24"/>
          <w:szCs w:val="28"/>
          <w:highlight w:val="none"/>
        </w:rPr>
        <w:t>预算金额（元）：</w:t>
      </w:r>
      <w:r>
        <w:rPr>
          <w:rFonts w:hint="eastAsia" w:ascii="仿宋" w:hAnsi="仿宋" w:eastAsia="仿宋"/>
          <w:color w:val="auto"/>
          <w:sz w:val="24"/>
          <w:szCs w:val="28"/>
          <w:highlight w:val="none"/>
          <w:lang w:val="en-US" w:eastAsia="zh-CN"/>
        </w:rPr>
        <w:t>4800000.00</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ascii="仿宋" w:hAnsi="仿宋" w:eastAsia="仿宋"/>
          <w:color w:val="auto"/>
          <w:sz w:val="24"/>
          <w:szCs w:val="28"/>
          <w:highlight w:val="none"/>
        </w:rPr>
      </w:pPr>
      <w:r>
        <w:rPr>
          <w:rFonts w:hint="eastAsia" w:ascii="仿宋" w:hAnsi="仿宋" w:eastAsia="仿宋"/>
          <w:color w:val="auto"/>
          <w:sz w:val="24"/>
          <w:szCs w:val="28"/>
          <w:highlight w:val="none"/>
        </w:rPr>
        <w:t>最高限价（元）：</w:t>
      </w:r>
      <w:r>
        <w:rPr>
          <w:rFonts w:hint="eastAsia" w:ascii="仿宋" w:hAnsi="仿宋" w:eastAsia="仿宋"/>
          <w:color w:val="auto"/>
          <w:sz w:val="24"/>
          <w:szCs w:val="28"/>
          <w:highlight w:val="none"/>
          <w:lang w:val="en-US" w:eastAsia="zh-CN"/>
        </w:rPr>
        <w:t>4800000.00</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b/>
          <w:color w:val="auto"/>
          <w:sz w:val="24"/>
          <w:szCs w:val="28"/>
          <w:highlight w:val="none"/>
        </w:rPr>
      </w:pPr>
      <w:r>
        <w:rPr>
          <w:rFonts w:hint="eastAsia" w:ascii="仿宋" w:hAnsi="仿宋" w:eastAsia="仿宋"/>
          <w:color w:val="auto"/>
          <w:sz w:val="24"/>
          <w:szCs w:val="28"/>
          <w:highlight w:val="none"/>
        </w:rPr>
        <w:t xml:space="preserve">采购需求：详见招标文件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olor w:val="auto"/>
          <w:sz w:val="24"/>
          <w:szCs w:val="28"/>
          <w:highlight w:val="none"/>
        </w:rPr>
      </w:pPr>
      <w:r>
        <w:rPr>
          <w:rFonts w:hint="eastAsia" w:ascii="仿宋" w:hAnsi="仿宋" w:eastAsia="仿宋"/>
          <w:color w:val="auto"/>
          <w:sz w:val="24"/>
          <w:szCs w:val="28"/>
          <w:highlight w:val="none"/>
        </w:rPr>
        <w:t>标项一：</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olor w:val="auto"/>
          <w:sz w:val="24"/>
          <w:szCs w:val="28"/>
          <w:highlight w:val="none"/>
          <w:lang w:eastAsia="zh-CN"/>
        </w:rPr>
      </w:pPr>
      <w:r>
        <w:rPr>
          <w:rFonts w:hint="eastAsia" w:ascii="仿宋" w:hAnsi="仿宋" w:eastAsia="仿宋"/>
          <w:color w:val="auto"/>
          <w:sz w:val="24"/>
          <w:szCs w:val="28"/>
          <w:highlight w:val="none"/>
        </w:rPr>
        <w:t>标项名称：</w:t>
      </w:r>
      <w:r>
        <w:rPr>
          <w:rFonts w:hint="eastAsia" w:ascii="仿宋" w:hAnsi="仿宋" w:eastAsia="仿宋"/>
          <w:color w:val="auto"/>
          <w:sz w:val="24"/>
          <w:szCs w:val="28"/>
          <w:highlight w:val="none"/>
          <w:u w:val="single"/>
          <w:lang w:eastAsia="zh-CN"/>
        </w:rPr>
        <w:t>湖塘街道垃圾清运服务项目</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olor w:val="auto"/>
          <w:sz w:val="24"/>
          <w:szCs w:val="28"/>
          <w:highlight w:val="none"/>
          <w:lang w:eastAsia="zh-CN"/>
        </w:rPr>
      </w:pPr>
      <w:r>
        <w:rPr>
          <w:rFonts w:hint="eastAsia" w:ascii="仿宋" w:hAnsi="仿宋" w:eastAsia="仿宋"/>
          <w:color w:val="auto"/>
          <w:sz w:val="24"/>
          <w:szCs w:val="28"/>
          <w:highlight w:val="none"/>
        </w:rPr>
        <w:t>数量：</w:t>
      </w:r>
      <w:r>
        <w:rPr>
          <w:rFonts w:hint="eastAsia" w:ascii="仿宋" w:hAnsi="仿宋" w:eastAsia="仿宋"/>
          <w:color w:val="auto"/>
          <w:sz w:val="24"/>
          <w:szCs w:val="28"/>
          <w:highlight w:val="none"/>
          <w:lang w:val="en-US" w:eastAsia="zh-CN"/>
        </w:rPr>
        <w:t>1</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olor w:val="auto"/>
          <w:sz w:val="24"/>
          <w:szCs w:val="28"/>
          <w:highlight w:val="none"/>
          <w:lang w:val="en-US" w:eastAsia="zh-CN"/>
        </w:rPr>
      </w:pPr>
      <w:r>
        <w:rPr>
          <w:rFonts w:hint="eastAsia" w:ascii="仿宋" w:hAnsi="仿宋" w:eastAsia="仿宋"/>
          <w:color w:val="auto"/>
          <w:sz w:val="24"/>
          <w:szCs w:val="28"/>
          <w:highlight w:val="none"/>
        </w:rPr>
        <w:t>预算金额（元）</w:t>
      </w:r>
      <w:r>
        <w:rPr>
          <w:rFonts w:hint="eastAsia" w:ascii="仿宋" w:hAnsi="仿宋" w:eastAsia="仿宋"/>
          <w:color w:val="auto"/>
          <w:sz w:val="24"/>
          <w:szCs w:val="28"/>
          <w:highlight w:val="none"/>
          <w:lang w:eastAsia="zh-CN"/>
        </w:rPr>
        <w:t>：</w:t>
      </w:r>
      <w:r>
        <w:rPr>
          <w:rFonts w:hint="eastAsia" w:ascii="仿宋" w:hAnsi="仿宋" w:eastAsia="仿宋"/>
          <w:color w:val="auto"/>
          <w:sz w:val="24"/>
          <w:szCs w:val="28"/>
          <w:highlight w:val="none"/>
          <w:lang w:val="en-US" w:eastAsia="zh-CN"/>
        </w:rPr>
        <w:t>4800000.00</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olor w:val="auto"/>
          <w:sz w:val="24"/>
          <w:szCs w:val="28"/>
          <w:highlight w:val="none"/>
          <w:u w:val="single"/>
          <w:lang w:eastAsia="zh-CN"/>
        </w:rPr>
      </w:pPr>
      <w:r>
        <w:rPr>
          <w:rFonts w:ascii="仿宋" w:hAnsi="仿宋" w:eastAsia="仿宋"/>
          <w:color w:val="auto"/>
          <w:sz w:val="24"/>
          <w:szCs w:val="28"/>
          <w:highlight w:val="none"/>
        </w:rPr>
        <w:t>简要规格描述或项目基本概况介绍、用途</w:t>
      </w:r>
      <w:r>
        <w:rPr>
          <w:rFonts w:hint="eastAsia" w:ascii="仿宋" w:hAnsi="仿宋" w:eastAsia="仿宋"/>
          <w:color w:val="auto"/>
          <w:sz w:val="24"/>
          <w:szCs w:val="28"/>
          <w:highlight w:val="none"/>
          <w:lang w:eastAsia="zh-CN"/>
        </w:rPr>
        <w:t>：</w:t>
      </w:r>
      <w:r>
        <w:rPr>
          <w:rFonts w:hint="eastAsia" w:ascii="仿宋" w:hAnsi="仿宋" w:eastAsia="仿宋"/>
          <w:color w:val="auto"/>
          <w:sz w:val="24"/>
          <w:szCs w:val="28"/>
          <w:highlight w:val="none"/>
          <w:u w:val="single"/>
          <w:lang w:eastAsia="zh-CN"/>
        </w:rPr>
        <w:t>①湖塘街道范围内各村居（小区）及企事业单位的生活垃圾和从事服装加工、食品加工以及其他城市生活服务行业的单位产生的性质与生活垃圾相近、可以直接进入焚烧炉焚烧处理的一般工业垃圾的收集、清运服务。一般工业垃圾年产生量约为</w:t>
      </w:r>
      <w:r>
        <w:rPr>
          <w:rFonts w:hint="eastAsia" w:ascii="仿宋" w:hAnsi="仿宋" w:eastAsia="仿宋"/>
          <w:color w:val="auto"/>
          <w:sz w:val="24"/>
          <w:szCs w:val="28"/>
          <w:highlight w:val="none"/>
          <w:u w:val="single"/>
          <w:lang w:val="en-US" w:eastAsia="zh-CN"/>
        </w:rPr>
        <w:t>3000</w:t>
      </w:r>
      <w:r>
        <w:rPr>
          <w:rFonts w:hint="eastAsia" w:ascii="仿宋" w:hAnsi="仿宋" w:eastAsia="仿宋"/>
          <w:color w:val="auto"/>
          <w:sz w:val="24"/>
          <w:szCs w:val="28"/>
          <w:highlight w:val="none"/>
          <w:u w:val="single"/>
          <w:lang w:eastAsia="zh-CN"/>
        </w:rPr>
        <w:t>吨，日后如遇调整按上级最新文件执行，处理费由垃圾产生单位另行按实支付（不包含在本次采购中）。</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olor w:val="auto"/>
          <w:sz w:val="24"/>
          <w:szCs w:val="28"/>
          <w:highlight w:val="none"/>
          <w:u w:val="single"/>
          <w:lang w:eastAsia="zh-CN"/>
        </w:rPr>
      </w:pPr>
      <w:r>
        <w:rPr>
          <w:rFonts w:hint="eastAsia" w:ascii="仿宋" w:hAnsi="仿宋" w:eastAsia="仿宋"/>
          <w:color w:val="auto"/>
          <w:sz w:val="24"/>
          <w:szCs w:val="28"/>
          <w:highlight w:val="none"/>
          <w:u w:val="single"/>
          <w:lang w:eastAsia="zh-CN"/>
        </w:rPr>
        <w:t>②湖塘街道各村居（小区）及企事业单位的生活垃圾的收集、清运服务。生活垃圾年产生量约为</w:t>
      </w:r>
      <w:r>
        <w:rPr>
          <w:rFonts w:hint="eastAsia" w:ascii="仿宋" w:hAnsi="仿宋" w:eastAsia="仿宋"/>
          <w:color w:val="auto"/>
          <w:sz w:val="24"/>
          <w:szCs w:val="28"/>
          <w:highlight w:val="none"/>
          <w:u w:val="single"/>
          <w:lang w:val="en-US" w:eastAsia="zh-CN"/>
        </w:rPr>
        <w:t>16000</w:t>
      </w:r>
      <w:r>
        <w:rPr>
          <w:rFonts w:hint="eastAsia" w:ascii="仿宋" w:hAnsi="仿宋" w:eastAsia="仿宋"/>
          <w:color w:val="auto"/>
          <w:sz w:val="24"/>
          <w:szCs w:val="28"/>
          <w:highlight w:val="none"/>
          <w:u w:val="single"/>
          <w:lang w:eastAsia="zh-CN"/>
        </w:rPr>
        <w:t>吨。</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olor w:val="auto"/>
          <w:sz w:val="24"/>
          <w:szCs w:val="28"/>
          <w:highlight w:val="none"/>
          <w:u w:val="single"/>
          <w:lang w:eastAsia="zh-CN"/>
        </w:rPr>
      </w:pPr>
      <w:r>
        <w:rPr>
          <w:rFonts w:hint="eastAsia" w:ascii="仿宋" w:hAnsi="仿宋" w:eastAsia="仿宋"/>
          <w:color w:val="auto"/>
          <w:sz w:val="24"/>
          <w:szCs w:val="28"/>
          <w:highlight w:val="none"/>
          <w:u w:val="single"/>
          <w:lang w:eastAsia="zh-CN"/>
        </w:rPr>
        <w:t>③湖塘街道集镇范围内各垃圾点的垃圾定时上门收集服务。</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Times New Roman"/>
          <w:color w:val="auto"/>
          <w:sz w:val="24"/>
          <w:szCs w:val="28"/>
          <w:highlight w:val="none"/>
          <w:u w:val="single"/>
        </w:rPr>
      </w:pPr>
      <w:r>
        <w:rPr>
          <w:rFonts w:hint="eastAsia" w:ascii="仿宋" w:hAnsi="仿宋" w:eastAsia="仿宋"/>
          <w:color w:val="auto"/>
          <w:sz w:val="24"/>
          <w:szCs w:val="28"/>
          <w:highlight w:val="none"/>
          <w:u w:val="single"/>
          <w:lang w:eastAsia="zh-CN"/>
        </w:rPr>
        <w:t>本项目服务期为两年，总预算价约</w:t>
      </w:r>
      <w:r>
        <w:rPr>
          <w:rFonts w:hint="eastAsia" w:ascii="仿宋" w:hAnsi="仿宋" w:eastAsia="仿宋"/>
          <w:color w:val="auto"/>
          <w:sz w:val="24"/>
          <w:szCs w:val="28"/>
          <w:highlight w:val="none"/>
          <w:u w:val="single"/>
          <w:lang w:val="en-US" w:eastAsia="zh-CN"/>
        </w:rPr>
        <w:t>480</w:t>
      </w:r>
      <w:r>
        <w:rPr>
          <w:rFonts w:hint="eastAsia" w:ascii="仿宋" w:hAnsi="仿宋" w:eastAsia="仿宋"/>
          <w:color w:val="auto"/>
          <w:sz w:val="24"/>
          <w:szCs w:val="28"/>
          <w:highlight w:val="none"/>
          <w:u w:val="single"/>
          <w:lang w:eastAsia="zh-CN"/>
        </w:rPr>
        <w:t>万元，总上限价为</w:t>
      </w:r>
      <w:r>
        <w:rPr>
          <w:rFonts w:hint="eastAsia" w:ascii="仿宋" w:hAnsi="仿宋" w:eastAsia="仿宋"/>
          <w:color w:val="auto"/>
          <w:sz w:val="24"/>
          <w:szCs w:val="28"/>
          <w:highlight w:val="none"/>
          <w:u w:val="single"/>
          <w:lang w:val="en-US" w:eastAsia="zh-CN"/>
        </w:rPr>
        <w:t>480</w:t>
      </w:r>
      <w:r>
        <w:rPr>
          <w:rFonts w:hint="eastAsia" w:ascii="仿宋" w:hAnsi="仿宋" w:eastAsia="仿宋"/>
          <w:color w:val="auto"/>
          <w:sz w:val="24"/>
          <w:szCs w:val="28"/>
          <w:highlight w:val="none"/>
          <w:u w:val="single"/>
          <w:lang w:eastAsia="zh-CN"/>
        </w:rPr>
        <w:t>万元，其中一般工业垃圾单价不得高于120元/吨。</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olor w:val="auto"/>
          <w:sz w:val="24"/>
          <w:szCs w:val="28"/>
          <w:highlight w:val="none"/>
          <w:u w:val="single"/>
          <w:lang w:eastAsia="zh-CN"/>
        </w:rPr>
      </w:pPr>
      <w:r>
        <w:rPr>
          <w:rFonts w:hint="eastAsia" w:ascii="仿宋" w:hAnsi="仿宋" w:eastAsia="仿宋"/>
          <w:color w:val="auto"/>
          <w:sz w:val="24"/>
          <w:szCs w:val="28"/>
          <w:highlight w:val="none"/>
        </w:rPr>
        <w:t>备注：</w:t>
      </w:r>
      <w:r>
        <w:rPr>
          <w:rFonts w:hint="eastAsia" w:ascii="仿宋" w:hAnsi="仿宋" w:eastAsia="仿宋"/>
          <w:color w:val="auto"/>
          <w:sz w:val="24"/>
          <w:szCs w:val="28"/>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ascii="仿宋" w:hAnsi="仿宋" w:eastAsia="仿宋"/>
          <w:color w:val="auto"/>
          <w:sz w:val="24"/>
          <w:szCs w:val="28"/>
          <w:highlight w:val="none"/>
          <w:u w:val="single"/>
        </w:rPr>
      </w:pPr>
      <w:r>
        <w:rPr>
          <w:rFonts w:hint="eastAsia" w:ascii="仿宋" w:hAnsi="仿宋" w:eastAsia="仿宋"/>
          <w:color w:val="auto"/>
          <w:sz w:val="24"/>
          <w:szCs w:val="28"/>
          <w:highlight w:val="none"/>
        </w:rPr>
        <w:t>合同履行期限：详见招标文件</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ascii="仿宋" w:hAnsi="仿宋" w:eastAsia="仿宋"/>
          <w:color w:val="auto"/>
          <w:sz w:val="24"/>
          <w:szCs w:val="28"/>
          <w:highlight w:val="none"/>
        </w:rPr>
      </w:pPr>
      <w:r>
        <w:rPr>
          <w:rFonts w:hint="eastAsia" w:ascii="仿宋" w:hAnsi="仿宋" w:eastAsia="仿宋"/>
          <w:color w:val="auto"/>
          <w:sz w:val="24"/>
          <w:szCs w:val="28"/>
          <w:highlight w:val="none"/>
        </w:rPr>
        <w:t>本项目</w:t>
      </w:r>
      <w:r>
        <w:rPr>
          <w:rFonts w:hint="eastAsia" w:ascii="仿宋" w:hAnsi="仿宋" w:eastAsia="仿宋"/>
          <w:b/>
          <w:bCs w:val="0"/>
          <w:i w:val="0"/>
          <w:iCs w:val="0"/>
          <w:color w:val="auto"/>
          <w:sz w:val="24"/>
          <w:szCs w:val="28"/>
          <w:highlight w:val="none"/>
        </w:rPr>
        <w:t>（</w:t>
      </w:r>
      <w:r>
        <w:rPr>
          <w:rFonts w:ascii="仿宋" w:hAnsi="仿宋" w:eastAsia="仿宋"/>
          <w:b/>
          <w:bCs w:val="0"/>
          <w:i w:val="0"/>
          <w:iCs w:val="0"/>
          <w:color w:val="auto"/>
          <w:sz w:val="24"/>
          <w:szCs w:val="28"/>
          <w:highlight w:val="none"/>
        </w:rPr>
        <w:t>否</w:t>
      </w:r>
      <w:r>
        <w:rPr>
          <w:rFonts w:hint="eastAsia" w:ascii="仿宋" w:hAnsi="仿宋" w:eastAsia="仿宋"/>
          <w:b/>
          <w:bCs w:val="0"/>
          <w:i w:val="0"/>
          <w:iCs w:val="0"/>
          <w:color w:val="auto"/>
          <w:sz w:val="24"/>
          <w:szCs w:val="28"/>
          <w:highlight w:val="none"/>
        </w:rPr>
        <w:t>）</w:t>
      </w:r>
      <w:r>
        <w:rPr>
          <w:rFonts w:hint="eastAsia" w:ascii="仿宋" w:hAnsi="仿宋" w:eastAsia="仿宋"/>
          <w:color w:val="auto"/>
          <w:sz w:val="24"/>
          <w:szCs w:val="28"/>
          <w:highlight w:val="none"/>
        </w:rPr>
        <w:t>接受联合体投标。</w:t>
      </w:r>
    </w:p>
    <w:p>
      <w:pPr>
        <w:pStyle w:val="2"/>
        <w:numPr>
          <w:ilvl w:val="0"/>
          <w:numId w:val="0"/>
        </w:numPr>
        <w:rPr>
          <w:rFonts w:ascii="黑体" w:hAnsi="黑体" w:cs="宋体"/>
          <w:color w:val="auto"/>
          <w:sz w:val="24"/>
          <w:szCs w:val="28"/>
          <w:highlight w:val="none"/>
        </w:rPr>
      </w:pPr>
      <w:bookmarkStart w:id="16" w:name="_Toc28359080"/>
      <w:bookmarkStart w:id="17" w:name="_Toc35393791"/>
      <w:bookmarkStart w:id="18" w:name="_Toc28359003"/>
      <w:bookmarkStart w:id="19" w:name="_Toc35393622"/>
      <w:r>
        <w:rPr>
          <w:rFonts w:hint="eastAsia" w:ascii="黑体" w:hAnsi="黑体" w:cs="宋体"/>
          <w:color w:val="auto"/>
          <w:sz w:val="24"/>
          <w:szCs w:val="28"/>
          <w:highlight w:val="none"/>
        </w:rPr>
        <w:t>二、申请人的资格要求：</w:t>
      </w:r>
      <w:bookmarkEnd w:id="16"/>
      <w:bookmarkEnd w:id="17"/>
      <w:bookmarkEnd w:id="18"/>
      <w:bookmarkEnd w:id="19"/>
    </w:p>
    <w:p>
      <w:pPr>
        <w:spacing w:line="36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满足《中华人民共和国政府采购法》第二十二条规定；且未被“信用中国”（www.creditchina.gov.cn）、中国政府采购网（www.ccgp.gov.cn）列入失信被执行人、重大税收违法案件当事人名单、政府采购严重违法失信行为记录名单；</w:t>
      </w:r>
    </w:p>
    <w:p>
      <w:pPr>
        <w:spacing w:line="360" w:lineRule="auto"/>
        <w:ind w:firstLine="480" w:firstLineChars="200"/>
        <w:jc w:val="left"/>
        <w:rPr>
          <w:rFonts w:hint="eastAsia" w:ascii="仿宋" w:hAnsi="仿宋" w:eastAsia="仿宋"/>
          <w:color w:val="auto"/>
          <w:sz w:val="24"/>
          <w:szCs w:val="28"/>
          <w:highlight w:val="none"/>
          <w:lang w:eastAsia="zh-CN"/>
        </w:rPr>
      </w:pPr>
      <w:bookmarkStart w:id="20" w:name="_Toc28359004"/>
      <w:bookmarkStart w:id="21" w:name="_Toc28359081"/>
      <w:r>
        <w:rPr>
          <w:rFonts w:hint="eastAsia" w:ascii="仿宋" w:hAnsi="仿宋" w:eastAsia="仿宋"/>
          <w:color w:val="auto"/>
          <w:sz w:val="24"/>
          <w:szCs w:val="28"/>
          <w:highlight w:val="none"/>
        </w:rPr>
        <w:t>落实政府采购政策需满足的资格要求：无</w:t>
      </w:r>
      <w:r>
        <w:rPr>
          <w:rFonts w:hint="eastAsia" w:ascii="仿宋" w:hAnsi="仿宋" w:eastAsia="仿宋"/>
          <w:color w:val="auto"/>
          <w:sz w:val="24"/>
          <w:szCs w:val="28"/>
          <w:highlight w:val="none"/>
          <w:lang w:eastAsia="zh-CN"/>
        </w:rPr>
        <w:t>。</w:t>
      </w:r>
    </w:p>
    <w:p>
      <w:pPr>
        <w:spacing w:line="360" w:lineRule="auto"/>
        <w:ind w:firstLine="480" w:firstLineChars="200"/>
        <w:jc w:val="left"/>
        <w:rPr>
          <w:rFonts w:hint="eastAsia" w:ascii="仿宋" w:hAnsi="仿宋" w:eastAsia="仿宋"/>
          <w:i/>
          <w:iCs/>
          <w:color w:val="auto"/>
          <w:sz w:val="24"/>
          <w:szCs w:val="28"/>
          <w:highlight w:val="none"/>
          <w:u w:val="single"/>
          <w:lang w:eastAsia="zh-CN"/>
        </w:rPr>
      </w:pPr>
      <w:r>
        <w:rPr>
          <w:rFonts w:hint="eastAsia" w:ascii="仿宋" w:hAnsi="仿宋" w:eastAsia="仿宋"/>
          <w:color w:val="auto"/>
          <w:sz w:val="24"/>
          <w:szCs w:val="28"/>
          <w:highlight w:val="none"/>
        </w:rPr>
        <w:t>本项目的特定资格要求：无</w:t>
      </w:r>
      <w:r>
        <w:rPr>
          <w:rFonts w:hint="eastAsia" w:ascii="仿宋" w:hAnsi="仿宋" w:eastAsia="仿宋"/>
          <w:color w:val="auto"/>
          <w:sz w:val="24"/>
          <w:szCs w:val="28"/>
          <w:highlight w:val="none"/>
          <w:lang w:eastAsia="zh-CN"/>
        </w:rPr>
        <w:t>。</w:t>
      </w:r>
    </w:p>
    <w:p>
      <w:pPr>
        <w:pStyle w:val="2"/>
        <w:numPr>
          <w:ilvl w:val="0"/>
          <w:numId w:val="0"/>
        </w:numPr>
        <w:rPr>
          <w:rFonts w:ascii="黑体" w:hAnsi="黑体" w:cs="宋体"/>
          <w:color w:val="auto"/>
          <w:sz w:val="24"/>
          <w:szCs w:val="28"/>
          <w:highlight w:val="none"/>
        </w:rPr>
      </w:pPr>
      <w:bookmarkStart w:id="22" w:name="_Toc35393792"/>
      <w:bookmarkStart w:id="23" w:name="_Toc35393623"/>
      <w:r>
        <w:rPr>
          <w:rFonts w:hint="eastAsia" w:ascii="黑体" w:hAnsi="黑体" w:cs="宋体"/>
          <w:color w:val="auto"/>
          <w:sz w:val="24"/>
          <w:szCs w:val="28"/>
          <w:highlight w:val="none"/>
        </w:rPr>
        <w:t>三、获取招标文件</w:t>
      </w:r>
      <w:bookmarkEnd w:id="20"/>
      <w:bookmarkEnd w:id="21"/>
      <w:bookmarkEnd w:id="22"/>
      <w:bookmarkEnd w:id="23"/>
    </w:p>
    <w:p>
      <w:pPr>
        <w:spacing w:line="360" w:lineRule="auto"/>
        <w:ind w:firstLine="480" w:firstLineChars="200"/>
        <w:jc w:val="left"/>
        <w:rPr>
          <w:rFonts w:ascii="仿宋" w:hAnsi="仿宋" w:eastAsia="仿宋" w:cs="宋体"/>
          <w:color w:val="auto"/>
          <w:sz w:val="24"/>
          <w:szCs w:val="28"/>
          <w:highlight w:val="none"/>
        </w:rPr>
      </w:pPr>
      <w:r>
        <w:rPr>
          <w:rFonts w:hint="eastAsia" w:ascii="仿宋" w:hAnsi="仿宋" w:eastAsia="仿宋" w:cs="宋体"/>
          <w:color w:val="auto"/>
          <w:sz w:val="24"/>
          <w:szCs w:val="28"/>
          <w:highlight w:val="none"/>
        </w:rPr>
        <w:t>时间：</w:t>
      </w:r>
      <w:r>
        <w:rPr>
          <w:rFonts w:hint="eastAsia" w:ascii="仿宋" w:hAnsi="仿宋" w:eastAsia="仿宋"/>
          <w:color w:val="auto"/>
          <w:sz w:val="24"/>
          <w:szCs w:val="28"/>
          <w:highlight w:val="none"/>
        </w:rPr>
        <w:t>/至</w:t>
      </w:r>
      <w:r>
        <w:rPr>
          <w:rFonts w:hint="eastAsia" w:ascii="仿宋" w:hAnsi="仿宋" w:eastAsia="仿宋"/>
          <w:bCs/>
          <w:color w:val="auto"/>
          <w:sz w:val="24"/>
          <w:szCs w:val="28"/>
          <w:highlight w:val="none"/>
          <w:u w:val="single"/>
          <w:lang w:val="en-US" w:eastAsia="zh-CN"/>
        </w:rPr>
        <w:t>2022</w:t>
      </w:r>
      <w:r>
        <w:rPr>
          <w:rFonts w:hint="eastAsia" w:ascii="仿宋" w:hAnsi="仿宋" w:eastAsia="仿宋"/>
          <w:bCs/>
          <w:color w:val="auto"/>
          <w:sz w:val="24"/>
          <w:szCs w:val="28"/>
          <w:highlight w:val="none"/>
          <w:u w:val="single"/>
        </w:rPr>
        <w:t>年  月  日</w:t>
      </w:r>
      <w:r>
        <w:rPr>
          <w:rFonts w:ascii="仿宋" w:hAnsi="仿宋" w:eastAsia="仿宋"/>
          <w:color w:val="auto"/>
          <w:sz w:val="24"/>
          <w:szCs w:val="28"/>
          <w:highlight w:val="none"/>
        </w:rPr>
        <w:t>，每天上午</w:t>
      </w:r>
      <w:r>
        <w:rPr>
          <w:rFonts w:ascii="仿宋" w:hAnsi="仿宋" w:eastAsia="仿宋"/>
          <w:snapToGrid w:val="0"/>
          <w:color w:val="auto"/>
          <w:sz w:val="24"/>
          <w:szCs w:val="28"/>
          <w:highlight w:val="none"/>
        </w:rPr>
        <w:t>00:00至12:00</w:t>
      </w:r>
      <w:r>
        <w:rPr>
          <w:rFonts w:ascii="仿宋" w:hAnsi="仿宋" w:eastAsia="仿宋"/>
          <w:color w:val="auto"/>
          <w:sz w:val="24"/>
          <w:szCs w:val="28"/>
          <w:highlight w:val="none"/>
        </w:rPr>
        <w:t> ，下午</w:t>
      </w:r>
      <w:r>
        <w:rPr>
          <w:rFonts w:ascii="仿宋" w:hAnsi="仿宋" w:eastAsia="仿宋"/>
          <w:snapToGrid w:val="0"/>
          <w:color w:val="auto"/>
          <w:sz w:val="24"/>
          <w:szCs w:val="28"/>
          <w:highlight w:val="none"/>
        </w:rPr>
        <w:t>12:00至23:59</w:t>
      </w:r>
      <w:r>
        <w:rPr>
          <w:rFonts w:ascii="仿宋" w:hAnsi="仿宋" w:eastAsia="仿宋"/>
          <w:color w:val="auto"/>
          <w:sz w:val="24"/>
          <w:szCs w:val="28"/>
          <w:highlight w:val="none"/>
        </w:rPr>
        <w:t>（北京时间，线上获取法定节假日均可，线下获取文件法定节假日除外）</w:t>
      </w:r>
    </w:p>
    <w:p>
      <w:pPr>
        <w:spacing w:line="360" w:lineRule="auto"/>
        <w:ind w:firstLine="480" w:firstLineChars="200"/>
        <w:jc w:val="left"/>
        <w:rPr>
          <w:rFonts w:hint="eastAsia" w:ascii="仿宋" w:hAnsi="仿宋" w:eastAsia="仿宋" w:cs="宋体"/>
          <w:color w:val="auto"/>
          <w:sz w:val="24"/>
          <w:szCs w:val="28"/>
          <w:highlight w:val="none"/>
        </w:rPr>
      </w:pPr>
      <w:r>
        <w:rPr>
          <w:rFonts w:hint="eastAsia" w:ascii="仿宋" w:hAnsi="仿宋" w:eastAsia="仿宋" w:cs="宋体"/>
          <w:color w:val="auto"/>
          <w:sz w:val="24"/>
          <w:szCs w:val="28"/>
          <w:highlight w:val="none"/>
        </w:rPr>
        <w:t>地点（网址）：</w:t>
      </w:r>
      <w:r>
        <w:rPr>
          <w:rFonts w:ascii="仿宋" w:hAnsi="仿宋" w:eastAsia="仿宋" w:cs="宋体"/>
          <w:snapToGrid w:val="0"/>
          <w:color w:val="auto"/>
          <w:sz w:val="24"/>
          <w:szCs w:val="28"/>
          <w:highlight w:val="none"/>
        </w:rPr>
        <w:t>浙江政府采购网（</w:t>
      </w:r>
      <w:r>
        <w:rPr>
          <w:rFonts w:ascii="仿宋" w:hAnsi="仿宋" w:eastAsia="仿宋" w:cs="宋体"/>
          <w:snapToGrid w:val="0"/>
          <w:color w:val="auto"/>
          <w:sz w:val="24"/>
          <w:szCs w:val="28"/>
          <w:highlight w:val="none"/>
        </w:rPr>
        <w:fldChar w:fldCharType="begin"/>
      </w:r>
      <w:r>
        <w:rPr>
          <w:rFonts w:ascii="仿宋" w:hAnsi="仿宋" w:eastAsia="仿宋" w:cs="宋体"/>
          <w:snapToGrid w:val="0"/>
          <w:color w:val="auto"/>
          <w:sz w:val="24"/>
          <w:szCs w:val="28"/>
          <w:highlight w:val="none"/>
        </w:rPr>
        <w:instrText xml:space="preserve"> HYPERLINK "http://zfcg.czt.zj.gov.cn/" </w:instrText>
      </w:r>
      <w:r>
        <w:rPr>
          <w:rFonts w:ascii="仿宋" w:hAnsi="仿宋" w:eastAsia="仿宋" w:cs="宋体"/>
          <w:snapToGrid w:val="0"/>
          <w:color w:val="auto"/>
          <w:sz w:val="24"/>
          <w:szCs w:val="28"/>
          <w:highlight w:val="none"/>
        </w:rPr>
        <w:fldChar w:fldCharType="separate"/>
      </w:r>
      <w:r>
        <w:rPr>
          <w:rStyle w:val="67"/>
          <w:rFonts w:ascii="仿宋" w:hAnsi="仿宋" w:eastAsia="仿宋" w:cs="宋体"/>
          <w:color w:val="auto"/>
          <w:kern w:val="2"/>
          <w:sz w:val="24"/>
          <w:szCs w:val="28"/>
          <w:highlight w:val="none"/>
        </w:rPr>
        <w:t>http://zfcg.czt.zj.gov.cn/</w:t>
      </w:r>
      <w:r>
        <w:rPr>
          <w:rFonts w:ascii="仿宋" w:hAnsi="仿宋" w:eastAsia="仿宋" w:cs="宋体"/>
          <w:snapToGrid w:val="0"/>
          <w:color w:val="auto"/>
          <w:sz w:val="24"/>
          <w:szCs w:val="28"/>
          <w:highlight w:val="none"/>
        </w:rPr>
        <w:fldChar w:fldCharType="end"/>
      </w:r>
      <w:r>
        <w:rPr>
          <w:rFonts w:ascii="仿宋" w:hAnsi="仿宋" w:eastAsia="仿宋" w:cs="宋体"/>
          <w:snapToGrid w:val="0"/>
          <w:color w:val="auto"/>
          <w:sz w:val="24"/>
          <w:szCs w:val="28"/>
          <w:highlight w:val="none"/>
        </w:rPr>
        <w:t>）</w:t>
      </w:r>
      <w:r>
        <w:rPr>
          <w:rFonts w:hint="eastAsia" w:ascii="仿宋" w:hAnsi="仿宋" w:eastAsia="仿宋" w:cs="宋体"/>
          <w:color w:val="auto"/>
          <w:sz w:val="24"/>
          <w:szCs w:val="28"/>
          <w:highlight w:val="none"/>
        </w:rPr>
        <w:t>；</w:t>
      </w:r>
    </w:p>
    <w:p>
      <w:pPr>
        <w:spacing w:line="360" w:lineRule="auto"/>
        <w:ind w:firstLine="480" w:firstLineChars="200"/>
        <w:jc w:val="left"/>
        <w:rPr>
          <w:rFonts w:ascii="仿宋" w:hAnsi="仿宋" w:eastAsia="仿宋" w:cs="宋体"/>
          <w:color w:val="auto"/>
          <w:sz w:val="24"/>
          <w:szCs w:val="28"/>
          <w:highlight w:val="none"/>
          <w:u w:val="single"/>
        </w:rPr>
      </w:pPr>
      <w:r>
        <w:rPr>
          <w:rFonts w:hint="eastAsia" w:ascii="仿宋" w:hAnsi="仿宋" w:eastAsia="仿宋" w:cs="宋体"/>
          <w:color w:val="auto"/>
          <w:sz w:val="24"/>
          <w:szCs w:val="28"/>
          <w:highlight w:val="none"/>
        </w:rPr>
        <w:t>方式：供应商登陆政采云平台http://www.zcygov.cn/，在线申请获取采购文件（进入“项目采购”应用，在获取采购文件菜单中选择项目，申请获取采购文件）。公告页面附件招标文件可以下载，仅供浏览使用；</w:t>
      </w:r>
    </w:p>
    <w:p>
      <w:pPr>
        <w:spacing w:line="360" w:lineRule="auto"/>
        <w:ind w:firstLine="480" w:firstLineChars="200"/>
        <w:jc w:val="left"/>
        <w:rPr>
          <w:rFonts w:ascii="仿宋" w:hAnsi="仿宋" w:eastAsia="仿宋" w:cs="宋体"/>
          <w:color w:val="auto"/>
          <w:sz w:val="24"/>
          <w:szCs w:val="28"/>
          <w:highlight w:val="none"/>
        </w:rPr>
      </w:pPr>
      <w:r>
        <w:rPr>
          <w:rFonts w:hint="eastAsia" w:ascii="仿宋" w:hAnsi="仿宋" w:eastAsia="仿宋" w:cs="宋体"/>
          <w:color w:val="auto"/>
          <w:sz w:val="24"/>
          <w:szCs w:val="28"/>
          <w:highlight w:val="none"/>
        </w:rPr>
        <w:t>售价：0。</w:t>
      </w:r>
    </w:p>
    <w:p>
      <w:pPr>
        <w:pStyle w:val="2"/>
        <w:numPr>
          <w:ilvl w:val="0"/>
          <w:numId w:val="0"/>
        </w:numPr>
        <w:rPr>
          <w:rFonts w:ascii="黑体" w:hAnsi="黑体" w:cs="宋体"/>
          <w:color w:val="auto"/>
          <w:sz w:val="24"/>
          <w:szCs w:val="28"/>
          <w:highlight w:val="none"/>
        </w:rPr>
      </w:pPr>
      <w:bookmarkStart w:id="451" w:name="_GoBack"/>
      <w:bookmarkStart w:id="24" w:name="_Toc28359005"/>
      <w:bookmarkStart w:id="25" w:name="_Toc28359082"/>
      <w:bookmarkStart w:id="26" w:name="_Toc35393624"/>
      <w:bookmarkStart w:id="27" w:name="_Toc35393793"/>
      <w:r>
        <w:rPr>
          <w:rFonts w:hint="eastAsia" w:ascii="黑体" w:hAnsi="黑体" w:cs="宋体"/>
          <w:color w:val="auto"/>
          <w:sz w:val="24"/>
          <w:szCs w:val="28"/>
          <w:highlight w:val="none"/>
        </w:rPr>
        <w:t>四、提交投标文件</w:t>
      </w:r>
      <w:bookmarkEnd w:id="24"/>
      <w:bookmarkEnd w:id="25"/>
      <w:r>
        <w:rPr>
          <w:rFonts w:hint="eastAsia" w:ascii="黑体" w:hAnsi="黑体" w:cs="宋体"/>
          <w:color w:val="auto"/>
          <w:sz w:val="24"/>
          <w:szCs w:val="28"/>
          <w:highlight w:val="none"/>
        </w:rPr>
        <w:t>截止时间、开标时间和地点</w:t>
      </w:r>
      <w:bookmarkEnd w:id="26"/>
      <w:bookmarkEnd w:id="27"/>
    </w:p>
    <w:p>
      <w:pPr>
        <w:spacing w:line="360" w:lineRule="auto"/>
        <w:ind w:firstLine="480" w:firstLineChars="200"/>
        <w:jc w:val="left"/>
        <w:rPr>
          <w:rFonts w:hint="eastAsia" w:ascii="仿宋" w:hAnsi="仿宋" w:eastAsia="仿宋"/>
          <w:color w:val="auto"/>
          <w:sz w:val="24"/>
          <w:szCs w:val="28"/>
          <w:highlight w:val="none"/>
        </w:rPr>
      </w:pPr>
      <w:r>
        <w:rPr>
          <w:rFonts w:hint="eastAsia" w:ascii="仿宋" w:hAnsi="仿宋" w:eastAsia="仿宋" w:cs="宋体"/>
          <w:color w:val="auto"/>
          <w:sz w:val="24"/>
          <w:szCs w:val="28"/>
          <w:highlight w:val="none"/>
        </w:rPr>
        <w:t>提交投标文件截止时间：</w:t>
      </w:r>
      <w:r>
        <w:rPr>
          <w:rFonts w:hint="eastAsia" w:ascii="仿宋" w:hAnsi="仿宋" w:eastAsia="仿宋"/>
          <w:bCs/>
          <w:color w:val="auto"/>
          <w:sz w:val="24"/>
          <w:szCs w:val="28"/>
          <w:highlight w:val="none"/>
          <w:u w:val="single"/>
          <w:lang w:val="en-US" w:eastAsia="zh-CN"/>
        </w:rPr>
        <w:t>2022</w:t>
      </w:r>
      <w:r>
        <w:rPr>
          <w:rFonts w:hint="eastAsia" w:ascii="仿宋" w:hAnsi="仿宋" w:eastAsia="仿宋"/>
          <w:bCs/>
          <w:color w:val="auto"/>
          <w:sz w:val="24"/>
          <w:szCs w:val="28"/>
          <w:highlight w:val="none"/>
          <w:u w:val="single"/>
        </w:rPr>
        <w:t>年</w:t>
      </w:r>
      <w:r>
        <w:rPr>
          <w:rFonts w:hint="eastAsia" w:ascii="仿宋" w:hAnsi="仿宋" w:eastAsia="仿宋"/>
          <w:bCs/>
          <w:color w:val="auto"/>
          <w:sz w:val="24"/>
          <w:szCs w:val="28"/>
          <w:highlight w:val="none"/>
          <w:u w:val="single"/>
          <w:lang w:val="en-US" w:eastAsia="zh-CN"/>
        </w:rPr>
        <w:t>8</w:t>
      </w:r>
      <w:r>
        <w:rPr>
          <w:rFonts w:hint="eastAsia" w:ascii="仿宋" w:hAnsi="仿宋" w:eastAsia="仿宋"/>
          <w:bCs/>
          <w:color w:val="auto"/>
          <w:sz w:val="24"/>
          <w:szCs w:val="28"/>
          <w:highlight w:val="none"/>
          <w:u w:val="single"/>
        </w:rPr>
        <w:t>月</w:t>
      </w:r>
      <w:r>
        <w:rPr>
          <w:rFonts w:hint="eastAsia" w:ascii="仿宋" w:hAnsi="仿宋" w:eastAsia="仿宋"/>
          <w:bCs/>
          <w:color w:val="auto"/>
          <w:sz w:val="24"/>
          <w:szCs w:val="28"/>
          <w:highlight w:val="none"/>
          <w:u w:val="single"/>
          <w:lang w:val="en-US" w:eastAsia="zh-CN"/>
        </w:rPr>
        <w:t>30</w:t>
      </w:r>
      <w:r>
        <w:rPr>
          <w:rFonts w:hint="eastAsia" w:ascii="仿宋" w:hAnsi="仿宋" w:eastAsia="仿宋"/>
          <w:bCs/>
          <w:color w:val="auto"/>
          <w:sz w:val="24"/>
          <w:szCs w:val="28"/>
          <w:highlight w:val="none"/>
          <w:u w:val="single"/>
        </w:rPr>
        <w:t>日</w:t>
      </w:r>
      <w:r>
        <w:rPr>
          <w:rFonts w:hint="eastAsia" w:ascii="仿宋" w:hAnsi="仿宋" w:eastAsia="仿宋"/>
          <w:bCs/>
          <w:color w:val="auto"/>
          <w:sz w:val="24"/>
          <w:szCs w:val="28"/>
          <w:highlight w:val="none"/>
          <w:u w:val="single"/>
          <w:lang w:val="en-US" w:eastAsia="zh-CN"/>
        </w:rPr>
        <w:t>09</w:t>
      </w:r>
      <w:r>
        <w:rPr>
          <w:rFonts w:hint="eastAsia" w:ascii="仿宋" w:hAnsi="仿宋" w:eastAsia="仿宋"/>
          <w:bCs/>
          <w:color w:val="auto"/>
          <w:sz w:val="24"/>
          <w:szCs w:val="28"/>
          <w:highlight w:val="none"/>
          <w:u w:val="single"/>
        </w:rPr>
        <w:t>：</w:t>
      </w:r>
      <w:r>
        <w:rPr>
          <w:rFonts w:hint="eastAsia" w:ascii="仿宋" w:hAnsi="仿宋" w:eastAsia="仿宋"/>
          <w:bCs/>
          <w:color w:val="auto"/>
          <w:sz w:val="24"/>
          <w:szCs w:val="28"/>
          <w:highlight w:val="none"/>
          <w:u w:val="single"/>
          <w:lang w:val="en-US" w:eastAsia="zh-CN"/>
        </w:rPr>
        <w:t>30</w:t>
      </w:r>
      <w:r>
        <w:rPr>
          <w:rFonts w:hint="eastAsia" w:ascii="仿宋" w:hAnsi="仿宋" w:eastAsia="仿宋"/>
          <w:bCs/>
          <w:color w:val="auto"/>
          <w:sz w:val="24"/>
          <w:szCs w:val="28"/>
          <w:highlight w:val="none"/>
        </w:rPr>
        <w:t>（北京时间）</w:t>
      </w:r>
    </w:p>
    <w:p>
      <w:pPr>
        <w:spacing w:line="360" w:lineRule="auto"/>
        <w:ind w:firstLine="480" w:firstLineChars="200"/>
        <w:jc w:val="left"/>
        <w:rPr>
          <w:rFonts w:hint="eastAsia" w:ascii="仿宋" w:hAnsi="仿宋" w:eastAsia="仿宋" w:cs="宋体"/>
          <w:color w:val="auto"/>
          <w:sz w:val="24"/>
          <w:szCs w:val="28"/>
          <w:highlight w:val="none"/>
        </w:rPr>
      </w:pPr>
      <w:r>
        <w:rPr>
          <w:rFonts w:ascii="仿宋" w:hAnsi="仿宋" w:eastAsia="仿宋" w:cs="宋体"/>
          <w:color w:val="auto"/>
          <w:sz w:val="24"/>
          <w:szCs w:val="28"/>
          <w:highlight w:val="none"/>
        </w:rPr>
        <w:t>投标地点（网址）：政府采购云平台（https://www.zcygov.cn）</w:t>
      </w:r>
    </w:p>
    <w:p>
      <w:pPr>
        <w:spacing w:line="360" w:lineRule="auto"/>
        <w:ind w:firstLine="480" w:firstLineChars="200"/>
        <w:jc w:val="left"/>
        <w:rPr>
          <w:rFonts w:hint="default" w:ascii="仿宋" w:hAnsi="仿宋" w:eastAsia="仿宋" w:cs="宋体"/>
          <w:color w:val="auto"/>
          <w:sz w:val="24"/>
          <w:szCs w:val="28"/>
          <w:highlight w:val="none"/>
          <w:lang w:val="en-US" w:eastAsia="zh-CN"/>
        </w:rPr>
      </w:pPr>
      <w:r>
        <w:rPr>
          <w:rFonts w:ascii="仿宋" w:hAnsi="仿宋" w:eastAsia="仿宋" w:cs="宋体"/>
          <w:color w:val="auto"/>
          <w:sz w:val="24"/>
          <w:szCs w:val="28"/>
          <w:highlight w:val="none"/>
        </w:rPr>
        <w:t>开标时间：</w:t>
      </w:r>
      <w:r>
        <w:rPr>
          <w:rFonts w:hint="eastAsia" w:ascii="仿宋" w:hAnsi="仿宋" w:eastAsia="仿宋" w:cs="宋体"/>
          <w:color w:val="auto"/>
          <w:sz w:val="24"/>
          <w:szCs w:val="28"/>
          <w:highlight w:val="none"/>
          <w:u w:val="single"/>
          <w:lang w:val="en-US" w:eastAsia="zh-CN"/>
        </w:rPr>
        <w:t>2022</w:t>
      </w:r>
      <w:r>
        <w:rPr>
          <w:rFonts w:hint="eastAsia" w:ascii="仿宋" w:hAnsi="仿宋" w:eastAsia="仿宋"/>
          <w:bCs/>
          <w:color w:val="auto"/>
          <w:sz w:val="24"/>
          <w:szCs w:val="28"/>
          <w:highlight w:val="none"/>
          <w:u w:val="single"/>
        </w:rPr>
        <w:t>年</w:t>
      </w:r>
      <w:r>
        <w:rPr>
          <w:rFonts w:hint="eastAsia" w:ascii="仿宋" w:hAnsi="仿宋" w:eastAsia="仿宋"/>
          <w:bCs/>
          <w:color w:val="auto"/>
          <w:sz w:val="24"/>
          <w:szCs w:val="28"/>
          <w:highlight w:val="none"/>
          <w:u w:val="single"/>
          <w:lang w:val="en-US" w:eastAsia="zh-CN"/>
        </w:rPr>
        <w:t>8</w:t>
      </w:r>
      <w:r>
        <w:rPr>
          <w:rFonts w:hint="eastAsia" w:ascii="仿宋" w:hAnsi="仿宋" w:eastAsia="仿宋"/>
          <w:bCs/>
          <w:color w:val="auto"/>
          <w:sz w:val="24"/>
          <w:szCs w:val="28"/>
          <w:highlight w:val="none"/>
          <w:u w:val="single"/>
        </w:rPr>
        <w:t>月</w:t>
      </w:r>
      <w:r>
        <w:rPr>
          <w:rFonts w:hint="eastAsia" w:ascii="仿宋" w:hAnsi="仿宋" w:eastAsia="仿宋"/>
          <w:bCs/>
          <w:color w:val="auto"/>
          <w:sz w:val="24"/>
          <w:szCs w:val="28"/>
          <w:highlight w:val="none"/>
          <w:u w:val="single"/>
          <w:lang w:val="en-US" w:eastAsia="zh-CN"/>
        </w:rPr>
        <w:t>30</w:t>
      </w:r>
      <w:r>
        <w:rPr>
          <w:rFonts w:hint="eastAsia" w:ascii="仿宋" w:hAnsi="仿宋" w:eastAsia="仿宋"/>
          <w:bCs/>
          <w:color w:val="auto"/>
          <w:sz w:val="24"/>
          <w:szCs w:val="28"/>
          <w:highlight w:val="none"/>
          <w:u w:val="single"/>
        </w:rPr>
        <w:t>日</w:t>
      </w:r>
      <w:r>
        <w:rPr>
          <w:rFonts w:hint="eastAsia" w:ascii="仿宋" w:hAnsi="仿宋" w:eastAsia="仿宋"/>
          <w:bCs/>
          <w:color w:val="auto"/>
          <w:sz w:val="24"/>
          <w:szCs w:val="28"/>
          <w:highlight w:val="none"/>
          <w:u w:val="single"/>
          <w:lang w:val="en-US" w:eastAsia="zh-CN"/>
        </w:rPr>
        <w:t>09</w:t>
      </w:r>
      <w:r>
        <w:rPr>
          <w:rFonts w:hint="eastAsia" w:ascii="仿宋" w:hAnsi="仿宋" w:eastAsia="仿宋"/>
          <w:bCs/>
          <w:color w:val="auto"/>
          <w:sz w:val="24"/>
          <w:szCs w:val="28"/>
          <w:highlight w:val="none"/>
          <w:u w:val="single"/>
        </w:rPr>
        <w:t>：</w:t>
      </w:r>
      <w:r>
        <w:rPr>
          <w:rFonts w:hint="eastAsia" w:ascii="仿宋" w:hAnsi="仿宋" w:eastAsia="仿宋"/>
          <w:bCs/>
          <w:color w:val="auto"/>
          <w:sz w:val="24"/>
          <w:szCs w:val="28"/>
          <w:highlight w:val="none"/>
          <w:u w:val="single"/>
          <w:lang w:val="en-US" w:eastAsia="zh-CN"/>
        </w:rPr>
        <w:t>30</w:t>
      </w:r>
    </w:p>
    <w:p>
      <w:pPr>
        <w:spacing w:line="36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开标地点（网址）：绍兴市柯桥区公共资源交易中心三楼</w:t>
      </w:r>
      <w:r>
        <w:rPr>
          <w:rFonts w:hint="eastAsia" w:ascii="仿宋" w:hAnsi="仿宋" w:eastAsia="仿宋"/>
          <w:bCs/>
          <w:color w:val="auto"/>
          <w:sz w:val="24"/>
          <w:szCs w:val="28"/>
          <w:highlight w:val="none"/>
          <w:u w:val="single"/>
        </w:rPr>
        <w:t xml:space="preserve"> </w:t>
      </w:r>
      <w:r>
        <w:rPr>
          <w:rFonts w:hint="eastAsia" w:ascii="仿宋" w:hAnsi="仿宋" w:eastAsia="仿宋"/>
          <w:bCs/>
          <w:color w:val="auto"/>
          <w:sz w:val="24"/>
          <w:szCs w:val="28"/>
          <w:highlight w:val="none"/>
          <w:u w:val="single"/>
          <w:lang w:val="en-US" w:eastAsia="zh-CN"/>
        </w:rPr>
        <w:t>4</w:t>
      </w:r>
      <w:r>
        <w:rPr>
          <w:rFonts w:hint="eastAsia" w:ascii="仿宋" w:hAnsi="仿宋" w:eastAsia="仿宋"/>
          <w:bCs/>
          <w:color w:val="auto"/>
          <w:sz w:val="24"/>
          <w:szCs w:val="28"/>
          <w:highlight w:val="none"/>
          <w:u w:val="single"/>
        </w:rPr>
        <w:t xml:space="preserve"> </w:t>
      </w:r>
      <w:r>
        <w:rPr>
          <w:rFonts w:hint="eastAsia" w:ascii="仿宋" w:hAnsi="仿宋" w:eastAsia="仿宋" w:cs="宋体"/>
          <w:color w:val="auto"/>
          <w:sz w:val="24"/>
          <w:szCs w:val="28"/>
          <w:highlight w:val="none"/>
        </w:rPr>
        <w:t>号交易室（绍兴市柯桥区纺都路1066号）通过</w:t>
      </w:r>
      <w:r>
        <w:rPr>
          <w:rFonts w:ascii="仿宋" w:hAnsi="仿宋" w:eastAsia="仿宋" w:cs="宋体"/>
          <w:color w:val="auto"/>
          <w:sz w:val="24"/>
          <w:szCs w:val="28"/>
          <w:highlight w:val="none"/>
        </w:rPr>
        <w:t>政府采购云平台（https://www.zcygov.cn）在线开标</w:t>
      </w:r>
    </w:p>
    <w:p>
      <w:pPr>
        <w:pStyle w:val="2"/>
        <w:numPr>
          <w:ilvl w:val="0"/>
          <w:numId w:val="0"/>
        </w:numPr>
        <w:rPr>
          <w:rFonts w:ascii="黑体" w:hAnsi="黑体" w:cs="宋体"/>
          <w:color w:val="auto"/>
          <w:sz w:val="24"/>
          <w:szCs w:val="28"/>
          <w:highlight w:val="none"/>
        </w:rPr>
      </w:pPr>
      <w:bookmarkStart w:id="28" w:name="_Toc28359084"/>
      <w:bookmarkStart w:id="29" w:name="_Toc35393625"/>
      <w:bookmarkStart w:id="30" w:name="_Toc35393794"/>
      <w:bookmarkStart w:id="31" w:name="_Toc28359007"/>
      <w:r>
        <w:rPr>
          <w:rFonts w:hint="eastAsia" w:ascii="黑体" w:hAnsi="黑体" w:cs="宋体"/>
          <w:color w:val="auto"/>
          <w:sz w:val="24"/>
          <w:szCs w:val="28"/>
          <w:highlight w:val="none"/>
        </w:rPr>
        <w:t>五、公告期限</w:t>
      </w:r>
      <w:bookmarkEnd w:id="28"/>
      <w:bookmarkEnd w:id="29"/>
      <w:bookmarkEnd w:id="30"/>
      <w:bookmarkEnd w:id="31"/>
    </w:p>
    <w:p>
      <w:pPr>
        <w:spacing w:line="360" w:lineRule="auto"/>
        <w:ind w:firstLine="480" w:firstLineChars="200"/>
        <w:jc w:val="left"/>
        <w:rPr>
          <w:rFonts w:ascii="仿宋" w:hAnsi="仿宋" w:eastAsia="仿宋" w:cs="宋体"/>
          <w:color w:val="auto"/>
          <w:kern w:val="0"/>
          <w:sz w:val="24"/>
          <w:szCs w:val="28"/>
          <w:highlight w:val="none"/>
        </w:rPr>
      </w:pPr>
      <w:r>
        <w:rPr>
          <w:rFonts w:hint="eastAsia" w:ascii="仿宋" w:hAnsi="仿宋" w:eastAsia="仿宋" w:cs="宋体"/>
          <w:color w:val="auto"/>
          <w:kern w:val="0"/>
          <w:sz w:val="24"/>
          <w:szCs w:val="28"/>
          <w:highlight w:val="none"/>
        </w:rPr>
        <w:t>自本公告发布之日起5个工作日。</w:t>
      </w:r>
    </w:p>
    <w:p>
      <w:pPr>
        <w:pStyle w:val="2"/>
        <w:numPr>
          <w:ilvl w:val="0"/>
          <w:numId w:val="0"/>
        </w:numPr>
        <w:rPr>
          <w:rFonts w:ascii="黑体" w:hAnsi="黑体" w:cs="宋体"/>
          <w:color w:val="auto"/>
          <w:sz w:val="24"/>
          <w:szCs w:val="28"/>
          <w:highlight w:val="none"/>
        </w:rPr>
      </w:pPr>
      <w:bookmarkStart w:id="32" w:name="_Toc35393795"/>
      <w:bookmarkStart w:id="33" w:name="_Toc35393626"/>
      <w:r>
        <w:rPr>
          <w:rFonts w:hint="eastAsia" w:ascii="黑体" w:hAnsi="黑体" w:cs="宋体"/>
          <w:color w:val="auto"/>
          <w:sz w:val="24"/>
          <w:szCs w:val="28"/>
          <w:highlight w:val="none"/>
        </w:rPr>
        <w:t>六、其他补充事宜</w:t>
      </w:r>
      <w:bookmarkEnd w:id="32"/>
      <w:bookmarkEnd w:id="33"/>
    </w:p>
    <w:p>
      <w:pPr>
        <w:spacing w:line="360" w:lineRule="auto"/>
        <w:ind w:firstLine="480" w:firstLineChars="200"/>
        <w:jc w:val="left"/>
        <w:rPr>
          <w:rFonts w:hint="eastAsia" w:ascii="仿宋" w:hAnsi="仿宋" w:eastAsia="仿宋"/>
          <w:color w:val="auto"/>
          <w:sz w:val="24"/>
          <w:szCs w:val="28"/>
          <w:highlight w:val="none"/>
        </w:rPr>
      </w:pPr>
      <w:r>
        <w:rPr>
          <w:rFonts w:ascii="仿宋" w:hAnsi="仿宋" w:eastAsia="仿宋"/>
          <w:color w:val="auto"/>
          <w:sz w:val="24"/>
          <w:szCs w:val="28"/>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w:t>
      </w:r>
      <w:bookmarkEnd w:id="451"/>
      <w:r>
        <w:rPr>
          <w:rFonts w:ascii="仿宋" w:hAnsi="仿宋" w:eastAsia="仿宋"/>
          <w:color w:val="auto"/>
          <w:sz w:val="24"/>
          <w:szCs w:val="28"/>
          <w:highlight w:val="none"/>
        </w:rPr>
        <w:t>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jc w:val="left"/>
        <w:rPr>
          <w:rFonts w:hint="default" w:ascii="仿宋" w:hAnsi="仿宋" w:eastAsia="仿宋"/>
          <w:color w:val="auto"/>
          <w:sz w:val="24"/>
          <w:szCs w:val="28"/>
          <w:highlight w:val="none"/>
          <w:lang w:val="en-US" w:eastAsia="zh-CN"/>
        </w:rPr>
      </w:pPr>
      <w:r>
        <w:rPr>
          <w:rFonts w:hint="eastAsia" w:ascii="仿宋" w:hAnsi="仿宋" w:eastAsia="仿宋"/>
          <w:color w:val="auto"/>
          <w:sz w:val="24"/>
          <w:szCs w:val="28"/>
          <w:highlight w:val="none"/>
        </w:rPr>
        <w:t>2.其他事项：</w:t>
      </w:r>
      <w:r>
        <w:rPr>
          <w:rFonts w:hint="eastAsia" w:ascii="仿宋" w:hAnsi="仿宋" w:eastAsia="仿宋"/>
          <w:color w:val="auto"/>
          <w:sz w:val="24"/>
          <w:szCs w:val="28"/>
          <w:highlight w:val="none"/>
          <w:lang w:val="en-US" w:eastAsia="zh-CN"/>
        </w:rPr>
        <w:t>/。</w:t>
      </w:r>
    </w:p>
    <w:p>
      <w:pPr>
        <w:pStyle w:val="2"/>
        <w:numPr>
          <w:ilvl w:val="0"/>
          <w:numId w:val="0"/>
        </w:numPr>
        <w:rPr>
          <w:rFonts w:ascii="黑体" w:hAnsi="黑体" w:cs="宋体"/>
          <w:color w:val="auto"/>
          <w:sz w:val="24"/>
          <w:szCs w:val="28"/>
          <w:highlight w:val="none"/>
        </w:rPr>
      </w:pPr>
      <w:bookmarkStart w:id="34" w:name="_Toc35393627"/>
      <w:bookmarkStart w:id="35" w:name="_Toc28359085"/>
      <w:bookmarkStart w:id="36" w:name="_Toc35393796"/>
      <w:bookmarkStart w:id="37" w:name="_Toc28359008"/>
      <w:r>
        <w:rPr>
          <w:rFonts w:hint="eastAsia" w:ascii="黑体" w:hAnsi="黑体" w:cs="宋体"/>
          <w:color w:val="auto"/>
          <w:sz w:val="24"/>
          <w:szCs w:val="28"/>
          <w:highlight w:val="none"/>
        </w:rPr>
        <w:t>七、对本次采购提出询问、质疑、投诉，请按以下方式联系。</w:t>
      </w:r>
      <w:bookmarkEnd w:id="34"/>
      <w:bookmarkEnd w:id="35"/>
      <w:bookmarkEnd w:id="36"/>
      <w:bookmarkEnd w:id="37"/>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ascii="仿宋" w:hAnsi="仿宋" w:eastAsia="仿宋" w:cs="宋体"/>
          <w:color w:val="auto"/>
          <w:sz w:val="24"/>
          <w:szCs w:val="28"/>
          <w:highlight w:val="none"/>
        </w:rPr>
      </w:pPr>
      <w:r>
        <w:rPr>
          <w:rFonts w:ascii="仿宋" w:hAnsi="仿宋" w:eastAsia="仿宋" w:cs="宋体"/>
          <w:color w:val="auto"/>
          <w:sz w:val="24"/>
          <w:szCs w:val="28"/>
          <w:highlight w:val="none"/>
        </w:rPr>
        <w:t>1.采购人信息</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eastAsia" w:ascii="仿宋" w:hAnsi="仿宋" w:eastAsia="仿宋" w:cs="宋体"/>
          <w:color w:val="auto"/>
          <w:sz w:val="24"/>
          <w:szCs w:val="28"/>
          <w:highlight w:val="none"/>
          <w:lang w:eastAsia="zh-CN"/>
        </w:rPr>
      </w:pPr>
      <w:r>
        <w:rPr>
          <w:rFonts w:ascii="仿宋" w:hAnsi="仿宋" w:eastAsia="仿宋" w:cs="宋体"/>
          <w:color w:val="auto"/>
          <w:sz w:val="24"/>
          <w:szCs w:val="28"/>
          <w:highlight w:val="none"/>
        </w:rPr>
        <w:t>名称：</w:t>
      </w:r>
      <w:r>
        <w:rPr>
          <w:rFonts w:hint="eastAsia" w:ascii="仿宋" w:hAnsi="仿宋" w:eastAsia="仿宋"/>
          <w:color w:val="auto"/>
          <w:sz w:val="24"/>
          <w:szCs w:val="28"/>
          <w:highlight w:val="none"/>
          <w:lang w:eastAsia="zh-CN"/>
        </w:rPr>
        <w:t>绍兴市柯桥区湖塘街道办事处</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ascii="仿宋" w:hAnsi="仿宋" w:eastAsia="仿宋" w:cs="宋体"/>
          <w:color w:val="auto"/>
          <w:sz w:val="24"/>
          <w:szCs w:val="28"/>
          <w:highlight w:val="none"/>
        </w:rPr>
      </w:pPr>
      <w:r>
        <w:rPr>
          <w:rFonts w:ascii="仿宋" w:hAnsi="仿宋" w:eastAsia="仿宋" w:cs="宋体"/>
          <w:color w:val="auto"/>
          <w:sz w:val="24"/>
          <w:szCs w:val="28"/>
          <w:highlight w:val="none"/>
        </w:rPr>
        <w:t>地址：绍兴市柯桥区湖塘街道湖塘村新生388号</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eastAsia" w:ascii="仿宋" w:hAnsi="仿宋" w:eastAsia="仿宋" w:cs="宋体"/>
          <w:color w:val="auto"/>
          <w:sz w:val="24"/>
          <w:szCs w:val="28"/>
          <w:highlight w:val="none"/>
          <w:lang w:eastAsia="zh-CN"/>
        </w:rPr>
      </w:pPr>
      <w:r>
        <w:rPr>
          <w:rFonts w:ascii="仿宋" w:hAnsi="仿宋" w:eastAsia="仿宋" w:cs="宋体"/>
          <w:color w:val="auto"/>
          <w:sz w:val="24"/>
          <w:szCs w:val="28"/>
          <w:highlight w:val="none"/>
        </w:rPr>
        <w:t>传真：</w:t>
      </w:r>
      <w:r>
        <w:rPr>
          <w:rFonts w:hint="eastAsia" w:ascii="仿宋" w:hAnsi="仿宋" w:eastAsia="仿宋"/>
          <w:color w:val="auto"/>
          <w:sz w:val="24"/>
          <w:szCs w:val="28"/>
          <w:highlight w:val="none"/>
          <w:lang w:val="en-US" w:eastAsia="zh-CN"/>
        </w:rPr>
        <w:t>/</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eastAsia" w:ascii="仿宋" w:hAnsi="仿宋" w:eastAsia="仿宋" w:cs="宋体"/>
          <w:color w:val="auto"/>
          <w:sz w:val="24"/>
          <w:szCs w:val="28"/>
          <w:highlight w:val="none"/>
          <w:lang w:eastAsia="zh-CN"/>
        </w:rPr>
      </w:pPr>
      <w:r>
        <w:rPr>
          <w:rFonts w:ascii="仿宋" w:hAnsi="仿宋" w:eastAsia="仿宋" w:cs="宋体"/>
          <w:color w:val="auto"/>
          <w:sz w:val="24"/>
          <w:szCs w:val="28"/>
          <w:highlight w:val="none"/>
        </w:rPr>
        <w:t>项目联系人（询问）：</w:t>
      </w:r>
      <w:r>
        <w:rPr>
          <w:rFonts w:hint="eastAsia" w:ascii="仿宋" w:hAnsi="仿宋" w:eastAsia="仿宋"/>
          <w:color w:val="auto"/>
          <w:sz w:val="24"/>
          <w:szCs w:val="28"/>
          <w:highlight w:val="none"/>
          <w:lang w:eastAsia="zh-CN"/>
        </w:rPr>
        <w:t>丁彦</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default" w:ascii="仿宋" w:hAnsi="仿宋" w:eastAsia="仿宋" w:cs="宋体"/>
          <w:color w:val="auto"/>
          <w:sz w:val="24"/>
          <w:szCs w:val="28"/>
          <w:highlight w:val="none"/>
          <w:lang w:val="en-US" w:eastAsia="zh-CN"/>
        </w:rPr>
      </w:pPr>
      <w:r>
        <w:rPr>
          <w:rFonts w:ascii="仿宋" w:hAnsi="仿宋" w:eastAsia="仿宋" w:cs="宋体"/>
          <w:color w:val="auto"/>
          <w:sz w:val="24"/>
          <w:szCs w:val="28"/>
          <w:highlight w:val="none"/>
        </w:rPr>
        <w:t>项目联系方式（询问）：</w:t>
      </w:r>
      <w:r>
        <w:rPr>
          <w:rFonts w:hint="eastAsia" w:ascii="仿宋" w:hAnsi="仿宋" w:eastAsia="仿宋"/>
          <w:color w:val="auto"/>
          <w:sz w:val="24"/>
          <w:szCs w:val="28"/>
          <w:highlight w:val="none"/>
          <w:lang w:val="en-US" w:eastAsia="zh-CN"/>
        </w:rPr>
        <w:t>0575-84385036</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ascii="仿宋" w:hAnsi="仿宋" w:eastAsia="仿宋" w:cs="宋体"/>
          <w:color w:val="auto"/>
          <w:sz w:val="24"/>
          <w:szCs w:val="28"/>
          <w:highlight w:val="none"/>
        </w:rPr>
      </w:pPr>
      <w:r>
        <w:rPr>
          <w:rFonts w:ascii="仿宋" w:hAnsi="仿宋" w:eastAsia="仿宋" w:cs="宋体"/>
          <w:color w:val="auto"/>
          <w:sz w:val="24"/>
          <w:szCs w:val="28"/>
          <w:highlight w:val="none"/>
        </w:rPr>
        <w:t>质疑联系人：胡世文</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eastAsia" w:ascii="仿宋" w:hAnsi="仿宋" w:eastAsia="仿宋"/>
          <w:color w:val="auto"/>
          <w:sz w:val="24"/>
          <w:szCs w:val="28"/>
          <w:highlight w:val="none"/>
        </w:rPr>
      </w:pPr>
      <w:r>
        <w:rPr>
          <w:rFonts w:ascii="仿宋" w:hAnsi="仿宋" w:eastAsia="仿宋" w:cs="宋体"/>
          <w:color w:val="auto"/>
          <w:sz w:val="24"/>
          <w:szCs w:val="28"/>
          <w:highlight w:val="none"/>
        </w:rPr>
        <w:t>质疑联系方式：0575-84133883</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ascii="仿宋" w:hAnsi="仿宋" w:eastAsia="仿宋" w:cs="宋体"/>
          <w:color w:val="auto"/>
          <w:sz w:val="24"/>
          <w:szCs w:val="28"/>
          <w:highlight w:val="none"/>
        </w:rPr>
      </w:pPr>
      <w:r>
        <w:rPr>
          <w:rFonts w:hint="eastAsia" w:ascii="仿宋" w:hAnsi="仿宋" w:eastAsia="仿宋" w:cs="仿宋"/>
          <w:color w:val="auto"/>
          <w:sz w:val="24"/>
          <w:szCs w:val="28"/>
          <w:highlight w:val="none"/>
        </w:rPr>
        <w:t>2.</w:t>
      </w:r>
      <w:r>
        <w:rPr>
          <w:rFonts w:ascii="仿宋" w:hAnsi="仿宋" w:eastAsia="仿宋" w:cs="宋体"/>
          <w:color w:val="auto"/>
          <w:sz w:val="24"/>
          <w:szCs w:val="28"/>
          <w:highlight w:val="none"/>
        </w:rPr>
        <w:t>采购代理机构信息</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eastAsia" w:ascii="仿宋" w:hAnsi="仿宋" w:eastAsia="仿宋" w:cs="宋体"/>
          <w:color w:val="auto"/>
          <w:sz w:val="24"/>
          <w:szCs w:val="28"/>
          <w:highlight w:val="none"/>
          <w:lang w:eastAsia="zh-CN"/>
        </w:rPr>
      </w:pPr>
      <w:r>
        <w:rPr>
          <w:rFonts w:ascii="仿宋" w:hAnsi="仿宋" w:eastAsia="仿宋" w:cs="宋体"/>
          <w:color w:val="auto"/>
          <w:sz w:val="24"/>
          <w:szCs w:val="28"/>
          <w:highlight w:val="none"/>
        </w:rPr>
        <w:t>名称：</w:t>
      </w:r>
      <w:r>
        <w:rPr>
          <w:rFonts w:hint="eastAsia" w:ascii="仿宋" w:hAnsi="仿宋" w:eastAsia="仿宋"/>
          <w:color w:val="auto"/>
          <w:sz w:val="24"/>
          <w:szCs w:val="28"/>
          <w:highlight w:val="none"/>
          <w:lang w:eastAsia="zh-CN"/>
        </w:rPr>
        <w:t>华诚工程咨询集团有限公司</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default" w:ascii="仿宋" w:hAnsi="仿宋" w:eastAsia="仿宋" w:cs="宋体"/>
          <w:color w:val="auto"/>
          <w:sz w:val="24"/>
          <w:szCs w:val="28"/>
          <w:highlight w:val="none"/>
          <w:lang w:val="en-US" w:eastAsia="zh-CN"/>
        </w:rPr>
      </w:pPr>
      <w:r>
        <w:rPr>
          <w:rFonts w:ascii="仿宋" w:hAnsi="仿宋" w:eastAsia="仿宋" w:cs="宋体"/>
          <w:color w:val="auto"/>
          <w:sz w:val="24"/>
          <w:szCs w:val="28"/>
          <w:highlight w:val="none"/>
        </w:rPr>
        <w:t>地址：</w:t>
      </w:r>
      <w:r>
        <w:rPr>
          <w:rFonts w:hint="eastAsia" w:ascii="仿宋" w:hAnsi="仿宋" w:eastAsia="仿宋"/>
          <w:color w:val="auto"/>
          <w:sz w:val="24"/>
          <w:szCs w:val="28"/>
          <w:highlight w:val="none"/>
          <w:lang w:eastAsia="zh-CN"/>
        </w:rPr>
        <w:t>绍兴市柯桥区金地商业二期</w:t>
      </w:r>
      <w:r>
        <w:rPr>
          <w:rFonts w:hint="eastAsia" w:ascii="仿宋" w:hAnsi="仿宋" w:eastAsia="仿宋"/>
          <w:color w:val="auto"/>
          <w:sz w:val="24"/>
          <w:szCs w:val="28"/>
          <w:highlight w:val="none"/>
          <w:lang w:val="en-US" w:eastAsia="zh-CN"/>
        </w:rPr>
        <w:t>17幢21楼</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default" w:ascii="仿宋" w:hAnsi="仿宋" w:eastAsia="仿宋" w:cs="宋体"/>
          <w:color w:val="auto"/>
          <w:sz w:val="24"/>
          <w:szCs w:val="28"/>
          <w:highlight w:val="none"/>
          <w:lang w:val="en-US" w:eastAsia="zh-CN"/>
        </w:rPr>
      </w:pPr>
      <w:r>
        <w:rPr>
          <w:rFonts w:ascii="仿宋" w:hAnsi="仿宋" w:eastAsia="仿宋" w:cs="宋体"/>
          <w:color w:val="auto"/>
          <w:sz w:val="24"/>
          <w:szCs w:val="28"/>
          <w:highlight w:val="none"/>
        </w:rPr>
        <w:t>传真：</w:t>
      </w:r>
      <w:r>
        <w:rPr>
          <w:rFonts w:hint="eastAsia" w:ascii="仿宋" w:hAnsi="仿宋" w:eastAsia="仿宋"/>
          <w:color w:val="auto"/>
          <w:sz w:val="24"/>
          <w:szCs w:val="28"/>
          <w:highlight w:val="none"/>
          <w:lang w:val="en-US" w:eastAsia="zh-CN"/>
        </w:rPr>
        <w:t>0575-85292260</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eastAsia" w:ascii="仿宋" w:hAnsi="仿宋" w:eastAsia="仿宋" w:cs="宋体"/>
          <w:color w:val="auto"/>
          <w:sz w:val="24"/>
          <w:szCs w:val="28"/>
          <w:highlight w:val="none"/>
          <w:lang w:eastAsia="zh-CN"/>
        </w:rPr>
      </w:pPr>
      <w:r>
        <w:rPr>
          <w:rFonts w:ascii="仿宋" w:hAnsi="仿宋" w:eastAsia="仿宋" w:cs="宋体"/>
          <w:color w:val="auto"/>
          <w:sz w:val="24"/>
          <w:szCs w:val="28"/>
          <w:highlight w:val="none"/>
        </w:rPr>
        <w:t>项目联系人（询问）：</w:t>
      </w:r>
      <w:r>
        <w:rPr>
          <w:rFonts w:hint="eastAsia" w:ascii="仿宋" w:hAnsi="仿宋" w:eastAsia="仿宋"/>
          <w:color w:val="auto"/>
          <w:sz w:val="24"/>
          <w:szCs w:val="28"/>
          <w:highlight w:val="none"/>
          <w:lang w:eastAsia="zh-CN"/>
        </w:rPr>
        <w:t>李世民</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default" w:ascii="仿宋" w:hAnsi="仿宋" w:eastAsia="仿宋" w:cs="宋体"/>
          <w:color w:val="auto"/>
          <w:sz w:val="24"/>
          <w:szCs w:val="28"/>
          <w:highlight w:val="none"/>
          <w:lang w:val="en-US" w:eastAsia="zh-CN"/>
        </w:rPr>
      </w:pPr>
      <w:r>
        <w:rPr>
          <w:rFonts w:ascii="仿宋" w:hAnsi="仿宋" w:eastAsia="仿宋" w:cs="宋体"/>
          <w:color w:val="auto"/>
          <w:sz w:val="24"/>
          <w:szCs w:val="28"/>
          <w:highlight w:val="none"/>
        </w:rPr>
        <w:t>项目联系方式（询问）：</w:t>
      </w:r>
      <w:r>
        <w:rPr>
          <w:rFonts w:hint="eastAsia" w:ascii="仿宋" w:hAnsi="仿宋" w:eastAsia="仿宋"/>
          <w:color w:val="auto"/>
          <w:sz w:val="24"/>
          <w:szCs w:val="28"/>
          <w:highlight w:val="none"/>
          <w:lang w:val="en-US" w:eastAsia="zh-CN"/>
        </w:rPr>
        <w:t>18257557838</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eastAsia" w:ascii="仿宋" w:hAnsi="仿宋" w:eastAsia="仿宋" w:cs="宋体"/>
          <w:color w:val="auto"/>
          <w:sz w:val="24"/>
          <w:szCs w:val="28"/>
          <w:highlight w:val="none"/>
          <w:lang w:eastAsia="zh-CN"/>
        </w:rPr>
      </w:pPr>
      <w:r>
        <w:rPr>
          <w:rFonts w:ascii="仿宋" w:hAnsi="仿宋" w:eastAsia="仿宋" w:cs="宋体"/>
          <w:color w:val="auto"/>
          <w:sz w:val="24"/>
          <w:szCs w:val="28"/>
          <w:highlight w:val="none"/>
        </w:rPr>
        <w:t>质疑联系人：</w:t>
      </w:r>
      <w:r>
        <w:rPr>
          <w:rFonts w:hint="eastAsia" w:ascii="仿宋" w:hAnsi="仿宋" w:eastAsia="仿宋"/>
          <w:color w:val="auto"/>
          <w:sz w:val="24"/>
          <w:szCs w:val="28"/>
          <w:highlight w:val="none"/>
          <w:lang w:eastAsia="zh-CN"/>
        </w:rPr>
        <w:t>钱观火</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hint="default" w:ascii="仿宋" w:hAnsi="仿宋" w:eastAsia="仿宋" w:cs="宋体"/>
          <w:color w:val="auto"/>
          <w:sz w:val="24"/>
          <w:szCs w:val="28"/>
          <w:highlight w:val="none"/>
          <w:lang w:val="en-US" w:eastAsia="zh-CN"/>
        </w:rPr>
      </w:pPr>
      <w:r>
        <w:rPr>
          <w:rFonts w:ascii="仿宋" w:hAnsi="仿宋" w:eastAsia="仿宋" w:cs="宋体"/>
          <w:color w:val="auto"/>
          <w:sz w:val="24"/>
          <w:szCs w:val="28"/>
          <w:highlight w:val="none"/>
        </w:rPr>
        <w:t>质疑联系方式：</w:t>
      </w:r>
      <w:r>
        <w:rPr>
          <w:rFonts w:hint="eastAsia" w:ascii="仿宋" w:hAnsi="仿宋" w:eastAsia="仿宋"/>
          <w:color w:val="auto"/>
          <w:sz w:val="24"/>
          <w:szCs w:val="28"/>
          <w:highlight w:val="none"/>
          <w:lang w:val="en-US" w:eastAsia="zh-CN"/>
        </w:rPr>
        <w:t>15267852140</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ascii="仿宋" w:hAnsi="仿宋" w:eastAsia="仿宋" w:cs="宋体"/>
          <w:color w:val="auto"/>
          <w:sz w:val="24"/>
          <w:szCs w:val="28"/>
          <w:highlight w:val="none"/>
        </w:rPr>
      </w:pPr>
      <w:r>
        <w:rPr>
          <w:rFonts w:hint="eastAsia" w:ascii="仿宋" w:hAnsi="仿宋" w:eastAsia="仿宋" w:cs="仿宋"/>
          <w:color w:val="auto"/>
          <w:sz w:val="24"/>
          <w:szCs w:val="28"/>
          <w:highlight w:val="none"/>
        </w:rPr>
        <w:t>3.</w:t>
      </w:r>
      <w:r>
        <w:rPr>
          <w:rFonts w:ascii="仿宋" w:hAnsi="仿宋" w:eastAsia="仿宋" w:cs="宋体"/>
          <w:color w:val="auto"/>
          <w:sz w:val="24"/>
          <w:szCs w:val="28"/>
          <w:highlight w:val="none"/>
        </w:rPr>
        <w:t xml:space="preserve">同级政府采购监督管理部门 </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ascii="仿宋" w:hAnsi="仿宋" w:eastAsia="仿宋" w:cs="宋体"/>
          <w:color w:val="auto"/>
          <w:sz w:val="24"/>
          <w:szCs w:val="28"/>
          <w:highlight w:val="none"/>
        </w:rPr>
      </w:pPr>
      <w:r>
        <w:rPr>
          <w:rFonts w:ascii="仿宋" w:hAnsi="仿宋" w:eastAsia="仿宋" w:cs="宋体"/>
          <w:color w:val="auto"/>
          <w:sz w:val="24"/>
          <w:szCs w:val="28"/>
          <w:highlight w:val="none"/>
        </w:rPr>
        <w:t>名称：</w:t>
      </w:r>
      <w:r>
        <w:rPr>
          <w:rFonts w:ascii="仿宋" w:hAnsi="仿宋" w:eastAsia="仿宋" w:cs="宋体"/>
          <w:snapToGrid w:val="0"/>
          <w:color w:val="auto"/>
          <w:kern w:val="0"/>
          <w:sz w:val="24"/>
          <w:szCs w:val="28"/>
          <w:highlight w:val="none"/>
        </w:rPr>
        <w:t>绍兴市柯桥区财政局</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ascii="仿宋" w:hAnsi="仿宋" w:eastAsia="仿宋" w:cs="宋体"/>
          <w:color w:val="auto"/>
          <w:sz w:val="24"/>
          <w:szCs w:val="28"/>
          <w:highlight w:val="none"/>
        </w:rPr>
      </w:pPr>
      <w:r>
        <w:rPr>
          <w:rFonts w:ascii="仿宋" w:hAnsi="仿宋" w:eastAsia="仿宋" w:cs="宋体"/>
          <w:color w:val="auto"/>
          <w:sz w:val="24"/>
          <w:szCs w:val="28"/>
          <w:highlight w:val="none"/>
        </w:rPr>
        <w:t>地址：</w:t>
      </w:r>
      <w:r>
        <w:rPr>
          <w:rFonts w:hint="eastAsia" w:ascii="仿宋" w:hAnsi="仿宋" w:eastAsia="仿宋"/>
          <w:color w:val="auto"/>
          <w:sz w:val="24"/>
          <w:highlight w:val="none"/>
        </w:rPr>
        <w:t>绍兴市</w:t>
      </w:r>
      <w:r>
        <w:rPr>
          <w:rFonts w:ascii="仿宋" w:hAnsi="仿宋" w:eastAsia="仿宋"/>
          <w:color w:val="auto"/>
          <w:sz w:val="24"/>
          <w:highlight w:val="none"/>
        </w:rPr>
        <w:t>柯桥区育才路财税大楼</w:t>
      </w:r>
    </w:p>
    <w:p>
      <w:pPr>
        <w:keepNext w:val="0"/>
        <w:keepLines w:val="0"/>
        <w:pageBreakBefore w:val="0"/>
        <w:widowControl/>
        <w:kinsoku/>
        <w:wordWrap/>
        <w:overflowPunct/>
        <w:topLinePunct w:val="0"/>
        <w:autoSpaceDE/>
        <w:autoSpaceDN/>
        <w:bidi w:val="0"/>
        <w:snapToGrid/>
        <w:spacing w:line="360" w:lineRule="auto"/>
        <w:ind w:firstLine="480" w:firstLineChars="200"/>
        <w:jc w:val="left"/>
        <w:textAlignment w:val="auto"/>
        <w:rPr>
          <w:rFonts w:ascii="仿宋" w:hAnsi="仿宋" w:eastAsia="仿宋" w:cs="宋体"/>
          <w:color w:val="auto"/>
          <w:sz w:val="24"/>
          <w:szCs w:val="28"/>
          <w:highlight w:val="none"/>
        </w:rPr>
      </w:pPr>
      <w:r>
        <w:rPr>
          <w:rFonts w:ascii="仿宋" w:hAnsi="仿宋" w:eastAsia="仿宋" w:cs="宋体"/>
          <w:color w:val="auto"/>
          <w:sz w:val="24"/>
          <w:szCs w:val="28"/>
          <w:highlight w:val="none"/>
        </w:rPr>
        <w:t>传真：</w:t>
      </w:r>
      <w:r>
        <w:rPr>
          <w:rFonts w:ascii="仿宋" w:hAnsi="仿宋" w:eastAsia="仿宋" w:cs="宋体"/>
          <w:snapToGrid w:val="0"/>
          <w:color w:val="auto"/>
          <w:kern w:val="0"/>
          <w:sz w:val="24"/>
          <w:szCs w:val="28"/>
          <w:highlight w:val="none"/>
        </w:rPr>
        <w:t>/</w:t>
      </w:r>
      <w:r>
        <w:rPr>
          <w:rFonts w:hint="eastAsia" w:ascii="宋体" w:hAnsi="宋体" w:cs="宋体"/>
          <w:color w:val="auto"/>
          <w:sz w:val="24"/>
          <w:szCs w:val="28"/>
          <w:highlight w:val="none"/>
        </w:rPr>
        <w:t> </w:t>
      </w:r>
    </w:p>
    <w:p>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宋体"/>
          <w:color w:val="auto"/>
          <w:sz w:val="24"/>
          <w:szCs w:val="28"/>
          <w:highlight w:val="none"/>
        </w:rPr>
      </w:pPr>
      <w:r>
        <w:rPr>
          <w:rFonts w:ascii="仿宋" w:hAnsi="仿宋" w:eastAsia="仿宋" w:cs="宋体"/>
          <w:color w:val="auto"/>
          <w:sz w:val="24"/>
          <w:szCs w:val="28"/>
          <w:highlight w:val="none"/>
        </w:rPr>
        <w:t>联系人：</w:t>
      </w:r>
      <w:r>
        <w:rPr>
          <w:rFonts w:hint="eastAsia" w:ascii="仿宋" w:hAnsi="仿宋" w:eastAsia="仿宋" w:cs="宋体"/>
          <w:snapToGrid w:val="0"/>
          <w:color w:val="auto"/>
          <w:kern w:val="0"/>
          <w:sz w:val="24"/>
          <w:szCs w:val="28"/>
          <w:highlight w:val="none"/>
        </w:rPr>
        <w:t>郭乐乐</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宋体"/>
          <w:snapToGrid w:val="0"/>
          <w:color w:val="auto"/>
          <w:kern w:val="0"/>
          <w:sz w:val="24"/>
          <w:szCs w:val="28"/>
          <w:highlight w:val="none"/>
        </w:rPr>
      </w:pPr>
      <w:r>
        <w:rPr>
          <w:rFonts w:ascii="仿宋" w:hAnsi="仿宋" w:eastAsia="仿宋" w:cs="宋体"/>
          <w:color w:val="auto"/>
          <w:sz w:val="24"/>
          <w:szCs w:val="28"/>
          <w:highlight w:val="none"/>
        </w:rPr>
        <w:t>监督投诉电话：</w:t>
      </w:r>
      <w:r>
        <w:rPr>
          <w:rFonts w:hint="eastAsia" w:ascii="仿宋" w:hAnsi="仿宋" w:eastAsia="仿宋" w:cs="宋体"/>
          <w:color w:val="auto"/>
          <w:sz w:val="24"/>
          <w:szCs w:val="28"/>
          <w:highlight w:val="none"/>
        </w:rPr>
        <w:t>0575-81162719</w:t>
      </w:r>
      <w:r>
        <w:rPr>
          <w:rFonts w:hint="eastAsia" w:ascii="仿宋" w:hAnsi="仿宋" w:eastAsia="仿宋" w:cs="宋体"/>
          <w:snapToGrid w:val="0"/>
          <w:color w:val="auto"/>
          <w:kern w:val="0"/>
          <w:sz w:val="24"/>
          <w:szCs w:val="28"/>
          <w:highlight w:val="none"/>
        </w:rPr>
        <w:t xml:space="preserve"> </w:t>
      </w:r>
    </w:p>
    <w:p>
      <w:pPr>
        <w:spacing w:line="360" w:lineRule="auto"/>
        <w:jc w:val="left"/>
        <w:rPr>
          <w:rFonts w:ascii="仿宋" w:hAnsi="仿宋" w:eastAsia="仿宋"/>
          <w:color w:val="auto"/>
          <w:sz w:val="24"/>
          <w:szCs w:val="28"/>
          <w:highlight w:val="none"/>
          <w:u w:val="single"/>
        </w:rPr>
      </w:pPr>
    </w:p>
    <w:p>
      <w:pPr>
        <w:widowControl/>
        <w:adjustRightInd/>
        <w:ind w:firstLine="420" w:firstLineChars="200"/>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若对项目采购电子交易系统操作有疑问，可登录政采云（https://www.zcygov.cn/），点击右侧咨询小采，获取采小蜜智能服务管家帮助，或拨打政采云服务热线400-881-7190获取热线服务帮助。       </w:t>
      </w:r>
    </w:p>
    <w:p>
      <w:pPr>
        <w:widowControl/>
        <w:adjustRightInd/>
        <w:ind w:firstLine="420" w:firstLineChars="200"/>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CA问题联系电话（人工）：汇信CA 400-888-4636；天谷CA 400-087-8198。</w:t>
      </w:r>
    </w:p>
    <w:p>
      <w:pPr>
        <w:pStyle w:val="56"/>
        <w:jc w:val="both"/>
        <w:rPr>
          <w:rFonts w:hint="eastAsia"/>
          <w:color w:val="auto"/>
          <w:highlight w:val="none"/>
          <w:lang w:val="en-US"/>
        </w:rPr>
      </w:pPr>
    </w:p>
    <w:p>
      <w:pPr>
        <w:adjustRightInd/>
        <w:spacing w:line="360" w:lineRule="auto"/>
        <w:jc w:val="center"/>
        <w:outlineLvl w:val="0"/>
        <w:rPr>
          <w:rFonts w:hint="eastAsia" w:ascii="仿宋" w:hAnsi="仿宋" w:eastAsia="仿宋" w:cs="仿宋_GB2312"/>
          <w:b/>
          <w:color w:val="auto"/>
          <w:sz w:val="36"/>
          <w:szCs w:val="20"/>
          <w:highlight w:val="none"/>
        </w:rPr>
      </w:pPr>
      <w:r>
        <w:rPr>
          <w:rFonts w:ascii="仿宋" w:hAnsi="仿宋" w:eastAsia="仿宋" w:cs="仿宋_GB2312"/>
          <w:b/>
          <w:color w:val="auto"/>
          <w:sz w:val="36"/>
          <w:szCs w:val="20"/>
          <w:highlight w:val="none"/>
        </w:rPr>
        <w:br w:type="page"/>
      </w:r>
      <w:r>
        <w:rPr>
          <w:rFonts w:hint="eastAsia" w:ascii="仿宋" w:hAnsi="仿宋" w:eastAsia="仿宋" w:cs="仿宋_GB2312"/>
          <w:b/>
          <w:color w:val="auto"/>
          <w:sz w:val="36"/>
          <w:szCs w:val="20"/>
          <w:highlight w:val="none"/>
        </w:rPr>
        <w:t>第二部分</w:t>
      </w:r>
      <w:bookmarkEnd w:id="8"/>
      <w:r>
        <w:rPr>
          <w:rFonts w:hint="eastAsia" w:ascii="仿宋" w:hAnsi="仿宋" w:eastAsia="仿宋" w:cs="仿宋_GB2312"/>
          <w:b/>
          <w:color w:val="auto"/>
          <w:sz w:val="36"/>
          <w:szCs w:val="20"/>
          <w:highlight w:val="none"/>
        </w:rPr>
        <w:t xml:space="preserve"> 投标人须知</w:t>
      </w:r>
      <w:bookmarkEnd w:id="9"/>
    </w:p>
    <w:p>
      <w:pPr>
        <w:snapToGrid w:val="0"/>
        <w:spacing w:line="360" w:lineRule="auto"/>
        <w:jc w:val="center"/>
        <w:rPr>
          <w:rFonts w:hint="eastAsia"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60"/>
        <w:tblW w:w="830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0"/>
        <w:gridCol w:w="1816"/>
        <w:gridCol w:w="58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序号</w:t>
            </w:r>
          </w:p>
        </w:tc>
        <w:tc>
          <w:tcPr>
            <w:tcW w:w="1816"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事项</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w:t>
            </w:r>
          </w:p>
        </w:tc>
        <w:tc>
          <w:tcPr>
            <w:tcW w:w="1816"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报价要求</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jc w:val="left"/>
              <w:rPr>
                <w:rFonts w:hint="eastAsia" w:ascii="仿宋" w:hAnsi="仿宋" w:eastAsia="仿宋"/>
                <w:color w:val="auto"/>
                <w:sz w:val="24"/>
                <w:szCs w:val="28"/>
                <w:highlight w:val="none"/>
              </w:rPr>
            </w:pPr>
            <w:r>
              <w:rPr>
                <w:rFonts w:hint="eastAsia" w:ascii="仿宋" w:hAnsi="仿宋" w:eastAsia="仿宋"/>
                <w:color w:val="auto"/>
                <w:sz w:val="24"/>
                <w:szCs w:val="28"/>
                <w:highlight w:val="none"/>
              </w:rPr>
              <w:t>有关本项目开展所需的</w:t>
            </w:r>
            <w:r>
              <w:rPr>
                <w:rFonts w:hint="eastAsia" w:ascii="仿宋" w:hAnsi="仿宋" w:eastAsia="仿宋"/>
                <w:color w:val="auto"/>
                <w:sz w:val="24"/>
                <w:szCs w:val="28"/>
                <w:highlight w:val="none"/>
                <w:u w:val="single"/>
              </w:rPr>
              <w:t>垃圾运输、车辆设备修理养护、油费、年检、事故赔偿、</w:t>
            </w:r>
            <w:r>
              <w:rPr>
                <w:rFonts w:hint="eastAsia" w:ascii="仿宋" w:hAnsi="仿宋" w:eastAsia="仿宋"/>
                <w:color w:val="auto"/>
                <w:sz w:val="24"/>
                <w:szCs w:val="28"/>
                <w:highlight w:val="none"/>
                <w:u w:val="single"/>
                <w:lang w:val="en-US" w:eastAsia="zh-CN"/>
              </w:rPr>
              <w:t>GPS定位安装费用、</w:t>
            </w:r>
            <w:r>
              <w:rPr>
                <w:rFonts w:hint="eastAsia" w:ascii="仿宋" w:hAnsi="仿宋" w:eastAsia="仿宋"/>
                <w:color w:val="auto"/>
                <w:sz w:val="24"/>
                <w:szCs w:val="28"/>
                <w:highlight w:val="none"/>
                <w:u w:val="single"/>
              </w:rPr>
              <w:t>人员工资（含福利、保险、津贴、住宿、伙食、过节、加班、年终奖金等）、培训费用、制服及劳保用品费用、办公费、工具、利润、税金、保险及不可预见费用</w:t>
            </w:r>
            <w:r>
              <w:rPr>
                <w:rFonts w:hint="eastAsia" w:ascii="仿宋" w:hAnsi="仿宋" w:eastAsia="仿宋"/>
                <w:color w:val="auto"/>
                <w:sz w:val="24"/>
                <w:szCs w:val="28"/>
                <w:highlight w:val="none"/>
              </w:rPr>
              <w:t>等费用均计入报价。《投标（开标）一览表》是报价的唯一载体。投标文件中价格全部采用人民币报价。招标文件未列明，而投标人认为必需的费用也需列入报价。</w:t>
            </w:r>
          </w:p>
          <w:p>
            <w:pPr>
              <w:snapToGrid w:val="0"/>
              <w:spacing w:line="240" w:lineRule="auto"/>
              <w:jc w:val="left"/>
              <w:rPr>
                <w:rFonts w:hint="eastAsia"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投标报价出现下列情形的，投标无效：</w:t>
            </w:r>
          </w:p>
          <w:p>
            <w:pPr>
              <w:snapToGrid w:val="0"/>
              <w:spacing w:line="240" w:lineRule="auto"/>
              <w:jc w:val="left"/>
              <w:rPr>
                <w:rFonts w:hint="eastAsia" w:ascii="仿宋" w:hAnsi="仿宋" w:eastAsia="仿宋" w:cs="仿宋_GB2312"/>
                <w:b/>
                <w:color w:val="auto"/>
                <w:kern w:val="0"/>
                <w:sz w:val="24"/>
                <w:highlight w:val="none"/>
                <w:lang w:val="zh-CN"/>
              </w:rPr>
            </w:pPr>
            <w:r>
              <w:rPr>
                <w:rFonts w:hint="eastAsia" w:ascii="仿宋" w:hAnsi="仿宋" w:eastAsia="仿宋"/>
                <w:b/>
                <w:color w:val="auto"/>
                <w:sz w:val="24"/>
                <w:highlight w:val="none"/>
              </w:rPr>
              <w:t>▲</w:t>
            </w:r>
            <w:r>
              <w:rPr>
                <w:rFonts w:hint="eastAsia" w:ascii="仿宋" w:hAnsi="仿宋" w:eastAsia="仿宋" w:cs="仿宋_GB2312"/>
                <w:b/>
                <w:color w:val="auto"/>
                <w:kern w:val="0"/>
                <w:sz w:val="24"/>
                <w:highlight w:val="none"/>
                <w:lang w:val="zh-CN"/>
              </w:rPr>
              <w:t>投标文件出现不是唯一的、有选择性投标报价的；</w:t>
            </w:r>
          </w:p>
          <w:p>
            <w:pPr>
              <w:snapToGrid w:val="0"/>
              <w:spacing w:line="240" w:lineRule="auto"/>
              <w:jc w:val="left"/>
              <w:rPr>
                <w:rFonts w:hint="eastAsia" w:ascii="仿宋" w:hAnsi="仿宋" w:eastAsia="仿宋" w:cs="仿宋_GB2312"/>
                <w:color w:val="auto"/>
                <w:kern w:val="0"/>
                <w:sz w:val="24"/>
                <w:highlight w:val="none"/>
                <w:lang w:val="zh-CN"/>
              </w:rPr>
            </w:pPr>
            <w:r>
              <w:rPr>
                <w:rFonts w:hint="eastAsia" w:ascii="仿宋" w:hAnsi="仿宋" w:eastAsia="仿宋"/>
                <w:b/>
                <w:color w:val="auto"/>
                <w:sz w:val="24"/>
                <w:highlight w:val="none"/>
              </w:rPr>
              <w:t>▲</w:t>
            </w:r>
            <w:r>
              <w:rPr>
                <w:rFonts w:hint="eastAsia" w:ascii="仿宋" w:hAnsi="仿宋" w:eastAsia="仿宋" w:cs="仿宋_GB2312"/>
                <w:b/>
                <w:color w:val="auto"/>
                <w:sz w:val="24"/>
                <w:highlight w:val="none"/>
              </w:rPr>
              <w:t>投标报价高于本项目采购预算或者最高限价的;</w:t>
            </w:r>
          </w:p>
          <w:p>
            <w:pPr>
              <w:spacing w:line="240" w:lineRule="auto"/>
              <w:rPr>
                <w:rFonts w:hint="eastAsia" w:ascii="仿宋" w:hAnsi="仿宋" w:eastAsia="仿宋" w:cs="仿宋_GB2312"/>
                <w:b/>
                <w:color w:val="auto"/>
                <w:sz w:val="24"/>
                <w:highlight w:val="none"/>
              </w:rPr>
            </w:pPr>
            <w:r>
              <w:rPr>
                <w:rFonts w:hint="eastAsia" w:ascii="仿宋" w:hAnsi="仿宋" w:eastAsia="仿宋"/>
                <w:b/>
                <w:color w:val="auto"/>
                <w:sz w:val="24"/>
                <w:highlight w:val="none"/>
              </w:rPr>
              <w:t>▲</w:t>
            </w:r>
            <w:r>
              <w:rPr>
                <w:rFonts w:hint="eastAsia" w:ascii="仿宋" w:hAnsi="仿宋" w:eastAsia="仿宋" w:cs="Arial"/>
                <w:b/>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r>
              <w:rPr>
                <w:rFonts w:hint="eastAsia" w:ascii="仿宋" w:hAnsi="仿宋" w:eastAsia="仿宋" w:cs="仿宋_GB2312"/>
                <w:b/>
                <w:color w:val="auto"/>
                <w:sz w:val="24"/>
                <w:szCs w:val="21"/>
                <w:highlight w:val="none"/>
              </w:rPr>
              <w:t>;</w:t>
            </w:r>
          </w:p>
          <w:p>
            <w:pPr>
              <w:spacing w:line="240" w:lineRule="auto"/>
              <w:rPr>
                <w:rFonts w:hint="eastAsia" w:ascii="仿宋" w:hAnsi="仿宋" w:eastAsia="仿宋" w:cs="仿宋_GB2312"/>
                <w:color w:val="auto"/>
                <w:sz w:val="24"/>
                <w:szCs w:val="21"/>
                <w:highlight w:val="none"/>
              </w:rPr>
            </w:pPr>
            <w:r>
              <w:rPr>
                <w:rFonts w:hint="eastAsia" w:ascii="仿宋" w:hAnsi="仿宋" w:eastAsia="仿宋"/>
                <w:b/>
                <w:color w:val="auto"/>
                <w:sz w:val="24"/>
                <w:highlight w:val="none"/>
              </w:rPr>
              <w:t>▲《投标（开标）一览表》填写不完整或字迹不能辨认或有漏项的,经评标委员会认定属于重大偏差的；</w:t>
            </w:r>
          </w:p>
          <w:p>
            <w:pPr>
              <w:spacing w:line="240" w:lineRule="auto"/>
              <w:rPr>
                <w:rFonts w:hint="eastAsia" w:ascii="仿宋" w:hAnsi="仿宋" w:eastAsia="仿宋"/>
                <w:b/>
                <w:color w:val="auto"/>
                <w:sz w:val="24"/>
                <w:highlight w:val="none"/>
              </w:rPr>
            </w:pPr>
            <w:r>
              <w:rPr>
                <w:rFonts w:hint="eastAsia" w:ascii="仿宋" w:hAnsi="仿宋" w:eastAsia="仿宋" w:cs="Arial"/>
                <w:b/>
                <w:color w:val="auto"/>
                <w:kern w:val="0"/>
                <w:sz w:val="24"/>
                <w:highlight w:val="none"/>
              </w:rPr>
              <w:t>▲投标人对根据修正原则修正后的报价不确认的</w:t>
            </w:r>
            <w:r>
              <w:rPr>
                <w:rFonts w:hint="eastAsia" w:ascii="仿宋" w:hAnsi="仿宋" w:eastAsia="仿宋"/>
                <w:b/>
                <w:color w:val="auto"/>
                <w:sz w:val="24"/>
                <w:highlight w:val="none"/>
              </w:rPr>
              <w:t>。</w:t>
            </w:r>
          </w:p>
          <w:p>
            <w:pPr>
              <w:spacing w:line="240" w:lineRule="auto"/>
              <w:rPr>
                <w:rFonts w:hint="eastAsia" w:ascii="仿宋" w:hAnsi="仿宋" w:eastAsia="仿宋"/>
                <w:color w:val="auto"/>
                <w:sz w:val="24"/>
                <w:highlight w:val="none"/>
              </w:rPr>
            </w:pPr>
            <w:r>
              <w:rPr>
                <w:rFonts w:hint="eastAsia" w:ascii="仿宋" w:hAnsi="仿宋" w:eastAsia="仿宋"/>
                <w:b/>
                <w:color w:val="auto"/>
                <w:sz w:val="24"/>
                <w:highlight w:val="none"/>
              </w:rPr>
              <w:t>注：人员基本工资不得低于绍兴市本年度最低工资标准的110%（浙政办发[2009]190号）（最低月工资标准2070元/月绍政发[2021]21号），（最低工资不包括下列四项收入：延长工作时间的工资；高温、低温、有毒有害等特殊工作环境、条件下的津贴；贴补伙食、住房等支付给劳动者的非货币性收入；法律、法规和国家规定的劳动者应当享受的福利待遇等）。本项目最低工资标准为每人每月2070*110%=2277元人民币。所有作业人员必须购买人身意外保险，人员发生更替时及时完善保险程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p>
        </w:tc>
        <w:tc>
          <w:tcPr>
            <w:tcW w:w="1816"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项目采购类型</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rPr>
                <w:rFonts w:hint="eastAsia" w:ascii="仿宋" w:hAnsi="仿宋" w:eastAsia="仿宋"/>
                <w:color w:val="auto"/>
                <w:sz w:val="24"/>
                <w:highlight w:val="none"/>
              </w:rPr>
            </w:pPr>
            <w:r>
              <w:rPr>
                <w:rFonts w:hint="eastAsia" w:ascii="仿宋" w:hAnsi="仿宋" w:eastAsia="仿宋"/>
                <w:color w:val="auto"/>
                <w:sz w:val="24"/>
                <w:highlight w:val="none"/>
              </w:rPr>
              <w:t>本项目为</w:t>
            </w:r>
            <w:r>
              <w:rPr>
                <w:rFonts w:hint="eastAsia" w:ascii="仿宋" w:hAnsi="仿宋" w:eastAsia="仿宋"/>
                <w:color w:val="auto"/>
                <w:sz w:val="24"/>
                <w:highlight w:val="none"/>
                <w:u w:val="single"/>
              </w:rPr>
              <w:t>服务类</w:t>
            </w:r>
            <w:r>
              <w:rPr>
                <w:rFonts w:hint="eastAsia" w:ascii="仿宋" w:hAnsi="仿宋" w:eastAsia="仿宋"/>
                <w:color w:val="auto"/>
                <w:sz w:val="24"/>
                <w:highlight w:val="none"/>
              </w:rPr>
              <w:t>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3</w:t>
            </w:r>
          </w:p>
        </w:tc>
        <w:tc>
          <w:tcPr>
            <w:tcW w:w="1816"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分包或转包</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（1）采购人</w:t>
            </w:r>
            <w:r>
              <w:rPr>
                <w:rFonts w:hint="eastAsia" w:ascii="仿宋" w:hAnsi="仿宋" w:eastAsia="仿宋" w:cs="仿宋_GB2312"/>
                <w:b/>
                <w:color w:val="auto"/>
                <w:sz w:val="24"/>
                <w:highlight w:val="none"/>
              </w:rPr>
              <w:t>不同意</w:t>
            </w:r>
            <w:r>
              <w:rPr>
                <w:rFonts w:hint="eastAsia" w:ascii="仿宋" w:hAnsi="仿宋" w:eastAsia="仿宋" w:cs="仿宋_GB2312"/>
                <w:color w:val="auto"/>
                <w:sz w:val="24"/>
                <w:highlight w:val="none"/>
              </w:rPr>
              <w:t>分包</w:t>
            </w:r>
          </w:p>
          <w:p>
            <w:pPr>
              <w:snapToGrid w:val="0"/>
              <w:spacing w:line="240" w:lineRule="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（2）本项目不得转包。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4</w:t>
            </w:r>
          </w:p>
        </w:tc>
        <w:tc>
          <w:tcPr>
            <w:tcW w:w="1816"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中小企业划分标准所属行业</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rPr>
              <w:t>（1）采购标的：</w:t>
            </w:r>
            <w:r>
              <w:rPr>
                <w:rFonts w:hint="eastAsia" w:ascii="仿宋" w:hAnsi="仿宋" w:eastAsia="仿宋" w:cs="仿宋_GB2312"/>
                <w:color w:val="auto"/>
                <w:sz w:val="24"/>
                <w:highlight w:val="none"/>
                <w:lang w:eastAsia="zh-CN"/>
              </w:rPr>
              <w:t>湖塘街道垃圾清运服务项目</w:t>
            </w:r>
          </w:p>
          <w:p>
            <w:pPr>
              <w:snapToGrid w:val="0"/>
              <w:spacing w:line="240" w:lineRule="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（2）所属行业：其他未列明行业。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5</w:t>
            </w:r>
          </w:p>
        </w:tc>
        <w:tc>
          <w:tcPr>
            <w:tcW w:w="1816" w:type="dxa"/>
            <w:tcBorders>
              <w:top w:val="single" w:color="000000" w:sz="8" w:space="0"/>
              <w:left w:val="single" w:color="auto" w:sz="4" w:space="0"/>
              <w:bottom w:val="single" w:color="auto" w:sz="4"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投标文件的份数</w:t>
            </w:r>
          </w:p>
        </w:tc>
        <w:tc>
          <w:tcPr>
            <w:tcW w:w="5864" w:type="dxa"/>
            <w:tcBorders>
              <w:top w:val="single" w:color="000000" w:sz="8" w:space="0"/>
              <w:left w:val="single" w:color="000000" w:sz="2" w:space="0"/>
              <w:bottom w:val="single" w:color="auto" w:sz="4" w:space="0"/>
              <w:right w:val="single" w:color="000000" w:sz="8" w:space="0"/>
            </w:tcBorders>
            <w:noWrap w:val="0"/>
            <w:vAlign w:val="center"/>
          </w:tcPr>
          <w:p>
            <w:pPr>
              <w:pStyle w:val="31"/>
              <w:snapToGrid w:val="0"/>
              <w:spacing w:before="120" w:after="120" w:line="240" w:lineRule="auto"/>
              <w:rPr>
                <w:rFonts w:hint="eastAsia" w:ascii="仿宋" w:hAnsi="仿宋" w:eastAsia="仿宋" w:cs="Times New Roman"/>
                <w:snapToGrid/>
                <w:color w:val="auto"/>
                <w:sz w:val="24"/>
                <w:szCs w:val="20"/>
                <w:highlight w:val="none"/>
              </w:rPr>
            </w:pPr>
            <w:r>
              <w:rPr>
                <w:rFonts w:ascii="仿宋" w:hAnsi="仿宋" w:eastAsia="仿宋" w:cs="Times New Roman"/>
                <w:snapToGrid/>
                <w:color w:val="auto"/>
                <w:sz w:val="24"/>
                <w:szCs w:val="20"/>
                <w:highlight w:val="none"/>
              </w:rPr>
              <w:t>本项目实行</w:t>
            </w:r>
            <w:r>
              <w:rPr>
                <w:rFonts w:hint="eastAsia" w:ascii="仿宋" w:hAnsi="仿宋" w:eastAsia="仿宋" w:cs="Times New Roman"/>
                <w:snapToGrid/>
                <w:color w:val="auto"/>
                <w:sz w:val="24"/>
                <w:szCs w:val="20"/>
                <w:highlight w:val="none"/>
              </w:rPr>
              <w:t>电子投标。供应商应准备电子投标文件参与投标：电子投标文件，按政采云平台</w:t>
            </w:r>
            <w:r>
              <w:rPr>
                <w:rFonts w:ascii="仿宋" w:hAnsi="仿宋" w:eastAsia="仿宋" w:cs="Times New Roman"/>
                <w:snapToGrid/>
                <w:color w:val="auto"/>
                <w:sz w:val="24"/>
                <w:szCs w:val="20"/>
                <w:highlight w:val="none"/>
              </w:rPr>
              <w:t>项目采购-电子招投标操作指南</w:t>
            </w:r>
            <w:r>
              <w:rPr>
                <w:rFonts w:hint="eastAsia" w:ascii="仿宋" w:hAnsi="仿宋" w:eastAsia="仿宋" w:cs="Times New Roman"/>
                <w:snapToGrid/>
                <w:color w:val="auto"/>
                <w:sz w:val="24"/>
                <w:szCs w:val="20"/>
                <w:highlight w:val="none"/>
              </w:rPr>
              <w:t>及本招标文件要求递交</w:t>
            </w:r>
            <w:r>
              <w:rPr>
                <w:rFonts w:ascii="仿宋" w:hAnsi="仿宋" w:eastAsia="仿宋" w:cs="Times New Roman"/>
                <w:snapToGrid/>
                <w:color w:val="auto"/>
                <w:sz w:val="24"/>
                <w:szCs w:val="20"/>
                <w:highlight w:val="none"/>
              </w:rPr>
              <w:t>。</w:t>
            </w:r>
          </w:p>
          <w:p>
            <w:pPr>
              <w:spacing w:line="240" w:lineRule="auto"/>
              <w:rPr>
                <w:rFonts w:ascii="仿宋" w:hAnsi="仿宋" w:eastAsia="仿宋"/>
                <w:b/>
                <w:color w:val="auto"/>
                <w:sz w:val="24"/>
                <w:highlight w:val="none"/>
              </w:rPr>
            </w:pPr>
            <w:r>
              <w:rPr>
                <w:rFonts w:hint="eastAsia" w:ascii="仿宋" w:hAnsi="仿宋" w:eastAsia="仿宋"/>
                <w:b/>
                <w:color w:val="auto"/>
                <w:sz w:val="24"/>
                <w:highlight w:val="none"/>
              </w:rPr>
              <w:t>▲未传输递交电子投标文件的，投标无效。</w:t>
            </w:r>
          </w:p>
          <w:p>
            <w:pPr>
              <w:spacing w:line="240" w:lineRule="auto"/>
              <w:rPr>
                <w:rFonts w:hint="eastAsia" w:ascii="仿宋" w:hAnsi="仿宋" w:eastAsia="仿宋"/>
                <w:b/>
                <w:color w:val="auto"/>
                <w:sz w:val="24"/>
                <w:highlight w:val="none"/>
              </w:rPr>
            </w:pPr>
            <w:r>
              <w:rPr>
                <w:rFonts w:hint="eastAsia" w:ascii="仿宋" w:hAnsi="仿宋" w:eastAsia="仿宋"/>
                <w:b/>
                <w:color w:val="auto"/>
                <w:sz w:val="24"/>
                <w:highlight w:val="none"/>
              </w:rPr>
              <w:t>▲未在系统解密时间内完成解密的，视为投标人自行放弃投标，投标无效。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6</w:t>
            </w:r>
          </w:p>
        </w:tc>
        <w:tc>
          <w:tcPr>
            <w:tcW w:w="1816" w:type="dxa"/>
            <w:tcBorders>
              <w:top w:val="single" w:color="auto" w:sz="4" w:space="0"/>
              <w:left w:val="single" w:color="auto" w:sz="4"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开标前答疑会或现场考察</w:t>
            </w:r>
          </w:p>
        </w:tc>
        <w:tc>
          <w:tcPr>
            <w:tcW w:w="5864" w:type="dxa"/>
            <w:tcBorders>
              <w:top w:val="single" w:color="auto" w:sz="4" w:space="0"/>
              <w:left w:val="single" w:color="000000" w:sz="2" w:space="0"/>
              <w:bottom w:val="single" w:color="000000" w:sz="8" w:space="0"/>
              <w:right w:val="single" w:color="000000" w:sz="8" w:space="0"/>
            </w:tcBorders>
            <w:noWrap w:val="0"/>
            <w:vAlign w:val="center"/>
          </w:tcPr>
          <w:p>
            <w:pPr>
              <w:pStyle w:val="31"/>
              <w:spacing w:line="240" w:lineRule="auto"/>
              <w:rPr>
                <w:rFonts w:hint="eastAsia" w:ascii="仿宋" w:hAnsi="仿宋" w:eastAsia="仿宋" w:cs="Times New Roman"/>
                <w:snapToGrid/>
                <w:color w:val="auto"/>
                <w:sz w:val="24"/>
                <w:szCs w:val="20"/>
                <w:highlight w:val="none"/>
              </w:rPr>
            </w:pPr>
            <w:r>
              <w:rPr>
                <w:rFonts w:hint="eastAsia" w:ascii="仿宋" w:hAnsi="仿宋" w:eastAsia="仿宋" w:cs="Times New Roman"/>
                <w:b/>
                <w:snapToGrid/>
                <w:color w:val="auto"/>
                <w:sz w:val="24"/>
                <w:szCs w:val="20"/>
                <w:highlight w:val="none"/>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7</w:t>
            </w:r>
          </w:p>
        </w:tc>
        <w:tc>
          <w:tcPr>
            <w:tcW w:w="1816"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样品提供</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pStyle w:val="31"/>
              <w:spacing w:line="240" w:lineRule="auto"/>
              <w:rPr>
                <w:rFonts w:hint="eastAsia" w:ascii="仿宋" w:hAnsi="仿宋" w:eastAsia="仿宋"/>
                <w:b/>
                <w:color w:val="auto"/>
                <w:sz w:val="24"/>
                <w:highlight w:val="none"/>
              </w:rPr>
            </w:pPr>
            <w:r>
              <w:rPr>
                <w:rFonts w:hint="eastAsia" w:ascii="仿宋" w:hAnsi="仿宋" w:eastAsia="仿宋" w:cs="Times New Roman"/>
                <w:b/>
                <w:snapToGrid/>
                <w:color w:val="auto"/>
                <w:sz w:val="24"/>
                <w:szCs w:val="20"/>
                <w:highlight w:val="none"/>
              </w:rPr>
              <w:t>不要求。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8</w:t>
            </w:r>
          </w:p>
        </w:tc>
        <w:tc>
          <w:tcPr>
            <w:tcW w:w="1816"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Cs/>
                <w:color w:val="auto"/>
                <w:sz w:val="24"/>
                <w:highlight w:val="none"/>
              </w:rPr>
            </w:pPr>
            <w:r>
              <w:rPr>
                <w:rFonts w:hint="eastAsia" w:ascii="仿宋" w:hAnsi="仿宋" w:eastAsia="仿宋" w:cs="仿宋_GB2312"/>
                <w:b/>
                <w:color w:val="auto"/>
                <w:sz w:val="24"/>
                <w:highlight w:val="none"/>
              </w:rPr>
              <w:t>演示</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rPr>
                <w:rFonts w:hint="eastAsia" w:ascii="仿宋" w:hAnsi="仿宋" w:eastAsia="仿宋" w:cs="仿宋_GB2312"/>
                <w:b/>
                <w:color w:val="auto"/>
                <w:kern w:val="0"/>
                <w:sz w:val="24"/>
                <w:highlight w:val="none"/>
                <w:lang w:val="zh-CN"/>
              </w:rPr>
            </w:pPr>
            <w:r>
              <w:rPr>
                <w:rFonts w:hint="eastAsia" w:ascii="仿宋" w:hAnsi="仿宋" w:eastAsia="仿宋"/>
                <w:b/>
                <w:color w:val="auto"/>
                <w:kern w:val="28"/>
                <w:sz w:val="24"/>
                <w:highlight w:val="none"/>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9</w:t>
            </w:r>
          </w:p>
        </w:tc>
        <w:tc>
          <w:tcPr>
            <w:tcW w:w="1816"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采购代理机构代理费用</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rPr>
                <w:rFonts w:hint="eastAsia" w:ascii="仿宋" w:hAnsi="仿宋" w:eastAsia="仿宋"/>
                <w:color w:val="auto"/>
                <w:sz w:val="24"/>
                <w:highlight w:val="none"/>
              </w:rPr>
            </w:pPr>
            <w:r>
              <w:rPr>
                <w:rFonts w:hint="eastAsia" w:ascii="仿宋" w:hAnsi="仿宋" w:eastAsia="仿宋"/>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10</w:t>
            </w:r>
          </w:p>
        </w:tc>
        <w:tc>
          <w:tcPr>
            <w:tcW w:w="1816"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投标</w:t>
            </w:r>
            <w:r>
              <w:rPr>
                <w:rFonts w:ascii="仿宋" w:hAnsi="仿宋" w:eastAsia="仿宋" w:cs="仿宋_GB2312"/>
                <w:b/>
                <w:color w:val="auto"/>
                <w:sz w:val="24"/>
                <w:highlight w:val="none"/>
              </w:rPr>
              <w:t>保证金</w:t>
            </w:r>
            <w:r>
              <w:rPr>
                <w:rFonts w:hint="eastAsia" w:ascii="仿宋" w:hAnsi="仿宋" w:eastAsia="仿宋" w:cs="仿宋_GB2312"/>
                <w:b/>
                <w:color w:val="auto"/>
                <w:sz w:val="24"/>
                <w:highlight w:val="none"/>
              </w:rPr>
              <w:t>缴纳</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pStyle w:val="15"/>
              <w:spacing w:line="240" w:lineRule="auto"/>
              <w:ind w:left="0" w:leftChars="0" w:firstLine="0" w:firstLineChars="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不收取投标保证金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24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11</w:t>
            </w:r>
          </w:p>
        </w:tc>
        <w:tc>
          <w:tcPr>
            <w:tcW w:w="1816"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履约保证金金额</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pStyle w:val="15"/>
              <w:spacing w:line="240" w:lineRule="auto"/>
              <w:ind w:left="0" w:leftChars="0" w:firstLine="0" w:firstLineChars="0"/>
              <w:rPr>
                <w:rFonts w:hint="eastAsia" w:ascii="仿宋" w:hAnsi="仿宋" w:eastAsia="仿宋" w:cs="仿宋_GB2312"/>
                <w:color w:val="auto"/>
                <w:sz w:val="24"/>
                <w:highlight w:val="none"/>
                <w:lang w:val="en-US" w:eastAsia="zh-CN"/>
              </w:rPr>
            </w:pPr>
            <w:r>
              <w:rPr>
                <w:rFonts w:hint="eastAsia" w:ascii="仿宋" w:hAnsi="仿宋" w:eastAsia="仿宋" w:cs="Arial"/>
                <w:color w:val="auto"/>
                <w:sz w:val="24"/>
                <w:szCs w:val="21"/>
                <w:highlight w:val="none"/>
              </w:rPr>
              <w:t>中标合同金额的</w:t>
            </w:r>
            <w:r>
              <w:rPr>
                <w:rFonts w:hint="eastAsia" w:ascii="仿宋" w:hAnsi="仿宋" w:eastAsia="仿宋" w:cs="Arial"/>
                <w:color w:val="auto"/>
                <w:sz w:val="24"/>
                <w:szCs w:val="21"/>
                <w:highlight w:val="none"/>
                <w:lang w:val="en-US" w:eastAsia="zh-CN"/>
              </w:rPr>
              <w:t>1</w:t>
            </w:r>
            <w:r>
              <w:rPr>
                <w:rFonts w:hint="eastAsia" w:ascii="仿宋" w:hAnsi="仿宋" w:eastAsia="仿宋" w:cs="Arial"/>
                <w:color w:val="auto"/>
                <w:sz w:val="24"/>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0"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12</w:t>
            </w:r>
          </w:p>
        </w:tc>
        <w:tc>
          <w:tcPr>
            <w:tcW w:w="1816"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24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电子招投标说明</w:t>
            </w:r>
          </w:p>
        </w:tc>
        <w:tc>
          <w:tcPr>
            <w:tcW w:w="5864" w:type="dxa"/>
            <w:tcBorders>
              <w:top w:val="single" w:color="000000" w:sz="8" w:space="0"/>
              <w:left w:val="single" w:color="000000" w:sz="2" w:space="0"/>
              <w:bottom w:val="single" w:color="000000" w:sz="8" w:space="0"/>
              <w:right w:val="single" w:color="000000" w:sz="8" w:space="0"/>
            </w:tcBorders>
            <w:noWrap w:val="0"/>
            <w:vAlign w:val="center"/>
          </w:tcPr>
          <w:p>
            <w:pPr>
              <w:spacing w:line="24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（1）电子招投标：本项目以数据电文形式，依托“政府采购云平台（www.zcygov.cn）”进行招投标活动，不接受纸质投标文件。</w:t>
            </w:r>
          </w:p>
          <w:p>
            <w:pPr>
              <w:spacing w:line="24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2）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pPr>
              <w:spacing w:line="24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（3）招标文件的获取：使用账号登录或者使用CA登录政采云平台；进入“项目采购”应用，在获取采购文件菜单中选择项目，获取招标文件。</w:t>
            </w:r>
          </w:p>
          <w:p>
            <w:pPr>
              <w:spacing w:line="24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（4）投标文件的制作：在“政采云电子交易客户端”中完成“填写基本信息”、“导入投标文件”、“标书关联”、“标书检查”、“电子签名”、“生成电子标书”等操作。</w:t>
            </w:r>
          </w:p>
          <w:p>
            <w:pPr>
              <w:spacing w:line="24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（5）投标文件的传输递交：投标人在投标截止时间前将加密的投标文件上传至政府采购云平台。</w:t>
            </w:r>
          </w:p>
          <w:p>
            <w:pPr>
              <w:spacing w:line="24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（6）投标文件的解密：投标人按照平台提示和招标文件的规定在开始解密后1小时内完成在线解密。</w:t>
            </w:r>
          </w:p>
          <w:p>
            <w:pPr>
              <w:spacing w:line="240" w:lineRule="auto"/>
              <w:ind w:firstLine="480" w:firstLineChars="200"/>
              <w:jc w:val="left"/>
              <w:rPr>
                <w:rFonts w:hint="eastAsia" w:ascii="仿宋" w:hAnsi="仿宋" w:eastAsia="仿宋"/>
                <w:color w:val="auto"/>
                <w:sz w:val="24"/>
                <w:szCs w:val="28"/>
                <w:highlight w:val="none"/>
              </w:rPr>
            </w:pPr>
            <w:r>
              <w:rPr>
                <w:rFonts w:hint="eastAsia" w:ascii="仿宋" w:hAnsi="仿宋" w:eastAsia="仿宋"/>
                <w:color w:val="auto"/>
                <w:sz w:val="24"/>
                <w:szCs w:val="28"/>
                <w:highlight w:val="none"/>
              </w:rPr>
              <w:t>（7）具体操作指南：详见政采云平台“服务中心-帮助文档-项目采购-操作流程-电子招投标-政府采购项目电子交易管理操作指南-供应商”。</w:t>
            </w:r>
          </w:p>
        </w:tc>
      </w:tr>
    </w:tbl>
    <w:p>
      <w:pPr>
        <w:spacing w:line="360" w:lineRule="auto"/>
        <w:ind w:firstLine="482" w:firstLineChars="200"/>
        <w:rPr>
          <w:rFonts w:hint="eastAsia" w:ascii="仿宋" w:hAnsi="仿宋" w:eastAsia="仿宋"/>
          <w:b/>
          <w:color w:val="auto"/>
          <w:sz w:val="24"/>
          <w:highlight w:val="none"/>
        </w:rPr>
      </w:pPr>
      <w:r>
        <w:rPr>
          <w:rFonts w:hint="eastAsia" w:ascii="仿宋" w:hAnsi="仿宋" w:eastAsia="仿宋"/>
          <w:b/>
          <w:color w:val="auto"/>
          <w:sz w:val="24"/>
          <w:highlight w:val="none"/>
        </w:rPr>
        <w:t>注</w:t>
      </w:r>
      <w:r>
        <w:rPr>
          <w:rFonts w:ascii="仿宋" w:hAnsi="仿宋" w:eastAsia="仿宋"/>
          <w:b/>
          <w:color w:val="auto"/>
          <w:sz w:val="24"/>
          <w:highlight w:val="none"/>
        </w:rPr>
        <w:t>：</w:t>
      </w:r>
      <w:r>
        <w:rPr>
          <w:rFonts w:hint="eastAsia" w:ascii="仿宋" w:hAnsi="仿宋" w:eastAsia="仿宋"/>
          <w:b/>
          <w:color w:val="auto"/>
          <w:sz w:val="24"/>
          <w:highlight w:val="none"/>
        </w:rPr>
        <w:t>本项目</w:t>
      </w:r>
      <w:r>
        <w:rPr>
          <w:rFonts w:ascii="仿宋" w:hAnsi="仿宋" w:eastAsia="仿宋"/>
          <w:b/>
          <w:color w:val="auto"/>
          <w:sz w:val="24"/>
          <w:highlight w:val="none"/>
        </w:rPr>
        <w:t>通用</w:t>
      </w:r>
      <w:r>
        <w:rPr>
          <w:rFonts w:hint="eastAsia" w:ascii="仿宋" w:hAnsi="仿宋" w:eastAsia="仿宋"/>
          <w:b/>
          <w:color w:val="auto"/>
          <w:sz w:val="24"/>
          <w:highlight w:val="none"/>
        </w:rPr>
        <w:t>总则</w:t>
      </w:r>
      <w:r>
        <w:rPr>
          <w:rFonts w:ascii="仿宋" w:hAnsi="仿宋" w:eastAsia="仿宋"/>
          <w:b/>
          <w:color w:val="auto"/>
          <w:sz w:val="24"/>
          <w:highlight w:val="none"/>
        </w:rPr>
        <w:t>条款与前附表等专</w:t>
      </w:r>
      <w:r>
        <w:rPr>
          <w:rFonts w:hint="eastAsia" w:ascii="仿宋" w:hAnsi="仿宋" w:eastAsia="仿宋"/>
          <w:b/>
          <w:color w:val="auto"/>
          <w:sz w:val="24"/>
          <w:highlight w:val="none"/>
        </w:rPr>
        <w:t>用</w:t>
      </w:r>
      <w:r>
        <w:rPr>
          <w:rFonts w:ascii="仿宋" w:hAnsi="仿宋" w:eastAsia="仿宋"/>
          <w:b/>
          <w:color w:val="auto"/>
          <w:sz w:val="24"/>
          <w:highlight w:val="none"/>
        </w:rPr>
        <w:t>特别规定有冲突之处，以专用条款（</w:t>
      </w:r>
      <w:r>
        <w:rPr>
          <w:rFonts w:hint="eastAsia" w:ascii="仿宋" w:hAnsi="仿宋" w:eastAsia="仿宋"/>
          <w:b/>
          <w:color w:val="auto"/>
          <w:sz w:val="24"/>
          <w:highlight w:val="none"/>
        </w:rPr>
        <w:t>特别规定</w:t>
      </w:r>
      <w:r>
        <w:rPr>
          <w:rFonts w:ascii="仿宋" w:hAnsi="仿宋" w:eastAsia="仿宋"/>
          <w:b/>
          <w:color w:val="auto"/>
          <w:sz w:val="24"/>
          <w:highlight w:val="none"/>
        </w:rPr>
        <w:t>）</w:t>
      </w:r>
      <w:r>
        <w:rPr>
          <w:rFonts w:hint="eastAsia" w:ascii="仿宋" w:hAnsi="仿宋" w:eastAsia="仿宋"/>
          <w:b/>
          <w:color w:val="auto"/>
          <w:sz w:val="24"/>
          <w:highlight w:val="none"/>
        </w:rPr>
        <w:t>为准</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outlineLvl w:val="0"/>
        <w:rPr>
          <w:rFonts w:ascii="仿宋" w:hAnsi="仿宋" w:eastAsia="仿宋" w:cs="仿宋_GB2312"/>
          <w:b/>
          <w:color w:val="auto"/>
          <w:sz w:val="32"/>
          <w:szCs w:val="20"/>
          <w:highlight w:val="none"/>
        </w:rPr>
      </w:pPr>
      <w:r>
        <w:rPr>
          <w:rFonts w:ascii="仿宋" w:hAnsi="仿宋" w:eastAsia="仿宋" w:cs="仿宋_GB2312"/>
          <w:b/>
          <w:color w:val="auto"/>
          <w:sz w:val="32"/>
          <w:szCs w:val="20"/>
          <w:highlight w:val="none"/>
        </w:rPr>
        <w:br w:type="page"/>
      </w:r>
      <w:bookmarkEnd w:id="10"/>
      <w:bookmarkStart w:id="38" w:name="_Toc164416483"/>
      <w:bookmarkStart w:id="39" w:name="第三部分"/>
      <w:r>
        <w:rPr>
          <w:rFonts w:hint="eastAsia" w:ascii="仿宋" w:hAnsi="仿宋" w:eastAsia="仿宋" w:cs="仿宋_GB2312"/>
          <w:b/>
          <w:color w:val="auto"/>
          <w:sz w:val="32"/>
          <w:szCs w:val="20"/>
          <w:highlight w:val="none"/>
        </w:rPr>
        <w:t>一、总则</w:t>
      </w:r>
    </w:p>
    <w:p>
      <w:pPr>
        <w:keepNext w:val="0"/>
        <w:keepLines w:val="0"/>
        <w:pageBreakBefore w:val="0"/>
        <w:kinsoku/>
        <w:wordWrap/>
        <w:overflowPunct/>
        <w:topLinePunct w:val="0"/>
        <w:bidi w:val="0"/>
        <w:adjustRightInd/>
        <w:snapToGrid/>
        <w:spacing w:beforeAutospacing="0" w:line="360" w:lineRule="auto"/>
        <w:ind w:right="0" w:firstLine="482" w:firstLineChars="200"/>
        <w:jc w:val="left"/>
        <w:textAlignment w:val="auto"/>
        <w:outlineLvl w:val="1"/>
        <w:rPr>
          <w:rFonts w:ascii="仿宋" w:hAnsi="仿宋" w:eastAsia="仿宋"/>
          <w:b/>
          <w:color w:val="auto"/>
          <w:sz w:val="24"/>
          <w:highlight w:val="none"/>
        </w:rPr>
      </w:pPr>
      <w:r>
        <w:rPr>
          <w:rFonts w:hint="eastAsia" w:ascii="仿宋" w:hAnsi="仿宋" w:eastAsia="仿宋"/>
          <w:b/>
          <w:color w:val="auto"/>
          <w:sz w:val="24"/>
          <w:highlight w:val="none"/>
        </w:rPr>
        <w:t>1.</w:t>
      </w:r>
      <w:r>
        <w:rPr>
          <w:rFonts w:ascii="仿宋" w:hAnsi="仿宋" w:eastAsia="仿宋"/>
          <w:b/>
          <w:color w:val="auto"/>
          <w:sz w:val="24"/>
          <w:highlight w:val="none"/>
        </w:rPr>
        <w:t xml:space="preserve"> 适用范围</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本招标文件适用于该项目的招标、投标、开标、资格审查及信用信息查询、评标、定标、合同、验收等行为（法律、法规另有规定的，从其规定）。</w:t>
      </w:r>
    </w:p>
    <w:p>
      <w:pPr>
        <w:keepNext w:val="0"/>
        <w:keepLines w:val="0"/>
        <w:pageBreakBefore w:val="0"/>
        <w:kinsoku/>
        <w:wordWrap/>
        <w:overflowPunct/>
        <w:topLinePunct w:val="0"/>
        <w:bidi w:val="0"/>
        <w:adjustRightInd/>
        <w:snapToGrid/>
        <w:spacing w:beforeAutospacing="0" w:line="360" w:lineRule="auto"/>
        <w:ind w:right="0" w:firstLine="482" w:firstLineChars="200"/>
        <w:jc w:val="left"/>
        <w:textAlignment w:val="auto"/>
        <w:outlineLvl w:val="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2.定义</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ascii="仿宋" w:hAnsi="仿宋" w:eastAsia="仿宋"/>
          <w:color w:val="auto"/>
          <w:sz w:val="24"/>
          <w:highlight w:val="none"/>
        </w:rPr>
        <w:t xml:space="preserve">2.1 </w:t>
      </w:r>
      <w:r>
        <w:rPr>
          <w:rFonts w:hint="eastAsia" w:ascii="仿宋" w:hAnsi="仿宋" w:eastAsia="仿宋"/>
          <w:color w:val="auto"/>
          <w:sz w:val="24"/>
          <w:highlight w:val="none"/>
        </w:rPr>
        <w:t>“采购人”系指招标公告中载明的本项目的采购人。</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2.2</w:t>
      </w:r>
      <w:r>
        <w:rPr>
          <w:rFonts w:ascii="仿宋" w:hAnsi="仿宋" w:eastAsia="仿宋"/>
          <w:color w:val="auto"/>
          <w:sz w:val="24"/>
          <w:highlight w:val="none"/>
        </w:rPr>
        <w:t xml:space="preserve"> </w:t>
      </w:r>
      <w:r>
        <w:rPr>
          <w:rFonts w:hint="eastAsia" w:ascii="仿宋" w:hAnsi="仿宋" w:eastAsia="仿宋"/>
          <w:color w:val="auto"/>
          <w:sz w:val="24"/>
          <w:highlight w:val="none"/>
        </w:rPr>
        <w:t>“采购代理机构”系指招标公告中载明的本项目的采购代理机构。</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3</w:t>
      </w:r>
      <w:r>
        <w:rPr>
          <w:rFonts w:ascii="仿宋" w:hAnsi="仿宋" w:eastAsia="仿宋"/>
          <w:color w:val="auto"/>
          <w:sz w:val="24"/>
          <w:highlight w:val="none"/>
        </w:rPr>
        <w:t xml:space="preserve"> </w:t>
      </w:r>
      <w:r>
        <w:rPr>
          <w:rFonts w:hint="eastAsia" w:ascii="仿宋" w:hAnsi="仿宋" w:eastAsia="仿宋"/>
          <w:color w:val="auto"/>
          <w:sz w:val="24"/>
          <w:highlight w:val="none"/>
        </w:rPr>
        <w:t>“投标人”系指是指响应招标、参加投标竞争的法人、其他组织或者自然人。</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2.4</w:t>
      </w:r>
      <w:r>
        <w:rPr>
          <w:rFonts w:ascii="仿宋" w:hAnsi="仿宋" w:eastAsia="仿宋"/>
          <w:color w:val="auto"/>
          <w:sz w:val="24"/>
          <w:highlight w:val="none"/>
        </w:rPr>
        <w:t xml:space="preserve"> </w:t>
      </w:r>
      <w:r>
        <w:rPr>
          <w:rFonts w:hint="eastAsia" w:ascii="仿宋" w:hAnsi="仿宋" w:eastAsia="仿宋"/>
          <w:color w:val="auto"/>
          <w:sz w:val="24"/>
          <w:highlight w:val="none"/>
        </w:rPr>
        <w:t>“负责人”系指法人企业的法定负责人，或其他组织为</w:t>
      </w:r>
      <w:r>
        <w:rPr>
          <w:rFonts w:ascii="仿宋" w:hAnsi="仿宋" w:eastAsia="仿宋"/>
          <w:color w:val="auto"/>
          <w:sz w:val="24"/>
          <w:highlight w:val="none"/>
        </w:rPr>
        <w:t>法律、行政法规规定代表单位行使职权的主要负责人</w:t>
      </w:r>
      <w:r>
        <w:rPr>
          <w:rFonts w:hint="eastAsia" w:ascii="仿宋" w:hAnsi="仿宋" w:eastAsia="仿宋"/>
          <w:color w:val="auto"/>
          <w:sz w:val="24"/>
          <w:highlight w:val="none"/>
        </w:rPr>
        <w:t>，或自然人本人。</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2.5</w:t>
      </w:r>
      <w:r>
        <w:rPr>
          <w:rFonts w:ascii="仿宋" w:hAnsi="仿宋" w:eastAsia="仿宋"/>
          <w:color w:val="auto"/>
          <w:sz w:val="24"/>
          <w:highlight w:val="none"/>
        </w:rPr>
        <w:t xml:space="preserve"> </w:t>
      </w:r>
      <w:r>
        <w:rPr>
          <w:rFonts w:hint="eastAsia" w:ascii="仿宋" w:hAnsi="仿宋" w:eastAsia="仿宋"/>
          <w:color w:val="auto"/>
          <w:sz w:val="24"/>
          <w:highlight w:val="none"/>
        </w:rPr>
        <w:t>“▲” 系指实质性要求条款，“★”系产品采购项目中单一产品或核心产品。</w:t>
      </w:r>
    </w:p>
    <w:p>
      <w:pPr>
        <w:keepNext w:val="0"/>
        <w:keepLines w:val="0"/>
        <w:pageBreakBefore w:val="0"/>
        <w:kinsoku/>
        <w:wordWrap/>
        <w:overflowPunct/>
        <w:topLinePunct w:val="0"/>
        <w:bidi w:val="0"/>
        <w:adjustRightInd/>
        <w:snapToGrid/>
        <w:spacing w:beforeAutospacing="0" w:line="360" w:lineRule="auto"/>
        <w:ind w:right="0" w:firstLine="482" w:firstLineChars="200"/>
        <w:jc w:val="left"/>
        <w:textAlignment w:val="auto"/>
        <w:rPr>
          <w:rFonts w:ascii="仿宋" w:hAnsi="仿宋" w:eastAsia="仿宋"/>
          <w:b/>
          <w:color w:val="auto"/>
          <w:sz w:val="24"/>
          <w:highlight w:val="none"/>
        </w:rPr>
      </w:pPr>
      <w:r>
        <w:rPr>
          <w:rFonts w:hint="eastAsia" w:ascii="仿宋" w:hAnsi="仿宋" w:eastAsia="仿宋"/>
          <w:b/>
          <w:color w:val="auto"/>
          <w:sz w:val="24"/>
          <w:highlight w:val="none"/>
        </w:rPr>
        <w:t>3.</w:t>
      </w:r>
      <w:r>
        <w:rPr>
          <w:rFonts w:hint="eastAsia" w:ascii="仿宋" w:hAnsi="仿宋" w:eastAsia="仿宋"/>
          <w:color w:val="auto"/>
          <w:highlight w:val="none"/>
        </w:rPr>
        <w:t xml:space="preserve"> </w:t>
      </w:r>
      <w:r>
        <w:rPr>
          <w:rFonts w:hint="eastAsia" w:ascii="仿宋" w:hAnsi="仿宋" w:eastAsia="仿宋"/>
          <w:b/>
          <w:color w:val="auto"/>
          <w:sz w:val="24"/>
          <w:highlight w:val="none"/>
        </w:rPr>
        <w:t>采购项目需要落实的政府采购政策</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3.2 节能环保要求</w:t>
      </w:r>
    </w:p>
    <w:p>
      <w:pPr>
        <w:keepNext w:val="0"/>
        <w:keepLines w:val="0"/>
        <w:pageBreakBefore w:val="0"/>
        <w:kinsoku/>
        <w:wordWrap/>
        <w:overflowPunct/>
        <w:topLinePunct w:val="0"/>
        <w:bidi w:val="0"/>
        <w:adjustRightInd/>
        <w:snapToGrid/>
        <w:spacing w:beforeAutospacing="0" w:line="360" w:lineRule="auto"/>
        <w:ind w:right="0" w:firstLine="482" w:firstLineChars="200"/>
        <w:jc w:val="left"/>
        <w:textAlignment w:val="auto"/>
        <w:rPr>
          <w:rFonts w:hint="eastAsia" w:ascii="仿宋" w:hAnsi="仿宋" w:eastAsia="仿宋"/>
          <w:b/>
          <w:color w:val="auto"/>
          <w:sz w:val="24"/>
          <w:highlight w:val="none"/>
        </w:rPr>
      </w:pPr>
      <w:r>
        <w:rPr>
          <w:rFonts w:hint="eastAsia" w:ascii="仿宋" w:hAnsi="仿宋" w:eastAsia="仿宋"/>
          <w:b/>
          <w:color w:val="auto"/>
          <w:sz w:val="24"/>
          <w:highlight w:val="none"/>
        </w:rPr>
        <w:t>3.2.1根据财政部、发展改革委、生态环境部、市场监管总局《关于调整优化节能产品、环境标志产品政府采购执行机制的通知》财库〔2019〕9号，政府采购节能产品、环境标志产品实施品目清单管理。本项目采购产品属于政府强制采购节能品目清单的（详见《关于印发节能产品政府采购品目清单的通知》财库〔2019〕19号），投标人所投产品须为节能产品并提供该产品所在的节能产品政府采购清单页及国家确定的认证机构出具的、处于有效期之内节能产品认证证书或规定网站证书查询截图。</w:t>
      </w:r>
    </w:p>
    <w:p>
      <w:pPr>
        <w:keepNext w:val="0"/>
        <w:keepLines w:val="0"/>
        <w:pageBreakBefore w:val="0"/>
        <w:kinsoku/>
        <w:wordWrap/>
        <w:overflowPunct/>
        <w:topLinePunct w:val="0"/>
        <w:bidi w:val="0"/>
        <w:adjustRightInd/>
        <w:snapToGrid/>
        <w:spacing w:beforeAutospacing="0" w:line="360" w:lineRule="auto"/>
        <w:ind w:right="0" w:firstLine="482" w:firstLineChars="200"/>
        <w:jc w:val="left"/>
        <w:textAlignment w:val="auto"/>
        <w:rPr>
          <w:rFonts w:ascii="仿宋" w:hAnsi="仿宋" w:eastAsia="仿宋"/>
          <w:b/>
          <w:color w:val="auto"/>
          <w:sz w:val="24"/>
          <w:highlight w:val="none"/>
        </w:rPr>
      </w:pPr>
      <w:r>
        <w:rPr>
          <w:rFonts w:hint="eastAsia" w:ascii="仿宋" w:hAnsi="仿宋" w:eastAsia="仿宋"/>
          <w:b/>
          <w:color w:val="auto"/>
          <w:sz w:val="24"/>
          <w:highlight w:val="none"/>
        </w:rPr>
        <w:t>▲</w:t>
      </w:r>
      <w:r>
        <w:rPr>
          <w:rFonts w:hint="eastAsia" w:ascii="仿宋" w:hAnsi="仿宋" w:eastAsia="仿宋" w:cs="仿宋_GB2312"/>
          <w:b/>
          <w:color w:val="auto"/>
          <w:sz w:val="24"/>
          <w:szCs w:val="21"/>
          <w:highlight w:val="none"/>
        </w:rPr>
        <w:t>本项目如需采购节能品目清单中的政府强制采购的节能产品的，必须</w:t>
      </w:r>
      <w:r>
        <w:rPr>
          <w:rFonts w:ascii="仿宋" w:hAnsi="仿宋" w:eastAsia="仿宋" w:cs="仿宋_GB2312"/>
          <w:b/>
          <w:color w:val="auto"/>
          <w:sz w:val="24"/>
          <w:szCs w:val="21"/>
          <w:highlight w:val="none"/>
        </w:rPr>
        <w:t>以强制采购的品目清单内产品投标，</w:t>
      </w:r>
      <w:r>
        <w:rPr>
          <w:rFonts w:hint="eastAsia" w:ascii="仿宋" w:hAnsi="仿宋" w:eastAsia="仿宋" w:cs="仿宋_GB2312"/>
          <w:b/>
          <w:color w:val="auto"/>
          <w:sz w:val="24"/>
          <w:szCs w:val="21"/>
          <w:highlight w:val="none"/>
        </w:rPr>
        <w:t>投标人未按</w:t>
      </w:r>
      <w:r>
        <w:rPr>
          <w:rFonts w:ascii="仿宋" w:hAnsi="仿宋" w:eastAsia="仿宋" w:cs="仿宋_GB2312"/>
          <w:b/>
          <w:color w:val="auto"/>
          <w:sz w:val="24"/>
          <w:szCs w:val="21"/>
          <w:highlight w:val="none"/>
        </w:rPr>
        <w:t>要求</w:t>
      </w:r>
      <w:r>
        <w:rPr>
          <w:rFonts w:hint="eastAsia" w:ascii="仿宋" w:hAnsi="仿宋" w:eastAsia="仿宋" w:cs="仿宋_GB2312"/>
          <w:b/>
          <w:color w:val="auto"/>
          <w:sz w:val="24"/>
          <w:szCs w:val="21"/>
          <w:highlight w:val="none"/>
        </w:rPr>
        <w:t>提供品目</w:t>
      </w:r>
      <w:r>
        <w:rPr>
          <w:rFonts w:ascii="仿宋" w:hAnsi="仿宋" w:eastAsia="仿宋" w:cs="仿宋_GB2312"/>
          <w:b/>
          <w:color w:val="auto"/>
          <w:sz w:val="24"/>
          <w:szCs w:val="21"/>
          <w:highlight w:val="none"/>
        </w:rPr>
        <w:t>清单内的节能产品</w:t>
      </w:r>
      <w:r>
        <w:rPr>
          <w:rFonts w:hint="eastAsia" w:ascii="仿宋" w:hAnsi="仿宋" w:eastAsia="仿宋" w:cs="仿宋_GB2312"/>
          <w:b/>
          <w:color w:val="auto"/>
          <w:sz w:val="24"/>
          <w:szCs w:val="21"/>
          <w:highlight w:val="none"/>
        </w:rPr>
        <w:t>或</w:t>
      </w:r>
      <w:r>
        <w:rPr>
          <w:rFonts w:ascii="仿宋" w:hAnsi="仿宋" w:eastAsia="仿宋" w:cs="仿宋_GB2312"/>
          <w:b/>
          <w:color w:val="auto"/>
          <w:sz w:val="24"/>
          <w:szCs w:val="21"/>
          <w:highlight w:val="none"/>
        </w:rPr>
        <w:t>相关证明</w:t>
      </w:r>
      <w:r>
        <w:rPr>
          <w:rFonts w:hint="eastAsia" w:ascii="仿宋" w:hAnsi="仿宋" w:eastAsia="仿宋" w:cs="仿宋_GB2312"/>
          <w:b/>
          <w:color w:val="auto"/>
          <w:sz w:val="24"/>
          <w:szCs w:val="21"/>
          <w:highlight w:val="none"/>
        </w:rPr>
        <w:t>，投标无效。</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hint="eastAsia" w:ascii="仿宋" w:hAnsi="仿宋" w:eastAsia="仿宋"/>
          <w:color w:val="auto"/>
          <w:sz w:val="24"/>
          <w:highlight w:val="none"/>
        </w:rPr>
      </w:pPr>
      <w:r>
        <w:rPr>
          <w:rFonts w:hint="eastAsia" w:ascii="仿宋" w:hAnsi="仿宋" w:eastAsia="仿宋"/>
          <w:color w:val="auto"/>
          <w:sz w:val="24"/>
          <w:highlight w:val="none"/>
        </w:rPr>
        <w:t>3.2.2投标人提供产品如是节能（环境标志）产品，应当优先</w:t>
      </w:r>
      <w:r>
        <w:rPr>
          <w:rFonts w:ascii="仿宋" w:hAnsi="仿宋" w:eastAsia="仿宋"/>
          <w:color w:val="auto"/>
          <w:sz w:val="24"/>
          <w:highlight w:val="none"/>
        </w:rPr>
        <w:t>提供《</w:t>
      </w:r>
      <w:r>
        <w:rPr>
          <w:rFonts w:hint="eastAsia" w:ascii="仿宋" w:hAnsi="仿宋" w:eastAsia="仿宋"/>
          <w:color w:val="auto"/>
          <w:sz w:val="24"/>
          <w:highlight w:val="none"/>
        </w:rPr>
        <w:t>关于印发环境标志产品政府采购品目清单的通知</w:t>
      </w:r>
      <w:r>
        <w:rPr>
          <w:rFonts w:ascii="仿宋" w:hAnsi="仿宋" w:eastAsia="仿宋"/>
          <w:color w:val="auto"/>
          <w:sz w:val="24"/>
          <w:highlight w:val="none"/>
        </w:rPr>
        <w:t>》</w:t>
      </w:r>
      <w:r>
        <w:rPr>
          <w:rFonts w:hint="eastAsia" w:ascii="仿宋" w:hAnsi="仿宋" w:eastAsia="仿宋"/>
          <w:color w:val="auto"/>
          <w:sz w:val="24"/>
          <w:highlight w:val="none"/>
        </w:rPr>
        <w:t>财库〔2019〕</w:t>
      </w:r>
      <w:r>
        <w:rPr>
          <w:rFonts w:ascii="仿宋" w:hAnsi="仿宋" w:eastAsia="仿宋"/>
          <w:color w:val="auto"/>
          <w:sz w:val="24"/>
          <w:highlight w:val="none"/>
        </w:rPr>
        <w:t>18</w:t>
      </w:r>
      <w:r>
        <w:rPr>
          <w:rFonts w:hint="eastAsia" w:ascii="仿宋" w:hAnsi="仿宋" w:eastAsia="仿宋"/>
          <w:color w:val="auto"/>
          <w:sz w:val="24"/>
          <w:highlight w:val="none"/>
        </w:rPr>
        <w:t>号和《关于印发节能产品政府采购品目清单的通知》财库〔2019〕19号）内</w:t>
      </w:r>
      <w:r>
        <w:rPr>
          <w:rFonts w:ascii="仿宋" w:hAnsi="仿宋" w:eastAsia="仿宋"/>
          <w:color w:val="auto"/>
          <w:sz w:val="24"/>
          <w:highlight w:val="none"/>
        </w:rPr>
        <w:t>产品，</w:t>
      </w:r>
      <w:r>
        <w:rPr>
          <w:rFonts w:hint="eastAsia" w:ascii="仿宋" w:hAnsi="仿宋" w:eastAsia="仿宋"/>
          <w:color w:val="auto"/>
          <w:sz w:val="24"/>
          <w:highlight w:val="none"/>
        </w:rPr>
        <w:t>涉及项目</w:t>
      </w:r>
      <w:r>
        <w:rPr>
          <w:rFonts w:ascii="仿宋" w:hAnsi="仿宋" w:eastAsia="仿宋"/>
          <w:color w:val="auto"/>
          <w:sz w:val="24"/>
          <w:highlight w:val="none"/>
        </w:rPr>
        <w:t>评分条款加分</w:t>
      </w:r>
      <w:r>
        <w:rPr>
          <w:rFonts w:hint="eastAsia" w:ascii="仿宋" w:hAnsi="仿宋" w:eastAsia="仿宋"/>
          <w:color w:val="auto"/>
          <w:sz w:val="24"/>
          <w:highlight w:val="none"/>
        </w:rPr>
        <w:t>项</w:t>
      </w:r>
      <w:r>
        <w:rPr>
          <w:rFonts w:ascii="仿宋" w:hAnsi="仿宋" w:eastAsia="仿宋"/>
          <w:color w:val="auto"/>
          <w:sz w:val="24"/>
          <w:highlight w:val="none"/>
        </w:rPr>
        <w:t>时，</w:t>
      </w:r>
      <w:r>
        <w:rPr>
          <w:rFonts w:hint="eastAsia" w:ascii="仿宋" w:hAnsi="仿宋" w:eastAsia="仿宋"/>
          <w:color w:val="auto"/>
          <w:sz w:val="24"/>
          <w:highlight w:val="none"/>
        </w:rPr>
        <w:t>请</w:t>
      </w:r>
      <w:r>
        <w:rPr>
          <w:rFonts w:ascii="仿宋" w:hAnsi="仿宋" w:eastAsia="仿宋"/>
          <w:color w:val="auto"/>
          <w:sz w:val="24"/>
          <w:highlight w:val="none"/>
        </w:rPr>
        <w:t>提</w:t>
      </w:r>
      <w:r>
        <w:rPr>
          <w:rFonts w:hint="eastAsia" w:ascii="仿宋" w:hAnsi="仿宋" w:eastAsia="仿宋"/>
          <w:color w:val="auto"/>
          <w:sz w:val="24"/>
          <w:highlight w:val="none"/>
        </w:rPr>
        <w:t>供节能（环境标志）政府采购清单页及国家确定的认证机构出具的、处于有效期之内节能（环境标志）产品认证证书或规定网站证书查询截图。</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hint="eastAsia" w:ascii="仿宋" w:hAnsi="仿宋" w:eastAsia="仿宋"/>
          <w:color w:val="auto"/>
          <w:sz w:val="24"/>
          <w:highlight w:val="none"/>
        </w:rPr>
      </w:pPr>
      <w:r>
        <w:rPr>
          <w:rFonts w:hint="eastAsia" w:ascii="仿宋" w:hAnsi="仿宋" w:eastAsia="仿宋"/>
          <w:color w:val="auto"/>
          <w:sz w:val="24"/>
          <w:highlight w:val="none"/>
        </w:rPr>
        <w:t>3.2.3参与实施政府采购节能（环境标志）产品认证机构详见《市场监督总局关于发布参与实施政府采购节能产品、环境标志产品认证机构名录的公告》（2019第16号）。</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hint="eastAsia" w:ascii="仿宋" w:hAnsi="仿宋" w:eastAsia="仿宋"/>
          <w:color w:val="auto"/>
          <w:sz w:val="24"/>
          <w:highlight w:val="none"/>
        </w:rPr>
      </w:pPr>
      <w:r>
        <w:rPr>
          <w:rFonts w:hint="eastAsia" w:ascii="仿宋" w:hAnsi="仿宋" w:eastAsia="仿宋"/>
          <w:color w:val="auto"/>
          <w:sz w:val="24"/>
          <w:highlight w:val="none"/>
        </w:rPr>
        <w:t>3.3支持中小企业发展。</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3.3.1中小企业</w:t>
      </w:r>
      <w:r>
        <w:rPr>
          <w:rFonts w:ascii="仿宋" w:hAnsi="仿宋" w:eastAsia="仿宋"/>
          <w:color w:val="auto"/>
          <w:sz w:val="24"/>
          <w:highlight w:val="none"/>
        </w:rPr>
        <w:t>，是指在中华人民共和国境内依法设立，依据国务院批准的中小企业划分标准确定的中型企业、小型企业和微型企业，但与大企业的负责人为同一人，或者与大企业存在直接控股、管理关系的除外。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ascii="仿宋" w:hAnsi="仿宋" w:eastAsia="仿宋"/>
          <w:color w:val="auto"/>
          <w:sz w:val="24"/>
          <w:highlight w:val="none"/>
        </w:rPr>
        <w:t>符合中小企业划分标准的个体工商户，在政府采购活动中视同中小企业。</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3.3.2在政府采购活动中，投标人提供的货物、工程或者服务符合下列情形的，享受中小企业扶持政策：</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（1）在货物采购项目中，货物由中小企业制造，即货物由中小企业生产且使用该中小企业商号或者注册商标；</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（2）在工程采购项目中，工程由中小企业承建，即工程施工单位为中小企业；</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（3）在服务采购项目中，服务由中小企业承接，即提供服务的人员为中小企业依照《中华人民共和国劳动合同法》订立劳动合同的从业人员。</w:t>
      </w:r>
    </w:p>
    <w:p>
      <w:pPr>
        <w:keepNext w:val="0"/>
        <w:keepLines w:val="0"/>
        <w:pageBreakBefore w:val="0"/>
        <w:kinsoku/>
        <w:wordWrap/>
        <w:overflowPunct/>
        <w:topLinePunct w:val="0"/>
        <w:bidi w:val="0"/>
        <w:adjustRightInd/>
        <w:snapToGrid/>
        <w:spacing w:beforeAutospacing="0" w:line="360" w:lineRule="auto"/>
        <w:ind w:right="0" w:firstLine="482" w:firstLineChars="200"/>
        <w:jc w:val="left"/>
        <w:textAlignment w:val="auto"/>
        <w:rPr>
          <w:rFonts w:ascii="仿宋" w:hAnsi="仿宋" w:eastAsia="仿宋"/>
          <w:b/>
          <w:color w:val="auto"/>
          <w:sz w:val="24"/>
          <w:highlight w:val="none"/>
        </w:rPr>
      </w:pPr>
      <w:r>
        <w:rPr>
          <w:rFonts w:hint="eastAsia" w:ascii="仿宋" w:hAnsi="仿宋" w:eastAsia="仿宋"/>
          <w:b/>
          <w:color w:val="auto"/>
          <w:sz w:val="24"/>
          <w:highlight w:val="none"/>
        </w:rPr>
        <w:t>在货物采购项目中，投标人提供的货物既有中小企业制造货物，也有大型企业制造货物的，不享受中小企业扶持政策。</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以联合体形式参加政府采购活动，联合体各方均为中小企业的，联合体视同中小企业。其中，联合体各方均为小微企业的，联合体视同小微企业。</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3.3.2对于未预留份额专门面向中小企业的政府采购货物或服务项目，以及预留份额政府采购货物或服务项目中的非预留部分标项，对小型和微型企业的投标报价给予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b/>
          <w:color w:val="auto"/>
          <w:sz w:val="24"/>
          <w:highlight w:val="none"/>
          <w:lang w:val="en-US" w:eastAsia="zh-CN"/>
        </w:rPr>
        <w:t>2</w:t>
      </w:r>
      <w:r>
        <w:rPr>
          <w:rFonts w:hint="eastAsia" w:ascii="仿宋" w:hAnsi="仿宋" w:eastAsia="仿宋"/>
          <w:b/>
          <w:color w:val="auto"/>
          <w:sz w:val="24"/>
          <w:highlight w:val="none"/>
        </w:rPr>
        <w:t>0%</w:t>
      </w:r>
      <w:r>
        <w:rPr>
          <w:rFonts w:hint="eastAsia" w:ascii="仿宋" w:hAnsi="仿宋" w:eastAsia="仿宋"/>
          <w:color w:val="auto"/>
          <w:sz w:val="24"/>
          <w:highlight w:val="none"/>
        </w:rPr>
        <w:t>的扣除，用扣除后的价格参与评审。</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3.3.3</w:t>
      </w:r>
      <w:r>
        <w:rPr>
          <w:rFonts w:ascii="仿宋" w:hAnsi="仿宋" w:eastAsia="仿宋"/>
          <w:color w:val="auto"/>
          <w:sz w:val="24"/>
          <w:highlight w:val="none"/>
        </w:rPr>
        <w:t>接受大中型企业与小微企业组成联合体或者允许大中型企业向一家或者多家小微企业分包的</w:t>
      </w:r>
      <w:r>
        <w:rPr>
          <w:rFonts w:hint="eastAsia" w:ascii="仿宋" w:hAnsi="仿宋" w:eastAsia="仿宋"/>
          <w:color w:val="auto"/>
          <w:sz w:val="24"/>
          <w:highlight w:val="none"/>
        </w:rPr>
        <w:t>政府</w:t>
      </w:r>
      <w:r>
        <w:rPr>
          <w:rFonts w:ascii="仿宋" w:hAnsi="仿宋" w:eastAsia="仿宋"/>
          <w:color w:val="auto"/>
          <w:sz w:val="24"/>
          <w:highlight w:val="none"/>
        </w:rPr>
        <w:t>采购</w:t>
      </w:r>
      <w:r>
        <w:rPr>
          <w:rFonts w:hint="eastAsia" w:ascii="仿宋" w:hAnsi="仿宋" w:eastAsia="仿宋"/>
          <w:color w:val="auto"/>
          <w:sz w:val="24"/>
          <w:highlight w:val="none"/>
        </w:rPr>
        <w:t>货物或服务</w:t>
      </w:r>
      <w:r>
        <w:rPr>
          <w:rFonts w:ascii="仿宋" w:hAnsi="仿宋" w:eastAsia="仿宋"/>
          <w:color w:val="auto"/>
          <w:sz w:val="24"/>
          <w:highlight w:val="none"/>
        </w:rPr>
        <w:t>项目，对于联合协议或者分包意向协议约定小微企业的合同份额占到合同总金额30%以上的，对联合体或者大中型企业的报价给予</w:t>
      </w:r>
      <w:r>
        <w:rPr>
          <w:rFonts w:hint="eastAsia" w:ascii="仿宋" w:hAnsi="仿宋" w:eastAsia="仿宋"/>
          <w:b/>
          <w:color w:val="auto"/>
          <w:sz w:val="24"/>
          <w:highlight w:val="none"/>
          <w:lang w:val="en-US" w:eastAsia="zh-CN"/>
        </w:rPr>
        <w:t>6</w:t>
      </w:r>
      <w:r>
        <w:rPr>
          <w:rFonts w:ascii="仿宋" w:hAnsi="仿宋" w:eastAsia="仿宋"/>
          <w:b/>
          <w:color w:val="auto"/>
          <w:sz w:val="24"/>
          <w:highlight w:val="none"/>
        </w:rPr>
        <w:t>%</w:t>
      </w:r>
      <w:r>
        <w:rPr>
          <w:rFonts w:ascii="仿宋" w:hAnsi="仿宋" w:eastAsia="仿宋"/>
          <w:color w:val="auto"/>
          <w:sz w:val="24"/>
          <w:highlight w:val="none"/>
        </w:rPr>
        <w:t>的扣除，用扣除后的价格参加评审。组成联合体或者接受分包的小微企业与联合体内其他企业、分包企业之间存在直接控股、管理关系的，不享受价格扣除优惠政策。</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3.3.4符合《关于促进残疾人就业政府采购政策的通知》（财库〔2017〕141号）规定的条件并提供《残疾人福利性单位声明函》的残疾人福利性单位视同小型、微型企业；</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3.3.6可享受中小企业扶持政策的投标人应按照招标文件格式要求提供《中小企业声明函》。</w:t>
      </w:r>
    </w:p>
    <w:p>
      <w:pPr>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olor w:val="auto"/>
          <w:sz w:val="24"/>
          <w:highlight w:val="none"/>
        </w:rPr>
        <w:t>3.3.7中小企业</w:t>
      </w:r>
      <w:r>
        <w:rPr>
          <w:rFonts w:ascii="仿宋" w:hAnsi="仿宋" w:eastAsia="仿宋"/>
          <w:color w:val="auto"/>
          <w:sz w:val="24"/>
          <w:highlight w:val="none"/>
        </w:rPr>
        <w:t>享受扶持政策获得政府采购合同的，小微企业不得将合同分包给大中型企业，中型企业不得将合同分包给大型企业</w:t>
      </w:r>
      <w:r>
        <w:rPr>
          <w:rFonts w:hint="eastAsia" w:ascii="仿宋" w:hAnsi="仿宋" w:eastAsia="仿宋"/>
          <w:color w:val="auto"/>
          <w:sz w:val="24"/>
          <w:highlight w:val="none"/>
        </w:rPr>
        <w:t>。</w:t>
      </w:r>
    </w:p>
    <w:p>
      <w:pPr>
        <w:keepNext w:val="0"/>
        <w:keepLines w:val="0"/>
        <w:pageBreakBefore w:val="0"/>
        <w:kinsoku/>
        <w:wordWrap/>
        <w:overflowPunct/>
        <w:topLinePunct w:val="0"/>
        <w:bidi w:val="0"/>
        <w:adjustRightInd/>
        <w:snapToGrid/>
        <w:spacing w:beforeAutospacing="0" w:line="360" w:lineRule="auto"/>
        <w:ind w:right="0" w:firstLine="482" w:firstLineChars="200"/>
        <w:jc w:val="left"/>
        <w:textAlignment w:val="auto"/>
        <w:rPr>
          <w:rFonts w:ascii="仿宋" w:hAnsi="仿宋" w:eastAsia="仿宋"/>
          <w:b/>
          <w:color w:val="auto"/>
          <w:sz w:val="24"/>
          <w:highlight w:val="none"/>
        </w:rPr>
      </w:pPr>
      <w:r>
        <w:rPr>
          <w:rFonts w:hint="eastAsia" w:ascii="仿宋" w:hAnsi="仿宋" w:eastAsia="仿宋"/>
          <w:b/>
          <w:color w:val="auto"/>
          <w:sz w:val="24"/>
          <w:highlight w:val="none"/>
        </w:rPr>
        <w:t>4. 询问、质疑、投诉</w:t>
      </w:r>
    </w:p>
    <w:p>
      <w:pPr>
        <w:keepNext w:val="0"/>
        <w:keepLines w:val="0"/>
        <w:pageBreakBefore w:val="0"/>
        <w:kinsoku/>
        <w:wordWrap/>
        <w:overflowPunct/>
        <w:topLinePunct w:val="0"/>
        <w:autoSpaceDE w:val="0"/>
        <w:autoSpaceDN w:val="0"/>
        <w:bidi w:val="0"/>
        <w:adjustRightInd/>
        <w:snapToGrid/>
        <w:spacing w:beforeAutospacing="0" w:line="360" w:lineRule="auto"/>
        <w:ind w:right="0" w:firstLine="482" w:firstLineChars="200"/>
        <w:jc w:val="left"/>
        <w:textAlignment w:val="auto"/>
        <w:rPr>
          <w:rFonts w:ascii="仿宋" w:hAnsi="仿宋" w:eastAsia="仿宋" w:cs="微软雅黑"/>
          <w:b/>
          <w:color w:val="auto"/>
          <w:kern w:val="0"/>
          <w:sz w:val="24"/>
          <w:highlight w:val="none"/>
          <w:lang w:val="zh-CN"/>
        </w:rPr>
      </w:pPr>
      <w:r>
        <w:rPr>
          <w:rFonts w:hint="eastAsia" w:ascii="仿宋" w:hAnsi="仿宋" w:eastAsia="仿宋" w:cs="微软雅黑"/>
          <w:b/>
          <w:color w:val="auto"/>
          <w:kern w:val="0"/>
          <w:sz w:val="24"/>
          <w:highlight w:val="none"/>
          <w:lang w:val="zh-CN"/>
        </w:rPr>
        <w:t>4.1供应商询问</w:t>
      </w:r>
    </w:p>
    <w:p>
      <w:pPr>
        <w:pStyle w:val="31"/>
        <w:keepNext w:val="0"/>
        <w:keepLines w:val="0"/>
        <w:pageBreakBefore w:val="0"/>
        <w:kinsoku/>
        <w:wordWrap/>
        <w:overflowPunct/>
        <w:topLinePunct w:val="0"/>
        <w:bidi w:val="0"/>
        <w:adjustRightInd/>
        <w:snapToGrid/>
        <w:spacing w:beforeAutospacing="0" w:line="360" w:lineRule="auto"/>
        <w:ind w:right="0" w:firstLine="482" w:firstLineChars="200"/>
        <w:jc w:val="left"/>
        <w:textAlignment w:val="auto"/>
        <w:rPr>
          <w:rFonts w:ascii="仿宋" w:hAnsi="仿宋" w:eastAsia="仿宋"/>
          <w:color w:val="auto"/>
          <w:sz w:val="24"/>
          <w:highlight w:val="none"/>
        </w:rPr>
      </w:pPr>
      <w:r>
        <w:rPr>
          <w:rFonts w:hint="eastAsia" w:ascii="仿宋" w:hAnsi="仿宋" w:eastAsia="仿宋"/>
          <w:b/>
          <w:color w:val="auto"/>
          <w:sz w:val="24"/>
          <w:highlight w:val="none"/>
        </w:rPr>
        <w:t>已获取招标文件的潜在投标人，发现招标文件其中有误或有问题需要澄清，应于公告发布之日起至公告期限届满之日内以书面形式向采购人或者采购代理机构提出，采购代理机构与采购人研究后，对认为有必要回答的问题，将以公告</w:t>
      </w:r>
      <w:r>
        <w:rPr>
          <w:rFonts w:ascii="仿宋" w:hAnsi="仿宋" w:eastAsia="仿宋"/>
          <w:b/>
          <w:color w:val="auto"/>
          <w:sz w:val="24"/>
          <w:highlight w:val="none"/>
        </w:rPr>
        <w:t>形式</w:t>
      </w:r>
      <w:r>
        <w:rPr>
          <w:rFonts w:hint="eastAsia" w:ascii="仿宋" w:hAnsi="仿宋" w:eastAsia="仿宋"/>
          <w:b/>
          <w:color w:val="auto"/>
          <w:sz w:val="24"/>
          <w:highlight w:val="none"/>
        </w:rPr>
        <w:t>通知所有招标文件收受人。逾期提出的采购人有权不予受理。</w:t>
      </w:r>
    </w:p>
    <w:p>
      <w:pPr>
        <w:keepNext w:val="0"/>
        <w:keepLines w:val="0"/>
        <w:pageBreakBefore w:val="0"/>
        <w:kinsoku/>
        <w:wordWrap/>
        <w:overflowPunct/>
        <w:topLinePunct w:val="0"/>
        <w:autoSpaceDE w:val="0"/>
        <w:autoSpaceDN w:val="0"/>
        <w:bidi w:val="0"/>
        <w:adjustRightInd/>
        <w:snapToGrid/>
        <w:spacing w:beforeAutospacing="0" w:line="360" w:lineRule="auto"/>
        <w:ind w:right="0" w:firstLine="480" w:firstLineChars="200"/>
        <w:jc w:val="left"/>
        <w:textAlignment w:val="auto"/>
        <w:rPr>
          <w:rFonts w:ascii="仿宋" w:hAnsi="仿宋" w:eastAsia="仿宋" w:cs="微软雅黑"/>
          <w:color w:val="auto"/>
          <w:kern w:val="0"/>
          <w:sz w:val="24"/>
          <w:highlight w:val="none"/>
          <w:lang w:val="zh-CN"/>
        </w:rPr>
      </w:pPr>
      <w:r>
        <w:rPr>
          <w:rFonts w:hint="eastAsia" w:ascii="仿宋" w:hAnsi="仿宋" w:eastAsia="仿宋" w:cs="微软雅黑"/>
          <w:color w:val="auto"/>
          <w:kern w:val="0"/>
          <w:sz w:val="24"/>
          <w:highlight w:val="none"/>
          <w:lang w:val="zh-CN"/>
        </w:rPr>
        <w:t>4.2供应商质疑</w:t>
      </w:r>
    </w:p>
    <w:p>
      <w:pPr>
        <w:pStyle w:val="31"/>
        <w:keepNext w:val="0"/>
        <w:keepLines w:val="0"/>
        <w:pageBreakBefore w:val="0"/>
        <w:kinsoku/>
        <w:wordWrap/>
        <w:overflowPunct/>
        <w:topLinePunct w:val="0"/>
        <w:bidi w:val="0"/>
        <w:adjustRightInd/>
        <w:snapToGrid/>
        <w:spacing w:beforeAutospacing="0" w:line="360" w:lineRule="auto"/>
        <w:ind w:right="0" w:firstLine="480" w:firstLineChars="200"/>
        <w:jc w:val="left"/>
        <w:textAlignment w:val="auto"/>
        <w:rPr>
          <w:rFonts w:ascii="仿宋" w:hAnsi="仿宋" w:eastAsia="仿宋"/>
          <w:color w:val="auto"/>
          <w:sz w:val="24"/>
          <w:highlight w:val="none"/>
        </w:rPr>
      </w:pPr>
      <w:r>
        <w:rPr>
          <w:rFonts w:hint="eastAsia" w:ascii="仿宋" w:hAnsi="仿宋" w:eastAsia="仿宋" w:cs="微软雅黑"/>
          <w:color w:val="auto"/>
          <w:kern w:val="0"/>
          <w:sz w:val="24"/>
          <w:highlight w:val="none"/>
          <w:lang w:val="zh-CN"/>
        </w:rPr>
        <w:t>4.2</w:t>
      </w:r>
      <w:r>
        <w:rPr>
          <w:rFonts w:hint="eastAsia" w:ascii="仿宋" w:hAnsi="仿宋" w:eastAsia="仿宋"/>
          <w:color w:val="auto"/>
          <w:sz w:val="24"/>
          <w:highlight w:val="none"/>
        </w:rPr>
        <w:t>.1提出质疑的供应商应当是参与所质疑项目采购活动的供应商。潜在供应商已依法获取其可质疑的采购文件的，可以对该文件提出质疑。</w:t>
      </w:r>
    </w:p>
    <w:p>
      <w:pPr>
        <w:pStyle w:val="31"/>
        <w:keepNext w:val="0"/>
        <w:keepLines w:val="0"/>
        <w:pageBreakBefore w:val="0"/>
        <w:kinsoku/>
        <w:wordWrap/>
        <w:overflowPunct/>
        <w:topLinePunct w:val="0"/>
        <w:bidi w:val="0"/>
        <w:adjustRightInd/>
        <w:snapToGrid/>
        <w:spacing w:beforeAutospacing="0" w:line="360" w:lineRule="auto"/>
        <w:ind w:right="0" w:firstLine="480" w:firstLineChars="200"/>
        <w:textAlignment w:val="auto"/>
        <w:rPr>
          <w:rFonts w:ascii="仿宋" w:hAnsi="仿宋" w:eastAsia="仿宋"/>
          <w:color w:val="auto"/>
          <w:sz w:val="24"/>
          <w:highlight w:val="none"/>
        </w:rPr>
      </w:pPr>
      <w:r>
        <w:rPr>
          <w:rFonts w:hint="eastAsia" w:ascii="仿宋" w:hAnsi="仿宋" w:eastAsia="仿宋" w:cs="微软雅黑"/>
          <w:color w:val="auto"/>
          <w:kern w:val="0"/>
          <w:sz w:val="24"/>
          <w:highlight w:val="none"/>
          <w:lang w:val="zh-CN"/>
        </w:rPr>
        <w:t>4.2</w:t>
      </w:r>
      <w:r>
        <w:rPr>
          <w:rFonts w:hint="eastAsia" w:ascii="仿宋" w:hAnsi="仿宋" w:eastAsia="仿宋"/>
          <w:color w:val="auto"/>
          <w:sz w:val="24"/>
          <w:highlight w:val="none"/>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31"/>
        <w:keepNext w:val="0"/>
        <w:keepLines w:val="0"/>
        <w:pageBreakBefore w:val="0"/>
        <w:kinsoku/>
        <w:wordWrap/>
        <w:overflowPunct/>
        <w:topLinePunct w:val="0"/>
        <w:bidi w:val="0"/>
        <w:adjustRightInd/>
        <w:snapToGrid/>
        <w:spacing w:beforeAutospacing="0" w:line="360" w:lineRule="auto"/>
        <w:ind w:right="0" w:firstLine="480" w:firstLineChars="200"/>
        <w:textAlignment w:val="auto"/>
        <w:rPr>
          <w:rFonts w:ascii="仿宋" w:hAnsi="仿宋" w:eastAsia="仿宋"/>
          <w:color w:val="auto"/>
          <w:sz w:val="24"/>
          <w:highlight w:val="none"/>
        </w:rPr>
      </w:pPr>
      <w:r>
        <w:rPr>
          <w:rFonts w:hint="eastAsia" w:ascii="仿宋" w:hAnsi="仿宋" w:eastAsia="仿宋"/>
          <w:color w:val="auto"/>
          <w:sz w:val="24"/>
          <w:highlight w:val="none"/>
        </w:rPr>
        <w:t>（1）对采购文件提出质疑的，质疑期限为供应商获得采购文件之日或者采购文件公告期限届满之日起计算。采购文件在公告期限届满之日后获得的，应当自采购文件公告期限届满之日起计算，且应当在采购响应截止时间之前提出。</w:t>
      </w:r>
    </w:p>
    <w:p>
      <w:pPr>
        <w:pStyle w:val="31"/>
        <w:keepNext w:val="0"/>
        <w:keepLines w:val="0"/>
        <w:pageBreakBefore w:val="0"/>
        <w:kinsoku/>
        <w:wordWrap/>
        <w:overflowPunct/>
        <w:topLinePunct w:val="0"/>
        <w:bidi w:val="0"/>
        <w:adjustRightInd/>
        <w:snapToGrid/>
        <w:spacing w:beforeAutospacing="0" w:line="360" w:lineRule="auto"/>
        <w:ind w:right="0" w:firstLine="480" w:firstLineChars="200"/>
        <w:textAlignment w:val="auto"/>
        <w:rPr>
          <w:rFonts w:hint="eastAsia" w:ascii="仿宋" w:hAnsi="仿宋" w:eastAsia="仿宋"/>
          <w:color w:val="auto"/>
          <w:sz w:val="24"/>
          <w:highlight w:val="none"/>
        </w:rPr>
      </w:pPr>
      <w:r>
        <w:rPr>
          <w:rFonts w:hint="eastAsia" w:ascii="仿宋" w:hAnsi="仿宋" w:eastAsia="仿宋"/>
          <w:color w:val="auto"/>
          <w:sz w:val="24"/>
          <w:highlight w:val="none"/>
        </w:rPr>
        <w:t>（2）对采购过程提出质疑的，质疑期限为各采购程序环节结束之日起计算。</w:t>
      </w:r>
    </w:p>
    <w:p>
      <w:pPr>
        <w:pStyle w:val="31"/>
        <w:keepNext w:val="0"/>
        <w:keepLines w:val="0"/>
        <w:pageBreakBefore w:val="0"/>
        <w:kinsoku/>
        <w:wordWrap/>
        <w:overflowPunct/>
        <w:topLinePunct w:val="0"/>
        <w:bidi w:val="0"/>
        <w:adjustRightInd/>
        <w:snapToGrid/>
        <w:spacing w:beforeAutospacing="0" w:line="360" w:lineRule="auto"/>
        <w:ind w:right="0" w:firstLine="480" w:firstLineChars="200"/>
        <w:textAlignment w:val="auto"/>
        <w:rPr>
          <w:rFonts w:hint="eastAsia" w:ascii="仿宋" w:hAnsi="仿宋" w:eastAsia="仿宋"/>
          <w:color w:val="auto"/>
          <w:sz w:val="24"/>
          <w:highlight w:val="none"/>
        </w:rPr>
      </w:pPr>
      <w:r>
        <w:rPr>
          <w:rFonts w:hint="eastAsia" w:ascii="仿宋" w:hAnsi="仿宋" w:eastAsia="仿宋"/>
          <w:color w:val="auto"/>
          <w:sz w:val="24"/>
          <w:highlight w:val="none"/>
        </w:rPr>
        <w:t>（3）对采购结果提出质疑的，质疑期限自采购结果公告期限届满之日起计算。</w:t>
      </w:r>
    </w:p>
    <w:p>
      <w:pPr>
        <w:pStyle w:val="31"/>
        <w:keepNext w:val="0"/>
        <w:keepLines w:val="0"/>
        <w:pageBreakBefore w:val="0"/>
        <w:kinsoku/>
        <w:wordWrap/>
        <w:overflowPunct/>
        <w:topLinePunct w:val="0"/>
        <w:bidi w:val="0"/>
        <w:adjustRightInd/>
        <w:snapToGrid/>
        <w:spacing w:beforeAutospacing="0" w:line="360" w:lineRule="auto"/>
        <w:ind w:right="0" w:firstLine="480" w:firstLineChars="200"/>
        <w:textAlignment w:val="auto"/>
        <w:rPr>
          <w:rFonts w:ascii="仿宋" w:hAnsi="仿宋" w:eastAsia="仿宋"/>
          <w:color w:val="auto"/>
          <w:sz w:val="24"/>
          <w:highlight w:val="none"/>
        </w:rPr>
      </w:pPr>
      <w:r>
        <w:rPr>
          <w:rFonts w:hint="eastAsia" w:ascii="仿宋" w:hAnsi="仿宋" w:eastAsia="仿宋"/>
          <w:color w:val="auto"/>
          <w:sz w:val="24"/>
          <w:highlight w:val="none"/>
        </w:rPr>
        <w:t>（4）供应商应在法定质疑期内一次性提出针对同一采购程序环节的质疑。</w:t>
      </w:r>
    </w:p>
    <w:p>
      <w:pPr>
        <w:pStyle w:val="31"/>
        <w:keepNext w:val="0"/>
        <w:keepLines w:val="0"/>
        <w:pageBreakBefore w:val="0"/>
        <w:kinsoku/>
        <w:wordWrap/>
        <w:overflowPunct/>
        <w:topLinePunct w:val="0"/>
        <w:bidi w:val="0"/>
        <w:adjustRightInd/>
        <w:snapToGrid/>
        <w:spacing w:beforeAutospacing="0" w:line="360" w:lineRule="auto"/>
        <w:ind w:right="0" w:firstLine="480" w:firstLineChars="200"/>
        <w:contextualSpacing/>
        <w:textAlignment w:val="auto"/>
        <w:rPr>
          <w:rFonts w:ascii="仿宋" w:hAnsi="仿宋" w:eastAsia="仿宋"/>
          <w:color w:val="auto"/>
          <w:sz w:val="24"/>
          <w:highlight w:val="none"/>
        </w:rPr>
      </w:pPr>
      <w:r>
        <w:rPr>
          <w:rFonts w:hint="eastAsia" w:ascii="仿宋" w:hAnsi="仿宋" w:eastAsia="仿宋" w:cs="微软雅黑"/>
          <w:color w:val="auto"/>
          <w:kern w:val="0"/>
          <w:sz w:val="24"/>
          <w:highlight w:val="none"/>
          <w:lang w:val="zh-CN"/>
        </w:rPr>
        <w:t>4.2.3</w:t>
      </w:r>
      <w:r>
        <w:rPr>
          <w:rFonts w:ascii="仿宋" w:hAnsi="仿宋" w:eastAsia="仿宋"/>
          <w:color w:val="auto"/>
          <w:sz w:val="24"/>
          <w:highlight w:val="none"/>
        </w:rPr>
        <w:t>供应商提出质疑应当提交质疑函和必要的证明材料。质疑函应当包括下列内容：</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s="Arial"/>
          <w:snapToGrid w:val="0"/>
          <w:color w:val="auto"/>
          <w:kern w:val="2"/>
          <w:szCs w:val="21"/>
          <w:highlight w:val="none"/>
        </w:rPr>
      </w:pPr>
      <w:r>
        <w:rPr>
          <w:rFonts w:hint="eastAsia" w:ascii="仿宋" w:hAnsi="仿宋" w:eastAsia="仿宋" w:cs="微软雅黑"/>
          <w:color w:val="auto"/>
          <w:highlight w:val="none"/>
          <w:lang w:val="zh-CN"/>
        </w:rPr>
        <w:t>4.2.3.1</w:t>
      </w:r>
      <w:r>
        <w:rPr>
          <w:rFonts w:ascii="仿宋" w:hAnsi="仿宋" w:eastAsia="仿宋" w:cs="Arial"/>
          <w:snapToGrid w:val="0"/>
          <w:color w:val="auto"/>
          <w:kern w:val="2"/>
          <w:szCs w:val="21"/>
          <w:highlight w:val="none"/>
        </w:rPr>
        <w:t>供应商的姓名或者名称、地址、邮编、联系人及联系电话；</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s="Arial"/>
          <w:snapToGrid w:val="0"/>
          <w:color w:val="auto"/>
          <w:kern w:val="2"/>
          <w:szCs w:val="21"/>
          <w:highlight w:val="none"/>
        </w:rPr>
      </w:pPr>
      <w:r>
        <w:rPr>
          <w:rFonts w:hint="eastAsia" w:ascii="仿宋" w:hAnsi="仿宋" w:eastAsia="仿宋" w:cs="微软雅黑"/>
          <w:color w:val="auto"/>
          <w:highlight w:val="none"/>
          <w:lang w:val="zh-CN"/>
        </w:rPr>
        <w:t>4.2.3.2</w:t>
      </w:r>
      <w:r>
        <w:rPr>
          <w:rFonts w:ascii="仿宋" w:hAnsi="仿宋" w:eastAsia="仿宋" w:cs="Arial"/>
          <w:snapToGrid w:val="0"/>
          <w:color w:val="auto"/>
          <w:kern w:val="2"/>
          <w:szCs w:val="21"/>
          <w:highlight w:val="none"/>
        </w:rPr>
        <w:t>质疑项目的名称、编号；</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s="Arial"/>
          <w:snapToGrid w:val="0"/>
          <w:color w:val="auto"/>
          <w:kern w:val="2"/>
          <w:szCs w:val="21"/>
          <w:highlight w:val="none"/>
        </w:rPr>
      </w:pPr>
      <w:r>
        <w:rPr>
          <w:rFonts w:hint="eastAsia" w:ascii="仿宋" w:hAnsi="仿宋" w:eastAsia="仿宋" w:cs="微软雅黑"/>
          <w:color w:val="auto"/>
          <w:highlight w:val="none"/>
          <w:lang w:val="zh-CN"/>
        </w:rPr>
        <w:t>4.2.3.3</w:t>
      </w:r>
      <w:r>
        <w:rPr>
          <w:rFonts w:ascii="仿宋" w:hAnsi="仿宋" w:eastAsia="仿宋" w:cs="Arial"/>
          <w:snapToGrid w:val="0"/>
          <w:color w:val="auto"/>
          <w:kern w:val="2"/>
          <w:szCs w:val="21"/>
          <w:highlight w:val="none"/>
        </w:rPr>
        <w:t>具体、明确的质疑事项和与质疑事项相关的请求；</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s="Arial"/>
          <w:snapToGrid w:val="0"/>
          <w:color w:val="auto"/>
          <w:kern w:val="2"/>
          <w:szCs w:val="21"/>
          <w:highlight w:val="none"/>
        </w:rPr>
      </w:pPr>
      <w:r>
        <w:rPr>
          <w:rFonts w:hint="eastAsia" w:ascii="仿宋" w:hAnsi="仿宋" w:eastAsia="仿宋" w:cs="微软雅黑"/>
          <w:color w:val="auto"/>
          <w:highlight w:val="none"/>
          <w:lang w:val="zh-CN"/>
        </w:rPr>
        <w:t>4.2.3.4</w:t>
      </w:r>
      <w:r>
        <w:rPr>
          <w:rFonts w:ascii="仿宋" w:hAnsi="仿宋" w:eastAsia="仿宋" w:cs="Arial"/>
          <w:snapToGrid w:val="0"/>
          <w:color w:val="auto"/>
          <w:kern w:val="2"/>
          <w:szCs w:val="21"/>
          <w:highlight w:val="none"/>
        </w:rPr>
        <w:t>事实依据；</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s="Arial"/>
          <w:snapToGrid w:val="0"/>
          <w:color w:val="auto"/>
          <w:kern w:val="2"/>
          <w:szCs w:val="21"/>
          <w:highlight w:val="none"/>
        </w:rPr>
      </w:pPr>
      <w:r>
        <w:rPr>
          <w:rFonts w:hint="eastAsia" w:ascii="仿宋" w:hAnsi="仿宋" w:eastAsia="仿宋" w:cs="微软雅黑"/>
          <w:color w:val="auto"/>
          <w:highlight w:val="none"/>
          <w:lang w:val="zh-CN"/>
        </w:rPr>
        <w:t>4.2.3.5</w:t>
      </w:r>
      <w:r>
        <w:rPr>
          <w:rFonts w:ascii="仿宋" w:hAnsi="仿宋" w:eastAsia="仿宋" w:cs="Arial"/>
          <w:snapToGrid w:val="0"/>
          <w:color w:val="auto"/>
          <w:kern w:val="2"/>
          <w:szCs w:val="21"/>
          <w:highlight w:val="none"/>
        </w:rPr>
        <w:t>必要的法律依据；</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s="Arial"/>
          <w:snapToGrid w:val="0"/>
          <w:color w:val="auto"/>
          <w:kern w:val="2"/>
          <w:szCs w:val="21"/>
          <w:highlight w:val="none"/>
        </w:rPr>
      </w:pPr>
      <w:r>
        <w:rPr>
          <w:rFonts w:hint="eastAsia" w:ascii="仿宋" w:hAnsi="仿宋" w:eastAsia="仿宋" w:cs="微软雅黑"/>
          <w:color w:val="auto"/>
          <w:highlight w:val="none"/>
          <w:lang w:val="zh-CN"/>
        </w:rPr>
        <w:t>4.2.3.6</w:t>
      </w:r>
      <w:r>
        <w:rPr>
          <w:rFonts w:ascii="仿宋" w:hAnsi="仿宋" w:eastAsia="仿宋" w:cs="Arial"/>
          <w:snapToGrid w:val="0"/>
          <w:color w:val="auto"/>
          <w:kern w:val="2"/>
          <w:szCs w:val="21"/>
          <w:highlight w:val="none"/>
        </w:rPr>
        <w:t>提出质疑的日期。</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olor w:val="auto"/>
          <w:highlight w:val="none"/>
        </w:rPr>
      </w:pPr>
      <w:r>
        <w:rPr>
          <w:rFonts w:hint="eastAsia" w:ascii="仿宋" w:hAnsi="仿宋" w:eastAsia="仿宋"/>
          <w:color w:val="auto"/>
          <w:highlight w:val="none"/>
        </w:rPr>
        <w:t>供应商提交的质疑函需一式三份。</w:t>
      </w:r>
      <w:r>
        <w:rPr>
          <w:rFonts w:ascii="仿宋" w:hAnsi="仿宋" w:eastAsia="仿宋"/>
          <w:color w:val="auto"/>
          <w:highlight w:val="none"/>
        </w:rPr>
        <w:t>供应商为自然人的，应当由本人签字；供应商为法人或者其他组织的，应当由法定代表人、主要负责人，或者其授权代表签字或者盖章，并加盖公章。</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olor w:val="auto"/>
          <w:highlight w:val="none"/>
        </w:rPr>
      </w:pPr>
      <w:r>
        <w:rPr>
          <w:rFonts w:hint="eastAsia" w:ascii="仿宋" w:hAnsi="仿宋" w:eastAsia="仿宋"/>
          <w:color w:val="auto"/>
          <w:highlight w:val="none"/>
        </w:rPr>
        <w:t>质疑函范本</w:t>
      </w:r>
      <w:r>
        <w:rPr>
          <w:rFonts w:ascii="仿宋" w:hAnsi="仿宋" w:eastAsia="仿宋"/>
          <w:color w:val="auto"/>
          <w:szCs w:val="28"/>
          <w:highlight w:val="none"/>
        </w:rPr>
        <w:t>请到浙江政府采购网下载专区下载</w:t>
      </w:r>
      <w:r>
        <w:rPr>
          <w:rFonts w:hint="eastAsia" w:ascii="仿宋" w:hAnsi="仿宋" w:eastAsia="仿宋"/>
          <w:color w:val="auto"/>
          <w:highlight w:val="none"/>
        </w:rPr>
        <w:t>。</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olor w:val="auto"/>
          <w:highlight w:val="none"/>
        </w:rPr>
      </w:pPr>
      <w:r>
        <w:rPr>
          <w:rFonts w:hint="eastAsia" w:ascii="仿宋" w:hAnsi="仿宋" w:eastAsia="仿宋" w:cs="微软雅黑"/>
          <w:color w:val="auto"/>
          <w:highlight w:val="none"/>
          <w:lang w:val="zh-CN"/>
        </w:rPr>
        <w:t>4.2</w:t>
      </w:r>
      <w:r>
        <w:rPr>
          <w:rFonts w:hint="eastAsia" w:ascii="仿宋" w:hAnsi="仿宋" w:eastAsia="仿宋"/>
          <w:color w:val="auto"/>
          <w:highlight w:val="none"/>
        </w:rPr>
        <w:t>.4采购人或者采购代理机构应当在收到供应商的书面质疑后七个工作日内作出答复，并以书面形式通知质疑供应商和其他与质疑处理结果有利害关系的政府采购当事人，但答复的内容不得涉及商业秘密。</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olor w:val="auto"/>
          <w:highlight w:val="none"/>
        </w:rPr>
      </w:pPr>
      <w:r>
        <w:rPr>
          <w:rFonts w:hint="eastAsia" w:ascii="仿宋" w:hAnsi="仿宋" w:eastAsia="仿宋" w:cs="微软雅黑"/>
          <w:color w:val="auto"/>
          <w:highlight w:val="none"/>
          <w:lang w:val="zh-CN"/>
        </w:rPr>
        <w:t>4.2</w:t>
      </w:r>
      <w:r>
        <w:rPr>
          <w:rFonts w:hint="eastAsia" w:ascii="仿宋" w:hAnsi="仿宋" w:eastAsia="仿宋"/>
          <w:color w:val="auto"/>
          <w:highlight w:val="none"/>
        </w:rPr>
        <w:t>.5询问或者质疑事项可能影响采购结果的，采购人应当暂停签订合同，已经签订合同的，应当中止履行合同。</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olor w:val="auto"/>
          <w:kern w:val="2"/>
          <w:highlight w:val="none"/>
        </w:rPr>
      </w:pPr>
      <w:r>
        <w:rPr>
          <w:rFonts w:hint="eastAsia" w:ascii="仿宋" w:hAnsi="仿宋" w:eastAsia="仿宋"/>
          <w:color w:val="auto"/>
          <w:kern w:val="2"/>
          <w:highlight w:val="none"/>
        </w:rPr>
        <w:t>4.2.6质疑接收人：详见前附表</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hint="eastAsia" w:ascii="仿宋" w:hAnsi="仿宋" w:eastAsia="仿宋" w:cs="微软雅黑"/>
          <w:color w:val="auto"/>
          <w:highlight w:val="none"/>
          <w:lang w:val="zh-CN"/>
        </w:rPr>
      </w:pPr>
      <w:r>
        <w:rPr>
          <w:rFonts w:hint="eastAsia" w:ascii="仿宋" w:hAnsi="仿宋" w:eastAsia="仿宋" w:cs="微软雅黑"/>
          <w:color w:val="auto"/>
          <w:highlight w:val="none"/>
          <w:lang w:val="zh-CN"/>
        </w:rPr>
        <w:t>4.3供应商投诉</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hint="eastAsia" w:ascii="仿宋" w:hAnsi="仿宋" w:eastAsia="仿宋" w:cs="微软雅黑"/>
          <w:color w:val="auto"/>
          <w:highlight w:val="none"/>
          <w:lang w:val="zh-CN"/>
        </w:rPr>
      </w:pPr>
      <w:r>
        <w:rPr>
          <w:rFonts w:hint="eastAsia" w:ascii="仿宋" w:hAnsi="仿宋" w:eastAsia="仿宋" w:cs="微软雅黑"/>
          <w:color w:val="auto"/>
          <w:highlight w:val="none"/>
          <w:lang w:val="zh-CN"/>
        </w:rPr>
        <w:t>4.3.1质疑供应商对采购人、采购代理机构的答复不满意或者采购人、采购代理机构未在规定的时间内作出答复的，可以在答复期满后十五个工作日内向同级政府采购监</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olor w:val="auto"/>
          <w:highlight w:val="none"/>
        </w:rPr>
      </w:pPr>
      <w:r>
        <w:rPr>
          <w:rFonts w:hint="eastAsia" w:ascii="仿宋" w:hAnsi="仿宋" w:eastAsia="仿宋"/>
          <w:color w:val="auto"/>
          <w:highlight w:val="none"/>
        </w:rPr>
        <w:t>督管理部门提出投诉。</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olor w:val="auto"/>
          <w:highlight w:val="none"/>
        </w:rPr>
      </w:pPr>
      <w:r>
        <w:rPr>
          <w:rFonts w:ascii="仿宋" w:hAnsi="仿宋" w:eastAsia="仿宋"/>
          <w:color w:val="auto"/>
          <w:highlight w:val="none"/>
        </w:rPr>
        <w:t>4.3</w:t>
      </w:r>
      <w:r>
        <w:rPr>
          <w:rFonts w:hint="eastAsia" w:ascii="仿宋" w:hAnsi="仿宋" w:eastAsia="仿宋"/>
          <w:color w:val="auto"/>
          <w:highlight w:val="none"/>
        </w:rPr>
        <w:t>.</w:t>
      </w:r>
      <w:r>
        <w:rPr>
          <w:rFonts w:hint="eastAsia" w:ascii="仿宋" w:hAnsi="仿宋" w:eastAsia="仿宋" w:cs="微软雅黑"/>
          <w:color w:val="auto"/>
          <w:highlight w:val="none"/>
          <w:lang w:val="zh-CN"/>
        </w:rPr>
        <w:t>2</w:t>
      </w:r>
      <w:r>
        <w:rPr>
          <w:rFonts w:hint="eastAsia" w:ascii="仿宋" w:hAnsi="仿宋" w:eastAsia="仿宋"/>
          <w:color w:val="auto"/>
          <w:highlight w:val="none"/>
        </w:rPr>
        <w:t>供应商投诉的事项不得超出已质疑事项的范围，基于质疑答复内容提出的投诉事项除外。</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olor w:val="auto"/>
          <w:highlight w:val="none"/>
        </w:rPr>
      </w:pPr>
      <w:r>
        <w:rPr>
          <w:rFonts w:ascii="仿宋" w:hAnsi="仿宋" w:eastAsia="仿宋"/>
          <w:color w:val="auto"/>
          <w:highlight w:val="none"/>
        </w:rPr>
        <w:t>4.3</w:t>
      </w:r>
      <w:r>
        <w:rPr>
          <w:rFonts w:hint="eastAsia" w:ascii="仿宋" w:hAnsi="仿宋" w:eastAsia="仿宋"/>
          <w:color w:val="auto"/>
          <w:highlight w:val="none"/>
        </w:rPr>
        <w:t>.3供应商投诉应当有明确的请求和必要的证明材料。</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olor w:val="auto"/>
          <w:highlight w:val="none"/>
        </w:rPr>
      </w:pPr>
      <w:r>
        <w:rPr>
          <w:rFonts w:ascii="仿宋" w:hAnsi="仿宋" w:eastAsia="仿宋"/>
          <w:color w:val="auto"/>
          <w:highlight w:val="none"/>
        </w:rPr>
        <w:t>4.3</w:t>
      </w:r>
      <w:r>
        <w:rPr>
          <w:rFonts w:hint="eastAsia" w:ascii="仿宋" w:hAnsi="仿宋" w:eastAsia="仿宋"/>
          <w:color w:val="auto"/>
          <w:highlight w:val="none"/>
        </w:rPr>
        <w:t>.4 以联合体形式参加政府采购活动的，其投诉应当由组成联合体的所有供应商共同提出。</w:t>
      </w:r>
    </w:p>
    <w:p>
      <w:pPr>
        <w:pStyle w:val="294"/>
        <w:keepNext w:val="0"/>
        <w:keepLines w:val="0"/>
        <w:pageBreakBefore w:val="0"/>
        <w:shd w:val="clear" w:color="auto" w:fill="FFFFFF"/>
        <w:kinsoku/>
        <w:wordWrap/>
        <w:overflowPunct/>
        <w:topLinePunct w:val="0"/>
        <w:bidi w:val="0"/>
        <w:adjustRightInd/>
        <w:snapToGrid/>
        <w:spacing w:before="0" w:beforeAutospacing="0" w:after="0" w:afterAutospacing="0" w:line="360" w:lineRule="auto"/>
        <w:ind w:right="0" w:firstLine="480" w:firstLineChars="200"/>
        <w:contextualSpacing/>
        <w:textAlignment w:val="auto"/>
        <w:rPr>
          <w:rFonts w:ascii="仿宋" w:hAnsi="仿宋" w:eastAsia="仿宋"/>
          <w:color w:val="auto"/>
          <w:highlight w:val="none"/>
        </w:rPr>
      </w:pPr>
      <w:r>
        <w:rPr>
          <w:rFonts w:hint="eastAsia" w:ascii="仿宋" w:hAnsi="仿宋" w:eastAsia="仿宋"/>
          <w:color w:val="auto"/>
          <w:highlight w:val="none"/>
        </w:rPr>
        <w:t>投诉书范本</w:t>
      </w:r>
      <w:r>
        <w:rPr>
          <w:rFonts w:ascii="仿宋" w:hAnsi="仿宋" w:eastAsia="仿宋"/>
          <w:color w:val="auto"/>
          <w:szCs w:val="28"/>
          <w:highlight w:val="none"/>
        </w:rPr>
        <w:t>请到浙江政府采购网下载专区下载</w:t>
      </w:r>
      <w:r>
        <w:rPr>
          <w:rFonts w:hint="eastAsia" w:ascii="仿宋" w:hAnsi="仿宋" w:eastAsia="仿宋"/>
          <w:color w:val="auto"/>
          <w:highlight w:val="none"/>
        </w:rPr>
        <w:t>。</w:t>
      </w:r>
    </w:p>
    <w:p>
      <w:pPr>
        <w:adjustRightInd/>
        <w:spacing w:line="360" w:lineRule="auto"/>
        <w:jc w:val="center"/>
        <w:outlineLvl w:val="0"/>
        <w:rPr>
          <w:rFonts w:hint="eastAsia" w:ascii="仿宋" w:hAnsi="仿宋" w:eastAsia="仿宋" w:cs="仿宋_GB2312"/>
          <w:b/>
          <w:color w:val="auto"/>
          <w:sz w:val="32"/>
          <w:szCs w:val="20"/>
          <w:highlight w:val="none"/>
        </w:rPr>
      </w:pPr>
    </w:p>
    <w:p>
      <w:pPr>
        <w:adjustRightInd/>
        <w:spacing w:line="360" w:lineRule="auto"/>
        <w:jc w:val="center"/>
        <w:outlineLvl w:val="0"/>
        <w:rPr>
          <w:rFonts w:ascii="仿宋" w:hAnsi="仿宋" w:eastAsia="仿宋" w:cs="仿宋_GB2312"/>
          <w:b/>
          <w:color w:val="auto"/>
          <w:sz w:val="32"/>
          <w:szCs w:val="20"/>
          <w:highlight w:val="none"/>
        </w:rPr>
      </w:pPr>
      <w:bookmarkStart w:id="40" w:name="_Hlt75236290"/>
      <w:bookmarkEnd w:id="40"/>
      <w:bookmarkStart w:id="41" w:name="_Hlt68057669"/>
      <w:bookmarkEnd w:id="41"/>
      <w:bookmarkStart w:id="42" w:name="_Hlt74707468"/>
      <w:bookmarkEnd w:id="42"/>
      <w:bookmarkStart w:id="43" w:name="_Hlt74714665"/>
      <w:bookmarkEnd w:id="43"/>
      <w:bookmarkStart w:id="44" w:name="_Hlt74730295"/>
      <w:bookmarkEnd w:id="44"/>
      <w:bookmarkStart w:id="45" w:name="_Hlt74729768"/>
      <w:bookmarkEnd w:id="45"/>
      <w:bookmarkStart w:id="46" w:name="_Hlt68072990"/>
      <w:bookmarkEnd w:id="46"/>
      <w:bookmarkStart w:id="47" w:name="_Toc91899879"/>
      <w:r>
        <w:rPr>
          <w:rFonts w:hint="eastAsia" w:ascii="仿宋" w:hAnsi="仿宋" w:eastAsia="仿宋" w:cs="仿宋_GB2312"/>
          <w:b/>
          <w:color w:val="auto"/>
          <w:sz w:val="32"/>
          <w:szCs w:val="20"/>
          <w:highlight w:val="none"/>
        </w:rPr>
        <w:t>二、招标文件</w:t>
      </w:r>
      <w:bookmarkEnd w:id="47"/>
      <w:r>
        <w:rPr>
          <w:rFonts w:hint="eastAsia" w:ascii="仿宋" w:hAnsi="仿宋" w:eastAsia="仿宋" w:cs="仿宋_GB2312"/>
          <w:b/>
          <w:color w:val="auto"/>
          <w:sz w:val="32"/>
          <w:szCs w:val="20"/>
          <w:highlight w:val="none"/>
        </w:rPr>
        <w:t>的构成、澄清、修改</w:t>
      </w:r>
    </w:p>
    <w:p>
      <w:pPr>
        <w:pStyle w:val="31"/>
        <w:keepNext w:val="0"/>
        <w:keepLines w:val="0"/>
        <w:pageBreakBefore w:val="0"/>
        <w:widowControl w:val="0"/>
        <w:kinsoku/>
        <w:wordWrap/>
        <w:overflowPunct/>
        <w:topLinePunct w:val="0"/>
        <w:autoSpaceDE/>
        <w:autoSpaceDN/>
        <w:bidi w:val="0"/>
        <w:adjustRightInd/>
        <w:snapToGrid/>
        <w:spacing w:line="360" w:lineRule="auto"/>
        <w:ind w:right="0" w:firstLine="482" w:firstLineChars="200"/>
        <w:textAlignment w:val="auto"/>
        <w:rPr>
          <w:rFonts w:ascii="仿宋" w:hAnsi="仿宋" w:eastAsia="仿宋" w:cs="仿宋_GB2312"/>
          <w:b/>
          <w:color w:val="auto"/>
          <w:sz w:val="24"/>
          <w:szCs w:val="24"/>
          <w:highlight w:val="none"/>
        </w:rPr>
      </w:pPr>
      <w:bookmarkStart w:id="48" w:name="_Toc91899880"/>
      <w:bookmarkStart w:id="49" w:name="_Hlt74730307"/>
      <w:r>
        <w:rPr>
          <w:rFonts w:hint="eastAsia" w:ascii="仿宋" w:hAnsi="仿宋" w:eastAsia="仿宋" w:cs="仿宋_GB2312"/>
          <w:b/>
          <w:color w:val="auto"/>
          <w:sz w:val="24"/>
          <w:szCs w:val="24"/>
          <w:highlight w:val="none"/>
        </w:rPr>
        <w:t>5．招标文件的构成</w:t>
      </w:r>
      <w:bookmarkEnd w:id="48"/>
    </w:p>
    <w:bookmarkEnd w:id="49"/>
    <w:p>
      <w:pPr>
        <w:pStyle w:val="31"/>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5.1 招标文件包括下列文件及附件</w:t>
      </w:r>
    </w:p>
    <w:p>
      <w:pPr>
        <w:pStyle w:val="31"/>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right="0" w:firstLine="480" w:firstLineChars="200"/>
        <w:textAlignment w:val="auto"/>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第一部分 招标公告</w:t>
      </w:r>
    </w:p>
    <w:p>
      <w:pPr>
        <w:pStyle w:val="31"/>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right="0" w:firstLine="480" w:firstLineChars="200"/>
        <w:textAlignment w:val="auto"/>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第二部分 投标人须知</w:t>
      </w:r>
    </w:p>
    <w:p>
      <w:pPr>
        <w:pStyle w:val="31"/>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right="0" w:firstLine="480" w:firstLineChars="200"/>
        <w:textAlignment w:val="auto"/>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第三部分 采购需求</w:t>
      </w:r>
    </w:p>
    <w:p>
      <w:pPr>
        <w:pStyle w:val="31"/>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right="0" w:firstLine="480" w:firstLineChars="200"/>
        <w:textAlignment w:val="auto"/>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第四部分 评标方法及评分标准</w:t>
      </w:r>
    </w:p>
    <w:p>
      <w:pPr>
        <w:pStyle w:val="31"/>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right="0" w:firstLine="480" w:firstLineChars="200"/>
        <w:textAlignment w:val="auto"/>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第五部分 拟签订的合同文本</w:t>
      </w:r>
    </w:p>
    <w:p>
      <w:pPr>
        <w:pStyle w:val="31"/>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right="0" w:firstLine="480" w:firstLineChars="200"/>
        <w:textAlignment w:val="auto"/>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第六部分 应提交的有关格式范例</w:t>
      </w:r>
    </w:p>
    <w:p>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jc w:val="left"/>
        <w:textAlignment w:val="auto"/>
        <w:rPr>
          <w:rFonts w:ascii="仿宋" w:hAnsi="仿宋" w:eastAsia="仿宋"/>
          <w:bCs/>
          <w:color w:val="auto"/>
          <w:sz w:val="24"/>
          <w:highlight w:val="none"/>
        </w:rPr>
      </w:pPr>
      <w:r>
        <w:rPr>
          <w:rFonts w:hint="eastAsia" w:ascii="仿宋" w:hAnsi="仿宋" w:eastAsia="仿宋"/>
          <w:color w:val="auto"/>
          <w:sz w:val="24"/>
          <w:highlight w:val="none"/>
        </w:rPr>
        <w:t>5.2与本项目有关的</w:t>
      </w:r>
      <w:r>
        <w:rPr>
          <w:rFonts w:hint="eastAsia" w:ascii="仿宋" w:hAnsi="仿宋" w:eastAsia="仿宋"/>
          <w:bCs/>
          <w:color w:val="auto"/>
          <w:sz w:val="24"/>
          <w:highlight w:val="none"/>
        </w:rPr>
        <w:t>澄清或者修改等公告</w:t>
      </w:r>
      <w:r>
        <w:rPr>
          <w:rFonts w:ascii="仿宋" w:hAnsi="仿宋" w:eastAsia="仿宋"/>
          <w:bCs/>
          <w:color w:val="auto"/>
          <w:sz w:val="24"/>
          <w:highlight w:val="none"/>
        </w:rPr>
        <w:t>、</w:t>
      </w:r>
      <w:r>
        <w:rPr>
          <w:rFonts w:hint="eastAsia" w:ascii="仿宋" w:hAnsi="仿宋" w:eastAsia="仿宋"/>
          <w:bCs/>
          <w:color w:val="auto"/>
          <w:sz w:val="24"/>
          <w:highlight w:val="none"/>
        </w:rPr>
        <w:t>内容亦为招标文件的组成部分，</w:t>
      </w:r>
      <w:r>
        <w:rPr>
          <w:rFonts w:ascii="仿宋" w:hAnsi="仿宋" w:eastAsia="仿宋"/>
          <w:bCs/>
          <w:color w:val="auto"/>
          <w:sz w:val="24"/>
          <w:highlight w:val="none"/>
        </w:rPr>
        <w:t>投标人</w:t>
      </w:r>
      <w:r>
        <w:rPr>
          <w:rFonts w:hint="eastAsia" w:ascii="仿宋" w:hAnsi="仿宋" w:eastAsia="仿宋"/>
          <w:bCs/>
          <w:color w:val="auto"/>
          <w:sz w:val="24"/>
          <w:highlight w:val="none"/>
        </w:rPr>
        <w:t>须自行</w:t>
      </w:r>
      <w:r>
        <w:rPr>
          <w:rFonts w:ascii="仿宋" w:hAnsi="仿宋" w:eastAsia="仿宋"/>
          <w:bCs/>
          <w:color w:val="auto"/>
          <w:sz w:val="24"/>
          <w:highlight w:val="none"/>
        </w:rPr>
        <w:t>于</w:t>
      </w:r>
      <w:r>
        <w:rPr>
          <w:rFonts w:hint="eastAsia" w:ascii="仿宋" w:hAnsi="仿宋" w:eastAsia="仿宋"/>
          <w:bCs/>
          <w:color w:val="auto"/>
          <w:sz w:val="24"/>
          <w:highlight w:val="none"/>
        </w:rPr>
        <w:t>招标公告所</w:t>
      </w:r>
      <w:r>
        <w:rPr>
          <w:rFonts w:ascii="仿宋" w:hAnsi="仿宋" w:eastAsia="仿宋"/>
          <w:bCs/>
          <w:color w:val="auto"/>
          <w:sz w:val="24"/>
          <w:highlight w:val="none"/>
        </w:rPr>
        <w:t>在网站</w:t>
      </w:r>
      <w:r>
        <w:rPr>
          <w:rFonts w:hint="eastAsia" w:ascii="仿宋" w:hAnsi="仿宋" w:eastAsia="仿宋"/>
          <w:bCs/>
          <w:color w:val="auto"/>
          <w:sz w:val="24"/>
          <w:highlight w:val="none"/>
        </w:rPr>
        <w:t>获取</w:t>
      </w:r>
      <w:r>
        <w:rPr>
          <w:rFonts w:ascii="仿宋" w:hAnsi="仿宋" w:eastAsia="仿宋"/>
          <w:bCs/>
          <w:color w:val="auto"/>
          <w:sz w:val="24"/>
          <w:highlight w:val="none"/>
        </w:rPr>
        <w:t>相关信息（</w:t>
      </w:r>
      <w:r>
        <w:rPr>
          <w:rFonts w:hint="eastAsia" w:ascii="仿宋" w:hAnsi="仿宋" w:eastAsia="仿宋"/>
          <w:bCs/>
          <w:color w:val="auto"/>
          <w:sz w:val="24"/>
          <w:highlight w:val="none"/>
        </w:rPr>
        <w:t>浙江政府采购网网址http://www.zjzfcg.gov.cn</w:t>
      </w:r>
      <w:r>
        <w:rPr>
          <w:rFonts w:ascii="仿宋" w:hAnsi="仿宋" w:eastAsia="仿宋"/>
          <w:bCs/>
          <w:color w:val="auto"/>
          <w:sz w:val="24"/>
          <w:highlight w:val="none"/>
        </w:rPr>
        <w:t>）</w:t>
      </w:r>
      <w:r>
        <w:rPr>
          <w:rFonts w:hint="eastAsia" w:ascii="仿宋" w:hAnsi="仿宋" w:eastAsia="仿宋" w:cs="仿宋_GB2312"/>
          <w:color w:val="auto"/>
          <w:sz w:val="24"/>
          <w:highlight w:val="none"/>
        </w:rPr>
        <w:t>。</w:t>
      </w:r>
    </w:p>
    <w:p>
      <w:pPr>
        <w:pStyle w:val="31"/>
        <w:keepNext w:val="0"/>
        <w:keepLines w:val="0"/>
        <w:pageBreakBefore w:val="0"/>
        <w:widowControl w:val="0"/>
        <w:kinsoku/>
        <w:wordWrap/>
        <w:overflowPunct/>
        <w:topLinePunct w:val="0"/>
        <w:autoSpaceDE/>
        <w:autoSpaceDN/>
        <w:bidi w:val="0"/>
        <w:adjustRightInd/>
        <w:snapToGrid/>
        <w:spacing w:line="360" w:lineRule="auto"/>
        <w:ind w:right="0" w:firstLine="482" w:firstLineChars="200"/>
        <w:jc w:val="left"/>
        <w:textAlignment w:val="auto"/>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6. 招标文件的澄清、修改</w:t>
      </w:r>
    </w:p>
    <w:p>
      <w:pPr>
        <w:pStyle w:val="221"/>
        <w:keepNext w:val="0"/>
        <w:keepLines w:val="0"/>
        <w:pageBreakBefore w:val="0"/>
        <w:widowControl w:val="0"/>
        <w:kinsoku/>
        <w:wordWrap/>
        <w:overflowPunct/>
        <w:topLinePunct w:val="0"/>
        <w:autoSpaceDE/>
        <w:autoSpaceDN/>
        <w:bidi w:val="0"/>
        <w:adjustRightInd/>
        <w:snapToGrid/>
        <w:spacing w:before="0" w:beforeLines="0"/>
        <w:ind w:right="0" w:firstLine="480"/>
        <w:textAlignment w:val="auto"/>
        <w:rPr>
          <w:rFonts w:ascii="仿宋" w:hAnsi="仿宋" w:eastAsia="仿宋"/>
          <w:color w:val="auto"/>
          <w:highlight w:val="none"/>
        </w:rPr>
      </w:pPr>
      <w:r>
        <w:rPr>
          <w:rFonts w:hint="eastAsia" w:ascii="仿宋" w:hAnsi="仿宋" w:eastAsia="仿宋"/>
          <w:color w:val="auto"/>
          <w:highlight w:val="none"/>
        </w:rPr>
        <w:t>采购人或者采购代理机构如对已发出的招标文件进行必要澄清或者修改的，将在发布招标公告的网站上发布更正、澄清（修改）公告，同时视情况延长投标截止时间和开标时间。该公告澄清或者修改的内容为招标文件的组成部分。</w:t>
      </w:r>
    </w:p>
    <w:p>
      <w:pPr>
        <w:adjustRightInd/>
        <w:spacing w:line="360" w:lineRule="auto"/>
        <w:jc w:val="center"/>
        <w:outlineLvl w:val="0"/>
        <w:rPr>
          <w:rFonts w:hint="eastAsia" w:ascii="仿宋" w:hAnsi="仿宋" w:eastAsia="仿宋" w:cs="仿宋_GB2312"/>
          <w:b/>
          <w:color w:val="auto"/>
          <w:sz w:val="32"/>
          <w:szCs w:val="20"/>
          <w:highlight w:val="none"/>
          <w:lang w:val="en-US"/>
        </w:rPr>
      </w:pPr>
    </w:p>
    <w:p>
      <w:pPr>
        <w:adjustRightInd/>
        <w:spacing w:line="360" w:lineRule="auto"/>
        <w:jc w:val="center"/>
        <w:outlineLvl w:val="0"/>
        <w:rPr>
          <w:rFonts w:ascii="仿宋" w:hAnsi="仿宋" w:eastAsia="仿宋" w:cs="仿宋_GB2312"/>
          <w:b/>
          <w:color w:val="auto"/>
          <w:sz w:val="32"/>
          <w:szCs w:val="20"/>
          <w:highlight w:val="none"/>
        </w:rPr>
      </w:pPr>
      <w:bookmarkStart w:id="50" w:name="_Hlt75236011"/>
      <w:bookmarkEnd w:id="50"/>
      <w:bookmarkStart w:id="51" w:name="_Toc91899884"/>
      <w:r>
        <w:rPr>
          <w:rFonts w:hint="eastAsia" w:ascii="仿宋" w:hAnsi="仿宋" w:eastAsia="仿宋" w:cs="仿宋_GB2312"/>
          <w:b/>
          <w:color w:val="auto"/>
          <w:sz w:val="32"/>
          <w:szCs w:val="20"/>
          <w:highlight w:val="none"/>
        </w:rPr>
        <w:t>三、投标</w:t>
      </w:r>
      <w:bookmarkEnd w:id="51"/>
    </w:p>
    <w:p>
      <w:pPr>
        <w:pStyle w:val="31"/>
        <w:keepNext w:val="0"/>
        <w:keepLines w:val="0"/>
        <w:pageBreakBefore w:val="0"/>
        <w:widowControl w:val="0"/>
        <w:kinsoku/>
        <w:wordWrap/>
        <w:overflowPunct/>
        <w:topLinePunct w:val="0"/>
        <w:bidi w:val="0"/>
        <w:adjustRightInd/>
        <w:snapToGrid/>
        <w:spacing w:line="360" w:lineRule="auto"/>
        <w:ind w:firstLine="482" w:firstLineChars="200"/>
        <w:textAlignment w:val="auto"/>
        <w:rPr>
          <w:rFonts w:ascii="仿宋" w:hAnsi="仿宋" w:eastAsia="仿宋" w:cs="仿宋_GB2312"/>
          <w:b/>
          <w:color w:val="auto"/>
          <w:sz w:val="24"/>
          <w:szCs w:val="24"/>
          <w:highlight w:val="none"/>
        </w:rPr>
      </w:pPr>
      <w:bookmarkStart w:id="52" w:name="_Toc86216991"/>
      <w:bookmarkStart w:id="53" w:name="_Toc91899892"/>
      <w:r>
        <w:rPr>
          <w:rFonts w:hint="eastAsia" w:ascii="仿宋" w:hAnsi="仿宋" w:eastAsia="仿宋" w:cs="仿宋_GB2312"/>
          <w:b/>
          <w:color w:val="auto"/>
          <w:sz w:val="24"/>
          <w:szCs w:val="24"/>
          <w:highlight w:val="none"/>
        </w:rPr>
        <w:t>7.招标文件的获取</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s="仿宋_GB2312"/>
          <w:snapToGrid w:val="0"/>
          <w:color w:val="auto"/>
          <w:kern w:val="28"/>
          <w:sz w:val="24"/>
          <w:highlight w:val="none"/>
        </w:rPr>
      </w:pPr>
      <w:r>
        <w:rPr>
          <w:rFonts w:hint="eastAsia" w:ascii="仿宋" w:hAnsi="仿宋" w:eastAsia="仿宋" w:cs="仿宋_GB2312"/>
          <w:snapToGrid w:val="0"/>
          <w:color w:val="auto"/>
          <w:kern w:val="28"/>
          <w:sz w:val="24"/>
          <w:highlight w:val="none"/>
        </w:rPr>
        <w:t>详见招标公告中获取招标文件的时间期限、地点、方式。附件中直接下载仅供浏览使用。</w:t>
      </w:r>
    </w:p>
    <w:p>
      <w:pPr>
        <w:keepNext w:val="0"/>
        <w:keepLines w:val="0"/>
        <w:pageBreakBefore w:val="0"/>
        <w:widowControl w:val="0"/>
        <w:kinsoku/>
        <w:wordWrap/>
        <w:overflowPunct/>
        <w:topLinePunct w:val="0"/>
        <w:bidi w:val="0"/>
        <w:adjustRightInd/>
        <w:snapToGrid/>
        <w:spacing w:line="360" w:lineRule="auto"/>
        <w:ind w:firstLine="482" w:firstLineChars="200"/>
        <w:textAlignment w:val="auto"/>
        <w:rPr>
          <w:rFonts w:ascii="仿宋" w:hAnsi="仿宋" w:eastAsia="仿宋" w:cs="仿宋_GB2312"/>
          <w:b/>
          <w:color w:val="auto"/>
          <w:sz w:val="24"/>
          <w:szCs w:val="21"/>
          <w:highlight w:val="none"/>
        </w:rPr>
      </w:pPr>
      <w:r>
        <w:rPr>
          <w:rFonts w:hint="eastAsia" w:ascii="仿宋" w:hAnsi="仿宋" w:eastAsia="仿宋"/>
          <w:b/>
          <w:color w:val="auto"/>
          <w:sz w:val="24"/>
          <w:highlight w:val="none"/>
        </w:rPr>
        <w:t>▲</w:t>
      </w:r>
      <w:r>
        <w:rPr>
          <w:rFonts w:hint="eastAsia" w:ascii="仿宋" w:hAnsi="仿宋" w:eastAsia="仿宋" w:cs="仿宋_GB2312"/>
          <w:b/>
          <w:color w:val="auto"/>
          <w:sz w:val="24"/>
          <w:szCs w:val="21"/>
          <w:highlight w:val="none"/>
        </w:rPr>
        <w:t>未按照公告</w:t>
      </w:r>
      <w:r>
        <w:rPr>
          <w:rFonts w:ascii="仿宋" w:hAnsi="仿宋" w:eastAsia="仿宋" w:cs="仿宋_GB2312"/>
          <w:b/>
          <w:color w:val="auto"/>
          <w:sz w:val="24"/>
          <w:szCs w:val="21"/>
          <w:highlight w:val="none"/>
        </w:rPr>
        <w:t>要求完成</w:t>
      </w:r>
      <w:r>
        <w:rPr>
          <w:rFonts w:hint="eastAsia" w:ascii="仿宋" w:hAnsi="仿宋" w:eastAsia="仿宋" w:cs="仿宋_GB2312"/>
          <w:b/>
          <w:color w:val="auto"/>
          <w:sz w:val="24"/>
          <w:szCs w:val="21"/>
          <w:highlight w:val="none"/>
        </w:rPr>
        <w:t>采购文件</w:t>
      </w:r>
      <w:r>
        <w:rPr>
          <w:rFonts w:ascii="仿宋" w:hAnsi="仿宋" w:eastAsia="仿宋" w:cs="仿宋_GB2312"/>
          <w:b/>
          <w:color w:val="auto"/>
          <w:sz w:val="24"/>
          <w:szCs w:val="21"/>
          <w:highlight w:val="none"/>
        </w:rPr>
        <w:t>获取的</w:t>
      </w:r>
      <w:r>
        <w:rPr>
          <w:rFonts w:hint="eastAsia" w:ascii="仿宋" w:hAnsi="仿宋" w:eastAsia="仿宋" w:cs="仿宋_GB2312"/>
          <w:b/>
          <w:color w:val="auto"/>
          <w:sz w:val="24"/>
          <w:szCs w:val="21"/>
          <w:highlight w:val="none"/>
        </w:rPr>
        <w:t>，投标无效。</w:t>
      </w:r>
    </w:p>
    <w:p>
      <w:pPr>
        <w:pStyle w:val="31"/>
        <w:keepNext w:val="0"/>
        <w:keepLines w:val="0"/>
        <w:pageBreakBefore w:val="0"/>
        <w:widowControl w:val="0"/>
        <w:kinsoku/>
        <w:wordWrap/>
        <w:overflowPunct/>
        <w:topLinePunct w:val="0"/>
        <w:bidi w:val="0"/>
        <w:adjustRightInd/>
        <w:snapToGrid/>
        <w:spacing w:line="360" w:lineRule="auto"/>
        <w:ind w:firstLine="482" w:firstLineChars="200"/>
        <w:textAlignment w:val="auto"/>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8.开标前答疑会或现场考察</w:t>
      </w:r>
    </w:p>
    <w:p>
      <w:pPr>
        <w:pStyle w:val="31"/>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olor w:val="auto"/>
          <w:sz w:val="24"/>
          <w:szCs w:val="24"/>
          <w:highlight w:val="none"/>
        </w:rPr>
      </w:pPr>
      <w:r>
        <w:rPr>
          <w:rFonts w:hint="eastAsia" w:ascii="仿宋" w:hAnsi="仿宋" w:eastAsia="仿宋"/>
          <w:color w:val="auto"/>
          <w:sz w:val="24"/>
          <w:szCs w:val="24"/>
          <w:highlight w:val="none"/>
        </w:rPr>
        <w:t>采购人视采购项目的具体情况，如果采购人组织潜在投标人现场考察或者召开开标前答疑会的，潜在投标人按前附表的规定参加现场考察或者开标前答疑会。</w:t>
      </w:r>
    </w:p>
    <w:p>
      <w:pPr>
        <w:pStyle w:val="31"/>
        <w:keepNext w:val="0"/>
        <w:keepLines w:val="0"/>
        <w:pageBreakBefore w:val="0"/>
        <w:widowControl w:val="0"/>
        <w:kinsoku/>
        <w:wordWrap/>
        <w:overflowPunct/>
        <w:topLinePunct w:val="0"/>
        <w:bidi w:val="0"/>
        <w:adjustRightInd/>
        <w:snapToGrid/>
        <w:spacing w:line="360" w:lineRule="auto"/>
        <w:ind w:firstLine="482" w:firstLineChars="200"/>
        <w:textAlignment w:val="auto"/>
        <w:rPr>
          <w:rFonts w:ascii="仿宋" w:hAnsi="仿宋" w:eastAsia="仿宋" w:cs="仿宋_GB2312"/>
          <w:b/>
          <w:color w:val="auto"/>
          <w:szCs w:val="24"/>
          <w:highlight w:val="none"/>
        </w:rPr>
      </w:pPr>
      <w:r>
        <w:rPr>
          <w:rFonts w:hint="eastAsia" w:ascii="仿宋" w:hAnsi="仿宋" w:eastAsia="仿宋"/>
          <w:b/>
          <w:color w:val="auto"/>
          <w:kern w:val="28"/>
          <w:sz w:val="24"/>
          <w:szCs w:val="24"/>
          <w:highlight w:val="none"/>
        </w:rPr>
        <w:t>9.投标保证金</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仿宋_GB2312"/>
          <w:color w:val="auto"/>
          <w:highlight w:val="none"/>
          <w:lang w:val="zh-CN"/>
        </w:rPr>
      </w:pPr>
      <w:r>
        <w:rPr>
          <w:rFonts w:hint="eastAsia" w:ascii="仿宋" w:hAnsi="仿宋" w:eastAsia="仿宋"/>
          <w:color w:val="auto"/>
          <w:highlight w:val="none"/>
        </w:rPr>
        <w:t>本项目不收取投标保证金。</w:t>
      </w:r>
    </w:p>
    <w:p>
      <w:pPr>
        <w:pStyle w:val="31"/>
        <w:keepNext w:val="0"/>
        <w:keepLines w:val="0"/>
        <w:pageBreakBefore w:val="0"/>
        <w:widowControl w:val="0"/>
        <w:kinsoku/>
        <w:wordWrap/>
        <w:overflowPunct/>
        <w:topLinePunct w:val="0"/>
        <w:bidi w:val="0"/>
        <w:adjustRightInd/>
        <w:snapToGrid/>
        <w:spacing w:line="360" w:lineRule="auto"/>
        <w:ind w:firstLine="482" w:firstLineChars="200"/>
        <w:textAlignment w:val="auto"/>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10. 投标文件的语言</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ascii="仿宋" w:hAnsi="仿宋" w:eastAsia="仿宋" w:cs="仿宋_GB2312"/>
          <w:color w:val="auto"/>
          <w:sz w:val="24"/>
          <w:highlight w:val="none"/>
          <w:lang w:val="zh-CN"/>
        </w:rPr>
      </w:pPr>
      <w:r>
        <w:rPr>
          <w:rFonts w:hint="eastAsia" w:ascii="仿宋" w:hAnsi="仿宋" w:eastAsia="仿宋" w:cs="仿宋_GB2312"/>
          <w:color w:val="auto"/>
          <w:sz w:val="24"/>
          <w:highlight w:val="none"/>
        </w:rPr>
        <w:t>投标文件及投标人与采购有关的来往通知、函件和文件均应使用中文。</w:t>
      </w:r>
    </w:p>
    <w:p>
      <w:pPr>
        <w:pStyle w:val="31"/>
        <w:keepNext w:val="0"/>
        <w:keepLines w:val="0"/>
        <w:pageBreakBefore w:val="0"/>
        <w:widowControl w:val="0"/>
        <w:kinsoku/>
        <w:wordWrap/>
        <w:overflowPunct/>
        <w:topLinePunct w:val="0"/>
        <w:bidi w:val="0"/>
        <w:adjustRightInd/>
        <w:snapToGrid/>
        <w:spacing w:line="360" w:lineRule="auto"/>
        <w:ind w:firstLine="482" w:firstLineChars="200"/>
        <w:textAlignment w:val="auto"/>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11. 投标文件的组成</w:t>
      </w:r>
    </w:p>
    <w:p>
      <w:pPr>
        <w:pStyle w:val="31"/>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s="仿宋_GB2312"/>
          <w:color w:val="auto"/>
          <w:sz w:val="24"/>
          <w:szCs w:val="24"/>
          <w:highlight w:val="none"/>
        </w:rPr>
      </w:pPr>
      <w:r>
        <w:rPr>
          <w:rFonts w:hint="eastAsia" w:ascii="仿宋" w:hAnsi="仿宋" w:eastAsia="仿宋" w:cs="仿宋_GB2312"/>
          <w:color w:val="auto"/>
          <w:kern w:val="0"/>
          <w:sz w:val="24"/>
          <w:szCs w:val="24"/>
          <w:highlight w:val="none"/>
        </w:rPr>
        <w:t>投标文件应当包括以下主要内容：</w:t>
      </w:r>
      <w:r>
        <w:rPr>
          <w:rFonts w:hint="eastAsia" w:ascii="仿宋" w:hAnsi="仿宋" w:eastAsia="仿宋" w:cs="仿宋_GB2312"/>
          <w:b/>
          <w:color w:val="auto"/>
          <w:sz w:val="24"/>
          <w:szCs w:val="24"/>
          <w:highlight w:val="none"/>
        </w:rPr>
        <w:t>资格文件、商务技术文件、报价文件。其中电子投标文件中所需加盖公章部分均应采用电子签章（联合体投标的，投标人可加盖实体印章）。</w:t>
      </w:r>
      <w:r>
        <w:rPr>
          <w:rFonts w:hint="eastAsia" w:ascii="仿宋" w:hAnsi="仿宋" w:eastAsia="仿宋" w:cs="仿宋_GB2312"/>
          <w:color w:val="auto"/>
          <w:sz w:val="24"/>
          <w:szCs w:val="24"/>
          <w:highlight w:val="none"/>
        </w:rPr>
        <w:t>投标文件应当对招标文件提出的要求和条件作出明确响应。</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b/>
          <w:color w:val="auto"/>
          <w:kern w:val="0"/>
          <w:sz w:val="24"/>
          <w:highlight w:val="none"/>
          <w:lang w:val="en-US" w:eastAsia="zh-CN"/>
        </w:rPr>
      </w:pPr>
      <w:r>
        <w:rPr>
          <w:rFonts w:hint="eastAsia" w:ascii="仿宋" w:hAnsi="仿宋" w:eastAsia="仿宋" w:cs="仿宋_GB2312"/>
          <w:color w:val="auto"/>
          <w:sz w:val="24"/>
          <w:highlight w:val="none"/>
        </w:rPr>
        <w:t>11.1</w:t>
      </w:r>
      <w:r>
        <w:rPr>
          <w:rFonts w:hint="eastAsia" w:ascii="仿宋" w:hAnsi="仿宋" w:eastAsia="仿宋" w:cs="仿宋_GB2312"/>
          <w:b/>
          <w:color w:val="auto"/>
          <w:sz w:val="24"/>
          <w:highlight w:val="none"/>
        </w:rPr>
        <w:t>资格文件</w:t>
      </w:r>
      <w:r>
        <w:rPr>
          <w:rFonts w:hint="eastAsia" w:ascii="仿宋" w:hAnsi="仿宋" w:eastAsia="仿宋" w:cs="仿宋_GB2312"/>
          <w:color w:val="auto"/>
          <w:sz w:val="24"/>
          <w:highlight w:val="none"/>
        </w:rPr>
        <w:t>应包括以下内容：</w:t>
      </w:r>
      <w:r>
        <w:rPr>
          <w:rFonts w:hint="eastAsia" w:ascii="仿宋" w:hAnsi="仿宋" w:eastAsia="仿宋" w:cs="仿宋_GB2312"/>
          <w:color w:val="auto"/>
          <w:kern w:val="0"/>
          <w:sz w:val="24"/>
          <w:highlight w:val="none"/>
        </w:rPr>
        <w:t>证明其符合《中华人民共和国政府采购法》</w:t>
      </w:r>
      <w:r>
        <w:rPr>
          <w:rFonts w:hint="eastAsia" w:ascii="仿宋" w:hAnsi="仿宋" w:eastAsia="仿宋" w:cs="Arial"/>
          <w:color w:val="auto"/>
          <w:kern w:val="0"/>
          <w:sz w:val="24"/>
          <w:highlight w:val="none"/>
        </w:rPr>
        <w:t>规定的供应商基本条件和采购项目对供应商的特定条件</w:t>
      </w:r>
      <w:r>
        <w:rPr>
          <w:rFonts w:hint="eastAsia" w:ascii="仿宋" w:hAnsi="仿宋" w:eastAsia="仿宋" w:cs="仿宋_GB2312"/>
          <w:color w:val="auto"/>
          <w:sz w:val="24"/>
          <w:highlight w:val="none"/>
        </w:rPr>
        <w:t>（如果项目要求）</w:t>
      </w:r>
      <w:r>
        <w:rPr>
          <w:rFonts w:hint="eastAsia" w:ascii="仿宋" w:hAnsi="仿宋" w:eastAsia="仿宋" w:cs="仿宋_GB2312"/>
          <w:color w:val="auto"/>
          <w:kern w:val="0"/>
          <w:sz w:val="24"/>
          <w:highlight w:val="none"/>
        </w:rPr>
        <w:t>的有关资格证明文件。</w:t>
      </w:r>
      <w:r>
        <w:rPr>
          <w:rFonts w:hint="eastAsia" w:ascii="仿宋" w:hAnsi="仿宋" w:eastAsia="仿宋" w:cs="仿宋_GB2312"/>
          <w:b/>
          <w:color w:val="auto"/>
          <w:kern w:val="0"/>
          <w:sz w:val="24"/>
          <w:highlight w:val="none"/>
        </w:rPr>
        <w:t>（以联合体形式进行政府采购的，参加联合体的供应商均应当提供）</w:t>
      </w:r>
      <w:r>
        <w:rPr>
          <w:rFonts w:hint="eastAsia" w:ascii="仿宋" w:hAnsi="仿宋" w:eastAsia="仿宋" w:cs="仿宋_GB2312"/>
          <w:b/>
          <w:color w:val="auto"/>
          <w:kern w:val="0"/>
          <w:sz w:val="24"/>
          <w:highlight w:val="none"/>
          <w:lang w:eastAsia="zh-CN"/>
        </w:rPr>
        <w:t>（供应商书面承诺符合参与政府采购活动资格条件的，不需要）</w:t>
      </w:r>
    </w:p>
    <w:p>
      <w:pPr>
        <w:pStyle w:val="31"/>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olor w:val="auto"/>
          <w:sz w:val="24"/>
          <w:highlight w:val="none"/>
        </w:rPr>
      </w:pPr>
      <w:bookmarkStart w:id="54" w:name="_Hlt68072998"/>
      <w:bookmarkEnd w:id="54"/>
      <w:bookmarkStart w:id="55" w:name="_Hlt68073093"/>
      <w:bookmarkEnd w:id="55"/>
      <w:bookmarkStart w:id="56" w:name="_Hlt68403820"/>
      <w:bookmarkEnd w:id="56"/>
      <w:r>
        <w:rPr>
          <w:rFonts w:hint="eastAsia" w:ascii="仿宋" w:hAnsi="仿宋" w:eastAsia="仿宋"/>
          <w:color w:val="auto"/>
          <w:sz w:val="24"/>
          <w:highlight w:val="none"/>
        </w:rPr>
        <w:t>11.1.1营业执照(或事业法人登记证或其他工商等登记证明材料)复印件（投标人为自然人的，提供自然人的身份证明）</w:t>
      </w:r>
      <w:r>
        <w:rPr>
          <w:rFonts w:hint="eastAsia" w:ascii="仿宋" w:hAnsi="仿宋" w:eastAsia="仿宋"/>
          <w:b/>
          <w:color w:val="auto"/>
          <w:sz w:val="24"/>
          <w:highlight w:val="none"/>
        </w:rPr>
        <w:t>；</w:t>
      </w:r>
    </w:p>
    <w:p>
      <w:pPr>
        <w:pStyle w:val="31"/>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金融、保险、通讯等特定行业的全国性企业所设立的区域性分支机构，以及个体工商户、个人独资企业、合伙企业，如果已经依法办理了工商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31"/>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11.1.2投标声明函；</w:t>
      </w:r>
    </w:p>
    <w:p>
      <w:pPr>
        <w:pStyle w:val="31"/>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11.1.3联合体协议书（如有）；</w:t>
      </w:r>
      <w:r>
        <w:rPr>
          <w:rFonts w:hint="eastAsia" w:ascii="仿宋" w:hAnsi="仿宋" w:eastAsia="仿宋"/>
          <w:color w:val="auto"/>
          <w:sz w:val="24"/>
          <w:highlight w:val="none"/>
        </w:rPr>
        <w:t>如以联合体形式参加政府采购活动的，</w:t>
      </w:r>
      <w:r>
        <w:rPr>
          <w:rFonts w:hint="eastAsia" w:ascii="仿宋" w:hAnsi="仿宋" w:eastAsia="仿宋"/>
          <w:color w:val="auto"/>
          <w:sz w:val="24"/>
          <w:szCs w:val="24"/>
          <w:highlight w:val="none"/>
        </w:rPr>
        <w:t>联合体各方应当指定牵头人，授权其代表所有联合体成员负责投标和合同实施阶段的主办、协调工作，并应当</w:t>
      </w:r>
      <w:r>
        <w:rPr>
          <w:rFonts w:hint="eastAsia" w:ascii="仿宋" w:hAnsi="仿宋" w:eastAsia="仿宋"/>
          <w:color w:val="auto"/>
          <w:sz w:val="24"/>
          <w:highlight w:val="none"/>
        </w:rPr>
        <w:t>提交联合体协议书，载明联合体各方承担的工作和义务；</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11.1.4法定代表人授权书；</w:t>
      </w:r>
      <w:r>
        <w:rPr>
          <w:rFonts w:hint="eastAsia" w:ascii="仿宋" w:hAnsi="仿宋" w:eastAsia="仿宋"/>
          <w:color w:val="auto"/>
          <w:sz w:val="24"/>
          <w:highlight w:val="none"/>
        </w:rPr>
        <w:t>如以联合体形式参加政府采购活动的，只需提供联合体牵头人法定代表人授权委托书；</w:t>
      </w:r>
      <w:r>
        <w:rPr>
          <w:rFonts w:hint="eastAsia" w:ascii="仿宋" w:hAnsi="仿宋" w:eastAsia="仿宋" w:cs="仿宋_GB2312"/>
          <w:color w:val="auto"/>
          <w:sz w:val="24"/>
          <w:highlight w:val="none"/>
        </w:rPr>
        <w:t>如投标人代表系法定代表人，无需提供法定代表人授权委托书；</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11.1.5法定代表人及其授权代表的身份证复印件（正反面复印件）；如投标人代表系法定代表人，只需提供其身份证复印件（正反面复印件）；</w:t>
      </w:r>
      <w:r>
        <w:rPr>
          <w:rFonts w:ascii="仿宋" w:hAnsi="仿宋" w:eastAsia="仿宋" w:cs="仿宋_GB2312"/>
          <w:color w:val="auto"/>
          <w:sz w:val="24"/>
          <w:highlight w:val="none"/>
        </w:rPr>
        <w:t xml:space="preserve"> </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11.1.6符合特定资格条件（如果项目要求）的有关证明材料（复印件）。</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 投标人的</w:t>
      </w:r>
      <w:r>
        <w:rPr>
          <w:rFonts w:hint="eastAsia" w:ascii="仿宋" w:hAnsi="仿宋" w:eastAsia="仿宋" w:cs="仿宋_GB2312"/>
          <w:b/>
          <w:color w:val="auto"/>
          <w:sz w:val="24"/>
          <w:highlight w:val="none"/>
        </w:rPr>
        <w:t>商务技术</w:t>
      </w:r>
      <w:r>
        <w:rPr>
          <w:rFonts w:hint="eastAsia" w:ascii="仿宋" w:hAnsi="仿宋" w:eastAsia="仿宋" w:cs="仿宋_GB2312"/>
          <w:b/>
          <w:color w:val="auto"/>
          <w:kern w:val="0"/>
          <w:sz w:val="24"/>
          <w:highlight w:val="none"/>
          <w:lang w:val="zh-CN"/>
        </w:rPr>
        <w:t>文件</w:t>
      </w:r>
      <w:r>
        <w:rPr>
          <w:rFonts w:hint="eastAsia" w:ascii="仿宋" w:hAnsi="仿宋" w:eastAsia="仿宋" w:cs="仿宋_GB2312"/>
          <w:color w:val="auto"/>
          <w:kern w:val="0"/>
          <w:sz w:val="24"/>
          <w:highlight w:val="none"/>
          <w:lang w:val="zh-CN"/>
        </w:rPr>
        <w:t>应包括以下内容：</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11.2.1</w:t>
      </w:r>
      <w:r>
        <w:rPr>
          <w:rFonts w:hint="eastAsia" w:ascii="仿宋" w:hAnsi="仿宋" w:eastAsia="仿宋" w:cs="仿宋_GB2312"/>
          <w:snapToGrid w:val="0"/>
          <w:color w:val="auto"/>
          <w:kern w:val="0"/>
          <w:sz w:val="24"/>
          <w:szCs w:val="21"/>
          <w:highlight w:val="none"/>
          <w:lang w:val="zh-CN"/>
        </w:rPr>
        <w:t>评分对应表；如果本项目评标办法采用综合评审法，投标人需在商务技术文件中提供此评分对应表，供评标委员会评审时使用。</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2</w:t>
      </w:r>
      <w:r>
        <w:rPr>
          <w:rFonts w:hint="eastAsia" w:ascii="仿宋" w:hAnsi="仿宋" w:eastAsia="仿宋" w:cs="仿宋_GB2312"/>
          <w:color w:val="auto"/>
          <w:kern w:val="0"/>
          <w:sz w:val="24"/>
          <w:highlight w:val="none"/>
          <w:lang w:val="zh-CN"/>
        </w:rPr>
        <w:t>技术响应表；</w:t>
      </w:r>
      <w:r>
        <w:rPr>
          <w:rFonts w:hint="eastAsia" w:ascii="仿宋" w:hAnsi="仿宋" w:eastAsia="仿宋" w:cs="仿宋_GB2312"/>
          <w:color w:val="auto"/>
          <w:sz w:val="24"/>
          <w:highlight w:val="none"/>
        </w:rPr>
        <w:t>如果招标文件要求投标人提供投标产品技术指标证明材料的（如官网查询截图、产品彩页、检测报告等），投标人应当对照招标文件要求和投标文件响应情况提供相应证明材料，否则该项技术指标视为负偏离；</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3</w:t>
      </w:r>
      <w:r>
        <w:rPr>
          <w:rFonts w:hint="eastAsia" w:ascii="仿宋" w:hAnsi="仿宋" w:eastAsia="仿宋" w:cs="仿宋_GB2312"/>
          <w:color w:val="auto"/>
          <w:kern w:val="0"/>
          <w:sz w:val="24"/>
          <w:highlight w:val="none"/>
          <w:lang w:val="zh-CN"/>
        </w:rPr>
        <w:t>商务响应表；</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sz w:val="24"/>
          <w:highlight w:val="none"/>
        </w:rPr>
        <w:t>11.2.</w:t>
      </w:r>
      <w:r>
        <w:rPr>
          <w:rFonts w:hint="eastAsia" w:ascii="仿宋" w:hAnsi="仿宋" w:eastAsia="仿宋" w:cs="仿宋_GB2312"/>
          <w:color w:val="auto"/>
          <w:sz w:val="24"/>
          <w:highlight w:val="none"/>
          <w:lang w:val="en-US" w:eastAsia="zh-CN"/>
        </w:rPr>
        <w:t>4</w:t>
      </w:r>
      <w:r>
        <w:rPr>
          <w:rFonts w:hint="eastAsia" w:ascii="仿宋" w:hAnsi="仿宋" w:eastAsia="仿宋" w:cs="仿宋_GB2312"/>
          <w:color w:val="auto"/>
          <w:kern w:val="0"/>
          <w:sz w:val="24"/>
          <w:highlight w:val="none"/>
          <w:lang w:val="zh-CN"/>
        </w:rPr>
        <w:t>项目组织实施方案;项目组织实施方案包括但不限于以下内容：组织机构、工作时间进度表、工作程序和步骤、管理和协调方法、关键步骤的思路和要点；</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5</w:t>
      </w:r>
      <w:r>
        <w:rPr>
          <w:rFonts w:hint="eastAsia" w:ascii="仿宋" w:hAnsi="仿宋" w:eastAsia="仿宋" w:cs="仿宋_GB2312"/>
          <w:color w:val="auto"/>
          <w:kern w:val="0"/>
          <w:sz w:val="24"/>
          <w:highlight w:val="none"/>
          <w:lang w:val="zh-CN"/>
        </w:rPr>
        <w:t>项目负责人情况表；</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6</w:t>
      </w:r>
      <w:r>
        <w:rPr>
          <w:rFonts w:hint="eastAsia" w:ascii="仿宋" w:hAnsi="仿宋" w:eastAsia="仿宋" w:cs="仿宋_GB2312"/>
          <w:color w:val="auto"/>
          <w:kern w:val="0"/>
          <w:sz w:val="24"/>
          <w:highlight w:val="none"/>
          <w:lang w:val="zh-CN"/>
        </w:rPr>
        <w:t>项目组人员名单；</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7</w:t>
      </w:r>
      <w:r>
        <w:rPr>
          <w:rFonts w:hint="eastAsia" w:ascii="仿宋" w:hAnsi="仿宋" w:eastAsia="仿宋" w:cs="仿宋_GB2312"/>
          <w:color w:val="auto"/>
          <w:kern w:val="0"/>
          <w:sz w:val="24"/>
          <w:highlight w:val="none"/>
          <w:lang w:val="zh-CN"/>
        </w:rPr>
        <w:t>承诺书；</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sz w:val="24"/>
          <w:highlight w:val="none"/>
          <w:lang w:val="zh-CN"/>
        </w:rPr>
        <w:t>11.2.</w:t>
      </w:r>
      <w:r>
        <w:rPr>
          <w:rFonts w:hint="eastAsia" w:ascii="仿宋" w:hAnsi="仿宋" w:eastAsia="仿宋" w:cs="仿宋_GB2312"/>
          <w:color w:val="auto"/>
          <w:sz w:val="24"/>
          <w:highlight w:val="none"/>
          <w:lang w:val="en-US" w:eastAsia="zh-CN"/>
        </w:rPr>
        <w:t>8</w:t>
      </w:r>
      <w:r>
        <w:rPr>
          <w:rFonts w:hint="eastAsia" w:ascii="仿宋" w:hAnsi="仿宋" w:eastAsia="仿宋" w:cs="仿宋_GB2312"/>
          <w:color w:val="auto"/>
          <w:kern w:val="0"/>
          <w:sz w:val="24"/>
          <w:highlight w:val="none"/>
          <w:lang w:val="zh-CN"/>
        </w:rPr>
        <w:t>售后服务方案（如有）。售后服务方案可包含且不限于对用户故障的响应、处理、定期巡检、维护、备品备件、常用耗材提供、售后服务机构设置、驻点人员情况等。服务承诺未明示可能涉及的前提设定和费用，视为是无条件和免费的；</w:t>
      </w:r>
    </w:p>
    <w:p>
      <w:pPr>
        <w:keepNext w:val="0"/>
        <w:keepLines w:val="0"/>
        <w:pageBreakBefore w:val="0"/>
        <w:widowControl w:val="0"/>
        <w:tabs>
          <w:tab w:val="left" w:pos="0"/>
          <w:tab w:val="left" w:pos="840"/>
        </w:tabs>
        <w:kinsoku/>
        <w:wordWrap/>
        <w:overflowPunct/>
        <w:topLinePunct w:val="0"/>
        <w:autoSpaceDE w:val="0"/>
        <w:autoSpaceDN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sz w:val="24"/>
          <w:highlight w:val="none"/>
          <w:lang w:val="zh-CN"/>
        </w:rPr>
        <w:t>11.2.</w:t>
      </w:r>
      <w:r>
        <w:rPr>
          <w:rFonts w:hint="eastAsia" w:ascii="仿宋" w:hAnsi="仿宋" w:eastAsia="仿宋" w:cs="仿宋_GB2312"/>
          <w:color w:val="auto"/>
          <w:sz w:val="24"/>
          <w:highlight w:val="none"/>
          <w:lang w:val="en-US" w:eastAsia="zh-CN"/>
        </w:rPr>
        <w:t>9</w:t>
      </w:r>
      <w:r>
        <w:rPr>
          <w:rFonts w:hint="eastAsia" w:ascii="仿宋" w:hAnsi="仿宋" w:eastAsia="仿宋" w:cs="仿宋_GB2312"/>
          <w:color w:val="auto"/>
          <w:kern w:val="0"/>
          <w:sz w:val="24"/>
          <w:highlight w:val="none"/>
          <w:lang w:val="zh-CN"/>
        </w:rPr>
        <w:t>优惠条件及特殊承诺（如有）；</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zh-CN"/>
        </w:rPr>
        <w:t>11.2.</w:t>
      </w:r>
      <w:r>
        <w:rPr>
          <w:rFonts w:hint="eastAsia" w:ascii="仿宋" w:hAnsi="仿宋" w:eastAsia="仿宋" w:cs="仿宋_GB2312"/>
          <w:color w:val="auto"/>
          <w:sz w:val="24"/>
          <w:highlight w:val="none"/>
          <w:lang w:val="en-US" w:eastAsia="zh-CN"/>
        </w:rPr>
        <w:t>10</w:t>
      </w:r>
      <w:r>
        <w:rPr>
          <w:rFonts w:hint="eastAsia" w:ascii="仿宋" w:hAnsi="仿宋" w:eastAsia="仿宋" w:cs="仿宋_GB2312"/>
          <w:color w:val="auto"/>
          <w:kern w:val="0"/>
          <w:sz w:val="24"/>
          <w:highlight w:val="none"/>
          <w:lang w:val="zh-CN"/>
        </w:rPr>
        <w:t>投标人认为需要的其他商务技术文件或说明</w:t>
      </w:r>
      <w:r>
        <w:rPr>
          <w:rFonts w:hint="eastAsia" w:ascii="仿宋" w:hAnsi="仿宋" w:eastAsia="仿宋" w:cs="仿宋_GB2312"/>
          <w:snapToGrid w:val="0"/>
          <w:color w:val="auto"/>
          <w:kern w:val="0"/>
          <w:sz w:val="24"/>
          <w:highlight w:val="none"/>
          <w:lang w:val="zh-CN"/>
        </w:rPr>
        <w:t>。</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s="仿宋_GB2312"/>
          <w:color w:val="auto"/>
          <w:sz w:val="24"/>
          <w:highlight w:val="none"/>
          <w:u w:val="single"/>
          <w:lang w:val="zh-CN"/>
        </w:rPr>
      </w:pPr>
      <w:r>
        <w:rPr>
          <w:rFonts w:hint="eastAsia" w:ascii="仿宋" w:hAnsi="仿宋" w:eastAsia="仿宋" w:cs="仿宋_GB2312"/>
          <w:color w:val="auto"/>
          <w:kern w:val="0"/>
          <w:sz w:val="24"/>
          <w:highlight w:val="none"/>
          <w:lang w:val="zh-CN"/>
        </w:rPr>
        <w:t xml:space="preserve">11.3 </w:t>
      </w:r>
      <w:r>
        <w:rPr>
          <w:rFonts w:hint="eastAsia" w:ascii="仿宋" w:hAnsi="仿宋" w:eastAsia="仿宋" w:cs="仿宋_GB2312"/>
          <w:color w:val="auto"/>
          <w:sz w:val="24"/>
          <w:highlight w:val="none"/>
        </w:rPr>
        <w:t>投标人的</w:t>
      </w:r>
      <w:r>
        <w:rPr>
          <w:rFonts w:hint="eastAsia" w:ascii="仿宋" w:hAnsi="仿宋" w:eastAsia="仿宋" w:cs="仿宋_GB2312"/>
          <w:b/>
          <w:color w:val="auto"/>
          <w:sz w:val="24"/>
          <w:highlight w:val="none"/>
        </w:rPr>
        <w:t>报价文件</w:t>
      </w:r>
      <w:r>
        <w:rPr>
          <w:rFonts w:hint="eastAsia" w:ascii="仿宋" w:hAnsi="仿宋" w:eastAsia="仿宋" w:cs="仿宋_GB2312"/>
          <w:color w:val="auto"/>
          <w:sz w:val="24"/>
          <w:highlight w:val="none"/>
        </w:rPr>
        <w:t>应包括以下内容：</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s="仿宋_GB2312"/>
          <w:color w:val="auto"/>
          <w:sz w:val="24"/>
          <w:highlight w:val="none"/>
        </w:rPr>
      </w:pPr>
      <w:r>
        <w:rPr>
          <w:rFonts w:hint="eastAsia" w:ascii="仿宋" w:hAnsi="仿宋" w:eastAsia="仿宋" w:cs="仿宋_GB2312"/>
          <w:color w:val="auto"/>
          <w:sz w:val="24"/>
          <w:highlight w:val="none"/>
        </w:rPr>
        <w:t>11.3.1投标(开标)一览表；</w:t>
      </w:r>
    </w:p>
    <w:p>
      <w:pPr>
        <w:pStyle w:val="31"/>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11.3.</w:t>
      </w:r>
      <w:r>
        <w:rPr>
          <w:rFonts w:hint="eastAsia" w:ascii="仿宋" w:hAnsi="仿宋" w:eastAsia="仿宋" w:cs="仿宋_GB2312"/>
          <w:color w:val="auto"/>
          <w:sz w:val="24"/>
          <w:szCs w:val="24"/>
          <w:highlight w:val="none"/>
          <w:lang w:val="en-US" w:eastAsia="zh-CN"/>
        </w:rPr>
        <w:t>2</w:t>
      </w:r>
      <w:r>
        <w:rPr>
          <w:rFonts w:hint="eastAsia" w:ascii="仿宋" w:hAnsi="仿宋" w:eastAsia="仿宋" w:cs="仿宋_GB2312"/>
          <w:color w:val="auto"/>
          <w:sz w:val="24"/>
          <w:szCs w:val="24"/>
          <w:highlight w:val="none"/>
        </w:rPr>
        <w:t>中小企业声明函（如有）；</w:t>
      </w:r>
    </w:p>
    <w:p>
      <w:pPr>
        <w:pStyle w:val="31"/>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11.3.</w:t>
      </w:r>
      <w:r>
        <w:rPr>
          <w:rFonts w:hint="eastAsia" w:ascii="仿宋" w:hAnsi="仿宋" w:eastAsia="仿宋" w:cs="仿宋_GB2312"/>
          <w:color w:val="auto"/>
          <w:sz w:val="24"/>
          <w:szCs w:val="24"/>
          <w:highlight w:val="none"/>
          <w:lang w:val="en-US" w:eastAsia="zh-CN"/>
        </w:rPr>
        <w:t>3</w:t>
      </w:r>
      <w:r>
        <w:rPr>
          <w:rFonts w:hint="eastAsia" w:ascii="仿宋" w:hAnsi="仿宋" w:eastAsia="仿宋" w:cs="仿宋_GB2312"/>
          <w:color w:val="auto"/>
          <w:sz w:val="24"/>
          <w:szCs w:val="24"/>
          <w:highlight w:val="none"/>
        </w:rPr>
        <w:t>残疾人福利性单位声明函（如有）。</w:t>
      </w:r>
    </w:p>
    <w:p>
      <w:pPr>
        <w:pStyle w:val="221"/>
        <w:keepNext w:val="0"/>
        <w:keepLines w:val="0"/>
        <w:pageBreakBefore w:val="0"/>
        <w:widowControl w:val="0"/>
        <w:kinsoku/>
        <w:wordWrap/>
        <w:overflowPunct/>
        <w:topLinePunct w:val="0"/>
        <w:bidi w:val="0"/>
        <w:adjustRightInd/>
        <w:snapToGrid/>
        <w:spacing w:before="0" w:beforeLines="0"/>
        <w:ind w:firstLine="482"/>
        <w:textAlignment w:val="auto"/>
        <w:outlineLvl w:val="0"/>
        <w:rPr>
          <w:rFonts w:ascii="仿宋" w:hAnsi="仿宋" w:eastAsia="仿宋" w:cs="仿宋_GB2312"/>
          <w:b/>
          <w:color w:val="auto"/>
          <w:szCs w:val="24"/>
          <w:highlight w:val="none"/>
        </w:rPr>
      </w:pPr>
      <w:bookmarkStart w:id="57" w:name="_Toc91899887"/>
      <w:r>
        <w:rPr>
          <w:rFonts w:hint="eastAsia" w:ascii="仿宋" w:hAnsi="仿宋" w:eastAsia="仿宋" w:cs="仿宋_GB2312"/>
          <w:b/>
          <w:color w:val="auto"/>
          <w:szCs w:val="24"/>
          <w:highlight w:val="none"/>
        </w:rPr>
        <w:t>12</w:t>
      </w:r>
      <w:r>
        <w:rPr>
          <w:rFonts w:hint="eastAsia" w:ascii="仿宋" w:hAnsi="仿宋" w:eastAsia="仿宋" w:cs="仿宋_GB2312"/>
          <w:b/>
          <w:color w:val="auto"/>
          <w:kern w:val="0"/>
          <w:szCs w:val="24"/>
          <w:highlight w:val="none"/>
          <w:lang w:val="zh-CN"/>
        </w:rPr>
        <w:t xml:space="preserve">. </w:t>
      </w:r>
      <w:r>
        <w:rPr>
          <w:rFonts w:hint="eastAsia" w:ascii="仿宋" w:hAnsi="仿宋" w:eastAsia="仿宋" w:cs="仿宋_GB2312"/>
          <w:b/>
          <w:color w:val="auto"/>
          <w:szCs w:val="24"/>
          <w:highlight w:val="none"/>
        </w:rPr>
        <w:t>投标文件的编制</w:t>
      </w:r>
    </w:p>
    <w:p>
      <w:pPr>
        <w:keepNext w:val="0"/>
        <w:keepLines w:val="0"/>
        <w:pageBreakBefore w:val="0"/>
        <w:widowControl w:val="0"/>
        <w:kinsoku/>
        <w:wordWrap/>
        <w:overflowPunct/>
        <w:topLinePunct w:val="0"/>
        <w:bidi w:val="0"/>
        <w:adjustRightInd/>
        <w:snapToGrid/>
        <w:spacing w:line="360" w:lineRule="auto"/>
        <w:ind w:firstLine="482" w:firstLineChars="200"/>
        <w:textAlignment w:val="auto"/>
        <w:rPr>
          <w:rFonts w:ascii="仿宋" w:hAnsi="仿宋" w:eastAsia="仿宋" w:cs="仿宋_GB2312"/>
          <w:b/>
          <w:color w:val="auto"/>
          <w:sz w:val="24"/>
          <w:szCs w:val="21"/>
          <w:highlight w:val="none"/>
        </w:rPr>
      </w:pPr>
      <w:r>
        <w:rPr>
          <w:rFonts w:hint="eastAsia" w:ascii="仿宋" w:hAnsi="仿宋" w:eastAsia="仿宋"/>
          <w:b/>
          <w:color w:val="auto"/>
          <w:sz w:val="24"/>
          <w:highlight w:val="none"/>
        </w:rPr>
        <w:t>▲</w:t>
      </w:r>
      <w:r>
        <w:rPr>
          <w:rFonts w:hint="eastAsia" w:ascii="仿宋" w:hAnsi="仿宋" w:eastAsia="仿宋" w:cs="仿宋_GB2312"/>
          <w:b/>
          <w:color w:val="auto"/>
          <w:sz w:val="24"/>
          <w:highlight w:val="none"/>
        </w:rPr>
        <w:t>投标文件未按本条规定的格式编制的，投标无效；</w:t>
      </w:r>
    </w:p>
    <w:p>
      <w:pPr>
        <w:keepNext w:val="0"/>
        <w:keepLines w:val="0"/>
        <w:pageBreakBefore w:val="0"/>
        <w:widowControl w:val="0"/>
        <w:kinsoku/>
        <w:wordWrap/>
        <w:overflowPunct/>
        <w:topLinePunct w:val="0"/>
        <w:bidi w:val="0"/>
        <w:adjustRightInd/>
        <w:snapToGrid/>
        <w:spacing w:line="360" w:lineRule="auto"/>
        <w:ind w:firstLine="482" w:firstLineChars="200"/>
        <w:textAlignment w:val="auto"/>
        <w:rPr>
          <w:rFonts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12.1投标文件分为资格文件、商务技术文件、报价文件三部分。各投标人在编制投标文件时请按照招标文件第六部分规定的格式进行，“商务技术文件”可在招标文件规定的格式基础上适当调整，以使内容更加完备，混乱的编排导致投标文件被误读或评标委员会查找不到有效文件是投标人的风险。</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12.2投标人进行电子投标应安装客户端软件</w:t>
      </w:r>
      <w:r>
        <w:rPr>
          <w:rFonts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zh-CN"/>
        </w:rPr>
        <w:t>“政采云电子交易客户端”，并按照招标文件和电子交易平台的要求编制并加密投标文件。投标人未按规定加密的投标文件，电子交易平台将拒收并提示。</w:t>
      </w:r>
    </w:p>
    <w:bookmarkEnd w:id="57"/>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keepNext w:val="0"/>
        <w:keepLines w:val="0"/>
        <w:pageBreakBefore w:val="0"/>
        <w:widowControl w:val="0"/>
        <w:kinsoku/>
        <w:wordWrap/>
        <w:overflowPunct/>
        <w:topLinePunct w:val="0"/>
        <w:bidi w:val="0"/>
        <w:adjustRightInd/>
        <w:snapToGrid/>
        <w:spacing w:line="360" w:lineRule="auto"/>
        <w:ind w:firstLine="482" w:firstLineChars="200"/>
        <w:textAlignment w:val="auto"/>
        <w:rPr>
          <w:rFonts w:ascii="仿宋" w:hAnsi="仿宋" w:eastAsia="仿宋" w:cs="仿宋_GB2312"/>
          <w:b/>
          <w:color w:val="auto"/>
          <w:sz w:val="24"/>
          <w:highlight w:val="none"/>
        </w:rPr>
      </w:pPr>
      <w:r>
        <w:rPr>
          <w:rFonts w:hint="eastAsia" w:ascii="仿宋" w:hAnsi="仿宋" w:eastAsia="仿宋" w:cs="仿宋_GB2312"/>
          <w:b/>
          <w:color w:val="auto"/>
          <w:sz w:val="24"/>
          <w:highlight w:val="none"/>
        </w:rPr>
        <w:t>13.投标文件的签署、盖章</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hint="eastAsia" w:ascii="仿宋" w:hAnsi="仿宋" w:eastAsia="仿宋" w:cs="仿宋_GB2312"/>
          <w:color w:val="auto"/>
          <w:highlight w:val="none"/>
        </w:rPr>
      </w:pPr>
      <w:r>
        <w:rPr>
          <w:rFonts w:hint="eastAsia" w:ascii="仿宋" w:hAnsi="仿宋" w:eastAsia="仿宋" w:cs="仿宋_GB2312"/>
          <w:color w:val="auto"/>
          <w:szCs w:val="24"/>
          <w:highlight w:val="none"/>
        </w:rPr>
        <w:t>13.1投标文件按照招标文件第六部分格式要</w:t>
      </w:r>
      <w:r>
        <w:rPr>
          <w:rFonts w:hint="eastAsia" w:ascii="仿宋" w:hAnsi="仿宋" w:eastAsia="仿宋" w:cs="仿宋_GB2312"/>
          <w:color w:val="auto"/>
          <w:highlight w:val="none"/>
        </w:rPr>
        <w:t>求进行签署、盖章。</w:t>
      </w:r>
    </w:p>
    <w:p>
      <w:pPr>
        <w:pStyle w:val="221"/>
        <w:keepNext w:val="0"/>
        <w:keepLines w:val="0"/>
        <w:pageBreakBefore w:val="0"/>
        <w:widowControl w:val="0"/>
        <w:kinsoku/>
        <w:wordWrap/>
        <w:overflowPunct/>
        <w:topLinePunct w:val="0"/>
        <w:bidi w:val="0"/>
        <w:adjustRightInd/>
        <w:snapToGrid/>
        <w:spacing w:before="0" w:beforeLines="0"/>
        <w:ind w:firstLine="482"/>
        <w:textAlignment w:val="auto"/>
        <w:rPr>
          <w:rFonts w:hint="eastAsia" w:ascii="仿宋" w:hAnsi="仿宋" w:eastAsia="仿宋" w:cs="仿宋_GB2312"/>
          <w:b/>
          <w:color w:val="auto"/>
          <w:highlight w:val="none"/>
        </w:rPr>
      </w:pPr>
      <w:r>
        <w:rPr>
          <w:rFonts w:hint="eastAsia" w:ascii="仿宋" w:hAnsi="仿宋" w:eastAsia="仿宋"/>
          <w:b/>
          <w:color w:val="auto"/>
          <w:highlight w:val="none"/>
        </w:rPr>
        <w:t>▲</w:t>
      </w:r>
      <w:r>
        <w:rPr>
          <w:rFonts w:hint="eastAsia" w:ascii="仿宋" w:hAnsi="仿宋" w:eastAsia="仿宋" w:cs="仿宋_GB2312"/>
          <w:b/>
          <w:color w:val="auto"/>
          <w:highlight w:val="none"/>
        </w:rPr>
        <w:t>投标人的投标文件未按照招标文件要求签署、盖章的，其投标无效</w:t>
      </w:r>
      <w:r>
        <w:rPr>
          <w:rFonts w:hint="eastAsia" w:ascii="仿宋" w:hAnsi="仿宋" w:eastAsia="仿宋" w:cs="仿宋_GB2312"/>
          <w:color w:val="auto"/>
          <w:szCs w:val="24"/>
          <w:highlight w:val="none"/>
        </w:rPr>
        <w:t>。</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hint="eastAsia" w:ascii="仿宋" w:hAnsi="仿宋" w:eastAsia="仿宋" w:cs="仿宋_GB2312"/>
          <w:color w:val="auto"/>
          <w:szCs w:val="24"/>
          <w:highlight w:val="none"/>
        </w:rPr>
      </w:pPr>
      <w:r>
        <w:rPr>
          <w:rFonts w:hint="eastAsia" w:ascii="仿宋" w:hAnsi="仿宋" w:eastAsia="仿宋" w:cs="仿宋_GB2312"/>
          <w:color w:val="auto"/>
          <w:highlight w:val="none"/>
        </w:rPr>
        <w:t>13.2为确保网上操作合法、有效和安全，投标人应当在投标截止时间前完成在“政府采购云平台”的身份认证，确保在电子投标过程中能够对相关数据电文进行加密和使用电子签名。</w:t>
      </w:r>
    </w:p>
    <w:bookmarkEnd w:id="52"/>
    <w:bookmarkEnd w:id="53"/>
    <w:p>
      <w:pPr>
        <w:keepNext w:val="0"/>
        <w:keepLines w:val="0"/>
        <w:pageBreakBefore w:val="0"/>
        <w:widowControl w:val="0"/>
        <w:kinsoku/>
        <w:wordWrap/>
        <w:overflowPunct/>
        <w:topLinePunct w:val="0"/>
        <w:bidi w:val="0"/>
        <w:adjustRightInd/>
        <w:snapToGrid/>
        <w:spacing w:line="360" w:lineRule="auto"/>
        <w:ind w:firstLine="482" w:firstLineChars="200"/>
        <w:textAlignment w:val="auto"/>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14. 投标文件的提交、补充、修改、撤回</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hint="eastAsia" w:ascii="仿宋" w:hAnsi="仿宋" w:eastAsia="仿宋" w:cs="仿宋_GB2312"/>
          <w:color w:val="auto"/>
          <w:szCs w:val="24"/>
          <w:highlight w:val="none"/>
        </w:rPr>
      </w:pPr>
      <w:r>
        <w:rPr>
          <w:rFonts w:hint="eastAsia" w:ascii="仿宋" w:hAnsi="仿宋" w:eastAsia="仿宋" w:cs="仿宋_GB2312"/>
          <w:color w:val="auto"/>
          <w:szCs w:val="24"/>
          <w:highlight w:val="none"/>
        </w:rPr>
        <w:t>14.2在投标截止时间前，除供应商补充、修改或者撤回投标文件外，任何单位和个人不得解密或提取投标文件。</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hint="eastAsia" w:ascii="仿宋" w:hAnsi="仿宋" w:eastAsia="仿宋" w:cs="仿宋_GB2312"/>
          <w:color w:val="auto"/>
          <w:szCs w:val="24"/>
          <w:highlight w:val="none"/>
        </w:rPr>
      </w:pPr>
      <w:r>
        <w:rPr>
          <w:rFonts w:hint="eastAsia" w:ascii="仿宋" w:hAnsi="仿宋" w:eastAsia="仿宋" w:cs="仿宋_GB2312"/>
          <w:color w:val="auto"/>
          <w:szCs w:val="24"/>
          <w:highlight w:val="none"/>
        </w:rPr>
        <w:t>14.3采购代理机构可以视情况延长投标文件提交的截止时间。在上述情况下，采购代理机构与投标人以前在投标截止期方面的全部权利、责任和义务，将适用于延长至新的投标截止期。</w:t>
      </w:r>
    </w:p>
    <w:p>
      <w:pPr>
        <w:pStyle w:val="221"/>
        <w:keepNext w:val="0"/>
        <w:keepLines w:val="0"/>
        <w:pageBreakBefore w:val="0"/>
        <w:widowControl w:val="0"/>
        <w:kinsoku/>
        <w:wordWrap/>
        <w:overflowPunct/>
        <w:topLinePunct w:val="0"/>
        <w:bidi w:val="0"/>
        <w:adjustRightInd/>
        <w:snapToGrid/>
        <w:spacing w:before="0" w:beforeLines="0"/>
        <w:ind w:firstLine="482"/>
        <w:textAlignment w:val="auto"/>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15.投标文件的无效处理</w:t>
      </w:r>
    </w:p>
    <w:p>
      <w:pPr>
        <w:pStyle w:val="23"/>
        <w:keepNext w:val="0"/>
        <w:keepLines w:val="0"/>
        <w:pageBreakBefore w:val="0"/>
        <w:widowControl w:val="0"/>
        <w:kinsoku/>
        <w:wordWrap/>
        <w:overflowPunct/>
        <w:topLinePunct w:val="0"/>
        <w:bidi w:val="0"/>
        <w:adjustRightInd/>
        <w:snapToGrid/>
        <w:spacing w:line="360" w:lineRule="auto"/>
        <w:textAlignment w:val="auto"/>
        <w:rPr>
          <w:rFonts w:ascii="仿宋" w:hAnsi="仿宋" w:eastAsia="仿宋" w:cs="仿宋_GB2312"/>
          <w:color w:val="auto"/>
          <w:szCs w:val="21"/>
          <w:highlight w:val="none"/>
        </w:rPr>
      </w:pPr>
      <w:r>
        <w:rPr>
          <w:rFonts w:hint="eastAsia" w:ascii="仿宋" w:hAnsi="仿宋" w:eastAsia="仿宋" w:cs="仿宋_GB2312"/>
          <w:color w:val="auto"/>
          <w:szCs w:val="21"/>
          <w:highlight w:val="none"/>
        </w:rPr>
        <w:t>有招标文件</w:t>
      </w:r>
      <w:r>
        <w:rPr>
          <w:rFonts w:hint="eastAsia" w:ascii="仿宋" w:hAnsi="仿宋" w:eastAsia="仿宋" w:cs="仿宋_GB2312"/>
          <w:color w:val="auto"/>
          <w:szCs w:val="21"/>
          <w:highlight w:val="none"/>
          <w:lang w:eastAsia="zh-CN"/>
        </w:rPr>
        <w:t>第四部分 “投标无效”章节</w:t>
      </w:r>
      <w:r>
        <w:rPr>
          <w:rFonts w:hint="eastAsia" w:ascii="仿宋" w:hAnsi="仿宋" w:eastAsia="仿宋"/>
          <w:color w:val="auto"/>
          <w:highlight w:val="none"/>
        </w:rPr>
        <w:t>规定</w:t>
      </w:r>
      <w:r>
        <w:rPr>
          <w:rFonts w:hint="eastAsia" w:ascii="仿宋" w:hAnsi="仿宋" w:eastAsia="仿宋" w:cs="仿宋_GB2312"/>
          <w:color w:val="auto"/>
          <w:szCs w:val="21"/>
          <w:highlight w:val="none"/>
        </w:rPr>
        <w:t>的情形之一的，投标无效：</w:t>
      </w:r>
    </w:p>
    <w:p>
      <w:pPr>
        <w:pStyle w:val="221"/>
        <w:keepNext w:val="0"/>
        <w:keepLines w:val="0"/>
        <w:pageBreakBefore w:val="0"/>
        <w:widowControl w:val="0"/>
        <w:kinsoku/>
        <w:wordWrap/>
        <w:overflowPunct/>
        <w:topLinePunct w:val="0"/>
        <w:bidi w:val="0"/>
        <w:adjustRightInd/>
        <w:snapToGrid/>
        <w:spacing w:before="0" w:beforeLines="0"/>
        <w:ind w:firstLine="482"/>
        <w:textAlignment w:val="auto"/>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16.投标有效期</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ascii="仿宋" w:hAnsi="仿宋" w:eastAsia="仿宋" w:cs="仿宋_GB2312"/>
          <w:color w:val="auto"/>
          <w:sz w:val="24"/>
          <w:szCs w:val="20"/>
          <w:highlight w:val="none"/>
        </w:rPr>
      </w:pPr>
      <w:r>
        <w:rPr>
          <w:rFonts w:hint="eastAsia" w:ascii="仿宋" w:hAnsi="仿宋" w:eastAsia="仿宋" w:cs="仿宋_GB2312"/>
          <w:color w:val="auto"/>
          <w:sz w:val="24"/>
          <w:szCs w:val="20"/>
          <w:highlight w:val="none"/>
        </w:rPr>
        <w:t>16.1投标有效期为从提交投标文件的截止之日起90天。</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s="仿宋_GB2312"/>
          <w:b/>
          <w:color w:val="auto"/>
          <w:sz w:val="24"/>
          <w:szCs w:val="21"/>
          <w:highlight w:val="none"/>
        </w:rPr>
      </w:pPr>
      <w:r>
        <w:rPr>
          <w:rFonts w:hint="eastAsia" w:ascii="仿宋" w:hAnsi="仿宋" w:eastAsia="仿宋" w:cs="仿宋_GB2312"/>
          <w:color w:val="auto"/>
          <w:sz w:val="24"/>
          <w:szCs w:val="20"/>
          <w:highlight w:val="none"/>
        </w:rPr>
        <w:t>▲</w:t>
      </w:r>
      <w:r>
        <w:rPr>
          <w:rFonts w:hint="eastAsia" w:ascii="仿宋" w:hAnsi="仿宋" w:eastAsia="仿宋" w:cs="仿宋_GB2312"/>
          <w:b/>
          <w:color w:val="auto"/>
          <w:sz w:val="24"/>
          <w:szCs w:val="20"/>
          <w:highlight w:val="none"/>
        </w:rPr>
        <w:t>投标人的投标文件中承</w:t>
      </w:r>
      <w:r>
        <w:rPr>
          <w:rFonts w:hint="eastAsia" w:ascii="仿宋" w:hAnsi="仿宋" w:eastAsia="仿宋" w:cs="仿宋_GB2312"/>
          <w:b/>
          <w:color w:val="auto"/>
          <w:sz w:val="24"/>
          <w:szCs w:val="21"/>
          <w:highlight w:val="none"/>
        </w:rPr>
        <w:t>诺的投标有效期少于招标文件中载明的投标有效期的，投标无效。</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仿宋_GB2312"/>
          <w:color w:val="auto"/>
          <w:highlight w:val="none"/>
        </w:rPr>
      </w:pPr>
      <w:r>
        <w:rPr>
          <w:rFonts w:hint="eastAsia" w:ascii="仿宋" w:hAnsi="仿宋" w:eastAsia="仿宋" w:cs="仿宋_GB2312"/>
          <w:color w:val="auto"/>
          <w:highlight w:val="none"/>
        </w:rPr>
        <w:t>16.2投标文件合格投递后，自投标截止日期起，在投标有效期内有效。投标有效期内，投标人不得撤销或更换投标文件。</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仿宋_GB2312"/>
          <w:color w:val="auto"/>
          <w:highlight w:val="none"/>
        </w:rPr>
      </w:pPr>
      <w:r>
        <w:rPr>
          <w:rFonts w:hint="eastAsia" w:ascii="仿宋" w:hAnsi="仿宋" w:eastAsia="仿宋" w:cs="仿宋_GB2312"/>
          <w:color w:val="auto"/>
          <w:highlight w:val="none"/>
        </w:rPr>
        <w:t>16.3在原定投标有效期满之前，如果出现特殊情况，采购代理机构可以以公告形式通知投标人延长投标有效期。投标人同意延长的，不得要求或被允许修改其投标文件，投标人拒绝延长的，其投标无效。</w:t>
      </w:r>
    </w:p>
    <w:p>
      <w:pPr>
        <w:adjustRightInd/>
        <w:spacing w:line="360" w:lineRule="auto"/>
        <w:jc w:val="center"/>
        <w:outlineLvl w:val="0"/>
        <w:rPr>
          <w:rFonts w:hint="eastAsia" w:ascii="仿宋" w:hAnsi="仿宋" w:eastAsia="仿宋" w:cs="仿宋_GB2312"/>
          <w:b/>
          <w:color w:val="auto"/>
          <w:sz w:val="32"/>
          <w:szCs w:val="20"/>
          <w:highlight w:val="none"/>
        </w:rPr>
      </w:pPr>
      <w:bookmarkStart w:id="58" w:name="_Toc91899897"/>
    </w:p>
    <w:p>
      <w:pPr>
        <w:adjustRightInd/>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四、开标</w:t>
      </w:r>
      <w:bookmarkEnd w:id="58"/>
      <w:r>
        <w:rPr>
          <w:rFonts w:hint="eastAsia" w:ascii="仿宋" w:hAnsi="仿宋" w:eastAsia="仿宋" w:cs="仿宋_GB2312"/>
          <w:b/>
          <w:color w:val="auto"/>
          <w:sz w:val="32"/>
          <w:szCs w:val="20"/>
          <w:highlight w:val="none"/>
        </w:rPr>
        <w:t>、资格审查与信用信息查询</w:t>
      </w:r>
    </w:p>
    <w:p>
      <w:pPr>
        <w:pStyle w:val="498"/>
        <w:keepNext w:val="0"/>
        <w:keepLines w:val="0"/>
        <w:pageBreakBefore w:val="0"/>
        <w:widowControl w:val="0"/>
        <w:kinsoku/>
        <w:wordWrap/>
        <w:overflowPunct/>
        <w:topLinePunct w:val="0"/>
        <w:bidi w:val="0"/>
        <w:adjustRightInd/>
        <w:snapToGrid/>
        <w:spacing w:before="0" w:line="360" w:lineRule="auto"/>
        <w:ind w:left="0" w:firstLine="482" w:firstLineChars="200"/>
        <w:contextualSpacing/>
        <w:textAlignment w:val="auto"/>
        <w:rPr>
          <w:rFonts w:ascii="仿宋_GB2312" w:eastAsia="仿宋_GB2312"/>
          <w:color w:val="auto"/>
          <w:sz w:val="24"/>
          <w:highlight w:val="none"/>
        </w:rPr>
      </w:pPr>
      <w:r>
        <w:rPr>
          <w:rFonts w:hint="eastAsia" w:ascii="仿宋" w:hAnsi="仿宋" w:eastAsia="仿宋" w:cs="仿宋_GB2312"/>
          <w:b/>
          <w:color w:val="auto"/>
          <w:sz w:val="24"/>
          <w:szCs w:val="24"/>
          <w:highlight w:val="none"/>
        </w:rPr>
        <w:t>17.开标</w:t>
      </w:r>
      <w:r>
        <w:rPr>
          <w:rFonts w:hint="eastAsia" w:ascii="仿宋_GB2312" w:eastAsia="仿宋_GB2312"/>
          <w:color w:val="auto"/>
          <w:sz w:val="24"/>
          <w:highlight w:val="none"/>
        </w:rPr>
        <w:t xml:space="preserve"> </w:t>
      </w:r>
    </w:p>
    <w:p>
      <w:pPr>
        <w:pStyle w:val="498"/>
        <w:keepNext w:val="0"/>
        <w:keepLines w:val="0"/>
        <w:pageBreakBefore w:val="0"/>
        <w:widowControl w:val="0"/>
        <w:kinsoku/>
        <w:wordWrap/>
        <w:overflowPunct/>
        <w:topLinePunct w:val="0"/>
        <w:bidi w:val="0"/>
        <w:adjustRightInd/>
        <w:snapToGrid/>
        <w:spacing w:before="0" w:line="360" w:lineRule="auto"/>
        <w:ind w:left="0" w:firstLine="480" w:firstLineChars="200"/>
        <w:contextualSpacing/>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17.1采购代理机构按照招标文件规定的时间通过电子交易平台组织开标，所有投标人均应当准时在线参加</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投标人不足3家的，不得开标。</w:t>
      </w:r>
    </w:p>
    <w:p>
      <w:pPr>
        <w:pStyle w:val="498"/>
        <w:keepNext w:val="0"/>
        <w:keepLines w:val="0"/>
        <w:pageBreakBefore w:val="0"/>
        <w:widowControl w:val="0"/>
        <w:kinsoku/>
        <w:wordWrap/>
        <w:overflowPunct/>
        <w:topLinePunct w:val="0"/>
        <w:bidi w:val="0"/>
        <w:adjustRightInd/>
        <w:snapToGrid/>
        <w:spacing w:before="0" w:line="360" w:lineRule="auto"/>
        <w:ind w:left="0" w:firstLine="480" w:firstLineChars="200"/>
        <w:contextualSpacing/>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17.2开标时，电子交易平台按开标时间自动提取所有投标文件。采购代理机构依托电子交易平台发起开始解密指令，投标人按照平台提示和招标文件的规定在1小时内完成在线解密。</w:t>
      </w:r>
    </w:p>
    <w:p>
      <w:pPr>
        <w:pStyle w:val="498"/>
        <w:keepNext w:val="0"/>
        <w:keepLines w:val="0"/>
        <w:pageBreakBefore w:val="0"/>
        <w:widowControl w:val="0"/>
        <w:kinsoku/>
        <w:wordWrap/>
        <w:overflowPunct/>
        <w:topLinePunct w:val="0"/>
        <w:bidi w:val="0"/>
        <w:adjustRightInd/>
        <w:snapToGrid/>
        <w:spacing w:before="0" w:line="360" w:lineRule="auto"/>
        <w:ind w:left="0" w:firstLine="482" w:firstLineChars="200"/>
        <w:contextualSpacing/>
        <w:textAlignment w:val="auto"/>
        <w:rPr>
          <w:rFonts w:ascii="仿宋" w:hAnsi="仿宋" w:eastAsia="仿宋" w:cs="仿宋_GB2312"/>
          <w:color w:val="auto"/>
          <w:sz w:val="24"/>
          <w:highlight w:val="none"/>
        </w:rPr>
      </w:pPr>
      <w:r>
        <w:rPr>
          <w:rFonts w:hint="eastAsia" w:ascii="仿宋" w:hAnsi="仿宋" w:eastAsia="仿宋" w:cs="仿宋_GB2312"/>
          <w:b/>
          <w:color w:val="auto"/>
          <w:sz w:val="24"/>
          <w:highlight w:val="none"/>
        </w:rPr>
        <w:t>18、资格审查</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18.1开标后，采购人或采购代理机构将依法对投标人的资格进行审查。</w:t>
      </w:r>
    </w:p>
    <w:p>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ascii="仿宋" w:hAnsi="仿宋" w:eastAsia="仿宋" w:cs="仿宋_GB2312"/>
          <w:color w:val="auto"/>
          <w:sz w:val="24"/>
          <w:highlight w:val="none"/>
        </w:rPr>
      </w:pPr>
      <w:r>
        <w:rPr>
          <w:rFonts w:hint="eastAsia" w:ascii="仿宋" w:hAnsi="仿宋" w:eastAsia="仿宋" w:cs="Arial"/>
          <w:color w:val="auto"/>
          <w:kern w:val="0"/>
          <w:sz w:val="24"/>
          <w:highlight w:val="none"/>
        </w:rPr>
        <w:t>18.2</w:t>
      </w:r>
      <w:r>
        <w:rPr>
          <w:rFonts w:hint="eastAsia" w:ascii="仿宋" w:hAnsi="仿宋" w:eastAsia="仿宋" w:cs="仿宋_GB2312"/>
          <w:color w:val="auto"/>
          <w:sz w:val="24"/>
          <w:highlight w:val="none"/>
        </w:rPr>
        <w:t>采购人或采购代理机构依据法律法规和招标文件的规定，对投标人的基本资格条件、特定资格条件进行审查。</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仿宋_GB2312"/>
          <w:color w:val="auto"/>
          <w:highlight w:val="none"/>
        </w:rPr>
      </w:pPr>
      <w:r>
        <w:rPr>
          <w:rFonts w:hint="eastAsia" w:ascii="仿宋" w:hAnsi="仿宋" w:eastAsia="仿宋" w:cs="Arial"/>
          <w:color w:val="auto"/>
          <w:kern w:val="0"/>
          <w:szCs w:val="24"/>
          <w:highlight w:val="none"/>
        </w:rPr>
        <w:t>18.3投标人未按照招标文件要求提供与</w:t>
      </w:r>
      <w:r>
        <w:rPr>
          <w:rFonts w:hint="eastAsia" w:ascii="仿宋" w:hAnsi="仿宋" w:eastAsia="仿宋" w:cs="仿宋_GB2312"/>
          <w:color w:val="auto"/>
          <w:highlight w:val="none"/>
        </w:rPr>
        <w:t>基本资格条件、特定资格条件相应的</w:t>
      </w:r>
      <w:r>
        <w:rPr>
          <w:rFonts w:hint="eastAsia" w:ascii="仿宋" w:hAnsi="仿宋" w:eastAsia="仿宋" w:cs="Arial"/>
          <w:color w:val="auto"/>
          <w:kern w:val="0"/>
          <w:szCs w:val="24"/>
          <w:highlight w:val="none"/>
        </w:rPr>
        <w:t>有效资格证明材料的，视为</w:t>
      </w:r>
      <w:r>
        <w:rPr>
          <w:rFonts w:hint="eastAsia" w:ascii="仿宋" w:hAnsi="仿宋" w:eastAsia="仿宋" w:cs="仿宋_GB2312"/>
          <w:color w:val="auto"/>
          <w:highlight w:val="none"/>
        </w:rPr>
        <w:t>投标人不具备招标文件中规定的资格要求，其投标无效。</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仿宋_GB2312"/>
          <w:color w:val="auto"/>
          <w:highlight w:val="none"/>
        </w:rPr>
      </w:pPr>
      <w:r>
        <w:rPr>
          <w:rFonts w:hint="eastAsia" w:ascii="仿宋" w:hAnsi="仿宋" w:eastAsia="仿宋" w:cs="仿宋_GB2312"/>
          <w:color w:val="auto"/>
          <w:highlight w:val="none"/>
        </w:rPr>
        <w:t>18.4对未通过资格审查的投标人，采购人或采购代理机构告知其未通过的原因。</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仿宋_GB2312"/>
          <w:color w:val="auto"/>
          <w:highlight w:val="none"/>
        </w:rPr>
      </w:pPr>
      <w:r>
        <w:rPr>
          <w:rFonts w:hint="eastAsia" w:ascii="仿宋" w:hAnsi="仿宋" w:eastAsia="仿宋" w:cs="仿宋_GB2312"/>
          <w:color w:val="auto"/>
          <w:highlight w:val="none"/>
        </w:rPr>
        <w:t>18.5合格投标人不足3家的，不再评标。</w:t>
      </w:r>
    </w:p>
    <w:p>
      <w:pPr>
        <w:pStyle w:val="221"/>
        <w:keepNext w:val="0"/>
        <w:keepLines w:val="0"/>
        <w:pageBreakBefore w:val="0"/>
        <w:widowControl w:val="0"/>
        <w:kinsoku/>
        <w:wordWrap/>
        <w:overflowPunct/>
        <w:topLinePunct w:val="0"/>
        <w:bidi w:val="0"/>
        <w:adjustRightInd/>
        <w:snapToGrid/>
        <w:spacing w:before="0" w:beforeLines="0"/>
        <w:ind w:firstLine="482"/>
        <w:textAlignment w:val="auto"/>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19、信用信息查询</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19.1信用信息查询渠道及截止时间：采购人或</w:t>
      </w:r>
      <w:r>
        <w:rPr>
          <w:rFonts w:ascii="仿宋" w:hAnsi="仿宋" w:eastAsia="仿宋" w:cs="Arial"/>
          <w:color w:val="auto"/>
          <w:kern w:val="0"/>
          <w:szCs w:val="24"/>
          <w:highlight w:val="none"/>
        </w:rPr>
        <w:t>采购代理机构</w:t>
      </w:r>
      <w:r>
        <w:rPr>
          <w:rFonts w:hint="eastAsia" w:ascii="仿宋" w:hAnsi="仿宋" w:eastAsia="仿宋" w:cs="Arial"/>
          <w:color w:val="auto"/>
          <w:kern w:val="0"/>
          <w:szCs w:val="24"/>
          <w:highlight w:val="none"/>
        </w:rPr>
        <w:t>将通过“信用中国”网站(www.creditchina.gov.cn)、中国政府采购网(www.ccgp.gov.cn)渠道查询投标人投标截止时间当天的信用记录。</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19.2信用信息查询记录和证据留存的具体方式：现场查询的投标人的信用记录、查询结果经确认后将与采购文件一起存档。</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19.3信用信息的使用规则：经查询列入失信被执行人名单、重大税收违法案件当事人名单、政府采购严重违法失信行为记录名单的投标人将被拒绝参与政府采购活动。</w:t>
      </w:r>
    </w:p>
    <w:p>
      <w:pPr>
        <w:pStyle w:val="221"/>
        <w:keepNext w:val="0"/>
        <w:keepLines w:val="0"/>
        <w:pageBreakBefore w:val="0"/>
        <w:widowControl w:val="0"/>
        <w:kinsoku/>
        <w:wordWrap/>
        <w:overflowPunct/>
        <w:topLinePunct w:val="0"/>
        <w:bidi w:val="0"/>
        <w:adjustRightInd/>
        <w:snapToGrid/>
        <w:spacing w:before="0" w:beforeLines="0"/>
        <w:ind w:firstLine="480"/>
        <w:textAlignment w:val="auto"/>
        <w:rPr>
          <w:rFonts w:ascii="仿宋" w:hAnsi="仿宋" w:eastAsia="仿宋" w:cs="仿宋_GB2312"/>
          <w:color w:val="auto"/>
          <w:highlight w:val="none"/>
        </w:rPr>
      </w:pPr>
      <w:r>
        <w:rPr>
          <w:rFonts w:hint="eastAsia" w:ascii="仿宋" w:hAnsi="仿宋" w:eastAsia="仿宋" w:cs="Arial"/>
          <w:color w:val="auto"/>
          <w:kern w:val="0"/>
          <w:szCs w:val="24"/>
          <w:highlight w:val="none"/>
        </w:rPr>
        <w:t>19.4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_GB2312"/>
          <w:color w:val="auto"/>
          <w:highlight w:val="none"/>
        </w:rPr>
        <w:t>。</w:t>
      </w:r>
    </w:p>
    <w:p>
      <w:pPr>
        <w:adjustRightInd/>
        <w:spacing w:line="360" w:lineRule="auto"/>
        <w:jc w:val="center"/>
        <w:outlineLvl w:val="0"/>
        <w:rPr>
          <w:rFonts w:hint="eastAsia" w:ascii="仿宋" w:hAnsi="仿宋" w:eastAsia="仿宋" w:cs="仿宋_GB2312"/>
          <w:b/>
          <w:color w:val="auto"/>
          <w:sz w:val="32"/>
          <w:szCs w:val="20"/>
          <w:highlight w:val="none"/>
        </w:rPr>
      </w:pPr>
    </w:p>
    <w:p>
      <w:pPr>
        <w:adjustRightInd/>
        <w:spacing w:line="360" w:lineRule="auto"/>
        <w:jc w:val="center"/>
        <w:outlineLvl w:val="0"/>
        <w:rPr>
          <w:rFonts w:ascii="仿宋" w:hAnsi="仿宋" w:eastAsia="仿宋" w:cs="仿宋_GB2312"/>
          <w:b/>
          <w:color w:val="auto"/>
          <w:sz w:val="32"/>
          <w:szCs w:val="20"/>
          <w:highlight w:val="none"/>
        </w:rPr>
      </w:pPr>
      <w:bookmarkStart w:id="59" w:name="_Hlt75236101"/>
      <w:bookmarkEnd w:id="59"/>
      <w:bookmarkStart w:id="60" w:name="_Toc91899902"/>
      <w:r>
        <w:rPr>
          <w:rFonts w:hint="eastAsia" w:ascii="仿宋" w:hAnsi="仿宋" w:eastAsia="仿宋" w:cs="仿宋_GB2312"/>
          <w:b/>
          <w:color w:val="auto"/>
          <w:sz w:val="32"/>
          <w:szCs w:val="20"/>
          <w:highlight w:val="none"/>
        </w:rPr>
        <w:t>五、评标</w:t>
      </w:r>
      <w:bookmarkEnd w:id="60"/>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20.</w:t>
      </w:r>
      <w:r>
        <w:rPr>
          <w:rFonts w:hint="eastAsia" w:ascii="仿宋" w:hAnsi="仿宋" w:eastAsia="仿宋" w:cs="仿宋_GB2312"/>
          <w:color w:val="auto"/>
          <w:sz w:val="24"/>
          <w:highlight w:val="none"/>
        </w:rPr>
        <w:t>详见招标文件第四部分“评标方法及评分标准”。</w:t>
      </w:r>
    </w:p>
    <w:p>
      <w:pPr>
        <w:adjustRightInd/>
        <w:spacing w:line="360" w:lineRule="auto"/>
        <w:jc w:val="center"/>
        <w:outlineLvl w:val="0"/>
        <w:rPr>
          <w:rFonts w:hint="eastAsia" w:ascii="仿宋" w:hAnsi="仿宋" w:eastAsia="仿宋" w:cs="仿宋_GB2312"/>
          <w:b/>
          <w:color w:val="auto"/>
          <w:sz w:val="32"/>
          <w:szCs w:val="20"/>
          <w:highlight w:val="none"/>
        </w:rPr>
      </w:pPr>
    </w:p>
    <w:p>
      <w:pPr>
        <w:adjustRightInd/>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六、定标</w:t>
      </w:r>
    </w:p>
    <w:p>
      <w:pPr>
        <w:pStyle w:val="23"/>
        <w:keepNext w:val="0"/>
        <w:keepLines w:val="0"/>
        <w:pageBreakBefore w:val="0"/>
        <w:kinsoku/>
        <w:wordWrap/>
        <w:overflowPunct/>
        <w:topLinePunct w:val="0"/>
        <w:autoSpaceDE/>
        <w:autoSpaceDN/>
        <w:bidi w:val="0"/>
        <w:adjustRightInd/>
        <w:snapToGrid/>
        <w:spacing w:line="360" w:lineRule="auto"/>
        <w:ind w:firstLine="482"/>
        <w:textAlignment w:val="auto"/>
        <w:rPr>
          <w:rFonts w:ascii="仿宋" w:hAnsi="仿宋" w:eastAsia="仿宋" w:cs="仿宋_GB2312"/>
          <w:b/>
          <w:color w:val="auto"/>
          <w:highlight w:val="none"/>
        </w:rPr>
      </w:pPr>
      <w:r>
        <w:rPr>
          <w:rFonts w:hint="eastAsia" w:ascii="仿宋" w:hAnsi="仿宋" w:eastAsia="仿宋" w:cs="仿宋_GB2312"/>
          <w:b/>
          <w:color w:val="auto"/>
          <w:highlight w:val="none"/>
        </w:rPr>
        <w:t>2</w:t>
      </w:r>
      <w:r>
        <w:rPr>
          <w:rFonts w:hint="eastAsia" w:ascii="仿宋" w:hAnsi="仿宋" w:eastAsia="仿宋" w:cs="仿宋_GB2312"/>
          <w:b/>
          <w:color w:val="auto"/>
          <w:highlight w:val="none"/>
          <w:lang w:eastAsia="zh-CN"/>
        </w:rPr>
        <w:t>1</w:t>
      </w:r>
      <w:r>
        <w:rPr>
          <w:rFonts w:hint="eastAsia" w:ascii="仿宋" w:hAnsi="仿宋" w:eastAsia="仿宋" w:cs="仿宋_GB2312"/>
          <w:b/>
          <w:color w:val="auto"/>
          <w:highlight w:val="none"/>
        </w:rPr>
        <w:t>. 确定中标供应商</w:t>
      </w:r>
    </w:p>
    <w:p>
      <w:pPr>
        <w:pStyle w:val="221"/>
        <w:keepNext w:val="0"/>
        <w:keepLines w:val="0"/>
        <w:pageBreakBefore w:val="0"/>
        <w:kinsoku/>
        <w:wordWrap/>
        <w:overflowPunct/>
        <w:topLinePunct w:val="0"/>
        <w:autoSpaceDE/>
        <w:autoSpaceDN/>
        <w:bidi w:val="0"/>
        <w:adjustRightInd/>
        <w:snapToGrid/>
        <w:spacing w:before="0" w:beforeLines="0"/>
        <w:ind w:firstLine="480"/>
        <w:textAlignment w:val="auto"/>
        <w:rPr>
          <w:rFonts w:ascii="仿宋" w:hAnsi="仿宋" w:eastAsia="仿宋" w:cs="仿宋_GB2312"/>
          <w:b/>
          <w:color w:val="auto"/>
          <w:szCs w:val="24"/>
          <w:highlight w:val="none"/>
        </w:rPr>
      </w:pPr>
      <w:r>
        <w:rPr>
          <w:rFonts w:hint="eastAsia" w:ascii="仿宋" w:hAnsi="仿宋" w:eastAsia="仿宋" w:cs="仿宋_GB2312"/>
          <w:color w:val="auto"/>
          <w:szCs w:val="24"/>
          <w:highlight w:val="none"/>
        </w:rPr>
        <w:t>采购代理机构将自评审结束之日起2个工作日内将评审报告送交采购人。采购人将自收到评审报告之日起5个工作日内在评审报告推荐的中标候选人中按顺序确定中标供应商。</w:t>
      </w:r>
    </w:p>
    <w:p>
      <w:pPr>
        <w:pStyle w:val="221"/>
        <w:keepNext w:val="0"/>
        <w:keepLines w:val="0"/>
        <w:pageBreakBefore w:val="0"/>
        <w:kinsoku/>
        <w:wordWrap/>
        <w:overflowPunct/>
        <w:topLinePunct w:val="0"/>
        <w:autoSpaceDE/>
        <w:autoSpaceDN/>
        <w:bidi w:val="0"/>
        <w:adjustRightInd/>
        <w:snapToGrid/>
        <w:spacing w:before="0" w:beforeLines="0"/>
        <w:ind w:firstLine="482"/>
        <w:textAlignment w:val="auto"/>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22. 中标通知书与中标结果公告</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仿宋" w:hAnsi="仿宋" w:eastAsia="仿宋" w:cs="仿宋_GB2312"/>
          <w:color w:val="auto"/>
          <w:sz w:val="24"/>
          <w:highlight w:val="none"/>
        </w:rPr>
      </w:pPr>
      <w:r>
        <w:rPr>
          <w:rFonts w:hint="eastAsia" w:ascii="仿宋" w:hAnsi="仿宋" w:eastAsia="仿宋" w:cs="仿宋_GB2312"/>
          <w:color w:val="auto"/>
          <w:sz w:val="24"/>
          <w:highlight w:val="none"/>
        </w:rPr>
        <w:t>22.1采购代理机构将在自中标人确定之日起2个工作日内，发布招标公告的网站上公告中标结果，同时发出中标通知书（中标人可在政采云平台自行下载中标通知书）。</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仿宋" w:hAnsi="仿宋" w:eastAsia="仿宋" w:cs="仿宋_GB2312"/>
          <w:color w:val="auto"/>
          <w:sz w:val="24"/>
          <w:highlight w:val="none"/>
        </w:rPr>
      </w:pPr>
      <w:r>
        <w:rPr>
          <w:rFonts w:hint="eastAsia" w:ascii="仿宋" w:hAnsi="仿宋" w:eastAsia="仿宋" w:cs="仿宋_GB2312"/>
          <w:color w:val="auto"/>
          <w:sz w:val="24"/>
          <w:highlight w:val="none"/>
        </w:rPr>
        <w:t>22.2</w:t>
      </w:r>
      <w:r>
        <w:rPr>
          <w:rFonts w:ascii="仿宋" w:hAnsi="仿宋" w:eastAsia="仿宋" w:cs="仿宋_GB2312"/>
          <w:color w:val="auto"/>
          <w:sz w:val="24"/>
          <w:highlight w:val="none"/>
        </w:rPr>
        <w:t>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仿宋" w:hAnsi="仿宋" w:eastAsia="仿宋" w:cs="仿宋_GB2312"/>
          <w:color w:val="auto"/>
          <w:sz w:val="24"/>
          <w:highlight w:val="none"/>
        </w:rPr>
      </w:pPr>
      <w:r>
        <w:rPr>
          <w:rFonts w:hint="eastAsia" w:ascii="仿宋" w:hAnsi="仿宋" w:eastAsia="仿宋" w:cs="仿宋_GB2312"/>
          <w:color w:val="auto"/>
          <w:sz w:val="24"/>
          <w:highlight w:val="none"/>
        </w:rPr>
        <w:t>22.3</w:t>
      </w:r>
      <w:r>
        <w:rPr>
          <w:rFonts w:ascii="仿宋" w:hAnsi="仿宋" w:eastAsia="仿宋" w:cs="仿宋_GB2312"/>
          <w:color w:val="auto"/>
          <w:sz w:val="24"/>
          <w:highlight w:val="none"/>
        </w:rPr>
        <w:t>公告期限为1个工作日。</w:t>
      </w:r>
    </w:p>
    <w:p>
      <w:pPr>
        <w:adjustRightInd/>
        <w:spacing w:line="360" w:lineRule="auto"/>
        <w:jc w:val="center"/>
        <w:outlineLvl w:val="0"/>
        <w:rPr>
          <w:rFonts w:hint="eastAsia" w:ascii="仿宋" w:hAnsi="仿宋" w:eastAsia="仿宋" w:cs="仿宋_GB2312"/>
          <w:b/>
          <w:color w:val="auto"/>
          <w:sz w:val="32"/>
          <w:szCs w:val="20"/>
          <w:highlight w:val="none"/>
        </w:rPr>
      </w:pPr>
    </w:p>
    <w:p>
      <w:pPr>
        <w:adjustRightInd/>
        <w:spacing w:line="360" w:lineRule="auto"/>
        <w:jc w:val="center"/>
        <w:outlineLvl w:val="0"/>
        <w:rPr>
          <w:rFonts w:hint="eastAsia"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七、</w:t>
      </w:r>
      <w:r>
        <w:rPr>
          <w:rFonts w:ascii="仿宋" w:hAnsi="仿宋" w:eastAsia="仿宋" w:cs="仿宋_GB2312"/>
          <w:b/>
          <w:color w:val="auto"/>
          <w:sz w:val="32"/>
          <w:szCs w:val="20"/>
          <w:highlight w:val="none"/>
        </w:rPr>
        <w:t>电子</w:t>
      </w:r>
      <w:r>
        <w:rPr>
          <w:rFonts w:hint="eastAsia" w:ascii="仿宋" w:hAnsi="仿宋" w:eastAsia="仿宋" w:cs="仿宋_GB2312"/>
          <w:b/>
          <w:color w:val="auto"/>
          <w:sz w:val="32"/>
          <w:szCs w:val="20"/>
          <w:highlight w:val="none"/>
        </w:rPr>
        <w:t>交易活动的中止</w:t>
      </w:r>
    </w:p>
    <w:p>
      <w:pPr>
        <w:pStyle w:val="221"/>
        <w:keepNext w:val="0"/>
        <w:keepLines w:val="0"/>
        <w:pageBreakBefore w:val="0"/>
        <w:widowControl w:val="0"/>
        <w:kinsoku/>
        <w:wordWrap/>
        <w:overflowPunct/>
        <w:topLinePunct w:val="0"/>
        <w:autoSpaceDE/>
        <w:autoSpaceDN/>
        <w:bidi w:val="0"/>
        <w:adjustRightInd/>
        <w:snapToGrid/>
        <w:spacing w:before="0"/>
        <w:ind w:firstLine="482"/>
        <w:textAlignment w:val="auto"/>
        <w:rPr>
          <w:rFonts w:ascii="仿宋" w:hAnsi="仿宋" w:eastAsia="仿宋" w:cs="仿宋_GB2312"/>
          <w:color w:val="auto"/>
          <w:highlight w:val="none"/>
        </w:rPr>
      </w:pPr>
      <w:r>
        <w:rPr>
          <w:rFonts w:hint="eastAsia" w:ascii="仿宋" w:hAnsi="仿宋" w:eastAsia="仿宋" w:cs="仿宋_GB2312"/>
          <w:b/>
          <w:color w:val="auto"/>
          <w:highlight w:val="none"/>
        </w:rPr>
        <w:t>2</w:t>
      </w:r>
      <w:r>
        <w:rPr>
          <w:rFonts w:hint="eastAsia" w:ascii="仿宋" w:hAnsi="仿宋" w:eastAsia="仿宋" w:cs="仿宋_GB2312"/>
          <w:b/>
          <w:color w:val="auto"/>
          <w:szCs w:val="24"/>
          <w:highlight w:val="none"/>
        </w:rPr>
        <w:t>3. 电子交易活动的中止。</w:t>
      </w:r>
      <w:r>
        <w:rPr>
          <w:rFonts w:hint="eastAsia" w:ascii="仿宋" w:hAnsi="仿宋" w:eastAsia="仿宋" w:cs="仿宋_GB2312"/>
          <w:color w:val="auto"/>
          <w:highlight w:val="none"/>
        </w:rPr>
        <w:t>采购过程中出现以下情形，</w:t>
      </w:r>
      <w:r>
        <w:rPr>
          <w:rFonts w:ascii="仿宋" w:hAnsi="仿宋" w:eastAsia="仿宋" w:cs="仿宋_GB2312"/>
          <w:color w:val="auto"/>
          <w:highlight w:val="none"/>
        </w:rPr>
        <w:t>导致</w:t>
      </w:r>
      <w:r>
        <w:rPr>
          <w:rFonts w:hint="eastAsia" w:ascii="仿宋" w:hAnsi="仿宋" w:eastAsia="仿宋" w:cs="仿宋_GB2312"/>
          <w:color w:val="auto"/>
          <w:highlight w:val="none"/>
        </w:rPr>
        <w:t>电子交易平台</w:t>
      </w:r>
      <w:r>
        <w:rPr>
          <w:rFonts w:ascii="仿宋" w:hAnsi="仿宋" w:eastAsia="仿宋" w:cs="仿宋_GB2312"/>
          <w:color w:val="auto"/>
          <w:highlight w:val="none"/>
        </w:rPr>
        <w:t>无法正常运行，或者无法保证电子</w:t>
      </w:r>
      <w:r>
        <w:rPr>
          <w:rFonts w:hint="eastAsia" w:ascii="仿宋" w:hAnsi="仿宋" w:eastAsia="仿宋" w:cs="仿宋_GB2312"/>
          <w:color w:val="auto"/>
          <w:highlight w:val="none"/>
        </w:rPr>
        <w:t>交易</w:t>
      </w:r>
      <w:r>
        <w:rPr>
          <w:rFonts w:ascii="仿宋" w:hAnsi="仿宋" w:eastAsia="仿宋" w:cs="仿宋_GB2312"/>
          <w:color w:val="auto"/>
          <w:highlight w:val="none"/>
        </w:rPr>
        <w:t>的公平、公正和安全时，</w:t>
      </w:r>
      <w:r>
        <w:rPr>
          <w:rFonts w:hint="eastAsia" w:ascii="仿宋" w:hAnsi="仿宋" w:eastAsia="仿宋" w:cs="仿宋_GB2312"/>
          <w:color w:val="auto"/>
          <w:highlight w:val="none"/>
        </w:rPr>
        <w:t>采购代理机构可</w:t>
      </w:r>
      <w:r>
        <w:rPr>
          <w:rFonts w:ascii="仿宋" w:hAnsi="仿宋" w:eastAsia="仿宋" w:cs="仿宋_GB2312"/>
          <w:color w:val="auto"/>
          <w:highlight w:val="none"/>
        </w:rPr>
        <w:t>中止电子</w:t>
      </w:r>
      <w:r>
        <w:rPr>
          <w:rFonts w:hint="eastAsia" w:ascii="仿宋" w:hAnsi="仿宋" w:eastAsia="仿宋" w:cs="仿宋_GB2312"/>
          <w:color w:val="auto"/>
          <w:highlight w:val="none"/>
        </w:rPr>
        <w:t>交易活动</w:t>
      </w:r>
      <w:r>
        <w:rPr>
          <w:rFonts w:ascii="仿宋" w:hAnsi="仿宋" w:eastAsia="仿宋" w:cs="仿宋_GB2312"/>
          <w:color w:val="auto"/>
          <w:highlight w:val="none"/>
        </w:rPr>
        <w:t>：</w:t>
      </w:r>
    </w:p>
    <w:p>
      <w:pPr>
        <w:pStyle w:val="221"/>
        <w:keepNext w:val="0"/>
        <w:keepLines w:val="0"/>
        <w:pageBreakBefore w:val="0"/>
        <w:widowControl w:val="0"/>
        <w:kinsoku/>
        <w:wordWrap/>
        <w:overflowPunct/>
        <w:topLinePunct w:val="0"/>
        <w:autoSpaceDE/>
        <w:autoSpaceDN/>
        <w:bidi w:val="0"/>
        <w:adjustRightInd/>
        <w:snapToGrid/>
        <w:spacing w:before="0"/>
        <w:ind w:firstLine="480"/>
        <w:textAlignment w:val="auto"/>
        <w:rPr>
          <w:rFonts w:ascii="仿宋" w:hAnsi="仿宋" w:eastAsia="仿宋" w:cs="仿宋_GB2312"/>
          <w:color w:val="auto"/>
          <w:highlight w:val="none"/>
        </w:rPr>
      </w:pPr>
      <w:r>
        <w:rPr>
          <w:rFonts w:hint="eastAsia" w:ascii="仿宋" w:hAnsi="仿宋" w:eastAsia="仿宋" w:cs="仿宋_GB2312"/>
          <w:color w:val="auto"/>
          <w:highlight w:val="none"/>
        </w:rPr>
        <w:t>23.1电子交易</w:t>
      </w:r>
      <w:r>
        <w:rPr>
          <w:rFonts w:ascii="仿宋" w:hAnsi="仿宋" w:eastAsia="仿宋" w:cs="仿宋_GB2312"/>
          <w:color w:val="auto"/>
          <w:highlight w:val="none"/>
        </w:rPr>
        <w:t>平台发生故障而无法</w:t>
      </w:r>
      <w:r>
        <w:rPr>
          <w:rFonts w:hint="eastAsia" w:ascii="仿宋" w:hAnsi="仿宋" w:eastAsia="仿宋" w:cs="仿宋_GB2312"/>
          <w:color w:val="auto"/>
          <w:highlight w:val="none"/>
        </w:rPr>
        <w:t>登录</w:t>
      </w:r>
      <w:r>
        <w:rPr>
          <w:rFonts w:ascii="仿宋" w:hAnsi="仿宋" w:eastAsia="仿宋" w:cs="仿宋_GB2312"/>
          <w:color w:val="auto"/>
          <w:highlight w:val="none"/>
        </w:rPr>
        <w:t xml:space="preserve">访问的； </w:t>
      </w:r>
    </w:p>
    <w:p>
      <w:pPr>
        <w:pStyle w:val="221"/>
        <w:keepNext w:val="0"/>
        <w:keepLines w:val="0"/>
        <w:pageBreakBefore w:val="0"/>
        <w:widowControl w:val="0"/>
        <w:kinsoku/>
        <w:wordWrap/>
        <w:overflowPunct/>
        <w:topLinePunct w:val="0"/>
        <w:autoSpaceDE/>
        <w:autoSpaceDN/>
        <w:bidi w:val="0"/>
        <w:adjustRightInd/>
        <w:snapToGrid/>
        <w:spacing w:before="0"/>
        <w:ind w:firstLine="480"/>
        <w:textAlignment w:val="auto"/>
        <w:rPr>
          <w:rFonts w:ascii="仿宋" w:hAnsi="仿宋" w:eastAsia="仿宋" w:cs="仿宋_GB2312"/>
          <w:color w:val="auto"/>
          <w:highlight w:val="none"/>
        </w:rPr>
      </w:pPr>
      <w:r>
        <w:rPr>
          <w:rFonts w:hint="eastAsia" w:ascii="仿宋" w:hAnsi="仿宋" w:eastAsia="仿宋" w:cs="仿宋_GB2312"/>
          <w:color w:val="auto"/>
          <w:highlight w:val="none"/>
        </w:rPr>
        <w:t>23.2电子交易</w:t>
      </w:r>
      <w:r>
        <w:rPr>
          <w:rFonts w:ascii="仿宋" w:hAnsi="仿宋" w:eastAsia="仿宋" w:cs="仿宋_GB2312"/>
          <w:color w:val="auto"/>
          <w:highlight w:val="none"/>
        </w:rPr>
        <w:t>平台应用或数据库出现错误，不能进行正常操作</w:t>
      </w:r>
      <w:r>
        <w:rPr>
          <w:rFonts w:hint="eastAsia" w:ascii="仿宋" w:hAnsi="仿宋" w:eastAsia="仿宋" w:cs="仿宋_GB2312"/>
          <w:color w:val="auto"/>
          <w:highlight w:val="none"/>
        </w:rPr>
        <w:t>的</w:t>
      </w:r>
      <w:r>
        <w:rPr>
          <w:rFonts w:ascii="仿宋" w:hAnsi="仿宋" w:eastAsia="仿宋" w:cs="仿宋_GB2312"/>
          <w:color w:val="auto"/>
          <w:highlight w:val="none"/>
        </w:rPr>
        <w:t>；</w:t>
      </w:r>
    </w:p>
    <w:p>
      <w:pPr>
        <w:pStyle w:val="221"/>
        <w:keepNext w:val="0"/>
        <w:keepLines w:val="0"/>
        <w:pageBreakBefore w:val="0"/>
        <w:widowControl w:val="0"/>
        <w:kinsoku/>
        <w:wordWrap/>
        <w:overflowPunct/>
        <w:topLinePunct w:val="0"/>
        <w:autoSpaceDE/>
        <w:autoSpaceDN/>
        <w:bidi w:val="0"/>
        <w:adjustRightInd/>
        <w:snapToGrid/>
        <w:spacing w:before="0"/>
        <w:ind w:firstLine="480"/>
        <w:textAlignment w:val="auto"/>
        <w:rPr>
          <w:rFonts w:ascii="仿宋" w:hAnsi="仿宋" w:eastAsia="仿宋" w:cs="仿宋_GB2312"/>
          <w:color w:val="auto"/>
          <w:highlight w:val="none"/>
        </w:rPr>
      </w:pPr>
      <w:r>
        <w:rPr>
          <w:rFonts w:hint="eastAsia" w:ascii="仿宋" w:hAnsi="仿宋" w:eastAsia="仿宋" w:cs="仿宋_GB2312"/>
          <w:color w:val="auto"/>
          <w:highlight w:val="none"/>
        </w:rPr>
        <w:t>23.3电子交易</w:t>
      </w:r>
      <w:r>
        <w:rPr>
          <w:rFonts w:ascii="仿宋" w:hAnsi="仿宋" w:eastAsia="仿宋" w:cs="仿宋_GB2312"/>
          <w:color w:val="auto"/>
          <w:highlight w:val="none"/>
        </w:rPr>
        <w:t>平台发现</w:t>
      </w:r>
      <w:r>
        <w:rPr>
          <w:rFonts w:hint="eastAsia" w:ascii="仿宋" w:hAnsi="仿宋" w:eastAsia="仿宋" w:cs="仿宋_GB2312"/>
          <w:color w:val="auto"/>
          <w:highlight w:val="none"/>
        </w:rPr>
        <w:t>严重</w:t>
      </w:r>
      <w:r>
        <w:rPr>
          <w:rFonts w:ascii="仿宋" w:hAnsi="仿宋" w:eastAsia="仿宋" w:cs="仿宋_GB2312"/>
          <w:color w:val="auto"/>
          <w:highlight w:val="none"/>
        </w:rPr>
        <w:t>安全漏洞，有潜在泄密危险的</w:t>
      </w:r>
      <w:r>
        <w:rPr>
          <w:rFonts w:hint="eastAsia" w:ascii="仿宋" w:hAnsi="仿宋" w:eastAsia="仿宋" w:cs="仿宋_GB2312"/>
          <w:color w:val="auto"/>
          <w:highlight w:val="none"/>
        </w:rPr>
        <w:t>；</w:t>
      </w:r>
    </w:p>
    <w:p>
      <w:pPr>
        <w:pStyle w:val="221"/>
        <w:keepNext w:val="0"/>
        <w:keepLines w:val="0"/>
        <w:pageBreakBefore w:val="0"/>
        <w:widowControl w:val="0"/>
        <w:kinsoku/>
        <w:wordWrap/>
        <w:overflowPunct/>
        <w:topLinePunct w:val="0"/>
        <w:autoSpaceDE/>
        <w:autoSpaceDN/>
        <w:bidi w:val="0"/>
        <w:adjustRightInd/>
        <w:snapToGrid/>
        <w:spacing w:before="0"/>
        <w:ind w:firstLine="480"/>
        <w:textAlignment w:val="auto"/>
        <w:rPr>
          <w:rFonts w:ascii="仿宋" w:hAnsi="仿宋" w:eastAsia="仿宋" w:cs="仿宋_GB2312"/>
          <w:color w:val="auto"/>
          <w:highlight w:val="none"/>
        </w:rPr>
      </w:pPr>
      <w:r>
        <w:rPr>
          <w:rFonts w:hint="eastAsia" w:ascii="仿宋" w:hAnsi="仿宋" w:eastAsia="仿宋" w:cs="仿宋_GB2312"/>
          <w:color w:val="auto"/>
          <w:highlight w:val="none"/>
        </w:rPr>
        <w:t>23.4</w:t>
      </w:r>
      <w:r>
        <w:rPr>
          <w:rFonts w:ascii="仿宋" w:hAnsi="仿宋" w:eastAsia="仿宋" w:cs="仿宋_GB2312"/>
          <w:color w:val="auto"/>
          <w:highlight w:val="none"/>
        </w:rPr>
        <w:t>病毒发作</w:t>
      </w:r>
      <w:r>
        <w:rPr>
          <w:rFonts w:hint="eastAsia" w:ascii="仿宋" w:hAnsi="仿宋" w:eastAsia="仿宋" w:cs="仿宋_GB2312"/>
          <w:color w:val="auto"/>
          <w:highlight w:val="none"/>
        </w:rPr>
        <w:t>导致不能进行</w:t>
      </w:r>
      <w:r>
        <w:rPr>
          <w:rFonts w:ascii="仿宋" w:hAnsi="仿宋" w:eastAsia="仿宋" w:cs="仿宋_GB2312"/>
          <w:color w:val="auto"/>
          <w:highlight w:val="none"/>
        </w:rPr>
        <w:t xml:space="preserve">正常操作的； </w:t>
      </w:r>
    </w:p>
    <w:p>
      <w:pPr>
        <w:pStyle w:val="221"/>
        <w:keepNext w:val="0"/>
        <w:keepLines w:val="0"/>
        <w:pageBreakBefore w:val="0"/>
        <w:widowControl w:val="0"/>
        <w:kinsoku/>
        <w:wordWrap/>
        <w:overflowPunct/>
        <w:topLinePunct w:val="0"/>
        <w:autoSpaceDE/>
        <w:autoSpaceDN/>
        <w:bidi w:val="0"/>
        <w:adjustRightInd/>
        <w:snapToGrid/>
        <w:spacing w:before="0"/>
        <w:ind w:firstLine="480"/>
        <w:textAlignment w:val="auto"/>
        <w:rPr>
          <w:rFonts w:hint="eastAsia" w:ascii="仿宋" w:hAnsi="仿宋" w:eastAsia="仿宋" w:cs="仿宋_GB2312"/>
          <w:color w:val="auto"/>
          <w:highlight w:val="none"/>
        </w:rPr>
      </w:pPr>
      <w:r>
        <w:rPr>
          <w:rFonts w:hint="eastAsia" w:ascii="仿宋" w:hAnsi="仿宋" w:eastAsia="仿宋" w:cs="仿宋_GB2312"/>
          <w:color w:val="auto"/>
          <w:highlight w:val="none"/>
        </w:rPr>
        <w:t>23.5其他</w:t>
      </w:r>
      <w:r>
        <w:rPr>
          <w:rFonts w:ascii="仿宋" w:hAnsi="仿宋" w:eastAsia="仿宋" w:cs="仿宋_GB2312"/>
          <w:color w:val="auto"/>
          <w:highlight w:val="none"/>
        </w:rPr>
        <w:t>无法保证</w:t>
      </w:r>
      <w:r>
        <w:rPr>
          <w:rFonts w:hint="eastAsia" w:ascii="仿宋" w:hAnsi="仿宋" w:eastAsia="仿宋" w:cs="仿宋_GB2312"/>
          <w:color w:val="auto"/>
          <w:highlight w:val="none"/>
        </w:rPr>
        <w:t>电子交易</w:t>
      </w:r>
      <w:r>
        <w:rPr>
          <w:rFonts w:ascii="仿宋" w:hAnsi="仿宋" w:eastAsia="仿宋" w:cs="仿宋_GB2312"/>
          <w:color w:val="auto"/>
          <w:highlight w:val="none"/>
        </w:rPr>
        <w:t>的公平、公正和安全的情况。</w:t>
      </w:r>
    </w:p>
    <w:p>
      <w:pPr>
        <w:pStyle w:val="221"/>
        <w:keepNext w:val="0"/>
        <w:keepLines w:val="0"/>
        <w:pageBreakBefore w:val="0"/>
        <w:widowControl w:val="0"/>
        <w:kinsoku/>
        <w:wordWrap/>
        <w:overflowPunct/>
        <w:topLinePunct w:val="0"/>
        <w:autoSpaceDE/>
        <w:autoSpaceDN/>
        <w:bidi w:val="0"/>
        <w:adjustRightInd/>
        <w:snapToGrid/>
        <w:spacing w:before="0"/>
        <w:ind w:firstLine="480"/>
        <w:textAlignment w:val="auto"/>
        <w:rPr>
          <w:rFonts w:hint="eastAsia" w:ascii="仿宋" w:hAnsi="仿宋" w:eastAsia="仿宋" w:cs="仿宋_GB2312"/>
          <w:color w:val="auto"/>
          <w:highlight w:val="none"/>
        </w:rPr>
      </w:pPr>
      <w:r>
        <w:rPr>
          <w:rFonts w:ascii="仿宋" w:hAnsi="仿宋" w:eastAsia="仿宋" w:cs="仿宋_GB2312"/>
          <w:color w:val="auto"/>
          <w:highlight w:val="none"/>
        </w:rPr>
        <w:t>出现</w:t>
      </w:r>
      <w:r>
        <w:rPr>
          <w:rFonts w:hint="eastAsia" w:ascii="仿宋" w:hAnsi="仿宋" w:eastAsia="仿宋" w:cs="仿宋_GB2312"/>
          <w:color w:val="auto"/>
          <w:highlight w:val="none"/>
        </w:rPr>
        <w:t>以上情形</w:t>
      </w:r>
      <w:r>
        <w:rPr>
          <w:rFonts w:ascii="仿宋" w:hAnsi="仿宋" w:eastAsia="仿宋" w:cs="仿宋_GB2312"/>
          <w:color w:val="auto"/>
          <w:highlight w:val="none"/>
        </w:rPr>
        <w:t>，</w:t>
      </w:r>
      <w:r>
        <w:rPr>
          <w:rFonts w:hint="eastAsia" w:ascii="仿宋" w:hAnsi="仿宋" w:eastAsia="仿宋" w:cs="仿宋_GB2312"/>
          <w:color w:val="auto"/>
          <w:highlight w:val="none"/>
        </w:rPr>
        <w:t>不影响采购公平、公正性的，采购组织机构可以</w:t>
      </w:r>
      <w:r>
        <w:rPr>
          <w:rFonts w:ascii="仿宋" w:hAnsi="仿宋" w:eastAsia="仿宋" w:cs="仿宋_GB2312"/>
          <w:color w:val="auto"/>
          <w:highlight w:val="none"/>
        </w:rPr>
        <w:t>待上述情形消除后继续</w:t>
      </w:r>
      <w:r>
        <w:rPr>
          <w:rFonts w:hint="eastAsia" w:ascii="仿宋" w:hAnsi="仿宋" w:eastAsia="仿宋" w:cs="仿宋_GB2312"/>
          <w:color w:val="auto"/>
          <w:highlight w:val="none"/>
        </w:rPr>
        <w:t>组织电子交易</w:t>
      </w:r>
      <w:r>
        <w:rPr>
          <w:rFonts w:ascii="仿宋" w:hAnsi="仿宋" w:eastAsia="仿宋" w:cs="仿宋_GB2312"/>
          <w:color w:val="auto"/>
          <w:highlight w:val="none"/>
        </w:rPr>
        <w:t>活动</w:t>
      </w:r>
      <w:r>
        <w:rPr>
          <w:rFonts w:hint="eastAsia" w:ascii="仿宋" w:hAnsi="仿宋" w:eastAsia="仿宋" w:cs="仿宋_GB2312"/>
          <w:color w:val="auto"/>
          <w:highlight w:val="none"/>
        </w:rPr>
        <w:t>，也可以决定某些环节以纸质形式进行；影响或可能影响</w:t>
      </w:r>
      <w:r>
        <w:rPr>
          <w:rFonts w:ascii="仿宋" w:hAnsi="仿宋" w:eastAsia="仿宋" w:cs="仿宋_GB2312"/>
          <w:color w:val="auto"/>
          <w:highlight w:val="none"/>
        </w:rPr>
        <w:t>采购公平、公正</w:t>
      </w:r>
      <w:r>
        <w:rPr>
          <w:rFonts w:hint="eastAsia" w:ascii="仿宋" w:hAnsi="仿宋" w:eastAsia="仿宋" w:cs="仿宋_GB2312"/>
          <w:color w:val="auto"/>
          <w:highlight w:val="none"/>
        </w:rPr>
        <w:t>性</w:t>
      </w:r>
      <w:r>
        <w:rPr>
          <w:rFonts w:ascii="仿宋" w:hAnsi="仿宋" w:eastAsia="仿宋" w:cs="仿宋_GB2312"/>
          <w:color w:val="auto"/>
          <w:highlight w:val="none"/>
        </w:rPr>
        <w:t>的，</w:t>
      </w:r>
      <w:r>
        <w:rPr>
          <w:rFonts w:hint="eastAsia" w:ascii="仿宋" w:hAnsi="仿宋" w:eastAsia="仿宋" w:cs="仿宋_GB2312"/>
          <w:color w:val="auto"/>
          <w:highlight w:val="none"/>
        </w:rPr>
        <w:t>应当重新采购</w:t>
      </w:r>
      <w:r>
        <w:rPr>
          <w:rFonts w:ascii="仿宋" w:hAnsi="仿宋" w:eastAsia="仿宋" w:cs="仿宋_GB2312"/>
          <w:color w:val="auto"/>
          <w:highlight w:val="none"/>
        </w:rPr>
        <w:t>。</w:t>
      </w:r>
    </w:p>
    <w:p>
      <w:pPr>
        <w:adjustRightInd/>
        <w:spacing w:line="360" w:lineRule="auto"/>
        <w:jc w:val="center"/>
        <w:outlineLvl w:val="0"/>
        <w:rPr>
          <w:rFonts w:hint="eastAsia" w:ascii="仿宋" w:hAnsi="仿宋" w:eastAsia="仿宋" w:cs="仿宋_GB2312"/>
          <w:b/>
          <w:color w:val="auto"/>
          <w:sz w:val="32"/>
          <w:szCs w:val="20"/>
          <w:highlight w:val="none"/>
        </w:rPr>
      </w:pPr>
    </w:p>
    <w:p>
      <w:pPr>
        <w:adjustRightInd/>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八、合同授予</w:t>
      </w:r>
    </w:p>
    <w:p>
      <w:pPr>
        <w:pStyle w:val="23"/>
        <w:keepNext w:val="0"/>
        <w:keepLines w:val="0"/>
        <w:pageBreakBefore w:val="0"/>
        <w:kinsoku/>
        <w:wordWrap/>
        <w:overflowPunct/>
        <w:topLinePunct w:val="0"/>
        <w:autoSpaceDE/>
        <w:autoSpaceDN/>
        <w:bidi w:val="0"/>
        <w:adjustRightInd/>
        <w:snapToGrid/>
        <w:spacing w:line="360" w:lineRule="auto"/>
        <w:ind w:firstLine="482"/>
        <w:textAlignment w:val="auto"/>
        <w:rPr>
          <w:rFonts w:ascii="仿宋" w:hAnsi="仿宋" w:eastAsia="仿宋" w:cs="仿宋_GB2312"/>
          <w:b/>
          <w:color w:val="auto"/>
          <w:highlight w:val="none"/>
        </w:rPr>
      </w:pPr>
      <w:r>
        <w:rPr>
          <w:rFonts w:hint="eastAsia" w:ascii="仿宋" w:hAnsi="仿宋" w:eastAsia="仿宋" w:cs="仿宋_GB2312"/>
          <w:b/>
          <w:color w:val="auto"/>
          <w:highlight w:val="none"/>
        </w:rPr>
        <w:t>2</w:t>
      </w:r>
      <w:r>
        <w:rPr>
          <w:rFonts w:hint="eastAsia" w:ascii="仿宋" w:hAnsi="仿宋" w:eastAsia="仿宋" w:cs="仿宋_GB2312"/>
          <w:b/>
          <w:color w:val="auto"/>
          <w:highlight w:val="none"/>
          <w:lang w:eastAsia="zh-CN"/>
        </w:rPr>
        <w:t>4</w:t>
      </w:r>
      <w:r>
        <w:rPr>
          <w:rFonts w:hint="eastAsia" w:ascii="仿宋" w:hAnsi="仿宋" w:eastAsia="仿宋" w:cs="仿宋_GB2312"/>
          <w:b/>
          <w:color w:val="auto"/>
          <w:highlight w:val="none"/>
        </w:rPr>
        <w:t xml:space="preserve">. </w:t>
      </w:r>
      <w:r>
        <w:rPr>
          <w:rFonts w:hint="eastAsia" w:ascii="仿宋" w:hAnsi="仿宋" w:eastAsia="仿宋" w:cs="仿宋_GB2312"/>
          <w:color w:val="auto"/>
          <w:highlight w:val="none"/>
        </w:rPr>
        <w:t>合同主要条款详见第五部分拟签订的合同文本。</w:t>
      </w:r>
    </w:p>
    <w:p>
      <w:pPr>
        <w:pStyle w:val="23"/>
        <w:keepNext w:val="0"/>
        <w:keepLines w:val="0"/>
        <w:pageBreakBefore w:val="0"/>
        <w:kinsoku/>
        <w:wordWrap/>
        <w:overflowPunct/>
        <w:topLinePunct w:val="0"/>
        <w:autoSpaceDE/>
        <w:autoSpaceDN/>
        <w:bidi w:val="0"/>
        <w:adjustRightInd/>
        <w:snapToGrid/>
        <w:spacing w:line="360" w:lineRule="auto"/>
        <w:ind w:firstLine="482"/>
        <w:textAlignment w:val="auto"/>
        <w:rPr>
          <w:rFonts w:ascii="仿宋" w:hAnsi="仿宋" w:eastAsia="仿宋" w:cs="仿宋_GB2312"/>
          <w:b/>
          <w:color w:val="auto"/>
          <w:highlight w:val="none"/>
        </w:rPr>
      </w:pPr>
      <w:r>
        <w:rPr>
          <w:rFonts w:hint="eastAsia" w:ascii="仿宋" w:hAnsi="仿宋" w:eastAsia="仿宋" w:cs="仿宋_GB2312"/>
          <w:b/>
          <w:color w:val="auto"/>
          <w:highlight w:val="none"/>
        </w:rPr>
        <w:t>2</w:t>
      </w:r>
      <w:r>
        <w:rPr>
          <w:rFonts w:hint="eastAsia" w:ascii="仿宋" w:hAnsi="仿宋" w:eastAsia="仿宋" w:cs="仿宋_GB2312"/>
          <w:b/>
          <w:color w:val="auto"/>
          <w:highlight w:val="none"/>
          <w:lang w:eastAsia="zh-CN"/>
        </w:rPr>
        <w:t>5</w:t>
      </w:r>
      <w:r>
        <w:rPr>
          <w:rFonts w:hint="eastAsia" w:ascii="仿宋" w:hAnsi="仿宋" w:eastAsia="仿宋" w:cs="仿宋_GB2312"/>
          <w:b/>
          <w:color w:val="auto"/>
          <w:highlight w:val="none"/>
        </w:rPr>
        <w:t>. 合同的签订</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仿宋" w:hAnsi="仿宋" w:eastAsia="仿宋" w:cs="Arial"/>
          <w:color w:val="auto"/>
          <w:kern w:val="0"/>
          <w:sz w:val="24"/>
          <w:highlight w:val="none"/>
        </w:rPr>
      </w:pPr>
      <w:r>
        <w:rPr>
          <w:rFonts w:hint="eastAsia" w:ascii="仿宋" w:hAnsi="仿宋" w:eastAsia="仿宋" w:cs="仿宋_GB2312"/>
          <w:color w:val="auto"/>
          <w:sz w:val="24"/>
          <w:highlight w:val="none"/>
        </w:rPr>
        <w:t>25.1</w:t>
      </w:r>
      <w:r>
        <w:rPr>
          <w:rFonts w:hint="eastAsia" w:ascii="仿宋" w:eastAsia="仿宋"/>
          <w:color w:val="auto"/>
          <w:kern w:val="0"/>
          <w:sz w:val="24"/>
          <w:highlight w:val="none"/>
        </w:rPr>
        <w:t>采购人和中标人应当在中标通知书发出之日起30日内（投诉处理等原因导致签订合同延误的除外），按照采购文件和中标人投标文件的规定，签订书面合同（采购人与中标人可采用合同寄送盖章方式签订合同）。所签订的合同不得对采购文件确定的事项和中标人投标文件作实质性修改。</w:t>
      </w:r>
    </w:p>
    <w:p>
      <w:pPr>
        <w:pStyle w:val="221"/>
        <w:keepNext w:val="0"/>
        <w:keepLines w:val="0"/>
        <w:pageBreakBefore w:val="0"/>
        <w:kinsoku/>
        <w:wordWrap/>
        <w:overflowPunct/>
        <w:topLinePunct w:val="0"/>
        <w:autoSpaceDE/>
        <w:autoSpaceDN/>
        <w:bidi w:val="0"/>
        <w:adjustRightInd/>
        <w:snapToGrid/>
        <w:spacing w:before="0" w:beforeLines="0"/>
        <w:ind w:firstLine="480"/>
        <w:textAlignment w:val="auto"/>
        <w:rPr>
          <w:rFonts w:ascii="仿宋" w:hAnsi="仿宋" w:eastAsia="仿宋"/>
          <w:color w:val="auto"/>
          <w:kern w:val="0"/>
          <w:highlight w:val="none"/>
        </w:rPr>
      </w:pPr>
      <w:r>
        <w:rPr>
          <w:rFonts w:hint="eastAsia" w:ascii="仿宋" w:hAnsi="仿宋" w:eastAsia="仿宋" w:cs="仿宋_GB2312"/>
          <w:color w:val="auto"/>
          <w:kern w:val="0"/>
          <w:highlight w:val="none"/>
          <w:lang w:val="zh-CN"/>
        </w:rPr>
        <w:t>25.2</w:t>
      </w:r>
      <w:r>
        <w:rPr>
          <w:rFonts w:hint="eastAsia" w:ascii="仿宋" w:eastAsia="仿宋"/>
          <w:color w:val="auto"/>
          <w:kern w:val="0"/>
          <w:highlight w:val="none"/>
        </w:rPr>
        <w:t>采购人和中标人不得向对方提出任何不合理的要求作为签订合同的条件。</w:t>
      </w:r>
    </w:p>
    <w:p>
      <w:pPr>
        <w:pStyle w:val="23"/>
        <w:keepNext w:val="0"/>
        <w:keepLines w:val="0"/>
        <w:pageBreakBefore w:val="0"/>
        <w:kinsoku/>
        <w:wordWrap/>
        <w:overflowPunct/>
        <w:topLinePunct w:val="0"/>
        <w:autoSpaceDE/>
        <w:autoSpaceDN/>
        <w:bidi w:val="0"/>
        <w:adjustRightInd/>
        <w:snapToGrid/>
        <w:spacing w:line="360" w:lineRule="auto"/>
        <w:ind w:firstLine="482"/>
        <w:textAlignment w:val="auto"/>
        <w:rPr>
          <w:rFonts w:ascii="仿宋" w:hAnsi="仿宋" w:eastAsia="仿宋" w:cs="仿宋_GB2312"/>
          <w:b/>
          <w:color w:val="auto"/>
          <w:highlight w:val="none"/>
        </w:rPr>
      </w:pPr>
      <w:r>
        <w:rPr>
          <w:rFonts w:hint="eastAsia" w:ascii="仿宋" w:hAnsi="仿宋" w:eastAsia="仿宋" w:cs="仿宋_GB2312"/>
          <w:b/>
          <w:color w:val="auto"/>
          <w:highlight w:val="none"/>
        </w:rPr>
        <w:t>2</w:t>
      </w:r>
      <w:r>
        <w:rPr>
          <w:rFonts w:hint="eastAsia" w:ascii="仿宋" w:hAnsi="仿宋" w:eastAsia="仿宋" w:cs="仿宋_GB2312"/>
          <w:b/>
          <w:color w:val="auto"/>
          <w:highlight w:val="none"/>
          <w:lang w:eastAsia="zh-CN"/>
        </w:rPr>
        <w:t>6</w:t>
      </w:r>
      <w:r>
        <w:rPr>
          <w:rFonts w:hint="eastAsia" w:ascii="仿宋" w:hAnsi="仿宋" w:eastAsia="仿宋" w:cs="仿宋_GB2312"/>
          <w:b/>
          <w:color w:val="auto"/>
          <w:highlight w:val="none"/>
        </w:rPr>
        <w:t>. 履约保证金</w:t>
      </w:r>
    </w:p>
    <w:p>
      <w:pPr>
        <w:keepNext w:val="0"/>
        <w:keepLines w:val="0"/>
        <w:pageBreakBefore w:val="0"/>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olor w:val="auto"/>
          <w:sz w:val="24"/>
          <w:highlight w:val="none"/>
        </w:rPr>
      </w:pPr>
      <w:r>
        <w:rPr>
          <w:rFonts w:hint="eastAsia" w:ascii="仿宋" w:hAnsi="仿宋" w:eastAsia="仿宋" w:cs="Helvetica"/>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olor w:val="auto"/>
          <w:sz w:val="24"/>
          <w:highlight w:val="none"/>
        </w:rPr>
        <w:t>。履约保证金的数额不得超过政府采购合同金额的</w:t>
      </w:r>
      <w:r>
        <w:rPr>
          <w:rFonts w:hint="eastAsia" w:ascii="仿宋" w:hAnsi="仿宋" w:eastAsia="仿宋"/>
          <w:b/>
          <w:color w:val="auto"/>
          <w:sz w:val="24"/>
          <w:highlight w:val="none"/>
          <w:lang w:val="en-US" w:eastAsia="zh-CN"/>
        </w:rPr>
        <w:t>1</w:t>
      </w:r>
      <w:r>
        <w:rPr>
          <w:rFonts w:hint="eastAsia" w:ascii="仿宋" w:hAnsi="仿宋" w:eastAsia="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仿宋" w:hAnsi="仿宋" w:eastAsia="仿宋" w:cs="Times New Roman"/>
          <w:b/>
          <w:bCs/>
          <w:color w:val="auto"/>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仿宋" w:hAnsi="仿宋" w:eastAsia="仿宋"/>
          <w:b/>
          <w:bCs/>
          <w:color w:val="auto"/>
          <w:sz w:val="32"/>
          <w:szCs w:val="32"/>
          <w:highlight w:val="none"/>
        </w:rPr>
      </w:pPr>
      <w:r>
        <w:rPr>
          <w:rFonts w:hint="eastAsia" w:ascii="仿宋" w:hAnsi="仿宋" w:eastAsia="仿宋"/>
          <w:b/>
          <w:bCs/>
          <w:color w:val="auto"/>
          <w:sz w:val="32"/>
          <w:szCs w:val="32"/>
          <w:highlight w:val="none"/>
        </w:rPr>
        <w:t>九、合同公示</w:t>
      </w:r>
    </w:p>
    <w:p>
      <w:pPr>
        <w:snapToGrid w:val="0"/>
        <w:spacing w:line="360" w:lineRule="auto"/>
        <w:ind w:firstLine="480" w:firstLineChars="200"/>
        <w:jc w:val="left"/>
        <w:rPr>
          <w:rFonts w:hint="eastAsia" w:ascii="仿宋" w:hAnsi="仿宋" w:eastAsia="仿宋"/>
          <w:color w:val="auto"/>
          <w:sz w:val="24"/>
          <w:highlight w:val="none"/>
        </w:rPr>
      </w:pPr>
      <w:r>
        <w:rPr>
          <w:rFonts w:hint="eastAsia" w:ascii="仿宋" w:hAnsi="仿宋" w:eastAsia="仿宋"/>
          <w:color w:val="auto"/>
          <w:sz w:val="24"/>
          <w:highlight w:val="none"/>
        </w:rPr>
        <w:t>27. 采购人将在采购合同签订之日起2个工作日内，将采购合同在浙江政府采购网公告，但采购合同中涉及国家秘密、商业秘密的内容除外。</w:t>
      </w:r>
    </w:p>
    <w:p>
      <w:pPr>
        <w:adjustRightInd/>
        <w:spacing w:line="360" w:lineRule="auto"/>
        <w:jc w:val="center"/>
        <w:outlineLvl w:val="0"/>
        <w:rPr>
          <w:rFonts w:hint="eastAsia" w:ascii="仿宋" w:hAnsi="仿宋" w:eastAsia="仿宋" w:cs="仿宋_GB2312"/>
          <w:b/>
          <w:color w:val="auto"/>
          <w:sz w:val="32"/>
          <w:szCs w:val="20"/>
          <w:highlight w:val="none"/>
          <w:lang w:eastAsia="zh-CN"/>
        </w:rPr>
      </w:pPr>
    </w:p>
    <w:p>
      <w:pPr>
        <w:adjustRightInd/>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lang w:eastAsia="zh-CN"/>
        </w:rPr>
        <w:t>十</w:t>
      </w:r>
      <w:r>
        <w:rPr>
          <w:rFonts w:hint="eastAsia" w:ascii="仿宋" w:hAnsi="仿宋" w:eastAsia="仿宋" w:cs="仿宋_GB2312"/>
          <w:b/>
          <w:color w:val="auto"/>
          <w:sz w:val="32"/>
          <w:szCs w:val="20"/>
          <w:highlight w:val="none"/>
        </w:rPr>
        <w:t>、履约验收</w:t>
      </w:r>
    </w:p>
    <w:p>
      <w:pPr>
        <w:pStyle w:val="23"/>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ascii="仿宋" w:hAnsi="仿宋" w:eastAsia="仿宋" w:cs="仿宋_GB2312"/>
          <w:b/>
          <w:color w:val="auto"/>
          <w:highlight w:val="none"/>
          <w:lang w:eastAsia="zh-CN"/>
        </w:rPr>
      </w:pPr>
      <w:r>
        <w:rPr>
          <w:rFonts w:hint="eastAsia" w:ascii="仿宋" w:hAnsi="仿宋" w:eastAsia="仿宋" w:cs="仿宋_GB2312"/>
          <w:b/>
          <w:color w:val="auto"/>
          <w:highlight w:val="none"/>
          <w:lang w:eastAsia="zh-CN"/>
        </w:rPr>
        <w:t>2</w:t>
      </w:r>
      <w:r>
        <w:rPr>
          <w:rFonts w:hint="eastAsia" w:ascii="仿宋" w:hAnsi="仿宋" w:eastAsia="仿宋" w:cs="仿宋_GB2312"/>
          <w:b/>
          <w:color w:val="auto"/>
          <w:highlight w:val="none"/>
          <w:lang w:val="en-US" w:eastAsia="zh-CN"/>
        </w:rPr>
        <w:t>8</w:t>
      </w:r>
      <w:r>
        <w:rPr>
          <w:rFonts w:hint="eastAsia" w:ascii="仿宋" w:hAnsi="仿宋" w:eastAsia="仿宋" w:cs="仿宋_GB2312"/>
          <w:b/>
          <w:color w:val="auto"/>
          <w:highlight w:val="none"/>
        </w:rPr>
        <w:t>.</w:t>
      </w:r>
      <w:r>
        <w:rPr>
          <w:rFonts w:hint="eastAsia" w:ascii="仿宋" w:hAnsi="仿宋" w:eastAsia="仿宋" w:cs="仿宋_GB2312"/>
          <w:b/>
          <w:color w:val="auto"/>
          <w:highlight w:val="none"/>
          <w:lang w:eastAsia="zh-CN"/>
        </w:rPr>
        <w:t>履约验收</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firstLineChars="200"/>
        <w:jc w:val="left"/>
        <w:textAlignment w:val="auto"/>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w:t>
      </w:r>
      <w:r>
        <w:rPr>
          <w:rFonts w:hint="eastAsia" w:ascii="仿宋" w:hAnsi="仿宋" w:eastAsia="仿宋" w:cs="Helvetica"/>
          <w:color w:val="auto"/>
          <w:kern w:val="0"/>
          <w:sz w:val="24"/>
          <w:highlight w:val="none"/>
          <w:lang w:val="en-US" w:eastAsia="zh-CN"/>
        </w:rPr>
        <w:t>8</w:t>
      </w:r>
      <w:r>
        <w:rPr>
          <w:rFonts w:hint="eastAsia" w:ascii="仿宋" w:hAnsi="仿宋" w:eastAsia="仿宋" w:cs="Helvetica"/>
          <w:color w:val="auto"/>
          <w:kern w:val="0"/>
          <w:sz w:val="24"/>
          <w:highlight w:val="none"/>
        </w:rPr>
        <w:t>.1采购人自行组织或委托采购代理机构对供应商进行履约验收，出具验收书，存档备查。如果发现与合同中要求不符，供应商须承担由此发生的一切损失和费用，并承担相应的法律责任。</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firstLineChars="200"/>
        <w:jc w:val="left"/>
        <w:textAlignment w:val="auto"/>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lang w:val="en-US" w:eastAsia="zh-CN"/>
        </w:rPr>
        <w:t>28</w:t>
      </w:r>
      <w:r>
        <w:rPr>
          <w:rFonts w:hint="eastAsia" w:ascii="仿宋" w:hAnsi="仿宋" w:eastAsia="仿宋" w:cs="Helvetica"/>
          <w:color w:val="auto"/>
          <w:kern w:val="0"/>
          <w:sz w:val="24"/>
          <w:highlight w:val="none"/>
        </w:rPr>
        <w:t>.2技术复杂、社会影响较大的货物类项目，可以根据需要设置出厂检验、到货检验、安装调试检验、配套服务检验等多重验收环节；服务类项目，可以根据项目特点对服务期内的服务实施情况进行分期考核，结合考核情况和服务效果进行验收。工程类项目应当按照行业管理部门规定的标准、方法和内容进行验收。</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firstLineChars="200"/>
        <w:jc w:val="left"/>
        <w:textAlignment w:val="auto"/>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w:t>
      </w:r>
      <w:r>
        <w:rPr>
          <w:rFonts w:hint="eastAsia" w:ascii="仿宋" w:hAnsi="仿宋" w:eastAsia="仿宋" w:cs="Helvetica"/>
          <w:color w:val="auto"/>
          <w:kern w:val="0"/>
          <w:sz w:val="24"/>
          <w:highlight w:val="none"/>
          <w:lang w:val="en-US" w:eastAsia="zh-CN"/>
        </w:rPr>
        <w:t>8</w:t>
      </w:r>
      <w:r>
        <w:rPr>
          <w:rFonts w:hint="eastAsia" w:ascii="仿宋" w:hAnsi="仿宋" w:eastAsia="仿宋" w:cs="Helvetica"/>
          <w:color w:val="auto"/>
          <w:kern w:val="0"/>
          <w:sz w:val="24"/>
          <w:highlight w:val="none"/>
        </w:rPr>
        <w:t>.3采购人可以邀请参加本项目的其他投标人或者第三方机构参与验收。参与验收的投标人或者第三方机构的意见作为验收书的参考资料一并存档。</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firstLineChars="200"/>
        <w:jc w:val="left"/>
        <w:textAlignment w:val="auto"/>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w:t>
      </w:r>
      <w:r>
        <w:rPr>
          <w:rFonts w:hint="eastAsia" w:ascii="仿宋" w:hAnsi="仿宋" w:eastAsia="仿宋" w:cs="Helvetica"/>
          <w:color w:val="auto"/>
          <w:kern w:val="0"/>
          <w:sz w:val="24"/>
          <w:highlight w:val="none"/>
          <w:lang w:val="en-US" w:eastAsia="zh-CN"/>
        </w:rPr>
        <w:t>8</w:t>
      </w:r>
      <w:r>
        <w:rPr>
          <w:rFonts w:hint="eastAsia" w:ascii="仿宋" w:hAnsi="仿宋" w:eastAsia="仿宋" w:cs="Helvetica"/>
          <w:color w:val="auto"/>
          <w:kern w:val="0"/>
          <w:sz w:val="24"/>
          <w:highlight w:val="none"/>
        </w:rPr>
        <w:t>.4政府向社会公众提供的公共服务项目验收时应当邀请服务对象参与并出具意见，政府向社会公众提供的公共服务项目以及合同金额达到分散采购限额标准的项目验收结果应于验收结束后及时在浙江政府采购网公开。</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firstLineChars="200"/>
        <w:jc w:val="left"/>
        <w:textAlignment w:val="auto"/>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w:t>
      </w:r>
      <w:r>
        <w:rPr>
          <w:rFonts w:hint="eastAsia" w:ascii="仿宋" w:hAnsi="仿宋" w:eastAsia="仿宋" w:cs="Helvetica"/>
          <w:color w:val="auto"/>
          <w:kern w:val="0"/>
          <w:sz w:val="24"/>
          <w:highlight w:val="none"/>
          <w:lang w:val="en-US" w:eastAsia="zh-CN"/>
        </w:rPr>
        <w:t>8</w:t>
      </w:r>
      <w:r>
        <w:rPr>
          <w:rFonts w:hint="eastAsia" w:ascii="仿宋" w:hAnsi="仿宋" w:eastAsia="仿宋" w:cs="Helvetica"/>
          <w:color w:val="auto"/>
          <w:kern w:val="0"/>
          <w:sz w:val="24"/>
          <w:highlight w:val="none"/>
        </w:rPr>
        <w:t>.5 采购合同的履行、违约责任和解决争议的方式等适用《中华人民共和国</w:t>
      </w:r>
      <w:r>
        <w:rPr>
          <w:rFonts w:hint="eastAsia" w:ascii="仿宋" w:hAnsi="仿宋" w:eastAsia="仿宋" w:cs="Helvetica"/>
          <w:color w:val="auto"/>
          <w:kern w:val="0"/>
          <w:sz w:val="24"/>
          <w:highlight w:val="none"/>
          <w:lang w:eastAsia="zh-CN"/>
        </w:rPr>
        <w:t>民法典</w:t>
      </w:r>
      <w:r>
        <w:rPr>
          <w:rFonts w:hint="eastAsia" w:ascii="仿宋" w:hAnsi="仿宋" w:eastAsia="仿宋" w:cs="Helvetica"/>
          <w:color w:val="auto"/>
          <w:kern w:val="0"/>
          <w:sz w:val="24"/>
          <w:highlight w:val="none"/>
        </w:rPr>
        <w:t>》。</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2</w:t>
      </w:r>
      <w:r>
        <w:rPr>
          <w:rFonts w:hint="eastAsia" w:ascii="仿宋" w:hAnsi="仿宋" w:eastAsia="仿宋" w:cs="Helvetica"/>
          <w:color w:val="auto"/>
          <w:kern w:val="0"/>
          <w:sz w:val="24"/>
          <w:highlight w:val="none"/>
          <w:lang w:val="en-US" w:eastAsia="zh-CN"/>
        </w:rPr>
        <w:t>8</w:t>
      </w:r>
      <w:r>
        <w:rPr>
          <w:rFonts w:hint="eastAsia" w:ascii="仿宋" w:hAnsi="仿宋" w:eastAsia="仿宋" w:cs="Helvetica"/>
          <w:color w:val="auto"/>
          <w:kern w:val="0"/>
          <w:sz w:val="24"/>
          <w:highlight w:val="none"/>
        </w:rPr>
        <w:t>.6供应商在履约过程中有政府采购法律法规规定的违法违规情形的，采购人应当及时报告本级财政部门。</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Helvetic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440" w:right="1800" w:bottom="1440" w:left="1800" w:header="1077" w:footer="992" w:gutter="0"/>
          <w:cols w:space="720" w:num="1"/>
          <w:titlePg/>
          <w:docGrid w:linePitch="312" w:charSpace="0"/>
        </w:sectPr>
      </w:pPr>
    </w:p>
    <w:bookmarkEnd w:id="38"/>
    <w:bookmarkEnd w:id="39"/>
    <w:p>
      <w:pPr>
        <w:spacing w:line="360" w:lineRule="auto"/>
        <w:jc w:val="center"/>
        <w:outlineLvl w:val="0"/>
        <w:rPr>
          <w:rFonts w:hint="eastAsia" w:ascii="仿宋" w:hAnsi="仿宋" w:eastAsia="仿宋" w:cs="仿宋_GB2312"/>
          <w:b/>
          <w:color w:val="auto"/>
          <w:sz w:val="36"/>
          <w:szCs w:val="36"/>
          <w:highlight w:val="none"/>
        </w:rPr>
      </w:pPr>
      <w:bookmarkStart w:id="61" w:name="第四部分"/>
      <w:r>
        <w:rPr>
          <w:rFonts w:hint="eastAsia" w:ascii="仿宋" w:hAnsi="仿宋" w:eastAsia="仿宋" w:cs="仿宋_GB2312"/>
          <w:b/>
          <w:color w:val="auto"/>
          <w:sz w:val="36"/>
          <w:szCs w:val="36"/>
          <w:highlight w:val="none"/>
        </w:rPr>
        <w:t>第三部分   采购需求</w:t>
      </w:r>
    </w:p>
    <w:p>
      <w:pPr>
        <w:snapToGrid w:val="0"/>
        <w:spacing w:line="360" w:lineRule="auto"/>
        <w:jc w:val="left"/>
        <w:rPr>
          <w:rFonts w:hint="eastAsia" w:ascii="仿宋" w:hAnsi="仿宋" w:eastAsia="仿宋" w:cs="仿宋_GB2312"/>
          <w:b/>
          <w:i/>
          <w:color w:val="auto"/>
          <w:sz w:val="22"/>
          <w:szCs w:val="36"/>
          <w:highlight w:val="none"/>
        </w:rPr>
      </w:pPr>
      <w:r>
        <w:rPr>
          <w:rFonts w:hint="eastAsia" w:ascii="仿宋" w:hAnsi="仿宋" w:eastAsia="仿宋"/>
          <w:color w:val="auto"/>
          <w:sz w:val="28"/>
          <w:szCs w:val="28"/>
          <w:highlight w:val="none"/>
        </w:rPr>
        <w:t xml:space="preserve">        </w:t>
      </w:r>
      <w:r>
        <w:rPr>
          <w:rFonts w:hint="eastAsia" w:ascii="仿宋" w:hAnsi="仿宋" w:eastAsia="仿宋"/>
          <w:b/>
          <w:color w:val="auto"/>
          <w:sz w:val="32"/>
          <w:szCs w:val="32"/>
          <w:highlight w:val="none"/>
        </w:rPr>
        <w:t xml:space="preserve">  </w:t>
      </w:r>
    </w:p>
    <w:p>
      <w:pPr>
        <w:snapToGrid w:val="0"/>
        <w:spacing w:before="120" w:beforeLines="50" w:after="120" w:afterLines="50"/>
        <w:rPr>
          <w:rFonts w:ascii="仿宋" w:hAnsi="仿宋" w:eastAsia="仿宋"/>
          <w:color w:val="auto"/>
          <w:sz w:val="24"/>
          <w:highlight w:val="none"/>
        </w:rPr>
      </w:pPr>
      <w:r>
        <w:rPr>
          <w:rFonts w:hint="eastAsia" w:ascii="仿宋" w:hAnsi="仿宋" w:eastAsia="仿宋"/>
          <w:color w:val="auto"/>
          <w:sz w:val="24"/>
          <w:highlight w:val="none"/>
        </w:rPr>
        <w:t>特别说明：</w:t>
      </w:r>
    </w:p>
    <w:p>
      <w:pPr>
        <w:spacing w:line="360" w:lineRule="auto"/>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1.需求中不允许偏离的实质性要求和条件，以“▲”号标明。</w:t>
      </w:r>
    </w:p>
    <w:p>
      <w:pPr>
        <w:spacing w:line="360" w:lineRule="auto"/>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2.</w:t>
      </w:r>
      <w:r>
        <w:rPr>
          <w:rFonts w:hint="eastAsia" w:ascii="仿宋" w:hAnsi="仿宋" w:eastAsia="仿宋" w:cs="仿宋_GB2312"/>
          <w:color w:val="auto"/>
          <w:sz w:val="24"/>
          <w:highlight w:val="none"/>
        </w:rPr>
        <w:t>单</w:t>
      </w:r>
      <w:r>
        <w:rPr>
          <w:rFonts w:ascii="仿宋" w:hAnsi="仿宋" w:eastAsia="仿宋" w:cs="仿宋_GB2312"/>
          <w:color w:val="auto"/>
          <w:sz w:val="24"/>
          <w:highlight w:val="none"/>
        </w:rPr>
        <w:t>一产品采购项目</w:t>
      </w:r>
      <w:r>
        <w:rPr>
          <w:rFonts w:hint="eastAsia" w:ascii="仿宋" w:hAnsi="仿宋" w:eastAsia="仿宋" w:cs="仿宋_GB2312"/>
          <w:color w:val="auto"/>
          <w:sz w:val="24"/>
          <w:highlight w:val="none"/>
        </w:rPr>
        <w:t>中的该产品或者非</w:t>
      </w:r>
      <w:r>
        <w:rPr>
          <w:rFonts w:ascii="仿宋" w:hAnsi="仿宋" w:eastAsia="仿宋" w:cs="仿宋_GB2312"/>
          <w:color w:val="auto"/>
          <w:sz w:val="24"/>
          <w:highlight w:val="none"/>
        </w:rPr>
        <w:t>单一产品采购项目</w:t>
      </w:r>
      <w:r>
        <w:rPr>
          <w:rFonts w:hint="eastAsia" w:ascii="仿宋" w:hAnsi="仿宋" w:eastAsia="仿宋" w:cs="仿宋_GB2312"/>
          <w:color w:val="auto"/>
          <w:sz w:val="24"/>
          <w:highlight w:val="none"/>
        </w:rPr>
        <w:t>的核心产品，以</w:t>
      </w:r>
      <w:r>
        <w:rPr>
          <w:rFonts w:hint="eastAsia" w:ascii="仿宋" w:hAnsi="仿宋" w:eastAsia="仿宋"/>
          <w:color w:val="auto"/>
          <w:sz w:val="24"/>
          <w:highlight w:val="none"/>
        </w:rPr>
        <w:t>“★”</w:t>
      </w:r>
      <w:r>
        <w:rPr>
          <w:rFonts w:hint="eastAsia" w:ascii="仿宋" w:hAnsi="仿宋" w:eastAsia="仿宋" w:cs="仿宋_GB2312"/>
          <w:color w:val="auto"/>
          <w:sz w:val="24"/>
          <w:highlight w:val="none"/>
        </w:rPr>
        <w:t>标明。</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本招标文件如涉及各类品牌、型号，则所述品牌、型号是结合实际现有情况的推荐性参考方案，投标方也可根据招标文件的要求提供性能相当或高于、服务条款相等或高于、符合招标方实际业务需求其它同档次优质品牌的产品参加投标。</w:t>
      </w: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snapToGrid w:val="0"/>
        <w:spacing w:line="360" w:lineRule="auto"/>
        <w:rPr>
          <w:rFonts w:hint="eastAsia" w:ascii="仿宋" w:hAnsi="仿宋" w:eastAsia="仿宋" w:cs="Arial"/>
          <w:color w:val="auto"/>
          <w:kern w:val="0"/>
          <w:sz w:val="24"/>
          <w:highlight w:val="none"/>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b/>
          <w:color w:val="auto"/>
          <w:sz w:val="28"/>
          <w:szCs w:val="28"/>
          <w:highlight w:val="none"/>
        </w:rPr>
      </w:pPr>
      <w:r>
        <w:rPr>
          <w:rFonts w:hint="eastAsia" w:ascii="仿宋" w:hAnsi="仿宋" w:eastAsia="仿宋" w:cs="仿宋_GB2312"/>
          <w:b/>
          <w:color w:val="auto"/>
          <w:sz w:val="32"/>
          <w:highlight w:val="none"/>
        </w:rPr>
        <w:t>一、服务清单及要求</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.1项目概况：</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①</w:t>
      </w:r>
      <w:r>
        <w:rPr>
          <w:rFonts w:hint="eastAsia" w:ascii="仿宋" w:hAnsi="仿宋" w:eastAsia="仿宋" w:cs="仿宋"/>
          <w:color w:val="auto"/>
          <w:kern w:val="0"/>
          <w:sz w:val="24"/>
          <w:szCs w:val="24"/>
          <w:highlight w:val="none"/>
        </w:rPr>
        <w:t>湖塘街道范围内各村居（小区）及企事业单位的生活垃圾和从事服装加工、食品加工以及其他城市生活服务行业的单位产生的性质与生活垃圾相近、可以直接进入焚烧炉焚烧处理的一般工业垃圾的收集、清运服务。一般工业垃圾年产生量约为</w:t>
      </w:r>
      <w:r>
        <w:rPr>
          <w:rFonts w:hint="eastAsia" w:ascii="仿宋" w:hAnsi="仿宋" w:eastAsia="仿宋" w:cs="仿宋"/>
          <w:color w:val="auto"/>
          <w:kern w:val="0"/>
          <w:sz w:val="24"/>
          <w:szCs w:val="24"/>
          <w:highlight w:val="none"/>
          <w:lang w:val="en-US" w:eastAsia="zh-CN"/>
        </w:rPr>
        <w:t>3000</w:t>
      </w:r>
      <w:r>
        <w:rPr>
          <w:rFonts w:hint="eastAsia" w:ascii="仿宋" w:hAnsi="仿宋" w:eastAsia="仿宋" w:cs="仿宋"/>
          <w:color w:val="auto"/>
          <w:kern w:val="0"/>
          <w:sz w:val="24"/>
          <w:szCs w:val="24"/>
          <w:highlight w:val="none"/>
        </w:rPr>
        <w:t>吨，日后如遇调整按上级最新文件执行，处理费由垃圾产生单位另行按实支付（不包含在本次采购中）。</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②</w:t>
      </w:r>
      <w:r>
        <w:rPr>
          <w:rFonts w:hint="eastAsia" w:ascii="仿宋" w:hAnsi="仿宋" w:eastAsia="仿宋" w:cs="仿宋"/>
          <w:color w:val="auto"/>
          <w:kern w:val="0"/>
          <w:sz w:val="24"/>
          <w:szCs w:val="24"/>
          <w:highlight w:val="none"/>
        </w:rPr>
        <w:t>湖塘街道各村居（小区）及企事业单位的生活垃圾的收集、清运服务。生活垃圾年产生</w:t>
      </w:r>
      <w:r>
        <w:rPr>
          <w:rFonts w:hint="eastAsia" w:ascii="仿宋" w:hAnsi="仿宋" w:eastAsia="仿宋" w:cs="仿宋"/>
          <w:color w:val="auto"/>
          <w:kern w:val="0"/>
          <w:sz w:val="24"/>
          <w:szCs w:val="24"/>
          <w:highlight w:val="none"/>
          <w:lang w:eastAsia="zh-CN"/>
        </w:rPr>
        <w:t>总</w:t>
      </w:r>
      <w:r>
        <w:rPr>
          <w:rFonts w:hint="eastAsia" w:ascii="仿宋" w:hAnsi="仿宋" w:eastAsia="仿宋" w:cs="仿宋"/>
          <w:color w:val="auto"/>
          <w:kern w:val="0"/>
          <w:sz w:val="24"/>
          <w:szCs w:val="24"/>
          <w:highlight w:val="none"/>
        </w:rPr>
        <w:t>量约为1</w:t>
      </w:r>
      <w:r>
        <w:rPr>
          <w:rFonts w:hint="eastAsia" w:ascii="仿宋" w:hAnsi="仿宋" w:eastAsia="仿宋" w:cs="仿宋"/>
          <w:color w:val="auto"/>
          <w:kern w:val="0"/>
          <w:sz w:val="24"/>
          <w:szCs w:val="24"/>
          <w:highlight w:val="none"/>
          <w:lang w:val="en-US" w:eastAsia="zh-CN"/>
        </w:rPr>
        <w:t>6000</w:t>
      </w:r>
      <w:r>
        <w:rPr>
          <w:rFonts w:hint="eastAsia" w:ascii="仿宋" w:hAnsi="仿宋" w:eastAsia="仿宋" w:cs="仿宋"/>
          <w:color w:val="auto"/>
          <w:kern w:val="0"/>
          <w:sz w:val="24"/>
          <w:szCs w:val="24"/>
          <w:highlight w:val="none"/>
        </w:rPr>
        <w:t>吨</w:t>
      </w:r>
      <w:r>
        <w:rPr>
          <w:rFonts w:hint="eastAsia" w:ascii="仿宋" w:hAnsi="仿宋" w:eastAsia="仿宋" w:cs="仿宋"/>
          <w:color w:val="auto"/>
          <w:kern w:val="0"/>
          <w:sz w:val="24"/>
          <w:szCs w:val="24"/>
          <w:highlight w:val="none"/>
          <w:lang w:eastAsia="zh-CN"/>
        </w:rPr>
        <w:t>，其中其他垃圾</w:t>
      </w:r>
      <w:r>
        <w:rPr>
          <w:rFonts w:hint="eastAsia" w:ascii="仿宋" w:hAnsi="仿宋" w:eastAsia="仿宋" w:cs="仿宋"/>
          <w:color w:val="auto"/>
          <w:kern w:val="0"/>
          <w:sz w:val="24"/>
          <w:szCs w:val="24"/>
          <w:highlight w:val="none"/>
          <w:lang w:val="en-US" w:eastAsia="zh-CN"/>
        </w:rPr>
        <w:t>11500吨，易腐垃圾4500吨</w:t>
      </w:r>
      <w:r>
        <w:rPr>
          <w:rFonts w:hint="eastAsia" w:ascii="仿宋" w:hAnsi="仿宋" w:eastAsia="仿宋" w:cs="仿宋"/>
          <w:color w:val="auto"/>
          <w:kern w:val="0"/>
          <w:sz w:val="24"/>
          <w:szCs w:val="24"/>
          <w:highlight w:val="none"/>
        </w:rPr>
        <w:t>。</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③</w:t>
      </w:r>
      <w:r>
        <w:rPr>
          <w:rFonts w:hint="eastAsia" w:ascii="仿宋" w:hAnsi="仿宋" w:eastAsia="仿宋" w:cs="仿宋"/>
          <w:color w:val="auto"/>
          <w:kern w:val="0"/>
          <w:sz w:val="24"/>
          <w:szCs w:val="24"/>
          <w:highlight w:val="none"/>
        </w:rPr>
        <w:t>上述垃圾清运目的地为绍兴市再生能源发展有限公司（滨海），其中街道环卫站到滨海里程约45公里。</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④</w:t>
      </w:r>
      <w:r>
        <w:rPr>
          <w:rFonts w:hint="eastAsia" w:ascii="仿宋" w:hAnsi="仿宋" w:eastAsia="仿宋" w:cs="仿宋"/>
          <w:color w:val="auto"/>
          <w:kern w:val="0"/>
          <w:sz w:val="24"/>
          <w:szCs w:val="24"/>
          <w:highlight w:val="none"/>
        </w:rPr>
        <w:t>由街道指定收集的一般工业垃圾，按生活垃圾计费标准计算和支付。</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⑤</w:t>
      </w:r>
      <w:r>
        <w:rPr>
          <w:rFonts w:hint="eastAsia" w:ascii="仿宋" w:hAnsi="仿宋" w:eastAsia="仿宋" w:cs="仿宋"/>
          <w:color w:val="auto"/>
          <w:kern w:val="0"/>
          <w:sz w:val="24"/>
          <w:szCs w:val="24"/>
          <w:highlight w:val="none"/>
        </w:rPr>
        <w:t>街道辖区企业产生的一般工业垃圾单次不满一吨按一吨计费，不满一车按一车计费。</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⑥</w:t>
      </w:r>
      <w:r>
        <w:rPr>
          <w:rFonts w:hint="eastAsia" w:ascii="仿宋" w:hAnsi="仿宋" w:eastAsia="仿宋" w:cs="仿宋"/>
          <w:color w:val="auto"/>
          <w:kern w:val="0"/>
          <w:sz w:val="24"/>
          <w:szCs w:val="24"/>
          <w:highlight w:val="none"/>
          <w:lang w:eastAsia="zh-CN"/>
        </w:rPr>
        <w:t>湖塘街道集镇范围内各垃圾点的垃圾定时上门收集服务。</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⑦湖塘街道垃圾中转站运维。</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eastAsia="zh-CN"/>
        </w:rPr>
        <w:t>垃圾清运及中转站运维</w:t>
      </w:r>
      <w:r>
        <w:rPr>
          <w:rFonts w:hint="eastAsia" w:ascii="仿宋" w:hAnsi="仿宋" w:eastAsia="仿宋" w:cs="仿宋"/>
          <w:color w:val="auto"/>
          <w:kern w:val="0"/>
          <w:sz w:val="24"/>
          <w:szCs w:val="24"/>
          <w:highlight w:val="none"/>
        </w:rPr>
        <w:t>服务要求、服务范围：</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.2.1</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确保每个单位每天至少一次收集清运，做到生活垃圾日产日清，重点区域一天两次；节假日视情况在日常的基础上加派清运车辆做到日产日清，并直接运送到处理单位；积极配合街道完成重大活动的垃圾清理等突击任务，服从采购人的日常管理和考核。加强垃圾分类工作，合法合规处置垃圾</w:t>
      </w:r>
      <w:r>
        <w:rPr>
          <w:rFonts w:hint="eastAsia" w:ascii="仿宋" w:hAnsi="仿宋" w:eastAsia="仿宋" w:cs="仿宋"/>
          <w:color w:val="auto"/>
          <w:kern w:val="0"/>
          <w:sz w:val="24"/>
          <w:szCs w:val="24"/>
          <w:highlight w:val="none"/>
          <w:lang w:eastAsia="zh-CN"/>
        </w:rPr>
        <w:t>及垃圾产生的衍生废弃物（渗滤液等）</w:t>
      </w:r>
      <w:r>
        <w:rPr>
          <w:rFonts w:hint="eastAsia" w:ascii="仿宋" w:hAnsi="仿宋" w:eastAsia="仿宋" w:cs="仿宋"/>
          <w:color w:val="auto"/>
          <w:kern w:val="0"/>
          <w:sz w:val="24"/>
          <w:szCs w:val="24"/>
          <w:highlight w:val="none"/>
        </w:rPr>
        <w:t>，并符合区环卫处和街道办事处的收集清运要求。</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.2.2垃圾清运</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需根据业主指示及时将各村居中转站垃圾和湖塘街道辖区范围内指定企事业单位的垃圾收集、直接运至滨海或采购人指定地点，不得延误，不得随意更改线路。作业中需遵守交通法，文明作业。如发生意外情况，需由</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负责承担解决。进入绍兴市再生能源发展有限公司（滨海）或上级部门指定地点，要遵守安全作业要求，服从园区和处置单位安排。被上级部门、处置单位通报、批评、处罚，需由</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负责承担解决。</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.2.3在垃圾车辆清运途中保证质量，不得有垃圾掉落现象。</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.2.4</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须配合采购人做好上级部门卫生检查工作。</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.2.5</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不得将本项目分包转包给其他任何单位或个人。</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.2.6</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每半月清理污水池不少于1次。</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.2.7</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每日对中转站场地及车辆进行清洗，保持场地、车辆清洁。</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.2.8中标人须按采购人指定范围、指定线路清运垃圾，每辆垃圾清运车辆需安装GPS定位（安装GPS的费用由</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承担）。</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.2.9中标人不得向企事业单位收取除一般工业垃圾清运费以外的费用。</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1.3上门收集服务要求、服务范围：</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1.3.1上门收运要求和频率：中标人应建立“定时投放”及宣传制度、制定队伍的日常管理考核等工作制度。沿街商铺垃圾上门收集清运要按照垃圾分类的要求进行定时或定点收集清运，每天不得少于2趟（具体时间可由街道根据视实际情况调整）。临街垃圾收集清运上午必须在9:30前完成，下午必须在17:00前完成。收集时，电动易腐垃圾清运车需和电动其他垃圾收运车同时前后行驶。</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1.3.2地点范围：余渚路（杨绍线至柯南大道段）、永宾线（华宇镜水苑起至西屋电梯段）</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1.3.3所需车辆：电动上门收集清运车2辆及以上（其中易腐垃圾清运车1辆，其他垃圾清运车1辆）；</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1.3.4其他所需：喇叭一组（播放收运音乐、告示收运时间频次等信息）</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1.3.5</w:t>
      </w:r>
      <w:r>
        <w:rPr>
          <w:rFonts w:hint="eastAsia" w:ascii="仿宋" w:hAnsi="仿宋" w:eastAsia="仿宋" w:cs="仿宋"/>
          <w:color w:val="auto"/>
          <w:kern w:val="0"/>
          <w:sz w:val="24"/>
          <w:szCs w:val="24"/>
          <w:highlight w:val="none"/>
        </w:rPr>
        <w:t>应确保</w:t>
      </w:r>
      <w:r>
        <w:rPr>
          <w:rFonts w:hint="eastAsia" w:ascii="仿宋" w:hAnsi="仿宋" w:eastAsia="仿宋" w:cs="仿宋"/>
          <w:color w:val="auto"/>
          <w:kern w:val="0"/>
          <w:sz w:val="24"/>
          <w:szCs w:val="24"/>
          <w:highlight w:val="none"/>
          <w:lang w:eastAsia="zh-CN"/>
        </w:rPr>
        <w:t>中标车辆</w:t>
      </w:r>
      <w:r>
        <w:rPr>
          <w:rFonts w:hint="eastAsia" w:ascii="仿宋" w:hAnsi="仿宋" w:eastAsia="仿宋" w:cs="仿宋"/>
          <w:color w:val="auto"/>
          <w:kern w:val="0"/>
          <w:sz w:val="24"/>
          <w:szCs w:val="24"/>
          <w:highlight w:val="none"/>
        </w:rPr>
        <w:t>为本项目使用，每天到位，如遇特殊情况须提前告知甲方</w:t>
      </w:r>
      <w:r>
        <w:rPr>
          <w:rFonts w:hint="eastAsia" w:ascii="仿宋" w:hAnsi="仿宋" w:eastAsia="仿宋" w:cs="仿宋"/>
          <w:color w:val="auto"/>
          <w:kern w:val="0"/>
          <w:sz w:val="24"/>
          <w:szCs w:val="24"/>
          <w:highlight w:val="none"/>
          <w:lang w:eastAsia="zh-CN"/>
        </w:rPr>
        <w:t>。</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其它要求：</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设备要求：</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①</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辆载重质量在8.5吨及以上的环卫专用压缩式垃圾车。</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②1辆总质量在</w:t>
      </w:r>
      <w:r>
        <w:rPr>
          <w:rFonts w:hint="eastAsia" w:ascii="仿宋" w:hAnsi="仿宋" w:eastAsia="仿宋" w:cs="仿宋"/>
          <w:color w:val="auto"/>
          <w:kern w:val="0"/>
          <w:sz w:val="24"/>
          <w:szCs w:val="24"/>
          <w:highlight w:val="none"/>
          <w:lang w:val="en-US" w:eastAsia="zh-CN"/>
        </w:rPr>
        <w:t>25</w:t>
      </w:r>
      <w:r>
        <w:rPr>
          <w:rFonts w:hint="eastAsia" w:ascii="仿宋" w:hAnsi="仿宋" w:eastAsia="仿宋" w:cs="仿宋"/>
          <w:color w:val="auto"/>
          <w:kern w:val="0"/>
          <w:sz w:val="24"/>
          <w:szCs w:val="24"/>
          <w:highlight w:val="none"/>
        </w:rPr>
        <w:t>吨及以上的密封装卸式垃圾清运的车辆（符合环卫处要求）。</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③1辆30铲车（车辆发生故障</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确保1天内相同规格的车辆到位替换）。</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④2辆电动上门收集清运车。</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⑤1辆吸粪车。</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上述车辆需按采购方要求做好外观喷涂。</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中标人须</w:t>
      </w:r>
      <w:r>
        <w:rPr>
          <w:rFonts w:hint="eastAsia" w:ascii="仿宋" w:hAnsi="仿宋" w:eastAsia="仿宋" w:cs="仿宋"/>
          <w:color w:val="auto"/>
          <w:kern w:val="0"/>
          <w:sz w:val="24"/>
          <w:szCs w:val="24"/>
          <w:highlight w:val="none"/>
          <w:lang w:eastAsia="zh-CN"/>
        </w:rPr>
        <w:t>在中标后提供</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辆</w:t>
      </w:r>
      <w:r>
        <w:rPr>
          <w:rFonts w:hint="eastAsia" w:ascii="仿宋" w:hAnsi="仿宋" w:eastAsia="仿宋" w:cs="仿宋"/>
          <w:color w:val="auto"/>
          <w:kern w:val="0"/>
          <w:sz w:val="24"/>
          <w:szCs w:val="24"/>
          <w:highlight w:val="none"/>
          <w:lang w:eastAsia="zh-CN"/>
        </w:rPr>
        <w:t>载重质量在</w:t>
      </w:r>
      <w:r>
        <w:rPr>
          <w:rFonts w:hint="eastAsia" w:ascii="仿宋" w:hAnsi="仿宋" w:eastAsia="仿宋" w:cs="仿宋"/>
          <w:color w:val="auto"/>
          <w:kern w:val="0"/>
          <w:sz w:val="24"/>
          <w:szCs w:val="24"/>
          <w:highlight w:val="none"/>
          <w:lang w:val="en-US" w:eastAsia="zh-CN"/>
        </w:rPr>
        <w:t>8.5</w:t>
      </w:r>
      <w:r>
        <w:rPr>
          <w:rFonts w:hint="eastAsia" w:ascii="仿宋" w:hAnsi="仿宋" w:eastAsia="仿宋" w:cs="仿宋"/>
          <w:color w:val="auto"/>
          <w:kern w:val="0"/>
          <w:sz w:val="24"/>
          <w:szCs w:val="24"/>
          <w:highlight w:val="none"/>
        </w:rPr>
        <w:t>吨及以上的环卫专用压缩式垃圾车。中标人需在中标公示结束之日起15日内按标文要求购置好</w:t>
      </w:r>
      <w:r>
        <w:rPr>
          <w:rFonts w:hint="eastAsia" w:ascii="仿宋" w:hAnsi="仿宋" w:eastAsia="仿宋" w:cs="仿宋"/>
          <w:color w:val="auto"/>
          <w:kern w:val="0"/>
          <w:sz w:val="24"/>
          <w:szCs w:val="24"/>
          <w:highlight w:val="none"/>
          <w:lang w:val="en-US" w:eastAsia="zh-CN"/>
        </w:rPr>
        <w:t>相应</w:t>
      </w:r>
      <w:r>
        <w:rPr>
          <w:rFonts w:hint="eastAsia" w:ascii="仿宋" w:hAnsi="仿宋" w:eastAsia="仿宋" w:cs="仿宋"/>
          <w:color w:val="auto"/>
          <w:kern w:val="0"/>
          <w:sz w:val="24"/>
          <w:szCs w:val="24"/>
          <w:highlight w:val="none"/>
        </w:rPr>
        <w:t>车辆，不能提供或到位的取消其中标资格。生活垃圾运输车辆配置应符合现行行业标准《生活垃圾收集运输技术规程》CJJ205的规定，具有防臭味扩散、防遗撒和防渗滤液滴漏功能，并实行密闭化运输。</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人员要求：驾驶员</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人、现场管理人员1人、铲车工1人、</w:t>
      </w:r>
      <w:r>
        <w:rPr>
          <w:rFonts w:hint="eastAsia" w:ascii="仿宋" w:hAnsi="仿宋" w:eastAsia="仿宋" w:cs="仿宋"/>
          <w:color w:val="auto"/>
          <w:kern w:val="0"/>
          <w:sz w:val="24"/>
          <w:szCs w:val="24"/>
          <w:highlight w:val="none"/>
          <w:lang w:eastAsia="zh-CN"/>
        </w:rPr>
        <w:t>压缩机操作员</w:t>
      </w:r>
      <w:r>
        <w:rPr>
          <w:rFonts w:hint="eastAsia" w:ascii="仿宋" w:hAnsi="仿宋" w:eastAsia="仿宋" w:cs="仿宋"/>
          <w:color w:val="auto"/>
          <w:kern w:val="0"/>
          <w:sz w:val="24"/>
          <w:szCs w:val="24"/>
          <w:highlight w:val="none"/>
        </w:rPr>
        <w:t>人员</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人、</w:t>
      </w:r>
      <w:r>
        <w:rPr>
          <w:rFonts w:hint="eastAsia" w:ascii="仿宋" w:hAnsi="仿宋" w:eastAsia="仿宋" w:cs="仿宋"/>
          <w:color w:val="auto"/>
          <w:kern w:val="0"/>
          <w:sz w:val="24"/>
          <w:szCs w:val="24"/>
          <w:highlight w:val="none"/>
          <w:lang w:eastAsia="zh-CN"/>
        </w:rPr>
        <w:t>电工</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人</w:t>
      </w:r>
      <w:r>
        <w:rPr>
          <w:rFonts w:hint="eastAsia" w:ascii="仿宋" w:hAnsi="仿宋" w:eastAsia="仿宋" w:cs="仿宋"/>
          <w:color w:val="auto"/>
          <w:kern w:val="0"/>
          <w:sz w:val="24"/>
          <w:szCs w:val="24"/>
          <w:highlight w:val="none"/>
          <w:lang w:eastAsia="zh-CN"/>
        </w:rPr>
        <w:t>，上门收集清运车驾驶员</w:t>
      </w:r>
      <w:r>
        <w:rPr>
          <w:rFonts w:hint="eastAsia" w:ascii="仿宋" w:hAnsi="仿宋" w:eastAsia="仿宋" w:cs="仿宋"/>
          <w:color w:val="auto"/>
          <w:kern w:val="0"/>
          <w:sz w:val="24"/>
          <w:szCs w:val="24"/>
          <w:highlight w:val="none"/>
          <w:lang w:val="en-US" w:eastAsia="zh-CN"/>
        </w:rPr>
        <w:t>2人</w:t>
      </w:r>
      <w:r>
        <w:rPr>
          <w:rFonts w:hint="eastAsia" w:ascii="仿宋" w:hAnsi="仿宋" w:eastAsia="仿宋" w:cs="仿宋"/>
          <w:color w:val="auto"/>
          <w:kern w:val="0"/>
          <w:sz w:val="24"/>
          <w:szCs w:val="24"/>
          <w:highlight w:val="none"/>
        </w:rPr>
        <w:t>。如因工作需要人员需增加的，单价不作调整。</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垃圾分类、清运要求：垃圾分类、清运必须符合区环卫处的要求，区环卫处对垃圾分类、清运要求有调整的，结算单价不作调整。一般工业垃圾及生活垃圾车辆配备需符合上级部门有关要求。</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车辆外观涂装要求：按柯桥区生活垃圾分类工作领导小组办公室2019年12月发《关于要求规范垃圾分类相关标志标识的通知》、《关于加快推进生活垃圾分类清运车辆颜色和标志喷涂工作的通知》及后续最新文件执行。车辆外观喷涂执行标准按照绍市生活垃圾分类办[2019]11号《关于印发《全面提升绍兴市城镇生活垃圾分类收运工作实施方案（试行）》的通知》执行。</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采购人提供：</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①3个移动式垃圾压缩箱。</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②配套拉臂式运输车1辆。</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③工作场地</w:t>
      </w:r>
    </w:p>
    <w:p>
      <w:pPr>
        <w:pStyle w:val="3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以上采购人所提供的车辆设备，可供</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可以正常使用。在合同履行完毕之后应保证完好，期间的修理养护、加油等费用由</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承担。采购人提供的车辆由</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按相关规定进行保养和年检，费用由</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承担。保险费用由采购人承担，如发生交通事故，超出保险赔偿部分由</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承担，使用期间的违法案件由</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负责处置好。</w:t>
      </w:r>
      <w:r>
        <w:rPr>
          <w:rFonts w:hint="eastAsia" w:ascii="仿宋" w:hAnsi="仿宋" w:eastAsia="仿宋" w:cs="仿宋"/>
          <w:color w:val="auto"/>
          <w:kern w:val="0"/>
          <w:sz w:val="24"/>
          <w:szCs w:val="24"/>
          <w:highlight w:val="none"/>
          <w:lang w:eastAsia="zh-CN"/>
        </w:rPr>
        <w:t>工作场地施工期间需配合好。</w:t>
      </w:r>
    </w:p>
    <w:p>
      <w:pPr>
        <w:snapToGrid w:val="0"/>
        <w:spacing w:line="360" w:lineRule="auto"/>
        <w:jc w:val="center"/>
        <w:rPr>
          <w:rFonts w:hint="eastAsia" w:ascii="仿宋" w:hAnsi="仿宋" w:eastAsia="仿宋"/>
          <w:b/>
          <w:color w:val="auto"/>
          <w:sz w:val="28"/>
          <w:szCs w:val="28"/>
          <w:highlight w:val="none"/>
        </w:rPr>
      </w:pPr>
      <w:r>
        <w:rPr>
          <w:rFonts w:hint="eastAsia" w:ascii="仿宋" w:hAnsi="仿宋" w:eastAsia="仿宋" w:cs="仿宋_GB2312"/>
          <w:b/>
          <w:color w:val="auto"/>
          <w:sz w:val="32"/>
          <w:highlight w:val="none"/>
        </w:rPr>
        <w:br w:type="page"/>
      </w:r>
      <w:r>
        <w:rPr>
          <w:rFonts w:hint="eastAsia" w:ascii="仿宋" w:hAnsi="仿宋" w:eastAsia="仿宋" w:cs="仿宋_GB2312"/>
          <w:b/>
          <w:color w:val="auto"/>
          <w:sz w:val="32"/>
          <w:highlight w:val="none"/>
        </w:rPr>
        <w:t>二、商务要求</w:t>
      </w:r>
    </w:p>
    <w:p>
      <w:pPr>
        <w:widowControl/>
        <w:snapToGrid w:val="0"/>
        <w:spacing w:line="360" w:lineRule="auto"/>
        <w:rPr>
          <w:rFonts w:ascii="仿宋" w:eastAsia="仿宋"/>
          <w:b/>
          <w:bCs/>
          <w:color w:val="auto"/>
          <w:kern w:val="0"/>
          <w:sz w:val="24"/>
          <w:highlight w:val="none"/>
        </w:rPr>
      </w:pPr>
      <w:r>
        <w:rPr>
          <w:rFonts w:hint="eastAsia" w:ascii="仿宋" w:hAnsi="仿宋" w:eastAsia="仿宋"/>
          <w:color w:val="auto"/>
          <w:sz w:val="24"/>
          <w:highlight w:val="none"/>
        </w:rPr>
        <w:t>▲</w:t>
      </w:r>
      <w:r>
        <w:rPr>
          <w:rFonts w:hint="eastAsia" w:ascii="仿宋" w:eastAsia="仿宋"/>
          <w:b/>
          <w:bCs/>
          <w:color w:val="auto"/>
          <w:kern w:val="0"/>
          <w:sz w:val="24"/>
          <w:highlight w:val="none"/>
        </w:rPr>
        <w:t>2.1服务期限</w:t>
      </w:r>
    </w:p>
    <w:p>
      <w:pPr>
        <w:widowControl/>
        <w:snapToGrid w:val="0"/>
        <w:spacing w:line="360" w:lineRule="auto"/>
        <w:rPr>
          <w:rFonts w:ascii="仿宋" w:eastAsia="仿宋"/>
          <w:color w:val="auto"/>
          <w:kern w:val="0"/>
          <w:sz w:val="24"/>
          <w:highlight w:val="none"/>
        </w:rPr>
      </w:pPr>
      <w:r>
        <w:rPr>
          <w:rFonts w:hint="eastAsia" w:ascii="仿宋" w:eastAsia="仿宋"/>
          <w:color w:val="auto"/>
          <w:kern w:val="0"/>
          <w:sz w:val="24"/>
          <w:highlight w:val="none"/>
        </w:rPr>
        <w:t>本次招标服务期限为自合同签订之日起2年。</w:t>
      </w:r>
    </w:p>
    <w:p>
      <w:pPr>
        <w:widowControl/>
        <w:snapToGrid w:val="0"/>
        <w:spacing w:line="360" w:lineRule="auto"/>
        <w:rPr>
          <w:rFonts w:hint="eastAsia" w:ascii="仿宋" w:eastAsia="仿宋"/>
          <w:b/>
          <w:bCs/>
          <w:color w:val="auto"/>
          <w:kern w:val="0"/>
          <w:sz w:val="24"/>
          <w:highlight w:val="none"/>
          <w:lang w:eastAsia="zh-CN"/>
        </w:rPr>
      </w:pPr>
      <w:r>
        <w:rPr>
          <w:rFonts w:hint="eastAsia" w:ascii="仿宋" w:eastAsia="仿宋"/>
          <w:b/>
          <w:bCs/>
          <w:color w:val="auto"/>
          <w:kern w:val="0"/>
          <w:sz w:val="24"/>
          <w:highlight w:val="none"/>
        </w:rPr>
        <w:t>2.2</w:t>
      </w:r>
      <w:r>
        <w:rPr>
          <w:rFonts w:hint="eastAsia" w:ascii="仿宋" w:eastAsia="仿宋"/>
          <w:b/>
          <w:bCs/>
          <w:color w:val="auto"/>
          <w:kern w:val="0"/>
          <w:sz w:val="24"/>
          <w:highlight w:val="none"/>
          <w:lang w:eastAsia="zh-CN"/>
        </w:rPr>
        <w:t>质量要求</w:t>
      </w:r>
    </w:p>
    <w:p>
      <w:pPr>
        <w:widowControl/>
        <w:snapToGrid w:val="0"/>
        <w:spacing w:line="360" w:lineRule="auto"/>
        <w:rPr>
          <w:rFonts w:ascii="仿宋" w:eastAsia="仿宋"/>
          <w:color w:val="auto"/>
          <w:kern w:val="0"/>
          <w:sz w:val="24"/>
          <w:highlight w:val="none"/>
        </w:rPr>
      </w:pPr>
      <w:r>
        <w:rPr>
          <w:rFonts w:hint="eastAsia" w:ascii="仿宋" w:eastAsia="仿宋"/>
          <w:color w:val="auto"/>
          <w:kern w:val="0"/>
          <w:sz w:val="24"/>
          <w:highlight w:val="none"/>
        </w:rPr>
        <w:t>优质服务且必须符合国家法律法规、行业标准及本表文所有条款要求</w:t>
      </w:r>
    </w:p>
    <w:p>
      <w:pPr>
        <w:widowControl/>
        <w:snapToGrid w:val="0"/>
        <w:spacing w:line="360" w:lineRule="auto"/>
        <w:rPr>
          <w:rFonts w:ascii="仿宋" w:eastAsia="仿宋"/>
          <w:b/>
          <w:bCs/>
          <w:color w:val="auto"/>
          <w:sz w:val="24"/>
          <w:highlight w:val="none"/>
        </w:rPr>
      </w:pPr>
      <w:r>
        <w:rPr>
          <w:rFonts w:hint="eastAsia" w:ascii="仿宋" w:hAnsi="仿宋" w:eastAsia="仿宋"/>
          <w:color w:val="auto"/>
          <w:sz w:val="24"/>
          <w:highlight w:val="none"/>
        </w:rPr>
        <w:t>▲</w:t>
      </w:r>
      <w:r>
        <w:rPr>
          <w:rFonts w:hint="eastAsia" w:ascii="仿宋" w:eastAsia="仿宋"/>
          <w:b/>
          <w:bCs/>
          <w:color w:val="auto"/>
          <w:sz w:val="24"/>
          <w:highlight w:val="none"/>
        </w:rPr>
        <w:t>2.3数量调整</w:t>
      </w:r>
    </w:p>
    <w:p>
      <w:pPr>
        <w:widowControl/>
        <w:snapToGrid w:val="0"/>
        <w:spacing w:line="360" w:lineRule="auto"/>
        <w:rPr>
          <w:rFonts w:ascii="仿宋" w:eastAsia="仿宋"/>
          <w:color w:val="auto"/>
          <w:kern w:val="0"/>
          <w:sz w:val="24"/>
          <w:highlight w:val="none"/>
        </w:rPr>
      </w:pPr>
      <w:r>
        <w:rPr>
          <w:rFonts w:hint="eastAsia" w:ascii="仿宋" w:eastAsia="仿宋"/>
          <w:color w:val="auto"/>
          <w:kern w:val="0"/>
          <w:sz w:val="24"/>
          <w:highlight w:val="none"/>
        </w:rPr>
        <w:t>采购人保留合同履行中调整部分服务的权力，投标人应对服务类别明细报价，按投标单价不变的前提下进行调整，双方不得拒绝。合同最终结算金额按实际使用量乘以投标单价进行计算，追加的采购金额不得超过原合同采购金额的10%。如遇本次招标没有涉及的服务时，由中标人提供申请，采购人确认后实施。</w:t>
      </w:r>
    </w:p>
    <w:p>
      <w:pPr>
        <w:widowControl/>
        <w:snapToGrid w:val="0"/>
        <w:spacing w:line="360" w:lineRule="auto"/>
        <w:rPr>
          <w:rFonts w:hint="eastAsia" w:ascii="仿宋" w:eastAsia="仿宋"/>
          <w:b/>
          <w:bCs/>
          <w:color w:val="auto"/>
          <w:kern w:val="0"/>
          <w:sz w:val="24"/>
          <w:highlight w:val="none"/>
          <w:lang w:eastAsia="zh-CN"/>
        </w:rPr>
      </w:pPr>
      <w:r>
        <w:rPr>
          <w:rFonts w:hint="eastAsia" w:ascii="仿宋" w:hAnsi="仿宋" w:eastAsia="仿宋"/>
          <w:color w:val="auto"/>
          <w:sz w:val="24"/>
          <w:highlight w:val="none"/>
        </w:rPr>
        <w:t>▲</w:t>
      </w:r>
      <w:r>
        <w:rPr>
          <w:rFonts w:hint="eastAsia" w:ascii="仿宋" w:eastAsia="仿宋"/>
          <w:b/>
          <w:bCs/>
          <w:color w:val="auto"/>
          <w:kern w:val="0"/>
          <w:sz w:val="24"/>
          <w:highlight w:val="none"/>
        </w:rPr>
        <w:t>2.</w:t>
      </w:r>
      <w:r>
        <w:rPr>
          <w:rFonts w:hint="eastAsia" w:ascii="仿宋" w:eastAsia="仿宋"/>
          <w:b/>
          <w:bCs/>
          <w:color w:val="auto"/>
          <w:kern w:val="0"/>
          <w:sz w:val="24"/>
          <w:highlight w:val="none"/>
          <w:lang w:val="en-US" w:eastAsia="zh-CN"/>
        </w:rPr>
        <w:t>4</w:t>
      </w:r>
      <w:r>
        <w:rPr>
          <w:rFonts w:hint="eastAsia" w:ascii="仿宋" w:eastAsia="仿宋"/>
          <w:b/>
          <w:bCs/>
          <w:color w:val="auto"/>
          <w:kern w:val="0"/>
          <w:sz w:val="24"/>
          <w:highlight w:val="none"/>
          <w:lang w:eastAsia="zh-CN"/>
        </w:rPr>
        <w:t>结算原则</w:t>
      </w:r>
    </w:p>
    <w:p>
      <w:pPr>
        <w:widowControl/>
        <w:snapToGrid w:val="0"/>
        <w:spacing w:line="360" w:lineRule="auto"/>
        <w:rPr>
          <w:rFonts w:hint="eastAsia" w:ascii="仿宋" w:hAnsi="仿宋" w:eastAsia="仿宋"/>
          <w:b w:val="0"/>
          <w:bCs w:val="0"/>
          <w:color w:val="auto"/>
          <w:sz w:val="24"/>
          <w:highlight w:val="none"/>
        </w:rPr>
      </w:pPr>
      <w:r>
        <w:rPr>
          <w:rFonts w:hint="eastAsia" w:ascii="仿宋" w:hAnsi="仿宋" w:eastAsia="仿宋"/>
          <w:b w:val="0"/>
          <w:bCs w:val="0"/>
          <w:color w:val="auto"/>
          <w:sz w:val="24"/>
          <w:highlight w:val="none"/>
          <w:lang w:val="en-US" w:eastAsia="zh-CN"/>
        </w:rPr>
        <w:t>2.4</w:t>
      </w:r>
      <w:r>
        <w:rPr>
          <w:rFonts w:hint="eastAsia" w:ascii="仿宋" w:hAnsi="仿宋" w:eastAsia="仿宋"/>
          <w:b w:val="0"/>
          <w:bCs w:val="0"/>
          <w:color w:val="auto"/>
          <w:sz w:val="24"/>
          <w:highlight w:val="none"/>
        </w:rPr>
        <w:t>.1招标文件、招标答疑会纪要、中标</w:t>
      </w:r>
      <w:r>
        <w:rPr>
          <w:rFonts w:hint="eastAsia" w:ascii="仿宋" w:hAnsi="仿宋" w:eastAsia="仿宋"/>
          <w:b w:val="0"/>
          <w:bCs w:val="0"/>
          <w:color w:val="auto"/>
          <w:sz w:val="24"/>
          <w:highlight w:val="none"/>
          <w:lang w:eastAsia="zh-CN"/>
        </w:rPr>
        <w:t>人</w:t>
      </w:r>
      <w:r>
        <w:rPr>
          <w:rFonts w:hint="eastAsia" w:ascii="仿宋" w:hAnsi="仿宋" w:eastAsia="仿宋"/>
          <w:b w:val="0"/>
          <w:bCs w:val="0"/>
          <w:color w:val="auto"/>
          <w:sz w:val="24"/>
          <w:highlight w:val="none"/>
        </w:rPr>
        <w:t>的中标报价等作为结算依据；</w:t>
      </w:r>
    </w:p>
    <w:p>
      <w:pPr>
        <w:widowControl/>
        <w:snapToGrid w:val="0"/>
        <w:spacing w:line="360" w:lineRule="auto"/>
        <w:rPr>
          <w:rFonts w:hint="eastAsia" w:ascii="仿宋" w:hAnsi="仿宋" w:eastAsia="仿宋"/>
          <w:b w:val="0"/>
          <w:bCs w:val="0"/>
          <w:color w:val="auto"/>
          <w:sz w:val="24"/>
          <w:highlight w:val="none"/>
        </w:rPr>
      </w:pPr>
      <w:r>
        <w:rPr>
          <w:rFonts w:hint="eastAsia" w:ascii="仿宋" w:hAnsi="仿宋" w:eastAsia="仿宋"/>
          <w:b w:val="0"/>
          <w:bCs w:val="0"/>
          <w:color w:val="auto"/>
          <w:sz w:val="24"/>
          <w:highlight w:val="none"/>
          <w:lang w:val="en-US" w:eastAsia="zh-CN"/>
        </w:rPr>
        <w:t>2.4</w:t>
      </w:r>
      <w:r>
        <w:rPr>
          <w:rFonts w:hint="eastAsia" w:ascii="仿宋" w:hAnsi="仿宋" w:eastAsia="仿宋"/>
          <w:b w:val="0"/>
          <w:bCs w:val="0"/>
          <w:color w:val="auto"/>
          <w:sz w:val="24"/>
          <w:highlight w:val="none"/>
        </w:rPr>
        <w:t>.2中标单价一次性包死，不再调整，经采购人分级审批认可的数量增减，在结算时按中标单价按实调整。</w:t>
      </w:r>
    </w:p>
    <w:p>
      <w:pPr>
        <w:widowControl/>
        <w:snapToGrid w:val="0"/>
        <w:spacing w:line="360" w:lineRule="auto"/>
        <w:rPr>
          <w:rFonts w:hint="eastAsia" w:ascii="仿宋" w:hAnsi="仿宋" w:eastAsia="仿宋"/>
          <w:b w:val="0"/>
          <w:bCs w:val="0"/>
          <w:color w:val="auto"/>
          <w:sz w:val="24"/>
          <w:highlight w:val="none"/>
        </w:rPr>
      </w:pPr>
      <w:r>
        <w:rPr>
          <w:rFonts w:hint="eastAsia" w:ascii="仿宋" w:hAnsi="仿宋" w:eastAsia="仿宋"/>
          <w:b w:val="0"/>
          <w:bCs w:val="0"/>
          <w:color w:val="auto"/>
          <w:sz w:val="24"/>
          <w:highlight w:val="none"/>
          <w:lang w:val="en-US" w:eastAsia="zh-CN"/>
        </w:rPr>
        <w:t>2.4</w:t>
      </w:r>
      <w:r>
        <w:rPr>
          <w:rFonts w:hint="eastAsia" w:ascii="仿宋" w:hAnsi="仿宋" w:eastAsia="仿宋"/>
          <w:b w:val="0"/>
          <w:bCs w:val="0"/>
          <w:color w:val="auto"/>
          <w:sz w:val="24"/>
          <w:highlight w:val="none"/>
        </w:rPr>
        <w:t>.3结算数量按滨海电厂和平水大坞岙处置中心的回执清单为结算依据。</w:t>
      </w:r>
    </w:p>
    <w:p>
      <w:pPr>
        <w:widowControl/>
        <w:snapToGrid w:val="0"/>
        <w:spacing w:line="360" w:lineRule="auto"/>
        <w:rPr>
          <w:rFonts w:ascii="仿宋" w:eastAsia="仿宋"/>
          <w:b/>
          <w:bCs/>
          <w:color w:val="auto"/>
          <w:kern w:val="0"/>
          <w:sz w:val="24"/>
          <w:highlight w:val="none"/>
        </w:rPr>
      </w:pPr>
      <w:r>
        <w:rPr>
          <w:rFonts w:hint="eastAsia" w:ascii="仿宋" w:hAnsi="仿宋" w:eastAsia="仿宋"/>
          <w:color w:val="auto"/>
          <w:sz w:val="24"/>
          <w:highlight w:val="none"/>
        </w:rPr>
        <w:t>▲</w:t>
      </w:r>
      <w:r>
        <w:rPr>
          <w:rFonts w:hint="eastAsia" w:ascii="仿宋" w:eastAsia="仿宋"/>
          <w:b/>
          <w:bCs/>
          <w:color w:val="auto"/>
          <w:kern w:val="0"/>
          <w:sz w:val="24"/>
          <w:highlight w:val="none"/>
        </w:rPr>
        <w:t>2.</w:t>
      </w:r>
      <w:r>
        <w:rPr>
          <w:rFonts w:hint="eastAsia" w:ascii="仿宋" w:eastAsia="仿宋"/>
          <w:b/>
          <w:bCs/>
          <w:color w:val="auto"/>
          <w:kern w:val="0"/>
          <w:sz w:val="24"/>
          <w:highlight w:val="none"/>
          <w:lang w:val="en-US" w:eastAsia="zh-CN"/>
        </w:rPr>
        <w:t>5</w:t>
      </w:r>
      <w:r>
        <w:rPr>
          <w:rFonts w:hint="eastAsia" w:ascii="仿宋" w:eastAsia="仿宋"/>
          <w:b/>
          <w:bCs/>
          <w:color w:val="auto"/>
          <w:kern w:val="0"/>
          <w:sz w:val="24"/>
          <w:highlight w:val="none"/>
        </w:rPr>
        <w:t>付款方式</w:t>
      </w:r>
    </w:p>
    <w:p>
      <w:pPr>
        <w:spacing w:line="360" w:lineRule="auto"/>
        <w:rPr>
          <w:rFonts w:hint="eastAsia" w:ascii="仿宋" w:eastAsia="仿宋"/>
          <w:color w:val="auto"/>
          <w:sz w:val="24"/>
          <w:highlight w:val="none"/>
        </w:rPr>
      </w:pPr>
      <w:r>
        <w:rPr>
          <w:rFonts w:hint="eastAsia" w:ascii="仿宋" w:eastAsia="仿宋"/>
          <w:color w:val="auto"/>
          <w:sz w:val="24"/>
          <w:highlight w:val="none"/>
          <w:lang w:val="en-US" w:eastAsia="zh-CN"/>
        </w:rPr>
        <w:t>2.5</w:t>
      </w:r>
      <w:r>
        <w:rPr>
          <w:rFonts w:hint="eastAsia" w:ascii="仿宋" w:eastAsia="仿宋"/>
          <w:color w:val="auto"/>
          <w:sz w:val="24"/>
          <w:highlight w:val="none"/>
        </w:rPr>
        <w:t>.1垃圾分类后不可燃垃圾按采购人要求堆放在湖塘街道范围内不计费用。一般工业垃圾运输费按上月实际运输量全额支付。生活垃圾每月支付实际清运量产值的90%款项，余款在合同期满后结清。</w:t>
      </w:r>
      <w:r>
        <w:rPr>
          <w:rFonts w:hint="eastAsia" w:ascii="仿宋" w:eastAsia="仿宋"/>
          <w:color w:val="auto"/>
          <w:sz w:val="24"/>
          <w:highlight w:val="none"/>
          <w:lang w:eastAsia="zh-CN"/>
        </w:rPr>
        <w:t>湖塘街道集镇及湖塘社区范围内各垃圾点的垃圾定时上门收集服务费按年结算，一年结算一次。</w:t>
      </w:r>
    </w:p>
    <w:p>
      <w:pPr>
        <w:spacing w:line="360" w:lineRule="auto"/>
        <w:rPr>
          <w:rFonts w:hint="eastAsia" w:ascii="仿宋" w:eastAsia="仿宋"/>
          <w:color w:val="auto"/>
          <w:sz w:val="24"/>
          <w:highlight w:val="none"/>
        </w:rPr>
      </w:pPr>
      <w:r>
        <w:rPr>
          <w:rFonts w:hint="eastAsia" w:ascii="仿宋" w:eastAsia="仿宋"/>
          <w:color w:val="auto"/>
          <w:sz w:val="24"/>
          <w:highlight w:val="none"/>
          <w:lang w:val="en-US" w:eastAsia="zh-CN"/>
        </w:rPr>
        <w:t>2</w:t>
      </w:r>
      <w:r>
        <w:rPr>
          <w:rFonts w:hint="eastAsia" w:ascii="仿宋" w:eastAsia="仿宋"/>
          <w:color w:val="auto"/>
          <w:sz w:val="24"/>
          <w:highlight w:val="none"/>
        </w:rPr>
        <w:t>.</w:t>
      </w:r>
      <w:r>
        <w:rPr>
          <w:rFonts w:hint="eastAsia" w:ascii="仿宋" w:eastAsia="仿宋"/>
          <w:color w:val="auto"/>
          <w:sz w:val="24"/>
          <w:highlight w:val="none"/>
          <w:lang w:val="en-US" w:eastAsia="zh-CN"/>
        </w:rPr>
        <w:t>5</w:t>
      </w:r>
      <w:r>
        <w:rPr>
          <w:rFonts w:hint="eastAsia" w:ascii="仿宋" w:eastAsia="仿宋"/>
          <w:color w:val="auto"/>
          <w:sz w:val="24"/>
          <w:highlight w:val="none"/>
        </w:rPr>
        <w:t>.2若考核有罚款，该罚款在当月承包款中扣除。</w:t>
      </w:r>
    </w:p>
    <w:p>
      <w:pPr>
        <w:spacing w:line="360" w:lineRule="auto"/>
        <w:rPr>
          <w:rFonts w:hint="eastAsia" w:ascii="仿宋" w:eastAsia="仿宋"/>
          <w:color w:val="auto"/>
          <w:kern w:val="0"/>
          <w:sz w:val="24"/>
          <w:highlight w:val="none"/>
          <w:lang w:eastAsia="zh-CN"/>
        </w:rPr>
      </w:pPr>
      <w:r>
        <w:rPr>
          <w:rFonts w:hint="eastAsia" w:ascii="仿宋" w:eastAsia="仿宋"/>
          <w:color w:val="auto"/>
          <w:sz w:val="24"/>
          <w:highlight w:val="none"/>
          <w:lang w:val="en-US" w:eastAsia="zh-CN"/>
        </w:rPr>
        <w:t>2.5.3</w:t>
      </w:r>
      <w:r>
        <w:rPr>
          <w:rFonts w:hint="eastAsia" w:ascii="仿宋" w:eastAsia="仿宋"/>
          <w:color w:val="auto"/>
          <w:sz w:val="24"/>
          <w:highlight w:val="none"/>
        </w:rPr>
        <w:t>涉及中小企业合同的，付款根据浙财采监〔2022〕3号文件相关规定执行</w:t>
      </w:r>
      <w:r>
        <w:rPr>
          <w:rFonts w:hint="eastAsia" w:ascii="仿宋" w:eastAsia="仿宋"/>
          <w:color w:val="auto"/>
          <w:sz w:val="24"/>
          <w:highlight w:val="none"/>
          <w:lang w:eastAsia="zh-CN"/>
        </w:rPr>
        <w:t>。</w:t>
      </w:r>
    </w:p>
    <w:p>
      <w:pPr>
        <w:widowControl/>
        <w:snapToGrid w:val="0"/>
        <w:spacing w:line="360" w:lineRule="auto"/>
        <w:rPr>
          <w:rFonts w:hint="eastAsia" w:ascii="仿宋" w:eastAsia="仿宋"/>
          <w:b/>
          <w:bCs/>
          <w:color w:val="auto"/>
          <w:kern w:val="0"/>
          <w:sz w:val="24"/>
          <w:highlight w:val="none"/>
          <w:lang w:eastAsia="zh-CN"/>
        </w:rPr>
      </w:pPr>
      <w:r>
        <w:rPr>
          <w:rFonts w:hint="eastAsia" w:ascii="仿宋" w:hAnsi="仿宋" w:eastAsia="仿宋"/>
          <w:color w:val="auto"/>
          <w:sz w:val="24"/>
          <w:highlight w:val="none"/>
        </w:rPr>
        <w:t>▲</w:t>
      </w:r>
      <w:r>
        <w:rPr>
          <w:rFonts w:hint="eastAsia" w:ascii="仿宋" w:eastAsia="仿宋"/>
          <w:b/>
          <w:bCs/>
          <w:color w:val="auto"/>
          <w:kern w:val="0"/>
          <w:sz w:val="24"/>
          <w:highlight w:val="none"/>
        </w:rPr>
        <w:t>2.</w:t>
      </w:r>
      <w:r>
        <w:rPr>
          <w:rFonts w:hint="eastAsia" w:ascii="仿宋" w:eastAsia="仿宋"/>
          <w:b/>
          <w:bCs/>
          <w:color w:val="auto"/>
          <w:kern w:val="0"/>
          <w:sz w:val="24"/>
          <w:highlight w:val="none"/>
          <w:lang w:val="en-US" w:eastAsia="zh-CN"/>
        </w:rPr>
        <w:t>6</w:t>
      </w:r>
      <w:r>
        <w:rPr>
          <w:rFonts w:hint="eastAsia" w:ascii="仿宋" w:eastAsia="仿宋"/>
          <w:b/>
          <w:bCs/>
          <w:color w:val="auto"/>
          <w:kern w:val="0"/>
          <w:sz w:val="24"/>
          <w:highlight w:val="none"/>
        </w:rPr>
        <w:t>违约责任及责任处罚方式</w:t>
      </w:r>
    </w:p>
    <w:p>
      <w:pPr>
        <w:widowControl/>
        <w:snapToGrid w:val="0"/>
        <w:spacing w:line="360" w:lineRule="auto"/>
        <w:rPr>
          <w:rFonts w:hint="eastAsia" w:ascii="仿宋" w:eastAsia="仿宋"/>
          <w:color w:val="auto"/>
          <w:kern w:val="0"/>
          <w:sz w:val="24"/>
          <w:highlight w:val="none"/>
        </w:rPr>
      </w:pPr>
      <w:r>
        <w:rPr>
          <w:rFonts w:hint="eastAsia" w:ascii="仿宋" w:eastAsia="仿宋"/>
          <w:color w:val="auto"/>
          <w:kern w:val="0"/>
          <w:sz w:val="24"/>
          <w:highlight w:val="none"/>
          <w:lang w:val="en-US" w:eastAsia="zh-CN"/>
        </w:rPr>
        <w:t>2.6.1</w:t>
      </w:r>
      <w:r>
        <w:rPr>
          <w:rFonts w:hint="eastAsia" w:ascii="仿宋" w:eastAsia="仿宋"/>
          <w:color w:val="auto"/>
          <w:kern w:val="0"/>
          <w:sz w:val="24"/>
          <w:highlight w:val="none"/>
        </w:rPr>
        <w:t>采购人将按《湖塘街道垃圾收集清运压缩检查考核办法》（后附）及以下</w:t>
      </w:r>
      <w:r>
        <w:rPr>
          <w:rFonts w:hint="eastAsia" w:ascii="仿宋" w:eastAsia="仿宋"/>
          <w:color w:val="auto"/>
          <w:kern w:val="0"/>
          <w:sz w:val="24"/>
          <w:highlight w:val="none"/>
          <w:lang w:val="en-US" w:eastAsia="zh-CN"/>
        </w:rPr>
        <w:t>情况</w:t>
      </w:r>
      <w:r>
        <w:rPr>
          <w:rFonts w:hint="eastAsia" w:ascii="仿宋" w:eastAsia="仿宋"/>
          <w:color w:val="auto"/>
          <w:kern w:val="0"/>
          <w:sz w:val="24"/>
          <w:highlight w:val="none"/>
        </w:rPr>
        <w:t>对中标人工作情况</w:t>
      </w:r>
      <w:r>
        <w:rPr>
          <w:rFonts w:hint="eastAsia" w:ascii="仿宋" w:eastAsia="仿宋"/>
          <w:color w:val="auto"/>
          <w:kern w:val="0"/>
          <w:sz w:val="24"/>
          <w:highlight w:val="none"/>
          <w:lang w:val="en-US" w:eastAsia="zh-CN"/>
        </w:rPr>
        <w:t>从重处理</w:t>
      </w:r>
      <w:r>
        <w:rPr>
          <w:rFonts w:hint="eastAsia" w:ascii="仿宋" w:eastAsia="仿宋"/>
          <w:color w:val="auto"/>
          <w:kern w:val="0"/>
          <w:sz w:val="24"/>
          <w:highlight w:val="none"/>
        </w:rPr>
        <w:t>。</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color w:val="auto"/>
          <w:highlight w:val="none"/>
        </w:rPr>
      </w:pPr>
      <w:r>
        <w:rPr>
          <w:rFonts w:hint="eastAsia" w:ascii="仿宋" w:eastAsia="仿宋"/>
          <w:color w:val="auto"/>
          <w:kern w:val="0"/>
          <w:sz w:val="24"/>
          <w:highlight w:val="none"/>
          <w:lang w:val="en-US" w:eastAsia="zh-CN"/>
        </w:rPr>
        <w:t>2.6.2</w:t>
      </w:r>
      <w:r>
        <w:rPr>
          <w:rFonts w:hint="eastAsia" w:ascii="仿宋" w:eastAsia="仿宋"/>
          <w:color w:val="auto"/>
          <w:kern w:val="0"/>
          <w:sz w:val="24"/>
          <w:highlight w:val="none"/>
        </w:rPr>
        <w:t>未做到生活垃圾日产日清的，每次罚款1000元</w:t>
      </w:r>
      <w:r>
        <w:rPr>
          <w:rFonts w:hint="eastAsia" w:ascii="仿宋" w:eastAsia="仿宋"/>
          <w:color w:val="auto"/>
          <w:kern w:val="0"/>
          <w:sz w:val="24"/>
          <w:highlight w:val="none"/>
          <w:lang w:val="en-US" w:eastAsia="zh-CN"/>
        </w:rPr>
        <w:t>.</w:t>
      </w:r>
    </w:p>
    <w:p>
      <w:pPr>
        <w:widowControl/>
        <w:snapToGrid w:val="0"/>
        <w:spacing w:line="360" w:lineRule="auto"/>
        <w:jc w:val="left"/>
        <w:rPr>
          <w:rFonts w:hint="eastAsia" w:ascii="仿宋" w:eastAsia="仿宋"/>
          <w:color w:val="auto"/>
          <w:kern w:val="0"/>
          <w:sz w:val="24"/>
          <w:highlight w:val="none"/>
        </w:rPr>
      </w:pPr>
      <w:r>
        <w:rPr>
          <w:rFonts w:hint="eastAsia" w:ascii="仿宋" w:eastAsia="仿宋"/>
          <w:color w:val="auto"/>
          <w:kern w:val="0"/>
          <w:sz w:val="24"/>
          <w:highlight w:val="none"/>
          <w:lang w:val="en-US" w:eastAsia="zh-CN"/>
        </w:rPr>
        <w:t>2.6.3</w:t>
      </w:r>
      <w:r>
        <w:rPr>
          <w:rFonts w:hint="eastAsia" w:ascii="仿宋" w:eastAsia="仿宋"/>
          <w:color w:val="auto"/>
          <w:kern w:val="0"/>
          <w:sz w:val="24"/>
          <w:highlight w:val="none"/>
        </w:rPr>
        <w:t>未按采购人要求及时清运的或不服从采购人清运时间</w:t>
      </w:r>
      <w:r>
        <w:rPr>
          <w:rFonts w:hint="eastAsia" w:ascii="仿宋" w:eastAsia="仿宋"/>
          <w:color w:val="auto"/>
          <w:kern w:val="0"/>
          <w:sz w:val="24"/>
          <w:highlight w:val="none"/>
          <w:lang w:eastAsia="zh-CN"/>
        </w:rPr>
        <w:t>、</w:t>
      </w:r>
      <w:r>
        <w:rPr>
          <w:rFonts w:hint="eastAsia" w:ascii="仿宋" w:eastAsia="仿宋"/>
          <w:color w:val="auto"/>
          <w:kern w:val="0"/>
          <w:sz w:val="24"/>
          <w:highlight w:val="none"/>
          <w:lang w:val="en-US" w:eastAsia="zh-CN"/>
        </w:rPr>
        <w:t>范围</w:t>
      </w:r>
      <w:r>
        <w:rPr>
          <w:rFonts w:hint="eastAsia" w:ascii="仿宋" w:eastAsia="仿宋"/>
          <w:color w:val="auto"/>
          <w:kern w:val="0"/>
          <w:sz w:val="24"/>
          <w:highlight w:val="none"/>
        </w:rPr>
        <w:t>安排的，拖拉滞后，造成居民、企业投诉（如市长热线），每次扣5000元，累计3次不服从业主方安排、拖拉滞后，造成居民、企业投诉（如市长热线），业主方有权终止承包合同并没收履约保证金。</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eastAsia="仿宋"/>
          <w:color w:val="auto"/>
          <w:kern w:val="0"/>
          <w:sz w:val="24"/>
          <w:highlight w:val="none"/>
        </w:rPr>
      </w:pPr>
      <w:r>
        <w:rPr>
          <w:rFonts w:hint="eastAsia" w:ascii="仿宋" w:eastAsia="仿宋"/>
          <w:color w:val="auto"/>
          <w:kern w:val="0"/>
          <w:sz w:val="24"/>
          <w:highlight w:val="none"/>
          <w:lang w:val="en-US" w:eastAsia="zh-CN"/>
        </w:rPr>
        <w:t>2.6.4</w:t>
      </w:r>
      <w:r>
        <w:rPr>
          <w:rFonts w:hint="eastAsia" w:ascii="仿宋" w:eastAsia="仿宋"/>
          <w:color w:val="auto"/>
          <w:kern w:val="0"/>
          <w:sz w:val="24"/>
          <w:highlight w:val="none"/>
        </w:rPr>
        <w:t>清运过程中，清运车辆的GPS需保持正常运行，如出现信号中断，业主平台无法显示的情况，每次扣2000元。</w:t>
      </w:r>
    </w:p>
    <w:p>
      <w:pPr>
        <w:widowControl/>
        <w:snapToGrid w:val="0"/>
        <w:spacing w:line="360" w:lineRule="auto"/>
        <w:rPr>
          <w:rFonts w:hint="eastAsia" w:ascii="仿宋" w:eastAsia="仿宋"/>
          <w:color w:val="auto"/>
          <w:kern w:val="0"/>
          <w:sz w:val="24"/>
          <w:highlight w:val="none"/>
        </w:rPr>
      </w:pPr>
      <w:r>
        <w:rPr>
          <w:rFonts w:hint="eastAsia" w:ascii="仿宋" w:eastAsia="仿宋"/>
          <w:color w:val="auto"/>
          <w:kern w:val="0"/>
          <w:sz w:val="24"/>
          <w:highlight w:val="none"/>
          <w:lang w:val="en-US" w:eastAsia="zh-CN"/>
        </w:rPr>
        <w:t>2.6.5</w:t>
      </w:r>
      <w:r>
        <w:rPr>
          <w:rFonts w:hint="eastAsia" w:ascii="仿宋" w:eastAsia="仿宋"/>
          <w:color w:val="auto"/>
          <w:kern w:val="0"/>
          <w:sz w:val="24"/>
          <w:highlight w:val="none"/>
        </w:rPr>
        <w:t>因</w:t>
      </w:r>
      <w:r>
        <w:rPr>
          <w:rFonts w:hint="eastAsia" w:ascii="仿宋" w:eastAsia="仿宋"/>
          <w:color w:val="auto"/>
          <w:kern w:val="0"/>
          <w:sz w:val="24"/>
          <w:highlight w:val="none"/>
          <w:lang w:eastAsia="zh-CN"/>
        </w:rPr>
        <w:t>中标人</w:t>
      </w:r>
      <w:r>
        <w:rPr>
          <w:rFonts w:hint="eastAsia" w:ascii="仿宋" w:eastAsia="仿宋"/>
          <w:color w:val="auto"/>
          <w:kern w:val="0"/>
          <w:sz w:val="24"/>
          <w:highlight w:val="none"/>
        </w:rPr>
        <w:t>原因导致区级及上级部门、领导环境卫生检查扣分的，每次罚款</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000元，累计三次，业主有权终止合同并没收履约保证金。</w:t>
      </w:r>
    </w:p>
    <w:p>
      <w:pPr>
        <w:widowControl/>
        <w:snapToGrid w:val="0"/>
        <w:spacing w:line="360" w:lineRule="auto"/>
        <w:jc w:val="left"/>
        <w:rPr>
          <w:rFonts w:hint="eastAsia" w:ascii="仿宋" w:eastAsia="仿宋"/>
          <w:color w:val="auto"/>
          <w:kern w:val="0"/>
          <w:sz w:val="24"/>
          <w:highlight w:val="none"/>
        </w:rPr>
      </w:pPr>
      <w:r>
        <w:rPr>
          <w:rFonts w:hint="eastAsia" w:ascii="仿宋" w:eastAsia="仿宋"/>
          <w:color w:val="auto"/>
          <w:kern w:val="0"/>
          <w:sz w:val="24"/>
          <w:highlight w:val="none"/>
          <w:lang w:val="en-US" w:eastAsia="zh-CN"/>
        </w:rPr>
        <w:t>2.6.6</w:t>
      </w:r>
      <w:r>
        <w:rPr>
          <w:rFonts w:hint="eastAsia" w:ascii="仿宋" w:eastAsia="仿宋"/>
          <w:color w:val="auto"/>
          <w:kern w:val="0"/>
          <w:sz w:val="24"/>
          <w:highlight w:val="none"/>
        </w:rPr>
        <w:t>若发现有分包转包行为，采购人有权终止合同</w:t>
      </w:r>
      <w:r>
        <w:rPr>
          <w:rFonts w:hint="eastAsia" w:ascii="仿宋" w:eastAsia="仿宋"/>
          <w:color w:val="auto"/>
          <w:kern w:val="0"/>
          <w:sz w:val="24"/>
          <w:highlight w:val="none"/>
          <w:lang w:eastAsia="zh-CN"/>
        </w:rPr>
        <w:t>，</w:t>
      </w:r>
      <w:r>
        <w:rPr>
          <w:rFonts w:hint="eastAsia" w:ascii="仿宋" w:eastAsia="仿宋"/>
          <w:color w:val="auto"/>
          <w:kern w:val="0"/>
          <w:sz w:val="24"/>
          <w:highlight w:val="none"/>
        </w:rPr>
        <w:t>并罚没履约保证金。</w:t>
      </w:r>
    </w:p>
    <w:p>
      <w:pPr>
        <w:widowControl/>
        <w:snapToGrid w:val="0"/>
        <w:spacing w:line="360" w:lineRule="auto"/>
        <w:jc w:val="left"/>
        <w:rPr>
          <w:rFonts w:hint="default" w:ascii="仿宋" w:eastAsia="仿宋"/>
          <w:color w:val="auto"/>
          <w:kern w:val="0"/>
          <w:sz w:val="24"/>
          <w:highlight w:val="none"/>
          <w:lang w:val="en-US" w:eastAsia="zh-CN"/>
        </w:rPr>
      </w:pPr>
      <w:r>
        <w:rPr>
          <w:rFonts w:hint="eastAsia" w:ascii="仿宋" w:eastAsia="仿宋"/>
          <w:color w:val="auto"/>
          <w:kern w:val="0"/>
          <w:sz w:val="24"/>
          <w:highlight w:val="none"/>
          <w:lang w:val="en-US" w:eastAsia="zh-CN"/>
        </w:rPr>
        <w:t>2.6.7</w:t>
      </w:r>
      <w:r>
        <w:rPr>
          <w:rFonts w:hint="eastAsia" w:ascii="仿宋" w:eastAsia="仿宋"/>
          <w:color w:val="auto"/>
          <w:kern w:val="0"/>
          <w:sz w:val="24"/>
          <w:highlight w:val="none"/>
        </w:rPr>
        <w:t>未及时清淘污水池</w:t>
      </w:r>
      <w:r>
        <w:rPr>
          <w:rFonts w:hint="eastAsia" w:ascii="仿宋" w:eastAsia="仿宋"/>
          <w:color w:val="auto"/>
          <w:kern w:val="0"/>
          <w:sz w:val="24"/>
          <w:highlight w:val="none"/>
          <w:lang w:eastAsia="zh-CN"/>
        </w:rPr>
        <w:t>，</w:t>
      </w:r>
      <w:r>
        <w:rPr>
          <w:rFonts w:hint="eastAsia" w:ascii="仿宋" w:eastAsia="仿宋"/>
          <w:color w:val="auto"/>
          <w:kern w:val="0"/>
          <w:sz w:val="24"/>
          <w:highlight w:val="none"/>
          <w:lang w:val="en-US" w:eastAsia="zh-CN"/>
        </w:rPr>
        <w:t>造成污染环境等</w:t>
      </w:r>
      <w:r>
        <w:rPr>
          <w:rFonts w:hint="eastAsia" w:ascii="仿宋" w:eastAsia="仿宋"/>
          <w:color w:val="auto"/>
          <w:kern w:val="0"/>
          <w:sz w:val="24"/>
          <w:highlight w:val="none"/>
        </w:rPr>
        <w:t>的</w:t>
      </w:r>
      <w:r>
        <w:rPr>
          <w:rFonts w:hint="eastAsia" w:ascii="仿宋" w:eastAsia="仿宋"/>
          <w:color w:val="auto"/>
          <w:kern w:val="0"/>
          <w:sz w:val="24"/>
          <w:highlight w:val="none"/>
          <w:lang w:eastAsia="zh-CN"/>
        </w:rPr>
        <w:t>，</w:t>
      </w:r>
      <w:r>
        <w:rPr>
          <w:rFonts w:hint="eastAsia" w:ascii="仿宋" w:eastAsia="仿宋"/>
          <w:color w:val="auto"/>
          <w:kern w:val="0"/>
          <w:sz w:val="24"/>
          <w:highlight w:val="none"/>
        </w:rPr>
        <w:t>罚款</w:t>
      </w:r>
      <w:r>
        <w:rPr>
          <w:rFonts w:hint="eastAsia" w:ascii="仿宋" w:eastAsia="仿宋"/>
          <w:color w:val="auto"/>
          <w:kern w:val="0"/>
          <w:sz w:val="24"/>
          <w:highlight w:val="none"/>
          <w:lang w:val="en-US" w:eastAsia="zh-CN"/>
        </w:rPr>
        <w:t>1</w:t>
      </w:r>
      <w:r>
        <w:rPr>
          <w:rFonts w:hint="eastAsia" w:ascii="仿宋" w:eastAsia="仿宋"/>
          <w:color w:val="auto"/>
          <w:kern w:val="0"/>
          <w:sz w:val="24"/>
          <w:highlight w:val="none"/>
        </w:rPr>
        <w:t>00</w:t>
      </w:r>
      <w:r>
        <w:rPr>
          <w:rFonts w:hint="eastAsia" w:ascii="仿宋" w:eastAsia="仿宋"/>
          <w:color w:val="auto"/>
          <w:kern w:val="0"/>
          <w:sz w:val="24"/>
          <w:highlight w:val="none"/>
          <w:lang w:val="en-US" w:eastAsia="zh-CN"/>
        </w:rPr>
        <w:t>0</w:t>
      </w:r>
      <w:r>
        <w:rPr>
          <w:rFonts w:hint="eastAsia" w:ascii="仿宋" w:eastAsia="仿宋"/>
          <w:color w:val="auto"/>
          <w:kern w:val="0"/>
          <w:sz w:val="24"/>
          <w:highlight w:val="none"/>
        </w:rPr>
        <w:t>元/次。</w:t>
      </w:r>
      <w:r>
        <w:rPr>
          <w:rFonts w:hint="eastAsia" w:ascii="仿宋" w:eastAsia="仿宋"/>
          <w:color w:val="auto"/>
          <w:kern w:val="0"/>
          <w:sz w:val="24"/>
          <w:highlight w:val="none"/>
          <w:lang w:val="en-US" w:eastAsia="zh-CN"/>
        </w:rPr>
        <w:t>造成严重影响的，</w:t>
      </w:r>
      <w:r>
        <w:rPr>
          <w:rFonts w:hint="eastAsia" w:ascii="仿宋" w:eastAsia="仿宋"/>
          <w:color w:val="auto"/>
          <w:kern w:val="0"/>
          <w:sz w:val="24"/>
          <w:highlight w:val="none"/>
        </w:rPr>
        <w:t>业主方有权终止承包合同并没收履约保证金。</w:t>
      </w:r>
    </w:p>
    <w:p>
      <w:pPr>
        <w:widowControl/>
        <w:snapToGrid w:val="0"/>
        <w:spacing w:line="360" w:lineRule="auto"/>
        <w:jc w:val="left"/>
        <w:rPr>
          <w:rFonts w:hint="default" w:ascii="仿宋" w:eastAsia="仿宋"/>
          <w:color w:val="auto"/>
          <w:kern w:val="0"/>
          <w:sz w:val="24"/>
          <w:highlight w:val="none"/>
          <w:lang w:val="en-US" w:eastAsia="zh-CN"/>
        </w:rPr>
      </w:pPr>
      <w:r>
        <w:rPr>
          <w:rFonts w:hint="eastAsia" w:ascii="仿宋" w:eastAsia="仿宋"/>
          <w:color w:val="auto"/>
          <w:kern w:val="0"/>
          <w:sz w:val="24"/>
          <w:highlight w:val="none"/>
          <w:lang w:val="en-US" w:eastAsia="zh-CN"/>
        </w:rPr>
        <w:t>2.6.8</w:t>
      </w:r>
      <w:r>
        <w:rPr>
          <w:rFonts w:hint="eastAsia" w:ascii="仿宋" w:eastAsia="仿宋"/>
          <w:color w:val="auto"/>
          <w:kern w:val="0"/>
          <w:sz w:val="24"/>
          <w:highlight w:val="none"/>
        </w:rPr>
        <w:t>未</w:t>
      </w:r>
      <w:r>
        <w:rPr>
          <w:rFonts w:hint="eastAsia" w:ascii="仿宋" w:eastAsia="仿宋"/>
          <w:color w:val="auto"/>
          <w:kern w:val="0"/>
          <w:sz w:val="24"/>
          <w:highlight w:val="none"/>
          <w:lang w:val="en-US" w:eastAsia="zh-CN"/>
        </w:rPr>
        <w:t>每日</w:t>
      </w:r>
      <w:r>
        <w:rPr>
          <w:rFonts w:hint="eastAsia" w:ascii="仿宋" w:eastAsia="仿宋"/>
          <w:color w:val="auto"/>
          <w:kern w:val="0"/>
          <w:sz w:val="24"/>
          <w:highlight w:val="none"/>
        </w:rPr>
        <w:t>及时对中转站场地及车辆</w:t>
      </w:r>
      <w:r>
        <w:rPr>
          <w:rFonts w:hint="eastAsia" w:ascii="仿宋" w:eastAsia="仿宋"/>
          <w:color w:val="auto"/>
          <w:kern w:val="0"/>
          <w:sz w:val="24"/>
          <w:highlight w:val="none"/>
          <w:lang w:val="en-US" w:eastAsia="zh-CN"/>
        </w:rPr>
        <w:t>清洗，造成污染环境等或被区、市、省级媒体曝光或领导批评批示</w:t>
      </w:r>
      <w:r>
        <w:rPr>
          <w:rFonts w:hint="eastAsia" w:ascii="仿宋" w:eastAsia="仿宋"/>
          <w:color w:val="auto"/>
          <w:kern w:val="0"/>
          <w:sz w:val="24"/>
          <w:highlight w:val="none"/>
        </w:rPr>
        <w:t>的</w:t>
      </w:r>
      <w:r>
        <w:rPr>
          <w:rFonts w:hint="eastAsia" w:ascii="仿宋" w:eastAsia="仿宋"/>
          <w:color w:val="auto"/>
          <w:kern w:val="0"/>
          <w:sz w:val="24"/>
          <w:highlight w:val="none"/>
          <w:lang w:eastAsia="zh-CN"/>
        </w:rPr>
        <w:t>，</w:t>
      </w:r>
      <w:r>
        <w:rPr>
          <w:rFonts w:hint="eastAsia" w:ascii="仿宋" w:eastAsia="仿宋"/>
          <w:b w:val="0"/>
          <w:bCs w:val="0"/>
          <w:color w:val="auto"/>
          <w:kern w:val="0"/>
          <w:sz w:val="24"/>
          <w:highlight w:val="none"/>
          <w:lang w:val="en-US" w:eastAsia="zh-CN"/>
        </w:rPr>
        <w:t>罚款</w:t>
      </w:r>
      <w:r>
        <w:rPr>
          <w:rFonts w:hint="eastAsia" w:ascii="仿宋" w:eastAsia="仿宋"/>
          <w:b w:val="0"/>
          <w:bCs w:val="0"/>
          <w:color w:val="auto"/>
          <w:kern w:val="0"/>
          <w:sz w:val="24"/>
          <w:highlight w:val="none"/>
        </w:rPr>
        <w:t>10000元</w:t>
      </w:r>
      <w:r>
        <w:rPr>
          <w:rFonts w:hint="eastAsia" w:ascii="仿宋" w:eastAsia="仿宋"/>
          <w:b w:val="0"/>
          <w:bCs w:val="0"/>
          <w:color w:val="auto"/>
          <w:kern w:val="0"/>
          <w:sz w:val="24"/>
          <w:highlight w:val="none"/>
          <w:lang w:val="en-US" w:eastAsia="zh-CN"/>
        </w:rPr>
        <w:t>/次</w:t>
      </w:r>
      <w:r>
        <w:rPr>
          <w:rFonts w:hint="eastAsia" w:ascii="仿宋" w:eastAsia="仿宋"/>
          <w:b w:val="0"/>
          <w:bCs w:val="0"/>
          <w:color w:val="auto"/>
          <w:kern w:val="0"/>
          <w:sz w:val="24"/>
          <w:highlight w:val="none"/>
        </w:rPr>
        <w:t>，</w:t>
      </w:r>
      <w:r>
        <w:rPr>
          <w:rFonts w:hint="eastAsia" w:ascii="仿宋" w:eastAsia="仿宋"/>
          <w:color w:val="auto"/>
          <w:kern w:val="0"/>
          <w:sz w:val="24"/>
          <w:highlight w:val="none"/>
          <w:lang w:val="en-US" w:eastAsia="zh-CN"/>
        </w:rPr>
        <w:t>造成严重影响的，</w:t>
      </w:r>
      <w:r>
        <w:rPr>
          <w:rFonts w:hint="eastAsia" w:ascii="仿宋" w:eastAsia="仿宋"/>
          <w:color w:val="auto"/>
          <w:kern w:val="0"/>
          <w:sz w:val="24"/>
          <w:highlight w:val="none"/>
        </w:rPr>
        <w:t>业主方有权终止承包合同并没收履约保证金。</w:t>
      </w:r>
    </w:p>
    <w:p>
      <w:pPr>
        <w:widowControl/>
        <w:snapToGrid w:val="0"/>
        <w:spacing w:line="360" w:lineRule="auto"/>
        <w:rPr>
          <w:rFonts w:hint="eastAsia" w:ascii="仿宋" w:eastAsia="仿宋"/>
          <w:color w:val="auto"/>
          <w:kern w:val="0"/>
          <w:sz w:val="24"/>
          <w:highlight w:val="none"/>
        </w:rPr>
      </w:pPr>
      <w:r>
        <w:rPr>
          <w:rFonts w:hint="eastAsia" w:ascii="仿宋" w:eastAsia="仿宋"/>
          <w:color w:val="auto"/>
          <w:kern w:val="0"/>
          <w:sz w:val="24"/>
          <w:highlight w:val="none"/>
          <w:lang w:val="en-US" w:eastAsia="zh-CN"/>
        </w:rPr>
        <w:t>2.6.9</w:t>
      </w:r>
      <w:r>
        <w:rPr>
          <w:rFonts w:hint="eastAsia" w:ascii="仿宋" w:eastAsia="仿宋"/>
          <w:color w:val="auto"/>
          <w:kern w:val="0"/>
          <w:sz w:val="24"/>
          <w:highlight w:val="none"/>
          <w:lang w:eastAsia="zh-CN"/>
        </w:rPr>
        <w:t>中标</w:t>
      </w:r>
      <w:r>
        <w:rPr>
          <w:rFonts w:hint="eastAsia" w:ascii="仿宋" w:eastAsia="仿宋"/>
          <w:color w:val="auto"/>
          <w:kern w:val="0"/>
          <w:sz w:val="24"/>
          <w:highlight w:val="none"/>
        </w:rPr>
        <w:t>垃圾清运车</w:t>
      </w:r>
      <w:r>
        <w:rPr>
          <w:rFonts w:hint="eastAsia" w:ascii="仿宋" w:eastAsia="仿宋"/>
          <w:color w:val="auto"/>
          <w:kern w:val="0"/>
          <w:sz w:val="24"/>
          <w:highlight w:val="none"/>
          <w:lang w:eastAsia="zh-CN"/>
        </w:rPr>
        <w:t>辆</w:t>
      </w:r>
      <w:r>
        <w:rPr>
          <w:rFonts w:hint="eastAsia" w:ascii="仿宋" w:eastAsia="仿宋"/>
          <w:color w:val="auto"/>
          <w:kern w:val="0"/>
          <w:sz w:val="24"/>
          <w:highlight w:val="none"/>
        </w:rPr>
        <w:t>为</w:t>
      </w:r>
      <w:r>
        <w:rPr>
          <w:rFonts w:hint="eastAsia" w:ascii="仿宋" w:eastAsia="仿宋"/>
          <w:color w:val="auto"/>
          <w:kern w:val="0"/>
          <w:sz w:val="24"/>
          <w:highlight w:val="none"/>
          <w:lang w:eastAsia="zh-CN"/>
        </w:rPr>
        <w:t>擅自移作他用，未提前告知甲方的，每发现一次扣</w:t>
      </w:r>
      <w:r>
        <w:rPr>
          <w:rFonts w:hint="eastAsia" w:ascii="仿宋" w:eastAsia="仿宋"/>
          <w:color w:val="auto"/>
          <w:kern w:val="0"/>
          <w:sz w:val="24"/>
          <w:highlight w:val="none"/>
          <w:lang w:val="en-US" w:eastAsia="zh-CN"/>
        </w:rPr>
        <w:t>5000元。</w:t>
      </w:r>
    </w:p>
    <w:p>
      <w:pPr>
        <w:widowControl/>
        <w:snapToGrid w:val="0"/>
        <w:spacing w:line="360" w:lineRule="auto"/>
        <w:jc w:val="left"/>
        <w:rPr>
          <w:rFonts w:hint="eastAsia" w:ascii="仿宋" w:eastAsia="仿宋"/>
          <w:color w:val="auto"/>
          <w:kern w:val="0"/>
          <w:sz w:val="24"/>
          <w:highlight w:val="none"/>
        </w:rPr>
      </w:pPr>
      <w:r>
        <w:rPr>
          <w:rFonts w:hint="eastAsia" w:ascii="仿宋" w:eastAsia="仿宋"/>
          <w:color w:val="auto"/>
          <w:kern w:val="0"/>
          <w:sz w:val="24"/>
          <w:highlight w:val="none"/>
          <w:lang w:val="en-US" w:eastAsia="zh-CN"/>
        </w:rPr>
        <w:t>2.6.10</w:t>
      </w:r>
      <w:r>
        <w:rPr>
          <w:rFonts w:hint="eastAsia" w:ascii="仿宋" w:eastAsia="仿宋"/>
          <w:color w:val="auto"/>
          <w:kern w:val="0"/>
          <w:sz w:val="24"/>
          <w:highlight w:val="none"/>
        </w:rPr>
        <w:t>发现有向企事业单位收取费用的，每次按收取费用的2倍罚款，且罚款金额不少于10000元。累计3次仍出现类似情况的，业主方有权终止承包合同并没收履约保证金。同时移交公安机关进行查处。</w:t>
      </w:r>
    </w:p>
    <w:p>
      <w:pPr>
        <w:widowControl/>
        <w:snapToGrid w:val="0"/>
        <w:spacing w:line="360" w:lineRule="auto"/>
        <w:rPr>
          <w:rFonts w:hint="eastAsia" w:ascii="仿宋" w:eastAsia="仿宋"/>
          <w:color w:val="auto"/>
          <w:kern w:val="0"/>
          <w:sz w:val="24"/>
          <w:highlight w:val="none"/>
          <w:lang w:val="en-US" w:eastAsia="zh-CN"/>
        </w:rPr>
      </w:pPr>
      <w:r>
        <w:rPr>
          <w:rFonts w:hint="eastAsia" w:ascii="仿宋" w:eastAsia="仿宋"/>
          <w:color w:val="auto"/>
          <w:kern w:val="0"/>
          <w:sz w:val="24"/>
          <w:highlight w:val="none"/>
          <w:lang w:val="en-US" w:eastAsia="zh-CN"/>
        </w:rPr>
        <w:t>2.6.11</w:t>
      </w:r>
      <w:r>
        <w:rPr>
          <w:rFonts w:hint="eastAsia" w:ascii="仿宋" w:eastAsia="仿宋"/>
          <w:color w:val="auto"/>
          <w:kern w:val="0"/>
          <w:sz w:val="24"/>
          <w:highlight w:val="none"/>
          <w:lang w:eastAsia="zh-CN"/>
        </w:rPr>
        <w:t>上门收集未频率未达到要求的，罚款</w:t>
      </w:r>
      <w:r>
        <w:rPr>
          <w:rFonts w:hint="eastAsia" w:ascii="仿宋" w:eastAsia="仿宋"/>
          <w:color w:val="auto"/>
          <w:kern w:val="0"/>
          <w:sz w:val="24"/>
          <w:highlight w:val="none"/>
          <w:lang w:val="en-US" w:eastAsia="zh-CN"/>
        </w:rPr>
        <w:t>1000元/次。</w:t>
      </w:r>
    </w:p>
    <w:p>
      <w:pPr>
        <w:widowControl/>
        <w:snapToGrid w:val="0"/>
        <w:spacing w:line="360" w:lineRule="auto"/>
        <w:rPr>
          <w:rFonts w:hint="eastAsia" w:ascii="仿宋" w:eastAsia="仿宋"/>
          <w:color w:val="auto"/>
          <w:kern w:val="0"/>
          <w:sz w:val="24"/>
          <w:highlight w:val="none"/>
        </w:rPr>
      </w:pPr>
      <w:r>
        <w:rPr>
          <w:rFonts w:hint="eastAsia" w:ascii="仿宋" w:eastAsia="仿宋"/>
          <w:color w:val="auto"/>
          <w:kern w:val="0"/>
          <w:sz w:val="24"/>
          <w:highlight w:val="none"/>
        </w:rPr>
        <w:t>以上检查考核由湖塘街道环卫站负责。</w:t>
      </w:r>
    </w:p>
    <w:p>
      <w:pPr>
        <w:pStyle w:val="3"/>
        <w:keepNext/>
        <w:keepLines/>
        <w:pageBreakBefore w:val="0"/>
        <w:widowControl w:val="0"/>
        <w:numPr>
          <w:ilvl w:val="0"/>
          <w:numId w:val="0"/>
        </w:numPr>
        <w:kinsoku/>
        <w:wordWrap/>
        <w:overflowPunct/>
        <w:topLinePunct w:val="0"/>
        <w:autoSpaceDE/>
        <w:autoSpaceDN/>
        <w:bidi w:val="0"/>
        <w:adjustRightInd w:val="0"/>
        <w:snapToGrid/>
        <w:spacing w:before="0" w:after="0" w:line="360" w:lineRule="auto"/>
        <w:jc w:val="both"/>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lang w:eastAsia="zh-CN"/>
        </w:rPr>
        <w:t>附件：</w:t>
      </w:r>
    </w:p>
    <w:p>
      <w:pPr>
        <w:pStyle w:val="3"/>
        <w:keepNext/>
        <w:keepLines/>
        <w:pageBreakBefore w:val="0"/>
        <w:widowControl w:val="0"/>
        <w:numPr>
          <w:ilvl w:val="0"/>
          <w:numId w:val="0"/>
        </w:numPr>
        <w:kinsoku/>
        <w:wordWrap/>
        <w:overflowPunct/>
        <w:topLinePunct w:val="0"/>
        <w:autoSpaceDE/>
        <w:autoSpaceDN/>
        <w:bidi w:val="0"/>
        <w:adjustRightInd w:val="0"/>
        <w:snapToGrid/>
        <w:spacing w:before="0" w:after="0" w:line="360" w:lineRule="auto"/>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湖塘街道垃圾收集清运压缩检查考核办法</w:t>
      </w:r>
    </w:p>
    <w:tbl>
      <w:tblPr>
        <w:tblStyle w:val="60"/>
        <w:tblW w:w="83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705"/>
        <w:gridCol w:w="68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8"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705"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检查项目</w:t>
            </w:r>
          </w:p>
        </w:tc>
        <w:tc>
          <w:tcPr>
            <w:tcW w:w="6857"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扣分标准和内容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5" w:hRule="atLeast"/>
          <w:jc w:val="center"/>
        </w:trPr>
        <w:tc>
          <w:tcPr>
            <w:tcW w:w="738"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705" w:type="dxa"/>
            <w:noWrap w:val="0"/>
            <w:vAlign w:val="center"/>
          </w:tcPr>
          <w:p>
            <w:pPr>
              <w:spacing w:line="30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劳动纪律</w:t>
            </w:r>
          </w:p>
        </w:tc>
        <w:tc>
          <w:tcPr>
            <w:tcW w:w="6857" w:type="dxa"/>
            <w:noWrap w:val="0"/>
            <w:vAlign w:val="top"/>
          </w:tcPr>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1、投标人在投标文件中承诺的垃圾清运人员，第一次缺一人扣0.5分，第二次扣1分，第三次扣1.5分，以此类推；</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2、工作时间内未按时到岗、离岗、闲岗各扣0.5分；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3、因清运人员原因与行人、车辆发生不必要的纠纷，有损集体形象行为的扣1-5分；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4、工作时间内捡拾垃圾每人次扣0.5分；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5、村民群众来电来人反映工作质量、服务态度差，经查属实的扣0.5分。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8"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705"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安全生产</w:t>
            </w:r>
          </w:p>
        </w:tc>
        <w:tc>
          <w:tcPr>
            <w:tcW w:w="6857" w:type="dxa"/>
            <w:noWrap w:val="0"/>
            <w:vAlign w:val="top"/>
          </w:tcPr>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1、工作人员未按规定穿着工作服装的每次扣0.5分；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2、垃圾车不靠边停放、违章停车的扣0.5分；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3、装卸人员及驾驶员酒后操作的，每人次扣2分。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4、做好车辆的维修保养按国家有关规定办理，未按规定办理的，每次扣1分。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8" w:type="dxa"/>
            <w:noWrap w:val="0"/>
            <w:vAlign w:val="center"/>
          </w:tcPr>
          <w:p>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705" w:type="dxa"/>
            <w:noWrap w:val="0"/>
            <w:vAlign w:val="center"/>
          </w:tcPr>
          <w:p>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公司管理</w:t>
            </w:r>
          </w:p>
        </w:tc>
        <w:tc>
          <w:tcPr>
            <w:tcW w:w="6857" w:type="dxa"/>
            <w:noWrap w:val="0"/>
            <w:vAlign w:val="top"/>
          </w:tcPr>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1、不听指挥调度的、重大节日未能及时完成任务的扣10分；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2、被新闻媒体暴光，在检查中出事不合格现象，被上级领导点名批评每次各扣2分；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3、工作人员需符合法定劳动年龄，不符合每人次扣0.5分；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4、车身要有编号、监督电话，并按规定安装开启GPS定位，不达到要求，每发现一次扣1分；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5、车辆要按规定路线行驶，随意变更路线或擅自不按要求处理，每次扣1分。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0" w:hRule="atLeast"/>
          <w:jc w:val="center"/>
        </w:trPr>
        <w:tc>
          <w:tcPr>
            <w:tcW w:w="738" w:type="dxa"/>
            <w:noWrap w:val="0"/>
            <w:vAlign w:val="center"/>
          </w:tcPr>
          <w:p>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705" w:type="dxa"/>
            <w:noWrap w:val="0"/>
            <w:vAlign w:val="center"/>
          </w:tcPr>
          <w:p>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村级垃圾清运</w:t>
            </w:r>
          </w:p>
        </w:tc>
        <w:tc>
          <w:tcPr>
            <w:tcW w:w="6857" w:type="dxa"/>
            <w:noWrap w:val="0"/>
            <w:vAlign w:val="top"/>
          </w:tcPr>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1、随意将垃圾丢弃造成二次污染的，每车次扣1分；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2、作业中出现跑冒漏滴、撒落，污水溢出每次扣1分；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3、未将垃圾收集点的垃圾清运完毕的，每天扣3分；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4、有焚烧垃圾行为，发现一次的，扣分1分；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5、清运后垃圾桶未放置整齐，被村干部、群众投诉举报，经查实每次扣1分。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3" w:hRule="atLeast"/>
          <w:jc w:val="center"/>
        </w:trPr>
        <w:tc>
          <w:tcPr>
            <w:tcW w:w="738" w:type="dxa"/>
            <w:noWrap w:val="0"/>
            <w:vAlign w:val="center"/>
          </w:tcPr>
          <w:p>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705" w:type="dxa"/>
            <w:noWrap w:val="0"/>
            <w:vAlign w:val="center"/>
          </w:tcPr>
          <w:p>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垃圾中转站</w:t>
            </w:r>
          </w:p>
        </w:tc>
        <w:tc>
          <w:tcPr>
            <w:tcW w:w="6857" w:type="dxa"/>
            <w:noWrap w:val="0"/>
            <w:vAlign w:val="top"/>
          </w:tcPr>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1、及时将清运的垃圾进行压缩，并保持中转站的整治，如环境脏乱现像较为现重的，每次扣1分；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2、加强设备的养护和清理，要求在每天压缩后进行清洁，如有未清洁的，每次扣0.5分；</w:t>
            </w:r>
          </w:p>
          <w:p>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3、及时清理化粪池内的污泥，要求每月至少清理2次，如沉积严重的，每发现一次扣1分。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3" w:hRule="atLeast"/>
          <w:jc w:val="center"/>
        </w:trPr>
        <w:tc>
          <w:tcPr>
            <w:tcW w:w="738" w:type="dxa"/>
            <w:noWrap w:val="0"/>
            <w:vAlign w:val="center"/>
          </w:tcPr>
          <w:p>
            <w:pPr>
              <w:spacing w:line="240" w:lineRule="atLeast"/>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6</w:t>
            </w:r>
          </w:p>
        </w:tc>
        <w:tc>
          <w:tcPr>
            <w:tcW w:w="705" w:type="dxa"/>
            <w:noWrap w:val="0"/>
            <w:vAlign w:val="center"/>
          </w:tcPr>
          <w:p>
            <w:pPr>
              <w:spacing w:line="240" w:lineRule="atLeast"/>
              <w:jc w:val="center"/>
              <w:rPr>
                <w:rFonts w:hint="eastAsia" w:ascii="宋体" w:hAnsi="宋体" w:eastAsia="宋体" w:cs="宋体"/>
                <w:b w:val="0"/>
                <w:bCs w:val="0"/>
                <w:color w:val="auto"/>
                <w:kern w:val="2"/>
                <w:sz w:val="21"/>
                <w:szCs w:val="21"/>
                <w:highlight w:val="none"/>
                <w:lang w:val="en-US" w:eastAsia="zh-CN" w:bidi="ar-SA"/>
              </w:rPr>
            </w:pPr>
            <w:r>
              <w:rPr>
                <w:rFonts w:hint="eastAsia" w:ascii="仿宋" w:hAnsi="仿宋" w:eastAsia="仿宋" w:cs="仿宋"/>
                <w:color w:val="auto"/>
                <w:sz w:val="21"/>
                <w:szCs w:val="21"/>
                <w:highlight w:val="none"/>
                <w:lang w:eastAsia="zh-CN"/>
              </w:rPr>
              <w:t>上门收集</w:t>
            </w:r>
          </w:p>
        </w:tc>
        <w:tc>
          <w:tcPr>
            <w:tcW w:w="6857" w:type="dxa"/>
            <w:noWrap w:val="0"/>
            <w:vAlign w:val="top"/>
          </w:tcPr>
          <w:p>
            <w:pPr>
              <w:spacing w:line="360" w:lineRule="exac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1、上门收集的频率不低于每天2次，并在规定时间内完成，若未达到上述要求的，每发现一次扣1分。</w:t>
            </w:r>
          </w:p>
          <w:p>
            <w:pPr>
              <w:spacing w:line="360" w:lineRule="exac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2、易腐垃圾清运车与其他垃圾收运车必须同时行驶，如有单独行驶作业的，每发现一次扣1分。</w:t>
            </w:r>
          </w:p>
          <w:p>
            <w:pPr>
              <w:spacing w:line="360" w:lineRule="exact"/>
              <w:rPr>
                <w:rFonts w:hint="eastAsia" w:ascii="宋体" w:hAnsi="宋体" w:eastAsia="宋体" w:cs="宋体"/>
                <w:b w:val="0"/>
                <w:bCs w:val="0"/>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3、易腐垃圾与其他垃圾必须分开收集、清运，若发现混装混运的，每发现一次扣2分。</w:t>
            </w:r>
          </w:p>
        </w:tc>
      </w:tr>
    </w:tbl>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说明：1.每分分值为</w:t>
      </w:r>
      <w:r>
        <w:rPr>
          <w:rFonts w:hint="eastAsia" w:ascii="仿宋" w:hAnsi="仿宋" w:eastAsia="仿宋" w:cs="仿宋"/>
          <w:color w:val="auto"/>
          <w:sz w:val="24"/>
          <w:szCs w:val="24"/>
          <w:highlight w:val="none"/>
          <w:lang w:val="en-US" w:eastAsia="zh-CN"/>
        </w:rPr>
        <w:t>300</w:t>
      </w:r>
      <w:r>
        <w:rPr>
          <w:rFonts w:hint="eastAsia" w:ascii="仿宋" w:hAnsi="仿宋" w:eastAsia="仿宋" w:cs="仿宋"/>
          <w:color w:val="auto"/>
          <w:sz w:val="24"/>
          <w:szCs w:val="24"/>
          <w:highlight w:val="none"/>
        </w:rPr>
        <w:t>元。</w:t>
      </w:r>
    </w:p>
    <w:p>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2.以上由湖塘街道环卫站负责考核。</w:t>
      </w:r>
    </w:p>
    <w:p>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3.承包公司当月累计扣分在次月中旬张榜公布，在当月承包款中扣除。本考核办法同招标文件中规定的考核同时有效，并可重叠考核。</w:t>
      </w:r>
    </w:p>
    <w:p>
      <w:pPr>
        <w:widowControl/>
        <w:snapToGrid w:val="0"/>
        <w:spacing w:line="360" w:lineRule="auto"/>
        <w:rPr>
          <w:rFonts w:hint="eastAsia" w:ascii="仿宋" w:eastAsia="仿宋"/>
          <w:color w:val="auto"/>
          <w:kern w:val="0"/>
          <w:sz w:val="24"/>
          <w:highlight w:val="none"/>
        </w:rPr>
      </w:pPr>
    </w:p>
    <w:p>
      <w:pPr>
        <w:adjustRightInd/>
        <w:spacing w:line="360" w:lineRule="auto"/>
        <w:jc w:val="center"/>
        <w:rPr>
          <w:rFonts w:hint="eastAsia" w:ascii="仿宋" w:hAnsi="仿宋" w:eastAsia="仿宋" w:cs="仿宋_GB2312"/>
          <w:b/>
          <w:color w:val="auto"/>
          <w:sz w:val="36"/>
          <w:szCs w:val="36"/>
          <w:highlight w:val="none"/>
        </w:rPr>
      </w:pPr>
      <w:r>
        <w:rPr>
          <w:rFonts w:ascii="仿宋" w:hAnsi="仿宋" w:eastAsia="仿宋" w:cs="仿宋_GB2312"/>
          <w:b/>
          <w:color w:val="auto"/>
          <w:sz w:val="36"/>
          <w:szCs w:val="36"/>
          <w:highlight w:val="none"/>
        </w:rPr>
        <w:br w:type="page"/>
      </w:r>
      <w:r>
        <w:rPr>
          <w:rFonts w:hint="eastAsia" w:ascii="仿宋" w:hAnsi="仿宋" w:eastAsia="仿宋" w:cs="仿宋_GB2312"/>
          <w:b/>
          <w:color w:val="auto"/>
          <w:sz w:val="36"/>
          <w:szCs w:val="36"/>
          <w:highlight w:val="none"/>
        </w:rPr>
        <w:t xml:space="preserve">第四部分   </w:t>
      </w:r>
      <w:bookmarkStart w:id="62" w:name="_Toc184308092"/>
      <w:bookmarkEnd w:id="62"/>
      <w:bookmarkStart w:id="63" w:name="_Toc184310288"/>
      <w:bookmarkEnd w:id="63"/>
      <w:bookmarkStart w:id="64" w:name="_Toc184313250"/>
      <w:bookmarkEnd w:id="64"/>
      <w:bookmarkStart w:id="65" w:name="_Toc184312133"/>
      <w:bookmarkEnd w:id="65"/>
      <w:bookmarkStart w:id="66" w:name="_Toc184310322"/>
      <w:bookmarkEnd w:id="66"/>
      <w:bookmarkStart w:id="67" w:name="_Toc184310310"/>
      <w:bookmarkEnd w:id="67"/>
      <w:bookmarkStart w:id="68" w:name="_Toc184313292"/>
      <w:bookmarkEnd w:id="68"/>
      <w:bookmarkStart w:id="69" w:name="_Toc184313259"/>
      <w:bookmarkEnd w:id="69"/>
      <w:bookmarkStart w:id="70" w:name="_Toc184313289"/>
      <w:bookmarkEnd w:id="70"/>
      <w:bookmarkStart w:id="71" w:name="_Toc184314472"/>
      <w:bookmarkEnd w:id="71"/>
      <w:bookmarkStart w:id="72" w:name="_Toc184312080"/>
      <w:bookmarkEnd w:id="72"/>
      <w:bookmarkStart w:id="73" w:name="_Toc184308060"/>
      <w:bookmarkEnd w:id="73"/>
      <w:bookmarkStart w:id="74" w:name="_Toc184310343"/>
      <w:bookmarkEnd w:id="74"/>
      <w:bookmarkStart w:id="75" w:name="_Toc184312091"/>
      <w:bookmarkEnd w:id="75"/>
      <w:bookmarkStart w:id="76" w:name="_Toc184312101"/>
      <w:bookmarkEnd w:id="76"/>
      <w:bookmarkStart w:id="77" w:name="_Toc184310312"/>
      <w:bookmarkEnd w:id="77"/>
      <w:bookmarkStart w:id="78" w:name="_Toc184310277"/>
      <w:bookmarkEnd w:id="78"/>
      <w:bookmarkStart w:id="79" w:name="_Toc184314452"/>
      <w:bookmarkEnd w:id="79"/>
      <w:bookmarkStart w:id="80" w:name="_Toc184314458"/>
      <w:bookmarkEnd w:id="80"/>
      <w:bookmarkStart w:id="81" w:name="_Toc184313251"/>
      <w:bookmarkEnd w:id="81"/>
      <w:bookmarkStart w:id="82" w:name="_Toc184314427"/>
      <w:bookmarkEnd w:id="82"/>
      <w:bookmarkStart w:id="83" w:name="_Toc184314411"/>
      <w:bookmarkEnd w:id="83"/>
      <w:bookmarkStart w:id="84" w:name="_Toc184310335"/>
      <w:bookmarkEnd w:id="84"/>
      <w:bookmarkStart w:id="85" w:name="_Toc184314460"/>
      <w:bookmarkEnd w:id="85"/>
      <w:bookmarkStart w:id="86" w:name="_Toc184308039"/>
      <w:bookmarkEnd w:id="86"/>
      <w:bookmarkStart w:id="87" w:name="_Toc184313240"/>
      <w:bookmarkEnd w:id="87"/>
      <w:bookmarkStart w:id="88" w:name="_Toc184314480"/>
      <w:bookmarkEnd w:id="88"/>
      <w:bookmarkStart w:id="89" w:name="_Toc184312090"/>
      <w:bookmarkEnd w:id="89"/>
      <w:bookmarkStart w:id="90" w:name="_Toc184310336"/>
      <w:bookmarkEnd w:id="90"/>
      <w:bookmarkStart w:id="91" w:name="_Toc184313247"/>
      <w:bookmarkEnd w:id="91"/>
      <w:bookmarkStart w:id="92" w:name="_Toc184312125"/>
      <w:bookmarkEnd w:id="92"/>
      <w:bookmarkStart w:id="93" w:name="_Toc184312096"/>
      <w:bookmarkEnd w:id="93"/>
      <w:bookmarkStart w:id="94" w:name="_Toc184312083"/>
      <w:bookmarkEnd w:id="94"/>
      <w:bookmarkStart w:id="95" w:name="_Toc184308104"/>
      <w:bookmarkEnd w:id="95"/>
      <w:bookmarkStart w:id="96" w:name="_Toc184312093"/>
      <w:bookmarkEnd w:id="96"/>
      <w:bookmarkStart w:id="97" w:name="_Toc184314482"/>
      <w:bookmarkEnd w:id="97"/>
      <w:bookmarkStart w:id="98" w:name="_Toc184308057"/>
      <w:bookmarkEnd w:id="98"/>
      <w:bookmarkStart w:id="99" w:name="_Toc184314440"/>
      <w:bookmarkEnd w:id="99"/>
      <w:bookmarkStart w:id="100" w:name="_Toc184313281"/>
      <w:bookmarkEnd w:id="100"/>
      <w:bookmarkStart w:id="101" w:name="_Toc184312116"/>
      <w:bookmarkEnd w:id="101"/>
      <w:bookmarkStart w:id="102" w:name="_Toc184310317"/>
      <w:bookmarkEnd w:id="102"/>
      <w:bookmarkStart w:id="103" w:name="_Toc184312092"/>
      <w:bookmarkEnd w:id="103"/>
      <w:bookmarkStart w:id="104" w:name="_Toc184314464"/>
      <w:bookmarkEnd w:id="104"/>
      <w:bookmarkStart w:id="105" w:name="_Toc184310303"/>
      <w:bookmarkEnd w:id="105"/>
      <w:bookmarkStart w:id="106" w:name="_Toc184312118"/>
      <w:bookmarkEnd w:id="106"/>
      <w:bookmarkStart w:id="107" w:name="_Toc184310339"/>
      <w:bookmarkEnd w:id="107"/>
      <w:bookmarkStart w:id="108" w:name="_Toc184314437"/>
      <w:bookmarkEnd w:id="108"/>
      <w:bookmarkStart w:id="109" w:name="_Toc184312100"/>
      <w:bookmarkEnd w:id="109"/>
      <w:bookmarkStart w:id="110" w:name="_Toc184314435"/>
      <w:bookmarkEnd w:id="110"/>
      <w:bookmarkStart w:id="111" w:name="_Toc184312084"/>
      <w:bookmarkEnd w:id="111"/>
      <w:bookmarkStart w:id="112" w:name="_Toc184313291"/>
      <w:bookmarkEnd w:id="112"/>
      <w:bookmarkStart w:id="113" w:name="_Toc184312089"/>
      <w:bookmarkEnd w:id="113"/>
      <w:bookmarkStart w:id="114" w:name="_Toc184310318"/>
      <w:bookmarkEnd w:id="114"/>
      <w:bookmarkStart w:id="115" w:name="_Toc184308106"/>
      <w:bookmarkEnd w:id="115"/>
      <w:bookmarkStart w:id="116" w:name="_Toc184314444"/>
      <w:bookmarkEnd w:id="116"/>
      <w:bookmarkStart w:id="117" w:name="_Toc184314469"/>
      <w:bookmarkEnd w:id="117"/>
      <w:bookmarkStart w:id="118" w:name="_Toc184313270"/>
      <w:bookmarkEnd w:id="118"/>
      <w:bookmarkStart w:id="119" w:name="_Toc184312120"/>
      <w:bookmarkEnd w:id="119"/>
      <w:bookmarkStart w:id="120" w:name="_Toc184310275"/>
      <w:bookmarkEnd w:id="120"/>
      <w:bookmarkStart w:id="121" w:name="_Toc184310308"/>
      <w:bookmarkEnd w:id="121"/>
      <w:bookmarkStart w:id="122" w:name="_Toc184308089"/>
      <w:bookmarkEnd w:id="122"/>
      <w:bookmarkStart w:id="123" w:name="_Toc184313304"/>
      <w:bookmarkEnd w:id="123"/>
      <w:bookmarkStart w:id="124" w:name="_Toc184313298"/>
      <w:bookmarkEnd w:id="124"/>
      <w:bookmarkStart w:id="125" w:name="_Toc184313301"/>
      <w:bookmarkEnd w:id="125"/>
      <w:bookmarkStart w:id="126" w:name="_Toc184308066"/>
      <w:bookmarkEnd w:id="126"/>
      <w:bookmarkStart w:id="127" w:name="_Toc184314412"/>
      <w:bookmarkEnd w:id="127"/>
      <w:bookmarkStart w:id="128" w:name="_Toc184310301"/>
      <w:bookmarkEnd w:id="128"/>
      <w:bookmarkStart w:id="129" w:name="_Toc184310309"/>
      <w:bookmarkEnd w:id="129"/>
      <w:bookmarkStart w:id="130" w:name="_Toc184314450"/>
      <w:bookmarkEnd w:id="130"/>
      <w:bookmarkStart w:id="131" w:name="_Toc184312111"/>
      <w:bookmarkEnd w:id="131"/>
      <w:bookmarkStart w:id="132" w:name="_Toc184313310"/>
      <w:bookmarkEnd w:id="132"/>
      <w:bookmarkStart w:id="133" w:name="_Toc184314461"/>
      <w:bookmarkEnd w:id="133"/>
      <w:bookmarkStart w:id="134" w:name="_Toc184308055"/>
      <w:bookmarkEnd w:id="134"/>
      <w:bookmarkStart w:id="135" w:name="_Toc184313266"/>
      <w:bookmarkEnd w:id="135"/>
      <w:bookmarkStart w:id="136" w:name="_Toc184314459"/>
      <w:bookmarkEnd w:id="136"/>
      <w:bookmarkStart w:id="137" w:name="_Toc184314473"/>
      <w:bookmarkEnd w:id="137"/>
      <w:bookmarkStart w:id="138" w:name="_Toc184312131"/>
      <w:bookmarkEnd w:id="138"/>
      <w:bookmarkStart w:id="139" w:name="_Toc184310330"/>
      <w:bookmarkEnd w:id="139"/>
      <w:bookmarkStart w:id="140" w:name="_Toc184310338"/>
      <w:bookmarkEnd w:id="140"/>
      <w:bookmarkStart w:id="141" w:name="_Toc184312069"/>
      <w:bookmarkEnd w:id="141"/>
      <w:bookmarkStart w:id="142" w:name="_Toc184314414"/>
      <w:bookmarkEnd w:id="142"/>
      <w:bookmarkStart w:id="143" w:name="_Toc184312068"/>
      <w:bookmarkEnd w:id="143"/>
      <w:bookmarkStart w:id="144" w:name="_Toc184310323"/>
      <w:bookmarkEnd w:id="144"/>
      <w:bookmarkStart w:id="145" w:name="_Toc184313272"/>
      <w:bookmarkEnd w:id="145"/>
      <w:bookmarkStart w:id="146" w:name="_Toc184314416"/>
      <w:bookmarkEnd w:id="146"/>
      <w:bookmarkStart w:id="147" w:name="_Toc184313276"/>
      <w:bookmarkEnd w:id="147"/>
      <w:bookmarkStart w:id="148" w:name="_Toc184308037"/>
      <w:bookmarkEnd w:id="148"/>
      <w:bookmarkStart w:id="149" w:name="_Toc184313257"/>
      <w:bookmarkEnd w:id="149"/>
      <w:bookmarkStart w:id="150" w:name="_Toc184313254"/>
      <w:bookmarkEnd w:id="150"/>
      <w:bookmarkStart w:id="151" w:name="_Toc184308091"/>
      <w:bookmarkEnd w:id="151"/>
      <w:bookmarkStart w:id="152" w:name="_Toc184310321"/>
      <w:bookmarkEnd w:id="152"/>
      <w:bookmarkStart w:id="153" w:name="_Toc184313294"/>
      <w:bookmarkEnd w:id="153"/>
      <w:bookmarkStart w:id="154" w:name="_Toc184312139"/>
      <w:bookmarkEnd w:id="154"/>
      <w:bookmarkStart w:id="155" w:name="_Toc184308100"/>
      <w:bookmarkEnd w:id="155"/>
      <w:bookmarkStart w:id="156" w:name="_Toc184310274"/>
      <w:bookmarkEnd w:id="156"/>
      <w:bookmarkStart w:id="157" w:name="_Toc184308062"/>
      <w:bookmarkEnd w:id="157"/>
      <w:bookmarkStart w:id="158" w:name="_Toc184308077"/>
      <w:bookmarkEnd w:id="158"/>
      <w:bookmarkStart w:id="159" w:name="_Toc184308079"/>
      <w:bookmarkEnd w:id="159"/>
      <w:bookmarkStart w:id="160" w:name="_Toc184308036"/>
      <w:bookmarkEnd w:id="160"/>
      <w:bookmarkStart w:id="161" w:name="_Toc184308070"/>
      <w:bookmarkEnd w:id="161"/>
      <w:bookmarkStart w:id="162" w:name="_Toc184310324"/>
      <w:bookmarkEnd w:id="162"/>
      <w:bookmarkStart w:id="163" w:name="_Toc184312106"/>
      <w:bookmarkEnd w:id="163"/>
      <w:bookmarkStart w:id="164" w:name="_Toc184308049"/>
      <w:bookmarkEnd w:id="164"/>
      <w:bookmarkStart w:id="165" w:name="_Toc184313262"/>
      <w:bookmarkEnd w:id="165"/>
      <w:bookmarkStart w:id="166" w:name="_Toc184310282"/>
      <w:bookmarkEnd w:id="166"/>
      <w:bookmarkStart w:id="167" w:name="_Toc184308080"/>
      <w:bookmarkEnd w:id="167"/>
      <w:bookmarkStart w:id="168" w:name="_Toc184312138"/>
      <w:bookmarkEnd w:id="168"/>
      <w:bookmarkStart w:id="169" w:name="_Toc184312124"/>
      <w:bookmarkEnd w:id="169"/>
      <w:bookmarkStart w:id="170" w:name="_Toc184312110"/>
      <w:bookmarkEnd w:id="170"/>
      <w:bookmarkStart w:id="171" w:name="_Toc184312072"/>
      <w:bookmarkEnd w:id="171"/>
      <w:bookmarkStart w:id="172" w:name="_Toc184313299"/>
      <w:bookmarkEnd w:id="172"/>
      <w:bookmarkStart w:id="173" w:name="_Toc184308084"/>
      <w:bookmarkEnd w:id="173"/>
      <w:bookmarkStart w:id="174" w:name="_Toc184314456"/>
      <w:bookmarkEnd w:id="174"/>
      <w:bookmarkStart w:id="175" w:name="_Toc184314413"/>
      <w:bookmarkEnd w:id="175"/>
      <w:bookmarkStart w:id="176" w:name="_Toc184310287"/>
      <w:bookmarkEnd w:id="176"/>
      <w:bookmarkStart w:id="177" w:name="_Toc184313245"/>
      <w:bookmarkEnd w:id="177"/>
      <w:bookmarkStart w:id="178" w:name="_Toc184310329"/>
      <w:bookmarkEnd w:id="178"/>
      <w:bookmarkStart w:id="179" w:name="_Toc184313265"/>
      <w:bookmarkEnd w:id="179"/>
      <w:bookmarkStart w:id="180" w:name="_Toc184314454"/>
      <w:bookmarkEnd w:id="180"/>
      <w:bookmarkStart w:id="181" w:name="_Toc184308090"/>
      <w:bookmarkEnd w:id="181"/>
      <w:bookmarkStart w:id="182" w:name="_Toc184314433"/>
      <w:bookmarkEnd w:id="182"/>
      <w:bookmarkStart w:id="183" w:name="_Toc184314447"/>
      <w:bookmarkEnd w:id="183"/>
      <w:bookmarkStart w:id="184" w:name="_Toc184312088"/>
      <w:bookmarkEnd w:id="184"/>
      <w:bookmarkStart w:id="185" w:name="_Toc184312078"/>
      <w:bookmarkEnd w:id="185"/>
      <w:bookmarkStart w:id="186" w:name="_Toc184308075"/>
      <w:bookmarkEnd w:id="186"/>
      <w:bookmarkStart w:id="187" w:name="_Toc184312135"/>
      <w:bookmarkEnd w:id="187"/>
      <w:bookmarkStart w:id="188" w:name="_Toc184312075"/>
      <w:bookmarkEnd w:id="188"/>
      <w:bookmarkStart w:id="189" w:name="_Toc184314457"/>
      <w:bookmarkEnd w:id="189"/>
      <w:bookmarkStart w:id="190" w:name="_Toc184310279"/>
      <w:bookmarkEnd w:id="190"/>
      <w:bookmarkStart w:id="191" w:name="_Toc184313288"/>
      <w:bookmarkEnd w:id="191"/>
      <w:bookmarkStart w:id="192" w:name="_Toc184313297"/>
      <w:bookmarkEnd w:id="192"/>
      <w:bookmarkStart w:id="193" w:name="_Toc184313308"/>
      <w:bookmarkEnd w:id="193"/>
      <w:bookmarkStart w:id="194" w:name="_Toc184308068"/>
      <w:bookmarkEnd w:id="194"/>
      <w:bookmarkStart w:id="195" w:name="_Toc184314468"/>
      <w:bookmarkEnd w:id="195"/>
      <w:bookmarkStart w:id="196" w:name="_Toc184308059"/>
      <w:bookmarkEnd w:id="196"/>
      <w:bookmarkStart w:id="197" w:name="_Toc184310273"/>
      <w:bookmarkEnd w:id="197"/>
      <w:bookmarkStart w:id="198" w:name="_Toc184313284"/>
      <w:bookmarkEnd w:id="198"/>
      <w:bookmarkStart w:id="199" w:name="_Toc184314420"/>
      <w:bookmarkEnd w:id="199"/>
      <w:bookmarkStart w:id="200" w:name="_Toc184308074"/>
      <w:bookmarkEnd w:id="200"/>
      <w:bookmarkStart w:id="201" w:name="_Toc184308071"/>
      <w:bookmarkEnd w:id="201"/>
      <w:bookmarkStart w:id="202" w:name="_Toc184312076"/>
      <w:bookmarkEnd w:id="202"/>
      <w:bookmarkStart w:id="203" w:name="_Toc184310307"/>
      <w:bookmarkEnd w:id="203"/>
      <w:bookmarkStart w:id="204" w:name="_Toc184314415"/>
      <w:bookmarkEnd w:id="204"/>
      <w:bookmarkStart w:id="205" w:name="_Toc184308081"/>
      <w:bookmarkEnd w:id="205"/>
      <w:bookmarkStart w:id="206" w:name="_Toc184310327"/>
      <w:bookmarkEnd w:id="206"/>
      <w:bookmarkStart w:id="207" w:name="_Toc184314475"/>
      <w:bookmarkEnd w:id="207"/>
      <w:bookmarkStart w:id="208" w:name="_Toc184312136"/>
      <w:bookmarkEnd w:id="208"/>
      <w:bookmarkStart w:id="209" w:name="_Toc184314432"/>
      <w:bookmarkEnd w:id="209"/>
      <w:bookmarkStart w:id="210" w:name="_Toc184312127"/>
      <w:bookmarkEnd w:id="210"/>
      <w:bookmarkStart w:id="211" w:name="_Toc184308098"/>
      <w:bookmarkEnd w:id="211"/>
      <w:bookmarkStart w:id="212" w:name="_Toc184308065"/>
      <w:bookmarkEnd w:id="212"/>
      <w:bookmarkStart w:id="213" w:name="_Toc184308054"/>
      <w:bookmarkEnd w:id="213"/>
      <w:bookmarkStart w:id="214" w:name="_Toc184313293"/>
      <w:bookmarkEnd w:id="214"/>
      <w:bookmarkStart w:id="215" w:name="_Toc184314443"/>
      <w:bookmarkEnd w:id="215"/>
      <w:bookmarkStart w:id="216" w:name="_Toc184313296"/>
      <w:bookmarkEnd w:id="216"/>
      <w:bookmarkStart w:id="217" w:name="_Toc184314448"/>
      <w:bookmarkEnd w:id="217"/>
      <w:bookmarkStart w:id="218" w:name="_Toc184308086"/>
      <w:bookmarkEnd w:id="218"/>
      <w:bookmarkStart w:id="219" w:name="_Toc184313290"/>
      <w:bookmarkEnd w:id="219"/>
      <w:bookmarkStart w:id="220" w:name="_Toc184314478"/>
      <w:bookmarkEnd w:id="220"/>
      <w:bookmarkStart w:id="221" w:name="_Toc184312122"/>
      <w:bookmarkEnd w:id="221"/>
      <w:bookmarkStart w:id="222" w:name="_Toc184314471"/>
      <w:bookmarkEnd w:id="222"/>
      <w:bookmarkStart w:id="223" w:name="_Toc184310297"/>
      <w:bookmarkEnd w:id="223"/>
      <w:bookmarkStart w:id="224" w:name="_Toc184310278"/>
      <w:bookmarkEnd w:id="224"/>
      <w:bookmarkStart w:id="225" w:name="_Toc184314449"/>
      <w:bookmarkEnd w:id="225"/>
      <w:bookmarkStart w:id="226" w:name="_Toc184314423"/>
      <w:bookmarkEnd w:id="226"/>
      <w:bookmarkStart w:id="227" w:name="_Toc184312094"/>
      <w:bookmarkEnd w:id="227"/>
      <w:bookmarkStart w:id="228" w:name="_Toc184313302"/>
      <w:bookmarkEnd w:id="228"/>
      <w:bookmarkStart w:id="229" w:name="_Toc184308096"/>
      <w:bookmarkEnd w:id="229"/>
      <w:bookmarkStart w:id="230" w:name="_Toc184310285"/>
      <w:bookmarkEnd w:id="230"/>
      <w:bookmarkStart w:id="231" w:name="_Toc184313253"/>
      <w:bookmarkEnd w:id="231"/>
      <w:bookmarkStart w:id="232" w:name="_Toc184308099"/>
      <w:bookmarkEnd w:id="232"/>
      <w:bookmarkStart w:id="233" w:name="_Toc184312123"/>
      <w:bookmarkEnd w:id="233"/>
      <w:bookmarkStart w:id="234" w:name="_Toc184310281"/>
      <w:bookmarkEnd w:id="234"/>
      <w:bookmarkStart w:id="235" w:name="_Toc184312102"/>
      <w:bookmarkEnd w:id="235"/>
      <w:bookmarkStart w:id="236" w:name="_Toc184308058"/>
      <w:bookmarkEnd w:id="236"/>
      <w:bookmarkStart w:id="237" w:name="_Toc184312077"/>
      <w:bookmarkEnd w:id="237"/>
      <w:bookmarkStart w:id="238" w:name="_Toc184313305"/>
      <w:bookmarkEnd w:id="238"/>
      <w:bookmarkStart w:id="239" w:name="_Toc184308045"/>
      <w:bookmarkEnd w:id="239"/>
      <w:bookmarkStart w:id="240" w:name="_Toc184310332"/>
      <w:bookmarkEnd w:id="240"/>
      <w:bookmarkStart w:id="241" w:name="_Toc184310276"/>
      <w:bookmarkEnd w:id="241"/>
      <w:bookmarkStart w:id="242" w:name="_Toc184313286"/>
      <w:bookmarkEnd w:id="242"/>
      <w:bookmarkStart w:id="243" w:name="_Toc184308103"/>
      <w:bookmarkEnd w:id="243"/>
      <w:bookmarkStart w:id="244" w:name="_Toc184310326"/>
      <w:bookmarkEnd w:id="244"/>
      <w:bookmarkStart w:id="245" w:name="_Toc184308094"/>
      <w:bookmarkEnd w:id="245"/>
      <w:bookmarkStart w:id="246" w:name="_Toc184314476"/>
      <w:bookmarkEnd w:id="246"/>
      <w:bookmarkStart w:id="247" w:name="_Toc184312103"/>
      <w:bookmarkEnd w:id="247"/>
      <w:bookmarkStart w:id="248" w:name="_Toc184313303"/>
      <w:bookmarkEnd w:id="248"/>
      <w:bookmarkStart w:id="249" w:name="_Toc184308063"/>
      <w:bookmarkEnd w:id="249"/>
      <w:bookmarkStart w:id="250" w:name="_Toc184313273"/>
      <w:bookmarkEnd w:id="250"/>
      <w:bookmarkStart w:id="251" w:name="_Toc184310291"/>
      <w:bookmarkEnd w:id="251"/>
      <w:bookmarkStart w:id="252" w:name="_Toc184313268"/>
      <w:bookmarkEnd w:id="252"/>
      <w:bookmarkStart w:id="253" w:name="_Toc184310305"/>
      <w:bookmarkEnd w:id="253"/>
      <w:bookmarkStart w:id="254" w:name="_Toc184312128"/>
      <w:bookmarkEnd w:id="254"/>
      <w:bookmarkStart w:id="255" w:name="_Toc184310293"/>
      <w:bookmarkEnd w:id="255"/>
      <w:bookmarkStart w:id="256" w:name="_Toc184310304"/>
      <w:bookmarkEnd w:id="256"/>
      <w:bookmarkStart w:id="257" w:name="_Toc184308056"/>
      <w:bookmarkEnd w:id="257"/>
      <w:bookmarkStart w:id="258" w:name="_Toc184308038"/>
      <w:bookmarkEnd w:id="258"/>
      <w:bookmarkStart w:id="259" w:name="_Toc184310316"/>
      <w:bookmarkEnd w:id="259"/>
      <w:bookmarkStart w:id="260" w:name="_Toc184308061"/>
      <w:bookmarkEnd w:id="260"/>
      <w:bookmarkStart w:id="261" w:name="_Toc184310296"/>
      <w:bookmarkEnd w:id="261"/>
      <w:bookmarkStart w:id="262" w:name="_Toc184312085"/>
      <w:bookmarkEnd w:id="262"/>
      <w:bookmarkStart w:id="263" w:name="_Toc184310298"/>
      <w:bookmarkEnd w:id="263"/>
      <w:bookmarkStart w:id="264" w:name="_Toc184308044"/>
      <w:bookmarkEnd w:id="264"/>
      <w:bookmarkStart w:id="265" w:name="_Toc184312079"/>
      <w:bookmarkEnd w:id="265"/>
      <w:bookmarkStart w:id="266" w:name="_Toc184313277"/>
      <w:bookmarkEnd w:id="266"/>
      <w:bookmarkStart w:id="267" w:name="_Toc184312117"/>
      <w:bookmarkEnd w:id="267"/>
      <w:bookmarkStart w:id="268" w:name="_Toc184313300"/>
      <w:bookmarkEnd w:id="268"/>
      <w:bookmarkStart w:id="269" w:name="_Toc184314466"/>
      <w:bookmarkEnd w:id="269"/>
      <w:bookmarkStart w:id="270" w:name="_Toc184308095"/>
      <w:bookmarkEnd w:id="270"/>
      <w:bookmarkStart w:id="271" w:name="_Toc184314430"/>
      <w:bookmarkEnd w:id="271"/>
      <w:bookmarkStart w:id="272" w:name="_Toc184312099"/>
      <w:bookmarkEnd w:id="272"/>
      <w:bookmarkStart w:id="273" w:name="_Toc184308082"/>
      <w:bookmarkEnd w:id="273"/>
      <w:bookmarkStart w:id="274" w:name="_Toc184312112"/>
      <w:bookmarkEnd w:id="274"/>
      <w:bookmarkStart w:id="275" w:name="_Toc184314417"/>
      <w:bookmarkEnd w:id="275"/>
      <w:bookmarkStart w:id="276" w:name="_Toc184314467"/>
      <w:bookmarkEnd w:id="276"/>
      <w:bookmarkStart w:id="277" w:name="_Toc184310283"/>
      <w:bookmarkEnd w:id="277"/>
      <w:bookmarkStart w:id="278" w:name="_Toc184310311"/>
      <w:bookmarkEnd w:id="278"/>
      <w:bookmarkStart w:id="279" w:name="_Toc184312113"/>
      <w:bookmarkEnd w:id="279"/>
      <w:bookmarkStart w:id="280" w:name="_Toc184310294"/>
      <w:bookmarkEnd w:id="280"/>
      <w:bookmarkStart w:id="281" w:name="_Toc184312107"/>
      <w:bookmarkEnd w:id="281"/>
      <w:bookmarkStart w:id="282" w:name="_Toc184310341"/>
      <w:bookmarkEnd w:id="282"/>
      <w:bookmarkStart w:id="283" w:name="_Toc184308042"/>
      <w:bookmarkEnd w:id="283"/>
      <w:bookmarkStart w:id="284" w:name="_Toc184308097"/>
      <w:bookmarkEnd w:id="284"/>
      <w:bookmarkStart w:id="285" w:name="_Toc184312082"/>
      <w:bookmarkEnd w:id="285"/>
      <w:bookmarkStart w:id="286" w:name="_Toc184313282"/>
      <w:bookmarkEnd w:id="286"/>
      <w:bookmarkStart w:id="287" w:name="_Toc184312095"/>
      <w:bookmarkEnd w:id="287"/>
      <w:bookmarkStart w:id="288" w:name="_Toc184314479"/>
      <w:bookmarkEnd w:id="288"/>
      <w:bookmarkStart w:id="289" w:name="_Toc184308083"/>
      <w:bookmarkEnd w:id="289"/>
      <w:bookmarkStart w:id="290" w:name="_Toc184312098"/>
      <w:bookmarkEnd w:id="290"/>
      <w:bookmarkStart w:id="291" w:name="_Toc184308105"/>
      <w:bookmarkEnd w:id="291"/>
      <w:bookmarkStart w:id="292" w:name="_Toc184310272"/>
      <w:bookmarkEnd w:id="292"/>
      <w:bookmarkStart w:id="293" w:name="_Toc184313242"/>
      <w:bookmarkEnd w:id="293"/>
      <w:bookmarkStart w:id="294" w:name="_Toc184314429"/>
      <w:bookmarkEnd w:id="294"/>
      <w:bookmarkStart w:id="295" w:name="_Toc184313280"/>
      <w:bookmarkEnd w:id="295"/>
      <w:bookmarkStart w:id="296" w:name="_Toc184313261"/>
      <w:bookmarkEnd w:id="296"/>
      <w:bookmarkStart w:id="297" w:name="_Toc184310334"/>
      <w:bookmarkEnd w:id="297"/>
      <w:bookmarkStart w:id="298" w:name="_Toc184308043"/>
      <w:bookmarkEnd w:id="298"/>
      <w:bookmarkStart w:id="299" w:name="_Toc184314462"/>
      <w:bookmarkEnd w:id="299"/>
      <w:bookmarkStart w:id="300" w:name="_Toc184314463"/>
      <w:bookmarkEnd w:id="300"/>
      <w:bookmarkStart w:id="301" w:name="_Toc184313263"/>
      <w:bookmarkEnd w:id="301"/>
      <w:bookmarkStart w:id="302" w:name="_Toc184314445"/>
      <w:bookmarkEnd w:id="302"/>
      <w:bookmarkStart w:id="303" w:name="_Toc184312130"/>
      <w:bookmarkEnd w:id="303"/>
      <w:bookmarkStart w:id="304" w:name="_Toc184310325"/>
      <w:bookmarkEnd w:id="304"/>
      <w:bookmarkStart w:id="305" w:name="_Toc184314421"/>
      <w:bookmarkEnd w:id="305"/>
      <w:bookmarkStart w:id="306" w:name="_Toc184310315"/>
      <w:bookmarkEnd w:id="306"/>
      <w:bookmarkStart w:id="307" w:name="_Toc184310319"/>
      <w:bookmarkEnd w:id="307"/>
      <w:bookmarkStart w:id="308" w:name="_Toc184310342"/>
      <w:bookmarkEnd w:id="308"/>
      <w:bookmarkStart w:id="309" w:name="_Toc184310300"/>
      <w:bookmarkEnd w:id="309"/>
      <w:bookmarkStart w:id="310" w:name="_Toc184313243"/>
      <w:bookmarkEnd w:id="310"/>
      <w:bookmarkStart w:id="311" w:name="_Toc184308052"/>
      <w:bookmarkEnd w:id="311"/>
      <w:bookmarkStart w:id="312" w:name="_Toc184314441"/>
      <w:bookmarkEnd w:id="312"/>
      <w:bookmarkStart w:id="313" w:name="_Toc184312104"/>
      <w:bookmarkEnd w:id="313"/>
      <w:bookmarkStart w:id="314" w:name="_Toc184314451"/>
      <w:bookmarkEnd w:id="314"/>
      <w:bookmarkStart w:id="315" w:name="_Toc184313274"/>
      <w:bookmarkEnd w:id="315"/>
      <w:bookmarkStart w:id="316" w:name="_Toc184308050"/>
      <w:bookmarkEnd w:id="316"/>
      <w:bookmarkStart w:id="317" w:name="_Toc184313287"/>
      <w:bookmarkEnd w:id="317"/>
      <w:bookmarkStart w:id="318" w:name="_Toc184314481"/>
      <w:bookmarkEnd w:id="318"/>
      <w:bookmarkStart w:id="319" w:name="_Toc184313309"/>
      <w:bookmarkEnd w:id="319"/>
      <w:bookmarkStart w:id="320" w:name="_Toc184310313"/>
      <w:bookmarkEnd w:id="320"/>
      <w:bookmarkStart w:id="321" w:name="_Toc184313244"/>
      <w:bookmarkEnd w:id="321"/>
      <w:bookmarkStart w:id="322" w:name="_Toc184313241"/>
      <w:bookmarkEnd w:id="322"/>
      <w:bookmarkStart w:id="323" w:name="_Toc184314410"/>
      <w:bookmarkEnd w:id="323"/>
      <w:bookmarkStart w:id="324" w:name="_Toc184313283"/>
      <w:bookmarkEnd w:id="324"/>
      <w:bookmarkStart w:id="325" w:name="_Toc184314419"/>
      <w:bookmarkEnd w:id="325"/>
      <w:bookmarkStart w:id="326" w:name="_Toc184310344"/>
      <w:bookmarkEnd w:id="326"/>
      <w:bookmarkStart w:id="327" w:name="_Toc184312081"/>
      <w:bookmarkEnd w:id="327"/>
      <w:bookmarkStart w:id="328" w:name="_Toc184308051"/>
      <w:bookmarkEnd w:id="328"/>
      <w:bookmarkStart w:id="329" w:name="_Toc184313260"/>
      <w:bookmarkEnd w:id="329"/>
      <w:bookmarkStart w:id="330" w:name="_Toc184314439"/>
      <w:bookmarkEnd w:id="330"/>
      <w:bookmarkStart w:id="331" w:name="_Toc184310290"/>
      <w:bookmarkEnd w:id="331"/>
      <w:bookmarkStart w:id="332" w:name="_Toc184313295"/>
      <w:bookmarkEnd w:id="332"/>
      <w:bookmarkStart w:id="333" w:name="_Toc184314477"/>
      <w:bookmarkEnd w:id="333"/>
      <w:bookmarkStart w:id="334" w:name="_Toc184312115"/>
      <w:bookmarkEnd w:id="334"/>
      <w:bookmarkStart w:id="335" w:name="_Toc184310299"/>
      <w:bookmarkEnd w:id="335"/>
      <w:bookmarkStart w:id="336" w:name="_Toc184314424"/>
      <w:bookmarkEnd w:id="336"/>
      <w:bookmarkStart w:id="337" w:name="_Toc184310314"/>
      <w:bookmarkEnd w:id="337"/>
      <w:bookmarkStart w:id="338" w:name="_Toc184313238"/>
      <w:bookmarkEnd w:id="338"/>
      <w:bookmarkStart w:id="339" w:name="_Toc184313239"/>
      <w:bookmarkEnd w:id="339"/>
      <w:bookmarkStart w:id="340" w:name="_Toc184308087"/>
      <w:bookmarkEnd w:id="340"/>
      <w:bookmarkStart w:id="341" w:name="_Toc184310286"/>
      <w:bookmarkEnd w:id="341"/>
      <w:bookmarkStart w:id="342" w:name="_Toc184313264"/>
      <w:bookmarkEnd w:id="342"/>
      <w:bookmarkStart w:id="343" w:name="_Toc184312067"/>
      <w:bookmarkEnd w:id="343"/>
      <w:bookmarkStart w:id="344" w:name="_Toc184312097"/>
      <w:bookmarkEnd w:id="344"/>
      <w:bookmarkStart w:id="345" w:name="_Toc184313246"/>
      <w:bookmarkEnd w:id="345"/>
      <w:bookmarkStart w:id="346" w:name="_Toc184308102"/>
      <w:bookmarkEnd w:id="346"/>
      <w:bookmarkStart w:id="347" w:name="_Toc184310328"/>
      <w:bookmarkEnd w:id="347"/>
      <w:bookmarkStart w:id="348" w:name="_Toc184308073"/>
      <w:bookmarkEnd w:id="348"/>
      <w:bookmarkStart w:id="349" w:name="_Toc184313252"/>
      <w:bookmarkEnd w:id="349"/>
      <w:bookmarkStart w:id="350" w:name="_Toc184312073"/>
      <w:bookmarkEnd w:id="350"/>
      <w:bookmarkStart w:id="351" w:name="_Toc184312105"/>
      <w:bookmarkEnd w:id="351"/>
      <w:bookmarkStart w:id="352" w:name="_Toc184310280"/>
      <w:bookmarkEnd w:id="352"/>
      <w:bookmarkStart w:id="353" w:name="_Toc184314465"/>
      <w:bookmarkEnd w:id="353"/>
      <w:bookmarkStart w:id="354" w:name="_Toc184314418"/>
      <w:bookmarkEnd w:id="354"/>
      <w:bookmarkStart w:id="355" w:name="_Toc184314431"/>
      <w:bookmarkEnd w:id="355"/>
      <w:bookmarkStart w:id="356" w:name="_Toc184314422"/>
      <w:bookmarkEnd w:id="356"/>
      <w:bookmarkStart w:id="357" w:name="_Toc184310306"/>
      <w:bookmarkEnd w:id="357"/>
      <w:bookmarkStart w:id="358" w:name="_Toc184308067"/>
      <w:bookmarkEnd w:id="358"/>
      <w:bookmarkStart w:id="359" w:name="_Toc184310292"/>
      <w:bookmarkEnd w:id="359"/>
      <w:bookmarkStart w:id="360" w:name="_Toc184314425"/>
      <w:bookmarkEnd w:id="360"/>
      <w:bookmarkStart w:id="361" w:name="_Toc184312108"/>
      <w:bookmarkEnd w:id="361"/>
      <w:bookmarkStart w:id="362" w:name="_Toc184314446"/>
      <w:bookmarkEnd w:id="362"/>
      <w:bookmarkStart w:id="363" w:name="_Toc184313271"/>
      <w:bookmarkEnd w:id="363"/>
      <w:bookmarkStart w:id="364" w:name="_Toc184312109"/>
      <w:bookmarkEnd w:id="364"/>
      <w:bookmarkStart w:id="365" w:name="_Toc184308101"/>
      <w:bookmarkEnd w:id="365"/>
      <w:bookmarkStart w:id="366" w:name="_Toc184313278"/>
      <w:bookmarkEnd w:id="366"/>
      <w:bookmarkStart w:id="367" w:name="_Toc184308093"/>
      <w:bookmarkEnd w:id="367"/>
      <w:bookmarkStart w:id="368" w:name="_Toc184308088"/>
      <w:bookmarkEnd w:id="368"/>
      <w:bookmarkStart w:id="369" w:name="_Toc184314474"/>
      <w:bookmarkEnd w:id="369"/>
      <w:bookmarkStart w:id="370" w:name="_Toc184312134"/>
      <w:bookmarkEnd w:id="370"/>
      <w:bookmarkStart w:id="371" w:name="_Toc184310333"/>
      <w:bookmarkEnd w:id="371"/>
      <w:bookmarkStart w:id="372" w:name="_Toc184312114"/>
      <w:bookmarkEnd w:id="372"/>
      <w:bookmarkStart w:id="373" w:name="_Toc184314455"/>
      <w:bookmarkEnd w:id="373"/>
      <w:bookmarkStart w:id="374" w:name="_Toc184308078"/>
      <w:bookmarkEnd w:id="374"/>
      <w:bookmarkStart w:id="375" w:name="_Toc184314442"/>
      <w:bookmarkEnd w:id="375"/>
      <w:bookmarkStart w:id="376" w:name="_Toc184313267"/>
      <w:bookmarkEnd w:id="376"/>
      <w:bookmarkStart w:id="377" w:name="_Toc184312129"/>
      <w:bookmarkEnd w:id="377"/>
      <w:bookmarkStart w:id="378" w:name="_Toc184308069"/>
      <w:bookmarkEnd w:id="378"/>
      <w:bookmarkStart w:id="379" w:name="_Toc184313256"/>
      <w:bookmarkEnd w:id="379"/>
      <w:bookmarkStart w:id="380" w:name="_Toc184312132"/>
      <w:bookmarkEnd w:id="380"/>
      <w:bookmarkStart w:id="381" w:name="_Toc184310302"/>
      <w:bookmarkEnd w:id="381"/>
      <w:bookmarkStart w:id="382" w:name="_Toc184310340"/>
      <w:bookmarkEnd w:id="382"/>
      <w:bookmarkStart w:id="383" w:name="_Toc184313275"/>
      <w:bookmarkEnd w:id="383"/>
      <w:bookmarkStart w:id="384" w:name="_Toc184312121"/>
      <w:bookmarkEnd w:id="384"/>
      <w:bookmarkStart w:id="385" w:name="_Toc184314428"/>
      <w:bookmarkEnd w:id="385"/>
      <w:bookmarkStart w:id="386" w:name="_Toc184312074"/>
      <w:bookmarkEnd w:id="386"/>
      <w:bookmarkStart w:id="387" w:name="_Toc184310284"/>
      <w:bookmarkEnd w:id="387"/>
      <w:bookmarkStart w:id="388" w:name="_Toc184314434"/>
      <w:bookmarkEnd w:id="388"/>
      <w:bookmarkStart w:id="389" w:name="_Toc184312070"/>
      <w:bookmarkEnd w:id="389"/>
      <w:bookmarkStart w:id="390" w:name="_Toc184308064"/>
      <w:bookmarkEnd w:id="390"/>
      <w:bookmarkStart w:id="391" w:name="_Toc184312119"/>
      <w:bookmarkEnd w:id="391"/>
      <w:bookmarkStart w:id="392" w:name="_Toc184308107"/>
      <w:bookmarkEnd w:id="392"/>
      <w:bookmarkStart w:id="393" w:name="_Toc184312086"/>
      <w:bookmarkEnd w:id="393"/>
      <w:bookmarkStart w:id="394" w:name="_Toc184310320"/>
      <w:bookmarkEnd w:id="394"/>
      <w:bookmarkStart w:id="395" w:name="_Toc184313307"/>
      <w:bookmarkEnd w:id="395"/>
      <w:bookmarkStart w:id="396" w:name="_Toc184308053"/>
      <w:bookmarkEnd w:id="396"/>
      <w:bookmarkStart w:id="397" w:name="_Toc184314426"/>
      <w:bookmarkEnd w:id="397"/>
      <w:bookmarkStart w:id="398" w:name="_Toc184314470"/>
      <w:bookmarkEnd w:id="398"/>
      <w:bookmarkStart w:id="399" w:name="_Toc184313258"/>
      <w:bookmarkEnd w:id="399"/>
      <w:bookmarkStart w:id="400" w:name="_Toc184310331"/>
      <w:bookmarkEnd w:id="400"/>
      <w:bookmarkStart w:id="401" w:name="_Toc184308047"/>
      <w:bookmarkEnd w:id="401"/>
      <w:bookmarkStart w:id="402" w:name="_Toc184313269"/>
      <w:bookmarkEnd w:id="402"/>
      <w:bookmarkStart w:id="403" w:name="_Toc184308040"/>
      <w:bookmarkEnd w:id="403"/>
      <w:bookmarkStart w:id="404" w:name="_Toc184308041"/>
      <w:bookmarkEnd w:id="404"/>
      <w:bookmarkStart w:id="405" w:name="_Toc184313306"/>
      <w:bookmarkEnd w:id="405"/>
      <w:bookmarkStart w:id="406" w:name="_Toc184313285"/>
      <w:bookmarkEnd w:id="406"/>
      <w:bookmarkStart w:id="407" w:name="_Toc184314438"/>
      <w:bookmarkEnd w:id="407"/>
      <w:bookmarkStart w:id="408" w:name="_Toc184308046"/>
      <w:bookmarkEnd w:id="408"/>
      <w:bookmarkStart w:id="409" w:name="_Toc184313249"/>
      <w:bookmarkEnd w:id="409"/>
      <w:bookmarkStart w:id="410" w:name="_Toc184310295"/>
      <w:bookmarkEnd w:id="410"/>
      <w:bookmarkStart w:id="411" w:name="_Toc184314453"/>
      <w:bookmarkEnd w:id="411"/>
      <w:bookmarkStart w:id="412" w:name="_Toc184308085"/>
      <w:bookmarkEnd w:id="412"/>
      <w:bookmarkStart w:id="413" w:name="_Toc184313248"/>
      <w:bookmarkEnd w:id="413"/>
      <w:bookmarkStart w:id="414" w:name="_Toc184312087"/>
      <w:bookmarkEnd w:id="414"/>
      <w:bookmarkStart w:id="415" w:name="_Toc184313279"/>
      <w:bookmarkEnd w:id="415"/>
      <w:bookmarkStart w:id="416" w:name="_Toc184308076"/>
      <w:bookmarkEnd w:id="416"/>
      <w:bookmarkStart w:id="417" w:name="_Toc184308108"/>
      <w:bookmarkEnd w:id="417"/>
      <w:bookmarkStart w:id="418" w:name="_Toc184308048"/>
      <w:bookmarkEnd w:id="418"/>
      <w:bookmarkStart w:id="419" w:name="_Toc184312071"/>
      <w:bookmarkEnd w:id="419"/>
      <w:bookmarkStart w:id="420" w:name="_Toc184310289"/>
      <w:bookmarkEnd w:id="420"/>
      <w:bookmarkStart w:id="421" w:name="_Toc184310337"/>
      <w:bookmarkEnd w:id="421"/>
      <w:bookmarkStart w:id="422" w:name="_Toc184313255"/>
      <w:bookmarkEnd w:id="422"/>
      <w:bookmarkStart w:id="423" w:name="_Toc184308072"/>
      <w:bookmarkEnd w:id="423"/>
      <w:bookmarkStart w:id="424" w:name="_Toc184312137"/>
      <w:bookmarkEnd w:id="424"/>
      <w:bookmarkStart w:id="425" w:name="_Toc184312126"/>
      <w:bookmarkEnd w:id="425"/>
      <w:bookmarkStart w:id="426" w:name="_Toc184314436"/>
      <w:bookmarkEnd w:id="426"/>
      <w:r>
        <w:rPr>
          <w:rFonts w:hint="eastAsia" w:ascii="仿宋" w:hAnsi="仿宋" w:eastAsia="仿宋" w:cs="仿宋_GB2312"/>
          <w:b/>
          <w:color w:val="auto"/>
          <w:sz w:val="36"/>
          <w:szCs w:val="36"/>
          <w:highlight w:val="none"/>
        </w:rPr>
        <w:t>评标方法及评分标准</w:t>
      </w:r>
    </w:p>
    <w:p>
      <w:pPr>
        <w:snapToGrid w:val="0"/>
        <w:spacing w:line="360" w:lineRule="auto"/>
        <w:jc w:val="center"/>
        <w:rPr>
          <w:rFonts w:hint="eastAsia" w:ascii="仿宋" w:hAnsi="仿宋" w:eastAsia="仿宋"/>
          <w:b/>
          <w:color w:val="auto"/>
          <w:sz w:val="28"/>
          <w:szCs w:val="28"/>
          <w:highlight w:val="none"/>
        </w:rPr>
      </w:pPr>
      <w:r>
        <w:rPr>
          <w:rFonts w:hint="eastAsia" w:ascii="仿宋" w:hAnsi="仿宋" w:eastAsia="仿宋" w:cs="仿宋_GB2312"/>
          <w:b/>
          <w:color w:val="auto"/>
          <w:sz w:val="32"/>
          <w:highlight w:val="none"/>
        </w:rPr>
        <w:t>一、评标方法</w:t>
      </w:r>
    </w:p>
    <w:p>
      <w:pPr>
        <w:adjustRightInd/>
        <w:spacing w:line="360" w:lineRule="auto"/>
        <w:ind w:firstLine="482" w:firstLineChars="200"/>
        <w:rPr>
          <w:rFonts w:hint="eastAsia" w:ascii="仿宋" w:hAnsi="仿宋" w:eastAsia="仿宋" w:cs="Arial"/>
          <w:color w:val="auto"/>
          <w:kern w:val="0"/>
          <w:sz w:val="24"/>
          <w:highlight w:val="none"/>
        </w:rPr>
      </w:pPr>
      <w:r>
        <w:rPr>
          <w:rFonts w:hint="eastAsia" w:ascii="仿宋" w:hAnsi="仿宋" w:eastAsia="仿宋" w:cs="Arial"/>
          <w:b/>
          <w:color w:val="auto"/>
          <w:kern w:val="0"/>
          <w:sz w:val="24"/>
          <w:highlight w:val="none"/>
        </w:rPr>
        <w:t>1.综合评分法。</w:t>
      </w:r>
      <w:r>
        <w:rPr>
          <w:rFonts w:hint="eastAsia" w:ascii="仿宋" w:hAnsi="仿宋" w:eastAsia="仿宋" w:cs="Arial"/>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hint="eastAsia" w:ascii="仿宋" w:hAnsi="仿宋" w:eastAsia="仿宋" w:cs="Arial"/>
          <w:color w:val="auto"/>
          <w:kern w:val="0"/>
          <w:sz w:val="24"/>
          <w:highlight w:val="none"/>
        </w:rPr>
      </w:pPr>
    </w:p>
    <w:p>
      <w:pPr>
        <w:snapToGrid w:val="0"/>
        <w:spacing w:line="360" w:lineRule="auto"/>
        <w:jc w:val="center"/>
        <w:rPr>
          <w:rFonts w:hint="eastAsia" w:ascii="仿宋" w:hAnsi="仿宋" w:eastAsia="仿宋" w:cs="仿宋_GB2312"/>
          <w:b/>
          <w:color w:val="auto"/>
          <w:sz w:val="32"/>
          <w:highlight w:val="none"/>
        </w:rPr>
      </w:pPr>
      <w:r>
        <w:rPr>
          <w:rFonts w:hint="eastAsia" w:ascii="仿宋" w:hAnsi="仿宋" w:eastAsia="仿宋" w:cs="仿宋_GB2312"/>
          <w:b/>
          <w:color w:val="auto"/>
          <w:sz w:val="32"/>
          <w:highlight w:val="none"/>
        </w:rPr>
        <w:t>二、评标委员会的组成</w:t>
      </w:r>
    </w:p>
    <w:p>
      <w:pPr>
        <w:snapToGrid w:val="0"/>
        <w:spacing w:line="360" w:lineRule="auto"/>
        <w:ind w:firstLine="482" w:firstLineChars="200"/>
        <w:rPr>
          <w:rFonts w:hint="eastAsia" w:ascii="仿宋" w:hAnsi="仿宋" w:eastAsia="仿宋" w:cs="Arial"/>
          <w:color w:val="auto"/>
          <w:kern w:val="0"/>
          <w:sz w:val="24"/>
          <w:highlight w:val="none"/>
        </w:rPr>
      </w:pPr>
      <w:r>
        <w:rPr>
          <w:rFonts w:hint="eastAsia" w:ascii="仿宋" w:hAnsi="仿宋" w:eastAsia="仿宋" w:cs="Arial"/>
          <w:b/>
          <w:color w:val="auto"/>
          <w:kern w:val="0"/>
          <w:sz w:val="24"/>
          <w:highlight w:val="none"/>
        </w:rPr>
        <w:t>2.评标委员会的组成。</w:t>
      </w:r>
      <w:r>
        <w:rPr>
          <w:rFonts w:ascii="仿宋" w:hAnsi="仿宋" w:eastAsia="仿宋" w:cs="Arial"/>
          <w:color w:val="auto"/>
          <w:kern w:val="0"/>
          <w:sz w:val="24"/>
          <w:highlight w:val="none"/>
        </w:rPr>
        <w:t>评标委员会由采购人代表和评审专家组成，成员人数为5人以上单数，其中评审专家不少于成员总数的三分之二。</w:t>
      </w:r>
    </w:p>
    <w:p>
      <w:pPr>
        <w:pStyle w:val="221"/>
        <w:spacing w:before="0"/>
        <w:ind w:firstLine="482"/>
        <w:rPr>
          <w:rFonts w:hint="eastAsia" w:ascii="仿宋" w:hAnsi="仿宋" w:eastAsia="仿宋" w:cs="Arial"/>
          <w:color w:val="auto"/>
          <w:kern w:val="0"/>
          <w:highlight w:val="none"/>
        </w:rPr>
      </w:pPr>
      <w:r>
        <w:rPr>
          <w:rFonts w:hint="eastAsia" w:ascii="仿宋" w:hAnsi="仿宋" w:eastAsia="仿宋" w:cs="Arial"/>
          <w:b/>
          <w:color w:val="auto"/>
          <w:kern w:val="0"/>
          <w:highlight w:val="none"/>
        </w:rPr>
        <w:t>3.评</w:t>
      </w:r>
      <w:r>
        <w:rPr>
          <w:rFonts w:hint="eastAsia" w:ascii="仿宋" w:hAnsi="仿宋" w:eastAsia="仿宋" w:cs="Arial"/>
          <w:b/>
          <w:color w:val="auto"/>
          <w:kern w:val="0"/>
          <w:szCs w:val="24"/>
          <w:highlight w:val="none"/>
        </w:rPr>
        <w:t>标委员会的组成人员的回避。</w:t>
      </w:r>
      <w:r>
        <w:rPr>
          <w:rFonts w:hint="eastAsia" w:ascii="仿宋" w:hAnsi="仿宋" w:eastAsia="仿宋" w:cs="Arial"/>
          <w:color w:val="auto"/>
          <w:kern w:val="0"/>
          <w:highlight w:val="none"/>
        </w:rPr>
        <w:t>在政府采购活动中，评标委员会的组成人员与供应商有下列利害关系之一的，应当回避：</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3.1参加采购活动前3年内与供应商存在劳动关系；</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3.2参加采购活动前3年内担任供应商的董事、监事；</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3.3参加采购活动前3年内是供应商的控股股东或者实际控制人；</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3.4与供应商的法定代表人或者负责人有夫妻、直系血亲、三代以内旁系血亲或者近姻亲关系；</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3.5与供应商有其他可能影响政府采购活动公平、公正进行的关系。</w:t>
      </w:r>
    </w:p>
    <w:p>
      <w:pPr>
        <w:snapToGrid w:val="0"/>
        <w:spacing w:line="360" w:lineRule="auto"/>
        <w:ind w:left="120" w:leftChars="57" w:firstLine="482" w:firstLineChars="150"/>
        <w:jc w:val="center"/>
        <w:rPr>
          <w:rFonts w:hint="eastAsia" w:ascii="仿宋" w:hAnsi="仿宋" w:eastAsia="仿宋"/>
          <w:b/>
          <w:color w:val="auto"/>
          <w:sz w:val="32"/>
          <w:szCs w:val="32"/>
          <w:highlight w:val="none"/>
        </w:rPr>
      </w:pPr>
    </w:p>
    <w:p>
      <w:pPr>
        <w:snapToGrid w:val="0"/>
        <w:spacing w:line="360" w:lineRule="auto"/>
        <w:ind w:left="120" w:leftChars="57" w:firstLine="482" w:firstLineChars="150"/>
        <w:jc w:val="center"/>
        <w:rPr>
          <w:rFonts w:hint="eastAsia" w:ascii="仿宋" w:hAnsi="仿宋" w:eastAsia="仿宋"/>
          <w:b/>
          <w:color w:val="auto"/>
          <w:sz w:val="32"/>
          <w:szCs w:val="32"/>
          <w:highlight w:val="none"/>
        </w:rPr>
      </w:pPr>
      <w:r>
        <w:rPr>
          <w:rFonts w:ascii="仿宋" w:hAnsi="仿宋" w:eastAsia="仿宋"/>
          <w:b/>
          <w:color w:val="auto"/>
          <w:sz w:val="32"/>
          <w:szCs w:val="32"/>
          <w:highlight w:val="none"/>
        </w:rPr>
        <w:t>　</w:t>
      </w:r>
      <w:r>
        <w:rPr>
          <w:rFonts w:ascii="仿宋" w:hAnsi="仿宋" w:eastAsia="仿宋" w:cs="仿宋_GB2312"/>
          <w:b/>
          <w:color w:val="auto"/>
          <w:sz w:val="32"/>
          <w:highlight w:val="none"/>
        </w:rPr>
        <w:t>　</w:t>
      </w:r>
      <w:r>
        <w:rPr>
          <w:rFonts w:hint="eastAsia" w:ascii="仿宋" w:hAnsi="仿宋" w:eastAsia="仿宋" w:cs="仿宋_GB2312"/>
          <w:b/>
          <w:color w:val="auto"/>
          <w:sz w:val="32"/>
          <w:highlight w:val="none"/>
        </w:rPr>
        <w:t>三、评标委员会的职责</w:t>
      </w:r>
    </w:p>
    <w:p>
      <w:pPr>
        <w:pStyle w:val="221"/>
        <w:spacing w:before="0"/>
        <w:ind w:firstLine="482"/>
        <w:rPr>
          <w:rFonts w:hint="eastAsia" w:ascii="仿宋" w:hAnsi="仿宋" w:eastAsia="仿宋" w:cs="Arial"/>
          <w:b/>
          <w:color w:val="auto"/>
          <w:kern w:val="0"/>
          <w:szCs w:val="24"/>
          <w:highlight w:val="none"/>
        </w:rPr>
      </w:pPr>
      <w:r>
        <w:rPr>
          <w:rFonts w:hint="eastAsia" w:ascii="仿宋" w:hAnsi="仿宋" w:eastAsia="仿宋" w:cs="Arial"/>
          <w:b/>
          <w:color w:val="auto"/>
          <w:kern w:val="0"/>
          <w:szCs w:val="24"/>
          <w:highlight w:val="none"/>
        </w:rPr>
        <w:t>4.</w:t>
      </w:r>
      <w:r>
        <w:rPr>
          <w:rFonts w:ascii="仿宋" w:hAnsi="仿宋" w:eastAsia="仿宋" w:cs="Arial"/>
          <w:b/>
          <w:color w:val="auto"/>
          <w:kern w:val="0"/>
          <w:szCs w:val="24"/>
          <w:highlight w:val="none"/>
        </w:rPr>
        <w:t>评标委员会负责具体评标事务，并独立履行下列职责：</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4.1</w:t>
      </w:r>
      <w:r>
        <w:rPr>
          <w:rFonts w:ascii="仿宋" w:hAnsi="仿宋" w:eastAsia="仿宋" w:cs="Arial"/>
          <w:color w:val="auto"/>
          <w:kern w:val="0"/>
          <w:highlight w:val="none"/>
        </w:rPr>
        <w:t>审查、评价投标文件是否符合招标文件的商务、技术等实质性要求；</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4.2</w:t>
      </w:r>
      <w:r>
        <w:rPr>
          <w:rFonts w:ascii="仿宋" w:hAnsi="仿宋" w:eastAsia="仿宋" w:cs="Arial"/>
          <w:color w:val="auto"/>
          <w:kern w:val="0"/>
          <w:highlight w:val="none"/>
        </w:rPr>
        <w:t>要求投标人对投标文件有关事项作出澄清或者说明；</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4.3</w:t>
      </w:r>
      <w:r>
        <w:rPr>
          <w:rFonts w:ascii="仿宋" w:hAnsi="仿宋" w:eastAsia="仿宋" w:cs="Arial"/>
          <w:color w:val="auto"/>
          <w:kern w:val="0"/>
          <w:highlight w:val="none"/>
        </w:rPr>
        <w:t>对投标文件进行比较和评价；</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4.4</w:t>
      </w:r>
      <w:r>
        <w:rPr>
          <w:rFonts w:ascii="仿宋" w:hAnsi="仿宋" w:eastAsia="仿宋" w:cs="Arial"/>
          <w:color w:val="auto"/>
          <w:kern w:val="0"/>
          <w:highlight w:val="none"/>
        </w:rPr>
        <w:t>确定中标候选人名单，以及根据采购人委托直接确定中标人；</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4.5</w:t>
      </w:r>
      <w:r>
        <w:rPr>
          <w:rFonts w:ascii="仿宋" w:hAnsi="仿宋" w:eastAsia="仿宋" w:cs="Arial"/>
          <w:color w:val="auto"/>
          <w:kern w:val="0"/>
          <w:highlight w:val="none"/>
        </w:rPr>
        <w:t>向采购人、采购代理机构或者有关部门报告评标中发现的违法行为</w:t>
      </w:r>
      <w:r>
        <w:rPr>
          <w:rFonts w:hint="eastAsia" w:ascii="仿宋" w:hAnsi="仿宋" w:eastAsia="仿宋" w:cs="Arial"/>
          <w:color w:val="auto"/>
          <w:kern w:val="0"/>
          <w:highlight w:val="none"/>
        </w:rPr>
        <w:t>；</w:t>
      </w:r>
    </w:p>
    <w:p>
      <w:pPr>
        <w:pStyle w:val="221"/>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4.6法律、法规、规章、招标文件等规定的其它事项。</w:t>
      </w:r>
    </w:p>
    <w:p>
      <w:pPr>
        <w:pStyle w:val="221"/>
        <w:spacing w:before="0"/>
        <w:ind w:firstLine="482"/>
        <w:jc w:val="left"/>
        <w:rPr>
          <w:rFonts w:ascii="仿宋" w:hAnsi="仿宋" w:eastAsia="仿宋" w:cs="Arial"/>
          <w:b/>
          <w:color w:val="auto"/>
          <w:kern w:val="0"/>
          <w:szCs w:val="24"/>
          <w:highlight w:val="none"/>
        </w:rPr>
      </w:pPr>
      <w:r>
        <w:rPr>
          <w:rFonts w:hint="eastAsia" w:ascii="仿宋" w:hAnsi="仿宋" w:eastAsia="仿宋" w:cs="Arial"/>
          <w:b/>
          <w:color w:val="auto"/>
          <w:kern w:val="0"/>
          <w:szCs w:val="24"/>
          <w:highlight w:val="none"/>
        </w:rPr>
        <w:t>5.</w:t>
      </w:r>
      <w:r>
        <w:rPr>
          <w:rFonts w:ascii="仿宋" w:hAnsi="仿宋" w:eastAsia="仿宋" w:cs="Arial"/>
          <w:b/>
          <w:color w:val="auto"/>
          <w:kern w:val="0"/>
          <w:szCs w:val="24"/>
          <w:highlight w:val="none"/>
        </w:rPr>
        <w:t>评标委员会及其成员不得有下列行为：</w:t>
      </w:r>
    </w:p>
    <w:p>
      <w:pPr>
        <w:pStyle w:val="221"/>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5.1</w:t>
      </w:r>
      <w:r>
        <w:rPr>
          <w:rFonts w:ascii="仿宋" w:hAnsi="仿宋" w:eastAsia="仿宋" w:cs="Arial"/>
          <w:color w:val="auto"/>
          <w:kern w:val="0"/>
          <w:highlight w:val="none"/>
        </w:rPr>
        <w:t>确定参与评标至评标结束前私自接触投标人；</w:t>
      </w:r>
    </w:p>
    <w:p>
      <w:pPr>
        <w:pStyle w:val="221"/>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5.2</w:t>
      </w:r>
      <w:r>
        <w:rPr>
          <w:rFonts w:ascii="仿宋" w:hAnsi="仿宋" w:eastAsia="仿宋" w:cs="Arial"/>
          <w:color w:val="auto"/>
          <w:kern w:val="0"/>
          <w:highlight w:val="none"/>
        </w:rPr>
        <w:t>接受投标人提出的与投标文件不一致的澄清或者说明（</w:t>
      </w:r>
      <w:r>
        <w:rPr>
          <w:rFonts w:hint="eastAsia" w:ascii="仿宋" w:hAnsi="仿宋" w:eastAsia="仿宋" w:cs="Arial"/>
          <w:color w:val="auto"/>
          <w:kern w:val="0"/>
          <w:highlight w:val="none"/>
        </w:rPr>
        <w:t>财政部87号《政府采购货物和服务招投标管理办法》</w:t>
      </w:r>
      <w:r>
        <w:rPr>
          <w:rFonts w:ascii="仿宋" w:hAnsi="仿宋" w:eastAsia="仿宋" w:cs="Arial"/>
          <w:color w:val="auto"/>
          <w:kern w:val="0"/>
          <w:highlight w:val="none"/>
        </w:rPr>
        <w:t>第五十一条规定的情形除外）；</w:t>
      </w:r>
    </w:p>
    <w:p>
      <w:pPr>
        <w:pStyle w:val="221"/>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5.3</w:t>
      </w:r>
      <w:r>
        <w:rPr>
          <w:rFonts w:ascii="仿宋" w:hAnsi="仿宋" w:eastAsia="仿宋" w:cs="Arial"/>
          <w:color w:val="auto"/>
          <w:kern w:val="0"/>
          <w:highlight w:val="none"/>
        </w:rPr>
        <w:t>违反评标纪律发表倾向性意见或者征询采购人的倾向性意见；</w:t>
      </w:r>
    </w:p>
    <w:p>
      <w:pPr>
        <w:pStyle w:val="221"/>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5.4</w:t>
      </w:r>
      <w:r>
        <w:rPr>
          <w:rFonts w:ascii="仿宋" w:hAnsi="仿宋" w:eastAsia="仿宋" w:cs="Arial"/>
          <w:color w:val="auto"/>
          <w:kern w:val="0"/>
          <w:highlight w:val="none"/>
        </w:rPr>
        <w:t>对需要专业判断的主观评审因素协商评分；</w:t>
      </w:r>
    </w:p>
    <w:p>
      <w:pPr>
        <w:pStyle w:val="221"/>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5.5</w:t>
      </w:r>
      <w:r>
        <w:rPr>
          <w:rFonts w:ascii="仿宋" w:hAnsi="仿宋" w:eastAsia="仿宋" w:cs="Arial"/>
          <w:color w:val="auto"/>
          <w:kern w:val="0"/>
          <w:highlight w:val="none"/>
        </w:rPr>
        <w:t>在评标过程中擅离职守，影响评标程序正常进行的；</w:t>
      </w:r>
    </w:p>
    <w:p>
      <w:pPr>
        <w:pStyle w:val="221"/>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5.6</w:t>
      </w:r>
      <w:r>
        <w:rPr>
          <w:rFonts w:ascii="仿宋" w:hAnsi="仿宋" w:eastAsia="仿宋" w:cs="Arial"/>
          <w:color w:val="auto"/>
          <w:kern w:val="0"/>
          <w:highlight w:val="none"/>
        </w:rPr>
        <w:t>记录、复制或者带走任何评标资料；</w:t>
      </w:r>
    </w:p>
    <w:p>
      <w:pPr>
        <w:pStyle w:val="221"/>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5.7</w:t>
      </w:r>
      <w:r>
        <w:rPr>
          <w:rFonts w:ascii="仿宋" w:hAnsi="仿宋" w:eastAsia="仿宋" w:cs="Arial"/>
          <w:color w:val="auto"/>
          <w:kern w:val="0"/>
          <w:highlight w:val="none"/>
        </w:rPr>
        <w:t>其他不遵守评标纪律的行为。</w:t>
      </w:r>
    </w:p>
    <w:p>
      <w:pPr>
        <w:pStyle w:val="221"/>
        <w:spacing w:before="0"/>
        <w:ind w:firstLine="0" w:firstLineChars="0"/>
        <w:jc w:val="left"/>
        <w:rPr>
          <w:rFonts w:ascii="仿宋" w:hAnsi="仿宋" w:eastAsia="仿宋" w:cs="Arial"/>
          <w:color w:val="auto"/>
          <w:kern w:val="0"/>
          <w:highlight w:val="none"/>
        </w:rPr>
      </w:pPr>
      <w:r>
        <w:rPr>
          <w:rFonts w:ascii="仿宋" w:hAnsi="仿宋" w:eastAsia="仿宋" w:cs="Arial"/>
          <w:color w:val="auto"/>
          <w:kern w:val="0"/>
          <w:highlight w:val="none"/>
        </w:rPr>
        <w:t>　　评标委员会成员有</w:t>
      </w:r>
      <w:r>
        <w:rPr>
          <w:rFonts w:hint="eastAsia" w:ascii="仿宋" w:hAnsi="仿宋" w:eastAsia="仿宋" w:cs="Arial"/>
          <w:color w:val="auto"/>
          <w:kern w:val="0"/>
          <w:highlight w:val="none"/>
        </w:rPr>
        <w:t>5.1-5.7</w:t>
      </w:r>
      <w:r>
        <w:rPr>
          <w:rFonts w:ascii="仿宋" w:hAnsi="仿宋" w:eastAsia="仿宋" w:cs="Arial"/>
          <w:color w:val="auto"/>
          <w:kern w:val="0"/>
          <w:highlight w:val="none"/>
        </w:rPr>
        <w:t>行为之一的，其评审意见无效，并不得获取评审劳务报酬和报销异地评审差旅费。</w:t>
      </w:r>
    </w:p>
    <w:p>
      <w:pPr>
        <w:pStyle w:val="221"/>
        <w:spacing w:before="0"/>
        <w:ind w:firstLine="0" w:firstLineChars="0"/>
        <w:rPr>
          <w:rFonts w:hint="eastAsia" w:ascii="仿宋" w:hAnsi="仿宋" w:eastAsia="仿宋" w:cs="Arial"/>
          <w:color w:val="auto"/>
          <w:kern w:val="0"/>
          <w:highlight w:val="none"/>
        </w:rPr>
      </w:pPr>
    </w:p>
    <w:p>
      <w:pPr>
        <w:snapToGrid w:val="0"/>
        <w:spacing w:line="360" w:lineRule="auto"/>
        <w:ind w:left="120" w:leftChars="57" w:firstLine="482" w:firstLineChars="150"/>
        <w:jc w:val="center"/>
        <w:rPr>
          <w:rFonts w:hint="eastAsia" w:ascii="仿宋" w:hAnsi="仿宋" w:eastAsia="仿宋" w:cs="仿宋_GB2312"/>
          <w:b/>
          <w:color w:val="auto"/>
          <w:sz w:val="32"/>
          <w:highlight w:val="none"/>
        </w:rPr>
      </w:pPr>
      <w:r>
        <w:rPr>
          <w:rFonts w:hint="eastAsia" w:ascii="仿宋" w:hAnsi="仿宋" w:eastAsia="仿宋" w:cs="仿宋_GB2312"/>
          <w:b/>
          <w:color w:val="auto"/>
          <w:sz w:val="32"/>
          <w:highlight w:val="none"/>
        </w:rPr>
        <w:t>四、评审程序</w:t>
      </w:r>
    </w:p>
    <w:p>
      <w:pPr>
        <w:pStyle w:val="221"/>
        <w:spacing w:before="0"/>
        <w:ind w:firstLine="482"/>
        <w:rPr>
          <w:rFonts w:hint="eastAsia" w:ascii="仿宋" w:hAnsi="仿宋" w:eastAsia="仿宋" w:cs="Arial"/>
          <w:color w:val="auto"/>
          <w:kern w:val="0"/>
          <w:szCs w:val="24"/>
          <w:highlight w:val="none"/>
        </w:rPr>
      </w:pPr>
      <w:r>
        <w:rPr>
          <w:rFonts w:hint="eastAsia" w:ascii="仿宋" w:hAnsi="仿宋" w:eastAsia="仿宋" w:cs="Arial"/>
          <w:b/>
          <w:color w:val="auto"/>
          <w:kern w:val="0"/>
          <w:szCs w:val="24"/>
          <w:highlight w:val="none"/>
        </w:rPr>
        <w:t>6.符合性审查。</w:t>
      </w:r>
      <w:r>
        <w:rPr>
          <w:rFonts w:ascii="仿宋" w:hAnsi="仿宋" w:eastAsia="仿宋" w:cs="Arial"/>
          <w:b/>
          <w:color w:val="auto"/>
          <w:kern w:val="0"/>
          <w:szCs w:val="24"/>
          <w:highlight w:val="none"/>
        </w:rPr>
        <w:t xml:space="preserve"> </w:t>
      </w:r>
      <w:r>
        <w:rPr>
          <w:rFonts w:ascii="仿宋" w:hAnsi="仿宋" w:eastAsia="仿宋" w:cs="Arial"/>
          <w:color w:val="auto"/>
          <w:kern w:val="0"/>
          <w:szCs w:val="24"/>
          <w:highlight w:val="none"/>
        </w:rPr>
        <w:t>评标委员会应当对符合资格的投标人的投标文件进行符合性审查，以确定其是否满足招标文件的实质性要求</w:t>
      </w:r>
      <w:r>
        <w:rPr>
          <w:rFonts w:hint="eastAsia" w:ascii="仿宋" w:hAnsi="仿宋" w:eastAsia="仿宋" w:cs="Arial"/>
          <w:color w:val="auto"/>
          <w:kern w:val="0"/>
          <w:szCs w:val="24"/>
          <w:highlight w:val="none"/>
        </w:rPr>
        <w:t>。符合投标无效情形的，投标无效</w:t>
      </w:r>
      <w:r>
        <w:rPr>
          <w:rFonts w:ascii="仿宋" w:hAnsi="仿宋" w:eastAsia="仿宋" w:cs="Arial"/>
          <w:color w:val="auto"/>
          <w:kern w:val="0"/>
          <w:szCs w:val="24"/>
          <w:highlight w:val="none"/>
        </w:rPr>
        <w:t>。</w:t>
      </w:r>
    </w:p>
    <w:p>
      <w:pPr>
        <w:pStyle w:val="221"/>
        <w:spacing w:before="0"/>
        <w:ind w:firstLine="482"/>
        <w:rPr>
          <w:rFonts w:hint="eastAsia" w:ascii="仿宋" w:hAnsi="仿宋" w:eastAsia="仿宋" w:cs="Arial"/>
          <w:color w:val="auto"/>
          <w:kern w:val="0"/>
          <w:szCs w:val="24"/>
          <w:highlight w:val="none"/>
        </w:rPr>
      </w:pPr>
      <w:r>
        <w:rPr>
          <w:rFonts w:hint="eastAsia" w:ascii="仿宋" w:hAnsi="仿宋" w:eastAsia="仿宋" w:cs="Arial"/>
          <w:b/>
          <w:color w:val="auto"/>
          <w:kern w:val="0"/>
          <w:szCs w:val="24"/>
          <w:highlight w:val="none"/>
        </w:rPr>
        <w:t>7.投标人澄清、说明或者补正。</w:t>
      </w:r>
      <w:r>
        <w:rPr>
          <w:rFonts w:ascii="仿宋" w:hAnsi="仿宋" w:eastAsia="仿宋" w:cs="Arial"/>
          <w:color w:val="auto"/>
          <w:kern w:val="0"/>
          <w:szCs w:val="24"/>
          <w:highlight w:val="none"/>
        </w:rPr>
        <w:t>对于投标文件中含义不明确、同类问题表述不一致或者有明显文字和计算错误的内容，评标委员会</w:t>
      </w:r>
      <w:r>
        <w:rPr>
          <w:rFonts w:hint="eastAsia" w:ascii="仿宋" w:hAnsi="仿宋" w:eastAsia="仿宋" w:cs="Arial"/>
          <w:color w:val="auto"/>
          <w:kern w:val="0"/>
          <w:szCs w:val="24"/>
          <w:highlight w:val="none"/>
        </w:rPr>
        <w:t>可以书面形式要求投标人通过政采云平台以书面形式</w:t>
      </w:r>
      <w:r>
        <w:rPr>
          <w:rFonts w:ascii="仿宋" w:hAnsi="仿宋" w:eastAsia="仿宋" w:cs="Arial"/>
          <w:color w:val="auto"/>
          <w:kern w:val="0"/>
          <w:szCs w:val="24"/>
          <w:highlight w:val="none"/>
        </w:rPr>
        <w:t>作出必要的澄清、说明或者补正</w:t>
      </w:r>
      <w:r>
        <w:rPr>
          <w:rFonts w:hint="eastAsia" w:ascii="仿宋" w:hAnsi="仿宋" w:eastAsia="仿宋" w:cs="Arial"/>
          <w:color w:val="auto"/>
          <w:kern w:val="0"/>
          <w:szCs w:val="24"/>
          <w:highlight w:val="none"/>
        </w:rPr>
        <w:t>，投标人应在1小时内提交澄清说明或补正，逾期不提交的视为放弃澄清、说明或补正的权利。</w:t>
      </w:r>
      <w:r>
        <w:rPr>
          <w:rFonts w:ascii="仿宋" w:hAnsi="仿宋" w:eastAsia="仿宋" w:cs="Arial"/>
          <w:color w:val="auto"/>
          <w:kern w:val="0"/>
          <w:szCs w:val="24"/>
          <w:highlight w:val="none"/>
        </w:rPr>
        <w:t>投标人的澄清、说明或者补正不得超出投标文件的范围或者改变投标文件的实质性内容。</w:t>
      </w:r>
    </w:p>
    <w:p>
      <w:pPr>
        <w:pStyle w:val="221"/>
        <w:spacing w:before="0"/>
        <w:ind w:firstLine="482"/>
        <w:rPr>
          <w:rFonts w:ascii="仿宋" w:hAnsi="仿宋" w:eastAsia="仿宋" w:cs="Arial"/>
          <w:color w:val="auto"/>
          <w:kern w:val="0"/>
          <w:szCs w:val="24"/>
          <w:highlight w:val="none"/>
        </w:rPr>
      </w:pPr>
      <w:r>
        <w:rPr>
          <w:rFonts w:hint="eastAsia" w:ascii="仿宋" w:hAnsi="仿宋" w:eastAsia="仿宋" w:cs="Arial"/>
          <w:b/>
          <w:color w:val="auto"/>
          <w:kern w:val="0"/>
          <w:szCs w:val="24"/>
          <w:highlight w:val="none"/>
        </w:rPr>
        <w:t>8.</w:t>
      </w:r>
      <w:r>
        <w:rPr>
          <w:rFonts w:ascii="仿宋" w:hAnsi="仿宋" w:eastAsia="仿宋" w:cs="Arial"/>
          <w:b/>
          <w:color w:val="auto"/>
          <w:kern w:val="0"/>
          <w:szCs w:val="24"/>
          <w:highlight w:val="none"/>
        </w:rPr>
        <w:t xml:space="preserve"> 比较与评价</w:t>
      </w:r>
      <w:r>
        <w:rPr>
          <w:rFonts w:hint="eastAsia" w:ascii="仿宋" w:hAnsi="仿宋" w:eastAsia="仿宋" w:cs="Arial"/>
          <w:b/>
          <w:color w:val="auto"/>
          <w:kern w:val="0"/>
          <w:szCs w:val="24"/>
          <w:highlight w:val="none"/>
        </w:rPr>
        <w:t>。</w:t>
      </w:r>
      <w:r>
        <w:rPr>
          <w:rFonts w:ascii="仿宋" w:hAnsi="仿宋" w:eastAsia="仿宋" w:cs="Arial"/>
          <w:color w:val="auto"/>
          <w:kern w:val="0"/>
          <w:szCs w:val="24"/>
          <w:highlight w:val="none"/>
        </w:rPr>
        <w:t>标委员会应当按照评标标准，对符合性审查合格的投标文件进行商务和技术评估，综合比较与评价。</w:t>
      </w:r>
    </w:p>
    <w:p>
      <w:pPr>
        <w:pStyle w:val="221"/>
        <w:spacing w:before="0"/>
        <w:ind w:firstLine="482"/>
        <w:rPr>
          <w:rFonts w:hint="eastAsia" w:ascii="仿宋" w:hAnsi="仿宋" w:eastAsia="仿宋" w:cs="Arial"/>
          <w:color w:val="auto"/>
          <w:kern w:val="0"/>
          <w:szCs w:val="24"/>
          <w:highlight w:val="none"/>
        </w:rPr>
      </w:pPr>
      <w:r>
        <w:rPr>
          <w:rFonts w:hint="eastAsia" w:ascii="仿宋" w:hAnsi="仿宋" w:eastAsia="仿宋" w:cs="Arial"/>
          <w:b/>
          <w:color w:val="auto"/>
          <w:kern w:val="0"/>
          <w:szCs w:val="24"/>
          <w:highlight w:val="none"/>
        </w:rPr>
        <w:t>9.</w:t>
      </w:r>
      <w:r>
        <w:rPr>
          <w:rFonts w:ascii="仿宋" w:hAnsi="仿宋" w:eastAsia="仿宋" w:cs="Arial"/>
          <w:b/>
          <w:color w:val="auto"/>
          <w:kern w:val="0"/>
          <w:szCs w:val="24"/>
          <w:highlight w:val="none"/>
        </w:rPr>
        <w:t xml:space="preserve"> 汇总</w:t>
      </w:r>
      <w:r>
        <w:rPr>
          <w:rFonts w:hint="eastAsia" w:ascii="仿宋" w:hAnsi="仿宋" w:eastAsia="仿宋" w:cs="Arial"/>
          <w:b/>
          <w:color w:val="auto"/>
          <w:kern w:val="0"/>
          <w:szCs w:val="24"/>
          <w:highlight w:val="none"/>
        </w:rPr>
        <w:t>（商务技术得分情况）。</w:t>
      </w:r>
      <w:r>
        <w:rPr>
          <w:rFonts w:ascii="仿宋" w:hAnsi="仿宋" w:eastAsia="仿宋" w:cs="Arial"/>
          <w:color w:val="auto"/>
          <w:kern w:val="0"/>
          <w:szCs w:val="24"/>
          <w:highlight w:val="none"/>
        </w:rPr>
        <w:t>评标委员会各成员应当独立对每个投标人的</w:t>
      </w:r>
      <w:r>
        <w:rPr>
          <w:rFonts w:hint="eastAsia" w:ascii="仿宋" w:hAnsi="仿宋" w:eastAsia="仿宋" w:cs="Arial"/>
          <w:color w:val="auto"/>
          <w:kern w:val="0"/>
          <w:szCs w:val="24"/>
          <w:highlight w:val="none"/>
        </w:rPr>
        <w:t>商务和技术</w:t>
      </w:r>
      <w:r>
        <w:rPr>
          <w:rFonts w:ascii="仿宋" w:hAnsi="仿宋" w:eastAsia="仿宋" w:cs="Arial"/>
          <w:color w:val="auto"/>
          <w:kern w:val="0"/>
          <w:szCs w:val="24"/>
          <w:highlight w:val="none"/>
        </w:rPr>
        <w:t>文件进行评价，并汇总</w:t>
      </w:r>
      <w:r>
        <w:rPr>
          <w:rFonts w:hint="eastAsia" w:ascii="仿宋" w:hAnsi="仿宋" w:eastAsia="仿宋" w:cs="Arial"/>
          <w:color w:val="auto"/>
          <w:kern w:val="0"/>
          <w:szCs w:val="24"/>
          <w:highlight w:val="none"/>
        </w:rPr>
        <w:t>商务技术得分情况</w:t>
      </w:r>
      <w:r>
        <w:rPr>
          <w:rFonts w:ascii="仿宋" w:hAnsi="仿宋" w:eastAsia="仿宋" w:cs="Arial"/>
          <w:color w:val="auto"/>
          <w:kern w:val="0"/>
          <w:szCs w:val="24"/>
          <w:highlight w:val="none"/>
        </w:rPr>
        <w:t>。</w:t>
      </w:r>
    </w:p>
    <w:p>
      <w:pPr>
        <w:pStyle w:val="221"/>
        <w:spacing w:before="0"/>
        <w:ind w:firstLine="482"/>
        <w:rPr>
          <w:rFonts w:hint="eastAsia" w:ascii="仿宋" w:hAnsi="仿宋" w:eastAsia="仿宋" w:cs="Arial"/>
          <w:color w:val="auto"/>
          <w:kern w:val="0"/>
          <w:szCs w:val="24"/>
          <w:highlight w:val="none"/>
        </w:rPr>
      </w:pPr>
      <w:r>
        <w:rPr>
          <w:rFonts w:hint="eastAsia" w:ascii="仿宋" w:hAnsi="仿宋" w:eastAsia="仿宋" w:cs="Arial"/>
          <w:b/>
          <w:color w:val="auto"/>
          <w:kern w:val="0"/>
          <w:szCs w:val="24"/>
          <w:highlight w:val="none"/>
        </w:rPr>
        <w:t>10. 报价审核。</w:t>
      </w:r>
      <w:r>
        <w:rPr>
          <w:rFonts w:hint="eastAsia" w:ascii="仿宋" w:hAnsi="仿宋" w:eastAsia="仿宋" w:cs="Arial"/>
          <w:color w:val="auto"/>
          <w:kern w:val="0"/>
          <w:szCs w:val="24"/>
          <w:highlight w:val="none"/>
        </w:rPr>
        <w:t>对经商务和技术评审符合采购需求的投标人的报价的合理性、准确性等进行审查核实。</w:t>
      </w:r>
    </w:p>
    <w:p>
      <w:pPr>
        <w:pStyle w:val="221"/>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10.1评标委员会认为投标人的报价明显低于其他通过符合性审查投标人的报价，有可能影响产品质量或者不能诚信履约的，应当要求其在规定的时间内提供书面说明，必要时提交相关证明材料。</w:t>
      </w:r>
    </w:p>
    <w:p>
      <w:pPr>
        <w:pStyle w:val="221"/>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10.2根据财政部发布的《政府采购促进中小企业发展管理办法》规定，对于非专门面向中小企业的项目，对小型和微型企业产品的价格给予一定的扣除，用扣除后的价格参与评审。</w:t>
      </w:r>
    </w:p>
    <w:p>
      <w:pPr>
        <w:pStyle w:val="221"/>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10.3政采云投标客户端开标一览表内容与投标文件开标一览表(报价表)相应内容不一致的，以投标文件开标一览表(报价表)为准。</w:t>
      </w:r>
    </w:p>
    <w:p>
      <w:pPr>
        <w:pStyle w:val="221"/>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10.4投标价格的修正原则。投标文件报价出现前后不一致的，按照下列规定修正：</w:t>
      </w:r>
    </w:p>
    <w:p>
      <w:pPr>
        <w:pStyle w:val="221"/>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10.4.1投标文件中开标一览表(报价表)内容与投标文件中相应内容不一致的，以开标一览表(报价表)为准;</w:t>
      </w:r>
    </w:p>
    <w:p>
      <w:pPr>
        <w:pStyle w:val="221"/>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10.4.2大写金额和小写金额不一致的，以大写金额为准;</w:t>
      </w:r>
    </w:p>
    <w:p>
      <w:pPr>
        <w:pStyle w:val="221"/>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10.4.3单价金额小数点或者百分比有明显错位的，以开标一览表的总价为准，并修改单价;</w:t>
      </w:r>
    </w:p>
    <w:p>
      <w:pPr>
        <w:pStyle w:val="221"/>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10.4.4总价金额与按单价汇总金额不一致的，以单价金额计算结果为准。</w:t>
      </w:r>
    </w:p>
    <w:p>
      <w:pPr>
        <w:pStyle w:val="221"/>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10.4.5同时出现两种以上不一致的，按照前款规定的顺序修正。修正后的报价按照财政部第87号令 《政府采购货物和服务招标投标管理办法》第五十一条第二款的规定经投标人确认后产生约束力。</w:t>
      </w:r>
    </w:p>
    <w:p>
      <w:pPr>
        <w:spacing w:line="360" w:lineRule="auto"/>
        <w:ind w:firstLine="480" w:firstLineChars="200"/>
        <w:rPr>
          <w:rFonts w:hint="eastAsia" w:ascii="仿宋" w:hAnsi="仿宋" w:eastAsia="仿宋" w:cs="仿宋_GB2312"/>
          <w:b/>
          <w:bCs/>
          <w:color w:val="auto"/>
          <w:sz w:val="24"/>
          <w:highlight w:val="none"/>
        </w:rPr>
      </w:pPr>
      <w:r>
        <w:rPr>
          <w:rFonts w:hint="eastAsia" w:ascii="仿宋" w:hAnsi="仿宋" w:eastAsia="仿宋" w:cs="仿宋_GB2312"/>
          <w:bCs/>
          <w:color w:val="auto"/>
          <w:sz w:val="24"/>
          <w:highlight w:val="none"/>
        </w:rPr>
        <w:t>▲</w:t>
      </w:r>
      <w:r>
        <w:rPr>
          <w:rFonts w:hint="eastAsia" w:ascii="仿宋" w:hAnsi="仿宋" w:eastAsia="仿宋" w:cs="仿宋_GB2312"/>
          <w:b/>
          <w:bCs/>
          <w:color w:val="auto"/>
          <w:sz w:val="24"/>
          <w:highlight w:val="none"/>
        </w:rPr>
        <w:t>投标人对根据修正原则修正后的报价不确认的，投标无效。</w:t>
      </w:r>
    </w:p>
    <w:p>
      <w:pPr>
        <w:spacing w:line="360" w:lineRule="auto"/>
        <w:ind w:firstLine="482" w:firstLineChars="200"/>
        <w:rPr>
          <w:rFonts w:hint="eastAsia" w:ascii="仿宋" w:hAnsi="仿宋" w:eastAsia="仿宋" w:cs="Arial"/>
          <w:color w:val="auto"/>
          <w:kern w:val="0"/>
          <w:sz w:val="24"/>
          <w:highlight w:val="none"/>
        </w:rPr>
      </w:pPr>
      <w:r>
        <w:rPr>
          <w:rFonts w:hint="eastAsia" w:ascii="仿宋" w:hAnsi="仿宋" w:eastAsia="仿宋" w:cs="Arial"/>
          <w:b/>
          <w:color w:val="auto"/>
          <w:kern w:val="0"/>
          <w:sz w:val="24"/>
          <w:highlight w:val="none"/>
        </w:rPr>
        <w:t>11.</w:t>
      </w:r>
      <w:r>
        <w:rPr>
          <w:rFonts w:ascii="仿宋" w:hAnsi="仿宋" w:eastAsia="仿宋" w:cs="Arial"/>
          <w:b/>
          <w:color w:val="auto"/>
          <w:kern w:val="0"/>
          <w:sz w:val="24"/>
          <w:highlight w:val="none"/>
        </w:rPr>
        <w:t>汇总</w:t>
      </w:r>
      <w:r>
        <w:rPr>
          <w:rFonts w:hint="eastAsia" w:ascii="仿宋" w:hAnsi="仿宋" w:eastAsia="仿宋" w:cs="Arial"/>
          <w:b/>
          <w:color w:val="auto"/>
          <w:kern w:val="0"/>
          <w:sz w:val="24"/>
          <w:highlight w:val="none"/>
        </w:rPr>
        <w:t>得分。</w:t>
      </w:r>
      <w:r>
        <w:rPr>
          <w:rFonts w:ascii="仿宋" w:hAnsi="仿宋" w:eastAsia="仿宋" w:cs="Arial"/>
          <w:color w:val="auto"/>
          <w:kern w:val="0"/>
          <w:sz w:val="24"/>
          <w:highlight w:val="none"/>
        </w:rPr>
        <w:t>评标委员会各成员应当独立对每个投标人的投标文件进行评价，并汇总每个投标人的得分。</w:t>
      </w:r>
    </w:p>
    <w:p>
      <w:pPr>
        <w:spacing w:line="360" w:lineRule="auto"/>
        <w:ind w:firstLine="482" w:firstLineChars="200"/>
        <w:rPr>
          <w:rFonts w:hint="eastAsia" w:ascii="仿宋" w:hAnsi="仿宋" w:eastAsia="仿宋" w:cs="Arial"/>
          <w:b/>
          <w:color w:val="auto"/>
          <w:kern w:val="0"/>
          <w:sz w:val="24"/>
          <w:highlight w:val="none"/>
        </w:rPr>
      </w:pPr>
      <w:r>
        <w:rPr>
          <w:rFonts w:hint="eastAsia" w:ascii="仿宋" w:hAnsi="仿宋" w:eastAsia="仿宋" w:cs="Arial"/>
          <w:b/>
          <w:color w:val="auto"/>
          <w:kern w:val="0"/>
          <w:sz w:val="24"/>
          <w:highlight w:val="none"/>
        </w:rPr>
        <w:t>12.中标候选人推荐。</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12.1评审后总得分最高者为第一中标候选人，总得分相同的，以报价低者为第一中标候选人，总得分与报价均相同的，由采购人当场随机抽取产生第一中标候选人。</w:t>
      </w:r>
    </w:p>
    <w:p>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12.2多家投标人</w:t>
      </w:r>
      <w:r>
        <w:rPr>
          <w:rFonts w:ascii="仿宋" w:hAnsi="仿宋" w:eastAsia="仿宋" w:cs="仿宋_GB2312"/>
          <w:color w:val="auto"/>
          <w:sz w:val="24"/>
          <w:highlight w:val="none"/>
        </w:rPr>
        <w:t>提供相同品牌产品</w:t>
      </w: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单一产品采购项目</w:t>
      </w:r>
      <w:r>
        <w:rPr>
          <w:rFonts w:hint="eastAsia" w:ascii="仿宋" w:hAnsi="仿宋" w:eastAsia="仿宋" w:cs="仿宋_GB2312"/>
          <w:color w:val="auto"/>
          <w:sz w:val="24"/>
          <w:highlight w:val="none"/>
        </w:rPr>
        <w:t>中的该产品或者非</w:t>
      </w:r>
      <w:r>
        <w:rPr>
          <w:rFonts w:ascii="仿宋" w:hAnsi="仿宋" w:eastAsia="仿宋" w:cs="仿宋_GB2312"/>
          <w:color w:val="auto"/>
          <w:sz w:val="24"/>
          <w:highlight w:val="none"/>
        </w:rPr>
        <w:t>单一产品采购项目</w:t>
      </w:r>
      <w:r>
        <w:rPr>
          <w:rFonts w:hint="eastAsia" w:ascii="仿宋" w:hAnsi="仿宋" w:eastAsia="仿宋" w:cs="仿宋_GB2312"/>
          <w:color w:val="auto"/>
          <w:sz w:val="24"/>
          <w:highlight w:val="none"/>
        </w:rPr>
        <w:t>的核心产品）</w:t>
      </w:r>
      <w:r>
        <w:rPr>
          <w:rFonts w:ascii="仿宋" w:hAnsi="仿宋" w:eastAsia="仿宋" w:cs="仿宋_GB2312"/>
          <w:color w:val="auto"/>
          <w:sz w:val="24"/>
          <w:highlight w:val="none"/>
        </w:rPr>
        <w:t>且通过资格审查、符合性审查的不同投标人参加同一合同项下投标的，按一家投标人计算，评审后得分最高的同品牌投标人获得中标</w:t>
      </w:r>
      <w:r>
        <w:rPr>
          <w:rFonts w:hint="eastAsia" w:ascii="仿宋" w:hAnsi="仿宋" w:eastAsia="仿宋" w:cs="仿宋_GB2312"/>
          <w:color w:val="auto"/>
          <w:sz w:val="24"/>
          <w:highlight w:val="none"/>
        </w:rPr>
        <w:t>候选</w:t>
      </w:r>
      <w:r>
        <w:rPr>
          <w:rFonts w:ascii="仿宋" w:hAnsi="仿宋" w:eastAsia="仿宋" w:cs="仿宋_GB2312"/>
          <w:color w:val="auto"/>
          <w:sz w:val="24"/>
          <w:highlight w:val="none"/>
        </w:rPr>
        <w:t>人推荐资格；评审得分相同的</w:t>
      </w:r>
      <w:r>
        <w:rPr>
          <w:rFonts w:hint="eastAsia" w:ascii="仿宋" w:hAnsi="仿宋" w:eastAsia="仿宋" w:cs="仿宋_GB2312"/>
          <w:color w:val="auto"/>
          <w:sz w:val="24"/>
          <w:highlight w:val="none"/>
        </w:rPr>
        <w:t>报价低者获得中标候选人推荐资格</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评审得分与报价均相同的</w:t>
      </w:r>
      <w:r>
        <w:rPr>
          <w:rFonts w:ascii="仿宋" w:hAnsi="仿宋" w:eastAsia="仿宋" w:cs="仿宋_GB2312"/>
          <w:color w:val="auto"/>
          <w:sz w:val="24"/>
          <w:highlight w:val="none"/>
        </w:rPr>
        <w:t>采取随机抽取方式确定，其他同品牌投标人不作为中标候选人。</w:t>
      </w:r>
    </w:p>
    <w:p>
      <w:pPr>
        <w:pStyle w:val="23"/>
        <w:spacing w:line="360" w:lineRule="auto"/>
        <w:ind w:firstLine="562"/>
        <w:rPr>
          <w:rFonts w:hint="eastAsia" w:ascii="仿宋" w:hAnsi="仿宋" w:eastAsia="仿宋" w:cs="仿宋_GB2312"/>
          <w:color w:val="auto"/>
          <w:highlight w:val="none"/>
        </w:rPr>
      </w:pPr>
      <w:r>
        <w:rPr>
          <w:rFonts w:hint="eastAsia" w:ascii="仿宋" w:hAnsi="仿宋" w:eastAsia="仿宋" w:cs="仿宋_GB2312"/>
          <w:b/>
          <w:color w:val="auto"/>
          <w:spacing w:val="20"/>
          <w:highlight w:val="none"/>
        </w:rPr>
        <w:t>13.投标无效。</w:t>
      </w:r>
      <w:r>
        <w:rPr>
          <w:rFonts w:hint="eastAsia" w:ascii="仿宋" w:hAnsi="仿宋" w:eastAsia="仿宋" w:cs="仿宋_GB2312"/>
          <w:color w:val="auto"/>
          <w:highlight w:val="none"/>
        </w:rPr>
        <w:t>有下列情况之一的，投标无效：</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w:t>
      </w:r>
      <w:r>
        <w:rPr>
          <w:rFonts w:hint="eastAsia" w:ascii="仿宋" w:hAnsi="仿宋" w:eastAsia="仿宋" w:cs="仿宋_GB2312"/>
          <w:color w:val="auto"/>
          <w:sz w:val="24"/>
          <w:highlight w:val="none"/>
        </w:rPr>
        <w:t>单位负责人为同一人或者存在直接控股、管理关系的不同供应商参加同一合同项下的政府采购活动的（均无效）；</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13.2</w:t>
      </w:r>
      <w:r>
        <w:rPr>
          <w:rFonts w:hint="eastAsia" w:ascii="仿宋" w:hAnsi="仿宋" w:eastAsia="仿宋" w:cs="仿宋_GB2312"/>
          <w:color w:val="auto"/>
          <w:sz w:val="24"/>
          <w:highlight w:val="none"/>
        </w:rPr>
        <w:t>为采购项目提供整体设计、规范编制或者项目管理、监理、检测等服务的供应商再参加该采购项目的其他采购活动的；</w:t>
      </w:r>
      <w:r>
        <w:rPr>
          <w:rFonts w:ascii="仿宋" w:hAnsi="仿宋" w:eastAsia="仿宋" w:cs="仿宋_GB2312"/>
          <w:color w:val="auto"/>
          <w:sz w:val="24"/>
          <w:highlight w:val="none"/>
        </w:rPr>
        <w:t xml:space="preserve"> </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13.3</w:t>
      </w:r>
      <w:r>
        <w:rPr>
          <w:rFonts w:hint="eastAsia" w:ascii="仿宋" w:hAnsi="仿宋" w:eastAsia="仿宋" w:cs="仿宋_GB2312"/>
          <w:color w:val="auto"/>
          <w:sz w:val="24"/>
          <w:highlight w:val="none"/>
        </w:rPr>
        <w:t>投标人不具备招标文件中规定的资格要求的（投标人未提供有效的资格证明文件的，视为投标人不具备招标文件中规定的资格要求）；</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13.4投标文件“资格文件”和“商务技术文件”部分中出现用于价格分评审的投标报价的（招标文件另有规定的参与“商务技术文件”评审的报价除外）；</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13.5投标文件未按招标文件规定的格式填写，或对招标服务或对技术或产品等要求未详细应答或应答内容不全、有缺失的，经评标委员会认定为无法评审的；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13.6投标文件关键信息填写不完整或字迹不能辨认或有漏项的，经评标委员会认定属于重大偏差的；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13.7投标文件重要信息前后不一致，经评标委员会询标后仍然无法评审的；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13.8投标文件未按照招标文件要求签署、盖章的；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13.9</w:t>
      </w:r>
      <w:r>
        <w:rPr>
          <w:rFonts w:hint="eastAsia" w:ascii="仿宋" w:hAnsi="仿宋" w:eastAsia="仿宋" w:cs="仿宋_GB2312"/>
          <w:color w:val="auto"/>
          <w:sz w:val="24"/>
          <w:highlight w:val="none"/>
        </w:rPr>
        <w:t>投标文件中未提供</w:t>
      </w:r>
      <w:r>
        <w:rPr>
          <w:rFonts w:ascii="仿宋" w:hAnsi="仿宋" w:eastAsia="仿宋" w:cs="仿宋_GB2312"/>
          <w:color w:val="auto"/>
          <w:sz w:val="24"/>
          <w:highlight w:val="none"/>
        </w:rPr>
        <w:t>应当提供的政府强制采购节能</w:t>
      </w:r>
      <w:r>
        <w:rPr>
          <w:rFonts w:hint="eastAsia" w:ascii="仿宋" w:hAnsi="仿宋" w:eastAsia="仿宋" w:cs="仿宋_GB2312"/>
          <w:color w:val="auto"/>
          <w:sz w:val="24"/>
          <w:highlight w:val="none"/>
        </w:rPr>
        <w:t>品目</w:t>
      </w:r>
      <w:r>
        <w:rPr>
          <w:rFonts w:ascii="仿宋" w:hAnsi="仿宋" w:eastAsia="仿宋" w:cs="仿宋_GB2312"/>
          <w:color w:val="auto"/>
          <w:sz w:val="24"/>
          <w:highlight w:val="none"/>
        </w:rPr>
        <w:t>内的节能产品或未提供</w:t>
      </w:r>
      <w:r>
        <w:rPr>
          <w:rFonts w:hint="eastAsia" w:ascii="仿宋" w:hAnsi="仿宋" w:eastAsia="仿宋" w:cs="仿宋_GB2312"/>
          <w:color w:val="auto"/>
          <w:sz w:val="24"/>
          <w:highlight w:val="none"/>
        </w:rPr>
        <w:t>有效</w:t>
      </w:r>
      <w:r>
        <w:rPr>
          <w:rFonts w:ascii="仿宋" w:hAnsi="仿宋" w:eastAsia="仿宋" w:cs="仿宋_GB2312"/>
          <w:color w:val="auto"/>
          <w:sz w:val="24"/>
          <w:highlight w:val="none"/>
        </w:rPr>
        <w:t>的节能产品认证证书的</w:t>
      </w:r>
      <w:r>
        <w:rPr>
          <w:rFonts w:hint="eastAsia" w:ascii="仿宋" w:hAnsi="仿宋" w:eastAsia="仿宋" w:cs="仿宋_GB2312"/>
          <w:color w:val="auto"/>
          <w:sz w:val="24"/>
          <w:highlight w:val="none"/>
        </w:rPr>
        <w:t>（如果本项目采购涉及节能品目清单中的政府强制采购的节能产品的）；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13.10</w:t>
      </w:r>
      <w:r>
        <w:rPr>
          <w:rFonts w:hint="eastAsia" w:ascii="仿宋" w:hAnsi="仿宋" w:eastAsia="仿宋" w:cs="仿宋_GB2312"/>
          <w:color w:val="auto"/>
          <w:sz w:val="24"/>
          <w:highlight w:val="none"/>
        </w:rPr>
        <w:t>投标文件含有采购人不能接受的附加条件的；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13.11</w:t>
      </w:r>
      <w:r>
        <w:rPr>
          <w:rFonts w:hint="eastAsia" w:ascii="仿宋" w:hAnsi="仿宋" w:eastAsia="仿宋" w:cs="仿宋_GB2312"/>
          <w:color w:val="auto"/>
          <w:sz w:val="24"/>
          <w:highlight w:val="none"/>
        </w:rPr>
        <w:t>投标文件中承诺的投标有效期少于招标文件中载明的投标有效期的；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13.12</w:t>
      </w:r>
      <w:r>
        <w:rPr>
          <w:rFonts w:hint="eastAsia" w:ascii="仿宋" w:hAnsi="仿宋" w:eastAsia="仿宋" w:cs="仿宋_GB2312"/>
          <w:color w:val="auto"/>
          <w:sz w:val="24"/>
          <w:highlight w:val="none"/>
        </w:rPr>
        <w:t>投标人所投内容不符合采购需求中实质性要求的；</w:t>
      </w:r>
    </w:p>
    <w:p>
      <w:pPr>
        <w:spacing w:line="360" w:lineRule="auto"/>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13.13投标文件出现不是唯一的、有选择性投标报价的;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13.14</w:t>
      </w:r>
      <w:r>
        <w:rPr>
          <w:rFonts w:hint="eastAsia" w:ascii="仿宋" w:hAnsi="仿宋" w:eastAsia="仿宋" w:cs="仿宋_GB2312"/>
          <w:color w:val="auto"/>
          <w:sz w:val="24"/>
          <w:highlight w:val="none"/>
        </w:rPr>
        <w:t>投标报价高于本项目采购预算或者最高限价的;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13.15</w:t>
      </w:r>
      <w:r>
        <w:rPr>
          <w:rFonts w:hint="eastAsia" w:ascii="仿宋" w:hAnsi="仿宋" w:eastAsia="仿宋" w:cs="仿宋_GB2312"/>
          <w:color w:val="auto"/>
          <w:sz w:val="24"/>
          <w:highlight w:val="none"/>
        </w:rPr>
        <w:t>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13.16</w:t>
      </w:r>
      <w:r>
        <w:rPr>
          <w:rFonts w:hint="eastAsia" w:ascii="仿宋" w:hAnsi="仿宋" w:eastAsia="仿宋" w:cs="仿宋_GB2312"/>
          <w:color w:val="auto"/>
          <w:sz w:val="24"/>
          <w:highlight w:val="none"/>
        </w:rPr>
        <w:t>《投标（开标）一览表》填写不完整或字迹不能辨认或有漏项的，经评标委员会认定属于重大偏差的；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13.17</w:t>
      </w:r>
      <w:r>
        <w:rPr>
          <w:rFonts w:hint="eastAsia" w:ascii="仿宋" w:hAnsi="仿宋" w:eastAsia="仿宋" w:cs="仿宋_GB2312"/>
          <w:color w:val="auto"/>
          <w:sz w:val="24"/>
          <w:highlight w:val="none"/>
        </w:rPr>
        <w:t>投标人对根据修正原则修正后的报价不确认的；</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13.18投标人提供虚假材料投标的（包括但不限于以下情节）；</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13.18.1使用伪造、变造的许可证件；</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13.18.2提供虚假的财务状况或者业绩；</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13.18.3提供虚假的项目负责人或者主要技术人员简历、劳动关系证明；</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13.18.4提供虚假的信用状况；</w:t>
      </w:r>
    </w:p>
    <w:p>
      <w:pPr>
        <w:spacing w:line="360" w:lineRule="auto"/>
        <w:ind w:firstLine="480" w:firstLineChars="200"/>
        <w:rPr>
          <w:rFonts w:hint="eastAsia" w:ascii="仿宋" w:hAnsi="仿宋" w:eastAsia="仿宋" w:cs="仿宋_GB2312"/>
          <w:color w:val="auto"/>
          <w:sz w:val="24"/>
          <w:highlight w:val="none"/>
        </w:rPr>
      </w:pPr>
      <w:r>
        <w:rPr>
          <w:rFonts w:ascii="仿宋" w:hAnsi="仿宋" w:eastAsia="仿宋" w:cs="仿宋_GB2312"/>
          <w:color w:val="auto"/>
          <w:sz w:val="24"/>
          <w:highlight w:val="none"/>
        </w:rPr>
        <w:t>13.</w:t>
      </w:r>
      <w:r>
        <w:rPr>
          <w:rFonts w:hint="eastAsia" w:ascii="仿宋" w:hAnsi="仿宋" w:eastAsia="仿宋" w:cs="仿宋_GB2312"/>
          <w:color w:val="auto"/>
          <w:sz w:val="24"/>
          <w:highlight w:val="none"/>
        </w:rPr>
        <w:t>18</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5其他弄虚作假的行为。</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13.19投标人有恶意串通、妨碍其他投标人的竞争行为、损害采购人或者其他投标人的合法权益情形的；有下列情形之一的，属于或视为恶意串通，其投标无效：</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13.19.1</w:t>
      </w:r>
      <w:r>
        <w:rPr>
          <w:rFonts w:hint="eastAsia" w:ascii="仿宋" w:hAnsi="仿宋" w:eastAsia="仿宋" w:cs="仿宋_GB2312"/>
          <w:color w:val="auto"/>
          <w:sz w:val="24"/>
          <w:highlight w:val="none"/>
        </w:rPr>
        <w:t>供应商直接或者间接从采购人或者采购代理机构处获得其他供应商的相关情况并修改其投标文件或者响应文件；</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13.19.2供应商按照采购人或者采购代理机构的授意撤换、修改投标文件或者响应文件；</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13.19.3供应商之间协商报价、技术方案等投标文件或者响应文件的实质性内容；</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13.19.4属于同一集团、协会、商会等组织成员的供应商按照该组织要求协同参加政府采购活动；</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13.19.5供应商之间事先约定由某一特定供应商中标、成交；</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13.19.6供应商之间商定部分供应商放弃参加政府采购活动或者放弃中标、成交；</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13.19.7供应商与采购人或者采购代理机构之间、供应商相互之间，为谋求特定供应商中标、成交或者排斥其他供应商的其他串通行为。</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13.19.8不同投标人的投标文件由同一单位或者个人编制；</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13.19.9不同投标人委托同一单位或者个人办理投标事宜；</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13.19.10不同投标人的投标文件载明的项目管理成员或者联系人员为同一人；</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13.19.11不同投标人的投标文件异常一致或者投标报价呈规律性差异；</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13.19.12不同投标人的投标文件相互混装；</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 xml:space="preserve">13.20违反法律、法规及本招标文件规定的其它无效投标情形。 </w:t>
      </w:r>
    </w:p>
    <w:p>
      <w:pPr>
        <w:spacing w:line="360" w:lineRule="auto"/>
        <w:ind w:firstLine="240" w:firstLineChars="100"/>
        <w:rPr>
          <w:rFonts w:hint="eastAsia" w:ascii="仿宋" w:hAnsi="仿宋" w:eastAsia="仿宋" w:cs="仿宋_GB2312"/>
          <w:color w:val="auto"/>
          <w:sz w:val="24"/>
          <w:szCs w:val="21"/>
          <w:highlight w:val="none"/>
        </w:rPr>
      </w:pPr>
    </w:p>
    <w:p>
      <w:pPr>
        <w:snapToGrid w:val="0"/>
        <w:spacing w:line="360" w:lineRule="auto"/>
        <w:ind w:left="120" w:leftChars="57" w:firstLine="482" w:firstLineChars="150"/>
        <w:jc w:val="center"/>
        <w:rPr>
          <w:rFonts w:hint="eastAsia" w:ascii="仿宋" w:hAnsi="仿宋" w:eastAsia="仿宋" w:cs="仿宋_GB2312"/>
          <w:b/>
          <w:color w:val="auto"/>
          <w:sz w:val="32"/>
          <w:highlight w:val="none"/>
        </w:rPr>
      </w:pPr>
      <w:r>
        <w:rPr>
          <w:rFonts w:hint="eastAsia" w:ascii="仿宋" w:hAnsi="仿宋" w:eastAsia="仿宋" w:cs="仿宋_GB2312"/>
          <w:b/>
          <w:color w:val="auto"/>
          <w:sz w:val="32"/>
          <w:highlight w:val="none"/>
        </w:rPr>
        <w:t>五、评标报告</w:t>
      </w:r>
      <w:r>
        <w:rPr>
          <w:rFonts w:ascii="仿宋" w:hAnsi="仿宋" w:eastAsia="仿宋" w:cs="仿宋_GB2312"/>
          <w:b/>
          <w:color w:val="auto"/>
          <w:sz w:val="32"/>
          <w:highlight w:val="none"/>
        </w:rPr>
        <w:t xml:space="preserve"> </w:t>
      </w:r>
    </w:p>
    <w:p>
      <w:pPr>
        <w:pStyle w:val="221"/>
        <w:adjustRightInd/>
        <w:spacing w:before="0"/>
        <w:ind w:firstLine="482"/>
        <w:rPr>
          <w:rFonts w:hint="eastAsia" w:ascii="仿宋" w:hAnsi="仿宋" w:eastAsia="仿宋" w:cs="仿宋_GB2312"/>
          <w:color w:val="auto"/>
          <w:szCs w:val="24"/>
          <w:highlight w:val="none"/>
        </w:rPr>
      </w:pPr>
      <w:r>
        <w:rPr>
          <w:rFonts w:hint="eastAsia" w:ascii="仿宋" w:hAnsi="仿宋" w:eastAsia="仿宋" w:cs="仿宋_GB2312"/>
          <w:b/>
          <w:color w:val="auto"/>
          <w:szCs w:val="24"/>
          <w:highlight w:val="none"/>
        </w:rPr>
        <w:t>14.</w:t>
      </w:r>
      <w:r>
        <w:rPr>
          <w:rFonts w:ascii="仿宋" w:hAnsi="仿宋" w:eastAsia="仿宋" w:cs="仿宋_GB2312"/>
          <w:b/>
          <w:color w:val="auto"/>
          <w:szCs w:val="24"/>
          <w:highlight w:val="none"/>
        </w:rPr>
        <w:t xml:space="preserve"> 评标报告</w:t>
      </w:r>
      <w:r>
        <w:rPr>
          <w:rFonts w:hint="eastAsia" w:ascii="仿宋" w:hAnsi="仿宋" w:eastAsia="仿宋" w:cs="仿宋_GB2312"/>
          <w:b/>
          <w:color w:val="auto"/>
          <w:szCs w:val="24"/>
          <w:highlight w:val="none"/>
        </w:rPr>
        <w:t>与推荐</w:t>
      </w:r>
      <w:r>
        <w:rPr>
          <w:rFonts w:ascii="仿宋" w:hAnsi="仿宋" w:eastAsia="仿宋" w:cs="仿宋_GB2312"/>
          <w:b/>
          <w:color w:val="auto"/>
          <w:szCs w:val="24"/>
          <w:highlight w:val="none"/>
        </w:rPr>
        <w:t>中标候选人</w:t>
      </w:r>
      <w:r>
        <w:rPr>
          <w:rFonts w:hint="eastAsia" w:ascii="仿宋" w:hAnsi="仿宋" w:eastAsia="仿宋" w:cs="仿宋_GB2312"/>
          <w:b/>
          <w:color w:val="auto"/>
          <w:szCs w:val="24"/>
          <w:highlight w:val="none"/>
        </w:rPr>
        <w:t>。</w:t>
      </w:r>
      <w:r>
        <w:rPr>
          <w:rFonts w:ascii="仿宋" w:hAnsi="仿宋" w:eastAsia="仿宋" w:cs="仿宋_GB2312"/>
          <w:color w:val="auto"/>
          <w:szCs w:val="24"/>
          <w:highlight w:val="none"/>
        </w:rPr>
        <w:t>评标委员会根据全体评标成员签字的原始评标记录和评标结果编写评标报告</w:t>
      </w:r>
      <w:r>
        <w:rPr>
          <w:rFonts w:hint="eastAsia" w:ascii="仿宋" w:hAnsi="仿宋" w:eastAsia="仿宋" w:cs="仿宋_GB2312"/>
          <w:color w:val="auto"/>
          <w:szCs w:val="24"/>
          <w:highlight w:val="none"/>
        </w:rPr>
        <w:t>，</w:t>
      </w:r>
      <w:r>
        <w:rPr>
          <w:rFonts w:ascii="仿宋" w:hAnsi="仿宋" w:eastAsia="仿宋" w:cs="仿宋_GB2312"/>
          <w:color w:val="auto"/>
          <w:szCs w:val="24"/>
          <w:highlight w:val="none"/>
        </w:rPr>
        <w:t>并</w:t>
      </w:r>
      <w:r>
        <w:rPr>
          <w:rFonts w:hint="eastAsia" w:ascii="仿宋" w:hAnsi="仿宋" w:eastAsia="仿宋" w:cs="仿宋_GB2312"/>
          <w:color w:val="auto"/>
          <w:szCs w:val="24"/>
          <w:highlight w:val="none"/>
        </w:rPr>
        <w:t>推荐</w:t>
      </w:r>
      <w:r>
        <w:rPr>
          <w:rFonts w:ascii="仿宋" w:hAnsi="仿宋" w:eastAsia="仿宋" w:cs="仿宋_GB2312"/>
          <w:color w:val="auto"/>
          <w:szCs w:val="24"/>
          <w:highlight w:val="none"/>
        </w:rPr>
        <w:t>中标候选人</w:t>
      </w:r>
      <w:r>
        <w:rPr>
          <w:rFonts w:hint="eastAsia" w:ascii="仿宋" w:hAnsi="仿宋" w:eastAsia="仿宋" w:cs="仿宋_GB2312"/>
          <w:color w:val="auto"/>
          <w:szCs w:val="24"/>
          <w:highlight w:val="none"/>
        </w:rPr>
        <w:t>，评审</w:t>
      </w:r>
      <w:r>
        <w:rPr>
          <w:rFonts w:ascii="仿宋" w:hAnsi="仿宋" w:eastAsia="仿宋" w:cs="仿宋_GB2312"/>
          <w:color w:val="auto"/>
          <w:szCs w:val="24"/>
          <w:highlight w:val="none"/>
        </w:rPr>
        <w:t>报告由</w:t>
      </w:r>
      <w:r>
        <w:rPr>
          <w:rFonts w:hint="eastAsia" w:ascii="仿宋" w:hAnsi="仿宋" w:eastAsia="仿宋" w:cs="仿宋_GB2312"/>
          <w:color w:val="auto"/>
          <w:szCs w:val="24"/>
          <w:highlight w:val="none"/>
        </w:rPr>
        <w:t>评标委员会</w:t>
      </w:r>
      <w:r>
        <w:rPr>
          <w:rFonts w:ascii="仿宋" w:hAnsi="仿宋" w:eastAsia="仿宋" w:cs="仿宋_GB2312"/>
          <w:color w:val="auto"/>
          <w:szCs w:val="24"/>
          <w:highlight w:val="none"/>
        </w:rPr>
        <w:t>成员签字</w:t>
      </w:r>
      <w:r>
        <w:rPr>
          <w:rFonts w:hint="eastAsia" w:ascii="仿宋" w:hAnsi="仿宋" w:eastAsia="仿宋" w:cs="仿宋_GB2312"/>
          <w:color w:val="auto"/>
          <w:szCs w:val="24"/>
          <w:highlight w:val="none"/>
        </w:rPr>
        <w:t>确认提交</w:t>
      </w:r>
      <w:r>
        <w:rPr>
          <w:rFonts w:ascii="仿宋" w:hAnsi="仿宋" w:eastAsia="仿宋" w:cs="仿宋_GB2312"/>
          <w:color w:val="auto"/>
          <w:szCs w:val="24"/>
          <w:highlight w:val="none"/>
        </w:rPr>
        <w:t>。</w:t>
      </w:r>
    </w:p>
    <w:p>
      <w:pPr>
        <w:widowControl/>
        <w:adjustRightInd/>
        <w:spacing w:line="360" w:lineRule="auto"/>
        <w:ind w:firstLine="482" w:firstLineChars="200"/>
        <w:jc w:val="left"/>
        <w:rPr>
          <w:rFonts w:ascii="仿宋" w:hAnsi="仿宋" w:eastAsia="仿宋" w:cs="仿宋_GB2312"/>
          <w:color w:val="auto"/>
          <w:sz w:val="24"/>
          <w:highlight w:val="none"/>
        </w:rPr>
      </w:pPr>
      <w:r>
        <w:rPr>
          <w:rFonts w:hint="eastAsia" w:ascii="仿宋" w:hAnsi="仿宋" w:eastAsia="仿宋" w:cs="仿宋_GB2312"/>
          <w:b/>
          <w:color w:val="auto"/>
          <w:sz w:val="24"/>
          <w:highlight w:val="none"/>
        </w:rPr>
        <w:t>15.</w:t>
      </w:r>
      <w:r>
        <w:rPr>
          <w:rFonts w:ascii="仿宋" w:hAnsi="仿宋" w:eastAsia="仿宋" w:cs="仿宋_GB2312"/>
          <w:b/>
          <w:color w:val="auto"/>
          <w:sz w:val="24"/>
          <w:highlight w:val="none"/>
        </w:rPr>
        <w:t xml:space="preserve"> </w:t>
      </w:r>
      <w:r>
        <w:rPr>
          <w:rFonts w:hint="eastAsia" w:ascii="仿宋" w:hAnsi="仿宋" w:eastAsia="仿宋" w:cs="仿宋_GB2312"/>
          <w:b/>
          <w:color w:val="auto"/>
          <w:sz w:val="24"/>
          <w:highlight w:val="none"/>
        </w:rPr>
        <w:t>评标争议</w:t>
      </w:r>
      <w:r>
        <w:rPr>
          <w:rFonts w:ascii="仿宋" w:hAnsi="仿宋" w:eastAsia="仿宋" w:cs="仿宋_GB2312"/>
          <w:b/>
          <w:color w:val="auto"/>
          <w:sz w:val="24"/>
          <w:highlight w:val="none"/>
        </w:rPr>
        <w:t>事项</w:t>
      </w:r>
      <w:r>
        <w:rPr>
          <w:rFonts w:hint="eastAsia" w:ascii="仿宋" w:hAnsi="仿宋" w:eastAsia="仿宋" w:cs="仿宋_GB2312"/>
          <w:b/>
          <w:color w:val="auto"/>
          <w:sz w:val="24"/>
          <w:highlight w:val="none"/>
        </w:rPr>
        <w:t>处理。</w:t>
      </w:r>
      <w:r>
        <w:rPr>
          <w:rFonts w:ascii="仿宋" w:hAnsi="仿宋" w:eastAsia="仿宋" w:cs="仿宋_GB2312"/>
          <w:color w:val="auto"/>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widowControl/>
        <w:adjustRightInd/>
        <w:spacing w:line="360" w:lineRule="auto"/>
        <w:ind w:firstLine="480" w:firstLineChars="200"/>
        <w:jc w:val="left"/>
        <w:rPr>
          <w:rFonts w:ascii="仿宋" w:hAnsi="仿宋" w:eastAsia="仿宋" w:cs="仿宋_GB2312"/>
          <w:color w:val="auto"/>
          <w:sz w:val="24"/>
          <w:highlight w:val="none"/>
        </w:rPr>
      </w:pPr>
    </w:p>
    <w:p>
      <w:pPr>
        <w:widowControl/>
        <w:adjustRightInd/>
        <w:spacing w:line="360" w:lineRule="auto"/>
        <w:jc w:val="center"/>
        <w:rPr>
          <w:rFonts w:hint="eastAsia" w:ascii="仿宋" w:hAnsi="仿宋" w:eastAsia="仿宋" w:cs="仿宋_GB2312"/>
          <w:b/>
          <w:color w:val="auto"/>
          <w:sz w:val="32"/>
          <w:highlight w:val="none"/>
        </w:rPr>
      </w:pPr>
      <w:r>
        <w:rPr>
          <w:rFonts w:hint="eastAsia" w:ascii="仿宋" w:hAnsi="仿宋" w:eastAsia="仿宋" w:cs="仿宋_GB2312"/>
          <w:b/>
          <w:color w:val="auto"/>
          <w:sz w:val="32"/>
          <w:highlight w:val="none"/>
        </w:rPr>
        <w:t>六、 废标</w:t>
      </w:r>
    </w:p>
    <w:p>
      <w:pPr>
        <w:pStyle w:val="23"/>
        <w:snapToGrid w:val="0"/>
        <w:spacing w:line="360" w:lineRule="auto"/>
        <w:ind w:firstLine="482"/>
        <w:rPr>
          <w:rFonts w:hint="eastAsia" w:ascii="仿宋" w:hAnsi="仿宋" w:eastAsia="仿宋" w:cs="仿宋_GB2312"/>
          <w:color w:val="auto"/>
          <w:highlight w:val="none"/>
        </w:rPr>
      </w:pPr>
      <w:r>
        <w:rPr>
          <w:rFonts w:hint="eastAsia" w:ascii="仿宋" w:hAnsi="仿宋" w:eastAsia="仿宋" w:cs="仿宋_GB2312"/>
          <w:b/>
          <w:color w:val="auto"/>
          <w:highlight w:val="none"/>
        </w:rPr>
        <w:t>16.废标。</w:t>
      </w:r>
      <w:r>
        <w:rPr>
          <w:rFonts w:hint="eastAsia" w:ascii="仿宋" w:hAnsi="仿宋" w:eastAsia="仿宋" w:cs="仿宋_GB2312"/>
          <w:color w:val="auto"/>
          <w:highlight w:val="none"/>
        </w:rPr>
        <w:t>根据《中华人民共和国政府采购法》第三十六条之规定，在采购中，出现下列情形之一的，应予废标：</w:t>
      </w:r>
    </w:p>
    <w:p>
      <w:pPr>
        <w:pStyle w:val="23"/>
        <w:snapToGrid w:val="0"/>
        <w:spacing w:line="360" w:lineRule="auto"/>
        <w:rPr>
          <w:rFonts w:hint="eastAsia" w:ascii="仿宋" w:hAnsi="仿宋" w:eastAsia="仿宋" w:cs="仿宋_GB2312"/>
          <w:color w:val="auto"/>
          <w:highlight w:val="none"/>
        </w:rPr>
      </w:pPr>
      <w:r>
        <w:rPr>
          <w:rFonts w:hint="eastAsia" w:ascii="仿宋" w:hAnsi="仿宋" w:eastAsia="仿宋" w:cs="仿宋_GB2312"/>
          <w:color w:val="auto"/>
          <w:highlight w:val="none"/>
        </w:rPr>
        <w:t>16.1符合专业条件的供应商或者对招标文件作实质响应的供应商不足3家的；</w:t>
      </w:r>
    </w:p>
    <w:p>
      <w:pPr>
        <w:pStyle w:val="23"/>
        <w:snapToGrid w:val="0"/>
        <w:spacing w:line="360" w:lineRule="auto"/>
        <w:rPr>
          <w:rFonts w:hint="eastAsia" w:ascii="仿宋" w:hAnsi="仿宋" w:eastAsia="仿宋" w:cs="仿宋_GB2312"/>
          <w:color w:val="auto"/>
          <w:highlight w:val="none"/>
        </w:rPr>
      </w:pPr>
      <w:r>
        <w:rPr>
          <w:rFonts w:hint="eastAsia" w:ascii="仿宋" w:hAnsi="仿宋" w:eastAsia="仿宋" w:cs="仿宋_GB2312"/>
          <w:color w:val="auto"/>
          <w:highlight w:val="none"/>
        </w:rPr>
        <w:t>16.2出现影响采购公正的违法、违规行为的；</w:t>
      </w:r>
    </w:p>
    <w:p>
      <w:pPr>
        <w:pStyle w:val="23"/>
        <w:snapToGrid w:val="0"/>
        <w:spacing w:line="360" w:lineRule="auto"/>
        <w:rPr>
          <w:rFonts w:hint="eastAsia" w:ascii="仿宋" w:hAnsi="仿宋" w:eastAsia="仿宋" w:cs="仿宋_GB2312"/>
          <w:color w:val="auto"/>
          <w:highlight w:val="none"/>
        </w:rPr>
      </w:pPr>
      <w:r>
        <w:rPr>
          <w:rFonts w:hint="eastAsia" w:ascii="仿宋" w:hAnsi="仿宋" w:eastAsia="仿宋" w:cs="仿宋_GB2312"/>
          <w:color w:val="auto"/>
          <w:highlight w:val="none"/>
        </w:rPr>
        <w:t>16.3投标人的报价均超过了采购预算，采购人不能支付的；</w:t>
      </w:r>
    </w:p>
    <w:p>
      <w:pPr>
        <w:pStyle w:val="23"/>
        <w:snapToGrid w:val="0"/>
        <w:spacing w:line="360" w:lineRule="auto"/>
        <w:rPr>
          <w:rFonts w:hint="eastAsia" w:ascii="仿宋" w:hAnsi="仿宋" w:eastAsia="仿宋" w:cs="仿宋_GB2312"/>
          <w:color w:val="auto"/>
          <w:highlight w:val="none"/>
        </w:rPr>
      </w:pPr>
      <w:r>
        <w:rPr>
          <w:rFonts w:hint="eastAsia" w:ascii="仿宋" w:hAnsi="仿宋" w:eastAsia="仿宋" w:cs="仿宋_GB2312"/>
          <w:color w:val="auto"/>
          <w:highlight w:val="none"/>
        </w:rPr>
        <w:t>16.4因重大变故，采购任务取消的。</w:t>
      </w:r>
    </w:p>
    <w:p>
      <w:pPr>
        <w:pStyle w:val="23"/>
        <w:snapToGrid w:val="0"/>
        <w:spacing w:line="360" w:lineRule="auto"/>
        <w:rPr>
          <w:rFonts w:hint="eastAsia" w:ascii="仿宋" w:hAnsi="仿宋" w:eastAsia="仿宋" w:cs="仿宋_GB2312"/>
          <w:color w:val="auto"/>
          <w:highlight w:val="none"/>
          <w:lang w:eastAsia="zh-CN"/>
        </w:rPr>
      </w:pPr>
      <w:r>
        <w:rPr>
          <w:rFonts w:hint="eastAsia" w:ascii="仿宋" w:hAnsi="仿宋" w:eastAsia="仿宋" w:cs="仿宋_GB2312"/>
          <w:color w:val="auto"/>
          <w:highlight w:val="none"/>
        </w:rPr>
        <w:t>废标后，采购代理机构应当将废标理由通知所有投标人。</w:t>
      </w:r>
    </w:p>
    <w:p>
      <w:pPr>
        <w:pStyle w:val="23"/>
        <w:snapToGrid w:val="0"/>
        <w:spacing w:line="360" w:lineRule="auto"/>
        <w:rPr>
          <w:rFonts w:hint="eastAsia" w:ascii="仿宋" w:hAnsi="仿宋" w:eastAsia="仿宋" w:cs="仿宋_GB2312"/>
          <w:color w:val="auto"/>
          <w:highlight w:val="none"/>
          <w:lang w:eastAsia="zh-CN"/>
        </w:rPr>
      </w:pPr>
    </w:p>
    <w:p>
      <w:pPr>
        <w:snapToGrid w:val="0"/>
        <w:spacing w:line="360" w:lineRule="auto"/>
        <w:ind w:left="120" w:leftChars="57" w:firstLine="482" w:firstLineChars="150"/>
        <w:jc w:val="center"/>
        <w:rPr>
          <w:rFonts w:hint="eastAsia" w:ascii="仿宋" w:hAnsi="仿宋" w:eastAsia="仿宋" w:cs="仿宋_GB2312"/>
          <w:b/>
          <w:color w:val="auto"/>
          <w:sz w:val="32"/>
          <w:highlight w:val="none"/>
        </w:rPr>
      </w:pPr>
      <w:r>
        <w:rPr>
          <w:rFonts w:hint="eastAsia" w:ascii="仿宋" w:hAnsi="仿宋" w:eastAsia="仿宋" w:cs="仿宋_GB2312"/>
          <w:b/>
          <w:color w:val="auto"/>
          <w:sz w:val="32"/>
          <w:highlight w:val="none"/>
        </w:rPr>
        <w:t>七、评审过程的保密与录像</w:t>
      </w:r>
    </w:p>
    <w:p>
      <w:pPr>
        <w:widowControl/>
        <w:spacing w:line="360" w:lineRule="auto"/>
        <w:ind w:firstLine="482" w:firstLineChars="200"/>
        <w:rPr>
          <w:rFonts w:hint="eastAsia" w:ascii="仿宋" w:hAnsi="仿宋" w:eastAsia="仿宋" w:cs="仿宋_GB2312"/>
          <w:color w:val="auto"/>
          <w:sz w:val="24"/>
          <w:highlight w:val="none"/>
        </w:rPr>
      </w:pPr>
      <w:r>
        <w:rPr>
          <w:rFonts w:hint="eastAsia" w:ascii="仿宋" w:hAnsi="仿宋" w:eastAsia="仿宋" w:cs="仿宋_GB2312"/>
          <w:b/>
          <w:color w:val="auto"/>
          <w:sz w:val="24"/>
          <w:highlight w:val="none"/>
          <w:lang w:val="en-US" w:eastAsia="zh-CN"/>
        </w:rPr>
        <w:t>17</w:t>
      </w:r>
      <w:r>
        <w:rPr>
          <w:rFonts w:hint="eastAsia" w:ascii="仿宋" w:hAnsi="仿宋" w:eastAsia="仿宋" w:cs="仿宋_GB2312"/>
          <w:b/>
          <w:color w:val="auto"/>
          <w:sz w:val="24"/>
          <w:highlight w:val="none"/>
        </w:rPr>
        <w:t>.保密。</w:t>
      </w:r>
      <w:r>
        <w:rPr>
          <w:rFonts w:ascii="仿宋" w:hAnsi="仿宋" w:eastAsia="仿宋" w:cs="仿宋_GB2312"/>
          <w:color w:val="auto"/>
          <w:sz w:val="24"/>
          <w:highlight w:val="none"/>
        </w:rPr>
        <w:t>评审活动在严格保密的情况下进行。评审过程中凡是与采购响应文件评审和比较、中标成交供应商推荐等评审有关的情况，以及涉及国家秘密和商业秘密等信息，评标委员会成员、采购人和采购代理机构工作人员、相关监督人员等与评审有关的人员应当予以保密。</w:t>
      </w:r>
    </w:p>
    <w:p>
      <w:pPr>
        <w:widowControl/>
        <w:spacing w:line="360" w:lineRule="auto"/>
        <w:ind w:firstLine="482" w:firstLineChars="200"/>
        <w:rPr>
          <w:rFonts w:hint="eastAsia" w:ascii="仿宋" w:hAnsi="仿宋" w:eastAsia="仿宋" w:cs="仿宋_GB2312"/>
          <w:color w:val="auto"/>
          <w:sz w:val="24"/>
          <w:highlight w:val="none"/>
        </w:rPr>
      </w:pPr>
      <w:r>
        <w:rPr>
          <w:rFonts w:hint="eastAsia" w:ascii="仿宋" w:hAnsi="仿宋" w:eastAsia="仿宋" w:cs="仿宋_GB2312"/>
          <w:b/>
          <w:color w:val="auto"/>
          <w:sz w:val="24"/>
          <w:highlight w:val="none"/>
          <w:lang w:val="en-US" w:eastAsia="zh-CN"/>
        </w:rPr>
        <w:t>18</w:t>
      </w:r>
      <w:r>
        <w:rPr>
          <w:rFonts w:hint="eastAsia" w:ascii="仿宋" w:hAnsi="仿宋" w:eastAsia="仿宋" w:cs="仿宋_GB2312"/>
          <w:b/>
          <w:color w:val="auto"/>
          <w:sz w:val="24"/>
          <w:highlight w:val="none"/>
        </w:rPr>
        <w:t>.录音录像。</w:t>
      </w:r>
      <w:r>
        <w:rPr>
          <w:rFonts w:hint="eastAsia" w:ascii="仿宋" w:hAnsi="仿宋" w:eastAsia="仿宋" w:cs="仿宋_GB2312"/>
          <w:color w:val="auto"/>
          <w:sz w:val="24"/>
          <w:highlight w:val="none"/>
        </w:rPr>
        <w:t>采购代理机构对评审工作现场进行全过程录音录像，录音录像资料作为采购项目文件随其他文件一并存档。</w:t>
      </w:r>
    </w:p>
    <w:p>
      <w:pPr>
        <w:snapToGrid w:val="0"/>
        <w:spacing w:line="360" w:lineRule="auto"/>
        <w:ind w:left="120" w:leftChars="57" w:firstLine="482" w:firstLineChars="150"/>
        <w:jc w:val="center"/>
        <w:rPr>
          <w:rFonts w:hint="eastAsia" w:ascii="仿宋" w:hAnsi="仿宋" w:eastAsia="仿宋" w:cs="仿宋_GB2312"/>
          <w:b/>
          <w:color w:val="auto"/>
          <w:sz w:val="32"/>
          <w:highlight w:val="none"/>
        </w:rPr>
      </w:pPr>
    </w:p>
    <w:p>
      <w:pPr>
        <w:snapToGrid w:val="0"/>
        <w:spacing w:line="360" w:lineRule="auto"/>
        <w:ind w:left="120" w:leftChars="57" w:firstLine="482" w:firstLineChars="150"/>
        <w:jc w:val="center"/>
        <w:rPr>
          <w:rFonts w:hint="eastAsia" w:ascii="仿宋" w:hAnsi="仿宋" w:eastAsia="仿宋" w:cs="仿宋_GB2312"/>
          <w:b/>
          <w:color w:val="auto"/>
          <w:sz w:val="32"/>
          <w:highlight w:val="none"/>
        </w:rPr>
      </w:pPr>
      <w:r>
        <w:rPr>
          <w:rFonts w:ascii="仿宋" w:hAnsi="仿宋" w:eastAsia="仿宋" w:cs="仿宋_GB2312"/>
          <w:b/>
          <w:color w:val="auto"/>
          <w:sz w:val="32"/>
          <w:highlight w:val="none"/>
        </w:rPr>
        <w:br w:type="page"/>
      </w:r>
      <w:r>
        <w:rPr>
          <w:rFonts w:hint="eastAsia" w:ascii="仿宋" w:hAnsi="仿宋" w:eastAsia="仿宋" w:cs="仿宋_GB2312"/>
          <w:b/>
          <w:color w:val="auto"/>
          <w:sz w:val="32"/>
          <w:highlight w:val="none"/>
        </w:rPr>
        <w:t>八、具体评标标准</w:t>
      </w:r>
    </w:p>
    <w:p>
      <w:pPr>
        <w:widowControl/>
        <w:spacing w:line="360" w:lineRule="auto"/>
        <w:ind w:firstLine="480" w:firstLineChars="200"/>
        <w:rPr>
          <w:rFonts w:ascii="仿宋" w:hAnsi="仿宋" w:eastAsia="仿宋" w:cs="仿宋_GB2312"/>
          <w:color w:val="auto"/>
          <w:sz w:val="24"/>
          <w:highlight w:val="none"/>
        </w:rPr>
      </w:pPr>
      <w:bookmarkStart w:id="427" w:name="gxebd_pack_1_EvalFactorAccordEnd"/>
      <w:bookmarkEnd w:id="427"/>
      <w:r>
        <w:rPr>
          <w:rFonts w:hint="eastAsia" w:ascii="仿宋" w:hAnsi="仿宋" w:eastAsia="仿宋" w:cs="仿宋_GB2312"/>
          <w:color w:val="auto"/>
          <w:sz w:val="24"/>
          <w:highlight w:val="none"/>
        </w:rPr>
        <w:t>21.商务技术分（</w:t>
      </w:r>
      <w:r>
        <w:rPr>
          <w:rFonts w:hint="eastAsia" w:ascii="仿宋" w:hAnsi="仿宋" w:eastAsia="仿宋" w:cs="仿宋_GB2312"/>
          <w:color w:val="auto"/>
          <w:sz w:val="24"/>
          <w:highlight w:val="none"/>
          <w:lang w:val="en-US" w:eastAsia="zh-CN"/>
        </w:rPr>
        <w:t>7</w:t>
      </w:r>
      <w:r>
        <w:rPr>
          <w:rFonts w:hint="eastAsia" w:ascii="仿宋" w:hAnsi="仿宋" w:eastAsia="仿宋" w:cs="Arial"/>
          <w:color w:val="auto"/>
          <w:kern w:val="0"/>
          <w:sz w:val="24"/>
          <w:highlight w:val="none"/>
          <w:lang w:val="en-US" w:eastAsia="zh-CN"/>
        </w:rPr>
        <w:t>0</w:t>
      </w:r>
      <w:r>
        <w:rPr>
          <w:rFonts w:hint="eastAsia" w:ascii="仿宋" w:hAnsi="仿宋" w:eastAsia="仿宋" w:cs="仿宋_GB2312"/>
          <w:color w:val="auto"/>
          <w:sz w:val="24"/>
          <w:highlight w:val="none"/>
        </w:rPr>
        <w:t>分）</w:t>
      </w:r>
    </w:p>
    <w:tbl>
      <w:tblPr>
        <w:tblStyle w:val="60"/>
        <w:tblW w:w="83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320"/>
        <w:gridCol w:w="5445"/>
        <w:gridCol w:w="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723" w:type="dxa"/>
            <w:noWrap w:val="0"/>
            <w:vAlign w:val="center"/>
          </w:tcPr>
          <w:p>
            <w:pPr>
              <w:widowControl/>
              <w:spacing w:line="24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类别</w:t>
            </w:r>
          </w:p>
        </w:tc>
        <w:tc>
          <w:tcPr>
            <w:tcW w:w="1320" w:type="dxa"/>
            <w:noWrap w:val="0"/>
            <w:vAlign w:val="center"/>
          </w:tcPr>
          <w:p>
            <w:pPr>
              <w:spacing w:line="24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项目</w:t>
            </w:r>
          </w:p>
        </w:tc>
        <w:tc>
          <w:tcPr>
            <w:tcW w:w="5445" w:type="dxa"/>
            <w:noWrap w:val="0"/>
            <w:vAlign w:val="center"/>
          </w:tcPr>
          <w:p>
            <w:pPr>
              <w:spacing w:line="240" w:lineRule="auto"/>
              <w:ind w:firstLine="480" w:firstLineChars="20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评分细则</w:t>
            </w:r>
          </w:p>
        </w:tc>
        <w:tc>
          <w:tcPr>
            <w:tcW w:w="812" w:type="dxa"/>
            <w:noWrap w:val="0"/>
            <w:vAlign w:val="center"/>
          </w:tcPr>
          <w:p>
            <w:pPr>
              <w:widowControl/>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723" w:type="dxa"/>
            <w:vMerge w:val="restart"/>
            <w:noWrap w:val="0"/>
            <w:vAlign w:val="center"/>
          </w:tcPr>
          <w:p>
            <w:pPr>
              <w:widowControl/>
              <w:spacing w:line="24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商务资信</w:t>
            </w:r>
          </w:p>
        </w:tc>
        <w:tc>
          <w:tcPr>
            <w:tcW w:w="1320" w:type="dxa"/>
            <w:noWrap w:val="0"/>
            <w:vAlign w:val="center"/>
          </w:tcPr>
          <w:p>
            <w:pPr>
              <w:spacing w:line="24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企业认证</w:t>
            </w:r>
          </w:p>
        </w:tc>
        <w:tc>
          <w:tcPr>
            <w:tcW w:w="5445" w:type="dxa"/>
            <w:noWrap w:val="0"/>
            <w:vAlign w:val="top"/>
          </w:tcPr>
          <w:p>
            <w:pPr>
              <w:spacing w:line="240" w:lineRule="auto"/>
              <w:jc w:val="left"/>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投标人具有有效期内的质量管理体系认证得 1分；</w:t>
            </w:r>
          </w:p>
          <w:p>
            <w:pPr>
              <w:spacing w:line="240" w:lineRule="auto"/>
              <w:jc w:val="left"/>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投标人具有有效期内的环境管理体系认证得 1分；</w:t>
            </w:r>
          </w:p>
          <w:p>
            <w:pPr>
              <w:spacing w:line="240" w:lineRule="auto"/>
              <w:jc w:val="left"/>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投标人具有有效期内的职业健康安全管理体系认证得1 分；</w:t>
            </w:r>
          </w:p>
          <w:p>
            <w:pPr>
              <w:spacing w:line="240" w:lineRule="auto"/>
              <w:jc w:val="left"/>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注：体系认证证书需提供</w:t>
            </w:r>
            <w:bookmarkStart w:id="428" w:name="OLE_LINK8"/>
            <w:r>
              <w:rPr>
                <w:rFonts w:hint="eastAsia" w:ascii="仿宋" w:hAnsi="仿宋" w:eastAsia="仿宋" w:cs="仿宋_GB2312"/>
                <w:color w:val="auto"/>
                <w:sz w:val="24"/>
                <w:highlight w:val="none"/>
                <w:lang w:eastAsia="zh-CN"/>
              </w:rPr>
              <w:t>国家认证认可查询平台http://cx.cnca.cn/CertECloud/result/skipResultList网上查询截图</w:t>
            </w:r>
            <w:bookmarkEnd w:id="428"/>
            <w:r>
              <w:rPr>
                <w:rFonts w:hint="eastAsia" w:ascii="仿宋" w:hAnsi="仿宋" w:eastAsia="仿宋" w:cs="仿宋_GB2312"/>
                <w:color w:val="auto"/>
                <w:sz w:val="24"/>
                <w:highlight w:val="none"/>
                <w:lang w:eastAsia="zh-CN"/>
              </w:rPr>
              <w:t>加盖投标人电子印章，未提供或未在有效期限内不得分。</w:t>
            </w:r>
          </w:p>
        </w:tc>
        <w:tc>
          <w:tcPr>
            <w:tcW w:w="812" w:type="dxa"/>
            <w:noWrap w:val="0"/>
            <w:vAlign w:val="center"/>
          </w:tcPr>
          <w:p>
            <w:pPr>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3</w:t>
            </w:r>
            <w:r>
              <w:rPr>
                <w:rFonts w:hint="eastAsia" w:ascii="仿宋" w:hAnsi="仿宋" w:eastAsia="仿宋" w:cs="仿宋_GB2312"/>
                <w:color w:val="auto"/>
                <w:sz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723" w:type="dxa"/>
            <w:vMerge w:val="continue"/>
            <w:noWrap w:val="0"/>
            <w:vAlign w:val="center"/>
          </w:tcPr>
          <w:p>
            <w:pPr>
              <w:widowControl/>
              <w:spacing w:line="240" w:lineRule="auto"/>
              <w:ind w:firstLine="480" w:firstLineChars="200"/>
              <w:rPr>
                <w:rFonts w:ascii="仿宋" w:hAnsi="仿宋" w:eastAsia="仿宋" w:cs="仿宋_GB2312"/>
                <w:color w:val="auto"/>
                <w:sz w:val="24"/>
                <w:highlight w:val="none"/>
              </w:rPr>
            </w:pPr>
          </w:p>
        </w:tc>
        <w:tc>
          <w:tcPr>
            <w:tcW w:w="1320" w:type="dxa"/>
            <w:noWrap w:val="0"/>
            <w:vAlign w:val="center"/>
          </w:tcPr>
          <w:p>
            <w:pPr>
              <w:widowControl/>
              <w:spacing w:line="240" w:lineRule="auto"/>
              <w:jc w:val="center"/>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企业荣誉</w:t>
            </w:r>
          </w:p>
        </w:tc>
        <w:tc>
          <w:tcPr>
            <w:tcW w:w="5445" w:type="dxa"/>
            <w:noWrap w:val="0"/>
            <w:vAlign w:val="center"/>
          </w:tcPr>
          <w:p>
            <w:pPr>
              <w:spacing w:line="240" w:lineRule="auto"/>
              <w:jc w:val="left"/>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eastAsia="zh-CN"/>
              </w:rPr>
              <w:t>投标人自</w:t>
            </w:r>
            <w:r>
              <w:rPr>
                <w:rFonts w:hint="eastAsia" w:ascii="仿宋" w:hAnsi="仿宋" w:eastAsia="仿宋" w:cs="仿宋_GB2312"/>
                <w:color w:val="auto"/>
                <w:sz w:val="24"/>
                <w:highlight w:val="none"/>
                <w:lang w:val="en-US" w:eastAsia="zh-CN"/>
              </w:rPr>
              <w:t>2019年1月1日至今（以获奖证书落款或文件时间为准），获得过区、县级政府部门颁发的保洁方面荣誉的，得1分；获得过市级及以上政府部门颁发的保洁方面荣誉的，得2分。本项最多提供一个荣誉。</w:t>
            </w:r>
          </w:p>
          <w:p>
            <w:pPr>
              <w:spacing w:line="240" w:lineRule="auto"/>
              <w:jc w:val="left"/>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投标文件中提供</w:t>
            </w:r>
            <w:r>
              <w:rPr>
                <w:rFonts w:hint="eastAsia" w:ascii="仿宋" w:hAnsi="仿宋" w:eastAsia="仿宋" w:cs="仿宋_GB2312"/>
                <w:color w:val="auto"/>
                <w:sz w:val="24"/>
                <w:highlight w:val="none"/>
                <w:lang w:eastAsia="zh-CN"/>
              </w:rPr>
              <w:t>文件或</w:t>
            </w:r>
            <w:r>
              <w:rPr>
                <w:rFonts w:hint="eastAsia" w:ascii="仿宋" w:hAnsi="仿宋" w:eastAsia="仿宋" w:cs="仿宋_GB2312"/>
                <w:color w:val="auto"/>
                <w:sz w:val="24"/>
                <w:highlight w:val="none"/>
              </w:rPr>
              <w:t>证书</w:t>
            </w:r>
            <w:r>
              <w:rPr>
                <w:rFonts w:hint="eastAsia" w:ascii="仿宋" w:hAnsi="仿宋" w:eastAsia="仿宋" w:cs="仿宋_GB2312"/>
                <w:color w:val="auto"/>
                <w:sz w:val="24"/>
                <w:highlight w:val="none"/>
                <w:lang w:eastAsia="zh-CN"/>
              </w:rPr>
              <w:t>复印件或</w:t>
            </w:r>
            <w:r>
              <w:rPr>
                <w:rFonts w:hint="eastAsia" w:ascii="仿宋" w:hAnsi="仿宋" w:eastAsia="仿宋" w:cs="仿宋_GB2312"/>
                <w:color w:val="auto"/>
                <w:sz w:val="24"/>
                <w:highlight w:val="none"/>
              </w:rPr>
              <w:t>扫描件并加盖</w:t>
            </w:r>
            <w:r>
              <w:rPr>
                <w:rFonts w:hint="eastAsia" w:ascii="仿宋" w:hAnsi="仿宋" w:eastAsia="仿宋" w:cs="仿宋_GB2312"/>
                <w:color w:val="auto"/>
                <w:sz w:val="24"/>
                <w:highlight w:val="none"/>
                <w:lang w:eastAsia="zh-CN"/>
              </w:rPr>
              <w:t>投标人电子印章</w:t>
            </w:r>
            <w:r>
              <w:rPr>
                <w:rFonts w:hint="eastAsia" w:ascii="仿宋" w:hAnsi="仿宋" w:eastAsia="仿宋" w:cs="仿宋_GB2312"/>
                <w:color w:val="auto"/>
                <w:sz w:val="24"/>
                <w:highlight w:val="none"/>
              </w:rPr>
              <w:t>，否则不得分</w:t>
            </w:r>
          </w:p>
        </w:tc>
        <w:tc>
          <w:tcPr>
            <w:tcW w:w="812" w:type="dxa"/>
            <w:noWrap w:val="0"/>
            <w:vAlign w:val="center"/>
          </w:tcPr>
          <w:p>
            <w:pPr>
              <w:widowControl/>
              <w:spacing w:line="240" w:lineRule="auto"/>
              <w:jc w:val="center"/>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1" w:hRule="atLeast"/>
          <w:jc w:val="center"/>
        </w:trPr>
        <w:tc>
          <w:tcPr>
            <w:tcW w:w="723" w:type="dxa"/>
            <w:vMerge w:val="continue"/>
            <w:noWrap w:val="0"/>
            <w:vAlign w:val="center"/>
          </w:tcPr>
          <w:p>
            <w:pPr>
              <w:widowControl/>
              <w:spacing w:line="240" w:lineRule="auto"/>
              <w:ind w:firstLine="480" w:firstLineChars="200"/>
              <w:rPr>
                <w:rFonts w:ascii="仿宋" w:hAnsi="仿宋" w:eastAsia="仿宋" w:cs="仿宋_GB2312"/>
                <w:color w:val="auto"/>
                <w:sz w:val="24"/>
                <w:highlight w:val="none"/>
              </w:rPr>
            </w:pPr>
          </w:p>
        </w:tc>
        <w:tc>
          <w:tcPr>
            <w:tcW w:w="1320" w:type="dxa"/>
            <w:noWrap w:val="0"/>
            <w:vAlign w:val="center"/>
          </w:tcPr>
          <w:p>
            <w:pPr>
              <w:widowControl/>
              <w:spacing w:line="24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企业业绩</w:t>
            </w:r>
          </w:p>
        </w:tc>
        <w:tc>
          <w:tcPr>
            <w:tcW w:w="5445" w:type="dxa"/>
            <w:noWrap w:val="0"/>
            <w:vAlign w:val="center"/>
          </w:tcPr>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eastAsia="zh-CN"/>
              </w:rPr>
              <w:t>投标人自</w:t>
            </w:r>
            <w:r>
              <w:rPr>
                <w:rFonts w:hint="eastAsia" w:ascii="仿宋" w:hAnsi="仿宋" w:eastAsia="仿宋" w:cs="仿宋_GB2312"/>
                <w:color w:val="auto"/>
                <w:sz w:val="24"/>
                <w:highlight w:val="none"/>
                <w:lang w:val="en-US" w:eastAsia="zh-CN"/>
              </w:rPr>
              <w:t xml:space="preserve">2019年1月1日（以合同签订时间为准）以来，承担过类似垃圾清运项目，每个合同得1分，最多得3分。（同一项目首次合同和续签合同仅算一次）  </w:t>
            </w:r>
          </w:p>
          <w:p>
            <w:pPr>
              <w:widowControl/>
              <w:spacing w:line="24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投标文件中需提供合同</w:t>
            </w:r>
            <w:r>
              <w:rPr>
                <w:rFonts w:hint="eastAsia" w:ascii="仿宋" w:hAnsi="仿宋" w:eastAsia="仿宋" w:cs="仿宋_GB2312"/>
                <w:color w:val="auto"/>
                <w:sz w:val="24"/>
                <w:highlight w:val="none"/>
                <w:lang w:eastAsia="zh-CN"/>
              </w:rPr>
              <w:t>复印件或</w:t>
            </w:r>
            <w:r>
              <w:rPr>
                <w:rFonts w:hint="eastAsia" w:ascii="仿宋" w:hAnsi="仿宋" w:eastAsia="仿宋" w:cs="仿宋_GB2312"/>
                <w:color w:val="auto"/>
                <w:sz w:val="24"/>
                <w:highlight w:val="none"/>
              </w:rPr>
              <w:t>扫描件并加盖</w:t>
            </w:r>
            <w:r>
              <w:rPr>
                <w:rFonts w:hint="eastAsia" w:ascii="仿宋" w:hAnsi="仿宋" w:eastAsia="仿宋" w:cs="仿宋_GB2312"/>
                <w:color w:val="auto"/>
                <w:sz w:val="24"/>
                <w:highlight w:val="none"/>
                <w:lang w:eastAsia="zh-CN"/>
              </w:rPr>
              <w:t>投标人电子印章</w:t>
            </w:r>
            <w:r>
              <w:rPr>
                <w:rFonts w:hint="eastAsia" w:ascii="仿宋" w:hAnsi="仿宋" w:eastAsia="仿宋" w:cs="仿宋_GB2312"/>
                <w:color w:val="auto"/>
                <w:sz w:val="24"/>
                <w:highlight w:val="none"/>
                <w:lang w:val="en-US" w:eastAsia="zh-CN"/>
              </w:rPr>
              <w:t>，未提供不得分</w:t>
            </w:r>
          </w:p>
        </w:tc>
        <w:tc>
          <w:tcPr>
            <w:tcW w:w="812" w:type="dxa"/>
            <w:noWrap w:val="0"/>
            <w:vAlign w:val="center"/>
          </w:tcPr>
          <w:p>
            <w:pPr>
              <w:widowControl/>
              <w:spacing w:line="240" w:lineRule="auto"/>
              <w:jc w:val="center"/>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3" w:type="dxa"/>
            <w:vMerge w:val="restart"/>
            <w:noWrap w:val="0"/>
            <w:vAlign w:val="center"/>
          </w:tcPr>
          <w:p>
            <w:pPr>
              <w:widowControl/>
              <w:spacing w:line="24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技术</w:t>
            </w:r>
          </w:p>
        </w:tc>
        <w:tc>
          <w:tcPr>
            <w:tcW w:w="1320" w:type="dxa"/>
            <w:noWrap w:val="0"/>
            <w:vAlign w:val="center"/>
          </w:tcPr>
          <w:p>
            <w:pPr>
              <w:widowControl/>
              <w:spacing w:line="24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车辆配备</w:t>
            </w:r>
          </w:p>
        </w:tc>
        <w:tc>
          <w:tcPr>
            <w:tcW w:w="5445" w:type="dxa"/>
            <w:noWrap w:val="0"/>
            <w:vAlign w:val="center"/>
          </w:tcPr>
          <w:p>
            <w:pPr>
              <w:widowControl/>
              <w:spacing w:line="240" w:lineRule="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根据招标文件第三部分采购需求中要求的设备设施配备情况是否符合进行打分：</w:t>
            </w:r>
          </w:p>
          <w:p>
            <w:pPr>
              <w:widowControl/>
              <w:spacing w:line="240" w:lineRule="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1、自有或租赁</w:t>
            </w:r>
            <w:r>
              <w:rPr>
                <w:rFonts w:hint="eastAsia" w:ascii="仿宋" w:hAnsi="仿宋" w:eastAsia="仿宋" w:cs="仿宋_GB2312"/>
                <w:color w:val="auto"/>
                <w:sz w:val="24"/>
                <w:highlight w:val="none"/>
                <w:lang w:val="en-US" w:eastAsia="zh-CN"/>
              </w:rPr>
              <w:t>1</w:t>
            </w:r>
            <w:r>
              <w:rPr>
                <w:rFonts w:hint="eastAsia" w:ascii="仿宋" w:hAnsi="仿宋" w:eastAsia="仿宋" w:cs="仿宋_GB2312"/>
                <w:color w:val="auto"/>
                <w:sz w:val="24"/>
                <w:highlight w:val="none"/>
                <w:lang w:eastAsia="zh-CN"/>
              </w:rPr>
              <w:t>辆30型铲车的，得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lang w:eastAsia="zh-CN"/>
              </w:rPr>
              <w:t>分</w:t>
            </w:r>
            <w:r>
              <w:rPr>
                <w:rFonts w:hint="eastAsia" w:ascii="仿宋" w:hAnsi="仿宋" w:eastAsia="仿宋" w:cs="仿宋_GB2312"/>
                <w:color w:val="auto"/>
                <w:sz w:val="24"/>
                <w:highlight w:val="none"/>
                <w:lang w:val="en-US" w:eastAsia="zh-CN"/>
              </w:rPr>
              <w:t>；</w:t>
            </w:r>
          </w:p>
          <w:p>
            <w:pPr>
              <w:widowControl/>
              <w:spacing w:line="240" w:lineRule="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2、自有或租赁</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lang w:eastAsia="zh-CN"/>
              </w:rPr>
              <w:t>辆载重在8.5t及以上垃圾压缩清运车的，每辆得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lang w:eastAsia="zh-CN"/>
              </w:rPr>
              <w:t>分，</w:t>
            </w:r>
            <w:r>
              <w:rPr>
                <w:rFonts w:hint="eastAsia" w:ascii="仿宋" w:hAnsi="仿宋" w:eastAsia="仿宋" w:cs="仿宋_GB2312"/>
                <w:color w:val="auto"/>
                <w:sz w:val="24"/>
                <w:highlight w:val="none"/>
                <w:lang w:val="en-US" w:eastAsia="zh-CN"/>
              </w:rPr>
              <w:t>最多得4分；</w:t>
            </w:r>
          </w:p>
          <w:p>
            <w:pPr>
              <w:widowControl/>
              <w:spacing w:line="240" w:lineRule="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3、自有或租赁</w:t>
            </w:r>
            <w:r>
              <w:rPr>
                <w:rFonts w:hint="eastAsia" w:ascii="仿宋" w:hAnsi="仿宋" w:eastAsia="仿宋" w:cs="仿宋_GB2312"/>
                <w:color w:val="auto"/>
                <w:sz w:val="24"/>
                <w:highlight w:val="none"/>
                <w:lang w:val="en-US" w:eastAsia="zh-CN"/>
              </w:rPr>
              <w:t>1</w:t>
            </w:r>
            <w:r>
              <w:rPr>
                <w:rFonts w:hint="eastAsia" w:ascii="仿宋" w:hAnsi="仿宋" w:eastAsia="仿宋" w:cs="仿宋_GB2312"/>
                <w:color w:val="auto"/>
                <w:sz w:val="24"/>
                <w:highlight w:val="none"/>
                <w:lang w:eastAsia="zh-CN"/>
              </w:rPr>
              <w:t>辆总质量在</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lang w:eastAsia="zh-CN"/>
              </w:rPr>
              <w:t>5t及以上密封装卸式垃圾车（符合环卫处要求）的，得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lang w:eastAsia="zh-CN"/>
              </w:rPr>
              <w:t>分。</w:t>
            </w:r>
          </w:p>
          <w:p>
            <w:pPr>
              <w:widowControl/>
              <w:spacing w:line="240" w:lineRule="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投标文件中须提供车辆的行驶证复印件、车辆登记证复印件</w:t>
            </w: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lang w:eastAsia="zh-CN"/>
              </w:rPr>
              <w:t>车辆购买原始发票复印件或</w:t>
            </w:r>
            <w:r>
              <w:rPr>
                <w:rFonts w:hint="eastAsia" w:ascii="仿宋" w:hAnsi="仿宋" w:eastAsia="仿宋" w:cs="仿宋_GB2312"/>
                <w:color w:val="auto"/>
                <w:sz w:val="24"/>
                <w:highlight w:val="none"/>
              </w:rPr>
              <w:t>扫描件并加盖</w:t>
            </w:r>
            <w:r>
              <w:rPr>
                <w:rFonts w:hint="eastAsia" w:ascii="仿宋" w:hAnsi="仿宋" w:eastAsia="仿宋" w:cs="仿宋_GB2312"/>
                <w:color w:val="auto"/>
                <w:sz w:val="24"/>
                <w:highlight w:val="none"/>
                <w:lang w:eastAsia="zh-CN"/>
              </w:rPr>
              <w:t>投标人电子印章，并同时提供设备用于本项目的书面承诺书（格式详见商务技术文件部分“七、承诺书”），</w:t>
            </w:r>
            <w:r>
              <w:rPr>
                <w:rFonts w:hint="eastAsia" w:ascii="仿宋" w:hAnsi="仿宋" w:eastAsia="仿宋" w:cs="仿宋_GB2312"/>
                <w:color w:val="auto"/>
                <w:sz w:val="24"/>
                <w:highlight w:val="none"/>
                <w:lang w:val="en-US" w:eastAsia="zh-CN"/>
              </w:rPr>
              <w:t>车辆如是租赁的，另需提供</w:t>
            </w:r>
            <w:r>
              <w:rPr>
                <w:rFonts w:hint="eastAsia" w:ascii="仿宋" w:hAnsi="仿宋" w:eastAsia="仿宋" w:cs="仿宋_GB2312"/>
                <w:color w:val="auto"/>
                <w:sz w:val="24"/>
                <w:highlight w:val="none"/>
                <w:lang w:eastAsia="zh-CN"/>
              </w:rPr>
              <w:t>租赁合同复印件或</w:t>
            </w:r>
            <w:r>
              <w:rPr>
                <w:rFonts w:hint="eastAsia" w:ascii="仿宋" w:hAnsi="仿宋" w:eastAsia="仿宋" w:cs="仿宋_GB2312"/>
                <w:color w:val="auto"/>
                <w:sz w:val="24"/>
                <w:highlight w:val="none"/>
              </w:rPr>
              <w:t>扫描件并加盖</w:t>
            </w:r>
            <w:r>
              <w:rPr>
                <w:rFonts w:hint="eastAsia" w:ascii="仿宋" w:hAnsi="仿宋" w:eastAsia="仿宋" w:cs="仿宋_GB2312"/>
                <w:color w:val="auto"/>
                <w:sz w:val="24"/>
                <w:highlight w:val="none"/>
                <w:lang w:eastAsia="zh-CN"/>
              </w:rPr>
              <w:t>投标人电子印章，年检过期的车辆不予认可，提供资料不齐全的，相应评分条款不得分；自有车辆产权属于投标人（含分公司）的，方予以认可；车辆产权属于子公司或控股公司的均不予认可。</w:t>
            </w:r>
          </w:p>
        </w:tc>
        <w:tc>
          <w:tcPr>
            <w:tcW w:w="812" w:type="dxa"/>
            <w:noWrap w:val="0"/>
            <w:vAlign w:val="center"/>
          </w:tcPr>
          <w:p>
            <w:pPr>
              <w:widowControl/>
              <w:spacing w:line="240" w:lineRule="auto"/>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723" w:type="dxa"/>
            <w:vMerge w:val="continue"/>
            <w:noWrap w:val="0"/>
            <w:vAlign w:val="center"/>
          </w:tcPr>
          <w:p>
            <w:pPr>
              <w:widowControl/>
              <w:spacing w:line="240" w:lineRule="auto"/>
              <w:rPr>
                <w:rFonts w:hint="eastAsia" w:ascii="仿宋" w:hAnsi="仿宋" w:eastAsia="仿宋" w:cs="仿宋_GB2312"/>
                <w:color w:val="auto"/>
                <w:sz w:val="24"/>
                <w:highlight w:val="none"/>
              </w:rPr>
            </w:pPr>
          </w:p>
        </w:tc>
        <w:tc>
          <w:tcPr>
            <w:tcW w:w="1320" w:type="dxa"/>
            <w:noWrap w:val="0"/>
            <w:vAlign w:val="center"/>
          </w:tcPr>
          <w:p>
            <w:pPr>
              <w:widowControl/>
              <w:spacing w:line="24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人员配备</w:t>
            </w:r>
          </w:p>
        </w:tc>
        <w:tc>
          <w:tcPr>
            <w:tcW w:w="5445" w:type="dxa"/>
            <w:noWrap w:val="0"/>
            <w:vAlign w:val="center"/>
          </w:tcPr>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1、投标人为本项目配备的项目负责人：</w:t>
            </w:r>
          </w:p>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项目负责人为投标人缴纳社保的正式员工、大专及以上学历，担任过类似项目的项目负责人且业主评价为优的，得1分。</w:t>
            </w:r>
          </w:p>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投标文件中提供学历证书、相关证明文件（需加盖提供单位的公章）及项目负责人近三个月社保缴纳证明复印件或扫描件并加盖投标人电子印章。</w:t>
            </w:r>
          </w:p>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2、投标人为本项目配备的除项目经理外其他人员：</w:t>
            </w:r>
          </w:p>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（1）配备1名电工（提供电工证）得1分。</w:t>
            </w:r>
          </w:p>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（2）配齐所需相应车辆的驾驶员（提供驾驶证）得1分。</w:t>
            </w:r>
          </w:p>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（3）具备环卫类（或环境类）工程师等相应专业职称的，得1分。</w:t>
            </w:r>
          </w:p>
          <w:p>
            <w:pPr>
              <w:widowControl/>
              <w:spacing w:line="240" w:lineRule="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投标文件中提供相关证书及人员近三个月社保缴纳证明复印件或扫描件并加盖投标人电子印章。</w:t>
            </w:r>
          </w:p>
        </w:tc>
        <w:tc>
          <w:tcPr>
            <w:tcW w:w="812" w:type="dxa"/>
            <w:noWrap w:val="0"/>
            <w:vAlign w:val="center"/>
          </w:tcPr>
          <w:p>
            <w:pPr>
              <w:widowControl/>
              <w:spacing w:line="240" w:lineRule="auto"/>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723" w:type="dxa"/>
            <w:vMerge w:val="continue"/>
            <w:noWrap w:val="0"/>
            <w:vAlign w:val="center"/>
          </w:tcPr>
          <w:p>
            <w:pPr>
              <w:widowControl/>
              <w:spacing w:line="240" w:lineRule="auto"/>
              <w:rPr>
                <w:rFonts w:hint="eastAsia" w:ascii="仿宋" w:hAnsi="仿宋" w:eastAsia="仿宋" w:cs="仿宋_GB2312"/>
                <w:color w:val="auto"/>
                <w:sz w:val="24"/>
                <w:highlight w:val="none"/>
              </w:rPr>
            </w:pPr>
          </w:p>
        </w:tc>
        <w:tc>
          <w:tcPr>
            <w:tcW w:w="1320" w:type="dxa"/>
            <w:noWrap w:val="0"/>
            <w:vAlign w:val="center"/>
          </w:tcPr>
          <w:p>
            <w:pPr>
              <w:widowControl/>
              <w:spacing w:line="24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垃圾定时上门收集管理方案</w:t>
            </w:r>
          </w:p>
        </w:tc>
        <w:tc>
          <w:tcPr>
            <w:tcW w:w="5445" w:type="dxa"/>
            <w:noWrap w:val="0"/>
            <w:vAlign w:val="center"/>
          </w:tcPr>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根据本招标项目实际情况制定方案，方案内容中至少包含生活垃圾上门收集、居民宣传的管理方案。评委会根据方案的完整性、合理性进行综合评审、横向对比，优秀12分，良好8分，一般4分，未提供不得分。</w:t>
            </w:r>
          </w:p>
        </w:tc>
        <w:tc>
          <w:tcPr>
            <w:tcW w:w="812" w:type="dxa"/>
            <w:noWrap w:val="0"/>
            <w:vAlign w:val="center"/>
          </w:tcPr>
          <w:p>
            <w:pPr>
              <w:widowControl/>
              <w:spacing w:line="240" w:lineRule="auto"/>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3" w:type="dxa"/>
            <w:vMerge w:val="continue"/>
            <w:noWrap w:val="0"/>
            <w:vAlign w:val="center"/>
          </w:tcPr>
          <w:p>
            <w:pPr>
              <w:widowControl/>
              <w:spacing w:line="240" w:lineRule="auto"/>
              <w:rPr>
                <w:rFonts w:hint="eastAsia" w:ascii="仿宋" w:hAnsi="仿宋" w:eastAsia="仿宋" w:cs="仿宋_GB2312"/>
                <w:color w:val="auto"/>
                <w:sz w:val="24"/>
                <w:highlight w:val="none"/>
              </w:rPr>
            </w:pPr>
          </w:p>
        </w:tc>
        <w:tc>
          <w:tcPr>
            <w:tcW w:w="1320" w:type="dxa"/>
            <w:noWrap w:val="0"/>
            <w:vAlign w:val="center"/>
          </w:tcPr>
          <w:p>
            <w:pPr>
              <w:widowControl/>
              <w:spacing w:line="24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企业管理制度</w:t>
            </w:r>
          </w:p>
        </w:tc>
        <w:tc>
          <w:tcPr>
            <w:tcW w:w="5445" w:type="dxa"/>
            <w:noWrap w:val="0"/>
            <w:vAlign w:val="center"/>
          </w:tcPr>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1、投标文件提供员工管理制度，评委会根据制度的完整性、合理性进行综合评审、横向对比，优秀3分，良好2分，一般1分，未提供不得分。</w:t>
            </w:r>
          </w:p>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2、投标文件提供企业财务制度，评委会根据制度的完整性、合理性进行综合评审、横向对比，优秀3分，良好2分，一般1分，未提供不得分。</w:t>
            </w:r>
          </w:p>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3、投标文件提供垃圾清运机械化作业管理制度，人工作业管理制度，评委会根据制度的完整性、合理性进行综合评审、横向对比，优秀3分，良好2分，一般1分，未提供不得分。</w:t>
            </w:r>
          </w:p>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4、投标文件提供中转站管理和垃圾收运作业管理制度，评委会根据制度的完整性、合理性进行综合评审、横向对比，优秀3分，良好2分，一般1分，未提供不得分。</w:t>
            </w:r>
          </w:p>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5、投标文件提供企业内部员工监督管理机制制度和考核制度，评委会根据制度的完整性、合理性进行综合评审、横向对比，优秀3分，良好2分，一般1分，未提供不得分。</w:t>
            </w:r>
          </w:p>
          <w:p>
            <w:pPr>
              <w:widowControl/>
              <w:spacing w:line="240" w:lineRule="auto"/>
              <w:rPr>
                <w:rFonts w:hint="eastAsia"/>
                <w:color w:val="auto"/>
                <w:highlight w:val="none"/>
                <w:lang w:val="en-US" w:eastAsia="zh-CN"/>
              </w:rPr>
            </w:pPr>
            <w:r>
              <w:rPr>
                <w:rFonts w:hint="eastAsia" w:ascii="仿宋" w:hAnsi="仿宋" w:eastAsia="仿宋" w:cs="仿宋_GB2312"/>
                <w:color w:val="auto"/>
                <w:sz w:val="24"/>
                <w:highlight w:val="none"/>
                <w:lang w:val="en-US" w:eastAsia="zh-CN"/>
              </w:rPr>
              <w:t>6、投标文件提供安全生产管理制度（安全生产检查及台帐资料、教育培训制度、管理预案、设施配备、风险规避措施及安全生产文明作业保障措施），评委会根据制度的完整性、合理性进行综合评审、横向对比，优秀3分，良好2分，一般1分，未提供不得分。</w:t>
            </w:r>
          </w:p>
        </w:tc>
        <w:tc>
          <w:tcPr>
            <w:tcW w:w="812" w:type="dxa"/>
            <w:noWrap w:val="0"/>
            <w:vAlign w:val="center"/>
          </w:tcPr>
          <w:p>
            <w:pPr>
              <w:widowControl/>
              <w:spacing w:line="240" w:lineRule="auto"/>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3" w:type="dxa"/>
            <w:vMerge w:val="continue"/>
            <w:noWrap w:val="0"/>
            <w:vAlign w:val="center"/>
          </w:tcPr>
          <w:p>
            <w:pPr>
              <w:widowControl/>
              <w:spacing w:line="240" w:lineRule="auto"/>
              <w:rPr>
                <w:rFonts w:hint="eastAsia" w:ascii="仿宋" w:hAnsi="仿宋" w:eastAsia="仿宋" w:cs="仿宋_GB2312"/>
                <w:color w:val="auto"/>
                <w:sz w:val="24"/>
                <w:highlight w:val="none"/>
              </w:rPr>
            </w:pPr>
          </w:p>
        </w:tc>
        <w:tc>
          <w:tcPr>
            <w:tcW w:w="1320" w:type="dxa"/>
            <w:noWrap w:val="0"/>
            <w:vAlign w:val="center"/>
          </w:tcPr>
          <w:p>
            <w:pPr>
              <w:widowControl/>
              <w:spacing w:line="24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eastAsia="zh-CN"/>
              </w:rPr>
              <w:t>垃圾收集、运输及中转站管理方案</w:t>
            </w:r>
          </w:p>
        </w:tc>
        <w:tc>
          <w:tcPr>
            <w:tcW w:w="5445" w:type="dxa"/>
            <w:noWrap w:val="0"/>
            <w:vAlign w:val="center"/>
          </w:tcPr>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根据本招标项目实际情况制定方案，方案内容中至少包含垃圾收集、清运、处置和中转站的管理方案。评委会根据方案的完整性、合理性进行综合评审、横向对比，优秀10分，良好6分，一般2分，未提供不得分。</w:t>
            </w:r>
          </w:p>
        </w:tc>
        <w:tc>
          <w:tcPr>
            <w:tcW w:w="812" w:type="dxa"/>
            <w:noWrap w:val="0"/>
            <w:vAlign w:val="center"/>
          </w:tcPr>
          <w:p>
            <w:pPr>
              <w:widowControl/>
              <w:spacing w:line="240" w:lineRule="auto"/>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723" w:type="dxa"/>
            <w:vMerge w:val="continue"/>
            <w:noWrap w:val="0"/>
            <w:vAlign w:val="center"/>
          </w:tcPr>
          <w:p>
            <w:pPr>
              <w:widowControl/>
              <w:spacing w:line="240" w:lineRule="auto"/>
              <w:rPr>
                <w:rFonts w:hint="eastAsia" w:ascii="仿宋" w:hAnsi="仿宋" w:eastAsia="仿宋" w:cs="仿宋_GB2312"/>
                <w:color w:val="auto"/>
                <w:sz w:val="24"/>
                <w:highlight w:val="none"/>
              </w:rPr>
            </w:pPr>
          </w:p>
        </w:tc>
        <w:tc>
          <w:tcPr>
            <w:tcW w:w="1320" w:type="dxa"/>
            <w:noWrap w:val="0"/>
            <w:vAlign w:val="center"/>
          </w:tcPr>
          <w:p>
            <w:pPr>
              <w:widowControl/>
              <w:spacing w:line="240" w:lineRule="auto"/>
              <w:jc w:val="center"/>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应急保障方案</w:t>
            </w:r>
          </w:p>
        </w:tc>
        <w:tc>
          <w:tcPr>
            <w:tcW w:w="5445" w:type="dxa"/>
            <w:noWrap w:val="0"/>
            <w:vAlign w:val="center"/>
          </w:tcPr>
          <w:p>
            <w:pPr>
              <w:widowControl/>
              <w:spacing w:line="240" w:lineRule="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根据</w:t>
            </w:r>
            <w:r>
              <w:rPr>
                <w:rFonts w:hint="eastAsia" w:ascii="仿宋" w:hAnsi="仿宋" w:eastAsia="仿宋" w:cs="仿宋_GB2312"/>
                <w:color w:val="auto"/>
                <w:sz w:val="24"/>
                <w:highlight w:val="none"/>
                <w:lang w:val="en-US" w:eastAsia="en-US"/>
              </w:rPr>
              <w:t>突发事故、应急响应及配合重大活动的</w:t>
            </w:r>
            <w:r>
              <w:rPr>
                <w:rFonts w:hint="eastAsia" w:ascii="仿宋" w:hAnsi="仿宋" w:eastAsia="仿宋" w:cs="仿宋_GB2312"/>
                <w:color w:val="auto"/>
                <w:sz w:val="24"/>
                <w:highlight w:val="none"/>
                <w:lang w:val="en-US" w:eastAsia="zh-CN"/>
              </w:rPr>
              <w:t>工作预案。评委会根据方案的科学性、合理性和可操作性进行综合评审、横向对比，优秀10分，良好6分，一般2分，未提供不得分。</w:t>
            </w:r>
          </w:p>
        </w:tc>
        <w:tc>
          <w:tcPr>
            <w:tcW w:w="812" w:type="dxa"/>
            <w:noWrap w:val="0"/>
            <w:vAlign w:val="center"/>
          </w:tcPr>
          <w:p>
            <w:pPr>
              <w:widowControl/>
              <w:spacing w:line="240" w:lineRule="auto"/>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10分</w:t>
            </w:r>
          </w:p>
        </w:tc>
      </w:tr>
    </w:tbl>
    <w:p>
      <w:pPr>
        <w:pStyle w:val="221"/>
        <w:spacing w:before="0"/>
        <w:ind w:firstLine="482"/>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（计算得分时，按其算术平均值保留小数点后2位；评审小组成员个人主观打分偏离所有评审小组成员主观打分平均值30%以上的，由评审委员会启动评分畸高、畸低行为认定程序。）</w:t>
      </w:r>
    </w:p>
    <w:p>
      <w:pPr>
        <w:widowControl/>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价格分（</w:t>
      </w:r>
      <w:r>
        <w:rPr>
          <w:rFonts w:hint="eastAsia" w:ascii="仿宋" w:hAnsi="仿宋" w:eastAsia="仿宋" w:cs="Arial"/>
          <w:color w:val="auto"/>
          <w:kern w:val="0"/>
          <w:sz w:val="24"/>
          <w:highlight w:val="none"/>
          <w:lang w:val="en-US" w:eastAsia="zh-CN"/>
        </w:rPr>
        <w:t>30</w:t>
      </w:r>
      <w:r>
        <w:rPr>
          <w:rFonts w:hint="eastAsia" w:ascii="仿宋" w:hAnsi="仿宋" w:eastAsia="仿宋" w:cs="仿宋_GB2312"/>
          <w:color w:val="auto"/>
          <w:sz w:val="24"/>
          <w:highlight w:val="none"/>
        </w:rPr>
        <w:t>分）</w:t>
      </w:r>
    </w:p>
    <w:tbl>
      <w:tblPr>
        <w:tblStyle w:val="60"/>
        <w:tblW w:w="83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2"/>
        <w:gridCol w:w="6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210" w:type="dxa"/>
            <w:tcBorders>
              <w:top w:val="single" w:color="auto" w:sz="4" w:space="0"/>
              <w:left w:val="single" w:color="auto" w:sz="4" w:space="0"/>
              <w:bottom w:val="single" w:color="auto" w:sz="4" w:space="0"/>
              <w:right w:val="single" w:color="auto" w:sz="4" w:space="0"/>
            </w:tcBorders>
            <w:noWrap/>
            <w:vAlign w:val="bottom"/>
          </w:tcPr>
          <w:p>
            <w:pPr>
              <w:widowControl/>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价格权值</w:t>
            </w:r>
          </w:p>
        </w:tc>
        <w:tc>
          <w:tcPr>
            <w:tcW w:w="6599"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firstLineChars="20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计算方法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rPr>
              <w:t>价格权值</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0.</w:t>
            </w:r>
            <w:r>
              <w:rPr>
                <w:rFonts w:hint="eastAsia" w:ascii="仿宋" w:hAnsi="仿宋" w:eastAsia="仿宋" w:cs="Arial"/>
                <w:color w:val="auto"/>
                <w:kern w:val="0"/>
                <w:sz w:val="24"/>
                <w:highlight w:val="none"/>
                <w:lang w:val="en-US" w:eastAsia="zh-CN"/>
              </w:rPr>
              <w:t>30</w:t>
            </w:r>
          </w:p>
        </w:tc>
        <w:tc>
          <w:tcPr>
            <w:tcW w:w="6599"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最低有效投标价格为评标基准价</w:t>
            </w:r>
          </w:p>
          <w:p>
            <w:pPr>
              <w:widowControl/>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投标报价得分</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评标基准价／投标报价</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×价格权值×</w:t>
            </w:r>
            <w:r>
              <w:rPr>
                <w:rFonts w:ascii="仿宋" w:hAnsi="仿宋" w:eastAsia="仿宋" w:cs="仿宋_GB2312"/>
                <w:color w:val="auto"/>
                <w:sz w:val="24"/>
                <w:highlight w:val="none"/>
              </w:rPr>
              <w:t xml:space="preserve">100 </w:t>
            </w:r>
          </w:p>
          <w:p>
            <w:pPr>
              <w:widowControl/>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（计算得分保留小数点后</w:t>
            </w: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位）</w:t>
            </w:r>
          </w:p>
        </w:tc>
      </w:tr>
    </w:tbl>
    <w:p>
      <w:pPr>
        <w:widowControl/>
        <w:spacing w:line="360" w:lineRule="auto"/>
        <w:ind w:firstLine="480" w:firstLineChars="200"/>
        <w:rPr>
          <w:rFonts w:hint="eastAsia" w:ascii="仿宋" w:hAnsi="仿宋" w:eastAsia="仿宋" w:cs="仿宋_GB2312"/>
          <w:color w:val="auto"/>
          <w:sz w:val="24"/>
          <w:highlight w:val="none"/>
        </w:rPr>
      </w:pPr>
    </w:p>
    <w:p>
      <w:pPr>
        <w:widowControl/>
        <w:spacing w:line="360" w:lineRule="auto"/>
        <w:ind w:firstLine="480" w:firstLineChars="200"/>
        <w:rPr>
          <w:rFonts w:hint="eastAsia" w:ascii="仿宋" w:hAnsi="仿宋" w:eastAsia="仿宋" w:cs="仿宋_GB2312"/>
          <w:color w:val="auto"/>
          <w:sz w:val="24"/>
          <w:highlight w:val="none"/>
        </w:rPr>
      </w:pPr>
    </w:p>
    <w:p>
      <w:pPr>
        <w:widowControl/>
        <w:spacing w:line="360" w:lineRule="auto"/>
        <w:ind w:firstLine="480" w:firstLineChars="200"/>
        <w:rPr>
          <w:rFonts w:hint="eastAsia" w:ascii="仿宋" w:hAnsi="仿宋" w:eastAsia="仿宋" w:cs="仿宋_GB2312"/>
          <w:color w:val="auto"/>
          <w:sz w:val="24"/>
          <w:highlight w:val="none"/>
        </w:rPr>
      </w:pPr>
    </w:p>
    <w:p>
      <w:pPr>
        <w:widowControl/>
        <w:spacing w:line="360" w:lineRule="auto"/>
        <w:ind w:firstLine="480" w:firstLineChars="200"/>
        <w:rPr>
          <w:rFonts w:hint="eastAsia" w:ascii="仿宋" w:hAnsi="仿宋" w:eastAsia="仿宋" w:cs="仿宋_GB2312"/>
          <w:color w:val="auto"/>
          <w:sz w:val="24"/>
          <w:highlight w:val="none"/>
        </w:rPr>
      </w:pPr>
    </w:p>
    <w:p>
      <w:pPr>
        <w:widowControl/>
        <w:spacing w:line="360" w:lineRule="auto"/>
        <w:rPr>
          <w:rFonts w:hint="eastAsia" w:ascii="仿宋" w:hAnsi="仿宋" w:eastAsia="仿宋" w:cs="仿宋_GB2312"/>
          <w:color w:val="auto"/>
          <w:sz w:val="24"/>
          <w:highlight w:val="none"/>
        </w:rPr>
      </w:pPr>
    </w:p>
    <w:p>
      <w:pPr>
        <w:snapToGrid w:val="0"/>
        <w:spacing w:line="360" w:lineRule="auto"/>
        <w:rPr>
          <w:rFonts w:hint="eastAsia" w:ascii="仿宋" w:hAnsi="仿宋" w:eastAsia="仿宋" w:cs="Arial"/>
          <w:color w:val="auto"/>
          <w:kern w:val="0"/>
          <w:sz w:val="24"/>
          <w:highlight w:val="none"/>
        </w:rPr>
      </w:pPr>
    </w:p>
    <w:p>
      <w:pPr>
        <w:widowControl/>
        <w:spacing w:line="360" w:lineRule="auto"/>
        <w:ind w:firstLine="480" w:firstLineChars="200"/>
        <w:jc w:val="center"/>
        <w:rPr>
          <w:rFonts w:hint="eastAsia" w:ascii="仿宋" w:hAnsi="仿宋" w:eastAsia="仿宋" w:cs="仿宋_GB2312"/>
          <w:b/>
          <w:color w:val="auto"/>
          <w:sz w:val="36"/>
          <w:szCs w:val="36"/>
          <w:highlight w:val="none"/>
        </w:rPr>
      </w:pPr>
      <w:r>
        <w:rPr>
          <w:rFonts w:hint="eastAsia" w:ascii="仿宋" w:hAnsi="仿宋" w:eastAsia="仿宋" w:cs="仿宋_GB2312"/>
          <w:color w:val="auto"/>
          <w:sz w:val="24"/>
          <w:highlight w:val="none"/>
        </w:rPr>
        <w:br w:type="page"/>
      </w:r>
      <w:r>
        <w:rPr>
          <w:rFonts w:hint="eastAsia" w:ascii="仿宋" w:hAnsi="仿宋" w:eastAsia="仿宋" w:cs="仿宋_GB2312"/>
          <w:b/>
          <w:color w:val="auto"/>
          <w:sz w:val="36"/>
          <w:szCs w:val="36"/>
          <w:highlight w:val="none"/>
        </w:rPr>
        <w:t>第五部分</w:t>
      </w:r>
      <w:bookmarkEnd w:id="61"/>
      <w:r>
        <w:rPr>
          <w:rFonts w:hint="eastAsia" w:ascii="仿宋" w:hAnsi="仿宋" w:eastAsia="仿宋" w:cs="仿宋_GB2312"/>
          <w:b/>
          <w:color w:val="auto"/>
          <w:sz w:val="36"/>
          <w:szCs w:val="36"/>
          <w:highlight w:val="none"/>
        </w:rPr>
        <w:t xml:space="preserve"> 拟签订的合同文本</w:t>
      </w:r>
    </w:p>
    <w:p>
      <w:pPr>
        <w:widowControl/>
        <w:snapToGrid w:val="0"/>
        <w:spacing w:line="480" w:lineRule="exact"/>
        <w:rPr>
          <w:rFonts w:hint="eastAsia" w:ascii="仿宋" w:eastAsia="仿宋"/>
          <w:b/>
          <w:bCs/>
          <w:color w:val="auto"/>
          <w:kern w:val="0"/>
          <w:sz w:val="24"/>
          <w:highlight w:val="none"/>
          <w:u w:val="single"/>
        </w:rPr>
      </w:pPr>
      <w:bookmarkStart w:id="429" w:name="第五部分"/>
      <w:bookmarkStart w:id="430" w:name="_Toc86217003"/>
      <w:r>
        <w:rPr>
          <w:rFonts w:hint="eastAsia" w:ascii="仿宋" w:eastAsia="仿宋"/>
          <w:b/>
          <w:bCs/>
          <w:color w:val="auto"/>
          <w:kern w:val="0"/>
          <w:sz w:val="24"/>
          <w:highlight w:val="none"/>
          <w:u w:val="single"/>
        </w:rPr>
        <w:t>（合同按采购文件及中标供应商投标文件的内容制定，以下仅为部分主要条款）</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                                     合同编号：</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                                     确认书号：</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甲方（采购人）： </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乙方（供应商）： </w:t>
      </w:r>
    </w:p>
    <w:p>
      <w:pPr>
        <w:widowControl/>
        <w:snapToGrid w:val="0"/>
        <w:spacing w:line="480" w:lineRule="exact"/>
        <w:ind w:firstLine="480" w:firstLineChars="200"/>
        <w:rPr>
          <w:rFonts w:ascii="仿宋" w:eastAsia="仿宋"/>
          <w:color w:val="auto"/>
          <w:kern w:val="0"/>
          <w:sz w:val="24"/>
          <w:highlight w:val="none"/>
        </w:rPr>
      </w:pP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甲、乙双方根据</w:t>
      </w:r>
      <w:r>
        <w:rPr>
          <w:rFonts w:hint="eastAsia" w:ascii="仿宋" w:eastAsia="仿宋"/>
          <w:color w:val="auto"/>
          <w:kern w:val="0"/>
          <w:sz w:val="24"/>
          <w:highlight w:val="none"/>
          <w:u w:val="single"/>
        </w:rPr>
        <w:t xml:space="preserve">    （填写采购代理机构名称）   </w:t>
      </w:r>
      <w:r>
        <w:rPr>
          <w:rFonts w:hint="eastAsia" w:ascii="仿宋" w:eastAsia="仿宋"/>
          <w:color w:val="auto"/>
          <w:kern w:val="0"/>
          <w:sz w:val="24"/>
          <w:highlight w:val="none"/>
        </w:rPr>
        <w:t>项目编号为的</w:t>
      </w:r>
      <w:r>
        <w:rPr>
          <w:rFonts w:hint="eastAsia" w:ascii="仿宋" w:eastAsia="仿宋"/>
          <w:color w:val="auto"/>
          <w:kern w:val="0"/>
          <w:sz w:val="24"/>
          <w:highlight w:val="none"/>
          <w:u w:val="single"/>
        </w:rPr>
        <w:t>（标项及名称）</w:t>
      </w:r>
      <w:r>
        <w:rPr>
          <w:rFonts w:hint="eastAsia" w:ascii="仿宋" w:eastAsia="仿宋"/>
          <w:color w:val="auto"/>
          <w:kern w:val="0"/>
          <w:sz w:val="24"/>
          <w:highlight w:val="none"/>
        </w:rPr>
        <w:t>项目的政府采购交易结果，签署本合同。</w:t>
      </w:r>
    </w:p>
    <w:p>
      <w:pPr>
        <w:widowControl/>
        <w:numPr>
          <w:ilvl w:val="0"/>
          <w:numId w:val="0"/>
        </w:numPr>
        <w:adjustRightInd/>
        <w:snapToGrid w:val="0"/>
        <w:spacing w:line="480" w:lineRule="exact"/>
        <w:ind w:left="480" w:leftChars="0"/>
        <w:rPr>
          <w:rFonts w:ascii="仿宋" w:eastAsia="仿宋"/>
          <w:b/>
          <w:bCs/>
          <w:color w:val="auto"/>
          <w:kern w:val="0"/>
          <w:sz w:val="24"/>
          <w:highlight w:val="none"/>
        </w:rPr>
      </w:pPr>
      <w:r>
        <w:rPr>
          <w:rFonts w:hint="eastAsia" w:ascii="仿宋" w:eastAsia="仿宋"/>
          <w:b/>
          <w:bCs/>
          <w:color w:val="auto"/>
          <w:kern w:val="0"/>
          <w:sz w:val="24"/>
          <w:highlight w:val="none"/>
          <w:lang w:eastAsia="zh-CN"/>
        </w:rPr>
        <w:t>一、</w:t>
      </w:r>
      <w:r>
        <w:rPr>
          <w:rFonts w:hint="eastAsia" w:ascii="仿宋" w:eastAsia="仿宋"/>
          <w:b/>
          <w:bCs/>
          <w:color w:val="auto"/>
          <w:kern w:val="0"/>
          <w:sz w:val="24"/>
          <w:highlight w:val="none"/>
        </w:rPr>
        <w:t>服务内容及标准</w:t>
      </w:r>
    </w:p>
    <w:p>
      <w:pPr>
        <w:widowControl/>
        <w:snapToGrid w:val="0"/>
        <w:spacing w:line="480" w:lineRule="exact"/>
        <w:ind w:left="480"/>
        <w:rPr>
          <w:rFonts w:ascii="仿宋" w:eastAsia="仿宋"/>
          <w:color w:val="auto"/>
          <w:kern w:val="0"/>
          <w:sz w:val="24"/>
          <w:highlight w:val="none"/>
        </w:rPr>
      </w:pPr>
      <w:r>
        <w:rPr>
          <w:rFonts w:hint="eastAsia" w:ascii="仿宋" w:eastAsia="仿宋"/>
          <w:color w:val="auto"/>
          <w:kern w:val="0"/>
          <w:sz w:val="24"/>
          <w:highlight w:val="none"/>
        </w:rPr>
        <w:t>（按采购需求及投标文件的内容填写）</w:t>
      </w:r>
    </w:p>
    <w:p>
      <w:pPr>
        <w:widowControl/>
        <w:numPr>
          <w:ilvl w:val="0"/>
          <w:numId w:val="0"/>
        </w:numPr>
        <w:adjustRightInd/>
        <w:snapToGrid w:val="0"/>
        <w:spacing w:line="480" w:lineRule="exact"/>
        <w:ind w:left="480" w:leftChars="0"/>
        <w:rPr>
          <w:rFonts w:ascii="仿宋" w:eastAsia="仿宋"/>
          <w:b/>
          <w:bCs/>
          <w:color w:val="auto"/>
          <w:kern w:val="0"/>
          <w:sz w:val="24"/>
          <w:highlight w:val="none"/>
        </w:rPr>
      </w:pPr>
      <w:r>
        <w:rPr>
          <w:rFonts w:hint="eastAsia" w:ascii="仿宋" w:eastAsia="仿宋"/>
          <w:b/>
          <w:bCs/>
          <w:color w:val="auto"/>
          <w:kern w:val="0"/>
          <w:sz w:val="24"/>
          <w:highlight w:val="none"/>
          <w:lang w:eastAsia="zh-CN"/>
        </w:rPr>
        <w:t>二、</w:t>
      </w:r>
      <w:r>
        <w:rPr>
          <w:rFonts w:hint="eastAsia" w:ascii="仿宋" w:eastAsia="仿宋"/>
          <w:b/>
          <w:bCs/>
          <w:color w:val="auto"/>
          <w:kern w:val="0"/>
          <w:sz w:val="24"/>
          <w:highlight w:val="none"/>
        </w:rPr>
        <w:t>服务价格</w:t>
      </w:r>
    </w:p>
    <w:p>
      <w:pPr>
        <w:widowControl/>
        <w:snapToGrid w:val="0"/>
        <w:spacing w:line="480" w:lineRule="exact"/>
        <w:ind w:left="480"/>
        <w:rPr>
          <w:rFonts w:ascii="仿宋" w:eastAsia="仿宋"/>
          <w:color w:val="auto"/>
          <w:kern w:val="0"/>
          <w:sz w:val="24"/>
          <w:highlight w:val="none"/>
        </w:rPr>
      </w:pPr>
      <w:r>
        <w:rPr>
          <w:rFonts w:hint="eastAsia" w:ascii="仿宋" w:eastAsia="仿宋"/>
          <w:color w:val="auto"/>
          <w:kern w:val="0"/>
          <w:sz w:val="24"/>
          <w:highlight w:val="none"/>
        </w:rPr>
        <w:t>（有服务分项的，需报分项价格和总价）</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三、技术资料</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1.乙方应按采购文件规定的时间向甲方提供与本项目有关的技术资料。</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四、知识产权</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1、乙方应保证所提供的货物与服务均不会侵犯任何第三方的知识产权。</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2、乙方保证所交付的服务的所有权完全属于乙方且无任何抵押、查封等产权瑕疵。</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五、转包或分包</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不允许转包。</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lang w:eastAsia="zh-CN"/>
        </w:rPr>
        <w:t>不</w:t>
      </w:r>
      <w:r>
        <w:rPr>
          <w:rFonts w:hint="eastAsia" w:ascii="仿宋" w:eastAsia="仿宋"/>
          <w:color w:val="auto"/>
          <w:kern w:val="0"/>
          <w:sz w:val="24"/>
          <w:highlight w:val="none"/>
        </w:rPr>
        <w:t>允许分包。</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如乙方将项目转包或将不允许分包部分进行了分包，甲方有权解除合同，没收履约保证金并追究乙方的违约责任。</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六、履约保证金</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1.履约保证金元。[履约保证金交至采购人处，服务完成后满（   ）个月之日起5个工作日内无息退还]</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七、项目服务期限及实施地点</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1.服务期限：</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2.实施地点：</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八、付款</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付款方式：</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九、税费</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本合同执行中相关的一切税费均由乙方负担。</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十、违约责任</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1.甲方无正当理由拒绝验收项目的，甲方向乙方偿付拒收合同总价的百分之五违约金。</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2.甲方无故逾期验收和办理合同款项支付手续的,甲方应按逾期付款总额每日万分之五向乙方支付违约金。</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4.乙方所履行的服务质量或服务数量不符合合同规定及采购文件规定的，甲方有权中止接受服务，单方面解除合同，且相关损失由乙方承担。</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5.解除合同应按《浙江省合同管理办法》向财政备案。</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十四、不可抗力事件处理</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1.在合同有效期内，任何一方因不可抗力事件导致不能履行合同，则合同履行期可延长，其延长期与不可抗力影响期相同。</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2.不可抗力事件发生后，应立即通知对方，并寄送有关权威机构出具的证明。</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3.不可抗力事件延续120天以上，双方应通过友好协商，确定是否继续履行合同。</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十五、诉讼</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双方在执行合同中所发生的一切争议，应通过协商解决。如协商不成，可向甲方所在地法院起诉。</w:t>
      </w:r>
    </w:p>
    <w:p>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十六、合同生效及其他</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1.合同经甲、乙双方签名并加盖单位公章后生效。</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2.采购文件、投标文件与本合同具有同等法律效力。</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3.本合同未尽事宜，遵照《</w:t>
      </w:r>
      <w:r>
        <w:rPr>
          <w:rFonts w:hint="eastAsia" w:ascii="仿宋" w:eastAsia="仿宋"/>
          <w:color w:val="auto"/>
          <w:kern w:val="0"/>
          <w:sz w:val="24"/>
          <w:highlight w:val="none"/>
          <w:lang w:eastAsia="zh-CN"/>
        </w:rPr>
        <w:t>民法典</w:t>
      </w:r>
      <w:r>
        <w:rPr>
          <w:rFonts w:hint="eastAsia" w:ascii="仿宋" w:eastAsia="仿宋"/>
          <w:color w:val="auto"/>
          <w:kern w:val="0"/>
          <w:sz w:val="24"/>
          <w:highlight w:val="none"/>
        </w:rPr>
        <w:t>》有关条文执行。</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4.本合同一式五份，具有同等法律效力，甲、乙双方各执二份，采购代理机构一份。</w:t>
      </w:r>
    </w:p>
    <w:p>
      <w:pPr>
        <w:widowControl/>
        <w:snapToGrid w:val="0"/>
        <w:spacing w:line="480" w:lineRule="exact"/>
        <w:ind w:firstLine="480" w:firstLineChars="200"/>
        <w:rPr>
          <w:rFonts w:ascii="仿宋" w:eastAsia="仿宋"/>
          <w:color w:val="auto"/>
          <w:kern w:val="0"/>
          <w:sz w:val="24"/>
          <w:highlight w:val="none"/>
        </w:rPr>
      </w:pPr>
    </w:p>
    <w:p>
      <w:pPr>
        <w:widowControl/>
        <w:snapToGrid w:val="0"/>
        <w:spacing w:line="480" w:lineRule="exact"/>
        <w:ind w:firstLine="480" w:firstLineChars="200"/>
        <w:rPr>
          <w:rFonts w:ascii="仿宋" w:eastAsia="仿宋"/>
          <w:color w:val="auto"/>
          <w:kern w:val="0"/>
          <w:sz w:val="24"/>
          <w:highlight w:val="none"/>
        </w:rPr>
      </w:pPr>
    </w:p>
    <w:p>
      <w:pPr>
        <w:widowControl/>
        <w:snapToGrid w:val="0"/>
        <w:spacing w:line="480" w:lineRule="exact"/>
        <w:ind w:firstLine="480" w:firstLineChars="200"/>
        <w:rPr>
          <w:rFonts w:ascii="仿宋" w:eastAsia="仿宋"/>
          <w:color w:val="auto"/>
          <w:kern w:val="0"/>
          <w:sz w:val="24"/>
          <w:highlight w:val="none"/>
        </w:rPr>
      </w:pP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甲方（盖章）：                                   </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地址：                                   </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法定（授权）代表人：                   </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签名日期：     年   月   日           </w:t>
      </w:r>
    </w:p>
    <w:p>
      <w:pPr>
        <w:widowControl/>
        <w:snapToGrid w:val="0"/>
        <w:spacing w:line="480" w:lineRule="exact"/>
        <w:ind w:firstLine="480" w:firstLineChars="200"/>
        <w:rPr>
          <w:rFonts w:ascii="仿宋" w:eastAsia="仿宋"/>
          <w:color w:val="auto"/>
          <w:kern w:val="0"/>
          <w:sz w:val="24"/>
          <w:highlight w:val="none"/>
        </w:rPr>
      </w:pP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乙方（盖章）：</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地址： </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开户行：</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开户账号：</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法定（授权）代表人：</w:t>
      </w:r>
    </w:p>
    <w:p>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签名日期：      年   月   日</w:t>
      </w:r>
    </w:p>
    <w:p>
      <w:pPr>
        <w:widowControl/>
        <w:snapToGrid w:val="0"/>
        <w:spacing w:line="480" w:lineRule="exact"/>
        <w:ind w:firstLine="480" w:firstLineChars="200"/>
        <w:rPr>
          <w:rFonts w:ascii="仿宋" w:eastAsia="仿宋"/>
          <w:color w:val="auto"/>
          <w:kern w:val="0"/>
          <w:sz w:val="24"/>
          <w:highlight w:val="none"/>
        </w:rPr>
      </w:pPr>
    </w:p>
    <w:p>
      <w:pPr>
        <w:snapToGrid w:val="0"/>
        <w:spacing w:line="360" w:lineRule="auto"/>
        <w:jc w:val="center"/>
        <w:rPr>
          <w:rFonts w:hint="eastAsia" w:ascii="仿宋" w:hAnsi="仿宋" w:eastAsia="仿宋" w:cs="仿宋_GB2312"/>
          <w:b/>
          <w:color w:val="auto"/>
          <w:sz w:val="36"/>
          <w:szCs w:val="20"/>
          <w:highlight w:val="none"/>
        </w:rPr>
      </w:pPr>
      <w:r>
        <w:rPr>
          <w:rFonts w:ascii="仿宋" w:hAnsi="仿宋" w:eastAsia="仿宋" w:cs="仿宋_GB2312"/>
          <w:b/>
          <w:color w:val="auto"/>
          <w:sz w:val="36"/>
          <w:szCs w:val="20"/>
          <w:highlight w:val="none"/>
        </w:rPr>
        <w:br w:type="page"/>
      </w:r>
      <w:r>
        <w:rPr>
          <w:rFonts w:hint="eastAsia" w:ascii="仿宋" w:hAnsi="仿宋" w:eastAsia="仿宋" w:cs="仿宋_GB2312"/>
          <w:b/>
          <w:color w:val="auto"/>
          <w:sz w:val="36"/>
          <w:szCs w:val="20"/>
          <w:highlight w:val="none"/>
        </w:rPr>
        <w:t>第六部分</w:t>
      </w:r>
      <w:bookmarkEnd w:id="429"/>
      <w:r>
        <w:rPr>
          <w:rFonts w:hint="eastAsia" w:ascii="仿宋" w:hAnsi="仿宋" w:eastAsia="仿宋" w:cs="仿宋_GB2312"/>
          <w:b/>
          <w:color w:val="auto"/>
          <w:sz w:val="36"/>
          <w:szCs w:val="20"/>
          <w:highlight w:val="none"/>
        </w:rPr>
        <w:t xml:space="preserve"> </w:t>
      </w:r>
      <w:bookmarkEnd w:id="430"/>
      <w:r>
        <w:rPr>
          <w:rFonts w:hint="eastAsia" w:ascii="仿宋" w:hAnsi="仿宋" w:eastAsia="仿宋" w:cs="仿宋_GB2312"/>
          <w:b/>
          <w:color w:val="auto"/>
          <w:sz w:val="36"/>
          <w:szCs w:val="20"/>
          <w:highlight w:val="none"/>
        </w:rPr>
        <w:t>应提交的有关格式范例</w:t>
      </w:r>
    </w:p>
    <w:p>
      <w:pPr>
        <w:spacing w:line="360" w:lineRule="auto"/>
        <w:jc w:val="center"/>
        <w:outlineLvl w:val="0"/>
        <w:rPr>
          <w:rFonts w:hint="eastAsia" w:ascii="仿宋" w:hAnsi="仿宋" w:eastAsia="仿宋" w:cs="仿宋_GB2312"/>
          <w:color w:val="auto"/>
          <w:sz w:val="36"/>
          <w:szCs w:val="36"/>
          <w:highlight w:val="none"/>
          <w:lang w:val="zh-CN"/>
        </w:rPr>
      </w:pPr>
    </w:p>
    <w:p>
      <w:pPr>
        <w:spacing w:line="360" w:lineRule="auto"/>
        <w:jc w:val="center"/>
        <w:outlineLvl w:val="0"/>
        <w:rPr>
          <w:rFonts w:hint="eastAsia"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资格文件部分</w:t>
      </w:r>
    </w:p>
    <w:p>
      <w:pPr>
        <w:spacing w:line="360" w:lineRule="auto"/>
        <w:jc w:val="center"/>
        <w:outlineLvl w:val="0"/>
        <w:rPr>
          <w:rFonts w:hint="eastAsia"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pPr>
        <w:spacing w:line="360" w:lineRule="auto"/>
        <w:jc w:val="center"/>
        <w:outlineLvl w:val="0"/>
        <w:rPr>
          <w:rFonts w:hint="eastAsia" w:ascii="仿宋" w:hAnsi="仿宋" w:eastAsia="仿宋" w:cs="仿宋_GB2312"/>
          <w:b/>
          <w:color w:val="auto"/>
          <w:kern w:val="0"/>
          <w:sz w:val="36"/>
          <w:szCs w:val="36"/>
          <w:highlight w:val="none"/>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仿宋" w:hAnsi="仿宋" w:eastAsia="仿宋" w:cs="仿宋_GB2312"/>
          <w:color w:val="auto"/>
          <w:kern w:val="0"/>
          <w:sz w:val="24"/>
          <w:highlight w:val="none"/>
        </w:rPr>
      </w:pPr>
      <w:r>
        <w:rPr>
          <w:rFonts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rPr>
        <w:t>1）营业执照(或事业法人登记证或其他工商等登记证明材料)复印件（投标人为自然人的，须提供自然人的身份证明）………………………………………（页码）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（2）投标声明函 ……………………………………………………………（页码）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（3）联合体协议书（如有） …………………………………………………（页码）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（4）法定代表人授权委托书 …………………………………………………（页码）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（5）法定代表人及其授权代表的身份证（复印件） ………………………（页码）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6</w:t>
      </w:r>
      <w:r>
        <w:rPr>
          <w:rFonts w:hint="eastAsia" w:ascii="仿宋" w:hAnsi="仿宋" w:eastAsia="仿宋" w:cs="仿宋_GB2312"/>
          <w:color w:val="auto"/>
          <w:kern w:val="0"/>
          <w:sz w:val="24"/>
          <w:highlight w:val="none"/>
        </w:rPr>
        <w:t>）符合特定资格条件（如果项目要求）的有关证明材料（复印件）…（页码）</w:t>
      </w:r>
    </w:p>
    <w:p>
      <w:pPr>
        <w:snapToGrid w:val="0"/>
        <w:spacing w:line="360" w:lineRule="auto"/>
        <w:rPr>
          <w:rFonts w:hint="eastAsia" w:ascii="仿宋" w:hAnsi="仿宋" w:eastAsia="仿宋" w:cs="仿宋_GB2312"/>
          <w:color w:val="auto"/>
          <w:sz w:val="24"/>
          <w:highlight w:val="none"/>
        </w:rPr>
      </w:pPr>
    </w:p>
    <w:p>
      <w:pPr>
        <w:snapToGrid w:val="0"/>
        <w:spacing w:line="360" w:lineRule="auto"/>
        <w:ind w:firstLine="3240" w:firstLineChars="900"/>
        <w:rPr>
          <w:rFonts w:hint="eastAsia" w:ascii="仿宋" w:hAnsi="仿宋" w:eastAsia="仿宋" w:cs="仿宋_GB2312"/>
          <w:color w:val="auto"/>
          <w:sz w:val="36"/>
          <w:szCs w:val="36"/>
          <w:highlight w:val="none"/>
        </w:rPr>
      </w:pPr>
    </w:p>
    <w:p>
      <w:pPr>
        <w:snapToGrid w:val="0"/>
        <w:spacing w:line="360" w:lineRule="auto"/>
        <w:rPr>
          <w:rFonts w:hint="eastAsia" w:ascii="仿宋" w:hAnsi="仿宋" w:eastAsia="仿宋" w:cs="仿宋_GB2312"/>
          <w:color w:val="auto"/>
          <w:sz w:val="36"/>
          <w:szCs w:val="36"/>
          <w:highlight w:val="none"/>
        </w:rPr>
      </w:pPr>
    </w:p>
    <w:p>
      <w:pPr>
        <w:snapToGrid w:val="0"/>
        <w:spacing w:line="360" w:lineRule="auto"/>
        <w:jc w:val="center"/>
        <w:outlineLvl w:val="0"/>
        <w:rPr>
          <w:rFonts w:hint="eastAsia" w:ascii="仿宋" w:hAnsi="仿宋" w:eastAsia="仿宋" w:cs="仿宋_GB2312"/>
          <w:b/>
          <w:color w:val="auto"/>
          <w:sz w:val="30"/>
          <w:szCs w:val="30"/>
          <w:highlight w:val="none"/>
        </w:rPr>
      </w:pPr>
      <w:r>
        <w:rPr>
          <w:rFonts w:ascii="仿宋" w:hAnsi="仿宋" w:eastAsia="仿宋" w:cs="仿宋_GB2312"/>
          <w:b/>
          <w:color w:val="auto"/>
          <w:kern w:val="0"/>
          <w:sz w:val="32"/>
          <w:szCs w:val="32"/>
          <w:highlight w:val="none"/>
          <w:lang w:val="zh-CN"/>
        </w:rPr>
        <w:br w:type="page"/>
      </w:r>
      <w:r>
        <w:rPr>
          <w:rFonts w:hint="eastAsia" w:ascii="仿宋" w:hAnsi="仿宋" w:eastAsia="仿宋" w:cs="仿宋_GB2312"/>
          <w:b/>
          <w:color w:val="auto"/>
          <w:kern w:val="0"/>
          <w:sz w:val="32"/>
          <w:szCs w:val="32"/>
          <w:highlight w:val="none"/>
        </w:rPr>
        <w:t>一、营业执照(或事业法人登记证或其他工商等登记证明材料)复印件（投标人为自然人的，须提供自然人的身份证明）</w:t>
      </w: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pacing w:line="360" w:lineRule="auto"/>
        <w:rPr>
          <w:rFonts w:hint="eastAsia" w:ascii="仿宋" w:hAnsi="仿宋" w:eastAsia="仿宋" w:cs="仿宋_GB2312"/>
          <w:b/>
          <w:color w:val="auto"/>
          <w:sz w:val="30"/>
          <w:szCs w:val="30"/>
          <w:highlight w:val="none"/>
        </w:rPr>
      </w:pPr>
    </w:p>
    <w:p>
      <w:pPr>
        <w:snapToGrid w:val="0"/>
        <w:spacing w:line="360" w:lineRule="auto"/>
        <w:jc w:val="center"/>
        <w:outlineLvl w:val="0"/>
        <w:rPr>
          <w:rFonts w:hint="eastAsia" w:ascii="仿宋" w:hAnsi="仿宋" w:eastAsia="仿宋" w:cs="仿宋_GB2312"/>
          <w:b/>
          <w:color w:val="auto"/>
          <w:sz w:val="32"/>
          <w:szCs w:val="32"/>
          <w:highlight w:val="none"/>
        </w:rPr>
      </w:pPr>
      <w:r>
        <w:rPr>
          <w:rFonts w:hint="eastAsia" w:ascii="仿宋" w:hAnsi="仿宋" w:eastAsia="仿宋" w:cs="仿宋_GB2312"/>
          <w:b/>
          <w:color w:val="auto"/>
          <w:sz w:val="30"/>
          <w:szCs w:val="30"/>
          <w:highlight w:val="none"/>
        </w:rPr>
        <w:br w:type="page"/>
      </w:r>
      <w:r>
        <w:rPr>
          <w:rFonts w:hint="eastAsia" w:ascii="仿宋" w:hAnsi="仿宋" w:eastAsia="仿宋" w:cs="仿宋_GB2312"/>
          <w:b/>
          <w:color w:val="auto"/>
          <w:kern w:val="0"/>
          <w:sz w:val="32"/>
          <w:szCs w:val="32"/>
          <w:highlight w:val="none"/>
        </w:rPr>
        <w:t>二、投标声明</w:t>
      </w:r>
      <w:r>
        <w:rPr>
          <w:rFonts w:hint="eastAsia" w:ascii="仿宋" w:hAnsi="仿宋" w:eastAsia="仿宋" w:cs="仿宋_GB2312"/>
          <w:b/>
          <w:color w:val="auto"/>
          <w:sz w:val="32"/>
          <w:szCs w:val="32"/>
          <w:highlight w:val="none"/>
        </w:rPr>
        <w:t>函</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_GB2312"/>
          <w:color w:val="auto"/>
          <w:sz w:val="24"/>
          <w:highlight w:val="none"/>
        </w:rPr>
      </w:pPr>
      <w:r>
        <w:rPr>
          <w:rFonts w:hint="eastAsia" w:ascii="仿宋" w:hAnsi="仿宋" w:eastAsia="仿宋"/>
          <w:color w:val="auto"/>
          <w:sz w:val="24"/>
          <w:highlight w:val="none"/>
        </w:rPr>
        <w:t>致：</w:t>
      </w:r>
      <w:r>
        <w:rPr>
          <w:rFonts w:hint="eastAsia" w:ascii="仿宋" w:hAnsi="仿宋" w:eastAsia="仿宋"/>
          <w:color w:val="auto"/>
          <w:sz w:val="24"/>
          <w:highlight w:val="none"/>
          <w:u w:val="single"/>
        </w:rPr>
        <w:t>（采购单位或采购代理机构名称</w:t>
      </w:r>
      <w:r>
        <w:rPr>
          <w:rFonts w:ascii="仿宋" w:hAnsi="仿宋" w:eastAsia="仿宋"/>
          <w:color w:val="auto"/>
          <w:sz w:val="24"/>
          <w:highlight w:val="none"/>
          <w:u w:val="single"/>
        </w:rPr>
        <w:t>）</w:t>
      </w:r>
      <w:r>
        <w:rPr>
          <w:rFonts w:hint="eastAsia" w:ascii="仿宋" w:hAnsi="仿宋" w:eastAsia="仿宋" w:cs="仿宋_GB2312"/>
          <w:color w:val="auto"/>
          <w:sz w:val="24"/>
          <w:highlight w:val="none"/>
        </w:rPr>
        <w:t>：</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我方</w:t>
      </w:r>
      <w:r>
        <w:rPr>
          <w:rFonts w:hint="eastAsia" w:ascii="仿宋" w:eastAsia="仿宋"/>
          <w:color w:val="auto"/>
          <w:sz w:val="24"/>
          <w:highlight w:val="none"/>
          <w:u w:val="single"/>
        </w:rPr>
        <w:t>（投标人或联合体牵头人全称）</w:t>
      </w:r>
      <w:r>
        <w:rPr>
          <w:rFonts w:hint="eastAsia" w:ascii="仿宋" w:hAnsi="仿宋" w:eastAsia="仿宋" w:cs="仿宋_GB2312"/>
          <w:color w:val="auto"/>
          <w:sz w:val="24"/>
          <w:highlight w:val="none"/>
        </w:rPr>
        <w:t>愿意参加贵方组织的</w:t>
      </w:r>
      <w:r>
        <w:rPr>
          <w:rFonts w:hint="eastAsia" w:ascii="仿宋" w:hAnsi="仿宋" w:eastAsia="仿宋"/>
          <w:color w:val="auto"/>
          <w:sz w:val="24"/>
          <w:highlight w:val="none"/>
          <w:u w:val="single"/>
        </w:rPr>
        <w:t>（招标项目名称及编号</w:t>
      </w:r>
      <w:r>
        <w:rPr>
          <w:rFonts w:ascii="仿宋" w:hAnsi="仿宋" w:eastAsia="仿宋"/>
          <w:color w:val="auto"/>
          <w:sz w:val="24"/>
          <w:highlight w:val="none"/>
          <w:u w:val="single"/>
        </w:rPr>
        <w:t>）</w:t>
      </w:r>
      <w:r>
        <w:rPr>
          <w:rFonts w:hint="eastAsia" w:ascii="仿宋" w:hAnsi="仿宋" w:eastAsia="仿宋" w:cs="仿宋_GB2312"/>
          <w:color w:val="auto"/>
          <w:sz w:val="24"/>
          <w:highlight w:val="none"/>
        </w:rPr>
        <w:t>的投标，为此，我方就本次投标有关事项郑重申明如下：</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1、我方已详细审查全部招标文件，同意招标文件的各项要求。</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2、我方承诺已经具备《中华人民共和国政府采购法》中规定的参加政府采购活动的供应商应当具备的条件。</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3、我方参加本次政府采购活动前三年内，在经营活动中没有重大违法记录；也没有因违反《浙江省政府采购供应商注册及诚信管理暂行办法》被列入“黑名单”和正在处罚有效期的情况。我方通过“信用中国”网站（www.creditchina.gov.cn）、中国政府采购网（www.ccgp.gov.cn）查询，未被列入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4、我方向贵方提交的所有投标文件、资料都是准确、真实的。若贵方需要，我方愿意向贵方提供任何与该项投标有关且合法的数据、情况和技术资料。</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5、我方保证所供货物质量符合国家强制性规范和标准，达到采购文件规定的要求。</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6、投标文件自开标日起有效期为90天。</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7、我方具有履行本项目合同所必需的设备和专业技术能力。如中标，我方将保证合同顺利履行。</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8、我方中标后拟在中标后将</w:t>
      </w:r>
      <w:r>
        <w:rPr>
          <w:rFonts w:hint="eastAsia"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工作分包，分包承担主体是</w:t>
      </w:r>
      <w:r>
        <w:rPr>
          <w:rFonts w:hint="eastAsia"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，我方承诺分包承担主体具备相应资质条件</w:t>
      </w:r>
      <w:r>
        <w:rPr>
          <w:rFonts w:hint="eastAsia"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，且不再次分包。（不再将工作进行分包或本项目不允许分包的，下划线处填写“/”。）</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_GB2312"/>
          <w:color w:val="auto"/>
          <w:sz w:val="24"/>
          <w:highlight w:val="none"/>
        </w:rPr>
      </w:pPr>
      <w:r>
        <w:rPr>
          <w:rFonts w:hint="eastAsia" w:ascii="仿宋" w:eastAsia="仿宋" w:cs="仿宋_GB2312"/>
          <w:color w:val="auto"/>
          <w:sz w:val="24"/>
          <w:highlight w:val="none"/>
        </w:rPr>
        <w:t>9、我方承诺若违反《中华人民共和国政府采购法》第七十七条规定，愿接受依法处理。</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联系人：</w:t>
      </w:r>
      <w:r>
        <w:rPr>
          <w:rFonts w:hint="eastAsia"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联系电话：</w:t>
      </w:r>
      <w:r>
        <w:rPr>
          <w:rFonts w:hint="eastAsia"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传真号码：</w:t>
      </w:r>
      <w:r>
        <w:rPr>
          <w:rFonts w:hint="eastAsia" w:ascii="仿宋" w:hAnsi="仿宋" w:eastAsia="仿宋" w:cs="仿宋_GB2312"/>
          <w:color w:val="auto"/>
          <w:kern w:val="0"/>
          <w:sz w:val="24"/>
          <w:highlight w:val="none"/>
          <w:u w:val="single"/>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联系地址：</w:t>
      </w:r>
      <w:r>
        <w:rPr>
          <w:rFonts w:hint="eastAsia"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邮政编码：</w:t>
      </w:r>
      <w:r>
        <w:rPr>
          <w:rFonts w:hint="eastAsia" w:ascii="仿宋" w:hAnsi="仿宋" w:eastAsia="仿宋" w:cs="仿宋_GB2312"/>
          <w:color w:val="auto"/>
          <w:kern w:val="0"/>
          <w:sz w:val="24"/>
          <w:highlight w:val="none"/>
          <w:u w:val="single"/>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440" w:lineRule="exact"/>
        <w:ind w:firstLine="5040" w:firstLineChars="2100"/>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投标人名称(电子签名)：</w:t>
      </w:r>
    </w:p>
    <w:p>
      <w:pPr>
        <w:keepNext w:val="0"/>
        <w:keepLines w:val="0"/>
        <w:pageBreakBefore w:val="0"/>
        <w:widowControl w:val="0"/>
        <w:kinsoku/>
        <w:wordWrap/>
        <w:overflowPunct/>
        <w:topLinePunct w:val="0"/>
        <w:autoSpaceDE/>
        <w:autoSpaceDN/>
        <w:bidi w:val="0"/>
        <w:adjustRightInd w:val="0"/>
        <w:snapToGrid w:val="0"/>
        <w:spacing w:line="440" w:lineRule="exact"/>
        <w:ind w:firstLine="5160" w:firstLineChars="2150"/>
        <w:textAlignment w:val="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日期</w:t>
      </w:r>
      <w:r>
        <w:rPr>
          <w:rFonts w:hint="eastAsia" w:ascii="仿宋" w:hAnsi="仿宋" w:eastAsia="仿宋" w:cs="仿宋_GB2312"/>
          <w:color w:val="auto"/>
          <w:kern w:val="0"/>
          <w:sz w:val="24"/>
          <w:highlight w:val="none"/>
        </w:rPr>
        <w:t xml:space="preserve">：  年  </w:t>
      </w:r>
      <w:r>
        <w:rPr>
          <w:rFonts w:hint="eastAsia" w:ascii="仿宋" w:hAnsi="仿宋" w:eastAsia="仿宋" w:cs="仿宋_GB2312"/>
          <w:color w:val="auto"/>
          <w:kern w:val="0"/>
          <w:sz w:val="24"/>
          <w:highlight w:val="none"/>
          <w:lang w:val="zh-CN"/>
        </w:rPr>
        <w:t>月</w:t>
      </w:r>
      <w:r>
        <w:rPr>
          <w:rFonts w:hint="eastAsia"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日</w:t>
      </w:r>
    </w:p>
    <w:p>
      <w:pPr>
        <w:snapToGrid w:val="0"/>
        <w:spacing w:line="360" w:lineRule="auto"/>
        <w:jc w:val="center"/>
        <w:outlineLvl w:val="0"/>
        <w:rPr>
          <w:rFonts w:hint="eastAsia" w:ascii="仿宋" w:hAnsi="仿宋" w:eastAsia="仿宋" w:cs="仿宋_GB2312"/>
          <w:b/>
          <w:color w:val="auto"/>
          <w:kern w:val="0"/>
          <w:sz w:val="24"/>
          <w:highlight w:val="none"/>
          <w:lang w:val="zh-CN"/>
        </w:rPr>
      </w:pPr>
    </w:p>
    <w:p>
      <w:pPr>
        <w:snapToGrid w:val="0"/>
        <w:spacing w:line="360" w:lineRule="auto"/>
        <w:jc w:val="center"/>
        <w:outlineLvl w:val="0"/>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24"/>
          <w:highlight w:val="none"/>
          <w:lang w:val="zh-CN"/>
        </w:rPr>
        <w:br w:type="page"/>
      </w:r>
      <w:r>
        <w:rPr>
          <w:rFonts w:hint="eastAsia" w:ascii="仿宋" w:hAnsi="仿宋" w:eastAsia="仿宋" w:cs="仿宋_GB2312"/>
          <w:b/>
          <w:color w:val="auto"/>
          <w:kern w:val="0"/>
          <w:sz w:val="32"/>
          <w:szCs w:val="32"/>
          <w:highlight w:val="none"/>
        </w:rPr>
        <w:t>三、联合体协议书（如有）</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甲方：</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乙方：</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（如果有的话，可按甲、乙、丙、丁…序列增加）</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各方经协商，就响应</w:t>
      </w:r>
      <w:r>
        <w:rPr>
          <w:rFonts w:hint="eastAsia" w:ascii="仿宋" w:hAnsi="仿宋" w:eastAsia="仿宋" w:cs="仿宋_GB2312"/>
          <w:color w:val="auto"/>
          <w:kern w:val="0"/>
          <w:sz w:val="24"/>
          <w:highlight w:val="none"/>
          <w:u w:val="single"/>
          <w:lang w:val="zh-CN"/>
        </w:rPr>
        <w:t>（采购单位或采购代理机构名称）</w:t>
      </w:r>
      <w:r>
        <w:rPr>
          <w:rFonts w:hint="eastAsia" w:ascii="仿宋" w:hAnsi="仿宋" w:eastAsia="仿宋" w:cs="仿宋_GB2312"/>
          <w:color w:val="auto"/>
          <w:kern w:val="0"/>
          <w:sz w:val="24"/>
          <w:highlight w:val="none"/>
          <w:lang w:val="zh-CN"/>
        </w:rPr>
        <w:t>组织实施的</w:t>
      </w:r>
      <w:r>
        <w:rPr>
          <w:rFonts w:hint="eastAsia" w:ascii="仿宋" w:hAnsi="仿宋" w:eastAsia="仿宋" w:cs="仿宋_GB2312"/>
          <w:color w:val="auto"/>
          <w:kern w:val="0"/>
          <w:sz w:val="24"/>
          <w:highlight w:val="none"/>
          <w:u w:val="single"/>
          <w:lang w:val="zh-CN"/>
        </w:rPr>
        <w:t xml:space="preserve"> （招标项目名称及编号）</w:t>
      </w:r>
      <w:r>
        <w:rPr>
          <w:rFonts w:hint="eastAsia" w:ascii="仿宋" w:hAnsi="仿宋" w:eastAsia="仿宋" w:cs="仿宋_GB2312"/>
          <w:color w:val="auto"/>
          <w:kern w:val="0"/>
          <w:sz w:val="24"/>
          <w:highlight w:val="none"/>
          <w:lang w:val="zh-CN"/>
        </w:rPr>
        <w:t>的招标活动联合进行投标之事宜，达成如下协议：</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一、各方一致决定组成一个联合体，以一个供应商的身份共同参加本项目政府采购。</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二、以</w:t>
      </w:r>
      <w:r>
        <w:rPr>
          <w:rFonts w:hint="eastAsia" w:ascii="仿宋" w:hAnsi="仿宋" w:eastAsia="仿宋" w:cs="仿宋_GB2312"/>
          <w:color w:val="auto"/>
          <w:kern w:val="0"/>
          <w:sz w:val="24"/>
          <w:highlight w:val="none"/>
          <w:u w:val="single"/>
          <w:lang w:val="zh-CN"/>
        </w:rPr>
        <w:t xml:space="preserve">   （联合体牵头人名称）   </w:t>
      </w:r>
      <w:r>
        <w:rPr>
          <w:rFonts w:hint="eastAsia" w:ascii="仿宋" w:hAnsi="仿宋" w:eastAsia="仿宋" w:cs="仿宋_GB2312"/>
          <w:color w:val="auto"/>
          <w:kern w:val="0"/>
          <w:sz w:val="24"/>
          <w:highlight w:val="none"/>
          <w:lang w:val="zh-CN"/>
        </w:rPr>
        <w:t>为联合体牵头人，负责包括但不仅限于投标、配合处理质疑投诉等一切和采购活动相关的事宜。</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三、联合体各方对投标响应文件及开标过程中的各种书面承诺、澄清等均予以认可，对联合投标各方均产生约束力。</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四、如果中标，联合投标各方共同与采购人签订采购合同，共同履行对采购人所负有的全部义务并就采购合同约定的事项对采购人承担连带责任。</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五、联合体各方不再单独参加或与其他供应商另外组成联合体参加同一标项（项目）的政府采购活动，否则均被视为无效投标。</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六、如果中标，联合体各方在项目实施过程中承担的工作和义务为：</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甲方：…            乙方：…</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七、联合体各方在本项目实施过程中承担的合同金额和比例分别为：</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甲方：…            乙方：…</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八、本协议签约各方各持一份，并作为投标文件的一部分。</w:t>
      </w:r>
    </w:p>
    <w:p>
      <w:pPr>
        <w:snapToGrid w:val="0"/>
        <w:spacing w:line="360" w:lineRule="auto"/>
        <w:ind w:firstLine="576"/>
        <w:rPr>
          <w:rFonts w:ascii="仿宋" w:hAnsi="仿宋" w:eastAsia="仿宋" w:cs="仿宋_GB2312"/>
          <w:color w:val="auto"/>
          <w:kern w:val="0"/>
          <w:sz w:val="24"/>
          <w:highlight w:val="none"/>
          <w:lang w:val="zh-CN"/>
        </w:rPr>
      </w:pPr>
    </w:p>
    <w:p>
      <w:pPr>
        <w:snapToGrid w:val="0"/>
        <w:spacing w:line="360" w:lineRule="auto"/>
        <w:ind w:firstLine="576"/>
        <w:rPr>
          <w:rFonts w:ascii="仿宋" w:hAnsi="仿宋" w:eastAsia="仿宋" w:cs="仿宋_GB2312"/>
          <w:color w:val="auto"/>
          <w:kern w:val="0"/>
          <w:sz w:val="24"/>
          <w:highlight w:val="none"/>
          <w:lang w:val="zh-CN"/>
        </w:rPr>
      </w:pPr>
    </w:p>
    <w:tbl>
      <w:tblPr>
        <w:tblStyle w:val="60"/>
        <w:tblW w:w="0" w:type="auto"/>
        <w:jc w:val="center"/>
        <w:tblLayout w:type="fixed"/>
        <w:tblCellMar>
          <w:top w:w="0" w:type="dxa"/>
          <w:left w:w="108" w:type="dxa"/>
          <w:bottom w:w="0" w:type="dxa"/>
          <w:right w:w="108" w:type="dxa"/>
        </w:tblCellMar>
      </w:tblPr>
      <w:tblGrid>
        <w:gridCol w:w="4264"/>
        <w:gridCol w:w="4264"/>
      </w:tblGrid>
      <w:tr>
        <w:trPr>
          <w:jc w:val="center"/>
        </w:trPr>
        <w:tc>
          <w:tcPr>
            <w:tcW w:w="4264" w:type="dxa"/>
            <w:noWrap w:val="0"/>
            <w:vAlign w:val="top"/>
          </w:tcPr>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甲方单位：       （公章）</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法定代表人：     （签章）</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日  期：  年  月   日</w:t>
            </w:r>
          </w:p>
        </w:tc>
        <w:tc>
          <w:tcPr>
            <w:tcW w:w="4264" w:type="dxa"/>
            <w:noWrap w:val="0"/>
            <w:vAlign w:val="top"/>
          </w:tcPr>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乙方单位：       （公章）</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法定代表人：     （签章）</w:t>
            </w:r>
          </w:p>
          <w:p>
            <w:pPr>
              <w:snapToGrid w:val="0"/>
              <w:spacing w:line="360" w:lineRule="auto"/>
              <w:ind w:firstLine="576"/>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日  期：  年  月   日</w:t>
            </w:r>
          </w:p>
        </w:tc>
      </w:tr>
    </w:tbl>
    <w:p>
      <w:pPr>
        <w:spacing w:line="360" w:lineRule="auto"/>
        <w:jc w:val="center"/>
        <w:rPr>
          <w:rFonts w:hint="eastAsia" w:ascii="仿宋" w:hAnsi="仿宋" w:eastAsia="仿宋" w:cs="仿宋_GB2312"/>
          <w:b/>
          <w:color w:val="auto"/>
          <w:kern w:val="0"/>
          <w:sz w:val="32"/>
          <w:szCs w:val="32"/>
          <w:highlight w:val="none"/>
        </w:rPr>
      </w:pPr>
      <w:r>
        <w:rPr>
          <w:rFonts w:hint="eastAsia" w:ascii="仿宋" w:hAnsi="仿宋" w:eastAsia="仿宋" w:cs="仿宋_GB2312"/>
          <w:b/>
          <w:color w:val="auto"/>
          <w:sz w:val="32"/>
          <w:szCs w:val="32"/>
          <w:highlight w:val="none"/>
        </w:rPr>
        <w:br w:type="page"/>
      </w:r>
      <w:r>
        <w:rPr>
          <w:rFonts w:hint="eastAsia" w:ascii="仿宋" w:hAnsi="仿宋" w:eastAsia="仿宋" w:cs="仿宋_GB2312"/>
          <w:b/>
          <w:color w:val="auto"/>
          <w:kern w:val="0"/>
          <w:sz w:val="32"/>
          <w:szCs w:val="32"/>
          <w:highlight w:val="none"/>
        </w:rPr>
        <w:t>四、法定代表人授权委托书</w:t>
      </w:r>
    </w:p>
    <w:p>
      <w:pPr>
        <w:snapToGrid w:val="0"/>
        <w:spacing w:line="360" w:lineRule="auto"/>
        <w:rPr>
          <w:rFonts w:hint="eastAsia" w:ascii="仿宋" w:hAnsi="仿宋" w:eastAsia="仿宋" w:cs="仿宋_GB2312"/>
          <w:color w:val="auto"/>
          <w:sz w:val="24"/>
          <w:highlight w:val="none"/>
        </w:rPr>
      </w:pPr>
      <w:r>
        <w:rPr>
          <w:rFonts w:hint="eastAsia" w:ascii="仿宋" w:hAnsi="仿宋" w:eastAsia="仿宋"/>
          <w:color w:val="auto"/>
          <w:sz w:val="24"/>
          <w:highlight w:val="none"/>
          <w:u w:val="single"/>
        </w:rPr>
        <w:t>（采购单位或采购代理机构名称</w:t>
      </w:r>
      <w:r>
        <w:rPr>
          <w:rFonts w:ascii="仿宋" w:hAnsi="仿宋" w:eastAsia="仿宋"/>
          <w:color w:val="auto"/>
          <w:sz w:val="24"/>
          <w:highlight w:val="none"/>
          <w:u w:val="single"/>
        </w:rPr>
        <w:t>）</w:t>
      </w:r>
      <w:r>
        <w:rPr>
          <w:rFonts w:hint="eastAsia" w:ascii="仿宋" w:hAnsi="仿宋" w:eastAsia="仿宋" w:cs="仿宋_GB2312"/>
          <w:color w:val="auto"/>
          <w:sz w:val="24"/>
          <w:highlight w:val="none"/>
        </w:rPr>
        <w:t>：</w:t>
      </w:r>
    </w:p>
    <w:p>
      <w:pPr>
        <w:snapToGrid w:val="0"/>
        <w:spacing w:line="360" w:lineRule="auto"/>
        <w:ind w:firstLine="576"/>
        <w:rPr>
          <w:rFonts w:hint="eastAsia" w:ascii="仿宋" w:hAnsi="仿宋" w:eastAsia="仿宋"/>
          <w:color w:val="auto"/>
          <w:sz w:val="24"/>
          <w:highlight w:val="none"/>
          <w:u w:val="single"/>
        </w:rPr>
      </w:pPr>
      <w:r>
        <w:rPr>
          <w:rFonts w:hint="eastAsia" w:ascii="仿宋" w:eastAsia="仿宋"/>
          <w:color w:val="auto"/>
          <w:sz w:val="24"/>
          <w:highlight w:val="none"/>
        </w:rPr>
        <w:t>我</w:t>
      </w:r>
      <w:r>
        <w:rPr>
          <w:rFonts w:hint="eastAsia" w:ascii="仿宋" w:eastAsia="仿宋"/>
          <w:color w:val="auto"/>
          <w:sz w:val="24"/>
          <w:highlight w:val="none"/>
          <w:u w:val="single"/>
        </w:rPr>
        <w:t xml:space="preserve">（姓名及身份证号码） </w:t>
      </w:r>
      <w:r>
        <w:rPr>
          <w:rFonts w:hint="eastAsia" w:ascii="仿宋" w:eastAsia="仿宋"/>
          <w:color w:val="auto"/>
          <w:sz w:val="24"/>
          <w:highlight w:val="none"/>
        </w:rPr>
        <w:t>系</w:t>
      </w:r>
      <w:r>
        <w:rPr>
          <w:rFonts w:hint="eastAsia" w:ascii="仿宋" w:eastAsia="仿宋"/>
          <w:color w:val="auto"/>
          <w:sz w:val="24"/>
          <w:highlight w:val="none"/>
          <w:u w:val="single"/>
        </w:rPr>
        <w:t xml:space="preserve">  （投标人或联合体牵头人全称） </w:t>
      </w:r>
      <w:r>
        <w:rPr>
          <w:rFonts w:hint="eastAsia" w:ascii="仿宋" w:eastAsia="仿宋"/>
          <w:color w:val="auto"/>
          <w:sz w:val="24"/>
          <w:highlight w:val="none"/>
        </w:rPr>
        <w:t>的法定代表人，现授权委托本单位在职职工</w:t>
      </w:r>
      <w:r>
        <w:rPr>
          <w:rFonts w:hint="eastAsia" w:ascii="仿宋" w:hAnsi="仿宋" w:eastAsia="仿宋" w:cs="仿宋_GB2312"/>
          <w:color w:val="auto"/>
          <w:kern w:val="0"/>
          <w:sz w:val="24"/>
          <w:highlight w:val="none"/>
          <w:u w:val="single"/>
          <w:lang w:val="zh-CN"/>
        </w:rPr>
        <w:t xml:space="preserve"> </w:t>
      </w:r>
      <w:r>
        <w:rPr>
          <w:rFonts w:hint="eastAsia" w:ascii="仿宋" w:eastAsia="仿宋"/>
          <w:color w:val="auto"/>
          <w:sz w:val="24"/>
          <w:highlight w:val="none"/>
          <w:u w:val="single"/>
        </w:rPr>
        <w:t>（姓名）</w:t>
      </w:r>
      <w:r>
        <w:rPr>
          <w:rFonts w:hint="eastAsia" w:ascii="仿宋" w:hAnsi="仿宋" w:eastAsia="仿宋" w:cs="仿宋_GB2312"/>
          <w:color w:val="auto"/>
          <w:kern w:val="0"/>
          <w:sz w:val="24"/>
          <w:highlight w:val="none"/>
          <w:lang w:val="zh-CN"/>
        </w:rPr>
        <w:t>(其身份证号码：</w:t>
      </w:r>
      <w:r>
        <w:rPr>
          <w:rFonts w:hint="eastAsia"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联系电话：</w:t>
      </w:r>
      <w:r>
        <w:rPr>
          <w:rFonts w:hint="eastAsia" w:ascii="仿宋" w:eastAsia="仿宋"/>
          <w:color w:val="auto"/>
          <w:sz w:val="24"/>
          <w:highlight w:val="none"/>
          <w:u w:val="single"/>
        </w:rPr>
        <w:t xml:space="preserve">       </w:t>
      </w:r>
      <w:r>
        <w:rPr>
          <w:rFonts w:hint="eastAsia" w:ascii="仿宋" w:hAnsi="仿宋" w:eastAsia="仿宋" w:cs="仿宋_GB2312"/>
          <w:color w:val="auto"/>
          <w:kern w:val="0"/>
          <w:sz w:val="24"/>
          <w:highlight w:val="none"/>
          <w:lang w:val="zh-CN"/>
        </w:rPr>
        <w:t>手机：</w:t>
      </w:r>
      <w:r>
        <w:rPr>
          <w:rFonts w:hint="eastAsia"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传真：</w:t>
      </w:r>
      <w:r>
        <w:rPr>
          <w:rFonts w:hint="eastAsia"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)，以我方的名义参加</w:t>
      </w:r>
      <w:r>
        <w:rPr>
          <w:rFonts w:hint="eastAsia" w:ascii="仿宋" w:hAnsi="仿宋" w:eastAsia="仿宋"/>
          <w:color w:val="auto"/>
          <w:sz w:val="24"/>
          <w:highlight w:val="none"/>
          <w:u w:val="single"/>
        </w:rPr>
        <w:t>（招标项目名称及编号</w:t>
      </w:r>
      <w:r>
        <w:rPr>
          <w:rFonts w:ascii="仿宋" w:hAnsi="仿宋" w:eastAsia="仿宋"/>
          <w:color w:val="auto"/>
          <w:sz w:val="24"/>
          <w:highlight w:val="none"/>
          <w:u w:val="single"/>
        </w:rPr>
        <w:t>）</w:t>
      </w:r>
      <w:r>
        <w:rPr>
          <w:rFonts w:hint="eastAsia" w:ascii="仿宋" w:hAnsi="仿宋" w:eastAsia="仿宋" w:cs="仿宋_GB2312"/>
          <w:color w:val="auto"/>
          <w:kern w:val="0"/>
          <w:sz w:val="24"/>
          <w:highlight w:val="none"/>
          <w:lang w:val="zh-CN"/>
        </w:rPr>
        <w:t>的投标活动，并代表我方全权办理针对上述项目投标、开标、评标、签约等具体事务和签署相关文件。我方对授权代表的签名事项负全部责任。</w:t>
      </w:r>
    </w:p>
    <w:p>
      <w:pPr>
        <w:snapToGrid w:val="0"/>
        <w:spacing w:line="360" w:lineRule="auto"/>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 xml:space="preserve">    在撤销授权的书面通知以前，本授权书一直有效。全权代表在授权书有效期内签署的所有文件不因授权的撤销而失效。</w:t>
      </w:r>
    </w:p>
    <w:p>
      <w:pPr>
        <w:snapToGrid w:val="0"/>
        <w:spacing w:line="360" w:lineRule="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 xml:space="preserve">    授权代表无转委托权。特此委托</w:t>
      </w:r>
    </w:p>
    <w:p>
      <w:pPr>
        <w:snapToGrid w:val="0"/>
        <w:spacing w:line="360" w:lineRule="auto"/>
        <w:ind w:firstLine="5040" w:firstLineChars="210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投标人名称(电子签名)：</w:t>
      </w:r>
    </w:p>
    <w:p>
      <w:pPr>
        <w:snapToGrid w:val="0"/>
        <w:spacing w:line="360" w:lineRule="auto"/>
        <w:ind w:firstLine="5160" w:firstLineChars="2150"/>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日期</w:t>
      </w:r>
      <w:r>
        <w:rPr>
          <w:rFonts w:hint="eastAsia" w:ascii="仿宋" w:hAnsi="仿宋" w:eastAsia="仿宋" w:cs="仿宋_GB2312"/>
          <w:color w:val="auto"/>
          <w:kern w:val="0"/>
          <w:sz w:val="24"/>
          <w:highlight w:val="none"/>
        </w:rPr>
        <w:t xml:space="preserve">：  年  </w:t>
      </w:r>
      <w:r>
        <w:rPr>
          <w:rFonts w:hint="eastAsia" w:ascii="仿宋" w:hAnsi="仿宋" w:eastAsia="仿宋" w:cs="仿宋_GB2312"/>
          <w:color w:val="auto"/>
          <w:kern w:val="0"/>
          <w:sz w:val="24"/>
          <w:highlight w:val="none"/>
          <w:lang w:val="zh-CN"/>
        </w:rPr>
        <w:t>月</w:t>
      </w:r>
      <w:r>
        <w:rPr>
          <w:rFonts w:hint="eastAsia"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日</w:t>
      </w:r>
    </w:p>
    <w:p>
      <w:pPr>
        <w:snapToGrid w:val="0"/>
        <w:spacing w:line="360" w:lineRule="auto"/>
        <w:ind w:firstLine="5160" w:firstLineChars="2150"/>
        <w:rPr>
          <w:rFonts w:hint="eastAsia" w:ascii="仿宋" w:hAnsi="仿宋" w:eastAsia="仿宋" w:cs="仿宋_GB2312"/>
          <w:color w:val="auto"/>
          <w:kern w:val="0"/>
          <w:sz w:val="24"/>
          <w:highlight w:val="none"/>
          <w:lang w:val="zh-CN"/>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sz w:val="32"/>
          <w:szCs w:val="32"/>
          <w:highlight w:val="none"/>
        </w:rPr>
      </w:pPr>
    </w:p>
    <w:p>
      <w:pPr>
        <w:spacing w:line="360" w:lineRule="auto"/>
        <w:jc w:val="center"/>
        <w:rPr>
          <w:rFonts w:hint="eastAsia" w:ascii="仿宋" w:hAnsi="仿宋" w:eastAsia="仿宋" w:cs="仿宋_GB2312"/>
          <w:b/>
          <w:color w:val="auto"/>
          <w:kern w:val="0"/>
          <w:sz w:val="32"/>
          <w:szCs w:val="32"/>
          <w:highlight w:val="none"/>
        </w:rPr>
      </w:pPr>
      <w:r>
        <w:rPr>
          <w:rFonts w:hint="eastAsia" w:ascii="仿宋" w:hAnsi="仿宋" w:eastAsia="仿宋" w:cs="仿宋_GB2312"/>
          <w:b/>
          <w:color w:val="auto"/>
          <w:sz w:val="32"/>
          <w:szCs w:val="32"/>
          <w:highlight w:val="none"/>
        </w:rPr>
        <w:br w:type="page"/>
      </w:r>
      <w:r>
        <w:rPr>
          <w:rFonts w:hint="eastAsia" w:ascii="仿宋" w:hAnsi="仿宋" w:eastAsia="仿宋" w:cs="仿宋_GB2312"/>
          <w:b/>
          <w:color w:val="auto"/>
          <w:kern w:val="0"/>
          <w:sz w:val="32"/>
          <w:szCs w:val="32"/>
          <w:highlight w:val="none"/>
        </w:rPr>
        <w:t>五、法定代表人及其授权代表的身份证（复印件）</w:t>
      </w:r>
    </w:p>
    <w:p>
      <w:pPr>
        <w:widowControl/>
        <w:spacing w:line="360" w:lineRule="auto"/>
        <w:jc w:val="left"/>
        <w:rPr>
          <w:rFonts w:hint="eastAsia" w:ascii="仿宋" w:hAnsi="仿宋" w:eastAsia="仿宋" w:cs="仿宋_GB2312"/>
          <w:color w:val="auto"/>
          <w:sz w:val="24"/>
          <w:highlight w:val="none"/>
        </w:rPr>
      </w:pPr>
    </w:p>
    <w:p>
      <w:pPr>
        <w:spacing w:line="360" w:lineRule="auto"/>
        <w:jc w:val="center"/>
        <w:rPr>
          <w:rFonts w:hint="eastAsia" w:ascii="仿宋" w:hAnsi="仿宋" w:eastAsia="仿宋" w:cs="仿宋_GB2312"/>
          <w:strike/>
          <w:color w:val="auto"/>
          <w:sz w:val="24"/>
          <w:highlight w:val="none"/>
        </w:rPr>
      </w:pPr>
      <w:r>
        <w:rPr>
          <w:rFonts w:hint="eastAsia" w:ascii="仿宋" w:hAnsi="仿宋" w:eastAsia="仿宋" w:cs="仿宋_GB2312"/>
          <w:b/>
          <w:color w:val="auto"/>
          <w:kern w:val="0"/>
          <w:sz w:val="32"/>
          <w:szCs w:val="32"/>
          <w:highlight w:val="none"/>
        </w:rPr>
        <w:br w:type="textWrapping"/>
      </w:r>
    </w:p>
    <w:p>
      <w:pPr>
        <w:spacing w:line="360" w:lineRule="auto"/>
        <w:jc w:val="center"/>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br w:type="textWrapping"/>
      </w:r>
      <w:r>
        <w:rPr>
          <w:rFonts w:hint="eastAsia" w:ascii="仿宋" w:hAnsi="仿宋" w:eastAsia="仿宋" w:cs="仿宋_GB2312"/>
          <w:b/>
          <w:color w:val="auto"/>
          <w:sz w:val="32"/>
          <w:szCs w:val="32"/>
          <w:highlight w:val="none"/>
          <w:lang w:eastAsia="zh-CN"/>
        </w:rPr>
        <w:t>六</w:t>
      </w:r>
      <w:r>
        <w:rPr>
          <w:rFonts w:hint="eastAsia" w:ascii="仿宋" w:hAnsi="仿宋" w:eastAsia="仿宋" w:cs="仿宋_GB2312"/>
          <w:b/>
          <w:color w:val="auto"/>
          <w:sz w:val="32"/>
          <w:szCs w:val="32"/>
          <w:highlight w:val="none"/>
        </w:rPr>
        <w:t>、符合特定资格条件（如果项目要求）</w:t>
      </w:r>
    </w:p>
    <w:p>
      <w:pPr>
        <w:spacing w:line="360" w:lineRule="auto"/>
        <w:jc w:val="center"/>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t>的有关证明材料（复印件）</w:t>
      </w:r>
    </w:p>
    <w:p>
      <w:pPr>
        <w:widowControl/>
        <w:spacing w:line="360" w:lineRule="auto"/>
        <w:ind w:firstLine="480" w:firstLineChars="200"/>
        <w:jc w:val="left"/>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（由投标人根据招标公告合格的投标人应具备的特定资格要求编制；如果本项目没有设置特定资格条件，则不需要提供）</w:t>
      </w:r>
    </w:p>
    <w:p>
      <w:pPr>
        <w:spacing w:line="360" w:lineRule="auto"/>
        <w:outlineLvl w:val="0"/>
        <w:rPr>
          <w:rFonts w:ascii="仿宋" w:hAnsi="仿宋" w:eastAsia="仿宋" w:cs="仿宋_GB2312"/>
          <w:color w:val="auto"/>
          <w:sz w:val="24"/>
          <w:highlight w:val="none"/>
        </w:rPr>
        <w:sectPr>
          <w:footerReference r:id="rId11" w:type="first"/>
          <w:footerReference r:id="rId9" w:type="default"/>
          <w:headerReference r:id="rId8" w:type="even"/>
          <w:footerReference r:id="rId10" w:type="even"/>
          <w:pgSz w:w="11906" w:h="16838"/>
          <w:pgMar w:top="1440" w:right="1800" w:bottom="1440" w:left="1800" w:header="851" w:footer="850" w:gutter="0"/>
          <w:cols w:space="720" w:num="1"/>
          <w:titlePg/>
          <w:docGrid w:linePitch="312" w:charSpace="0"/>
        </w:sectPr>
      </w:pPr>
    </w:p>
    <w:p>
      <w:pPr>
        <w:spacing w:line="360" w:lineRule="auto"/>
        <w:jc w:val="center"/>
        <w:outlineLvl w:val="0"/>
        <w:rPr>
          <w:rFonts w:hint="eastAsia"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商务技术文件部分</w:t>
      </w:r>
    </w:p>
    <w:p>
      <w:pPr>
        <w:spacing w:line="360" w:lineRule="auto"/>
        <w:jc w:val="center"/>
        <w:outlineLvl w:val="0"/>
        <w:rPr>
          <w:rFonts w:hint="eastAsia" w:ascii="仿宋" w:hAnsi="仿宋" w:eastAsia="仿宋" w:cs="仿宋_GB2312"/>
          <w:b/>
          <w:color w:val="auto"/>
          <w:kern w:val="0"/>
          <w:sz w:val="24"/>
          <w:highlight w:val="none"/>
        </w:rPr>
      </w:pPr>
    </w:p>
    <w:p>
      <w:pPr>
        <w:spacing w:line="360" w:lineRule="auto"/>
        <w:jc w:val="center"/>
        <w:outlineLvl w:val="0"/>
        <w:rPr>
          <w:rFonts w:hint="eastAsia" w:ascii="仿宋" w:hAnsi="仿宋" w:eastAsia="仿宋" w:cs="仿宋_GB2312"/>
          <w:b/>
          <w:color w:val="auto"/>
          <w:kern w:val="0"/>
          <w:sz w:val="28"/>
          <w:szCs w:val="28"/>
          <w:highlight w:val="none"/>
        </w:rPr>
      </w:pPr>
      <w:r>
        <w:rPr>
          <w:rFonts w:hint="eastAsia" w:ascii="仿宋" w:hAnsi="仿宋" w:eastAsia="仿宋" w:cs="仿宋_GB2312"/>
          <w:b/>
          <w:color w:val="auto"/>
          <w:kern w:val="0"/>
          <w:sz w:val="28"/>
          <w:szCs w:val="28"/>
          <w:highlight w:val="none"/>
        </w:rPr>
        <w:t>目录</w:t>
      </w:r>
    </w:p>
    <w:p>
      <w:pPr>
        <w:pStyle w:val="618"/>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eastAsia="仿宋" w:cs="仿宋_GB2312"/>
          <w:color w:val="auto"/>
          <w:highlight w:val="none"/>
        </w:rPr>
      </w:pPr>
      <w:r>
        <w:rPr>
          <w:rFonts w:hint="eastAsia" w:ascii="仿宋" w:eastAsia="仿宋" w:cs="仿宋_GB2312"/>
          <w:color w:val="auto"/>
          <w:highlight w:val="none"/>
        </w:rPr>
        <w:t>（1）</w:t>
      </w:r>
      <w:r>
        <w:rPr>
          <w:rFonts w:hint="eastAsia" w:ascii="仿宋" w:eastAsia="仿宋" w:cs="仿宋_GB2312"/>
          <w:color w:val="auto"/>
          <w:highlight w:val="none"/>
          <w:lang w:val="zh-CN"/>
        </w:rPr>
        <w:t>评分对应表 ………………………………………………………………</w:t>
      </w:r>
      <w:r>
        <w:rPr>
          <w:rFonts w:hint="eastAsia" w:ascii="仿宋" w:eastAsia="仿宋" w:cs="仿宋_GB2312"/>
          <w:color w:val="auto"/>
          <w:highlight w:val="none"/>
        </w:rPr>
        <w:t>（页码）</w:t>
      </w:r>
    </w:p>
    <w:p>
      <w:pPr>
        <w:pStyle w:val="618"/>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eastAsia="仿宋" w:cs="仿宋_GB2312"/>
          <w:color w:val="auto"/>
          <w:highlight w:val="none"/>
        </w:rPr>
      </w:pPr>
      <w:bookmarkStart w:id="431" w:name="OLE_LINK7"/>
      <w:bookmarkStart w:id="432" w:name="OLE_LINK6"/>
      <w:bookmarkStart w:id="433" w:name="OLE_LINK5"/>
      <w:r>
        <w:rPr>
          <w:rFonts w:hint="eastAsia" w:ascii="仿宋" w:eastAsia="仿宋" w:cs="仿宋_GB2312"/>
          <w:color w:val="auto"/>
          <w:highlight w:val="none"/>
        </w:rPr>
        <w:t>（</w:t>
      </w:r>
      <w:r>
        <w:rPr>
          <w:rFonts w:hint="eastAsia" w:ascii="仿宋" w:eastAsia="仿宋" w:cs="仿宋_GB2312"/>
          <w:color w:val="auto"/>
          <w:highlight w:val="none"/>
          <w:lang w:val="en-US" w:eastAsia="zh-CN"/>
        </w:rPr>
        <w:t>2</w:t>
      </w:r>
      <w:r>
        <w:rPr>
          <w:rFonts w:hint="eastAsia" w:ascii="仿宋" w:eastAsia="仿宋" w:cs="仿宋_GB2312"/>
          <w:color w:val="auto"/>
          <w:highlight w:val="none"/>
        </w:rPr>
        <w:t>）技术响应表</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431"/>
      <w:bookmarkEnd w:id="432"/>
    </w:p>
    <w:bookmarkEnd w:id="433"/>
    <w:p>
      <w:pPr>
        <w:pStyle w:val="618"/>
        <w:keepNext w:val="0"/>
        <w:keepLines w:val="0"/>
        <w:pageBreakBefore w:val="0"/>
        <w:widowControl w:val="0"/>
        <w:kinsoku/>
        <w:wordWrap/>
        <w:overflowPunct/>
        <w:topLinePunct w:val="0"/>
        <w:autoSpaceDE/>
        <w:autoSpaceDN/>
        <w:bidi w:val="0"/>
        <w:adjustRightInd/>
        <w:snapToGrid/>
        <w:spacing w:line="360" w:lineRule="auto"/>
        <w:ind w:left="0" w:firstLine="0" w:firstLineChars="0"/>
        <w:textAlignment w:val="auto"/>
        <w:rPr>
          <w:rFonts w:hint="eastAsia" w:ascii="仿宋" w:eastAsia="仿宋" w:cs="仿宋_GB2312"/>
          <w:color w:val="auto"/>
          <w:highlight w:val="none"/>
        </w:rPr>
      </w:pPr>
      <w:r>
        <w:rPr>
          <w:rFonts w:hint="eastAsia" w:ascii="仿宋" w:eastAsia="仿宋" w:cs="仿宋_GB2312"/>
          <w:color w:val="auto"/>
          <w:highlight w:val="none"/>
        </w:rPr>
        <w:t>（</w:t>
      </w:r>
      <w:r>
        <w:rPr>
          <w:rFonts w:hint="eastAsia" w:ascii="仿宋" w:eastAsia="仿宋" w:cs="仿宋_GB2312"/>
          <w:color w:val="auto"/>
          <w:highlight w:val="none"/>
          <w:lang w:val="en-US" w:eastAsia="zh-CN"/>
        </w:rPr>
        <w:t>3</w:t>
      </w:r>
      <w:r>
        <w:rPr>
          <w:rFonts w:hint="eastAsia" w:ascii="仿宋" w:eastAsia="仿宋" w:cs="仿宋_GB2312"/>
          <w:color w:val="auto"/>
          <w:highlight w:val="none"/>
        </w:rPr>
        <w:t>）商务响应表</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pPr>
        <w:keepNext w:val="0"/>
        <w:keepLines w:val="0"/>
        <w:pageBreakBefore w:val="0"/>
        <w:widowControl w:val="0"/>
        <w:kinsoku/>
        <w:wordWrap/>
        <w:overflowPunct/>
        <w:topLinePunct w:val="0"/>
        <w:autoSpaceDE/>
        <w:autoSpaceDN/>
        <w:bidi w:val="0"/>
        <w:adjustRightInd/>
        <w:snapToGrid/>
        <w:spacing w:line="360" w:lineRule="auto"/>
        <w:ind w:left="0" w:firstLine="0" w:firstLineChars="0"/>
        <w:textAlignment w:val="auto"/>
        <w:outlineLvl w:val="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4</w:t>
      </w:r>
      <w:r>
        <w:rPr>
          <w:rFonts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rPr>
        <w:t>项目组织实施方案……………………</w:t>
      </w:r>
      <w:r>
        <w:rPr>
          <w:rFonts w:hint="eastAsia" w:ascii="仿宋" w:eastAsia="仿宋" w:cs="仿宋_GB2312"/>
          <w:color w:val="auto"/>
          <w:highlight w:val="none"/>
          <w:lang w:val="zh-CN"/>
        </w:rPr>
        <w:t>………………………………………</w:t>
      </w:r>
      <w:r>
        <w:rPr>
          <w:rFonts w:hint="eastAsia" w:ascii="仿宋" w:hAnsi="仿宋" w:eastAsia="仿宋" w:cs="仿宋_GB2312"/>
          <w:color w:val="auto"/>
          <w:kern w:val="0"/>
          <w:sz w:val="24"/>
          <w:highlight w:val="none"/>
        </w:rPr>
        <w:t>（页码）</w:t>
      </w:r>
    </w:p>
    <w:p>
      <w:pPr>
        <w:keepNext w:val="0"/>
        <w:keepLines w:val="0"/>
        <w:pageBreakBefore w:val="0"/>
        <w:widowControl w:val="0"/>
        <w:kinsoku/>
        <w:wordWrap/>
        <w:overflowPunct/>
        <w:topLinePunct w:val="0"/>
        <w:autoSpaceDE/>
        <w:autoSpaceDN/>
        <w:bidi w:val="0"/>
        <w:adjustRightInd/>
        <w:snapToGrid/>
        <w:spacing w:line="360" w:lineRule="auto"/>
        <w:ind w:left="0" w:firstLine="0" w:firstLineChars="0"/>
        <w:textAlignment w:val="auto"/>
        <w:outlineLvl w:val="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5</w:t>
      </w:r>
      <w:r>
        <w:rPr>
          <w:rFonts w:hint="eastAsia" w:ascii="仿宋" w:hAnsi="仿宋" w:eastAsia="仿宋" w:cs="仿宋_GB2312"/>
          <w:color w:val="auto"/>
          <w:kern w:val="0"/>
          <w:sz w:val="24"/>
          <w:highlight w:val="none"/>
        </w:rPr>
        <w:t>）项目负责人情况表…………………</w:t>
      </w:r>
      <w:r>
        <w:rPr>
          <w:rFonts w:hint="eastAsia" w:ascii="仿宋" w:eastAsia="仿宋" w:cs="仿宋_GB2312"/>
          <w:color w:val="auto"/>
          <w:highlight w:val="none"/>
          <w:lang w:val="zh-CN"/>
        </w:rPr>
        <w:t>…………………………………………</w:t>
      </w:r>
      <w:r>
        <w:rPr>
          <w:rFonts w:hint="eastAsia" w:ascii="仿宋" w:hAnsi="仿宋" w:eastAsia="仿宋" w:cs="仿宋_GB2312"/>
          <w:color w:val="auto"/>
          <w:kern w:val="0"/>
          <w:sz w:val="24"/>
          <w:highlight w:val="none"/>
        </w:rPr>
        <w:t>（页码）</w:t>
      </w:r>
    </w:p>
    <w:p>
      <w:pPr>
        <w:keepNext w:val="0"/>
        <w:keepLines w:val="0"/>
        <w:pageBreakBefore w:val="0"/>
        <w:widowControl w:val="0"/>
        <w:kinsoku/>
        <w:wordWrap/>
        <w:overflowPunct/>
        <w:topLinePunct w:val="0"/>
        <w:autoSpaceDE/>
        <w:autoSpaceDN/>
        <w:bidi w:val="0"/>
        <w:adjustRightInd/>
        <w:snapToGrid/>
        <w:spacing w:line="360" w:lineRule="auto"/>
        <w:ind w:left="0" w:firstLine="0" w:firstLineChars="0"/>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6</w:t>
      </w:r>
      <w:r>
        <w:rPr>
          <w:rFonts w:hint="eastAsia" w:ascii="仿宋" w:hAnsi="仿宋" w:eastAsia="仿宋" w:cs="仿宋_GB2312"/>
          <w:color w:val="auto"/>
          <w:kern w:val="0"/>
          <w:sz w:val="24"/>
          <w:highlight w:val="none"/>
        </w:rPr>
        <w:t>）项目组人员名单…………………………</w:t>
      </w:r>
      <w:r>
        <w:rPr>
          <w:rFonts w:hint="eastAsia" w:ascii="仿宋" w:eastAsia="仿宋" w:cs="仿宋_GB2312"/>
          <w:color w:val="auto"/>
          <w:highlight w:val="none"/>
          <w:lang w:val="zh-CN"/>
        </w:rPr>
        <w:t>……………………………………</w:t>
      </w:r>
      <w:r>
        <w:rPr>
          <w:rFonts w:hint="eastAsia" w:ascii="仿宋" w:hAnsi="仿宋" w:eastAsia="仿宋" w:cs="仿宋_GB2312"/>
          <w:color w:val="auto"/>
          <w:kern w:val="0"/>
          <w:sz w:val="24"/>
          <w:highlight w:val="none"/>
        </w:rPr>
        <w:t>（页码）</w:t>
      </w:r>
    </w:p>
    <w:p>
      <w:pPr>
        <w:keepNext w:val="0"/>
        <w:keepLines w:val="0"/>
        <w:pageBreakBefore w:val="0"/>
        <w:widowControl w:val="0"/>
        <w:kinsoku/>
        <w:wordWrap/>
        <w:overflowPunct/>
        <w:topLinePunct w:val="0"/>
        <w:autoSpaceDE/>
        <w:autoSpaceDN/>
        <w:bidi w:val="0"/>
        <w:adjustRightInd/>
        <w:snapToGrid/>
        <w:spacing w:line="360" w:lineRule="auto"/>
        <w:ind w:left="0" w:firstLine="0" w:firstLineChars="0"/>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7</w:t>
      </w: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eastAsia="zh-CN"/>
        </w:rPr>
        <w:t>承诺书</w:t>
      </w:r>
      <w:r>
        <w:rPr>
          <w:rFonts w:hint="eastAsia" w:ascii="仿宋" w:hAnsi="仿宋" w:eastAsia="仿宋" w:cs="仿宋_GB2312"/>
          <w:color w:val="auto"/>
          <w:kern w:val="0"/>
          <w:sz w:val="24"/>
          <w:highlight w:val="none"/>
        </w:rPr>
        <w:t>……………………………………</w:t>
      </w:r>
      <w:r>
        <w:rPr>
          <w:rFonts w:hint="eastAsia" w:ascii="仿宋" w:eastAsia="仿宋" w:cs="仿宋_GB2312"/>
          <w:color w:val="auto"/>
          <w:highlight w:val="none"/>
          <w:lang w:val="zh-CN"/>
        </w:rPr>
        <w:t>……………………………………</w:t>
      </w:r>
      <w:r>
        <w:rPr>
          <w:rFonts w:hint="eastAsia" w:ascii="仿宋" w:hAnsi="仿宋" w:eastAsia="仿宋" w:cs="仿宋_GB2312"/>
          <w:color w:val="auto"/>
          <w:kern w:val="0"/>
          <w:sz w:val="24"/>
          <w:highlight w:val="none"/>
        </w:rPr>
        <w:t>（页码）</w:t>
      </w:r>
    </w:p>
    <w:p>
      <w:pPr>
        <w:keepNext w:val="0"/>
        <w:keepLines w:val="0"/>
        <w:pageBreakBefore w:val="0"/>
        <w:widowControl w:val="0"/>
        <w:kinsoku/>
        <w:wordWrap/>
        <w:overflowPunct/>
        <w:topLinePunct w:val="0"/>
        <w:autoSpaceDE/>
        <w:autoSpaceDN/>
        <w:bidi w:val="0"/>
        <w:adjustRightInd/>
        <w:snapToGrid/>
        <w:spacing w:line="360" w:lineRule="auto"/>
        <w:ind w:left="0" w:firstLine="0" w:firstLineChars="0"/>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8</w:t>
      </w:r>
      <w:r>
        <w:rPr>
          <w:rFonts w:hint="eastAsia" w:ascii="仿宋" w:hAnsi="仿宋" w:eastAsia="仿宋" w:cs="仿宋_GB2312"/>
          <w:color w:val="auto"/>
          <w:kern w:val="0"/>
          <w:sz w:val="24"/>
          <w:highlight w:val="none"/>
        </w:rPr>
        <w:t>）售后服务方案（如有）…………………</w:t>
      </w:r>
      <w:r>
        <w:rPr>
          <w:rFonts w:hint="eastAsia" w:ascii="仿宋" w:eastAsia="仿宋" w:cs="仿宋_GB2312"/>
          <w:color w:val="auto"/>
          <w:highlight w:val="none"/>
          <w:lang w:val="zh-CN"/>
        </w:rPr>
        <w:t>……………………………………</w:t>
      </w:r>
      <w:r>
        <w:rPr>
          <w:rFonts w:hint="eastAsia" w:ascii="仿宋" w:hAnsi="仿宋" w:eastAsia="仿宋" w:cs="仿宋_GB2312"/>
          <w:color w:val="auto"/>
          <w:kern w:val="0"/>
          <w:sz w:val="24"/>
          <w:highlight w:val="none"/>
        </w:rPr>
        <w:t>（页码）</w:t>
      </w:r>
    </w:p>
    <w:p>
      <w:pPr>
        <w:keepNext w:val="0"/>
        <w:keepLines w:val="0"/>
        <w:pageBreakBefore w:val="0"/>
        <w:widowControl w:val="0"/>
        <w:kinsoku/>
        <w:wordWrap/>
        <w:overflowPunct/>
        <w:topLinePunct w:val="0"/>
        <w:autoSpaceDE/>
        <w:autoSpaceDN/>
        <w:bidi w:val="0"/>
        <w:adjustRightInd/>
        <w:snapToGrid/>
        <w:spacing w:line="360" w:lineRule="auto"/>
        <w:ind w:left="0" w:firstLine="0" w:firstLineChars="0"/>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9</w:t>
      </w: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zh-CN"/>
        </w:rPr>
        <w:t>优惠条件及特殊承诺（如有）</w:t>
      </w:r>
      <w:r>
        <w:rPr>
          <w:rFonts w:hint="eastAsia" w:ascii="仿宋" w:hAnsi="仿宋" w:eastAsia="仿宋" w:cs="仿宋_GB2312"/>
          <w:color w:val="auto"/>
          <w:kern w:val="0"/>
          <w:sz w:val="24"/>
          <w:highlight w:val="none"/>
        </w:rPr>
        <w:t>……………………</w:t>
      </w:r>
      <w:r>
        <w:rPr>
          <w:rFonts w:hint="eastAsia" w:ascii="仿宋" w:eastAsia="仿宋" w:cs="仿宋_GB2312"/>
          <w:color w:val="auto"/>
          <w:highlight w:val="none"/>
          <w:lang w:val="zh-CN"/>
        </w:rPr>
        <w:t>………………………</w:t>
      </w:r>
      <w:r>
        <w:rPr>
          <w:rFonts w:hint="eastAsia" w:ascii="仿宋" w:hAnsi="仿宋" w:eastAsia="仿宋" w:cs="仿宋_GB2312"/>
          <w:color w:val="auto"/>
          <w:kern w:val="0"/>
          <w:sz w:val="24"/>
          <w:highlight w:val="none"/>
        </w:rPr>
        <w:t>（页码）</w:t>
      </w:r>
    </w:p>
    <w:p>
      <w:pPr>
        <w:keepNext w:val="0"/>
        <w:keepLines w:val="0"/>
        <w:pageBreakBefore w:val="0"/>
        <w:widowControl w:val="0"/>
        <w:kinsoku/>
        <w:wordWrap/>
        <w:overflowPunct/>
        <w:topLinePunct w:val="0"/>
        <w:autoSpaceDE/>
        <w:autoSpaceDN/>
        <w:bidi w:val="0"/>
        <w:adjustRightInd/>
        <w:snapToGrid/>
        <w:spacing w:line="360" w:lineRule="auto"/>
        <w:ind w:left="0" w:firstLine="0" w:firstLineChars="0"/>
        <w:textAlignment w:val="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10</w:t>
      </w: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zh-CN"/>
        </w:rPr>
        <w:t>投标人认为需要的其它商务技术文件或说明…………………</w:t>
      </w:r>
      <w:r>
        <w:rPr>
          <w:rFonts w:hint="eastAsia" w:ascii="仿宋" w:eastAsia="仿宋" w:cs="仿宋_GB2312"/>
          <w:color w:val="auto"/>
          <w:highlight w:val="none"/>
          <w:lang w:val="zh-CN"/>
        </w:rPr>
        <w:t>……</w:t>
      </w:r>
      <w:r>
        <w:rPr>
          <w:rFonts w:hint="eastAsia" w:ascii="仿宋" w:hAnsi="仿宋" w:eastAsia="仿宋" w:cs="仿宋_GB2312"/>
          <w:color w:val="auto"/>
          <w:kern w:val="0"/>
          <w:sz w:val="24"/>
          <w:highlight w:val="none"/>
        </w:rPr>
        <w:t>（页码）</w:t>
      </w:r>
    </w:p>
    <w:p>
      <w:pPr>
        <w:spacing w:line="360" w:lineRule="auto"/>
        <w:rPr>
          <w:rFonts w:hint="eastAsia" w:ascii="仿宋" w:hAnsi="仿宋" w:eastAsia="仿宋" w:cs="仿宋_GB2312"/>
          <w:b/>
          <w:bCs/>
          <w:color w:val="auto"/>
          <w:sz w:val="24"/>
          <w:highlight w:val="none"/>
        </w:rPr>
      </w:pPr>
      <w:r>
        <w:rPr>
          <w:rFonts w:hint="eastAsia" w:ascii="仿宋" w:hAnsi="仿宋" w:eastAsia="仿宋" w:cs="仿宋_GB2312"/>
          <w:b/>
          <w:bCs/>
          <w:color w:val="auto"/>
          <w:sz w:val="24"/>
          <w:highlight w:val="none"/>
        </w:rPr>
        <w:t>注：以上目录是基本格式要求，各投标人可根据自身情况进一步细化。</w:t>
      </w:r>
    </w:p>
    <w:p>
      <w:pPr>
        <w:snapToGrid w:val="0"/>
        <w:spacing w:line="360" w:lineRule="auto"/>
        <w:jc w:val="center"/>
        <w:rPr>
          <w:rFonts w:hint="eastAsia" w:ascii="仿宋" w:hAnsi="仿宋" w:eastAsia="仿宋" w:cs="仿宋_GB2312"/>
          <w:b/>
          <w:color w:val="auto"/>
          <w:kern w:val="0"/>
          <w:sz w:val="32"/>
          <w:szCs w:val="32"/>
          <w:highlight w:val="none"/>
          <w:lang w:val="zh-CN"/>
        </w:rPr>
      </w:pPr>
    </w:p>
    <w:p>
      <w:pPr>
        <w:snapToGrid w:val="0"/>
        <w:spacing w:line="360" w:lineRule="auto"/>
        <w:jc w:val="center"/>
        <w:rPr>
          <w:rFonts w:hint="eastAsia" w:ascii="仿宋" w:hAnsi="仿宋" w:eastAsia="仿宋" w:cs="仿宋_GB2312"/>
          <w:b/>
          <w:color w:val="auto"/>
          <w:kern w:val="0"/>
          <w:sz w:val="32"/>
          <w:szCs w:val="32"/>
          <w:highlight w:val="none"/>
          <w:lang w:val="zh-CN"/>
        </w:rPr>
      </w:pPr>
    </w:p>
    <w:p>
      <w:pPr>
        <w:snapToGrid w:val="0"/>
        <w:spacing w:line="360" w:lineRule="auto"/>
        <w:jc w:val="center"/>
        <w:rPr>
          <w:rFonts w:hint="eastAsia" w:ascii="仿宋" w:hAnsi="仿宋" w:eastAsia="仿宋" w:cs="仿宋_GB2312"/>
          <w:b/>
          <w:color w:val="auto"/>
          <w:kern w:val="0"/>
          <w:sz w:val="32"/>
          <w:szCs w:val="32"/>
          <w:highlight w:val="none"/>
          <w:lang w:val="zh-CN"/>
        </w:rPr>
      </w:pPr>
    </w:p>
    <w:p>
      <w:pPr>
        <w:snapToGrid w:val="0"/>
        <w:spacing w:line="360" w:lineRule="auto"/>
        <w:jc w:val="center"/>
        <w:rPr>
          <w:rFonts w:hint="eastAsia" w:ascii="仿宋" w:hAnsi="仿宋" w:eastAsia="仿宋" w:cs="仿宋_GB2312"/>
          <w:b/>
          <w:color w:val="auto"/>
          <w:kern w:val="0"/>
          <w:sz w:val="32"/>
          <w:szCs w:val="32"/>
          <w:highlight w:val="none"/>
          <w:lang w:val="zh-CN"/>
        </w:rPr>
      </w:pPr>
    </w:p>
    <w:p>
      <w:pPr>
        <w:spacing w:line="360" w:lineRule="auto"/>
        <w:rPr>
          <w:rFonts w:hint="eastAsia" w:ascii="仿宋" w:hAnsi="仿宋" w:eastAsia="仿宋" w:cs="仿宋_GB2312"/>
          <w:color w:val="auto"/>
          <w:kern w:val="0"/>
          <w:sz w:val="24"/>
          <w:highlight w:val="none"/>
        </w:rPr>
      </w:pPr>
    </w:p>
    <w:p>
      <w:pPr>
        <w:spacing w:line="360" w:lineRule="auto"/>
        <w:jc w:val="center"/>
        <w:rPr>
          <w:rFonts w:hint="eastAsia" w:ascii="仿宋" w:hAnsi="仿宋" w:eastAsia="仿宋" w:cs="仿宋_GB2312"/>
          <w:b/>
          <w:bCs/>
          <w:color w:val="auto"/>
          <w:sz w:val="32"/>
          <w:szCs w:val="32"/>
          <w:highlight w:val="none"/>
        </w:rPr>
      </w:pPr>
    </w:p>
    <w:p>
      <w:pPr>
        <w:spacing w:line="360" w:lineRule="auto"/>
        <w:jc w:val="center"/>
        <w:rPr>
          <w:rFonts w:hint="eastAsia" w:ascii="仿宋" w:hAnsi="仿宋" w:eastAsia="仿宋" w:cs="仿宋_GB2312"/>
          <w:b/>
          <w:bCs/>
          <w:color w:val="auto"/>
          <w:sz w:val="32"/>
          <w:szCs w:val="32"/>
          <w:highlight w:val="none"/>
        </w:rPr>
      </w:pPr>
    </w:p>
    <w:p>
      <w:pPr>
        <w:spacing w:line="360" w:lineRule="auto"/>
        <w:jc w:val="center"/>
        <w:rPr>
          <w:rFonts w:hint="eastAsia" w:ascii="仿宋" w:hAnsi="仿宋" w:eastAsia="仿宋" w:cs="仿宋_GB2312"/>
          <w:b/>
          <w:bCs/>
          <w:color w:val="auto"/>
          <w:sz w:val="32"/>
          <w:szCs w:val="32"/>
          <w:highlight w:val="none"/>
        </w:rPr>
      </w:pPr>
    </w:p>
    <w:p>
      <w:pPr>
        <w:spacing w:line="360" w:lineRule="auto"/>
        <w:jc w:val="center"/>
        <w:rPr>
          <w:rFonts w:hint="eastAsia" w:ascii="仿宋" w:hAnsi="仿宋" w:eastAsia="仿宋" w:cs="仿宋_GB2312"/>
          <w:b/>
          <w:bCs/>
          <w:color w:val="auto"/>
          <w:sz w:val="32"/>
          <w:szCs w:val="32"/>
          <w:highlight w:val="none"/>
        </w:rPr>
      </w:pPr>
    </w:p>
    <w:p>
      <w:pPr>
        <w:spacing w:line="360" w:lineRule="auto"/>
        <w:jc w:val="center"/>
        <w:rPr>
          <w:rFonts w:hint="eastAsia" w:ascii="仿宋" w:hAnsi="仿宋" w:eastAsia="仿宋" w:cs="仿宋_GB2312"/>
          <w:b/>
          <w:bCs/>
          <w:color w:val="auto"/>
          <w:sz w:val="32"/>
          <w:szCs w:val="32"/>
          <w:highlight w:val="none"/>
        </w:rPr>
      </w:pPr>
    </w:p>
    <w:p>
      <w:pPr>
        <w:spacing w:line="360" w:lineRule="auto"/>
        <w:jc w:val="center"/>
        <w:rPr>
          <w:rFonts w:hint="eastAsia" w:ascii="仿宋" w:hAnsi="仿宋" w:eastAsia="仿宋" w:cs="仿宋_GB2312"/>
          <w:b/>
          <w:bCs/>
          <w:color w:val="auto"/>
          <w:sz w:val="32"/>
          <w:szCs w:val="32"/>
          <w:highlight w:val="none"/>
        </w:rPr>
      </w:pPr>
    </w:p>
    <w:p>
      <w:pPr>
        <w:spacing w:line="360" w:lineRule="auto"/>
        <w:jc w:val="center"/>
        <w:rPr>
          <w:rFonts w:ascii="仿宋" w:hAnsi="仿宋" w:eastAsia="仿宋"/>
          <w:color w:val="auto"/>
          <w:spacing w:val="6"/>
          <w:sz w:val="32"/>
          <w:szCs w:val="32"/>
          <w:highlight w:val="none"/>
        </w:rPr>
      </w:pPr>
      <w:r>
        <w:rPr>
          <w:rFonts w:ascii="仿宋" w:hAnsi="仿宋" w:eastAsia="仿宋" w:cs="仿宋_GB2312"/>
          <w:b/>
          <w:bCs/>
          <w:color w:val="auto"/>
          <w:sz w:val="32"/>
          <w:szCs w:val="32"/>
          <w:highlight w:val="none"/>
        </w:rPr>
        <w:br w:type="page"/>
      </w:r>
      <w:r>
        <w:rPr>
          <w:rFonts w:hint="eastAsia" w:ascii="仿宋" w:hAnsi="仿宋" w:eastAsia="仿宋"/>
          <w:b/>
          <w:bCs/>
          <w:color w:val="auto"/>
          <w:spacing w:val="6"/>
          <w:sz w:val="32"/>
          <w:szCs w:val="32"/>
          <w:highlight w:val="none"/>
        </w:rPr>
        <w:t>一、评分对应表</w:t>
      </w:r>
    </w:p>
    <w:p>
      <w:pPr>
        <w:pStyle w:val="16"/>
        <w:snapToGrid w:val="0"/>
        <w:rPr>
          <w:rFonts w:ascii="仿宋" w:hAnsi="仿宋" w:eastAsia="仿宋"/>
          <w:color w:val="auto"/>
          <w:sz w:val="30"/>
          <w:szCs w:val="30"/>
          <w:highlight w:val="none"/>
          <w:u w:val="single"/>
        </w:rPr>
      </w:pPr>
      <w:r>
        <w:rPr>
          <w:rFonts w:hint="eastAsia" w:ascii="仿宋" w:hAnsi="仿宋" w:eastAsia="仿宋"/>
          <w:color w:val="auto"/>
          <w:sz w:val="30"/>
          <w:szCs w:val="30"/>
          <w:highlight w:val="none"/>
        </w:rPr>
        <w:t xml:space="preserve"> </w:t>
      </w:r>
    </w:p>
    <w:tbl>
      <w:tblPr>
        <w:tblStyle w:val="60"/>
        <w:tblW w:w="830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625"/>
        <w:gridCol w:w="2724"/>
        <w:gridCol w:w="195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362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仿宋" w:hAnsi="仿宋" w:eastAsia="仿宋"/>
                <w:color w:val="auto"/>
                <w:sz w:val="24"/>
                <w:highlight w:val="none"/>
              </w:rPr>
            </w:pPr>
            <w:r>
              <w:rPr>
                <w:rFonts w:hint="eastAsia" w:ascii="仿宋" w:hAnsi="仿宋" w:eastAsia="仿宋"/>
                <w:color w:val="auto"/>
                <w:sz w:val="24"/>
                <w:highlight w:val="none"/>
              </w:rPr>
              <w:t>评分项目</w:t>
            </w:r>
          </w:p>
        </w:tc>
        <w:tc>
          <w:tcPr>
            <w:tcW w:w="272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仿宋" w:hAnsi="仿宋" w:eastAsia="仿宋"/>
                <w:color w:val="auto"/>
                <w:sz w:val="24"/>
                <w:highlight w:val="none"/>
              </w:rPr>
            </w:pPr>
            <w:r>
              <w:rPr>
                <w:rFonts w:hint="eastAsia" w:ascii="仿宋" w:hAnsi="仿宋" w:eastAsia="仿宋"/>
                <w:color w:val="auto"/>
                <w:sz w:val="24"/>
                <w:highlight w:val="none"/>
              </w:rPr>
              <w:t>投标文件对应资料</w:t>
            </w:r>
          </w:p>
        </w:tc>
        <w:tc>
          <w:tcPr>
            <w:tcW w:w="19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仿宋" w:hAnsi="仿宋" w:eastAsia="仿宋"/>
                <w:color w:val="auto"/>
                <w:sz w:val="24"/>
                <w:highlight w:val="none"/>
              </w:rPr>
            </w:pPr>
            <w:r>
              <w:rPr>
                <w:rFonts w:hint="eastAsia" w:ascii="仿宋" w:hAnsi="仿宋" w:eastAsia="仿宋"/>
                <w:color w:val="auto"/>
                <w:sz w:val="24"/>
                <w:highlight w:val="none"/>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625" w:type="dxa"/>
            <w:tcBorders>
              <w:top w:val="single" w:color="auto" w:sz="4" w:space="0"/>
              <w:left w:val="single" w:color="auto" w:sz="4" w:space="0"/>
              <w:bottom w:val="single" w:color="auto" w:sz="4" w:space="0"/>
              <w:right w:val="single" w:color="auto" w:sz="4" w:space="0"/>
            </w:tcBorders>
            <w:noWrap w:val="0"/>
            <w:vAlign w:val="top"/>
          </w:tcPr>
          <w:p>
            <w:pPr>
              <w:snapToGrid w:val="0"/>
              <w:rPr>
                <w:rFonts w:ascii="仿宋" w:hAnsi="仿宋" w:eastAsia="仿宋"/>
                <w:color w:val="auto"/>
                <w:sz w:val="24"/>
                <w:highlight w:val="none"/>
              </w:rPr>
            </w:pPr>
            <w:r>
              <w:rPr>
                <w:rFonts w:hint="eastAsia" w:ascii="仿宋" w:hAnsi="仿宋" w:eastAsia="仿宋"/>
                <w:color w:val="auto"/>
                <w:sz w:val="24"/>
                <w:highlight w:val="none"/>
              </w:rPr>
              <w:t>对应第四部分评分办法及评分标准（报价除外）</w:t>
            </w:r>
          </w:p>
        </w:tc>
        <w:tc>
          <w:tcPr>
            <w:tcW w:w="272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c>
          <w:tcPr>
            <w:tcW w:w="195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625" w:type="dxa"/>
            <w:tcBorders>
              <w:top w:val="single" w:color="auto" w:sz="4" w:space="0"/>
              <w:left w:val="single" w:color="auto" w:sz="4" w:space="0"/>
              <w:bottom w:val="single" w:color="auto" w:sz="4" w:space="0"/>
              <w:right w:val="single" w:color="auto" w:sz="4" w:space="0"/>
            </w:tcBorders>
            <w:noWrap w:val="0"/>
            <w:vAlign w:val="center"/>
          </w:tcPr>
          <w:p>
            <w:pPr>
              <w:snapToGrid w:val="0"/>
              <w:rPr>
                <w:rFonts w:ascii="仿宋" w:hAnsi="仿宋" w:eastAsia="仿宋"/>
                <w:color w:val="auto"/>
                <w:sz w:val="24"/>
                <w:highlight w:val="none"/>
              </w:rPr>
            </w:pPr>
            <w:r>
              <w:rPr>
                <w:rFonts w:hint="eastAsia" w:ascii="仿宋" w:hAnsi="仿宋" w:eastAsia="仿宋"/>
                <w:color w:val="auto"/>
                <w:sz w:val="24"/>
                <w:highlight w:val="none"/>
              </w:rPr>
              <w:t>……</w:t>
            </w:r>
          </w:p>
        </w:tc>
        <w:tc>
          <w:tcPr>
            <w:tcW w:w="272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c>
          <w:tcPr>
            <w:tcW w:w="195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left="43"/>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625" w:type="dxa"/>
            <w:tcBorders>
              <w:top w:val="single" w:color="auto" w:sz="4" w:space="0"/>
              <w:left w:val="single" w:color="auto" w:sz="4" w:space="0"/>
              <w:bottom w:val="single" w:color="auto" w:sz="4" w:space="0"/>
              <w:right w:val="single" w:color="auto" w:sz="4" w:space="0"/>
            </w:tcBorders>
            <w:noWrap w:val="0"/>
            <w:vAlign w:val="top"/>
          </w:tcPr>
          <w:p>
            <w:pPr>
              <w:snapToGrid w:val="0"/>
              <w:rPr>
                <w:rFonts w:ascii="仿宋" w:hAnsi="仿宋" w:eastAsia="仿宋"/>
                <w:color w:val="auto"/>
                <w:sz w:val="24"/>
                <w:highlight w:val="none"/>
              </w:rPr>
            </w:pPr>
          </w:p>
        </w:tc>
        <w:tc>
          <w:tcPr>
            <w:tcW w:w="272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c>
          <w:tcPr>
            <w:tcW w:w="195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left="43"/>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625" w:type="dxa"/>
            <w:tcBorders>
              <w:top w:val="single" w:color="auto" w:sz="4" w:space="0"/>
              <w:left w:val="single" w:color="auto" w:sz="4" w:space="0"/>
              <w:bottom w:val="single" w:color="auto" w:sz="4" w:space="0"/>
              <w:right w:val="single" w:color="auto" w:sz="4" w:space="0"/>
            </w:tcBorders>
            <w:noWrap w:val="0"/>
            <w:vAlign w:val="top"/>
          </w:tcPr>
          <w:p>
            <w:pPr>
              <w:snapToGrid w:val="0"/>
              <w:rPr>
                <w:rFonts w:ascii="仿宋" w:hAnsi="仿宋" w:eastAsia="仿宋"/>
                <w:color w:val="auto"/>
                <w:sz w:val="24"/>
                <w:highlight w:val="none"/>
              </w:rPr>
            </w:pPr>
          </w:p>
        </w:tc>
        <w:tc>
          <w:tcPr>
            <w:tcW w:w="272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c>
          <w:tcPr>
            <w:tcW w:w="195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left="43"/>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625" w:type="dxa"/>
            <w:tcBorders>
              <w:top w:val="single" w:color="auto" w:sz="4" w:space="0"/>
              <w:left w:val="single" w:color="auto" w:sz="4" w:space="0"/>
              <w:bottom w:val="single" w:color="auto" w:sz="4" w:space="0"/>
              <w:right w:val="single" w:color="auto" w:sz="4" w:space="0"/>
            </w:tcBorders>
            <w:noWrap w:val="0"/>
            <w:vAlign w:val="top"/>
          </w:tcPr>
          <w:p>
            <w:pPr>
              <w:snapToGrid w:val="0"/>
              <w:rPr>
                <w:rFonts w:ascii="仿宋" w:hAnsi="仿宋" w:eastAsia="仿宋"/>
                <w:color w:val="auto"/>
                <w:sz w:val="24"/>
                <w:highlight w:val="none"/>
              </w:rPr>
            </w:pPr>
          </w:p>
        </w:tc>
        <w:tc>
          <w:tcPr>
            <w:tcW w:w="272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c>
          <w:tcPr>
            <w:tcW w:w="195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625" w:type="dxa"/>
            <w:tcBorders>
              <w:top w:val="single" w:color="auto" w:sz="4" w:space="0"/>
              <w:left w:val="single" w:color="auto" w:sz="4" w:space="0"/>
              <w:bottom w:val="single" w:color="auto" w:sz="4" w:space="0"/>
              <w:right w:val="single" w:color="auto" w:sz="4" w:space="0"/>
            </w:tcBorders>
            <w:noWrap w:val="0"/>
            <w:vAlign w:val="top"/>
          </w:tcPr>
          <w:p>
            <w:pPr>
              <w:snapToGrid w:val="0"/>
              <w:rPr>
                <w:rFonts w:ascii="仿宋" w:hAnsi="仿宋" w:eastAsia="仿宋"/>
                <w:color w:val="auto"/>
                <w:sz w:val="24"/>
                <w:highlight w:val="none"/>
              </w:rPr>
            </w:pPr>
          </w:p>
        </w:tc>
        <w:tc>
          <w:tcPr>
            <w:tcW w:w="272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c>
          <w:tcPr>
            <w:tcW w:w="195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625" w:type="dxa"/>
            <w:tcBorders>
              <w:top w:val="single" w:color="auto" w:sz="4" w:space="0"/>
              <w:left w:val="single" w:color="auto" w:sz="4" w:space="0"/>
              <w:bottom w:val="single" w:color="auto" w:sz="4" w:space="0"/>
              <w:right w:val="single" w:color="auto" w:sz="4" w:space="0"/>
            </w:tcBorders>
            <w:noWrap w:val="0"/>
            <w:vAlign w:val="top"/>
          </w:tcPr>
          <w:p>
            <w:pPr>
              <w:snapToGrid w:val="0"/>
              <w:rPr>
                <w:rFonts w:ascii="仿宋" w:hAnsi="仿宋" w:eastAsia="仿宋"/>
                <w:color w:val="auto"/>
                <w:sz w:val="24"/>
                <w:highlight w:val="none"/>
              </w:rPr>
            </w:pPr>
          </w:p>
        </w:tc>
        <w:tc>
          <w:tcPr>
            <w:tcW w:w="272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c>
          <w:tcPr>
            <w:tcW w:w="195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625" w:type="dxa"/>
            <w:tcBorders>
              <w:top w:val="single" w:color="auto" w:sz="4" w:space="0"/>
              <w:left w:val="single" w:color="auto" w:sz="4" w:space="0"/>
              <w:bottom w:val="single" w:color="auto" w:sz="4" w:space="0"/>
              <w:right w:val="single" w:color="auto" w:sz="4" w:space="0"/>
            </w:tcBorders>
            <w:noWrap w:val="0"/>
            <w:vAlign w:val="top"/>
          </w:tcPr>
          <w:p>
            <w:pPr>
              <w:snapToGrid w:val="0"/>
              <w:rPr>
                <w:rFonts w:ascii="仿宋" w:hAnsi="仿宋" w:eastAsia="仿宋"/>
                <w:color w:val="auto"/>
                <w:sz w:val="24"/>
                <w:highlight w:val="none"/>
              </w:rPr>
            </w:pPr>
          </w:p>
        </w:tc>
        <w:tc>
          <w:tcPr>
            <w:tcW w:w="272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c>
          <w:tcPr>
            <w:tcW w:w="195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625" w:type="dxa"/>
            <w:tcBorders>
              <w:top w:val="single" w:color="auto" w:sz="4" w:space="0"/>
              <w:left w:val="single" w:color="auto" w:sz="4" w:space="0"/>
              <w:bottom w:val="single" w:color="auto" w:sz="4" w:space="0"/>
              <w:right w:val="single" w:color="auto" w:sz="4" w:space="0"/>
            </w:tcBorders>
            <w:noWrap w:val="0"/>
            <w:vAlign w:val="top"/>
          </w:tcPr>
          <w:p>
            <w:pPr>
              <w:snapToGrid w:val="0"/>
              <w:rPr>
                <w:rFonts w:ascii="仿宋" w:hAnsi="仿宋" w:eastAsia="仿宋"/>
                <w:color w:val="auto"/>
                <w:sz w:val="24"/>
                <w:highlight w:val="none"/>
              </w:rPr>
            </w:pPr>
          </w:p>
        </w:tc>
        <w:tc>
          <w:tcPr>
            <w:tcW w:w="272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c>
          <w:tcPr>
            <w:tcW w:w="195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ascii="仿宋" w:hAnsi="仿宋" w:eastAsia="仿宋"/>
                <w:color w:val="auto"/>
                <w:sz w:val="24"/>
                <w:highlight w:val="none"/>
              </w:rPr>
            </w:pPr>
          </w:p>
        </w:tc>
      </w:tr>
    </w:tbl>
    <w:p>
      <w:pPr>
        <w:snapToGrid w:val="0"/>
        <w:spacing w:before="120" w:beforeLines="5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注：如果本项目评标办法采用综合评审法，需在商务技术文件中提供此评分对应表。</w:t>
      </w:r>
      <w:r>
        <w:rPr>
          <w:rFonts w:ascii="仿宋" w:hAnsi="仿宋" w:eastAsia="仿宋" w:cs="仿宋_GB2312"/>
          <w:b/>
          <w:color w:val="auto"/>
          <w:sz w:val="24"/>
          <w:highlight w:val="none"/>
        </w:rPr>
        <w:t xml:space="preserve"> </w:t>
      </w:r>
    </w:p>
    <w:p>
      <w:pPr>
        <w:snapToGrid w:val="0"/>
        <w:spacing w:before="120" w:beforeLines="50"/>
        <w:rPr>
          <w:rFonts w:ascii="仿宋" w:hAnsi="仿宋" w:eastAsia="仿宋"/>
          <w:color w:val="auto"/>
          <w:sz w:val="30"/>
          <w:szCs w:val="30"/>
          <w:highlight w:val="none"/>
        </w:rPr>
      </w:pPr>
    </w:p>
    <w:p>
      <w:pPr>
        <w:autoSpaceDE w:val="0"/>
        <w:autoSpaceDN w:val="0"/>
        <w:spacing w:line="360" w:lineRule="auto"/>
        <w:ind w:firstLine="4560" w:firstLineChars="190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kern w:val="0"/>
          <w:sz w:val="24"/>
          <w:highlight w:val="none"/>
        </w:rPr>
        <w:t>）：</w:t>
      </w:r>
    </w:p>
    <w:p>
      <w:pPr>
        <w:snapToGrid w:val="0"/>
        <w:spacing w:before="50" w:after="5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 xml:space="preserve">                                       日期：  年  月   日</w:t>
      </w:r>
    </w:p>
    <w:p>
      <w:pPr>
        <w:spacing w:line="360" w:lineRule="auto"/>
        <w:rPr>
          <w:rFonts w:hint="eastAsia" w:ascii="仿宋" w:hAnsi="仿宋" w:eastAsia="仿宋" w:cs="仿宋_GB2312"/>
          <w:b/>
          <w:bCs/>
          <w:color w:val="auto"/>
          <w:sz w:val="32"/>
          <w:szCs w:val="32"/>
          <w:highlight w:val="none"/>
        </w:rPr>
        <w:sectPr>
          <w:pgSz w:w="11906" w:h="16838"/>
          <w:pgMar w:top="1440" w:right="1800" w:bottom="1440" w:left="1800" w:header="851" w:footer="992" w:gutter="0"/>
          <w:cols w:space="720" w:num="1"/>
          <w:titlePg/>
          <w:docGrid w:linePitch="312" w:charSpace="0"/>
        </w:sectPr>
      </w:pPr>
    </w:p>
    <w:p>
      <w:pPr>
        <w:snapToGrid w:val="0"/>
        <w:spacing w:before="50" w:after="50"/>
        <w:jc w:val="center"/>
        <w:rPr>
          <w:rFonts w:hint="eastAsia" w:ascii="仿宋" w:hAnsi="仿宋" w:eastAsia="仿宋"/>
          <w:b/>
          <w:bCs/>
          <w:color w:val="auto"/>
          <w:spacing w:val="6"/>
          <w:sz w:val="32"/>
          <w:szCs w:val="32"/>
          <w:highlight w:val="none"/>
        </w:rPr>
      </w:pPr>
      <w:r>
        <w:rPr>
          <w:rFonts w:hint="eastAsia" w:ascii="仿宋" w:hAnsi="仿宋" w:eastAsia="仿宋"/>
          <w:color w:val="auto"/>
          <w:spacing w:val="6"/>
          <w:sz w:val="32"/>
          <w:szCs w:val="32"/>
          <w:highlight w:val="none"/>
          <w:lang w:val="en-US" w:eastAsia="zh-CN"/>
        </w:rPr>
        <w:t>二、</w:t>
      </w:r>
      <w:r>
        <w:rPr>
          <w:rFonts w:hint="eastAsia" w:ascii="仿宋" w:hAnsi="仿宋" w:eastAsia="仿宋"/>
          <w:b/>
          <w:bCs/>
          <w:color w:val="auto"/>
          <w:spacing w:val="6"/>
          <w:sz w:val="32"/>
          <w:szCs w:val="32"/>
          <w:highlight w:val="none"/>
        </w:rPr>
        <w:t>技术响应表</w:t>
      </w:r>
    </w:p>
    <w:p>
      <w:pPr>
        <w:rPr>
          <w:rFonts w:ascii="Arial" w:hAnsi="Arial" w:eastAsia="黑体" w:cs="Arial"/>
          <w:snapToGrid w:val="0"/>
          <w:color w:val="auto"/>
          <w:kern w:val="0"/>
          <w:szCs w:val="21"/>
          <w:highlight w:val="none"/>
        </w:rPr>
      </w:pPr>
    </w:p>
    <w:tbl>
      <w:tblPr>
        <w:tblStyle w:val="60"/>
        <w:tblW w:w="830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7"/>
        <w:gridCol w:w="1567"/>
        <w:gridCol w:w="2457"/>
        <w:gridCol w:w="2326"/>
        <w:gridCol w:w="11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jc w:val="center"/>
        </w:trPr>
        <w:tc>
          <w:tcPr>
            <w:tcW w:w="77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bookmarkStart w:id="434" w:name="_Toc64369808"/>
            <w:r>
              <w:rPr>
                <w:rFonts w:hint="eastAsia" w:ascii="仿宋" w:hAnsi="仿宋" w:eastAsia="仿宋"/>
                <w:color w:val="auto"/>
                <w:sz w:val="24"/>
                <w:highlight w:val="none"/>
              </w:rPr>
              <w:t>序号</w:t>
            </w:r>
            <w:bookmarkEnd w:id="434"/>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r>
              <w:rPr>
                <w:rFonts w:hint="eastAsia" w:ascii="仿宋" w:hAnsi="仿宋" w:eastAsia="仿宋"/>
                <w:color w:val="auto"/>
                <w:sz w:val="24"/>
                <w:highlight w:val="none"/>
              </w:rPr>
              <w:t>服务名称</w:t>
            </w:r>
          </w:p>
        </w:tc>
        <w:tc>
          <w:tcPr>
            <w:tcW w:w="245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bookmarkStart w:id="435" w:name="_Toc64369809"/>
            <w:bookmarkStart w:id="436" w:name="_Toc64369810"/>
            <w:r>
              <w:rPr>
                <w:rFonts w:hint="eastAsia" w:ascii="仿宋" w:hAnsi="仿宋" w:eastAsia="仿宋"/>
                <w:color w:val="auto"/>
                <w:sz w:val="24"/>
                <w:highlight w:val="none"/>
              </w:rPr>
              <w:t>采购文件</w:t>
            </w:r>
          </w:p>
          <w:p>
            <w:pPr>
              <w:snapToGrid w:val="0"/>
              <w:spacing w:before="50" w:after="50"/>
              <w:jc w:val="center"/>
              <w:rPr>
                <w:rFonts w:ascii="仿宋" w:hAnsi="仿宋" w:eastAsia="仿宋"/>
                <w:color w:val="auto"/>
                <w:sz w:val="24"/>
                <w:highlight w:val="none"/>
              </w:rPr>
            </w:pPr>
            <w:r>
              <w:rPr>
                <w:rFonts w:hint="eastAsia" w:ascii="仿宋" w:hAnsi="仿宋" w:eastAsia="仿宋"/>
                <w:color w:val="auto"/>
                <w:sz w:val="24"/>
                <w:highlight w:val="none"/>
              </w:rPr>
              <w:t>要求</w:t>
            </w:r>
            <w:bookmarkEnd w:id="435"/>
          </w:p>
        </w:tc>
        <w:tc>
          <w:tcPr>
            <w:tcW w:w="23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r>
              <w:rPr>
                <w:rFonts w:hint="eastAsia" w:ascii="仿宋" w:hAnsi="仿宋" w:eastAsia="仿宋"/>
                <w:color w:val="auto"/>
                <w:sz w:val="24"/>
                <w:highlight w:val="none"/>
              </w:rPr>
              <w:t>投标文件</w:t>
            </w:r>
          </w:p>
          <w:p>
            <w:pPr>
              <w:snapToGrid w:val="0"/>
              <w:spacing w:before="50" w:after="50"/>
              <w:jc w:val="center"/>
              <w:rPr>
                <w:rFonts w:ascii="仿宋" w:hAnsi="仿宋" w:eastAsia="仿宋"/>
                <w:color w:val="auto"/>
                <w:sz w:val="24"/>
                <w:highlight w:val="none"/>
              </w:rPr>
            </w:pPr>
            <w:r>
              <w:rPr>
                <w:rFonts w:hint="eastAsia" w:ascii="仿宋" w:hAnsi="仿宋" w:eastAsia="仿宋"/>
                <w:color w:val="auto"/>
                <w:sz w:val="24"/>
                <w:highlight w:val="none"/>
              </w:rPr>
              <w:t>响应</w:t>
            </w:r>
            <w:bookmarkEnd w:id="436"/>
          </w:p>
        </w:tc>
        <w:tc>
          <w:tcPr>
            <w:tcW w:w="117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bookmarkStart w:id="437" w:name="_Toc64369811"/>
            <w:r>
              <w:rPr>
                <w:rFonts w:hint="eastAsia" w:ascii="仿宋" w:hAnsi="仿宋" w:eastAsia="仿宋"/>
                <w:color w:val="auto"/>
                <w:sz w:val="24"/>
                <w:highlight w:val="none"/>
              </w:rPr>
              <w:t>偏离</w:t>
            </w:r>
          </w:p>
          <w:p>
            <w:pPr>
              <w:snapToGrid w:val="0"/>
              <w:spacing w:before="50" w:after="50"/>
              <w:jc w:val="center"/>
              <w:rPr>
                <w:rFonts w:ascii="仿宋" w:hAnsi="仿宋" w:eastAsia="仿宋"/>
                <w:color w:val="auto"/>
                <w:sz w:val="24"/>
                <w:highlight w:val="none"/>
              </w:rPr>
            </w:pPr>
            <w:r>
              <w:rPr>
                <w:rFonts w:hint="eastAsia" w:ascii="仿宋" w:hAnsi="仿宋" w:eastAsia="仿宋"/>
                <w:color w:val="auto"/>
                <w:sz w:val="24"/>
                <w:highlight w:val="none"/>
              </w:rPr>
              <w:t>情况</w:t>
            </w:r>
            <w:bookmarkEnd w:id="437"/>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77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bookmarkStart w:id="438" w:name="_Toc64369812"/>
            <w:r>
              <w:rPr>
                <w:rFonts w:hint="eastAsia" w:ascii="仿宋" w:hAnsi="仿宋" w:eastAsia="仿宋"/>
                <w:color w:val="auto"/>
                <w:sz w:val="24"/>
                <w:highlight w:val="none"/>
              </w:rPr>
              <w:t>1</w:t>
            </w:r>
            <w:bookmarkEnd w:id="438"/>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c>
          <w:tcPr>
            <w:tcW w:w="245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c>
          <w:tcPr>
            <w:tcW w:w="117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jc w:val="center"/>
        </w:trPr>
        <w:tc>
          <w:tcPr>
            <w:tcW w:w="77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bookmarkStart w:id="439" w:name="_Toc64369813"/>
            <w:r>
              <w:rPr>
                <w:rFonts w:hint="eastAsia" w:ascii="仿宋" w:hAnsi="仿宋" w:eastAsia="仿宋"/>
                <w:color w:val="auto"/>
                <w:sz w:val="24"/>
                <w:highlight w:val="none"/>
              </w:rPr>
              <w:t>2</w:t>
            </w:r>
            <w:bookmarkEnd w:id="439"/>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c>
          <w:tcPr>
            <w:tcW w:w="245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c>
          <w:tcPr>
            <w:tcW w:w="117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7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bookmarkStart w:id="440" w:name="_Toc64369814"/>
            <w:r>
              <w:rPr>
                <w:rFonts w:hint="eastAsia" w:ascii="仿宋" w:hAnsi="仿宋" w:eastAsia="仿宋"/>
                <w:color w:val="auto"/>
                <w:sz w:val="24"/>
                <w:highlight w:val="none"/>
              </w:rPr>
              <w:t>…</w:t>
            </w:r>
            <w:bookmarkEnd w:id="440"/>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c>
          <w:tcPr>
            <w:tcW w:w="245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c>
          <w:tcPr>
            <w:tcW w:w="117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p>
        </w:tc>
      </w:tr>
    </w:tbl>
    <w:p>
      <w:pPr>
        <w:snapToGrid w:val="0"/>
        <w:spacing w:before="120" w:beforeLines="5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注：投标人应对照招标文件要求和投标文件响应情况在“偏离情况”栏注明“正偏离”、“负偏离”或“无偏离”。</w:t>
      </w:r>
    </w:p>
    <w:p>
      <w:pPr>
        <w:snapToGrid w:val="0"/>
        <w:spacing w:before="120" w:beforeLines="50"/>
        <w:rPr>
          <w:rFonts w:ascii="仿宋" w:hAnsi="仿宋" w:eastAsia="仿宋" w:cs="仿宋_GB2312"/>
          <w:color w:val="auto"/>
          <w:sz w:val="24"/>
          <w:highlight w:val="none"/>
        </w:rPr>
      </w:pPr>
    </w:p>
    <w:p>
      <w:pPr>
        <w:autoSpaceDE w:val="0"/>
        <w:autoSpaceDN w:val="0"/>
        <w:spacing w:line="360" w:lineRule="auto"/>
        <w:ind w:firstLine="4560" w:firstLineChars="190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kern w:val="0"/>
          <w:sz w:val="24"/>
          <w:highlight w:val="none"/>
        </w:rPr>
        <w:t>）：</w:t>
      </w:r>
    </w:p>
    <w:p>
      <w:pPr>
        <w:snapToGrid w:val="0"/>
        <w:spacing w:before="50" w:after="5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 xml:space="preserve">                                       日期：  年  月   </w:t>
      </w:r>
    </w:p>
    <w:p>
      <w:pPr>
        <w:snapToGrid w:val="0"/>
        <w:spacing w:before="50" w:after="120" w:afterLines="50"/>
        <w:jc w:val="center"/>
        <w:rPr>
          <w:rFonts w:hint="eastAsia" w:ascii="仿宋" w:eastAsia="仿宋"/>
          <w:b/>
          <w:bCs/>
          <w:color w:val="auto"/>
          <w:sz w:val="30"/>
          <w:szCs w:val="30"/>
          <w:highlight w:val="none"/>
        </w:rPr>
      </w:pPr>
    </w:p>
    <w:p>
      <w:pPr>
        <w:snapToGrid w:val="0"/>
        <w:spacing w:before="50" w:after="120" w:afterLines="50"/>
        <w:jc w:val="center"/>
        <w:rPr>
          <w:rFonts w:hint="eastAsia" w:ascii="仿宋" w:eastAsia="仿宋"/>
          <w:b/>
          <w:color w:val="auto"/>
          <w:spacing w:val="40"/>
          <w:kern w:val="0"/>
          <w:sz w:val="36"/>
          <w:szCs w:val="36"/>
          <w:highlight w:val="none"/>
        </w:rPr>
      </w:pPr>
    </w:p>
    <w:p>
      <w:pPr>
        <w:snapToGrid w:val="0"/>
        <w:spacing w:before="50" w:after="120" w:afterLines="50"/>
        <w:jc w:val="center"/>
        <w:rPr>
          <w:rFonts w:hint="eastAsia" w:ascii="仿宋" w:eastAsia="仿宋"/>
          <w:b/>
          <w:color w:val="auto"/>
          <w:spacing w:val="40"/>
          <w:kern w:val="0"/>
          <w:sz w:val="36"/>
          <w:szCs w:val="36"/>
          <w:highlight w:val="none"/>
        </w:rPr>
      </w:pPr>
    </w:p>
    <w:p>
      <w:pPr>
        <w:snapToGrid w:val="0"/>
        <w:spacing w:before="50" w:after="120" w:afterLines="50"/>
        <w:jc w:val="center"/>
        <w:rPr>
          <w:rFonts w:hint="eastAsia" w:ascii="仿宋" w:eastAsia="仿宋"/>
          <w:b/>
          <w:color w:val="auto"/>
          <w:spacing w:val="40"/>
          <w:kern w:val="0"/>
          <w:sz w:val="36"/>
          <w:szCs w:val="36"/>
          <w:highlight w:val="none"/>
        </w:rPr>
      </w:pPr>
    </w:p>
    <w:p>
      <w:pPr>
        <w:snapToGrid w:val="0"/>
        <w:spacing w:before="50" w:after="120" w:afterLines="50"/>
        <w:jc w:val="center"/>
        <w:rPr>
          <w:rFonts w:hint="eastAsia" w:ascii="仿宋" w:eastAsia="仿宋"/>
          <w:b/>
          <w:color w:val="auto"/>
          <w:spacing w:val="40"/>
          <w:kern w:val="0"/>
          <w:sz w:val="36"/>
          <w:szCs w:val="36"/>
          <w:highlight w:val="none"/>
        </w:rPr>
      </w:pPr>
    </w:p>
    <w:p>
      <w:pPr>
        <w:snapToGrid w:val="0"/>
        <w:spacing w:before="50" w:after="120" w:afterLines="50"/>
        <w:jc w:val="center"/>
        <w:rPr>
          <w:rFonts w:hint="eastAsia" w:ascii="仿宋" w:eastAsia="仿宋"/>
          <w:b/>
          <w:color w:val="auto"/>
          <w:spacing w:val="40"/>
          <w:kern w:val="0"/>
          <w:sz w:val="36"/>
          <w:szCs w:val="36"/>
          <w:highlight w:val="none"/>
        </w:rPr>
      </w:pPr>
    </w:p>
    <w:p>
      <w:pPr>
        <w:snapToGrid w:val="0"/>
        <w:spacing w:before="50" w:after="120" w:afterLines="50"/>
        <w:jc w:val="center"/>
        <w:rPr>
          <w:rFonts w:hint="eastAsia" w:ascii="仿宋" w:eastAsia="仿宋"/>
          <w:b/>
          <w:color w:val="auto"/>
          <w:spacing w:val="40"/>
          <w:kern w:val="0"/>
          <w:sz w:val="36"/>
          <w:szCs w:val="36"/>
          <w:highlight w:val="none"/>
        </w:rPr>
      </w:pPr>
    </w:p>
    <w:p>
      <w:pPr>
        <w:snapToGrid w:val="0"/>
        <w:spacing w:before="50" w:after="120" w:afterLines="50"/>
        <w:jc w:val="center"/>
        <w:rPr>
          <w:rFonts w:hint="eastAsia" w:ascii="仿宋" w:eastAsia="仿宋"/>
          <w:b/>
          <w:color w:val="auto"/>
          <w:spacing w:val="40"/>
          <w:kern w:val="0"/>
          <w:sz w:val="36"/>
          <w:szCs w:val="36"/>
          <w:highlight w:val="none"/>
        </w:rPr>
      </w:pPr>
    </w:p>
    <w:p>
      <w:pPr>
        <w:snapToGrid w:val="0"/>
        <w:spacing w:before="50" w:after="120" w:afterLines="50"/>
        <w:rPr>
          <w:rFonts w:hint="eastAsia" w:ascii="仿宋" w:eastAsia="仿宋"/>
          <w:b/>
          <w:color w:val="auto"/>
          <w:spacing w:val="40"/>
          <w:kern w:val="0"/>
          <w:sz w:val="36"/>
          <w:szCs w:val="36"/>
          <w:highlight w:val="none"/>
        </w:rPr>
      </w:pPr>
    </w:p>
    <w:p>
      <w:pPr>
        <w:pStyle w:val="16"/>
        <w:snapToGrid w:val="0"/>
        <w:jc w:val="center"/>
        <w:rPr>
          <w:rFonts w:hint="eastAsia" w:ascii="仿宋" w:eastAsia="仿宋"/>
          <w:color w:val="auto"/>
          <w:spacing w:val="40"/>
          <w:kern w:val="0"/>
          <w:sz w:val="36"/>
          <w:szCs w:val="36"/>
          <w:highlight w:val="none"/>
          <w:lang w:val="en-US" w:eastAsia="zh-CN"/>
        </w:rPr>
      </w:pPr>
    </w:p>
    <w:p>
      <w:pPr>
        <w:jc w:val="center"/>
        <w:rPr>
          <w:rFonts w:hint="eastAsia" w:ascii="仿宋" w:hAnsi="仿宋" w:eastAsia="仿宋"/>
          <w:b/>
          <w:bCs/>
          <w:color w:val="auto"/>
          <w:spacing w:val="6"/>
          <w:sz w:val="32"/>
          <w:szCs w:val="32"/>
          <w:highlight w:val="none"/>
        </w:rPr>
      </w:pPr>
      <w:r>
        <w:rPr>
          <w:rFonts w:hint="eastAsia" w:ascii="Arial" w:hAnsi="Arial" w:eastAsia="黑体" w:cs="Arial"/>
          <w:snapToGrid w:val="0"/>
          <w:color w:val="auto"/>
          <w:kern w:val="0"/>
          <w:szCs w:val="21"/>
          <w:highlight w:val="none"/>
        </w:rPr>
        <w:br w:type="page"/>
      </w:r>
      <w:r>
        <w:rPr>
          <w:rFonts w:hint="eastAsia" w:ascii="仿宋" w:hAnsi="仿宋" w:eastAsia="仿宋"/>
          <w:b/>
          <w:bCs/>
          <w:color w:val="auto"/>
          <w:spacing w:val="6"/>
          <w:sz w:val="32"/>
          <w:szCs w:val="32"/>
          <w:highlight w:val="none"/>
          <w:lang w:eastAsia="zh-CN"/>
        </w:rPr>
        <w:t>三</w:t>
      </w:r>
      <w:r>
        <w:rPr>
          <w:rFonts w:hint="eastAsia" w:ascii="仿宋" w:hAnsi="仿宋" w:eastAsia="仿宋"/>
          <w:b/>
          <w:bCs/>
          <w:color w:val="auto"/>
          <w:spacing w:val="6"/>
          <w:sz w:val="32"/>
          <w:szCs w:val="32"/>
          <w:highlight w:val="none"/>
        </w:rPr>
        <w:t>、商务响应表</w:t>
      </w:r>
    </w:p>
    <w:p>
      <w:pPr>
        <w:rPr>
          <w:rFonts w:ascii="Arial" w:hAnsi="Arial" w:eastAsia="黑体" w:cs="Arial"/>
          <w:snapToGrid w:val="0"/>
          <w:color w:val="auto"/>
          <w:kern w:val="0"/>
          <w:szCs w:val="21"/>
          <w:highlight w:val="none"/>
        </w:rPr>
      </w:pPr>
    </w:p>
    <w:tbl>
      <w:tblPr>
        <w:tblStyle w:val="60"/>
        <w:tblW w:w="830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33"/>
        <w:gridCol w:w="2917"/>
        <w:gridCol w:w="2974"/>
        <w:gridCol w:w="117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bookmarkStart w:id="441" w:name="_Toc64369815"/>
            <w:r>
              <w:rPr>
                <w:rFonts w:hint="eastAsia" w:ascii="仿宋" w:hAnsi="仿宋" w:eastAsia="仿宋"/>
                <w:color w:val="auto"/>
                <w:sz w:val="24"/>
                <w:highlight w:val="none"/>
              </w:rPr>
              <w:t>类别</w:t>
            </w:r>
            <w:bookmarkEnd w:id="441"/>
          </w:p>
        </w:tc>
        <w:tc>
          <w:tcPr>
            <w:tcW w:w="291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仿宋" w:hAnsi="仿宋" w:eastAsia="仿宋"/>
                <w:color w:val="auto"/>
                <w:sz w:val="24"/>
                <w:highlight w:val="none"/>
              </w:rPr>
            </w:pPr>
            <w:bookmarkStart w:id="442" w:name="_Toc64369816"/>
            <w:r>
              <w:rPr>
                <w:rFonts w:hint="eastAsia" w:ascii="仿宋" w:hAnsi="仿宋" w:eastAsia="仿宋"/>
                <w:color w:val="auto"/>
                <w:sz w:val="24"/>
                <w:highlight w:val="none"/>
              </w:rPr>
              <w:t>采购文件要求</w:t>
            </w:r>
            <w:bookmarkEnd w:id="442"/>
          </w:p>
        </w:tc>
        <w:tc>
          <w:tcPr>
            <w:tcW w:w="297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仿宋" w:hAnsi="仿宋" w:eastAsia="仿宋"/>
                <w:color w:val="auto"/>
                <w:sz w:val="24"/>
                <w:highlight w:val="none"/>
              </w:rPr>
            </w:pPr>
            <w:bookmarkStart w:id="443" w:name="_Toc64369817"/>
            <w:r>
              <w:rPr>
                <w:rFonts w:hint="eastAsia" w:ascii="仿宋" w:hAnsi="仿宋" w:eastAsia="仿宋"/>
                <w:color w:val="auto"/>
                <w:sz w:val="24"/>
                <w:highlight w:val="none"/>
              </w:rPr>
              <w:t>投标文件响应</w:t>
            </w:r>
            <w:bookmarkEnd w:id="443"/>
          </w:p>
        </w:tc>
        <w:tc>
          <w:tcPr>
            <w:tcW w:w="117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仿宋" w:hAnsi="仿宋" w:eastAsia="仿宋"/>
                <w:color w:val="auto"/>
                <w:sz w:val="24"/>
                <w:highlight w:val="none"/>
              </w:rPr>
            </w:pPr>
            <w:bookmarkStart w:id="444" w:name="_Toc64369818"/>
            <w:r>
              <w:rPr>
                <w:rFonts w:hint="eastAsia" w:ascii="仿宋" w:hAnsi="仿宋" w:eastAsia="仿宋"/>
                <w:color w:val="auto"/>
                <w:sz w:val="24"/>
                <w:highlight w:val="none"/>
              </w:rPr>
              <w:t>偏离情况</w:t>
            </w:r>
            <w:bookmarkEnd w:id="444"/>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jc w:val="center"/>
        </w:trPr>
        <w:tc>
          <w:tcPr>
            <w:tcW w:w="12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both"/>
              <w:textAlignment w:val="center"/>
              <w:rPr>
                <w:rFonts w:ascii="仿宋" w:hAnsi="仿宋" w:eastAsia="仿宋"/>
                <w:b w:val="0"/>
                <w:bCs w:val="0"/>
                <w:color w:val="auto"/>
                <w:sz w:val="24"/>
                <w:highlight w:val="none"/>
              </w:rPr>
            </w:pPr>
            <w:r>
              <w:rPr>
                <w:rFonts w:hint="eastAsia" w:ascii="仿宋" w:hAnsi="仿宋" w:eastAsia="仿宋" w:cs="仿宋"/>
                <w:b w:val="0"/>
                <w:bCs w:val="0"/>
                <w:i w:val="0"/>
                <w:iCs w:val="0"/>
                <w:color w:val="auto"/>
                <w:kern w:val="0"/>
                <w:sz w:val="24"/>
                <w:szCs w:val="24"/>
                <w:highlight w:val="none"/>
                <w:u w:val="none"/>
                <w:lang w:val="en-US" w:eastAsia="zh-CN" w:bidi="ar"/>
              </w:rPr>
              <w:t>服务期限</w:t>
            </w:r>
          </w:p>
        </w:tc>
        <w:tc>
          <w:tcPr>
            <w:tcW w:w="2917" w:type="dxa"/>
            <w:tcBorders>
              <w:top w:val="single" w:color="auto" w:sz="4" w:space="0"/>
              <w:left w:val="single" w:color="auto" w:sz="4" w:space="0"/>
              <w:bottom w:val="single" w:color="auto" w:sz="4" w:space="0"/>
              <w:right w:val="single" w:color="auto" w:sz="4" w:space="0"/>
            </w:tcBorders>
            <w:noWrap w:val="0"/>
            <w:vAlign w:val="center"/>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2974"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1176"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jc w:val="center"/>
        </w:trPr>
        <w:tc>
          <w:tcPr>
            <w:tcW w:w="12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both"/>
              <w:textAlignment w:val="center"/>
              <w:rPr>
                <w:rFonts w:hint="eastAsia" w:ascii="仿宋" w:hAnsi="仿宋" w:eastAsia="仿宋"/>
                <w:b w:val="0"/>
                <w:bCs w:val="0"/>
                <w:color w:val="auto"/>
                <w:sz w:val="24"/>
                <w:highlight w:val="none"/>
              </w:rPr>
            </w:pPr>
            <w:r>
              <w:rPr>
                <w:rFonts w:hint="eastAsia" w:ascii="仿宋" w:hAnsi="仿宋" w:eastAsia="仿宋" w:cs="仿宋"/>
                <w:b w:val="0"/>
                <w:bCs w:val="0"/>
                <w:i w:val="0"/>
                <w:iCs w:val="0"/>
                <w:color w:val="auto"/>
                <w:kern w:val="0"/>
                <w:sz w:val="24"/>
                <w:szCs w:val="24"/>
                <w:highlight w:val="none"/>
                <w:u w:val="none"/>
                <w:lang w:val="en-US" w:eastAsia="zh-CN" w:bidi="ar"/>
              </w:rPr>
              <w:t>质量要求</w:t>
            </w:r>
          </w:p>
        </w:tc>
        <w:tc>
          <w:tcPr>
            <w:tcW w:w="2917" w:type="dxa"/>
            <w:tcBorders>
              <w:top w:val="single" w:color="auto" w:sz="4" w:space="0"/>
              <w:left w:val="single" w:color="auto" w:sz="4" w:space="0"/>
              <w:bottom w:val="single" w:color="auto" w:sz="4" w:space="0"/>
              <w:right w:val="single" w:color="auto" w:sz="4" w:space="0"/>
            </w:tcBorders>
            <w:noWrap w:val="0"/>
            <w:vAlign w:val="center"/>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2974"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1176"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jc w:val="center"/>
        </w:trPr>
        <w:tc>
          <w:tcPr>
            <w:tcW w:w="12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both"/>
              <w:textAlignment w:val="center"/>
              <w:rPr>
                <w:rFonts w:ascii="仿宋" w:hAnsi="仿宋" w:eastAsia="仿宋"/>
                <w:b w:val="0"/>
                <w:bCs w:val="0"/>
                <w:color w:val="auto"/>
                <w:sz w:val="24"/>
                <w:highlight w:val="none"/>
              </w:rPr>
            </w:pPr>
            <w:r>
              <w:rPr>
                <w:rFonts w:hint="eastAsia" w:ascii="仿宋" w:hAnsi="仿宋" w:eastAsia="仿宋" w:cs="仿宋"/>
                <w:b w:val="0"/>
                <w:bCs w:val="0"/>
                <w:i w:val="0"/>
                <w:iCs w:val="0"/>
                <w:color w:val="auto"/>
                <w:kern w:val="0"/>
                <w:sz w:val="24"/>
                <w:szCs w:val="24"/>
                <w:highlight w:val="none"/>
                <w:u w:val="none"/>
                <w:lang w:val="en-US" w:eastAsia="zh-CN" w:bidi="ar"/>
              </w:rPr>
              <w:t>数量调整</w:t>
            </w:r>
          </w:p>
        </w:tc>
        <w:tc>
          <w:tcPr>
            <w:tcW w:w="2917" w:type="dxa"/>
            <w:tcBorders>
              <w:top w:val="single" w:color="auto" w:sz="4" w:space="0"/>
              <w:left w:val="single" w:color="auto" w:sz="4" w:space="0"/>
              <w:bottom w:val="single" w:color="auto" w:sz="4" w:space="0"/>
              <w:right w:val="single" w:color="auto" w:sz="4" w:space="0"/>
            </w:tcBorders>
            <w:noWrap w:val="0"/>
            <w:vAlign w:val="center"/>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2974"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1176" w:type="dxa"/>
            <w:tcBorders>
              <w:top w:val="single" w:color="auto" w:sz="4" w:space="0"/>
              <w:left w:val="single" w:color="auto" w:sz="4" w:space="0"/>
              <w:bottom w:val="nil"/>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jc w:val="center"/>
        </w:trPr>
        <w:tc>
          <w:tcPr>
            <w:tcW w:w="12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both"/>
              <w:textAlignment w:val="center"/>
              <w:rPr>
                <w:rFonts w:ascii="仿宋" w:hAnsi="仿宋" w:eastAsia="仿宋"/>
                <w:b w:val="0"/>
                <w:bCs w:val="0"/>
                <w:color w:val="auto"/>
                <w:sz w:val="24"/>
                <w:highlight w:val="none"/>
              </w:rPr>
            </w:pPr>
            <w:r>
              <w:rPr>
                <w:rFonts w:hint="eastAsia" w:ascii="仿宋" w:hAnsi="仿宋" w:eastAsia="仿宋" w:cs="仿宋"/>
                <w:b w:val="0"/>
                <w:bCs w:val="0"/>
                <w:i w:val="0"/>
                <w:iCs w:val="0"/>
                <w:color w:val="auto"/>
                <w:kern w:val="0"/>
                <w:sz w:val="24"/>
                <w:szCs w:val="24"/>
                <w:highlight w:val="none"/>
                <w:u w:val="none"/>
                <w:lang w:val="en-US" w:eastAsia="zh-CN" w:bidi="ar"/>
              </w:rPr>
              <w:t>结算原则</w:t>
            </w:r>
          </w:p>
        </w:tc>
        <w:tc>
          <w:tcPr>
            <w:tcW w:w="2917" w:type="dxa"/>
            <w:tcBorders>
              <w:top w:val="single" w:color="auto" w:sz="4" w:space="0"/>
              <w:left w:val="single" w:color="auto" w:sz="4" w:space="0"/>
              <w:bottom w:val="single" w:color="auto" w:sz="4" w:space="0"/>
              <w:right w:val="single" w:color="auto" w:sz="4" w:space="0"/>
            </w:tcBorders>
            <w:noWrap w:val="0"/>
            <w:vAlign w:val="center"/>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2974"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1176"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jc w:val="center"/>
        </w:trPr>
        <w:tc>
          <w:tcPr>
            <w:tcW w:w="12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both"/>
              <w:textAlignment w:val="center"/>
              <w:rPr>
                <w:rFonts w:ascii="仿宋" w:hAnsi="仿宋" w:eastAsia="仿宋"/>
                <w:b w:val="0"/>
                <w:bCs w:val="0"/>
                <w:color w:val="auto"/>
                <w:sz w:val="24"/>
                <w:highlight w:val="none"/>
              </w:rPr>
            </w:pPr>
            <w:r>
              <w:rPr>
                <w:rFonts w:hint="eastAsia" w:ascii="仿宋" w:hAnsi="仿宋" w:eastAsia="仿宋" w:cs="仿宋"/>
                <w:b w:val="0"/>
                <w:bCs w:val="0"/>
                <w:i w:val="0"/>
                <w:iCs w:val="0"/>
                <w:color w:val="auto"/>
                <w:kern w:val="0"/>
                <w:sz w:val="24"/>
                <w:szCs w:val="24"/>
                <w:highlight w:val="none"/>
                <w:u w:val="none"/>
                <w:lang w:val="en-US" w:eastAsia="zh-CN" w:bidi="ar"/>
              </w:rPr>
              <w:t>付款方式</w:t>
            </w:r>
          </w:p>
        </w:tc>
        <w:tc>
          <w:tcPr>
            <w:tcW w:w="2917" w:type="dxa"/>
            <w:tcBorders>
              <w:top w:val="single" w:color="auto" w:sz="4" w:space="0"/>
              <w:left w:val="single" w:color="auto" w:sz="4" w:space="0"/>
              <w:bottom w:val="single" w:color="auto" w:sz="4" w:space="0"/>
              <w:right w:val="single" w:color="auto" w:sz="4" w:space="0"/>
            </w:tcBorders>
            <w:noWrap w:val="0"/>
            <w:vAlign w:val="center"/>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2974"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1176"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jc w:val="center"/>
        </w:trPr>
        <w:tc>
          <w:tcPr>
            <w:tcW w:w="12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both"/>
              <w:textAlignment w:val="center"/>
              <w:rPr>
                <w:rFonts w:ascii="仿宋" w:hAnsi="仿宋" w:eastAsia="仿宋"/>
                <w:b w:val="0"/>
                <w:bCs w:val="0"/>
                <w:color w:val="auto"/>
                <w:sz w:val="24"/>
                <w:highlight w:val="none"/>
              </w:rPr>
            </w:pPr>
            <w:r>
              <w:rPr>
                <w:rFonts w:hint="eastAsia" w:ascii="仿宋" w:hAnsi="仿宋" w:eastAsia="仿宋" w:cs="仿宋"/>
                <w:b w:val="0"/>
                <w:bCs w:val="0"/>
                <w:i w:val="0"/>
                <w:iCs w:val="0"/>
                <w:color w:val="auto"/>
                <w:kern w:val="0"/>
                <w:sz w:val="24"/>
                <w:szCs w:val="24"/>
                <w:highlight w:val="none"/>
                <w:u w:val="none"/>
                <w:lang w:val="en-US" w:eastAsia="zh-CN" w:bidi="ar"/>
              </w:rPr>
              <w:t>违约责任及责任处罚方式</w:t>
            </w:r>
          </w:p>
        </w:tc>
        <w:tc>
          <w:tcPr>
            <w:tcW w:w="2917" w:type="dxa"/>
            <w:tcBorders>
              <w:top w:val="single" w:color="auto" w:sz="4" w:space="0"/>
              <w:left w:val="single" w:color="auto" w:sz="4" w:space="0"/>
              <w:bottom w:val="single" w:color="auto" w:sz="4" w:space="0"/>
              <w:right w:val="single" w:color="auto" w:sz="4" w:space="0"/>
            </w:tcBorders>
            <w:noWrap w:val="0"/>
            <w:vAlign w:val="center"/>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2974"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1176"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jc w:val="center"/>
        </w:trPr>
        <w:tc>
          <w:tcPr>
            <w:tcW w:w="1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仿宋" w:hAnsi="仿宋" w:eastAsia="仿宋"/>
                <w:color w:val="auto"/>
                <w:sz w:val="24"/>
                <w:highlight w:val="none"/>
              </w:rPr>
            </w:pPr>
            <w:bookmarkStart w:id="445" w:name="_Toc64369824"/>
            <w:r>
              <w:rPr>
                <w:rFonts w:hint="eastAsia" w:ascii="仿宋" w:hAnsi="仿宋" w:eastAsia="仿宋"/>
                <w:color w:val="auto"/>
                <w:sz w:val="24"/>
                <w:highlight w:val="none"/>
              </w:rPr>
              <w:t>…</w:t>
            </w:r>
            <w:bookmarkEnd w:id="445"/>
          </w:p>
        </w:tc>
        <w:tc>
          <w:tcPr>
            <w:tcW w:w="2917" w:type="dxa"/>
            <w:tcBorders>
              <w:top w:val="single" w:color="auto" w:sz="4" w:space="0"/>
              <w:left w:val="single" w:color="auto" w:sz="4" w:space="0"/>
              <w:bottom w:val="single" w:color="auto" w:sz="4" w:space="0"/>
              <w:right w:val="single" w:color="auto" w:sz="4" w:space="0"/>
            </w:tcBorders>
            <w:noWrap w:val="0"/>
            <w:vAlign w:val="center"/>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2974"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c>
          <w:tcPr>
            <w:tcW w:w="1176" w:type="dxa"/>
            <w:tcBorders>
              <w:top w:val="single" w:color="auto" w:sz="4" w:space="0"/>
              <w:left w:val="single" w:color="auto" w:sz="4" w:space="0"/>
              <w:bottom w:val="single" w:color="auto" w:sz="4" w:space="0"/>
              <w:right w:val="single" w:color="auto" w:sz="4" w:space="0"/>
            </w:tcBorders>
            <w:noWrap w:val="0"/>
            <w:vAlign w:val="top"/>
          </w:tcPr>
          <w:p>
            <w:pPr>
              <w:pStyle w:val="31"/>
              <w:snapToGrid w:val="0"/>
              <w:spacing w:before="120" w:after="120"/>
              <w:jc w:val="center"/>
              <w:outlineLvl w:val="0"/>
              <w:rPr>
                <w:rFonts w:ascii="仿宋" w:hAnsi="仿宋" w:eastAsia="仿宋" w:cs="Times New Roman"/>
                <w:snapToGrid/>
                <w:color w:val="auto"/>
                <w:sz w:val="24"/>
                <w:szCs w:val="24"/>
                <w:highlight w:val="none"/>
              </w:rPr>
            </w:pPr>
          </w:p>
        </w:tc>
      </w:tr>
    </w:tbl>
    <w:p>
      <w:pPr>
        <w:spacing w:line="360" w:lineRule="auto"/>
        <w:ind w:right="42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注：</w:t>
      </w:r>
    </w:p>
    <w:p>
      <w:pPr>
        <w:spacing w:line="360" w:lineRule="auto"/>
        <w:ind w:right="420"/>
        <w:rPr>
          <w:rFonts w:ascii="仿宋" w:hAnsi="仿宋" w:eastAsia="仿宋" w:cs="仿宋_GB2312"/>
          <w:color w:val="auto"/>
          <w:sz w:val="24"/>
          <w:highlight w:val="none"/>
        </w:rPr>
      </w:pPr>
      <w:r>
        <w:rPr>
          <w:rFonts w:hint="eastAsia" w:ascii="仿宋" w:hAnsi="仿宋" w:eastAsia="仿宋" w:cs="仿宋_GB2312"/>
          <w:color w:val="auto"/>
          <w:sz w:val="24"/>
          <w:highlight w:val="none"/>
        </w:rPr>
        <w:t>1、投标人应对照采购文件要求和投标文件响应情况在“偏离情况”栏注明“正偏离”、“负偏离”或“无偏离”。</w:t>
      </w:r>
    </w:p>
    <w:p>
      <w:pPr>
        <w:spacing w:line="360" w:lineRule="auto"/>
        <w:ind w:right="420"/>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2、“类别”一栏按采购文件第三章中商务要求的分类填写。</w:t>
      </w:r>
    </w:p>
    <w:p>
      <w:pPr>
        <w:spacing w:line="360" w:lineRule="auto"/>
        <w:ind w:right="420"/>
        <w:rPr>
          <w:rFonts w:ascii="仿宋" w:hAnsi="仿宋" w:eastAsia="仿宋" w:cs="仿宋_GB2312"/>
          <w:color w:val="auto"/>
          <w:sz w:val="24"/>
          <w:highlight w:val="none"/>
        </w:rPr>
      </w:pPr>
    </w:p>
    <w:p>
      <w:pPr>
        <w:autoSpaceDE w:val="0"/>
        <w:autoSpaceDN w:val="0"/>
        <w:spacing w:line="360" w:lineRule="auto"/>
        <w:ind w:firstLine="4560" w:firstLineChars="190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kern w:val="0"/>
          <w:sz w:val="24"/>
          <w:highlight w:val="none"/>
        </w:rPr>
        <w:t>）：</w:t>
      </w:r>
    </w:p>
    <w:p>
      <w:pPr>
        <w:snapToGrid w:val="0"/>
        <w:spacing w:before="50" w:after="5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 xml:space="preserve">                                       日期：  年  月   日</w:t>
      </w:r>
    </w:p>
    <w:p>
      <w:pPr>
        <w:spacing w:line="360" w:lineRule="auto"/>
        <w:jc w:val="center"/>
        <w:rPr>
          <w:rFonts w:hint="eastAsia" w:ascii="仿宋" w:hAnsi="仿宋" w:eastAsia="仿宋" w:cs="仿宋_GB2312"/>
          <w:color w:val="auto"/>
          <w:sz w:val="24"/>
          <w:highlight w:val="none"/>
        </w:rPr>
      </w:pPr>
    </w:p>
    <w:p>
      <w:pPr>
        <w:autoSpaceDE w:val="0"/>
        <w:autoSpaceDN w:val="0"/>
        <w:spacing w:line="360" w:lineRule="auto"/>
        <w:rPr>
          <w:rFonts w:hint="eastAsia" w:ascii="仿宋" w:hAnsi="仿宋" w:eastAsia="仿宋" w:cs="仿宋_GB2312"/>
          <w:b/>
          <w:color w:val="auto"/>
          <w:kern w:val="0"/>
          <w:sz w:val="28"/>
          <w:szCs w:val="28"/>
          <w:highlight w:val="none"/>
        </w:rPr>
      </w:pPr>
    </w:p>
    <w:p>
      <w:pPr>
        <w:keepNext w:val="0"/>
        <w:keepLines w:val="0"/>
        <w:pageBreakBefore w:val="0"/>
        <w:widowControl w:val="0"/>
        <w:tabs>
          <w:tab w:val="left" w:pos="2790"/>
          <w:tab w:val="left" w:pos="4230"/>
        </w:tabs>
        <w:kinsoku/>
        <w:wordWrap/>
        <w:overflowPunct/>
        <w:topLinePunct w:val="0"/>
        <w:autoSpaceDE w:val="0"/>
        <w:autoSpaceDN w:val="0"/>
        <w:bidi w:val="0"/>
        <w:adjustRightInd/>
        <w:snapToGrid/>
        <w:spacing w:line="360" w:lineRule="auto"/>
        <w:ind w:right="0"/>
        <w:jc w:val="center"/>
        <w:textAlignment w:val="auto"/>
        <w:outlineLvl w:val="1"/>
        <w:rPr>
          <w:rFonts w:hint="eastAsia" w:ascii="仿宋" w:hAnsi="仿宋" w:eastAsia="仿宋" w:cs="仿宋_GB2312"/>
          <w:b/>
          <w:bCs/>
          <w:color w:val="auto"/>
          <w:sz w:val="32"/>
          <w:szCs w:val="32"/>
          <w:highlight w:val="none"/>
        </w:rPr>
      </w:pPr>
      <w:r>
        <w:rPr>
          <w:rFonts w:hint="eastAsia" w:ascii="仿宋" w:hAnsi="仿宋" w:eastAsia="仿宋" w:cs="仿宋_GB2312"/>
          <w:b/>
          <w:bCs/>
          <w:color w:val="auto"/>
          <w:kern w:val="0"/>
          <w:sz w:val="36"/>
          <w:szCs w:val="36"/>
          <w:highlight w:val="none"/>
          <w:lang w:val="zh-CN"/>
        </w:rPr>
        <w:br w:type="page"/>
      </w:r>
      <w:r>
        <w:rPr>
          <w:rFonts w:hint="eastAsia" w:ascii="仿宋" w:hAnsi="仿宋" w:eastAsia="仿宋" w:cs="仿宋_GB2312"/>
          <w:b/>
          <w:bCs/>
          <w:color w:val="auto"/>
          <w:sz w:val="32"/>
          <w:szCs w:val="32"/>
          <w:highlight w:val="none"/>
          <w:lang w:eastAsia="zh-CN"/>
        </w:rPr>
        <w:t>四</w:t>
      </w:r>
      <w:r>
        <w:rPr>
          <w:rFonts w:hint="eastAsia" w:ascii="仿宋" w:hAnsi="仿宋" w:eastAsia="仿宋" w:cs="仿宋_GB2312"/>
          <w:b/>
          <w:bCs/>
          <w:color w:val="auto"/>
          <w:sz w:val="32"/>
          <w:szCs w:val="32"/>
          <w:highlight w:val="none"/>
        </w:rPr>
        <w:t>、项目组织实施方案</w:t>
      </w:r>
    </w:p>
    <w:p>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（由投标人根据采购需求及招标文件要求编制）</w:t>
      </w:r>
    </w:p>
    <w:p>
      <w:pPr>
        <w:autoSpaceDE w:val="0"/>
        <w:autoSpaceDN w:val="0"/>
        <w:spacing w:line="360" w:lineRule="auto"/>
        <w:jc w:val="center"/>
        <w:rPr>
          <w:rFonts w:hint="eastAsia" w:ascii="仿宋" w:hAnsi="仿宋" w:eastAsia="仿宋" w:cs="仿宋_GB2312"/>
          <w:b/>
          <w:bCs/>
          <w:color w:val="auto"/>
          <w:sz w:val="32"/>
          <w:szCs w:val="32"/>
          <w:highlight w:val="none"/>
        </w:rPr>
      </w:pPr>
      <w:r>
        <w:rPr>
          <w:rFonts w:hint="eastAsia" w:ascii="仿宋" w:hAnsi="仿宋" w:eastAsia="仿宋" w:cs="仿宋_GB2312"/>
          <w:color w:val="auto"/>
          <w:sz w:val="24"/>
          <w:highlight w:val="none"/>
        </w:rPr>
        <w:br w:type="page"/>
      </w:r>
      <w:r>
        <w:rPr>
          <w:rFonts w:hint="eastAsia" w:ascii="仿宋" w:hAnsi="仿宋" w:eastAsia="仿宋" w:cs="仿宋_GB2312"/>
          <w:b/>
          <w:bCs/>
          <w:color w:val="auto"/>
          <w:sz w:val="32"/>
          <w:szCs w:val="32"/>
          <w:highlight w:val="none"/>
          <w:lang w:eastAsia="zh-CN"/>
        </w:rPr>
        <w:t>五</w:t>
      </w:r>
      <w:r>
        <w:rPr>
          <w:rFonts w:hint="eastAsia" w:ascii="仿宋" w:hAnsi="仿宋" w:eastAsia="仿宋" w:cs="仿宋_GB2312"/>
          <w:b/>
          <w:bCs/>
          <w:color w:val="auto"/>
          <w:sz w:val="32"/>
          <w:szCs w:val="32"/>
          <w:highlight w:val="none"/>
        </w:rPr>
        <w:t>、项目负责人情况表</w:t>
      </w:r>
    </w:p>
    <w:p>
      <w:pPr>
        <w:spacing w:line="360" w:lineRule="auto"/>
        <w:jc w:val="center"/>
        <w:rPr>
          <w:rFonts w:hint="eastAsia" w:ascii="仿宋" w:hAnsi="仿宋" w:eastAsia="仿宋" w:cs="仿宋_GB2312"/>
          <w:color w:val="auto"/>
          <w:sz w:val="24"/>
          <w:highlight w:val="none"/>
        </w:rPr>
      </w:pPr>
    </w:p>
    <w:tbl>
      <w:tblPr>
        <w:tblStyle w:val="60"/>
        <w:tblW w:w="8300" w:type="dxa"/>
        <w:jc w:val="center"/>
        <w:tblLayout w:type="fixed"/>
        <w:tblCellMar>
          <w:top w:w="0" w:type="dxa"/>
          <w:left w:w="108" w:type="dxa"/>
          <w:bottom w:w="0" w:type="dxa"/>
          <w:right w:w="108" w:type="dxa"/>
        </w:tblCellMar>
      </w:tblPr>
      <w:tblGrid>
        <w:gridCol w:w="1794"/>
        <w:gridCol w:w="1208"/>
        <w:gridCol w:w="5298"/>
      </w:tblGrid>
      <w:tr>
        <w:tblPrEx>
          <w:tblCellMar>
            <w:top w:w="0" w:type="dxa"/>
            <w:left w:w="108" w:type="dxa"/>
            <w:bottom w:w="0" w:type="dxa"/>
            <w:right w:w="108" w:type="dxa"/>
          </w:tblCellMar>
        </w:tblPrEx>
        <w:trPr>
          <w:trHeight w:val="604" w:hRule="atLeast"/>
          <w:jc w:val="center"/>
        </w:trPr>
        <w:tc>
          <w:tcPr>
            <w:tcW w:w="179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姓名</w:t>
            </w:r>
          </w:p>
        </w:tc>
        <w:tc>
          <w:tcPr>
            <w:tcW w:w="1208"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p>
        </w:tc>
        <w:tc>
          <w:tcPr>
            <w:tcW w:w="5298"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投标截止时间前三年业绩及承担的主要工作情况，曾担任项目负责人的项目应列明细</w:t>
            </w:r>
          </w:p>
        </w:tc>
      </w:tr>
      <w:tr>
        <w:tblPrEx>
          <w:tblCellMar>
            <w:top w:w="0" w:type="dxa"/>
            <w:left w:w="108" w:type="dxa"/>
            <w:bottom w:w="0" w:type="dxa"/>
            <w:right w:w="108" w:type="dxa"/>
          </w:tblCellMar>
        </w:tblPrEx>
        <w:trPr>
          <w:cantSplit/>
          <w:trHeight w:val="345" w:hRule="atLeast"/>
          <w:jc w:val="center"/>
        </w:trPr>
        <w:tc>
          <w:tcPr>
            <w:tcW w:w="179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性别</w:t>
            </w:r>
          </w:p>
        </w:tc>
        <w:tc>
          <w:tcPr>
            <w:tcW w:w="1208"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5298" w:type="dxa"/>
            <w:vMerge w:val="restart"/>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p>
        </w:tc>
      </w:tr>
      <w:tr>
        <w:tblPrEx>
          <w:tblCellMar>
            <w:top w:w="0" w:type="dxa"/>
            <w:left w:w="108" w:type="dxa"/>
            <w:bottom w:w="0" w:type="dxa"/>
            <w:right w:w="108" w:type="dxa"/>
          </w:tblCellMar>
        </w:tblPrEx>
        <w:trPr>
          <w:cantSplit/>
          <w:trHeight w:val="337" w:hRule="atLeast"/>
          <w:jc w:val="center"/>
        </w:trPr>
        <w:tc>
          <w:tcPr>
            <w:tcW w:w="179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年龄</w:t>
            </w:r>
          </w:p>
        </w:tc>
        <w:tc>
          <w:tcPr>
            <w:tcW w:w="1208"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5298"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p>
        </w:tc>
      </w:tr>
      <w:tr>
        <w:tblPrEx>
          <w:tblCellMar>
            <w:top w:w="0" w:type="dxa"/>
            <w:left w:w="108" w:type="dxa"/>
            <w:bottom w:w="0" w:type="dxa"/>
            <w:right w:w="108" w:type="dxa"/>
          </w:tblCellMar>
        </w:tblPrEx>
        <w:trPr>
          <w:cantSplit/>
          <w:trHeight w:val="345" w:hRule="atLeast"/>
          <w:jc w:val="center"/>
        </w:trPr>
        <w:tc>
          <w:tcPr>
            <w:tcW w:w="179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职称</w:t>
            </w:r>
          </w:p>
        </w:tc>
        <w:tc>
          <w:tcPr>
            <w:tcW w:w="1208"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5298"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p>
        </w:tc>
      </w:tr>
      <w:tr>
        <w:tblPrEx>
          <w:tblCellMar>
            <w:top w:w="0" w:type="dxa"/>
            <w:left w:w="108" w:type="dxa"/>
            <w:bottom w:w="0" w:type="dxa"/>
            <w:right w:w="108" w:type="dxa"/>
          </w:tblCellMar>
        </w:tblPrEx>
        <w:trPr>
          <w:cantSplit/>
          <w:trHeight w:val="345" w:hRule="atLeast"/>
          <w:jc w:val="center"/>
        </w:trPr>
        <w:tc>
          <w:tcPr>
            <w:tcW w:w="179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毕业时间</w:t>
            </w:r>
          </w:p>
        </w:tc>
        <w:tc>
          <w:tcPr>
            <w:tcW w:w="1208"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5298"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p>
        </w:tc>
      </w:tr>
      <w:tr>
        <w:tblPrEx>
          <w:tblCellMar>
            <w:top w:w="0" w:type="dxa"/>
            <w:left w:w="108" w:type="dxa"/>
            <w:bottom w:w="0" w:type="dxa"/>
            <w:right w:w="108" w:type="dxa"/>
          </w:tblCellMar>
        </w:tblPrEx>
        <w:trPr>
          <w:cantSplit/>
          <w:trHeight w:val="422" w:hRule="atLeast"/>
          <w:jc w:val="center"/>
        </w:trPr>
        <w:tc>
          <w:tcPr>
            <w:tcW w:w="179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所学专业</w:t>
            </w:r>
          </w:p>
        </w:tc>
        <w:tc>
          <w:tcPr>
            <w:tcW w:w="1208"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5298"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p>
        </w:tc>
      </w:tr>
      <w:tr>
        <w:tblPrEx>
          <w:tblCellMar>
            <w:top w:w="0" w:type="dxa"/>
            <w:left w:w="108" w:type="dxa"/>
            <w:bottom w:w="0" w:type="dxa"/>
            <w:right w:w="108" w:type="dxa"/>
          </w:tblCellMar>
        </w:tblPrEx>
        <w:trPr>
          <w:cantSplit/>
          <w:trHeight w:val="416" w:hRule="atLeast"/>
          <w:jc w:val="center"/>
        </w:trPr>
        <w:tc>
          <w:tcPr>
            <w:tcW w:w="179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学历</w:t>
            </w:r>
          </w:p>
        </w:tc>
        <w:tc>
          <w:tcPr>
            <w:tcW w:w="1208"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5298"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p>
        </w:tc>
      </w:tr>
      <w:tr>
        <w:tblPrEx>
          <w:tblCellMar>
            <w:top w:w="0" w:type="dxa"/>
            <w:left w:w="108" w:type="dxa"/>
            <w:bottom w:w="0" w:type="dxa"/>
            <w:right w:w="108" w:type="dxa"/>
          </w:tblCellMar>
        </w:tblPrEx>
        <w:trPr>
          <w:cantSplit/>
          <w:trHeight w:val="356" w:hRule="atLeast"/>
          <w:jc w:val="center"/>
        </w:trPr>
        <w:tc>
          <w:tcPr>
            <w:tcW w:w="179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相关资质证书</w:t>
            </w:r>
          </w:p>
        </w:tc>
        <w:tc>
          <w:tcPr>
            <w:tcW w:w="1208"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5298"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p>
        </w:tc>
      </w:tr>
      <w:tr>
        <w:tblPrEx>
          <w:tblCellMar>
            <w:top w:w="0" w:type="dxa"/>
            <w:left w:w="108" w:type="dxa"/>
            <w:bottom w:w="0" w:type="dxa"/>
            <w:right w:w="108" w:type="dxa"/>
          </w:tblCellMar>
        </w:tblPrEx>
        <w:trPr>
          <w:cantSplit/>
          <w:trHeight w:val="177" w:hRule="atLeast"/>
          <w:jc w:val="center"/>
        </w:trPr>
        <w:tc>
          <w:tcPr>
            <w:tcW w:w="179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其他资质情况</w:t>
            </w:r>
          </w:p>
        </w:tc>
        <w:tc>
          <w:tcPr>
            <w:tcW w:w="1208"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5298"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p>
        </w:tc>
      </w:tr>
      <w:tr>
        <w:tblPrEx>
          <w:tblCellMar>
            <w:top w:w="0" w:type="dxa"/>
            <w:left w:w="108" w:type="dxa"/>
            <w:bottom w:w="0" w:type="dxa"/>
            <w:right w:w="108" w:type="dxa"/>
          </w:tblCellMar>
        </w:tblPrEx>
        <w:trPr>
          <w:cantSplit/>
          <w:trHeight w:val="169" w:hRule="atLeast"/>
          <w:jc w:val="center"/>
        </w:trPr>
        <w:tc>
          <w:tcPr>
            <w:tcW w:w="179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联系电话</w:t>
            </w:r>
          </w:p>
        </w:tc>
        <w:tc>
          <w:tcPr>
            <w:tcW w:w="1208"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5298"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p>
        </w:tc>
      </w:tr>
    </w:tbl>
    <w:p>
      <w:pPr>
        <w:spacing w:line="360" w:lineRule="auto"/>
        <w:ind w:right="420"/>
        <w:rPr>
          <w:rFonts w:ascii="仿宋" w:hAnsi="仿宋" w:eastAsia="仿宋" w:cs="仿宋_GB2312"/>
          <w:color w:val="auto"/>
          <w:sz w:val="24"/>
          <w:highlight w:val="none"/>
        </w:rPr>
      </w:pPr>
    </w:p>
    <w:p>
      <w:pPr>
        <w:autoSpaceDE w:val="0"/>
        <w:autoSpaceDN w:val="0"/>
        <w:spacing w:line="360" w:lineRule="auto"/>
        <w:ind w:firstLine="4560" w:firstLineChars="190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kern w:val="0"/>
          <w:sz w:val="24"/>
          <w:highlight w:val="none"/>
        </w:rPr>
        <w:t>）：</w:t>
      </w:r>
    </w:p>
    <w:p>
      <w:pPr>
        <w:snapToGrid w:val="0"/>
        <w:spacing w:before="50" w:after="5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 xml:space="preserve">                                       日期：  年  月   日</w:t>
      </w:r>
    </w:p>
    <w:p>
      <w:pPr>
        <w:spacing w:line="360" w:lineRule="auto"/>
        <w:jc w:val="center"/>
        <w:rPr>
          <w:rFonts w:hint="eastAsia" w:ascii="仿宋" w:hAnsi="仿宋" w:eastAsia="仿宋" w:cs="仿宋_GB2312"/>
          <w:b/>
          <w:bCs/>
          <w:color w:val="auto"/>
          <w:sz w:val="32"/>
          <w:szCs w:val="32"/>
          <w:highlight w:val="none"/>
        </w:rPr>
      </w:pPr>
      <w:r>
        <w:rPr>
          <w:rFonts w:hint="eastAsia" w:ascii="仿宋" w:hAnsi="仿宋" w:eastAsia="仿宋" w:cs="仿宋_GB2312"/>
          <w:color w:val="auto"/>
          <w:sz w:val="24"/>
          <w:highlight w:val="none"/>
        </w:rPr>
        <w:br w:type="page"/>
      </w:r>
      <w:r>
        <w:rPr>
          <w:rFonts w:hint="eastAsia" w:ascii="仿宋" w:hAnsi="仿宋" w:eastAsia="仿宋" w:cs="仿宋_GB2312"/>
          <w:b/>
          <w:bCs/>
          <w:color w:val="auto"/>
          <w:sz w:val="32"/>
          <w:szCs w:val="32"/>
          <w:highlight w:val="none"/>
          <w:lang w:eastAsia="zh-CN"/>
        </w:rPr>
        <w:t>六</w:t>
      </w:r>
      <w:r>
        <w:rPr>
          <w:rFonts w:hint="eastAsia" w:ascii="仿宋" w:hAnsi="仿宋" w:eastAsia="仿宋" w:cs="仿宋_GB2312"/>
          <w:b/>
          <w:bCs/>
          <w:color w:val="auto"/>
          <w:sz w:val="32"/>
          <w:szCs w:val="32"/>
          <w:highlight w:val="none"/>
        </w:rPr>
        <w:t>、项目组人员名单</w:t>
      </w:r>
    </w:p>
    <w:p>
      <w:pPr>
        <w:spacing w:line="360" w:lineRule="auto"/>
        <w:rPr>
          <w:rFonts w:hint="eastAsia" w:ascii="仿宋" w:hAnsi="仿宋" w:eastAsia="仿宋" w:cs="仿宋_GB2312"/>
          <w:color w:val="auto"/>
          <w:sz w:val="24"/>
          <w:highlight w:val="none"/>
        </w:rPr>
      </w:pPr>
    </w:p>
    <w:tbl>
      <w:tblPr>
        <w:tblStyle w:val="60"/>
        <w:tblW w:w="8300" w:type="dxa"/>
        <w:jc w:val="center"/>
        <w:tblLayout w:type="fixed"/>
        <w:tblCellMar>
          <w:top w:w="0" w:type="dxa"/>
          <w:left w:w="108" w:type="dxa"/>
          <w:bottom w:w="0" w:type="dxa"/>
          <w:right w:w="108" w:type="dxa"/>
        </w:tblCellMar>
      </w:tblPr>
      <w:tblGrid>
        <w:gridCol w:w="753"/>
        <w:gridCol w:w="795"/>
        <w:gridCol w:w="810"/>
        <w:gridCol w:w="735"/>
        <w:gridCol w:w="735"/>
        <w:gridCol w:w="720"/>
        <w:gridCol w:w="780"/>
        <w:gridCol w:w="2972"/>
      </w:tblGrid>
      <w:tr>
        <w:tblPrEx>
          <w:tblCellMar>
            <w:top w:w="0" w:type="dxa"/>
            <w:left w:w="108" w:type="dxa"/>
            <w:bottom w:w="0" w:type="dxa"/>
            <w:right w:w="108" w:type="dxa"/>
          </w:tblCellMar>
        </w:tblPrEx>
        <w:trPr>
          <w:jc w:val="center"/>
        </w:trPr>
        <w:tc>
          <w:tcPr>
            <w:tcW w:w="753"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序号</w:t>
            </w:r>
          </w:p>
        </w:tc>
        <w:tc>
          <w:tcPr>
            <w:tcW w:w="795"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姓名</w:t>
            </w:r>
          </w:p>
        </w:tc>
        <w:tc>
          <w:tcPr>
            <w:tcW w:w="81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性别</w:t>
            </w:r>
          </w:p>
        </w:tc>
        <w:tc>
          <w:tcPr>
            <w:tcW w:w="735"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年龄</w:t>
            </w:r>
          </w:p>
        </w:tc>
        <w:tc>
          <w:tcPr>
            <w:tcW w:w="735"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学历</w:t>
            </w:r>
          </w:p>
        </w:tc>
        <w:tc>
          <w:tcPr>
            <w:tcW w:w="72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专业</w:t>
            </w:r>
          </w:p>
        </w:tc>
        <w:tc>
          <w:tcPr>
            <w:tcW w:w="78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职称</w:t>
            </w:r>
          </w:p>
        </w:tc>
        <w:tc>
          <w:tcPr>
            <w:tcW w:w="297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本项目中的工作内容</w:t>
            </w:r>
          </w:p>
        </w:tc>
      </w:tr>
      <w:tr>
        <w:tblPrEx>
          <w:tblCellMar>
            <w:top w:w="0" w:type="dxa"/>
            <w:left w:w="108" w:type="dxa"/>
            <w:bottom w:w="0" w:type="dxa"/>
            <w:right w:w="108" w:type="dxa"/>
          </w:tblCellMar>
        </w:tblPrEx>
        <w:trPr>
          <w:trHeight w:val="479" w:hRule="atLeast"/>
          <w:jc w:val="center"/>
        </w:trPr>
        <w:tc>
          <w:tcPr>
            <w:tcW w:w="75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79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8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c>
          <w:tcPr>
            <w:tcW w:w="73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c>
          <w:tcPr>
            <w:tcW w:w="73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c>
          <w:tcPr>
            <w:tcW w:w="78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c>
          <w:tcPr>
            <w:tcW w:w="2972"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r>
      <w:tr>
        <w:tblPrEx>
          <w:tblCellMar>
            <w:top w:w="0" w:type="dxa"/>
            <w:left w:w="108" w:type="dxa"/>
            <w:bottom w:w="0" w:type="dxa"/>
            <w:right w:w="108" w:type="dxa"/>
          </w:tblCellMar>
        </w:tblPrEx>
        <w:trPr>
          <w:trHeight w:val="473" w:hRule="atLeast"/>
          <w:jc w:val="center"/>
        </w:trPr>
        <w:tc>
          <w:tcPr>
            <w:tcW w:w="75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79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_GB2312"/>
                <w:color w:val="auto"/>
                <w:sz w:val="24"/>
                <w:highlight w:val="none"/>
              </w:rPr>
            </w:pPr>
          </w:p>
        </w:tc>
        <w:tc>
          <w:tcPr>
            <w:tcW w:w="8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c>
          <w:tcPr>
            <w:tcW w:w="73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c>
          <w:tcPr>
            <w:tcW w:w="73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c>
          <w:tcPr>
            <w:tcW w:w="78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c>
          <w:tcPr>
            <w:tcW w:w="2972"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_GB2312"/>
                <w:color w:val="auto"/>
                <w:sz w:val="24"/>
                <w:highlight w:val="none"/>
              </w:rPr>
            </w:pPr>
          </w:p>
        </w:tc>
      </w:tr>
    </w:tbl>
    <w:p>
      <w:pPr>
        <w:autoSpaceDE w:val="0"/>
        <w:autoSpaceDN w:val="0"/>
        <w:spacing w:line="360" w:lineRule="auto"/>
        <w:ind w:firstLine="4578" w:firstLineChars="1900"/>
        <w:rPr>
          <w:rFonts w:hint="eastAsia" w:ascii="仿宋" w:hAnsi="仿宋" w:eastAsia="仿宋" w:cs="仿宋_GB2312"/>
          <w:b/>
          <w:color w:val="auto"/>
          <w:sz w:val="24"/>
          <w:highlight w:val="none"/>
        </w:rPr>
      </w:pPr>
    </w:p>
    <w:p>
      <w:pPr>
        <w:autoSpaceDE w:val="0"/>
        <w:autoSpaceDN w:val="0"/>
        <w:spacing w:line="360" w:lineRule="auto"/>
        <w:ind w:firstLine="4560" w:firstLineChars="190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kern w:val="0"/>
          <w:sz w:val="24"/>
          <w:highlight w:val="none"/>
        </w:rPr>
        <w:t>）：</w:t>
      </w:r>
    </w:p>
    <w:p>
      <w:pPr>
        <w:snapToGrid w:val="0"/>
        <w:spacing w:before="50" w:after="5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 xml:space="preserve">                                       日期：  年  月   日</w:t>
      </w:r>
    </w:p>
    <w:p>
      <w:pPr>
        <w:pStyle w:val="588"/>
        <w:keepNext w:val="0"/>
        <w:pageBreakBefore w:val="0"/>
        <w:tabs>
          <w:tab w:val="clear" w:pos="720"/>
        </w:tabs>
        <w:snapToGrid w:val="0"/>
        <w:spacing w:before="240"/>
        <w:jc w:val="center"/>
        <w:outlineLvl w:val="9"/>
        <w:rPr>
          <w:rFonts w:ascii="仿宋" w:hAnsi="仿宋" w:eastAsia="仿宋" w:cs="仿宋_GB2312"/>
          <w:kern w:val="2"/>
          <w:sz w:val="32"/>
          <w:szCs w:val="32"/>
        </w:rPr>
      </w:pPr>
      <w:r>
        <w:rPr>
          <w:rFonts w:ascii="仿宋" w:hAnsi="仿宋" w:eastAsia="仿宋" w:cs="仿宋_GB2312"/>
          <w:b/>
          <w:bCs/>
          <w:color w:val="auto"/>
          <w:sz w:val="32"/>
          <w:szCs w:val="32"/>
          <w:highlight w:val="none"/>
        </w:rPr>
        <w:br w:type="page"/>
      </w:r>
      <w:r>
        <w:rPr>
          <w:rFonts w:hint="eastAsia" w:ascii="仿宋" w:hAnsi="仿宋" w:eastAsia="仿宋" w:cs="仿宋_GB2312"/>
          <w:b/>
          <w:bCs/>
          <w:color w:val="auto"/>
          <w:sz w:val="32"/>
          <w:szCs w:val="32"/>
          <w:highlight w:val="none"/>
          <w:lang w:eastAsia="zh-CN"/>
        </w:rPr>
        <w:t>七、</w:t>
      </w:r>
      <w:r>
        <w:rPr>
          <w:rFonts w:hint="eastAsia" w:ascii="仿宋" w:hAnsi="仿宋" w:eastAsia="仿宋" w:cs="仿宋_GB2312"/>
          <w:kern w:val="2"/>
          <w:sz w:val="32"/>
          <w:szCs w:val="32"/>
        </w:rPr>
        <w:t>承诺书</w:t>
      </w:r>
    </w:p>
    <w:p>
      <w:pPr>
        <w:spacing w:line="360" w:lineRule="auto"/>
        <w:ind w:firstLine="360" w:firstLineChars="150"/>
        <w:jc w:val="left"/>
        <w:rPr>
          <w:rFonts w:ascii="仿宋" w:hAnsi="仿宋" w:eastAsia="仿宋"/>
          <w:color w:val="000000"/>
          <w:sz w:val="24"/>
        </w:rPr>
      </w:pPr>
      <w:r>
        <w:rPr>
          <w:rFonts w:hint="eastAsia" w:ascii="仿宋" w:hAnsi="仿宋" w:eastAsia="仿宋"/>
          <w:color w:val="000000"/>
          <w:sz w:val="24"/>
        </w:rPr>
        <w:t>本公司郑重声明，为切实保障项目履约质量，保证项目实施进度，本公司已于项目开标截止时间前配备以下设备，拟用于</w:t>
      </w:r>
      <w:r>
        <w:rPr>
          <w:rFonts w:hint="eastAsia" w:ascii="仿宋" w:hAnsi="仿宋" w:eastAsia="仿宋"/>
          <w:color w:val="000000"/>
          <w:sz w:val="24"/>
          <w:u w:val="single"/>
        </w:rPr>
        <w:t>（单位名称）</w:t>
      </w:r>
      <w:r>
        <w:rPr>
          <w:rFonts w:hint="eastAsia" w:ascii="仿宋" w:hAnsi="仿宋" w:eastAsia="仿宋"/>
          <w:color w:val="000000"/>
          <w:sz w:val="24"/>
        </w:rPr>
        <w:t xml:space="preserve"> 的 </w:t>
      </w:r>
      <w:r>
        <w:rPr>
          <w:rFonts w:hint="eastAsia" w:ascii="仿宋" w:hAnsi="仿宋" w:eastAsia="仿宋"/>
          <w:color w:val="000000"/>
          <w:sz w:val="24"/>
          <w:u w:val="single"/>
        </w:rPr>
        <w:t>（项目名称）</w:t>
      </w:r>
      <w:r>
        <w:rPr>
          <w:rFonts w:hint="eastAsia" w:ascii="仿宋" w:hAnsi="仿宋" w:eastAsia="仿宋"/>
          <w:color w:val="000000"/>
          <w:sz w:val="24"/>
        </w:rPr>
        <w:t>，中标后无故不予更换，并愿意接受社会各方监督。若本公司中标后未按承诺及招标文件规定提供以下设备用于该项目或设备无法到位，愿意取消本项目中标资格或解除合同，承担招标人损失并依法接受处理。具体设备清单如下：</w:t>
      </w:r>
    </w:p>
    <w:p>
      <w:pPr>
        <w:spacing w:line="360" w:lineRule="auto"/>
        <w:ind w:firstLine="360" w:firstLineChars="150"/>
        <w:jc w:val="left"/>
        <w:rPr>
          <w:rFonts w:ascii="仿宋" w:hAnsi="仿宋" w:eastAsia="仿宋"/>
          <w:color w:val="000000"/>
          <w:sz w:val="24"/>
        </w:rPr>
      </w:pPr>
    </w:p>
    <w:tbl>
      <w:tblPr>
        <w:tblStyle w:val="60"/>
        <w:tblW w:w="7829" w:type="dxa"/>
        <w:jc w:val="center"/>
        <w:tblLayout w:type="fixed"/>
        <w:tblCellMar>
          <w:top w:w="0" w:type="dxa"/>
          <w:left w:w="108" w:type="dxa"/>
          <w:bottom w:w="0" w:type="dxa"/>
          <w:right w:w="108" w:type="dxa"/>
        </w:tblCellMar>
      </w:tblPr>
      <w:tblGrid>
        <w:gridCol w:w="883"/>
        <w:gridCol w:w="1967"/>
        <w:gridCol w:w="1719"/>
        <w:gridCol w:w="1417"/>
        <w:gridCol w:w="1843"/>
      </w:tblGrid>
      <w:tr>
        <w:tblPrEx>
          <w:tblCellMar>
            <w:top w:w="0" w:type="dxa"/>
            <w:left w:w="108" w:type="dxa"/>
            <w:bottom w:w="0" w:type="dxa"/>
            <w:right w:w="108" w:type="dxa"/>
          </w:tblCellMar>
        </w:tblPrEx>
        <w:trPr>
          <w:trHeight w:val="270" w:hRule="atLeast"/>
          <w:jc w:val="center"/>
        </w:trPr>
        <w:tc>
          <w:tcPr>
            <w:tcW w:w="883"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序号</w:t>
            </w:r>
          </w:p>
        </w:tc>
        <w:tc>
          <w:tcPr>
            <w:tcW w:w="1967"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设备名称</w:t>
            </w:r>
          </w:p>
        </w:tc>
        <w:tc>
          <w:tcPr>
            <w:tcW w:w="171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规格型号</w:t>
            </w:r>
          </w:p>
        </w:tc>
        <w:tc>
          <w:tcPr>
            <w:tcW w:w="1417"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b/>
                <w:i/>
                <w:kern w:val="0"/>
                <w:sz w:val="24"/>
              </w:rPr>
            </w:pPr>
            <w:r>
              <w:rPr>
                <w:rFonts w:hint="eastAsia" w:ascii="仿宋" w:hAnsi="仿宋" w:eastAsia="仿宋" w:cs="宋体"/>
                <w:kern w:val="0"/>
                <w:sz w:val="24"/>
              </w:rPr>
              <w:t>车牌号</w:t>
            </w:r>
          </w:p>
        </w:tc>
        <w:tc>
          <w:tcPr>
            <w:tcW w:w="1843" w:type="dxa"/>
            <w:tcBorders>
              <w:top w:val="single" w:color="auto" w:sz="4" w:space="0"/>
              <w:left w:val="single" w:color="auto" w:sz="4" w:space="0"/>
              <w:right w:val="single" w:color="auto" w:sz="4" w:space="0"/>
            </w:tcBorders>
          </w:tcPr>
          <w:p>
            <w:pPr>
              <w:widowControl/>
              <w:jc w:val="center"/>
              <w:rPr>
                <w:rFonts w:ascii="仿宋" w:hAnsi="仿宋" w:eastAsia="仿宋" w:cs="宋体"/>
                <w:kern w:val="0"/>
                <w:sz w:val="24"/>
              </w:rPr>
            </w:pPr>
            <w:r>
              <w:rPr>
                <w:rFonts w:hint="eastAsia" w:ascii="仿宋" w:hAnsi="仿宋" w:eastAsia="仿宋" w:cs="宋体"/>
                <w:kern w:val="0"/>
                <w:sz w:val="24"/>
              </w:rPr>
              <w:t>备注</w:t>
            </w:r>
          </w:p>
        </w:tc>
      </w:tr>
      <w:tr>
        <w:tblPrEx>
          <w:tblCellMar>
            <w:top w:w="0" w:type="dxa"/>
            <w:left w:w="108" w:type="dxa"/>
            <w:bottom w:w="0" w:type="dxa"/>
            <w:right w:w="108" w:type="dxa"/>
          </w:tblCellMar>
        </w:tblPrEx>
        <w:trPr>
          <w:trHeight w:val="189" w:hRule="atLeast"/>
          <w:jc w:val="center"/>
        </w:trPr>
        <w:tc>
          <w:tcPr>
            <w:tcW w:w="88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9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71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41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843" w:type="dxa"/>
            <w:tcBorders>
              <w:top w:val="nil"/>
              <w:left w:val="nil"/>
              <w:bottom w:val="single" w:color="auto" w:sz="4" w:space="0"/>
              <w:right w:val="single" w:color="auto" w:sz="4" w:space="0"/>
            </w:tcBorders>
          </w:tcPr>
          <w:p>
            <w:pPr>
              <w:widowControl/>
              <w:jc w:val="center"/>
              <w:rPr>
                <w:rFonts w:ascii="仿宋" w:hAnsi="仿宋" w:eastAsia="仿宋" w:cs="宋体"/>
                <w:kern w:val="0"/>
                <w:sz w:val="24"/>
              </w:rPr>
            </w:pPr>
            <w:r>
              <w:rPr>
                <w:rFonts w:hint="eastAsia" w:ascii="仿宋" w:hAnsi="仿宋" w:eastAsia="仿宋" w:cs="宋体"/>
                <w:kern w:val="0"/>
                <w:sz w:val="24"/>
              </w:rPr>
              <w:t>（自购或租赁）</w:t>
            </w:r>
          </w:p>
        </w:tc>
      </w:tr>
      <w:tr>
        <w:tblPrEx>
          <w:tblCellMar>
            <w:top w:w="0" w:type="dxa"/>
            <w:left w:w="108" w:type="dxa"/>
            <w:bottom w:w="0" w:type="dxa"/>
            <w:right w:w="108" w:type="dxa"/>
          </w:tblCellMar>
        </w:tblPrEx>
        <w:trPr>
          <w:trHeight w:val="270" w:hRule="atLeast"/>
          <w:jc w:val="center"/>
        </w:trPr>
        <w:tc>
          <w:tcPr>
            <w:tcW w:w="883"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1</w:t>
            </w:r>
          </w:p>
        </w:tc>
        <w:tc>
          <w:tcPr>
            <w:tcW w:w="196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719"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41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843" w:type="dxa"/>
            <w:tcBorders>
              <w:top w:val="nil"/>
              <w:left w:val="nil"/>
              <w:bottom w:val="single" w:color="auto" w:sz="4" w:space="0"/>
              <w:right w:val="single" w:color="auto" w:sz="4" w:space="0"/>
            </w:tcBorders>
          </w:tcPr>
          <w:p>
            <w:pPr>
              <w:widowControl/>
              <w:jc w:val="left"/>
              <w:rPr>
                <w:rFonts w:ascii="仿宋" w:hAnsi="仿宋" w:eastAsia="仿宋" w:cs="宋体"/>
                <w:kern w:val="0"/>
                <w:sz w:val="24"/>
              </w:rPr>
            </w:pPr>
          </w:p>
        </w:tc>
      </w:tr>
      <w:tr>
        <w:tblPrEx>
          <w:tblCellMar>
            <w:top w:w="0" w:type="dxa"/>
            <w:left w:w="108" w:type="dxa"/>
            <w:bottom w:w="0" w:type="dxa"/>
            <w:right w:w="108" w:type="dxa"/>
          </w:tblCellMar>
        </w:tblPrEx>
        <w:trPr>
          <w:trHeight w:val="270" w:hRule="atLeast"/>
          <w:jc w:val="center"/>
        </w:trPr>
        <w:tc>
          <w:tcPr>
            <w:tcW w:w="883"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2</w:t>
            </w:r>
          </w:p>
        </w:tc>
        <w:tc>
          <w:tcPr>
            <w:tcW w:w="196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719"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41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843" w:type="dxa"/>
            <w:tcBorders>
              <w:top w:val="nil"/>
              <w:left w:val="nil"/>
              <w:bottom w:val="single" w:color="auto" w:sz="4" w:space="0"/>
              <w:right w:val="single" w:color="auto" w:sz="4" w:space="0"/>
            </w:tcBorders>
          </w:tcPr>
          <w:p>
            <w:pPr>
              <w:widowControl/>
              <w:jc w:val="left"/>
              <w:rPr>
                <w:rFonts w:ascii="仿宋" w:hAnsi="仿宋" w:eastAsia="仿宋" w:cs="宋体"/>
                <w:kern w:val="0"/>
                <w:sz w:val="24"/>
              </w:rPr>
            </w:pPr>
          </w:p>
        </w:tc>
      </w:tr>
      <w:tr>
        <w:tblPrEx>
          <w:tblCellMar>
            <w:top w:w="0" w:type="dxa"/>
            <w:left w:w="108" w:type="dxa"/>
            <w:bottom w:w="0" w:type="dxa"/>
            <w:right w:w="108" w:type="dxa"/>
          </w:tblCellMar>
        </w:tblPrEx>
        <w:trPr>
          <w:trHeight w:val="270" w:hRule="atLeast"/>
          <w:jc w:val="center"/>
        </w:trPr>
        <w:tc>
          <w:tcPr>
            <w:tcW w:w="883"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3</w:t>
            </w:r>
          </w:p>
        </w:tc>
        <w:tc>
          <w:tcPr>
            <w:tcW w:w="196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719"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41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843" w:type="dxa"/>
            <w:tcBorders>
              <w:top w:val="nil"/>
              <w:left w:val="nil"/>
              <w:bottom w:val="single" w:color="auto" w:sz="4" w:space="0"/>
              <w:right w:val="single" w:color="auto" w:sz="4" w:space="0"/>
            </w:tcBorders>
          </w:tcPr>
          <w:p>
            <w:pPr>
              <w:widowControl/>
              <w:jc w:val="left"/>
              <w:rPr>
                <w:rFonts w:ascii="仿宋" w:hAnsi="仿宋" w:eastAsia="仿宋" w:cs="宋体"/>
                <w:kern w:val="0"/>
                <w:sz w:val="24"/>
              </w:rPr>
            </w:pPr>
          </w:p>
        </w:tc>
      </w:tr>
      <w:tr>
        <w:tblPrEx>
          <w:tblCellMar>
            <w:top w:w="0" w:type="dxa"/>
            <w:left w:w="108" w:type="dxa"/>
            <w:bottom w:w="0" w:type="dxa"/>
            <w:right w:w="108" w:type="dxa"/>
          </w:tblCellMar>
        </w:tblPrEx>
        <w:trPr>
          <w:trHeight w:val="270" w:hRule="atLeast"/>
          <w:jc w:val="center"/>
        </w:trPr>
        <w:tc>
          <w:tcPr>
            <w:tcW w:w="883"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4</w:t>
            </w:r>
          </w:p>
        </w:tc>
        <w:tc>
          <w:tcPr>
            <w:tcW w:w="196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719"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41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843" w:type="dxa"/>
            <w:tcBorders>
              <w:top w:val="nil"/>
              <w:left w:val="nil"/>
              <w:bottom w:val="single" w:color="auto" w:sz="4" w:space="0"/>
              <w:right w:val="single" w:color="auto" w:sz="4" w:space="0"/>
            </w:tcBorders>
          </w:tcPr>
          <w:p>
            <w:pPr>
              <w:widowControl/>
              <w:jc w:val="left"/>
              <w:rPr>
                <w:rFonts w:ascii="仿宋" w:hAnsi="仿宋" w:eastAsia="仿宋" w:cs="宋体"/>
                <w:kern w:val="0"/>
                <w:sz w:val="24"/>
              </w:rPr>
            </w:pPr>
          </w:p>
        </w:tc>
      </w:tr>
      <w:tr>
        <w:tblPrEx>
          <w:tblCellMar>
            <w:top w:w="0" w:type="dxa"/>
            <w:left w:w="108" w:type="dxa"/>
            <w:bottom w:w="0" w:type="dxa"/>
            <w:right w:w="108" w:type="dxa"/>
          </w:tblCellMar>
        </w:tblPrEx>
        <w:trPr>
          <w:trHeight w:val="270" w:hRule="atLeast"/>
          <w:jc w:val="center"/>
        </w:trPr>
        <w:tc>
          <w:tcPr>
            <w:tcW w:w="883"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5</w:t>
            </w:r>
          </w:p>
        </w:tc>
        <w:tc>
          <w:tcPr>
            <w:tcW w:w="196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719"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41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843" w:type="dxa"/>
            <w:tcBorders>
              <w:top w:val="nil"/>
              <w:left w:val="nil"/>
              <w:bottom w:val="single" w:color="auto" w:sz="4" w:space="0"/>
              <w:right w:val="single" w:color="auto" w:sz="4" w:space="0"/>
            </w:tcBorders>
          </w:tcPr>
          <w:p>
            <w:pPr>
              <w:widowControl/>
              <w:jc w:val="left"/>
              <w:rPr>
                <w:rFonts w:ascii="仿宋" w:hAnsi="仿宋" w:eastAsia="仿宋" w:cs="宋体"/>
                <w:kern w:val="0"/>
                <w:sz w:val="24"/>
              </w:rPr>
            </w:pPr>
          </w:p>
        </w:tc>
      </w:tr>
      <w:tr>
        <w:tblPrEx>
          <w:tblCellMar>
            <w:top w:w="0" w:type="dxa"/>
            <w:left w:w="108" w:type="dxa"/>
            <w:bottom w:w="0" w:type="dxa"/>
            <w:right w:w="108" w:type="dxa"/>
          </w:tblCellMar>
        </w:tblPrEx>
        <w:trPr>
          <w:trHeight w:val="270" w:hRule="atLeast"/>
          <w:jc w:val="center"/>
        </w:trPr>
        <w:tc>
          <w:tcPr>
            <w:tcW w:w="883"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6</w:t>
            </w:r>
          </w:p>
        </w:tc>
        <w:tc>
          <w:tcPr>
            <w:tcW w:w="196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719"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41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843" w:type="dxa"/>
            <w:tcBorders>
              <w:top w:val="nil"/>
              <w:left w:val="nil"/>
              <w:bottom w:val="single" w:color="auto" w:sz="4" w:space="0"/>
              <w:right w:val="single" w:color="auto" w:sz="4" w:space="0"/>
            </w:tcBorders>
          </w:tcPr>
          <w:p>
            <w:pPr>
              <w:widowControl/>
              <w:jc w:val="left"/>
              <w:rPr>
                <w:rFonts w:ascii="仿宋" w:hAnsi="仿宋" w:eastAsia="仿宋" w:cs="宋体"/>
                <w:kern w:val="0"/>
                <w:sz w:val="24"/>
              </w:rPr>
            </w:pPr>
          </w:p>
        </w:tc>
      </w:tr>
      <w:tr>
        <w:tblPrEx>
          <w:tblCellMar>
            <w:top w:w="0" w:type="dxa"/>
            <w:left w:w="108" w:type="dxa"/>
            <w:bottom w:w="0" w:type="dxa"/>
            <w:right w:w="108" w:type="dxa"/>
          </w:tblCellMar>
        </w:tblPrEx>
        <w:trPr>
          <w:trHeight w:val="270" w:hRule="atLeast"/>
          <w:jc w:val="center"/>
        </w:trPr>
        <w:tc>
          <w:tcPr>
            <w:tcW w:w="883"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7</w:t>
            </w:r>
          </w:p>
        </w:tc>
        <w:tc>
          <w:tcPr>
            <w:tcW w:w="196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719"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41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843" w:type="dxa"/>
            <w:tcBorders>
              <w:top w:val="nil"/>
              <w:left w:val="nil"/>
              <w:bottom w:val="single" w:color="auto" w:sz="4" w:space="0"/>
              <w:right w:val="single" w:color="auto" w:sz="4" w:space="0"/>
            </w:tcBorders>
          </w:tcPr>
          <w:p>
            <w:pPr>
              <w:widowControl/>
              <w:jc w:val="left"/>
              <w:rPr>
                <w:rFonts w:ascii="仿宋" w:hAnsi="仿宋" w:eastAsia="仿宋" w:cs="宋体"/>
                <w:kern w:val="0"/>
                <w:sz w:val="24"/>
              </w:rPr>
            </w:pPr>
          </w:p>
        </w:tc>
      </w:tr>
      <w:tr>
        <w:tblPrEx>
          <w:tblCellMar>
            <w:top w:w="0" w:type="dxa"/>
            <w:left w:w="108" w:type="dxa"/>
            <w:bottom w:w="0" w:type="dxa"/>
            <w:right w:w="108" w:type="dxa"/>
          </w:tblCellMar>
        </w:tblPrEx>
        <w:trPr>
          <w:trHeight w:val="270" w:hRule="atLeast"/>
          <w:jc w:val="center"/>
        </w:trPr>
        <w:tc>
          <w:tcPr>
            <w:tcW w:w="883"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rPr>
            </w:pPr>
            <w:r>
              <w:rPr>
                <w:rFonts w:ascii="仿宋" w:hAnsi="仿宋" w:eastAsia="仿宋" w:cs="宋体"/>
                <w:kern w:val="0"/>
                <w:sz w:val="24"/>
              </w:rPr>
              <w:t>…</w:t>
            </w:r>
          </w:p>
        </w:tc>
        <w:tc>
          <w:tcPr>
            <w:tcW w:w="196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719"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w:t>
            </w:r>
          </w:p>
        </w:tc>
        <w:tc>
          <w:tcPr>
            <w:tcW w:w="1417"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p>
        </w:tc>
        <w:tc>
          <w:tcPr>
            <w:tcW w:w="1843" w:type="dxa"/>
            <w:tcBorders>
              <w:top w:val="nil"/>
              <w:left w:val="nil"/>
              <w:bottom w:val="single" w:color="auto" w:sz="4" w:space="0"/>
              <w:right w:val="single" w:color="auto" w:sz="4" w:space="0"/>
            </w:tcBorders>
          </w:tcPr>
          <w:p>
            <w:pPr>
              <w:widowControl/>
              <w:jc w:val="left"/>
              <w:rPr>
                <w:rFonts w:ascii="仿宋" w:hAnsi="仿宋" w:eastAsia="仿宋" w:cs="宋体"/>
                <w:kern w:val="0"/>
                <w:sz w:val="24"/>
              </w:rPr>
            </w:pPr>
          </w:p>
        </w:tc>
      </w:tr>
    </w:tbl>
    <w:p>
      <w:pPr>
        <w:spacing w:line="360" w:lineRule="auto"/>
        <w:ind w:right="420"/>
        <w:rPr>
          <w:rFonts w:ascii="仿宋" w:hAnsi="仿宋" w:eastAsia="仿宋" w:cs="仿宋_GB2312"/>
          <w:b/>
          <w:color w:val="000000"/>
          <w:sz w:val="24"/>
        </w:rPr>
      </w:pPr>
    </w:p>
    <w:p>
      <w:pPr>
        <w:spacing w:line="360" w:lineRule="auto"/>
        <w:ind w:right="420"/>
        <w:rPr>
          <w:rFonts w:ascii="仿宋" w:hAnsi="仿宋" w:eastAsia="仿宋" w:cs="仿宋_GB2312"/>
          <w:b/>
          <w:color w:val="000000"/>
          <w:sz w:val="24"/>
        </w:rPr>
      </w:pPr>
    </w:p>
    <w:p>
      <w:pPr>
        <w:spacing w:line="360" w:lineRule="auto"/>
        <w:ind w:right="1040"/>
        <w:jc w:val="right"/>
        <w:rPr>
          <w:rFonts w:ascii="仿宋" w:hAnsi="仿宋" w:eastAsia="仿宋"/>
          <w:color w:val="000000"/>
          <w:sz w:val="24"/>
        </w:rPr>
      </w:pPr>
      <w:r>
        <w:rPr>
          <w:rFonts w:hint="eastAsia" w:ascii="仿宋" w:hAnsi="仿宋" w:eastAsia="仿宋" w:cs="仿宋_GB2312"/>
          <w:color w:val="000000"/>
          <w:sz w:val="24"/>
        </w:rPr>
        <w:t>投标人</w:t>
      </w:r>
      <w:r>
        <w:rPr>
          <w:rFonts w:hint="eastAsia" w:ascii="仿宋" w:hAnsi="仿宋" w:eastAsia="仿宋"/>
          <w:color w:val="000000"/>
          <w:sz w:val="24"/>
        </w:rPr>
        <w:t xml:space="preserve">名称（ </w:t>
      </w:r>
      <w:r>
        <w:rPr>
          <w:rFonts w:hint="eastAsia" w:ascii="仿宋" w:hAnsi="仿宋" w:eastAsia="仿宋" w:cs="仿宋_GB2312"/>
          <w:color w:val="000000"/>
          <w:sz w:val="24"/>
        </w:rPr>
        <w:t>电子签名</w:t>
      </w:r>
      <w:r>
        <w:rPr>
          <w:rFonts w:hint="eastAsia" w:ascii="仿宋" w:hAnsi="仿宋" w:eastAsia="仿宋"/>
          <w:color w:val="000000"/>
          <w:sz w:val="24"/>
        </w:rPr>
        <w:t>）：</w:t>
      </w:r>
    </w:p>
    <w:p>
      <w:pPr>
        <w:spacing w:line="360" w:lineRule="auto"/>
        <w:ind w:right="1120" w:firstLine="5040" w:firstLineChars="2100"/>
        <w:rPr>
          <w:rFonts w:ascii="仿宋" w:hAnsi="仿宋" w:eastAsia="仿宋"/>
          <w:color w:val="000000"/>
          <w:sz w:val="24"/>
        </w:rPr>
      </w:pPr>
      <w:r>
        <w:rPr>
          <w:rFonts w:hint="eastAsia" w:ascii="仿宋" w:hAnsi="仿宋" w:eastAsia="仿宋"/>
          <w:color w:val="000000"/>
          <w:sz w:val="24"/>
        </w:rPr>
        <w:t>日 期：</w:t>
      </w:r>
    </w:p>
    <w:p>
      <w:pPr>
        <w:spacing w:line="360" w:lineRule="auto"/>
        <w:ind w:right="420"/>
        <w:rPr>
          <w:rFonts w:ascii="仿宋" w:hAnsi="仿宋" w:eastAsia="仿宋" w:cs="仿宋_GB2312"/>
          <w:b/>
          <w:color w:val="000000"/>
          <w:sz w:val="24"/>
        </w:rPr>
      </w:pPr>
    </w:p>
    <w:p>
      <w:pPr>
        <w:spacing w:line="360" w:lineRule="auto"/>
        <w:ind w:right="420"/>
        <w:rPr>
          <w:rFonts w:ascii="仿宋" w:hAnsi="仿宋" w:eastAsia="仿宋" w:cs="仿宋_GB2312"/>
          <w:b/>
          <w:color w:val="000000"/>
          <w:sz w:val="24"/>
        </w:rPr>
      </w:pPr>
    </w:p>
    <w:p>
      <w:pPr>
        <w:spacing w:line="360" w:lineRule="auto"/>
        <w:ind w:right="420"/>
        <w:rPr>
          <w:rFonts w:ascii="仿宋" w:hAnsi="仿宋" w:eastAsia="仿宋" w:cs="仿宋_GB2312"/>
          <w:b/>
          <w:color w:val="000000"/>
          <w:sz w:val="24"/>
        </w:rPr>
      </w:pPr>
    </w:p>
    <w:p>
      <w:pPr>
        <w:spacing w:line="360" w:lineRule="auto"/>
        <w:ind w:right="420"/>
        <w:rPr>
          <w:rFonts w:ascii="仿宋" w:hAnsi="仿宋" w:eastAsia="仿宋" w:cs="仿宋_GB2312"/>
          <w:color w:val="000000"/>
          <w:sz w:val="24"/>
        </w:rPr>
      </w:pPr>
      <w:r>
        <w:rPr>
          <w:rFonts w:hint="eastAsia" w:ascii="仿宋" w:hAnsi="仿宋" w:eastAsia="仿宋" w:cs="仿宋_GB2312"/>
          <w:b/>
          <w:color w:val="000000"/>
          <w:sz w:val="24"/>
        </w:rPr>
        <w:t>注：采购代理机构将随中标、成交结果公开中标、成交供应商的承诺书。</w:t>
      </w:r>
    </w:p>
    <w:p>
      <w:pPr>
        <w:rPr>
          <w:rFonts w:hint="eastAsia" w:ascii="仿宋" w:hAnsi="仿宋" w:eastAsia="仿宋" w:cs="仿宋_GB2312"/>
          <w:b/>
          <w:bCs/>
          <w:color w:val="auto"/>
          <w:sz w:val="32"/>
          <w:szCs w:val="32"/>
          <w:highlight w:val="none"/>
          <w:lang w:eastAsia="zh-CN"/>
        </w:rPr>
      </w:pPr>
      <w:r>
        <w:rPr>
          <w:rFonts w:hint="eastAsia" w:ascii="仿宋" w:hAnsi="仿宋" w:eastAsia="仿宋" w:cs="仿宋_GB2312"/>
          <w:b/>
          <w:bCs/>
          <w:color w:val="auto"/>
          <w:sz w:val="32"/>
          <w:szCs w:val="32"/>
          <w:highlight w:val="none"/>
          <w:lang w:eastAsia="zh-CN"/>
        </w:rPr>
        <w:br w:type="page"/>
      </w:r>
    </w:p>
    <w:p>
      <w:pPr>
        <w:spacing w:line="360" w:lineRule="auto"/>
        <w:jc w:val="center"/>
        <w:rPr>
          <w:rFonts w:hint="eastAsia" w:ascii="仿宋" w:hAnsi="仿宋" w:eastAsia="仿宋" w:cs="仿宋_GB2312"/>
          <w:b/>
          <w:bCs/>
          <w:color w:val="auto"/>
          <w:sz w:val="32"/>
          <w:szCs w:val="32"/>
          <w:highlight w:val="none"/>
        </w:rPr>
      </w:pPr>
      <w:r>
        <w:rPr>
          <w:rFonts w:hint="eastAsia" w:ascii="仿宋" w:hAnsi="仿宋" w:eastAsia="仿宋" w:cs="仿宋_GB2312"/>
          <w:b/>
          <w:bCs/>
          <w:color w:val="auto"/>
          <w:sz w:val="32"/>
          <w:szCs w:val="32"/>
          <w:highlight w:val="none"/>
          <w:lang w:eastAsia="zh-CN"/>
        </w:rPr>
        <w:t>八</w:t>
      </w:r>
      <w:r>
        <w:rPr>
          <w:rFonts w:hint="eastAsia" w:ascii="仿宋" w:hAnsi="仿宋" w:eastAsia="仿宋" w:cs="仿宋_GB2312"/>
          <w:b/>
          <w:bCs/>
          <w:color w:val="auto"/>
          <w:sz w:val="32"/>
          <w:szCs w:val="32"/>
          <w:highlight w:val="none"/>
        </w:rPr>
        <w:t>、售后服务方案（如有）</w:t>
      </w:r>
    </w:p>
    <w:p>
      <w:pPr>
        <w:autoSpaceDE w:val="0"/>
        <w:autoSpaceDN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（由投标人根据采购需求及招标文件要求编制）</w:t>
      </w:r>
    </w:p>
    <w:p>
      <w:pPr>
        <w:spacing w:line="360" w:lineRule="auto"/>
        <w:rPr>
          <w:rFonts w:hint="eastAsia" w:ascii="仿宋" w:hAnsi="仿宋" w:eastAsia="仿宋" w:cs="仿宋_GB2312"/>
          <w:color w:val="auto"/>
          <w:sz w:val="24"/>
          <w:highlight w:val="none"/>
        </w:rPr>
      </w:pPr>
    </w:p>
    <w:p>
      <w:pPr>
        <w:spacing w:line="360" w:lineRule="auto"/>
        <w:rPr>
          <w:rFonts w:ascii="仿宋" w:hAnsi="仿宋" w:eastAsia="仿宋" w:cs="仿宋_GB2312"/>
          <w:b/>
          <w:bCs/>
          <w:color w:val="auto"/>
          <w:sz w:val="32"/>
          <w:szCs w:val="32"/>
          <w:highlight w:val="none"/>
        </w:rPr>
      </w:pPr>
    </w:p>
    <w:p>
      <w:pPr>
        <w:spacing w:line="360" w:lineRule="auto"/>
        <w:jc w:val="center"/>
        <w:rPr>
          <w:rFonts w:hint="eastAsia" w:ascii="仿宋" w:hAnsi="仿宋" w:eastAsia="仿宋" w:cs="仿宋_GB2312"/>
          <w:b/>
          <w:color w:val="auto"/>
          <w:kern w:val="0"/>
          <w:sz w:val="32"/>
          <w:szCs w:val="32"/>
          <w:highlight w:val="none"/>
          <w:lang w:val="zh-CN"/>
        </w:rPr>
      </w:pPr>
      <w:r>
        <w:rPr>
          <w:rFonts w:hint="eastAsia" w:ascii="仿宋" w:hAnsi="仿宋" w:eastAsia="仿宋" w:cs="仿宋_GB2312"/>
          <w:b/>
          <w:bCs/>
          <w:color w:val="auto"/>
          <w:sz w:val="32"/>
          <w:szCs w:val="32"/>
          <w:highlight w:val="none"/>
        </w:rPr>
        <w:br w:type="textWrapping"/>
      </w:r>
      <w:r>
        <w:rPr>
          <w:rFonts w:hint="eastAsia" w:ascii="仿宋" w:hAnsi="仿宋" w:eastAsia="仿宋" w:cs="仿宋_GB2312"/>
          <w:b/>
          <w:bCs/>
          <w:color w:val="auto"/>
          <w:sz w:val="32"/>
          <w:szCs w:val="32"/>
          <w:highlight w:val="none"/>
          <w:lang w:eastAsia="zh-CN"/>
        </w:rPr>
        <w:t>九</w:t>
      </w:r>
      <w:r>
        <w:rPr>
          <w:rFonts w:hint="eastAsia" w:ascii="仿宋" w:hAnsi="仿宋" w:eastAsia="仿宋" w:cs="仿宋_GB2312"/>
          <w:b/>
          <w:bCs/>
          <w:color w:val="auto"/>
          <w:sz w:val="32"/>
          <w:szCs w:val="32"/>
          <w:highlight w:val="none"/>
        </w:rPr>
        <w:t>、</w:t>
      </w:r>
      <w:r>
        <w:rPr>
          <w:rFonts w:hint="eastAsia" w:ascii="仿宋" w:hAnsi="仿宋" w:eastAsia="仿宋" w:cs="仿宋_GB2312"/>
          <w:b/>
          <w:color w:val="auto"/>
          <w:kern w:val="0"/>
          <w:sz w:val="32"/>
          <w:szCs w:val="32"/>
          <w:highlight w:val="none"/>
          <w:lang w:val="zh-CN"/>
        </w:rPr>
        <w:t>优惠条件及特殊承诺（如有）</w:t>
      </w:r>
    </w:p>
    <w:p>
      <w:pPr>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（由投标人根据采购需求及招标文件要求编制）</w:t>
      </w:r>
    </w:p>
    <w:p>
      <w:pPr>
        <w:autoSpaceDE w:val="0"/>
        <w:autoSpaceDN w:val="0"/>
        <w:spacing w:line="360" w:lineRule="auto"/>
        <w:ind w:firstLine="120"/>
        <w:rPr>
          <w:rFonts w:hint="eastAsia" w:ascii="仿宋" w:hAnsi="仿宋" w:eastAsia="仿宋" w:cs="仿宋_GB2312"/>
          <w:color w:val="auto"/>
          <w:kern w:val="0"/>
          <w:sz w:val="24"/>
          <w:highlight w:val="none"/>
        </w:rPr>
      </w:pPr>
    </w:p>
    <w:p>
      <w:pPr>
        <w:autoSpaceDE w:val="0"/>
        <w:autoSpaceDN w:val="0"/>
        <w:spacing w:line="360" w:lineRule="auto"/>
        <w:ind w:firstLine="120"/>
        <w:rPr>
          <w:rFonts w:hint="eastAsia" w:ascii="仿宋" w:hAnsi="仿宋" w:eastAsia="仿宋" w:cs="仿宋_GB2312"/>
          <w:color w:val="auto"/>
          <w:sz w:val="24"/>
          <w:highlight w:val="none"/>
        </w:rPr>
      </w:pPr>
    </w:p>
    <w:p>
      <w:pPr>
        <w:spacing w:line="360" w:lineRule="auto"/>
        <w:jc w:val="center"/>
        <w:rPr>
          <w:rFonts w:hint="eastAsia" w:ascii="仿宋" w:hAnsi="仿宋" w:eastAsia="仿宋" w:cs="仿宋_GB2312"/>
          <w:b/>
          <w:bCs/>
          <w:color w:val="auto"/>
          <w:sz w:val="32"/>
          <w:szCs w:val="32"/>
          <w:highlight w:val="none"/>
        </w:rPr>
      </w:pPr>
      <w:r>
        <w:rPr>
          <w:rFonts w:hint="eastAsia" w:ascii="仿宋" w:hAnsi="仿宋" w:eastAsia="仿宋" w:cs="仿宋_GB2312"/>
          <w:b/>
          <w:bCs/>
          <w:color w:val="auto"/>
          <w:sz w:val="32"/>
          <w:szCs w:val="32"/>
          <w:highlight w:val="none"/>
        </w:rPr>
        <w:br w:type="textWrapping"/>
      </w:r>
      <w:r>
        <w:rPr>
          <w:rFonts w:hint="eastAsia" w:ascii="仿宋" w:hAnsi="仿宋" w:eastAsia="仿宋" w:cs="仿宋_GB2312"/>
          <w:b/>
          <w:bCs/>
          <w:color w:val="auto"/>
          <w:sz w:val="32"/>
          <w:szCs w:val="32"/>
          <w:highlight w:val="none"/>
          <w:lang w:eastAsia="zh-CN"/>
        </w:rPr>
        <w:t>十</w:t>
      </w:r>
      <w:r>
        <w:rPr>
          <w:rFonts w:hint="eastAsia" w:ascii="仿宋" w:hAnsi="仿宋" w:eastAsia="仿宋" w:cs="仿宋_GB2312"/>
          <w:b/>
          <w:bCs/>
          <w:color w:val="auto"/>
          <w:sz w:val="32"/>
          <w:szCs w:val="32"/>
          <w:highlight w:val="none"/>
        </w:rPr>
        <w:t>、投标人认为需要的其他商务技术文件或说明</w:t>
      </w:r>
    </w:p>
    <w:p>
      <w:pPr>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（由投标人根据采购需求及招标文件要求编制）</w:t>
      </w:r>
    </w:p>
    <w:p>
      <w:pPr>
        <w:spacing w:line="360" w:lineRule="auto"/>
        <w:jc w:val="center"/>
        <w:rPr>
          <w:rFonts w:hint="eastAsia" w:ascii="仿宋" w:hAnsi="仿宋" w:eastAsia="仿宋" w:cs="仿宋_GB2312"/>
          <w:color w:val="auto"/>
          <w:sz w:val="24"/>
          <w:highlight w:val="none"/>
        </w:rPr>
      </w:pPr>
    </w:p>
    <w:p>
      <w:pPr>
        <w:spacing w:line="360" w:lineRule="auto"/>
        <w:rPr>
          <w:rFonts w:hint="eastAsia" w:ascii="仿宋" w:hAnsi="仿宋" w:eastAsia="仿宋" w:cs="仿宋_GB2312"/>
          <w:b/>
          <w:bCs/>
          <w:color w:val="auto"/>
          <w:sz w:val="30"/>
          <w:szCs w:val="30"/>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pStyle w:val="588"/>
        <w:keepNext w:val="0"/>
        <w:pageBreakBefore w:val="0"/>
        <w:tabs>
          <w:tab w:val="clear" w:pos="720"/>
        </w:tabs>
        <w:snapToGrid w:val="0"/>
        <w:jc w:val="both"/>
        <w:outlineLvl w:val="9"/>
        <w:rPr>
          <w:rFonts w:hint="eastAsia" w:ascii="仿宋" w:hAnsi="仿宋" w:eastAsia="仿宋" w:cs="仿宋_GB2312"/>
          <w:b w:val="0"/>
          <w:color w:val="auto"/>
          <w:sz w:val="24"/>
          <w:highlight w:val="none"/>
        </w:rPr>
      </w:pPr>
    </w:p>
    <w:p>
      <w:pPr>
        <w:spacing w:line="360" w:lineRule="auto"/>
        <w:jc w:val="center"/>
        <w:outlineLvl w:val="0"/>
        <w:rPr>
          <w:rFonts w:hint="eastAsia"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br w:type="page"/>
      </w:r>
      <w:r>
        <w:rPr>
          <w:rFonts w:hint="eastAsia" w:ascii="仿宋" w:hAnsi="仿宋" w:eastAsia="仿宋" w:cs="仿宋_GB2312"/>
          <w:b/>
          <w:color w:val="auto"/>
          <w:kern w:val="0"/>
          <w:sz w:val="36"/>
          <w:szCs w:val="36"/>
          <w:highlight w:val="none"/>
        </w:rPr>
        <w:t>报价文件部分</w:t>
      </w:r>
    </w:p>
    <w:p>
      <w:pPr>
        <w:spacing w:line="360" w:lineRule="auto"/>
        <w:jc w:val="center"/>
        <w:outlineLvl w:val="0"/>
        <w:rPr>
          <w:rFonts w:hint="eastAsia" w:ascii="仿宋" w:hAnsi="仿宋" w:eastAsia="仿宋" w:cs="仿宋_GB2312"/>
          <w:b/>
          <w:color w:val="auto"/>
          <w:kern w:val="0"/>
          <w:sz w:val="24"/>
          <w:highlight w:val="none"/>
        </w:rPr>
      </w:pPr>
    </w:p>
    <w:p>
      <w:pPr>
        <w:spacing w:line="360" w:lineRule="auto"/>
        <w:jc w:val="center"/>
        <w:outlineLvl w:val="0"/>
        <w:rPr>
          <w:rFonts w:hint="eastAsia"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pPr>
        <w:spacing w:line="360" w:lineRule="auto"/>
        <w:outlineLvl w:val="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（1）投标（开标）一览表……………………………………………………（页码）</w:t>
      </w:r>
    </w:p>
    <w:p>
      <w:pPr>
        <w:spacing w:line="360" w:lineRule="auto"/>
        <w:outlineLvl w:val="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2</w:t>
      </w:r>
      <w:r>
        <w:rPr>
          <w:rFonts w:hint="eastAsia" w:ascii="仿宋" w:hAnsi="仿宋" w:eastAsia="仿宋" w:cs="仿宋_GB2312"/>
          <w:color w:val="auto"/>
          <w:kern w:val="0"/>
          <w:sz w:val="24"/>
          <w:highlight w:val="none"/>
        </w:rPr>
        <w:t>）中小企业声明函（如有）………………………………………………（页码）</w:t>
      </w:r>
    </w:p>
    <w:p>
      <w:pPr>
        <w:spacing w:line="360" w:lineRule="auto"/>
        <w:outlineLvl w:val="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3</w:t>
      </w:r>
      <w:r>
        <w:rPr>
          <w:rFonts w:hint="eastAsia" w:ascii="仿宋" w:hAnsi="仿宋" w:eastAsia="仿宋" w:cs="仿宋_GB2312"/>
          <w:color w:val="auto"/>
          <w:kern w:val="0"/>
          <w:sz w:val="24"/>
          <w:highlight w:val="none"/>
        </w:rPr>
        <w:t>）残疾人福利性单位声明函（如有）……………………………………（页码）</w:t>
      </w:r>
    </w:p>
    <w:p>
      <w:pPr>
        <w:snapToGrid w:val="0"/>
        <w:spacing w:line="360" w:lineRule="auto"/>
        <w:jc w:val="center"/>
        <w:outlineLvl w:val="0"/>
        <w:rPr>
          <w:rFonts w:hint="eastAsia" w:ascii="仿宋" w:hAnsi="仿宋" w:eastAsia="仿宋" w:cs="仿宋_GB2312"/>
          <w:b/>
          <w:color w:val="auto"/>
          <w:kern w:val="0"/>
          <w:sz w:val="32"/>
          <w:szCs w:val="32"/>
          <w:highlight w:val="none"/>
        </w:rPr>
      </w:pPr>
    </w:p>
    <w:p>
      <w:pPr>
        <w:snapToGrid w:val="0"/>
        <w:spacing w:line="360" w:lineRule="auto"/>
        <w:jc w:val="center"/>
        <w:outlineLvl w:val="0"/>
        <w:rPr>
          <w:rFonts w:hint="eastAsia" w:ascii="仿宋" w:hAnsi="仿宋" w:eastAsia="仿宋" w:cs="仿宋_GB2312"/>
          <w:b/>
          <w:color w:val="auto"/>
          <w:kern w:val="0"/>
          <w:sz w:val="32"/>
          <w:szCs w:val="32"/>
          <w:highlight w:val="none"/>
        </w:rPr>
      </w:pPr>
    </w:p>
    <w:p>
      <w:pPr>
        <w:pStyle w:val="588"/>
        <w:keepNext w:val="0"/>
        <w:keepLines w:val="0"/>
        <w:pageBreakBefore w:val="0"/>
        <w:widowControl w:val="0"/>
        <w:tabs>
          <w:tab w:val="clear" w:pos="720"/>
        </w:tabs>
        <w:kinsoku/>
        <w:wordWrap/>
        <w:overflowPunct/>
        <w:topLinePunct w:val="0"/>
        <w:autoSpaceDE/>
        <w:autoSpaceDN/>
        <w:bidi w:val="0"/>
        <w:adjustRightInd w:val="0"/>
        <w:snapToGrid w:val="0"/>
        <w:ind w:firstLine="0"/>
        <w:textAlignment w:val="auto"/>
        <w:outlineLvl w:val="9"/>
        <w:rPr>
          <w:rFonts w:hint="eastAsia"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br w:type="page"/>
      </w:r>
      <w:r>
        <w:rPr>
          <w:rFonts w:hint="eastAsia" w:ascii="仿宋" w:hAnsi="仿宋" w:eastAsia="仿宋" w:cs="仿宋_GB2312"/>
          <w:color w:val="auto"/>
          <w:kern w:val="2"/>
          <w:sz w:val="32"/>
          <w:szCs w:val="32"/>
          <w:highlight w:val="none"/>
        </w:rPr>
        <w:t>一、投标(开标)一览表</w:t>
      </w:r>
    </w:p>
    <w:p>
      <w:pPr>
        <w:tabs>
          <w:tab w:val="left" w:pos="2758"/>
        </w:tabs>
        <w:snapToGrid w:val="0"/>
        <w:spacing w:line="360" w:lineRule="auto"/>
        <w:rPr>
          <w:rFonts w:hint="eastAsia" w:ascii="仿宋" w:hAnsi="仿宋" w:eastAsia="仿宋" w:cs="仿宋_GB2312"/>
          <w:color w:val="auto"/>
          <w:kern w:val="0"/>
          <w:sz w:val="24"/>
          <w:highlight w:val="none"/>
          <w:lang w:val="zh-CN"/>
        </w:rPr>
      </w:pPr>
      <w:bookmarkStart w:id="446" w:name="_Toc86217005"/>
      <w:r>
        <w:rPr>
          <w:rFonts w:hint="eastAsia" w:ascii="仿宋" w:hAnsi="仿宋" w:eastAsia="仿宋" w:cs="仿宋_GB2312"/>
          <w:color w:val="auto"/>
          <w:sz w:val="24"/>
          <w:highlight w:val="none"/>
        </w:rPr>
        <w:t>项目名称</w:t>
      </w: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zh-CN"/>
        </w:rPr>
        <w:tab/>
      </w:r>
    </w:p>
    <w:p>
      <w:pPr>
        <w:snapToGrid w:val="0"/>
        <w:spacing w:line="360" w:lineRule="auto"/>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 xml:space="preserve">项目编号：                  </w:t>
      </w:r>
      <w:r>
        <w:rPr>
          <w:rFonts w:hint="eastAsia"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标项：</w:t>
      </w:r>
    </w:p>
    <w:tbl>
      <w:tblPr>
        <w:tblStyle w:val="60"/>
        <w:tblW w:w="89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2192"/>
        <w:gridCol w:w="840"/>
        <w:gridCol w:w="735"/>
        <w:gridCol w:w="1230"/>
        <w:gridCol w:w="1020"/>
        <w:gridCol w:w="24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994" w:type="dxa"/>
            <w:gridSpan w:val="7"/>
            <w:noWrap w:val="0"/>
            <w:vAlign w:val="center"/>
          </w:tcPr>
          <w:p>
            <w:pPr>
              <w:spacing w:line="240" w:lineRule="auto"/>
              <w:jc w:val="center"/>
              <w:rPr>
                <w:rFonts w:hint="eastAsia" w:ascii="仿宋" w:hAnsi="仿宋" w:eastAsia="仿宋"/>
                <w:b/>
                <w:color w:val="auto"/>
                <w:sz w:val="24"/>
                <w:highlight w:val="none"/>
              </w:rPr>
            </w:pPr>
            <w:r>
              <w:rPr>
                <w:rFonts w:hint="eastAsia" w:ascii="仿宋" w:hAnsi="仿宋" w:eastAsia="仿宋"/>
                <w:b/>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28" w:type="dxa"/>
            <w:noWrap w:val="0"/>
            <w:vAlign w:val="center"/>
          </w:tcPr>
          <w:p>
            <w:pPr>
              <w:spacing w:line="240" w:lineRule="auto"/>
              <w:jc w:val="center"/>
              <w:rPr>
                <w:rFonts w:hint="eastAsia" w:ascii="仿宋" w:hAnsi="仿宋" w:eastAsia="仿宋" w:cs="仿宋_GB2312"/>
                <w:b/>
                <w:color w:val="auto"/>
                <w:sz w:val="24"/>
                <w:highlight w:val="none"/>
              </w:rPr>
            </w:pPr>
            <w:r>
              <w:rPr>
                <w:rFonts w:hint="eastAsia" w:ascii="仿宋" w:hAnsi="仿宋" w:eastAsia="仿宋"/>
                <w:b/>
                <w:color w:val="auto"/>
                <w:sz w:val="24"/>
                <w:highlight w:val="none"/>
              </w:rPr>
              <w:t>序号</w:t>
            </w:r>
          </w:p>
        </w:tc>
        <w:tc>
          <w:tcPr>
            <w:tcW w:w="2192" w:type="dxa"/>
            <w:noWrap w:val="0"/>
            <w:vAlign w:val="center"/>
          </w:tcPr>
          <w:p>
            <w:pPr>
              <w:spacing w:line="240" w:lineRule="auto"/>
              <w:jc w:val="center"/>
              <w:rPr>
                <w:rFonts w:hint="eastAsia" w:ascii="仿宋" w:hAnsi="仿宋" w:eastAsia="仿宋"/>
                <w:b/>
                <w:color w:val="auto"/>
                <w:sz w:val="24"/>
                <w:highlight w:val="none"/>
              </w:rPr>
            </w:pPr>
            <w:r>
              <w:rPr>
                <w:rFonts w:hint="eastAsia" w:ascii="仿宋" w:hAnsi="仿宋" w:eastAsia="仿宋"/>
                <w:b/>
                <w:color w:val="auto"/>
                <w:sz w:val="24"/>
                <w:highlight w:val="none"/>
              </w:rPr>
              <w:t>服务内容</w:t>
            </w:r>
          </w:p>
        </w:tc>
        <w:tc>
          <w:tcPr>
            <w:tcW w:w="840" w:type="dxa"/>
            <w:noWrap w:val="0"/>
            <w:vAlign w:val="center"/>
          </w:tcPr>
          <w:p>
            <w:pPr>
              <w:spacing w:line="240" w:lineRule="auto"/>
              <w:jc w:val="center"/>
              <w:rPr>
                <w:rFonts w:hint="eastAsia" w:ascii="仿宋" w:hAnsi="仿宋" w:eastAsia="仿宋"/>
                <w:b/>
                <w:color w:val="auto"/>
                <w:sz w:val="24"/>
                <w:highlight w:val="none"/>
                <w:lang w:eastAsia="zh-CN"/>
              </w:rPr>
            </w:pPr>
            <w:r>
              <w:rPr>
                <w:rFonts w:hint="eastAsia" w:ascii="仿宋" w:hAnsi="仿宋" w:eastAsia="仿宋"/>
                <w:b/>
                <w:color w:val="auto"/>
                <w:sz w:val="24"/>
                <w:highlight w:val="none"/>
                <w:lang w:eastAsia="zh-CN"/>
              </w:rPr>
              <w:t>数量</w:t>
            </w:r>
          </w:p>
        </w:tc>
        <w:tc>
          <w:tcPr>
            <w:tcW w:w="735" w:type="dxa"/>
            <w:noWrap w:val="0"/>
            <w:vAlign w:val="center"/>
          </w:tcPr>
          <w:p>
            <w:pPr>
              <w:spacing w:line="240" w:lineRule="auto"/>
              <w:jc w:val="center"/>
              <w:rPr>
                <w:rFonts w:hint="eastAsia" w:ascii="仿宋" w:hAnsi="仿宋" w:eastAsia="仿宋" w:cs="仿宋_GB2312"/>
                <w:b/>
                <w:color w:val="auto"/>
                <w:sz w:val="24"/>
                <w:highlight w:val="none"/>
                <w:lang w:eastAsia="zh-CN"/>
              </w:rPr>
            </w:pPr>
            <w:r>
              <w:rPr>
                <w:rFonts w:hint="eastAsia" w:ascii="仿宋" w:hAnsi="仿宋" w:eastAsia="仿宋"/>
                <w:b/>
                <w:color w:val="auto"/>
                <w:sz w:val="24"/>
                <w:highlight w:val="none"/>
                <w:lang w:eastAsia="zh-CN"/>
              </w:rPr>
              <w:t>服务时间</w:t>
            </w:r>
          </w:p>
        </w:tc>
        <w:tc>
          <w:tcPr>
            <w:tcW w:w="1230" w:type="dxa"/>
            <w:noWrap w:val="0"/>
            <w:vAlign w:val="center"/>
          </w:tcPr>
          <w:p>
            <w:pPr>
              <w:spacing w:line="240" w:lineRule="auto"/>
              <w:jc w:val="center"/>
              <w:rPr>
                <w:rFonts w:hint="eastAsia" w:ascii="仿宋" w:hAnsi="仿宋" w:eastAsia="仿宋" w:cs="Times New Roman"/>
                <w:b/>
                <w:color w:val="auto"/>
                <w:sz w:val="24"/>
                <w:highlight w:val="none"/>
              </w:rPr>
            </w:pPr>
            <w:r>
              <w:rPr>
                <w:rFonts w:hint="eastAsia" w:ascii="仿宋" w:hAnsi="仿宋" w:eastAsia="仿宋" w:cs="Times New Roman"/>
                <w:b/>
                <w:color w:val="auto"/>
                <w:sz w:val="24"/>
                <w:highlight w:val="none"/>
              </w:rPr>
              <w:t>综合单价</w:t>
            </w:r>
          </w:p>
        </w:tc>
        <w:tc>
          <w:tcPr>
            <w:tcW w:w="1020" w:type="dxa"/>
            <w:noWrap w:val="0"/>
            <w:vAlign w:val="center"/>
          </w:tcPr>
          <w:p>
            <w:pPr>
              <w:spacing w:line="240" w:lineRule="auto"/>
              <w:jc w:val="center"/>
              <w:rPr>
                <w:rFonts w:hint="eastAsia" w:ascii="仿宋" w:hAnsi="仿宋" w:eastAsia="仿宋"/>
                <w:b/>
                <w:color w:val="auto"/>
                <w:sz w:val="24"/>
                <w:highlight w:val="none"/>
              </w:rPr>
            </w:pPr>
            <w:r>
              <w:rPr>
                <w:rFonts w:hint="eastAsia" w:ascii="仿宋" w:hAnsi="仿宋" w:eastAsia="仿宋"/>
                <w:b/>
                <w:color w:val="auto"/>
                <w:sz w:val="24"/>
                <w:highlight w:val="none"/>
              </w:rPr>
              <w:t>总价</w:t>
            </w:r>
          </w:p>
          <w:p>
            <w:pPr>
              <w:spacing w:line="240" w:lineRule="auto"/>
              <w:jc w:val="center"/>
              <w:rPr>
                <w:rFonts w:hint="eastAsia" w:ascii="仿宋" w:hAnsi="仿宋" w:eastAsia="仿宋" w:cs="仿宋_GB2312"/>
                <w:b/>
                <w:color w:val="auto"/>
                <w:sz w:val="24"/>
                <w:highlight w:val="none"/>
              </w:rPr>
            </w:pPr>
            <w:r>
              <w:rPr>
                <w:rFonts w:hint="eastAsia" w:ascii="仿宋" w:hAnsi="仿宋" w:eastAsia="仿宋"/>
                <w:b/>
                <w:color w:val="auto"/>
                <w:sz w:val="24"/>
                <w:highlight w:val="none"/>
              </w:rPr>
              <w:t>（元）</w:t>
            </w:r>
          </w:p>
        </w:tc>
        <w:tc>
          <w:tcPr>
            <w:tcW w:w="2449" w:type="dxa"/>
            <w:noWrap w:val="0"/>
            <w:vAlign w:val="center"/>
          </w:tcPr>
          <w:p>
            <w:pPr>
              <w:spacing w:line="240" w:lineRule="auto"/>
              <w:jc w:val="center"/>
              <w:rPr>
                <w:rFonts w:hint="eastAsia" w:ascii="仿宋" w:hAnsi="仿宋" w:eastAsia="仿宋"/>
                <w:b/>
                <w:color w:val="auto"/>
                <w:sz w:val="24"/>
                <w:highlight w:val="none"/>
                <w:lang w:eastAsia="zh-CN"/>
              </w:rPr>
            </w:pPr>
            <w:r>
              <w:rPr>
                <w:rFonts w:hint="eastAsia" w:ascii="仿宋" w:hAnsi="仿宋" w:eastAsia="仿宋"/>
                <w:b/>
                <w:color w:val="auto"/>
                <w:sz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28" w:type="dxa"/>
            <w:noWrap w:val="0"/>
            <w:vAlign w:val="center"/>
          </w:tcPr>
          <w:p>
            <w:pPr>
              <w:spacing w:line="240" w:lineRule="auto"/>
              <w:jc w:val="center"/>
              <w:rPr>
                <w:rFonts w:hint="eastAsia" w:ascii="仿宋" w:hAnsi="仿宋" w:eastAsia="仿宋" w:cs="仿宋_GB2312"/>
                <w:color w:val="auto"/>
                <w:sz w:val="24"/>
                <w:highlight w:val="none"/>
                <w:lang w:eastAsia="zh-CN"/>
              </w:rPr>
            </w:pPr>
            <w:r>
              <w:rPr>
                <w:rFonts w:hint="eastAsia" w:ascii="仿宋" w:hAnsi="仿宋" w:eastAsia="仿宋"/>
                <w:b/>
                <w:color w:val="auto"/>
                <w:sz w:val="24"/>
                <w:highlight w:val="none"/>
                <w:lang w:val="en-US" w:eastAsia="zh-CN"/>
              </w:rPr>
              <w:t>1</w:t>
            </w:r>
          </w:p>
        </w:tc>
        <w:tc>
          <w:tcPr>
            <w:tcW w:w="2192" w:type="dxa"/>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生活垃圾（易腐、其他垃圾）</w:t>
            </w:r>
          </w:p>
        </w:tc>
        <w:tc>
          <w:tcPr>
            <w:tcW w:w="840" w:type="dxa"/>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约1</w:t>
            </w:r>
            <w:r>
              <w:rPr>
                <w:rFonts w:hint="eastAsia" w:ascii="仿宋" w:hAnsi="仿宋" w:eastAsia="仿宋" w:cs="仿宋_GB2312"/>
                <w:color w:val="auto"/>
                <w:sz w:val="24"/>
                <w:highlight w:val="none"/>
                <w:lang w:val="en-US" w:eastAsia="zh-CN"/>
              </w:rPr>
              <w:t>60</w:t>
            </w:r>
            <w:r>
              <w:rPr>
                <w:rFonts w:hint="eastAsia" w:ascii="仿宋" w:hAnsi="仿宋" w:eastAsia="仿宋" w:cs="仿宋_GB2312"/>
                <w:color w:val="auto"/>
                <w:sz w:val="24"/>
                <w:highlight w:val="none"/>
              </w:rPr>
              <w:t>00吨/年</w:t>
            </w:r>
          </w:p>
        </w:tc>
        <w:tc>
          <w:tcPr>
            <w:tcW w:w="735" w:type="dxa"/>
            <w:noWrap w:val="0"/>
            <w:vAlign w:val="center"/>
          </w:tcPr>
          <w:p>
            <w:pPr>
              <w:spacing w:line="240" w:lineRule="auto"/>
              <w:jc w:val="center"/>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2年</w:t>
            </w:r>
          </w:p>
        </w:tc>
        <w:tc>
          <w:tcPr>
            <w:tcW w:w="1230" w:type="dxa"/>
            <w:noWrap w:val="0"/>
            <w:vAlign w:val="center"/>
          </w:tcPr>
          <w:p>
            <w:pPr>
              <w:spacing w:line="24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u w:val="single"/>
                <w:lang w:val="en-US" w:eastAsia="zh-CN"/>
              </w:rPr>
              <w:t xml:space="preserve">    </w:t>
            </w:r>
            <w:r>
              <w:rPr>
                <w:rFonts w:hint="eastAsia" w:ascii="仿宋" w:hAnsi="仿宋" w:eastAsia="仿宋" w:cs="仿宋_GB2312"/>
                <w:color w:val="auto"/>
                <w:sz w:val="24"/>
                <w:highlight w:val="none"/>
                <w:lang w:eastAsia="zh-CN"/>
              </w:rPr>
              <w:t>（元</w:t>
            </w:r>
            <w:r>
              <w:rPr>
                <w:rFonts w:hint="eastAsia" w:ascii="仿宋" w:hAnsi="仿宋" w:eastAsia="仿宋" w:cs="仿宋_GB2312"/>
                <w:color w:val="auto"/>
                <w:sz w:val="24"/>
                <w:highlight w:val="none"/>
                <w:lang w:val="en-US" w:eastAsia="zh-CN"/>
              </w:rPr>
              <w:t>/吨</w:t>
            </w:r>
            <w:r>
              <w:rPr>
                <w:rFonts w:hint="eastAsia" w:ascii="仿宋" w:hAnsi="仿宋" w:eastAsia="仿宋" w:cs="仿宋_GB2312"/>
                <w:color w:val="auto"/>
                <w:sz w:val="24"/>
                <w:highlight w:val="none"/>
                <w:lang w:eastAsia="zh-CN"/>
              </w:rPr>
              <w:t>）</w:t>
            </w:r>
          </w:p>
        </w:tc>
        <w:tc>
          <w:tcPr>
            <w:tcW w:w="1020" w:type="dxa"/>
            <w:noWrap w:val="0"/>
            <w:vAlign w:val="center"/>
          </w:tcPr>
          <w:p>
            <w:pPr>
              <w:spacing w:line="240" w:lineRule="auto"/>
              <w:jc w:val="center"/>
              <w:rPr>
                <w:rFonts w:hint="eastAsia" w:ascii="仿宋" w:hAnsi="仿宋" w:eastAsia="仿宋" w:cs="仿宋_GB2312"/>
                <w:color w:val="auto"/>
                <w:sz w:val="24"/>
                <w:highlight w:val="none"/>
              </w:rPr>
            </w:pPr>
          </w:p>
        </w:tc>
        <w:tc>
          <w:tcPr>
            <w:tcW w:w="2449" w:type="dxa"/>
            <w:noWrap w:val="0"/>
            <w:vAlign w:val="center"/>
          </w:tcPr>
          <w:p>
            <w:pPr>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eastAsia="zh-CN"/>
              </w:rPr>
              <w:t>垃圾清运地点：</w:t>
            </w:r>
            <w:r>
              <w:rPr>
                <w:rFonts w:hint="eastAsia" w:ascii="仿宋" w:hAnsi="仿宋" w:eastAsia="仿宋" w:cs="仿宋_GB2312"/>
                <w:color w:val="auto"/>
                <w:sz w:val="24"/>
                <w:highlight w:val="none"/>
              </w:rPr>
              <w:t>绍兴市再生能源发展有限公司（必须采用环卫专用压缩车运输）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28" w:type="dxa"/>
            <w:noWrap w:val="0"/>
            <w:vAlign w:val="center"/>
          </w:tcPr>
          <w:p>
            <w:pPr>
              <w:spacing w:line="240" w:lineRule="auto"/>
              <w:jc w:val="center"/>
              <w:rPr>
                <w:rFonts w:hint="default" w:ascii="仿宋" w:hAnsi="仿宋" w:eastAsia="仿宋"/>
                <w:b/>
                <w:color w:val="auto"/>
                <w:sz w:val="24"/>
                <w:highlight w:val="none"/>
                <w:lang w:val="en-US" w:eastAsia="zh-CN"/>
              </w:rPr>
            </w:pPr>
            <w:r>
              <w:rPr>
                <w:rFonts w:hint="eastAsia" w:ascii="仿宋" w:hAnsi="仿宋" w:eastAsia="仿宋"/>
                <w:b/>
                <w:color w:val="auto"/>
                <w:sz w:val="24"/>
                <w:highlight w:val="none"/>
                <w:lang w:val="en-US" w:eastAsia="zh-CN"/>
              </w:rPr>
              <w:t>2</w:t>
            </w:r>
          </w:p>
        </w:tc>
        <w:tc>
          <w:tcPr>
            <w:tcW w:w="2192" w:type="dxa"/>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一般工业垃圾</w:t>
            </w:r>
          </w:p>
        </w:tc>
        <w:tc>
          <w:tcPr>
            <w:tcW w:w="840" w:type="dxa"/>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约</w:t>
            </w:r>
            <w:r>
              <w:rPr>
                <w:rFonts w:hint="eastAsia" w:ascii="仿宋" w:hAnsi="仿宋" w:eastAsia="仿宋" w:cs="仿宋_GB2312"/>
                <w:color w:val="auto"/>
                <w:sz w:val="24"/>
                <w:highlight w:val="none"/>
                <w:lang w:val="en-US" w:eastAsia="zh-CN"/>
              </w:rPr>
              <w:t>30</w:t>
            </w:r>
            <w:r>
              <w:rPr>
                <w:rFonts w:hint="eastAsia" w:ascii="仿宋" w:hAnsi="仿宋" w:eastAsia="仿宋" w:cs="仿宋_GB2312"/>
                <w:color w:val="auto"/>
                <w:sz w:val="24"/>
                <w:highlight w:val="none"/>
              </w:rPr>
              <w:t>00吨/年</w:t>
            </w:r>
          </w:p>
        </w:tc>
        <w:tc>
          <w:tcPr>
            <w:tcW w:w="735" w:type="dxa"/>
            <w:noWrap w:val="0"/>
            <w:vAlign w:val="center"/>
          </w:tcPr>
          <w:p>
            <w:pPr>
              <w:spacing w:line="240" w:lineRule="auto"/>
              <w:jc w:val="center"/>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2年</w:t>
            </w:r>
          </w:p>
        </w:tc>
        <w:tc>
          <w:tcPr>
            <w:tcW w:w="1230" w:type="dxa"/>
            <w:noWrap w:val="0"/>
            <w:vAlign w:val="center"/>
          </w:tcPr>
          <w:p>
            <w:pPr>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u w:val="single"/>
                <w:lang w:val="en-US" w:eastAsia="zh-CN"/>
              </w:rPr>
              <w:t xml:space="preserve">    </w:t>
            </w:r>
            <w:r>
              <w:rPr>
                <w:rFonts w:hint="eastAsia" w:ascii="仿宋" w:hAnsi="仿宋" w:eastAsia="仿宋" w:cs="仿宋_GB2312"/>
                <w:color w:val="auto"/>
                <w:sz w:val="24"/>
                <w:highlight w:val="none"/>
                <w:lang w:eastAsia="zh-CN"/>
              </w:rPr>
              <w:t>（元</w:t>
            </w:r>
            <w:r>
              <w:rPr>
                <w:rFonts w:hint="eastAsia" w:ascii="仿宋" w:hAnsi="仿宋" w:eastAsia="仿宋" w:cs="仿宋_GB2312"/>
                <w:color w:val="auto"/>
                <w:sz w:val="24"/>
                <w:highlight w:val="none"/>
                <w:lang w:val="en-US" w:eastAsia="zh-CN"/>
              </w:rPr>
              <w:t>/吨</w:t>
            </w:r>
            <w:r>
              <w:rPr>
                <w:rFonts w:hint="eastAsia" w:ascii="仿宋" w:hAnsi="仿宋" w:eastAsia="仿宋" w:cs="仿宋_GB2312"/>
                <w:color w:val="auto"/>
                <w:sz w:val="24"/>
                <w:highlight w:val="none"/>
                <w:lang w:eastAsia="zh-CN"/>
              </w:rPr>
              <w:t>）</w:t>
            </w:r>
          </w:p>
        </w:tc>
        <w:tc>
          <w:tcPr>
            <w:tcW w:w="1020" w:type="dxa"/>
            <w:noWrap w:val="0"/>
            <w:vAlign w:val="center"/>
          </w:tcPr>
          <w:p>
            <w:pPr>
              <w:spacing w:line="240" w:lineRule="auto"/>
              <w:jc w:val="center"/>
              <w:rPr>
                <w:rFonts w:hint="eastAsia" w:ascii="仿宋" w:hAnsi="仿宋" w:eastAsia="仿宋" w:cs="仿宋_GB2312"/>
                <w:color w:val="auto"/>
                <w:sz w:val="24"/>
                <w:highlight w:val="none"/>
              </w:rPr>
            </w:pPr>
          </w:p>
        </w:tc>
        <w:tc>
          <w:tcPr>
            <w:tcW w:w="2449" w:type="dxa"/>
            <w:noWrap w:val="0"/>
            <w:vAlign w:val="center"/>
          </w:tcPr>
          <w:p>
            <w:pPr>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一般工业垃圾清运费不得高于120元/吨</w:t>
            </w:r>
            <w:r>
              <w:rPr>
                <w:rFonts w:hint="eastAsia" w:ascii="仿宋" w:hAnsi="仿宋" w:eastAsia="仿宋" w:cs="仿宋_GB2312"/>
                <w:color w:val="auto"/>
                <w:sz w:val="24"/>
                <w:highlight w:val="none"/>
                <w:lang w:eastAsia="zh-CN"/>
              </w:rPr>
              <w:t>；垃圾清运地点：</w:t>
            </w:r>
            <w:r>
              <w:rPr>
                <w:rFonts w:hint="eastAsia" w:ascii="仿宋" w:hAnsi="仿宋" w:eastAsia="仿宋" w:cs="仿宋_GB2312"/>
                <w:color w:val="auto"/>
                <w:sz w:val="24"/>
                <w:highlight w:val="none"/>
              </w:rPr>
              <w:t>绍兴市再生能源发展有限公司（固定车辆专运）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28" w:type="dxa"/>
            <w:noWrap w:val="0"/>
            <w:vAlign w:val="center"/>
          </w:tcPr>
          <w:p>
            <w:pPr>
              <w:spacing w:line="240" w:lineRule="auto"/>
              <w:jc w:val="center"/>
              <w:rPr>
                <w:rFonts w:hint="default" w:ascii="仿宋" w:hAnsi="仿宋" w:eastAsia="仿宋"/>
                <w:b/>
                <w:color w:val="auto"/>
                <w:sz w:val="24"/>
                <w:highlight w:val="none"/>
                <w:lang w:val="en-US" w:eastAsia="zh-CN"/>
              </w:rPr>
            </w:pPr>
            <w:r>
              <w:rPr>
                <w:rFonts w:hint="eastAsia" w:ascii="仿宋" w:hAnsi="仿宋" w:eastAsia="仿宋"/>
                <w:b/>
                <w:color w:val="auto"/>
                <w:sz w:val="24"/>
                <w:highlight w:val="none"/>
                <w:lang w:val="en-US" w:eastAsia="zh-CN"/>
              </w:rPr>
              <w:t>3</w:t>
            </w:r>
          </w:p>
        </w:tc>
        <w:tc>
          <w:tcPr>
            <w:tcW w:w="2192" w:type="dxa"/>
            <w:noWrap w:val="0"/>
            <w:vAlign w:val="center"/>
          </w:tcPr>
          <w:p>
            <w:pPr>
              <w:snapToGrid w:val="0"/>
              <w:spacing w:line="24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eastAsia="zh-CN"/>
              </w:rPr>
              <w:t>湖塘街道集镇及湖塘社区范围内各垃圾点的垃圾定时上门收集服务</w:t>
            </w:r>
          </w:p>
        </w:tc>
        <w:tc>
          <w:tcPr>
            <w:tcW w:w="840" w:type="dxa"/>
            <w:noWrap w:val="0"/>
            <w:vAlign w:val="center"/>
          </w:tcPr>
          <w:p>
            <w:pPr>
              <w:snapToGrid w:val="0"/>
              <w:spacing w:line="240" w:lineRule="auto"/>
              <w:jc w:val="center"/>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w:t>
            </w:r>
          </w:p>
        </w:tc>
        <w:tc>
          <w:tcPr>
            <w:tcW w:w="735" w:type="dxa"/>
            <w:noWrap w:val="0"/>
            <w:vAlign w:val="center"/>
          </w:tcPr>
          <w:p>
            <w:pPr>
              <w:spacing w:line="240" w:lineRule="auto"/>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2年</w:t>
            </w:r>
          </w:p>
        </w:tc>
        <w:tc>
          <w:tcPr>
            <w:tcW w:w="1230" w:type="dxa"/>
            <w:noWrap w:val="0"/>
            <w:vAlign w:val="center"/>
          </w:tcPr>
          <w:p>
            <w:pPr>
              <w:spacing w:line="240" w:lineRule="auto"/>
              <w:jc w:val="center"/>
              <w:rPr>
                <w:rFonts w:hint="default" w:ascii="仿宋" w:hAnsi="仿宋" w:eastAsia="仿宋" w:cs="仿宋_GB2312"/>
                <w:color w:val="auto"/>
                <w:sz w:val="24"/>
                <w:highlight w:val="none"/>
                <w:u w:val="single"/>
                <w:lang w:val="en-US" w:eastAsia="zh-CN"/>
              </w:rPr>
            </w:pPr>
            <w:r>
              <w:rPr>
                <w:rFonts w:hint="eastAsia" w:ascii="仿宋" w:hAnsi="仿宋" w:eastAsia="仿宋" w:cs="仿宋_GB2312"/>
                <w:color w:val="auto"/>
                <w:sz w:val="24"/>
                <w:highlight w:val="none"/>
                <w:u w:val="single"/>
                <w:lang w:val="en-US" w:eastAsia="zh-CN"/>
              </w:rPr>
              <w:t xml:space="preserve">    </w:t>
            </w:r>
            <w:r>
              <w:rPr>
                <w:rFonts w:hint="eastAsia" w:ascii="仿宋" w:hAnsi="仿宋" w:eastAsia="仿宋" w:cs="仿宋_GB2312"/>
                <w:color w:val="auto"/>
                <w:sz w:val="24"/>
                <w:highlight w:val="none"/>
                <w:lang w:eastAsia="zh-CN"/>
              </w:rPr>
              <w:t>（元</w:t>
            </w:r>
            <w:r>
              <w:rPr>
                <w:rFonts w:hint="eastAsia" w:ascii="仿宋" w:hAnsi="仿宋" w:eastAsia="仿宋" w:cs="仿宋_GB2312"/>
                <w:color w:val="auto"/>
                <w:sz w:val="24"/>
                <w:highlight w:val="none"/>
                <w:lang w:val="en-US" w:eastAsia="zh-CN"/>
              </w:rPr>
              <w:t>/年</w:t>
            </w:r>
            <w:r>
              <w:rPr>
                <w:rFonts w:hint="eastAsia" w:ascii="仿宋" w:hAnsi="仿宋" w:eastAsia="仿宋" w:cs="仿宋_GB2312"/>
                <w:color w:val="auto"/>
                <w:sz w:val="24"/>
                <w:highlight w:val="none"/>
                <w:lang w:eastAsia="zh-CN"/>
              </w:rPr>
              <w:t>）</w:t>
            </w:r>
          </w:p>
        </w:tc>
        <w:tc>
          <w:tcPr>
            <w:tcW w:w="1020" w:type="dxa"/>
            <w:noWrap w:val="0"/>
            <w:vAlign w:val="center"/>
          </w:tcPr>
          <w:p>
            <w:pPr>
              <w:spacing w:line="240" w:lineRule="auto"/>
              <w:jc w:val="center"/>
              <w:rPr>
                <w:rFonts w:hint="eastAsia" w:ascii="仿宋" w:hAnsi="仿宋" w:eastAsia="仿宋" w:cs="仿宋_GB2312"/>
                <w:color w:val="auto"/>
                <w:sz w:val="24"/>
                <w:highlight w:val="none"/>
                <w:lang w:val="en-US" w:eastAsia="zh-CN"/>
              </w:rPr>
            </w:pPr>
          </w:p>
        </w:tc>
        <w:tc>
          <w:tcPr>
            <w:tcW w:w="2449" w:type="dxa"/>
            <w:noWrap w:val="0"/>
            <w:vAlign w:val="center"/>
          </w:tcPr>
          <w:p>
            <w:pPr>
              <w:spacing w:line="240" w:lineRule="auto"/>
              <w:jc w:val="center"/>
              <w:rPr>
                <w:rFonts w:hint="eastAsia"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994" w:type="dxa"/>
            <w:gridSpan w:val="7"/>
            <w:noWrap w:val="0"/>
            <w:vAlign w:val="center"/>
          </w:tcPr>
          <w:p>
            <w:pPr>
              <w:spacing w:line="240" w:lineRule="auto"/>
              <w:jc w:val="left"/>
              <w:rPr>
                <w:rFonts w:hint="eastAsia" w:ascii="仿宋" w:hAnsi="仿宋" w:eastAsia="仿宋"/>
                <w:b/>
                <w:color w:val="auto"/>
                <w:sz w:val="24"/>
                <w:highlight w:val="none"/>
              </w:rPr>
            </w:pPr>
            <w:r>
              <w:rPr>
                <w:rFonts w:hint="eastAsia" w:ascii="仿宋" w:hAnsi="仿宋" w:eastAsia="仿宋"/>
                <w:b/>
                <w:color w:val="auto"/>
                <w:sz w:val="24"/>
                <w:highlight w:val="none"/>
              </w:rPr>
              <w:t>投标总价合计金额大写：                         小写： ￥</w:t>
            </w:r>
            <w:r>
              <w:rPr>
                <w:rFonts w:hint="eastAsia" w:ascii="仿宋" w:hAnsi="仿宋" w:eastAsia="仿宋"/>
                <w:b/>
                <w:color w:val="auto"/>
                <w:sz w:val="24"/>
                <w:highlight w:val="none"/>
                <w:u w:val="single"/>
              </w:rPr>
              <w:t xml:space="preserve">         </w:t>
            </w:r>
            <w:r>
              <w:rPr>
                <w:rFonts w:hint="eastAsia" w:ascii="仿宋" w:hAnsi="仿宋" w:eastAsia="仿宋"/>
                <w:b/>
                <w:color w:val="auto"/>
                <w:sz w:val="24"/>
                <w:highlight w:val="none"/>
              </w:rPr>
              <w:t xml:space="preserve">                                                    </w:t>
            </w:r>
          </w:p>
        </w:tc>
      </w:tr>
    </w:tbl>
    <w:p>
      <w:pPr>
        <w:keepNext w:val="0"/>
        <w:keepLines w:val="0"/>
        <w:pageBreakBefore w:val="0"/>
        <w:widowControl w:val="0"/>
        <w:kinsoku/>
        <w:wordWrap/>
        <w:overflowPunct/>
        <w:topLinePunct w:val="0"/>
        <w:autoSpaceDE/>
        <w:autoSpaceDN/>
        <w:bidi w:val="0"/>
        <w:adjustRightInd w:val="0"/>
        <w:snapToGrid/>
        <w:spacing w:line="440" w:lineRule="exact"/>
        <w:ind w:left="480"/>
        <w:textAlignment w:val="auto"/>
        <w:rPr>
          <w:rFonts w:hint="eastAsia" w:ascii="仿宋" w:hAnsi="仿宋" w:eastAsia="仿宋" w:cs="仿宋_GB2312"/>
          <w:b/>
          <w:color w:val="auto"/>
          <w:kern w:val="0"/>
          <w:sz w:val="24"/>
          <w:szCs w:val="24"/>
          <w:highlight w:val="none"/>
          <w:lang w:val="zh-CN"/>
        </w:rPr>
      </w:pPr>
      <w:r>
        <w:rPr>
          <w:rFonts w:hint="eastAsia" w:ascii="仿宋" w:hAnsi="仿宋" w:eastAsia="仿宋" w:cs="仿宋_GB2312"/>
          <w:b/>
          <w:color w:val="auto"/>
          <w:kern w:val="0"/>
          <w:sz w:val="24"/>
          <w:szCs w:val="24"/>
          <w:highlight w:val="none"/>
          <w:lang w:val="zh-CN"/>
        </w:rPr>
        <w:t>注：</w:t>
      </w:r>
    </w:p>
    <w:p>
      <w:pPr>
        <w:keepNext w:val="0"/>
        <w:keepLines w:val="0"/>
        <w:pageBreakBefore w:val="0"/>
        <w:widowControl w:val="0"/>
        <w:kinsoku/>
        <w:wordWrap/>
        <w:overflowPunct/>
        <w:topLinePunct w:val="0"/>
        <w:autoSpaceDE/>
        <w:autoSpaceDN/>
        <w:bidi w:val="0"/>
        <w:adjustRightInd w:val="0"/>
        <w:snapToGrid/>
        <w:spacing w:line="440" w:lineRule="exact"/>
        <w:ind w:left="-2" w:leftChars="-1" w:firstLine="480" w:firstLineChars="200"/>
        <w:textAlignment w:val="auto"/>
        <w:rPr>
          <w:rFonts w:hint="eastAsia" w:ascii="仿宋" w:hAnsi="仿宋" w:eastAsia="仿宋" w:cs="仿宋_GB2312"/>
          <w:color w:val="auto"/>
          <w:kern w:val="0"/>
          <w:sz w:val="24"/>
          <w:szCs w:val="24"/>
          <w:highlight w:val="none"/>
          <w:lang w:val="zh-CN"/>
        </w:rPr>
      </w:pPr>
      <w:r>
        <w:rPr>
          <w:rFonts w:hint="eastAsia" w:ascii="仿宋" w:hAnsi="仿宋" w:eastAsia="仿宋" w:cs="仿宋_GB2312"/>
          <w:color w:val="auto"/>
          <w:kern w:val="0"/>
          <w:sz w:val="24"/>
          <w:szCs w:val="24"/>
          <w:highlight w:val="none"/>
          <w:lang w:val="zh-CN"/>
        </w:rPr>
        <w:t>1、综合单价为包含所有相关费用的单价。</w:t>
      </w:r>
    </w:p>
    <w:p>
      <w:pPr>
        <w:keepNext w:val="0"/>
        <w:keepLines w:val="0"/>
        <w:pageBreakBefore w:val="0"/>
        <w:widowControl w:val="0"/>
        <w:kinsoku/>
        <w:wordWrap/>
        <w:overflowPunct/>
        <w:topLinePunct w:val="0"/>
        <w:autoSpaceDE/>
        <w:autoSpaceDN/>
        <w:bidi w:val="0"/>
        <w:adjustRightInd w:val="0"/>
        <w:snapToGrid/>
        <w:spacing w:line="440" w:lineRule="exact"/>
        <w:ind w:left="-2" w:leftChars="-1" w:firstLine="480" w:firstLineChars="200"/>
        <w:textAlignment w:val="auto"/>
        <w:rPr>
          <w:rFonts w:hint="eastAsia" w:ascii="仿宋" w:hAnsi="仿宋" w:eastAsia="仿宋" w:cs="仿宋_GB2312"/>
          <w:color w:val="auto"/>
          <w:kern w:val="0"/>
          <w:sz w:val="24"/>
          <w:szCs w:val="24"/>
          <w:highlight w:val="none"/>
          <w:lang w:val="zh-CN"/>
        </w:rPr>
      </w:pPr>
      <w:r>
        <w:rPr>
          <w:rFonts w:hint="eastAsia" w:ascii="仿宋" w:hAnsi="仿宋" w:eastAsia="仿宋" w:cs="仿宋_GB2312"/>
          <w:color w:val="auto"/>
          <w:kern w:val="0"/>
          <w:sz w:val="24"/>
          <w:szCs w:val="24"/>
          <w:highlight w:val="none"/>
          <w:lang w:val="en-US" w:eastAsia="zh-CN"/>
        </w:rPr>
        <w:t>2、</w:t>
      </w:r>
      <w:r>
        <w:rPr>
          <w:rFonts w:hint="eastAsia" w:ascii="仿宋" w:hAnsi="仿宋" w:eastAsia="仿宋" w:cs="仿宋_GB2312"/>
          <w:color w:val="auto"/>
          <w:kern w:val="0"/>
          <w:sz w:val="24"/>
          <w:szCs w:val="24"/>
          <w:highlight w:val="none"/>
          <w:lang w:val="zh-CN"/>
        </w:rPr>
        <w:t>以上工程量为暂定数量，结算时按实际运输量结算。</w:t>
      </w:r>
    </w:p>
    <w:p>
      <w:pPr>
        <w:keepNext w:val="0"/>
        <w:keepLines w:val="0"/>
        <w:pageBreakBefore w:val="0"/>
        <w:widowControl w:val="0"/>
        <w:kinsoku/>
        <w:wordWrap/>
        <w:overflowPunct/>
        <w:topLinePunct w:val="0"/>
        <w:autoSpaceDE/>
        <w:autoSpaceDN/>
        <w:bidi w:val="0"/>
        <w:adjustRightInd w:val="0"/>
        <w:snapToGrid/>
        <w:spacing w:line="440" w:lineRule="exact"/>
        <w:ind w:left="-2" w:leftChars="-1" w:firstLine="480" w:firstLineChars="200"/>
        <w:textAlignment w:val="auto"/>
        <w:rPr>
          <w:rFonts w:hint="eastAsia" w:ascii="仿宋" w:hAnsi="仿宋" w:eastAsia="仿宋" w:cs="仿宋_GB2312"/>
          <w:color w:val="auto"/>
          <w:kern w:val="0"/>
          <w:sz w:val="24"/>
          <w:szCs w:val="24"/>
          <w:highlight w:val="none"/>
          <w:lang w:val="zh-CN"/>
        </w:rPr>
      </w:pPr>
      <w:r>
        <w:rPr>
          <w:rFonts w:hint="eastAsia" w:ascii="仿宋" w:hAnsi="仿宋" w:eastAsia="仿宋" w:cs="仿宋_GB2312"/>
          <w:color w:val="auto"/>
          <w:kern w:val="0"/>
          <w:sz w:val="24"/>
          <w:szCs w:val="24"/>
          <w:highlight w:val="none"/>
          <w:lang w:val="en-US" w:eastAsia="zh-CN"/>
        </w:rPr>
        <w:t>3、</w:t>
      </w:r>
      <w:r>
        <w:rPr>
          <w:rFonts w:hint="eastAsia" w:ascii="仿宋" w:hAnsi="仿宋" w:eastAsia="仿宋" w:cs="仿宋_GB2312"/>
          <w:color w:val="auto"/>
          <w:kern w:val="0"/>
          <w:sz w:val="24"/>
          <w:szCs w:val="24"/>
          <w:highlight w:val="none"/>
          <w:lang w:val="zh-CN"/>
        </w:rPr>
        <w:t>部分垃圾将按招标人要求清运至平水大坞岙，因数量较少，故不再单列报价，综合单价参照滨海方向的综合单价。</w:t>
      </w:r>
    </w:p>
    <w:p>
      <w:pPr>
        <w:keepNext w:val="0"/>
        <w:keepLines w:val="0"/>
        <w:pageBreakBefore w:val="0"/>
        <w:widowControl w:val="0"/>
        <w:kinsoku/>
        <w:wordWrap/>
        <w:overflowPunct/>
        <w:topLinePunct w:val="0"/>
        <w:autoSpaceDE/>
        <w:autoSpaceDN/>
        <w:bidi w:val="0"/>
        <w:adjustRightInd w:val="0"/>
        <w:snapToGrid/>
        <w:spacing w:line="440" w:lineRule="exact"/>
        <w:ind w:left="-2" w:leftChars="-1" w:firstLine="480" w:firstLineChars="200"/>
        <w:textAlignment w:val="auto"/>
        <w:rPr>
          <w:rFonts w:hint="eastAsia" w:ascii="仿宋" w:hAnsi="仿宋" w:eastAsia="仿宋" w:cs="仿宋_GB2312"/>
          <w:color w:val="auto"/>
          <w:kern w:val="0"/>
          <w:sz w:val="24"/>
          <w:szCs w:val="24"/>
          <w:highlight w:val="none"/>
          <w:lang w:val="zh-CN"/>
        </w:rPr>
      </w:pPr>
      <w:r>
        <w:rPr>
          <w:rFonts w:hint="eastAsia" w:ascii="仿宋" w:hAnsi="仿宋" w:eastAsia="仿宋" w:cs="仿宋_GB2312"/>
          <w:color w:val="auto"/>
          <w:kern w:val="0"/>
          <w:sz w:val="24"/>
          <w:szCs w:val="24"/>
          <w:highlight w:val="none"/>
          <w:lang w:val="en-US" w:eastAsia="zh-CN"/>
        </w:rPr>
        <w:t>4、</w:t>
      </w:r>
      <w:r>
        <w:rPr>
          <w:rFonts w:hint="eastAsia" w:ascii="仿宋" w:hAnsi="仿宋" w:eastAsia="仿宋" w:cs="仿宋_GB2312"/>
          <w:color w:val="auto"/>
          <w:kern w:val="0"/>
          <w:sz w:val="24"/>
          <w:szCs w:val="24"/>
          <w:highlight w:val="none"/>
          <w:lang w:val="zh-CN"/>
        </w:rPr>
        <w:t>一般工业垃圾清运数量按照实际运输量结算。街道指定收运的一般工业垃圾按生活垃圾计费支付。</w:t>
      </w:r>
    </w:p>
    <w:p>
      <w:pPr>
        <w:keepNext w:val="0"/>
        <w:keepLines w:val="0"/>
        <w:pageBreakBefore w:val="0"/>
        <w:widowControl w:val="0"/>
        <w:kinsoku/>
        <w:wordWrap/>
        <w:overflowPunct/>
        <w:topLinePunct w:val="0"/>
        <w:autoSpaceDE/>
        <w:autoSpaceDN/>
        <w:bidi w:val="0"/>
        <w:adjustRightInd/>
        <w:snapToGrid/>
        <w:spacing w:line="440" w:lineRule="exact"/>
        <w:ind w:left="0" w:leftChars="0" w:right="0" w:firstLine="480" w:firstLineChars="200"/>
        <w:textAlignment w:val="auto"/>
        <w:rPr>
          <w:rFonts w:hint="eastAsia" w:ascii="仿宋" w:hAnsi="仿宋" w:eastAsia="仿宋" w:cs="仿宋_GB2312"/>
          <w:color w:val="auto"/>
          <w:kern w:val="0"/>
          <w:sz w:val="24"/>
          <w:szCs w:val="24"/>
          <w:highlight w:val="none"/>
          <w:lang w:val="zh-CN"/>
        </w:rPr>
      </w:pPr>
      <w:r>
        <w:rPr>
          <w:rFonts w:hint="eastAsia" w:ascii="仿宋" w:hAnsi="仿宋" w:eastAsia="仿宋" w:cs="仿宋_GB2312"/>
          <w:color w:val="auto"/>
          <w:kern w:val="0"/>
          <w:sz w:val="24"/>
          <w:szCs w:val="24"/>
          <w:highlight w:val="none"/>
          <w:lang w:val="en-US" w:eastAsia="zh-CN"/>
        </w:rPr>
        <w:t>5</w:t>
      </w:r>
      <w:r>
        <w:rPr>
          <w:rFonts w:hint="eastAsia" w:ascii="仿宋" w:hAnsi="仿宋" w:eastAsia="仿宋" w:cs="仿宋_GB2312"/>
          <w:color w:val="auto"/>
          <w:kern w:val="0"/>
          <w:sz w:val="24"/>
          <w:szCs w:val="24"/>
          <w:highlight w:val="none"/>
          <w:lang w:val="zh-CN"/>
        </w:rPr>
        <w:t>、投标人需按本表格式填写，不得自行更</w:t>
      </w:r>
      <w:r>
        <w:rPr>
          <w:rFonts w:hint="eastAsia" w:ascii="仿宋" w:hAnsi="仿宋" w:eastAsia="仿宋"/>
          <w:color w:val="auto"/>
          <w:sz w:val="24"/>
          <w:szCs w:val="24"/>
          <w:highlight w:val="none"/>
        </w:rPr>
        <w:t>改，如无对应内容，则填写：“无或/”。</w:t>
      </w:r>
    </w:p>
    <w:p>
      <w:pPr>
        <w:keepNext w:val="0"/>
        <w:keepLines w:val="0"/>
        <w:pageBreakBefore w:val="0"/>
        <w:widowControl w:val="0"/>
        <w:kinsoku/>
        <w:wordWrap/>
        <w:overflowPunct/>
        <w:topLinePunct w:val="0"/>
        <w:autoSpaceDE/>
        <w:autoSpaceDN/>
        <w:bidi w:val="0"/>
        <w:adjustRightInd/>
        <w:snapToGrid/>
        <w:spacing w:line="440" w:lineRule="exact"/>
        <w:ind w:left="0" w:leftChars="0" w:right="0" w:firstLine="480" w:firstLineChars="200"/>
        <w:textAlignment w:val="auto"/>
        <w:rPr>
          <w:rFonts w:hint="eastAsia" w:ascii="仿宋" w:hAnsi="仿宋" w:eastAsia="仿宋"/>
          <w:color w:val="auto"/>
          <w:sz w:val="24"/>
          <w:szCs w:val="24"/>
          <w:highlight w:val="none"/>
        </w:rPr>
      </w:pPr>
      <w:r>
        <w:rPr>
          <w:rFonts w:hint="eastAsia" w:ascii="仿宋" w:hAnsi="仿宋" w:eastAsia="仿宋" w:cs="仿宋_GB2312"/>
          <w:color w:val="auto"/>
          <w:kern w:val="0"/>
          <w:sz w:val="24"/>
          <w:szCs w:val="24"/>
          <w:highlight w:val="none"/>
          <w:lang w:val="en-US" w:eastAsia="zh-CN"/>
        </w:rPr>
        <w:t>6</w:t>
      </w:r>
      <w:r>
        <w:rPr>
          <w:rFonts w:hint="eastAsia" w:ascii="仿宋" w:hAnsi="仿宋" w:eastAsia="仿宋" w:cs="仿宋_GB2312"/>
          <w:color w:val="auto"/>
          <w:kern w:val="0"/>
          <w:sz w:val="24"/>
          <w:szCs w:val="24"/>
          <w:highlight w:val="none"/>
          <w:lang w:val="zh-CN"/>
        </w:rPr>
        <w:t>、有关本项目实施所涉及的一切费用（详见前附表）均计入报价。</w:t>
      </w:r>
    </w:p>
    <w:p>
      <w:pPr>
        <w:keepNext w:val="0"/>
        <w:keepLines w:val="0"/>
        <w:pageBreakBefore w:val="0"/>
        <w:widowControl w:val="0"/>
        <w:kinsoku/>
        <w:wordWrap/>
        <w:overflowPunct/>
        <w:topLinePunct w:val="0"/>
        <w:autoSpaceDE/>
        <w:autoSpaceDN/>
        <w:bidi w:val="0"/>
        <w:adjustRightInd/>
        <w:snapToGrid/>
        <w:spacing w:line="440" w:lineRule="exact"/>
        <w:ind w:left="0" w:leftChars="0" w:right="0" w:firstLine="480" w:firstLineChars="200"/>
        <w:jc w:val="both"/>
        <w:textAlignment w:val="auto"/>
        <w:rPr>
          <w:rFonts w:hint="eastAsia" w:ascii="仿宋" w:hAnsi="仿宋" w:eastAsia="仿宋" w:cs="仿宋_GB2312"/>
          <w:color w:val="auto"/>
          <w:kern w:val="0"/>
          <w:sz w:val="24"/>
          <w:szCs w:val="24"/>
          <w:highlight w:val="none"/>
          <w:lang w:val="zh-CN"/>
        </w:rPr>
      </w:pPr>
      <w:r>
        <w:rPr>
          <w:rFonts w:hint="eastAsia" w:ascii="仿宋" w:hAnsi="仿宋" w:eastAsia="仿宋" w:cs="仿宋_GB2312"/>
          <w:color w:val="auto"/>
          <w:kern w:val="0"/>
          <w:sz w:val="24"/>
          <w:szCs w:val="24"/>
          <w:highlight w:val="none"/>
          <w:lang w:val="en-US" w:eastAsia="zh-CN"/>
        </w:rPr>
        <w:t>7</w:t>
      </w:r>
      <w:r>
        <w:rPr>
          <w:rFonts w:hint="eastAsia" w:ascii="仿宋" w:hAnsi="仿宋" w:eastAsia="仿宋" w:cs="仿宋_GB2312"/>
          <w:color w:val="auto"/>
          <w:kern w:val="0"/>
          <w:sz w:val="24"/>
          <w:szCs w:val="24"/>
          <w:highlight w:val="none"/>
          <w:lang w:val="zh-CN"/>
        </w:rPr>
        <w:t>、特别提示：采购代理机构将对项目名称和项目编号，中标供应商名称、地址和中标金额，主要中标标的的名称、规格型号、数量、单价、服务要求等予以公示。</w:t>
      </w:r>
    </w:p>
    <w:p>
      <w:pPr>
        <w:keepNext w:val="0"/>
        <w:keepLines w:val="0"/>
        <w:pageBreakBefore w:val="0"/>
        <w:widowControl w:val="0"/>
        <w:kinsoku/>
        <w:wordWrap/>
        <w:overflowPunct/>
        <w:topLinePunct w:val="0"/>
        <w:autoSpaceDE/>
        <w:autoSpaceDN/>
        <w:bidi w:val="0"/>
        <w:adjustRightInd/>
        <w:snapToGrid/>
        <w:spacing w:line="440" w:lineRule="exact"/>
        <w:ind w:left="0" w:leftChars="0" w:right="0" w:firstLine="3600" w:firstLineChars="1500"/>
        <w:jc w:val="both"/>
        <w:textAlignment w:val="auto"/>
        <w:rPr>
          <w:rFonts w:hint="eastAsia"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投标人名称（电子签名）：</w:t>
      </w:r>
    </w:p>
    <w:p>
      <w:pPr>
        <w:keepNext w:val="0"/>
        <w:keepLines w:val="0"/>
        <w:pageBreakBefore w:val="0"/>
        <w:widowControl w:val="0"/>
        <w:kinsoku/>
        <w:wordWrap/>
        <w:overflowPunct/>
        <w:topLinePunct w:val="0"/>
        <w:autoSpaceDE/>
        <w:autoSpaceDN/>
        <w:bidi w:val="0"/>
        <w:adjustRightInd/>
        <w:snapToGrid/>
        <w:spacing w:line="440" w:lineRule="exact"/>
        <w:ind w:left="0" w:leftChars="0" w:right="0" w:firstLine="3600" w:firstLineChars="1500"/>
        <w:jc w:val="both"/>
        <w:textAlignment w:val="auto"/>
        <w:rPr>
          <w:rFonts w:hint="eastAsia"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日期：  年   月   日</w:t>
      </w:r>
      <w:bookmarkEnd w:id="446"/>
    </w:p>
    <w:p>
      <w:pPr>
        <w:pStyle w:val="588"/>
        <w:keepNext w:val="0"/>
        <w:pageBreakBefore w:val="0"/>
        <w:tabs>
          <w:tab w:val="clear" w:pos="720"/>
        </w:tabs>
        <w:snapToGrid w:val="0"/>
        <w:spacing w:before="240"/>
        <w:outlineLvl w:val="9"/>
        <w:rPr>
          <w:rFonts w:hint="eastAsia" w:ascii="仿宋" w:hAnsi="仿宋" w:eastAsia="仿宋" w:cs="仿宋_GB2312"/>
          <w:color w:val="auto"/>
          <w:kern w:val="2"/>
          <w:sz w:val="32"/>
          <w:szCs w:val="32"/>
          <w:highlight w:val="none"/>
        </w:rPr>
      </w:pPr>
      <w:r>
        <w:rPr>
          <w:rFonts w:hint="eastAsia" w:ascii="仿宋" w:hAnsi="仿宋" w:eastAsia="仿宋" w:cs="仿宋_GB2312"/>
          <w:color w:val="auto"/>
          <w:sz w:val="24"/>
          <w:szCs w:val="24"/>
          <w:highlight w:val="none"/>
        </w:rPr>
        <w:br w:type="page"/>
      </w:r>
      <w:r>
        <w:rPr>
          <w:rFonts w:hint="eastAsia" w:ascii="仿宋" w:hAnsi="仿宋" w:eastAsia="仿宋" w:cs="仿宋_GB2312"/>
          <w:color w:val="auto"/>
          <w:kern w:val="2"/>
          <w:sz w:val="32"/>
          <w:szCs w:val="32"/>
          <w:highlight w:val="none"/>
          <w:lang w:eastAsia="zh-CN"/>
        </w:rPr>
        <w:t>二</w:t>
      </w:r>
      <w:r>
        <w:rPr>
          <w:rFonts w:hint="eastAsia" w:ascii="仿宋" w:hAnsi="仿宋" w:eastAsia="仿宋" w:cs="仿宋_GB2312"/>
          <w:color w:val="auto"/>
          <w:kern w:val="2"/>
          <w:sz w:val="32"/>
          <w:szCs w:val="32"/>
          <w:highlight w:val="none"/>
        </w:rPr>
        <w:t>、中小企业声明函（如有）</w:t>
      </w:r>
    </w:p>
    <w:p>
      <w:pPr>
        <w:spacing w:line="440" w:lineRule="exact"/>
        <w:ind w:firstLine="360" w:firstLineChars="150"/>
        <w:jc w:val="left"/>
        <w:rPr>
          <w:rFonts w:ascii="仿宋" w:hAnsi="仿宋" w:eastAsia="仿宋"/>
          <w:color w:val="auto"/>
          <w:sz w:val="24"/>
          <w:highlight w:val="none"/>
        </w:rPr>
      </w:pPr>
      <w:r>
        <w:rPr>
          <w:rFonts w:hint="eastAsia" w:ascii="仿宋" w:hAnsi="仿宋" w:eastAsia="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olor w:val="auto"/>
          <w:sz w:val="24"/>
          <w:highlight w:val="none"/>
          <w:u w:val="single"/>
        </w:rPr>
        <w:t>（单位名称）</w:t>
      </w:r>
      <w:r>
        <w:rPr>
          <w:rFonts w:hint="eastAsia" w:ascii="仿宋" w:hAnsi="仿宋" w:eastAsia="仿宋"/>
          <w:color w:val="auto"/>
          <w:sz w:val="24"/>
          <w:highlight w:val="none"/>
        </w:rPr>
        <w:t xml:space="preserve"> 的 </w:t>
      </w:r>
      <w:r>
        <w:rPr>
          <w:rFonts w:hint="eastAsia" w:ascii="仿宋" w:hAnsi="仿宋" w:eastAsia="仿宋"/>
          <w:color w:val="auto"/>
          <w:sz w:val="24"/>
          <w:highlight w:val="none"/>
          <w:u w:val="single"/>
        </w:rPr>
        <w:t>（项目名称）</w:t>
      </w:r>
      <w:r>
        <w:rPr>
          <w:rFonts w:hint="eastAsia" w:ascii="仿宋" w:hAnsi="仿宋" w:eastAsia="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1.</w:t>
      </w:r>
      <w:r>
        <w:rPr>
          <w:rFonts w:hint="eastAsia" w:ascii="仿宋" w:hAnsi="仿宋" w:eastAsia="仿宋"/>
          <w:color w:val="auto"/>
          <w:sz w:val="24"/>
          <w:highlight w:val="none"/>
          <w:u w:val="single"/>
        </w:rPr>
        <w:t>（标的名称）</w:t>
      </w:r>
      <w:r>
        <w:rPr>
          <w:rFonts w:hint="eastAsia" w:ascii="仿宋" w:hAnsi="仿宋" w:eastAsia="仿宋"/>
          <w:color w:val="auto"/>
          <w:sz w:val="24"/>
          <w:highlight w:val="none"/>
        </w:rPr>
        <w:t xml:space="preserve"> ，属于 </w:t>
      </w:r>
      <w:r>
        <w:rPr>
          <w:rFonts w:hint="eastAsia" w:ascii="仿宋" w:hAnsi="仿宋" w:eastAsia="仿宋"/>
          <w:color w:val="auto"/>
          <w:sz w:val="24"/>
          <w:highlight w:val="none"/>
          <w:u w:val="single"/>
        </w:rPr>
        <w:t>（采购文件中明确的所属行业）</w:t>
      </w:r>
      <w:r>
        <w:rPr>
          <w:rFonts w:hint="eastAsia"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hint="eastAsia" w:ascii="仿宋" w:hAnsi="仿宋" w:eastAsia="仿宋"/>
          <w:color w:val="auto"/>
          <w:sz w:val="24"/>
          <w:highlight w:val="none"/>
        </w:rPr>
        <w:t xml:space="preserve"> ，从业人员</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人，营业收入为</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万元，资产总额为</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万元，属于</w:t>
      </w:r>
      <w:r>
        <w:rPr>
          <w:rFonts w:hint="eastAsia"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2.</w:t>
      </w:r>
      <w:r>
        <w:rPr>
          <w:rFonts w:hint="eastAsia" w:ascii="仿宋" w:hAnsi="仿宋" w:eastAsia="仿宋"/>
          <w:color w:val="auto"/>
          <w:sz w:val="24"/>
          <w:highlight w:val="none"/>
          <w:u w:val="single"/>
        </w:rPr>
        <w:t xml:space="preserve">（标的名称） </w:t>
      </w:r>
      <w:r>
        <w:rPr>
          <w:rFonts w:hint="eastAsia" w:ascii="仿宋" w:hAnsi="仿宋" w:eastAsia="仿宋"/>
          <w:color w:val="auto"/>
          <w:sz w:val="24"/>
          <w:highlight w:val="none"/>
        </w:rPr>
        <w:t xml:space="preserve">，属于 </w:t>
      </w:r>
      <w:r>
        <w:rPr>
          <w:rFonts w:hint="eastAsia" w:ascii="仿宋" w:hAnsi="仿宋" w:eastAsia="仿宋"/>
          <w:color w:val="auto"/>
          <w:sz w:val="24"/>
          <w:highlight w:val="none"/>
          <w:u w:val="single"/>
        </w:rPr>
        <w:t>（采购文件中明确的所属行业）</w:t>
      </w:r>
      <w:r>
        <w:rPr>
          <w:rFonts w:hint="eastAsia"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hint="eastAsia" w:ascii="仿宋" w:hAnsi="仿宋" w:eastAsia="仿宋"/>
          <w:color w:val="auto"/>
          <w:sz w:val="24"/>
          <w:highlight w:val="none"/>
        </w:rPr>
        <w:t xml:space="preserve"> ，从业人员</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人，营业收入为</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万元，资产总额为</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 xml:space="preserve">万元，属于 </w:t>
      </w:r>
      <w:r>
        <w:rPr>
          <w:rFonts w:hint="eastAsia" w:ascii="仿宋" w:hAnsi="仿宋" w:eastAsia="仿宋"/>
          <w:color w:val="auto"/>
          <w:sz w:val="24"/>
          <w:highlight w:val="none"/>
          <w:u w:val="single"/>
        </w:rPr>
        <w:t>（中型企业、小型企业、微型企业）</w:t>
      </w:r>
      <w:r>
        <w:rPr>
          <w:rFonts w:hint="eastAsia" w:ascii="仿宋" w:hAnsi="仿宋" w:eastAsia="仿宋"/>
          <w:color w:val="auto"/>
          <w:sz w:val="24"/>
          <w:highlight w:val="none"/>
        </w:rPr>
        <w:t xml:space="preserve"> ；</w:t>
      </w:r>
    </w:p>
    <w:p>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w:t>
      </w:r>
    </w:p>
    <w:p>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以上企业，不属于大企业的分支机构，不存在控股股东为大企业的情形，也不存在与大企业的负责人为同一人的情形。</w:t>
      </w:r>
    </w:p>
    <w:p>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本企业对上述声明内容的真实性负责。如有虚假，将依法承担相应责任。</w:t>
      </w:r>
    </w:p>
    <w:p>
      <w:pPr>
        <w:spacing w:line="440" w:lineRule="exact"/>
        <w:ind w:right="1040"/>
        <w:jc w:val="right"/>
        <w:rPr>
          <w:rFonts w:ascii="仿宋" w:hAnsi="仿宋" w:eastAsia="仿宋"/>
          <w:color w:val="auto"/>
          <w:sz w:val="24"/>
          <w:highlight w:val="none"/>
        </w:rPr>
      </w:pPr>
      <w:r>
        <w:rPr>
          <w:rFonts w:hint="eastAsia" w:ascii="仿宋" w:hAnsi="仿宋" w:eastAsia="仿宋" w:cs="仿宋_GB2312"/>
          <w:color w:val="auto"/>
          <w:sz w:val="24"/>
          <w:highlight w:val="none"/>
        </w:rPr>
        <w:t>投标人</w:t>
      </w:r>
      <w:r>
        <w:rPr>
          <w:rFonts w:hint="eastAsia" w:ascii="仿宋" w:hAnsi="仿宋" w:eastAsia="仿宋"/>
          <w:color w:val="auto"/>
          <w:sz w:val="24"/>
          <w:highlight w:val="none"/>
        </w:rPr>
        <w:t xml:space="preserve">名称（ </w:t>
      </w:r>
      <w:r>
        <w:rPr>
          <w:rFonts w:hint="eastAsia" w:ascii="仿宋" w:hAnsi="仿宋" w:eastAsia="仿宋" w:cs="仿宋_GB2312"/>
          <w:color w:val="auto"/>
          <w:sz w:val="24"/>
          <w:highlight w:val="none"/>
        </w:rPr>
        <w:t>电子签名</w:t>
      </w:r>
      <w:r>
        <w:rPr>
          <w:rFonts w:hint="eastAsia" w:ascii="仿宋" w:hAnsi="仿宋" w:eastAsia="仿宋"/>
          <w:color w:val="auto"/>
          <w:sz w:val="24"/>
          <w:highlight w:val="none"/>
        </w:rPr>
        <w:t>）：</w:t>
      </w:r>
    </w:p>
    <w:p>
      <w:pPr>
        <w:spacing w:line="440" w:lineRule="exact"/>
        <w:ind w:right="1120" w:firstLine="5040" w:firstLineChars="2100"/>
        <w:rPr>
          <w:rFonts w:ascii="仿宋" w:hAnsi="仿宋" w:eastAsia="仿宋"/>
          <w:color w:val="auto"/>
          <w:sz w:val="24"/>
          <w:highlight w:val="none"/>
        </w:rPr>
      </w:pPr>
      <w:r>
        <w:rPr>
          <w:rFonts w:hint="eastAsia" w:ascii="仿宋" w:hAnsi="仿宋" w:eastAsia="仿宋"/>
          <w:color w:val="auto"/>
          <w:sz w:val="24"/>
          <w:highlight w:val="none"/>
        </w:rPr>
        <w:t>日 期：</w:t>
      </w:r>
    </w:p>
    <w:p>
      <w:pPr>
        <w:spacing w:line="360" w:lineRule="auto"/>
        <w:ind w:firstLine="310" w:firstLineChars="147"/>
        <w:jc w:val="left"/>
        <w:rPr>
          <w:rFonts w:ascii="仿宋" w:hAnsi="仿宋" w:eastAsia="仿宋" w:cs="仿宋_GB2312"/>
          <w:b/>
          <w:color w:val="auto"/>
          <w:kern w:val="0"/>
          <w:sz w:val="24"/>
          <w:highlight w:val="none"/>
          <w:lang w:val="zh-CN"/>
        </w:rPr>
      </w:pPr>
      <w:r>
        <w:rPr>
          <w:rFonts w:hint="eastAsia" w:ascii="仿宋" w:hAnsi="仿宋" w:eastAsia="仿宋" w:cs="仿宋_GB2312"/>
          <w:b/>
          <w:color w:val="auto"/>
          <w:kern w:val="0"/>
          <w:szCs w:val="21"/>
          <w:highlight w:val="none"/>
          <w:lang w:val="zh-CN"/>
        </w:rPr>
        <w:t>从业人员、营业收入、资产总额填报上一年度数据，无上一年度数据的新成立企业可不填报</w:t>
      </w:r>
      <w:r>
        <w:rPr>
          <w:rFonts w:hint="eastAsia" w:ascii="仿宋" w:hAnsi="仿宋" w:eastAsia="仿宋" w:cs="仿宋_GB2312"/>
          <w:b/>
          <w:color w:val="auto"/>
          <w:kern w:val="0"/>
          <w:sz w:val="24"/>
          <w:highlight w:val="none"/>
          <w:lang w:val="zh-CN"/>
        </w:rPr>
        <w:t>。</w:t>
      </w:r>
    </w:p>
    <w:p>
      <w:pPr>
        <w:spacing w:line="360" w:lineRule="auto"/>
        <w:ind w:right="42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注：1、投标人应根据企业实际情况及采购文件中明确的所属行业，对照《关于印发中小企业划型标准规定的通知》（工信部联企业[2011]300号）所对应的划型标准作出申明，投标人提供的中小企业声明函与实际情况不符的，投标无效。</w:t>
      </w:r>
    </w:p>
    <w:p>
      <w:pPr>
        <w:spacing w:line="360" w:lineRule="auto"/>
        <w:ind w:right="420"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2、根据《政府采购促进中小企业发展管理办法》的通知（财库〔2020〕46号）规定，中标、成交供应商享受中小企业扶持政策的，采购代理机构将随中标、成交结果公开中标、成交供应商的《中小企业声明函》。</w:t>
      </w:r>
    </w:p>
    <w:p>
      <w:pPr>
        <w:spacing w:line="360" w:lineRule="auto"/>
        <w:ind w:right="420"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3、符合《关于促进残疾人就业政府采购政策的通知》（财库〔2017〕141号）规定的条件并提供提供《残疾人福利性单位声明函》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spacing w:line="360" w:lineRule="auto"/>
        <w:jc w:val="center"/>
        <w:outlineLvl w:val="0"/>
        <w:rPr>
          <w:rFonts w:hint="eastAsia" w:ascii="仿宋" w:hAnsi="仿宋" w:eastAsia="仿宋"/>
          <w:b/>
          <w:color w:val="auto"/>
          <w:spacing w:val="6"/>
          <w:sz w:val="32"/>
          <w:szCs w:val="32"/>
          <w:highlight w:val="none"/>
        </w:rPr>
      </w:pPr>
      <w:r>
        <w:rPr>
          <w:rFonts w:hint="eastAsia" w:ascii="仿宋" w:hAnsi="仿宋" w:eastAsia="仿宋" w:cs="仿宋_GB2312"/>
          <w:color w:val="auto"/>
          <w:sz w:val="36"/>
          <w:szCs w:val="36"/>
          <w:highlight w:val="none"/>
        </w:rPr>
        <w:br w:type="page"/>
      </w:r>
      <w:r>
        <w:rPr>
          <w:rFonts w:hint="eastAsia" w:ascii="仿宋" w:hAnsi="仿宋" w:eastAsia="仿宋"/>
          <w:b/>
          <w:color w:val="auto"/>
          <w:spacing w:val="6"/>
          <w:sz w:val="32"/>
          <w:szCs w:val="32"/>
          <w:highlight w:val="none"/>
          <w:lang w:eastAsia="zh-CN"/>
        </w:rPr>
        <w:t>三</w:t>
      </w:r>
      <w:r>
        <w:rPr>
          <w:rFonts w:hint="eastAsia" w:ascii="仿宋" w:hAnsi="仿宋" w:eastAsia="仿宋"/>
          <w:b/>
          <w:color w:val="auto"/>
          <w:spacing w:val="6"/>
          <w:sz w:val="32"/>
          <w:szCs w:val="32"/>
          <w:highlight w:val="none"/>
        </w:rPr>
        <w:t>、残疾人福利性单位声明函（如有）</w:t>
      </w:r>
    </w:p>
    <w:p>
      <w:pPr>
        <w:spacing w:line="360" w:lineRule="auto"/>
        <w:rPr>
          <w:rFonts w:hint="eastAsia" w:ascii="仿宋" w:hAnsi="仿宋" w:eastAsia="仿宋"/>
          <w:b/>
          <w:color w:val="auto"/>
          <w:spacing w:val="6"/>
          <w:sz w:val="30"/>
          <w:szCs w:val="30"/>
          <w:highlight w:val="none"/>
        </w:rPr>
      </w:pP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本单位对上述声明的真实性负责。如有虚假，将依法承担相应责任。</w:t>
      </w:r>
    </w:p>
    <w:p>
      <w:pPr>
        <w:spacing w:line="360" w:lineRule="auto"/>
        <w:ind w:firstLine="480" w:firstLineChars="200"/>
        <w:rPr>
          <w:rFonts w:hint="eastAsia" w:ascii="仿宋" w:hAnsi="仿宋" w:eastAsia="仿宋" w:cs="仿宋_GB2312"/>
          <w:color w:val="auto"/>
          <w:sz w:val="24"/>
          <w:highlight w:val="none"/>
        </w:rPr>
      </w:pPr>
    </w:p>
    <w:p>
      <w:pPr>
        <w:spacing w:line="360" w:lineRule="auto"/>
        <w:ind w:firstLine="480" w:firstLineChars="200"/>
        <w:rPr>
          <w:rFonts w:hint="eastAsia" w:ascii="仿宋" w:hAnsi="仿宋" w:eastAsia="仿宋" w:cs="仿宋_GB2312"/>
          <w:color w:val="auto"/>
          <w:sz w:val="24"/>
          <w:highlight w:val="none"/>
        </w:rPr>
      </w:pPr>
    </w:p>
    <w:p>
      <w:pPr>
        <w:tabs>
          <w:tab w:val="left" w:pos="4860"/>
        </w:tabs>
        <w:spacing w:line="360" w:lineRule="auto"/>
        <w:ind w:right="1560" w:firstLine="480" w:firstLineChars="200"/>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 xml:space="preserve">                    单位名称（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sz w:val="24"/>
          <w:highlight w:val="none"/>
        </w:rPr>
        <w:t>）：</w:t>
      </w:r>
    </w:p>
    <w:p>
      <w:pPr>
        <w:pStyle w:val="588"/>
        <w:keepNext w:val="0"/>
        <w:pageBreakBefore w:val="0"/>
        <w:tabs>
          <w:tab w:val="clear" w:pos="720"/>
        </w:tabs>
        <w:snapToGrid w:val="0"/>
        <w:jc w:val="both"/>
        <w:outlineLvl w:val="9"/>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 xml:space="preserve">           </w:t>
      </w:r>
    </w:p>
    <w:p>
      <w:pPr>
        <w:pStyle w:val="588"/>
        <w:keepNext w:val="0"/>
        <w:pageBreakBefore w:val="0"/>
        <w:tabs>
          <w:tab w:val="clear" w:pos="720"/>
        </w:tabs>
        <w:snapToGrid w:val="0"/>
        <w:jc w:val="both"/>
        <w:outlineLvl w:val="9"/>
        <w:rPr>
          <w:rFonts w:hint="eastAsia" w:ascii="仿宋" w:hAnsi="仿宋" w:eastAsia="仿宋" w:cs="仿宋_GB2312"/>
          <w:color w:val="auto"/>
          <w:sz w:val="24"/>
          <w:highlight w:val="none"/>
        </w:rPr>
      </w:pPr>
    </w:p>
    <w:sectPr>
      <w:footerReference r:id="rId14" w:type="first"/>
      <w:footerReference r:id="rId12" w:type="default"/>
      <w:footerReference r:id="rId13" w:type="even"/>
      <w:pgSz w:w="11906" w:h="16838"/>
      <w:pgMar w:top="1440" w:right="1800" w:bottom="1440" w:left="180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Futura Bk">
    <w:altName w:val="Trebuchet MS"/>
    <w:panose1 w:val="00000000000000000000"/>
    <w:charset w:val="00"/>
    <w:family w:val="swiss"/>
    <w:pitch w:val="default"/>
    <w:sig w:usb0="00000000" w:usb1="00000000" w:usb2="00000000" w:usb3="00000000" w:csb0="0000009F" w:csb1="00000000"/>
  </w:font>
  <w:font w:name="Trebuchet MS">
    <w:panose1 w:val="020B0603020202020204"/>
    <w:charset w:val="00"/>
    <w:family w:val="auto"/>
    <w:pitch w:val="default"/>
    <w:sig w:usb0="00000687" w:usb1="00000000" w:usb2="00000000" w:usb3="00000000" w:csb0="2000009F" w:csb1="00000000"/>
  </w:font>
  <w:font w:name="Arial Unicode MS">
    <w:panose1 w:val="020B0604020202020204"/>
    <w:charset w:val="86"/>
    <w:family w:val="swiss"/>
    <w:pitch w:val="default"/>
    <w:sig w:usb0="FFFFFFFF" w:usb1="E9FFFFFF" w:usb2="0000003F" w:usb3="00000000" w:csb0="603F01FF" w:csb1="FFFF0000"/>
  </w:font>
  <w:font w:name="Aldine401 BT">
    <w:altName w:val="Courier New"/>
    <w:panose1 w:val="00000000000000000000"/>
    <w:charset w:val="00"/>
    <w:family w:val="roman"/>
    <w:pitch w:val="default"/>
    <w:sig w:usb0="00000000" w:usb1="00000000" w:usb2="00000000" w:usb3="00000000" w:csb0="00000011" w:csb1="00000000"/>
  </w:font>
  <w:font w:name="Futura Hv">
    <w:altName w:val="Arial"/>
    <w:panose1 w:val="00000000000000000000"/>
    <w:charset w:val="00"/>
    <w:family w:val="swiss"/>
    <w:pitch w:val="default"/>
    <w:sig w:usb0="00000000" w:usb1="00000000" w:usb2="00000000" w:usb3="00000000" w:csb0="0000009F"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Cumberland">
    <w:altName w:val="Courier New"/>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Helvetica">
    <w:altName w:val="Arial"/>
    <w:panose1 w:val="020B0504020202030204"/>
    <w:charset w:val="00"/>
    <w:family w:val="swiss"/>
    <w:pitch w:val="default"/>
    <w:sig w:usb0="00000000" w:usb1="00000000" w:usb2="00000000" w:usb3="00000000" w:csb0="00000093"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幼圆">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right" w:y="1"/>
      <w:rPr>
        <w:rStyle w:val="63"/>
      </w:rPr>
    </w:pPr>
    <w:r>
      <w:fldChar w:fldCharType="begin"/>
    </w:r>
    <w:r>
      <w:rPr>
        <w:rStyle w:val="63"/>
      </w:rPr>
      <w:instrText xml:space="preserve">PAGE  </w:instrText>
    </w:r>
    <w:r>
      <w:fldChar w:fldCharType="separate"/>
    </w:r>
    <w:r>
      <w:fldChar w:fldCharType="end"/>
    </w:r>
  </w:p>
  <w:p>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w:t>
    </w:r>
  </w:p>
  <w:p>
    <w:pPr>
      <w:rPr>
        <w:rFonts w:hint="eastAsia"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right" w:y="1"/>
      <w:rPr>
        <w:rStyle w:val="63"/>
      </w:rPr>
    </w:pPr>
    <w:r>
      <w:fldChar w:fldCharType="begin"/>
    </w:r>
    <w:r>
      <w:rPr>
        <w:rStyle w:val="63"/>
      </w:rPr>
      <w:instrText xml:space="preserve">PAGE  </w:instrText>
    </w:r>
    <w:r>
      <w:fldChar w:fldCharType="separate"/>
    </w:r>
    <w:r>
      <w:fldChar w:fldCharType="end"/>
    </w:r>
  </w:p>
  <w:p>
    <w:pPr>
      <w:pStyle w:val="37"/>
      <w:ind w:right="360"/>
    </w:pPr>
  </w:p>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p>
    <w:pPr>
      <w:rPr>
        <w:rFonts w:hint="eastAsia"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hint="eastAsia"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right" w:y="1"/>
      <w:rPr>
        <w:rStyle w:val="63"/>
      </w:rPr>
    </w:pPr>
    <w:r>
      <w:fldChar w:fldCharType="begin"/>
    </w:r>
    <w:r>
      <w:rPr>
        <w:rStyle w:val="63"/>
      </w:rPr>
      <w:instrText xml:space="preserve">PAGE  </w:instrText>
    </w:r>
    <w:r>
      <w:fldChar w:fldCharType="separate"/>
    </w:r>
    <w:r>
      <w:fldChar w:fldCharType="end"/>
    </w:r>
  </w:p>
  <w:p>
    <w:pPr>
      <w:pStyle w:val="37"/>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hint="eastAsia"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62</w:t>
    </w:r>
    <w:r>
      <w:rPr>
        <w:rFonts w:hint="eastAsia" w:ascii="仿宋_GB2312" w:eastAsia="仿宋_GB2312"/>
        <w:kern w:val="0"/>
        <w:szCs w:val="21"/>
      </w:rPr>
      <w:fldChar w:fldCharType="end"/>
    </w:r>
    <w:bookmarkStart w:id="447" w:name="_Toc164085800"/>
    <w:bookmarkStart w:id="448" w:name="_Toc36110187"/>
    <w:bookmarkStart w:id="449" w:name="_Toc91899912"/>
    <w:bookmarkStart w:id="450" w:name="_Toc131845147"/>
    <w:r>
      <w:rPr>
        <w:rFonts w:hint="eastAsia" w:ascii="仿宋_GB2312" w:eastAsia="仿宋_GB2312"/>
        <w:kern w:val="0"/>
        <w:szCs w:val="21"/>
      </w:rPr>
      <w:t xml:space="preserve"> 页</w:t>
    </w:r>
    <w:bookmarkEnd w:id="447"/>
    <w:bookmarkEnd w:id="448"/>
    <w:bookmarkEnd w:id="449"/>
    <w:bookmarkEnd w:id="45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hint="eastAsia" w:ascii="仿宋_GB2312" w:eastAsia="仿宋_GB2312"/>
        <w:b/>
        <w:i/>
        <w:sz w:val="18"/>
        <w:u w:val="single"/>
        <w:lang w:val="en-US"/>
      </w:rPr>
    </w:pPr>
    <w:r>
      <w:rPr>
        <w:rFonts w:hint="eastAsia"/>
      </w:rPr>
      <w:t>绍兴市柯桥区政府采购公开招标文件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Bdr>
        <w:bottom w:val="single" w:color="auto" w:sz="6" w:space="0"/>
      </w:pBdr>
      <w:tabs>
        <w:tab w:val="center" w:pos="4535"/>
        <w:tab w:val="right" w:pos="9070"/>
        <w:tab w:val="clear" w:pos="4153"/>
        <w:tab w:val="clear" w:pos="8306"/>
      </w:tabs>
      <w:jc w:val="right"/>
    </w:pPr>
    <w:r>
      <w:rPr>
        <w:rFonts w:hint="eastAsia"/>
        <w:lang w:val="zh-CN"/>
      </w:rPr>
      <w:t xml:space="preserve"> 绍兴市柯桥区政府采购公开招标文件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p>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32"/>
      <w:lvlText w:val=""/>
      <w:lvlJc w:val="left"/>
      <w:pPr>
        <w:tabs>
          <w:tab w:val="left" w:pos="840"/>
        </w:tabs>
        <w:ind w:left="840" w:hanging="420"/>
      </w:pPr>
      <w:rPr>
        <w:rFonts w:hint="default" w:ascii="Wingdings" w:hAnsi="Wingdings"/>
      </w:rPr>
    </w:lvl>
    <w:lvl w:ilvl="1" w:tentative="0">
      <w:start w:val="1"/>
      <w:numFmt w:val="bullet"/>
      <w:pStyle w:val="430"/>
      <w:lvlText w:val=""/>
      <w:lvlJc w:val="left"/>
      <w:pPr>
        <w:tabs>
          <w:tab w:val="left" w:pos="1260"/>
        </w:tabs>
        <w:ind w:left="1260" w:hanging="420"/>
      </w:pPr>
      <w:rPr>
        <w:rFonts w:hint="default" w:ascii="Wingdings" w:hAnsi="Wingdings"/>
      </w:rPr>
    </w:lvl>
    <w:lvl w:ilvl="2" w:tentative="0">
      <w:start w:val="1"/>
      <w:numFmt w:val="bullet"/>
      <w:pStyle w:val="376"/>
      <w:lvlText w:val=""/>
      <w:lvlJc w:val="left"/>
      <w:pPr>
        <w:tabs>
          <w:tab w:val="left" w:pos="1680"/>
        </w:tabs>
        <w:ind w:left="1680" w:hanging="420"/>
      </w:pPr>
      <w:rPr>
        <w:rFonts w:hint="default" w:ascii="Wingdings" w:hAnsi="Wingdings"/>
      </w:rPr>
    </w:lvl>
    <w:lvl w:ilvl="3" w:tentative="0">
      <w:start w:val="1"/>
      <w:numFmt w:val="bullet"/>
      <w:pStyle w:val="545"/>
      <w:lvlText w:val=""/>
      <w:lvlJc w:val="left"/>
      <w:pPr>
        <w:tabs>
          <w:tab w:val="left" w:pos="2100"/>
        </w:tabs>
        <w:ind w:left="2100" w:hanging="420"/>
      </w:pPr>
      <w:rPr>
        <w:rFonts w:hint="default" w:ascii="Wingdings" w:hAnsi="Wingdings"/>
      </w:rPr>
    </w:lvl>
    <w:lvl w:ilvl="4" w:tentative="0">
      <w:start w:val="1"/>
      <w:numFmt w:val="bullet"/>
      <w:pStyle w:val="589"/>
      <w:lvlText w:val=""/>
      <w:lvlJc w:val="left"/>
      <w:pPr>
        <w:tabs>
          <w:tab w:val="left" w:pos="2520"/>
        </w:tabs>
        <w:ind w:left="2520" w:hanging="420"/>
      </w:pPr>
      <w:rPr>
        <w:rFonts w:hint="default" w:ascii="Wingdings" w:hAnsi="Wingdings"/>
      </w:rPr>
    </w:lvl>
    <w:lvl w:ilvl="5" w:tentative="0">
      <w:start w:val="1"/>
      <w:numFmt w:val="bullet"/>
      <w:pStyle w:val="323"/>
      <w:lvlText w:val=""/>
      <w:lvlJc w:val="left"/>
      <w:pPr>
        <w:tabs>
          <w:tab w:val="left" w:pos="2940"/>
        </w:tabs>
        <w:ind w:left="2940" w:hanging="420"/>
      </w:pPr>
      <w:rPr>
        <w:rFonts w:hint="default" w:ascii="Wingdings" w:hAnsi="Wingdings"/>
      </w:rPr>
    </w:lvl>
    <w:lvl w:ilvl="6" w:tentative="0">
      <w:start w:val="1"/>
      <w:numFmt w:val="bullet"/>
      <w:pStyle w:val="435"/>
      <w:lvlText w:val=""/>
      <w:lvlJc w:val="left"/>
      <w:pPr>
        <w:tabs>
          <w:tab w:val="left" w:pos="3360"/>
        </w:tabs>
        <w:ind w:left="3360" w:hanging="420"/>
      </w:pPr>
      <w:rPr>
        <w:rFonts w:hint="default" w:ascii="Wingdings" w:hAnsi="Wingdings"/>
      </w:rPr>
    </w:lvl>
    <w:lvl w:ilvl="7" w:tentative="0">
      <w:start w:val="1"/>
      <w:numFmt w:val="bullet"/>
      <w:pStyle w:val="600"/>
      <w:lvlText w:val=""/>
      <w:lvlJc w:val="left"/>
      <w:pPr>
        <w:tabs>
          <w:tab w:val="left" w:pos="3780"/>
        </w:tabs>
        <w:ind w:left="3780" w:hanging="420"/>
      </w:pPr>
      <w:rPr>
        <w:rFonts w:hint="default" w:ascii="Wingdings" w:hAnsi="Wingdings"/>
      </w:rPr>
    </w:lvl>
    <w:lvl w:ilvl="8" w:tentative="0">
      <w:start w:val="1"/>
      <w:numFmt w:val="bullet"/>
      <w:pStyle w:val="613"/>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2"/>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4">
    <w:nsid w:val="578B3BD2"/>
    <w:multiLevelType w:val="multilevel"/>
    <w:tmpl w:val="578B3BD2"/>
    <w:lvl w:ilvl="0" w:tentative="0">
      <w:start w:val="1"/>
      <w:numFmt w:val="decimal"/>
      <w:pStyle w:val="452"/>
      <w:lvlText w:val="%1"/>
      <w:lvlJc w:val="left"/>
      <w:pPr>
        <w:tabs>
          <w:tab w:val="left" w:pos="480"/>
        </w:tabs>
        <w:ind w:left="480" w:hanging="480"/>
      </w:pPr>
      <w:rPr>
        <w:rFonts w:hint="eastAsia"/>
        <w:sz w:val="44"/>
        <w:szCs w:val="44"/>
      </w:rPr>
    </w:lvl>
    <w:lvl w:ilvl="1" w:tentative="0">
      <w:start w:val="1"/>
      <w:numFmt w:val="decimal"/>
      <w:pStyle w:val="457"/>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507"/>
      <w:lvlText w:val="%1.%2.%3.%4.%5"/>
      <w:lvlJc w:val="left"/>
      <w:pPr>
        <w:tabs>
          <w:tab w:val="left" w:pos="1080"/>
        </w:tabs>
        <w:ind w:left="1080" w:hanging="1080"/>
      </w:pPr>
      <w:rPr>
        <w:rFonts w:hint="default"/>
      </w:rPr>
    </w:lvl>
    <w:lvl w:ilvl="5" w:tentative="0">
      <w:start w:val="1"/>
      <w:numFmt w:val="decimal"/>
      <w:pStyle w:val="56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5">
    <w:nsid w:val="73596DCC"/>
    <w:multiLevelType w:val="multilevel"/>
    <w:tmpl w:val="73596DCC"/>
    <w:lvl w:ilvl="0" w:tentative="0">
      <w:start w:val="1"/>
      <w:numFmt w:val="bullet"/>
      <w:pStyle w:val="59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MzZTBiMGNmYTE3MTFmOTc5MjIwNjlkMGUzOGQ4YTIifQ=="/>
  </w:docVars>
  <w:rsids>
    <w:rsidRoot w:val="00172A27"/>
    <w:rsid w:val="00000278"/>
    <w:rsid w:val="00000451"/>
    <w:rsid w:val="0000133D"/>
    <w:rsid w:val="00002075"/>
    <w:rsid w:val="00003EFB"/>
    <w:rsid w:val="000058BD"/>
    <w:rsid w:val="00006109"/>
    <w:rsid w:val="00006725"/>
    <w:rsid w:val="0000675E"/>
    <w:rsid w:val="00006851"/>
    <w:rsid w:val="00006ED1"/>
    <w:rsid w:val="00007151"/>
    <w:rsid w:val="00007CAA"/>
    <w:rsid w:val="00010FE9"/>
    <w:rsid w:val="0001122F"/>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67E7"/>
    <w:rsid w:val="000270F2"/>
    <w:rsid w:val="000274CD"/>
    <w:rsid w:val="00027540"/>
    <w:rsid w:val="00030572"/>
    <w:rsid w:val="00030CB3"/>
    <w:rsid w:val="0003206A"/>
    <w:rsid w:val="000326A7"/>
    <w:rsid w:val="00032EA0"/>
    <w:rsid w:val="000336D4"/>
    <w:rsid w:val="00034FA7"/>
    <w:rsid w:val="000357E4"/>
    <w:rsid w:val="00035ACA"/>
    <w:rsid w:val="00035BFB"/>
    <w:rsid w:val="00036D8E"/>
    <w:rsid w:val="00040E86"/>
    <w:rsid w:val="00041892"/>
    <w:rsid w:val="00042533"/>
    <w:rsid w:val="00042E65"/>
    <w:rsid w:val="0004347C"/>
    <w:rsid w:val="00043907"/>
    <w:rsid w:val="00044966"/>
    <w:rsid w:val="00044D5D"/>
    <w:rsid w:val="00044F48"/>
    <w:rsid w:val="00045085"/>
    <w:rsid w:val="00045ABD"/>
    <w:rsid w:val="00046153"/>
    <w:rsid w:val="0004708A"/>
    <w:rsid w:val="00047354"/>
    <w:rsid w:val="0004753C"/>
    <w:rsid w:val="00050656"/>
    <w:rsid w:val="00051B00"/>
    <w:rsid w:val="0005205F"/>
    <w:rsid w:val="0005238F"/>
    <w:rsid w:val="00052BB8"/>
    <w:rsid w:val="00052C94"/>
    <w:rsid w:val="000531C9"/>
    <w:rsid w:val="0005417A"/>
    <w:rsid w:val="00054D39"/>
    <w:rsid w:val="0005501B"/>
    <w:rsid w:val="000550F5"/>
    <w:rsid w:val="00055337"/>
    <w:rsid w:val="000554C7"/>
    <w:rsid w:val="00055506"/>
    <w:rsid w:val="00056402"/>
    <w:rsid w:val="00056791"/>
    <w:rsid w:val="000568DF"/>
    <w:rsid w:val="000574B4"/>
    <w:rsid w:val="000578A3"/>
    <w:rsid w:val="00057D4C"/>
    <w:rsid w:val="00061A3C"/>
    <w:rsid w:val="00061C48"/>
    <w:rsid w:val="00064278"/>
    <w:rsid w:val="000646CA"/>
    <w:rsid w:val="000665C4"/>
    <w:rsid w:val="00067821"/>
    <w:rsid w:val="0006785E"/>
    <w:rsid w:val="00067EBE"/>
    <w:rsid w:val="00067F92"/>
    <w:rsid w:val="00067FA7"/>
    <w:rsid w:val="0007032C"/>
    <w:rsid w:val="0007038E"/>
    <w:rsid w:val="0007077C"/>
    <w:rsid w:val="00070825"/>
    <w:rsid w:val="00071CD8"/>
    <w:rsid w:val="00072AED"/>
    <w:rsid w:val="00072B56"/>
    <w:rsid w:val="00072D2B"/>
    <w:rsid w:val="000730B1"/>
    <w:rsid w:val="00073860"/>
    <w:rsid w:val="000738EA"/>
    <w:rsid w:val="000749D6"/>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EEB"/>
    <w:rsid w:val="00086F8A"/>
    <w:rsid w:val="00090243"/>
    <w:rsid w:val="000904F6"/>
    <w:rsid w:val="00090D1B"/>
    <w:rsid w:val="00090ED8"/>
    <w:rsid w:val="000912CD"/>
    <w:rsid w:val="0009145F"/>
    <w:rsid w:val="00091A40"/>
    <w:rsid w:val="00091B4E"/>
    <w:rsid w:val="00092FE9"/>
    <w:rsid w:val="00093BC1"/>
    <w:rsid w:val="00094342"/>
    <w:rsid w:val="00095954"/>
    <w:rsid w:val="000960BA"/>
    <w:rsid w:val="0009662A"/>
    <w:rsid w:val="00096DFF"/>
    <w:rsid w:val="000974A2"/>
    <w:rsid w:val="000A0E69"/>
    <w:rsid w:val="000A0FEB"/>
    <w:rsid w:val="000A1A52"/>
    <w:rsid w:val="000A1F98"/>
    <w:rsid w:val="000A2338"/>
    <w:rsid w:val="000A3D58"/>
    <w:rsid w:val="000A47B0"/>
    <w:rsid w:val="000A4808"/>
    <w:rsid w:val="000A49BB"/>
    <w:rsid w:val="000A4F22"/>
    <w:rsid w:val="000A5674"/>
    <w:rsid w:val="000A5A46"/>
    <w:rsid w:val="000A5F83"/>
    <w:rsid w:val="000A7299"/>
    <w:rsid w:val="000A7CBC"/>
    <w:rsid w:val="000B0262"/>
    <w:rsid w:val="000B0E04"/>
    <w:rsid w:val="000B291B"/>
    <w:rsid w:val="000B2C6D"/>
    <w:rsid w:val="000B456C"/>
    <w:rsid w:val="000B4B56"/>
    <w:rsid w:val="000B4C62"/>
    <w:rsid w:val="000B525C"/>
    <w:rsid w:val="000B54C1"/>
    <w:rsid w:val="000B59B5"/>
    <w:rsid w:val="000B721A"/>
    <w:rsid w:val="000C0A43"/>
    <w:rsid w:val="000C1411"/>
    <w:rsid w:val="000C1ADE"/>
    <w:rsid w:val="000C1BFA"/>
    <w:rsid w:val="000C1C38"/>
    <w:rsid w:val="000C2264"/>
    <w:rsid w:val="000C256B"/>
    <w:rsid w:val="000C3970"/>
    <w:rsid w:val="000C3B1A"/>
    <w:rsid w:val="000C4727"/>
    <w:rsid w:val="000C47AE"/>
    <w:rsid w:val="000C4D39"/>
    <w:rsid w:val="000C51AD"/>
    <w:rsid w:val="000C5374"/>
    <w:rsid w:val="000C5C30"/>
    <w:rsid w:val="000C5EC0"/>
    <w:rsid w:val="000C5FD7"/>
    <w:rsid w:val="000C6162"/>
    <w:rsid w:val="000C6688"/>
    <w:rsid w:val="000C6B27"/>
    <w:rsid w:val="000C7BEB"/>
    <w:rsid w:val="000C7FA9"/>
    <w:rsid w:val="000D0124"/>
    <w:rsid w:val="000D11E5"/>
    <w:rsid w:val="000D19E8"/>
    <w:rsid w:val="000D22F4"/>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03E6"/>
    <w:rsid w:val="000E0508"/>
    <w:rsid w:val="000E1AD5"/>
    <w:rsid w:val="000E2785"/>
    <w:rsid w:val="000E27BB"/>
    <w:rsid w:val="000E3153"/>
    <w:rsid w:val="000E386F"/>
    <w:rsid w:val="000E4051"/>
    <w:rsid w:val="000E4765"/>
    <w:rsid w:val="000E4D68"/>
    <w:rsid w:val="000E5B7E"/>
    <w:rsid w:val="000E5FF9"/>
    <w:rsid w:val="000E62A0"/>
    <w:rsid w:val="000E6AE1"/>
    <w:rsid w:val="000E7142"/>
    <w:rsid w:val="000E7180"/>
    <w:rsid w:val="000E7632"/>
    <w:rsid w:val="000E7739"/>
    <w:rsid w:val="000E77EE"/>
    <w:rsid w:val="000F1619"/>
    <w:rsid w:val="000F2530"/>
    <w:rsid w:val="000F2940"/>
    <w:rsid w:val="000F3D08"/>
    <w:rsid w:val="000F4495"/>
    <w:rsid w:val="000F4A05"/>
    <w:rsid w:val="000F505B"/>
    <w:rsid w:val="000F6366"/>
    <w:rsid w:val="000F68A0"/>
    <w:rsid w:val="000F6CC2"/>
    <w:rsid w:val="0010118C"/>
    <w:rsid w:val="0010125E"/>
    <w:rsid w:val="00101967"/>
    <w:rsid w:val="0010334E"/>
    <w:rsid w:val="00103D85"/>
    <w:rsid w:val="00103EBD"/>
    <w:rsid w:val="00104E5B"/>
    <w:rsid w:val="00104EEC"/>
    <w:rsid w:val="001050C7"/>
    <w:rsid w:val="001050DC"/>
    <w:rsid w:val="00105482"/>
    <w:rsid w:val="001055BB"/>
    <w:rsid w:val="001056A5"/>
    <w:rsid w:val="00105BA9"/>
    <w:rsid w:val="00106AAA"/>
    <w:rsid w:val="00107BBD"/>
    <w:rsid w:val="00107BC7"/>
    <w:rsid w:val="001102B5"/>
    <w:rsid w:val="00111C7D"/>
    <w:rsid w:val="00112038"/>
    <w:rsid w:val="001127FF"/>
    <w:rsid w:val="00112B0B"/>
    <w:rsid w:val="00112B5C"/>
    <w:rsid w:val="00113123"/>
    <w:rsid w:val="0011383E"/>
    <w:rsid w:val="00114847"/>
    <w:rsid w:val="0011560B"/>
    <w:rsid w:val="0011585B"/>
    <w:rsid w:val="00115B1A"/>
    <w:rsid w:val="00115C71"/>
    <w:rsid w:val="001160FF"/>
    <w:rsid w:val="001168F8"/>
    <w:rsid w:val="001176FF"/>
    <w:rsid w:val="00120F18"/>
    <w:rsid w:val="0012159D"/>
    <w:rsid w:val="001231D3"/>
    <w:rsid w:val="001232A7"/>
    <w:rsid w:val="0012419E"/>
    <w:rsid w:val="001248EF"/>
    <w:rsid w:val="00124FC4"/>
    <w:rsid w:val="001253AB"/>
    <w:rsid w:val="0012574C"/>
    <w:rsid w:val="001259B8"/>
    <w:rsid w:val="00126679"/>
    <w:rsid w:val="0012687C"/>
    <w:rsid w:val="0012693E"/>
    <w:rsid w:val="00130B94"/>
    <w:rsid w:val="00131762"/>
    <w:rsid w:val="00131C2D"/>
    <w:rsid w:val="0013202C"/>
    <w:rsid w:val="00132CBF"/>
    <w:rsid w:val="00133742"/>
    <w:rsid w:val="001350F7"/>
    <w:rsid w:val="00135562"/>
    <w:rsid w:val="00135769"/>
    <w:rsid w:val="00135BE9"/>
    <w:rsid w:val="00136762"/>
    <w:rsid w:val="00136E33"/>
    <w:rsid w:val="0013773D"/>
    <w:rsid w:val="00137A63"/>
    <w:rsid w:val="00140693"/>
    <w:rsid w:val="00140D7A"/>
    <w:rsid w:val="00141DFE"/>
    <w:rsid w:val="00142A51"/>
    <w:rsid w:val="001433BC"/>
    <w:rsid w:val="00144649"/>
    <w:rsid w:val="00144B52"/>
    <w:rsid w:val="00145022"/>
    <w:rsid w:val="00145662"/>
    <w:rsid w:val="00145C6D"/>
    <w:rsid w:val="00146151"/>
    <w:rsid w:val="00147032"/>
    <w:rsid w:val="00147EA7"/>
    <w:rsid w:val="001505E6"/>
    <w:rsid w:val="00151B2F"/>
    <w:rsid w:val="001524DC"/>
    <w:rsid w:val="001525E5"/>
    <w:rsid w:val="00153859"/>
    <w:rsid w:val="00153915"/>
    <w:rsid w:val="00155B95"/>
    <w:rsid w:val="00156853"/>
    <w:rsid w:val="00157432"/>
    <w:rsid w:val="0016109B"/>
    <w:rsid w:val="00161185"/>
    <w:rsid w:val="001623AC"/>
    <w:rsid w:val="00162BAA"/>
    <w:rsid w:val="0016488B"/>
    <w:rsid w:val="00165758"/>
    <w:rsid w:val="00165A65"/>
    <w:rsid w:val="00165E74"/>
    <w:rsid w:val="00167478"/>
    <w:rsid w:val="00167594"/>
    <w:rsid w:val="001702BE"/>
    <w:rsid w:val="001704B3"/>
    <w:rsid w:val="001704DA"/>
    <w:rsid w:val="0017105C"/>
    <w:rsid w:val="00171622"/>
    <w:rsid w:val="00171C81"/>
    <w:rsid w:val="001721CF"/>
    <w:rsid w:val="001728FD"/>
    <w:rsid w:val="00172F02"/>
    <w:rsid w:val="00173631"/>
    <w:rsid w:val="0017372D"/>
    <w:rsid w:val="00173C58"/>
    <w:rsid w:val="00173E59"/>
    <w:rsid w:val="001740B6"/>
    <w:rsid w:val="00174F57"/>
    <w:rsid w:val="00175078"/>
    <w:rsid w:val="001754CB"/>
    <w:rsid w:val="001755DC"/>
    <w:rsid w:val="00175895"/>
    <w:rsid w:val="001758E0"/>
    <w:rsid w:val="0017693F"/>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5B8"/>
    <w:rsid w:val="001969F2"/>
    <w:rsid w:val="0019756A"/>
    <w:rsid w:val="001A07F8"/>
    <w:rsid w:val="001A0864"/>
    <w:rsid w:val="001A0A23"/>
    <w:rsid w:val="001A128B"/>
    <w:rsid w:val="001A1352"/>
    <w:rsid w:val="001A1F0E"/>
    <w:rsid w:val="001A473A"/>
    <w:rsid w:val="001A4B80"/>
    <w:rsid w:val="001A4ED9"/>
    <w:rsid w:val="001A5785"/>
    <w:rsid w:val="001A5FD7"/>
    <w:rsid w:val="001A61B0"/>
    <w:rsid w:val="001A66A6"/>
    <w:rsid w:val="001A6BBB"/>
    <w:rsid w:val="001A79A2"/>
    <w:rsid w:val="001B13BF"/>
    <w:rsid w:val="001B16F5"/>
    <w:rsid w:val="001B1C1F"/>
    <w:rsid w:val="001B219B"/>
    <w:rsid w:val="001B2703"/>
    <w:rsid w:val="001B3E6D"/>
    <w:rsid w:val="001B46B2"/>
    <w:rsid w:val="001B4725"/>
    <w:rsid w:val="001B48B2"/>
    <w:rsid w:val="001B49DA"/>
    <w:rsid w:val="001B4CA8"/>
    <w:rsid w:val="001B572D"/>
    <w:rsid w:val="001B5B10"/>
    <w:rsid w:val="001B5E9A"/>
    <w:rsid w:val="001B6E4E"/>
    <w:rsid w:val="001B7A15"/>
    <w:rsid w:val="001B7B69"/>
    <w:rsid w:val="001C08DB"/>
    <w:rsid w:val="001C10BD"/>
    <w:rsid w:val="001C1F01"/>
    <w:rsid w:val="001C232F"/>
    <w:rsid w:val="001C2544"/>
    <w:rsid w:val="001C2A17"/>
    <w:rsid w:val="001C31F5"/>
    <w:rsid w:val="001C457B"/>
    <w:rsid w:val="001C6047"/>
    <w:rsid w:val="001C6698"/>
    <w:rsid w:val="001C7CE0"/>
    <w:rsid w:val="001D005B"/>
    <w:rsid w:val="001D0947"/>
    <w:rsid w:val="001D16F5"/>
    <w:rsid w:val="001D1970"/>
    <w:rsid w:val="001D1D1E"/>
    <w:rsid w:val="001D1D55"/>
    <w:rsid w:val="001D21EF"/>
    <w:rsid w:val="001D29A4"/>
    <w:rsid w:val="001D330D"/>
    <w:rsid w:val="001D4AB6"/>
    <w:rsid w:val="001D4AD3"/>
    <w:rsid w:val="001D4E86"/>
    <w:rsid w:val="001D6B8A"/>
    <w:rsid w:val="001E1713"/>
    <w:rsid w:val="001E17E3"/>
    <w:rsid w:val="001E1D36"/>
    <w:rsid w:val="001E2052"/>
    <w:rsid w:val="001E257C"/>
    <w:rsid w:val="001E31AF"/>
    <w:rsid w:val="001E35EE"/>
    <w:rsid w:val="001E4B2C"/>
    <w:rsid w:val="001E507F"/>
    <w:rsid w:val="001E59FB"/>
    <w:rsid w:val="001F0FD1"/>
    <w:rsid w:val="001F19D1"/>
    <w:rsid w:val="001F1CB9"/>
    <w:rsid w:val="001F1F18"/>
    <w:rsid w:val="001F2F92"/>
    <w:rsid w:val="001F5DBF"/>
    <w:rsid w:val="001F612E"/>
    <w:rsid w:val="001F79D1"/>
    <w:rsid w:val="00200451"/>
    <w:rsid w:val="00201B0F"/>
    <w:rsid w:val="00202800"/>
    <w:rsid w:val="00202D33"/>
    <w:rsid w:val="00202E58"/>
    <w:rsid w:val="00202F99"/>
    <w:rsid w:val="00203C85"/>
    <w:rsid w:val="00205112"/>
    <w:rsid w:val="00205298"/>
    <w:rsid w:val="002052DD"/>
    <w:rsid w:val="00205939"/>
    <w:rsid w:val="00205D1C"/>
    <w:rsid w:val="002062B8"/>
    <w:rsid w:val="00206698"/>
    <w:rsid w:val="00206736"/>
    <w:rsid w:val="00206C88"/>
    <w:rsid w:val="002078A3"/>
    <w:rsid w:val="00210744"/>
    <w:rsid w:val="00210B9C"/>
    <w:rsid w:val="00211714"/>
    <w:rsid w:val="00213D15"/>
    <w:rsid w:val="00213FCE"/>
    <w:rsid w:val="00214028"/>
    <w:rsid w:val="002141C3"/>
    <w:rsid w:val="002141DC"/>
    <w:rsid w:val="00214479"/>
    <w:rsid w:val="002144F3"/>
    <w:rsid w:val="002146C3"/>
    <w:rsid w:val="00214E91"/>
    <w:rsid w:val="00215A2A"/>
    <w:rsid w:val="00215D21"/>
    <w:rsid w:val="00216387"/>
    <w:rsid w:val="00216860"/>
    <w:rsid w:val="002204BC"/>
    <w:rsid w:val="00220F7B"/>
    <w:rsid w:val="00220FA3"/>
    <w:rsid w:val="002213CE"/>
    <w:rsid w:val="0022168C"/>
    <w:rsid w:val="00221AF7"/>
    <w:rsid w:val="00221F13"/>
    <w:rsid w:val="00221FFA"/>
    <w:rsid w:val="00222494"/>
    <w:rsid w:val="00222775"/>
    <w:rsid w:val="00222A31"/>
    <w:rsid w:val="00222CF6"/>
    <w:rsid w:val="002244E4"/>
    <w:rsid w:val="00224D2A"/>
    <w:rsid w:val="00224D8D"/>
    <w:rsid w:val="0022555A"/>
    <w:rsid w:val="0023079F"/>
    <w:rsid w:val="00231135"/>
    <w:rsid w:val="00231523"/>
    <w:rsid w:val="00232656"/>
    <w:rsid w:val="0023337A"/>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586"/>
    <w:rsid w:val="002537FC"/>
    <w:rsid w:val="002542F8"/>
    <w:rsid w:val="002543EF"/>
    <w:rsid w:val="00255784"/>
    <w:rsid w:val="0025631F"/>
    <w:rsid w:val="00256986"/>
    <w:rsid w:val="00257246"/>
    <w:rsid w:val="00257438"/>
    <w:rsid w:val="00261246"/>
    <w:rsid w:val="00262048"/>
    <w:rsid w:val="0026212A"/>
    <w:rsid w:val="00263044"/>
    <w:rsid w:val="00263759"/>
    <w:rsid w:val="002638BD"/>
    <w:rsid w:val="002644D7"/>
    <w:rsid w:val="0026470B"/>
    <w:rsid w:val="0026486D"/>
    <w:rsid w:val="00264C4B"/>
    <w:rsid w:val="00264ED0"/>
    <w:rsid w:val="00265C3A"/>
    <w:rsid w:val="002660C3"/>
    <w:rsid w:val="00266DE1"/>
    <w:rsid w:val="00267A92"/>
    <w:rsid w:val="00267E43"/>
    <w:rsid w:val="00270282"/>
    <w:rsid w:val="002711EF"/>
    <w:rsid w:val="00272193"/>
    <w:rsid w:val="0027244F"/>
    <w:rsid w:val="0027393E"/>
    <w:rsid w:val="002739CE"/>
    <w:rsid w:val="00273C5F"/>
    <w:rsid w:val="002751CA"/>
    <w:rsid w:val="0027544D"/>
    <w:rsid w:val="002775ED"/>
    <w:rsid w:val="002778AB"/>
    <w:rsid w:val="00277D86"/>
    <w:rsid w:val="002802A5"/>
    <w:rsid w:val="00280CFB"/>
    <w:rsid w:val="002815C4"/>
    <w:rsid w:val="00281BCB"/>
    <w:rsid w:val="002821D5"/>
    <w:rsid w:val="00283296"/>
    <w:rsid w:val="002845A1"/>
    <w:rsid w:val="0028461E"/>
    <w:rsid w:val="0028583E"/>
    <w:rsid w:val="00285853"/>
    <w:rsid w:val="00285B1A"/>
    <w:rsid w:val="00285FF3"/>
    <w:rsid w:val="002866EC"/>
    <w:rsid w:val="0028744E"/>
    <w:rsid w:val="00287936"/>
    <w:rsid w:val="00287DDE"/>
    <w:rsid w:val="002903C5"/>
    <w:rsid w:val="00290A99"/>
    <w:rsid w:val="00290EAF"/>
    <w:rsid w:val="0029129B"/>
    <w:rsid w:val="0029159A"/>
    <w:rsid w:val="0029199A"/>
    <w:rsid w:val="00291E17"/>
    <w:rsid w:val="00292AA1"/>
    <w:rsid w:val="00293D77"/>
    <w:rsid w:val="0029499D"/>
    <w:rsid w:val="00294A13"/>
    <w:rsid w:val="00294B10"/>
    <w:rsid w:val="00294CEF"/>
    <w:rsid w:val="00294DF9"/>
    <w:rsid w:val="00295073"/>
    <w:rsid w:val="00296C32"/>
    <w:rsid w:val="002977CE"/>
    <w:rsid w:val="00297AF5"/>
    <w:rsid w:val="002A02D6"/>
    <w:rsid w:val="002A07C4"/>
    <w:rsid w:val="002A0921"/>
    <w:rsid w:val="002A09CF"/>
    <w:rsid w:val="002A0CB3"/>
    <w:rsid w:val="002A1887"/>
    <w:rsid w:val="002A2001"/>
    <w:rsid w:val="002A4060"/>
    <w:rsid w:val="002A4A05"/>
    <w:rsid w:val="002A4EB3"/>
    <w:rsid w:val="002A51D9"/>
    <w:rsid w:val="002A572D"/>
    <w:rsid w:val="002A5CAB"/>
    <w:rsid w:val="002A5D1C"/>
    <w:rsid w:val="002A5D40"/>
    <w:rsid w:val="002A6116"/>
    <w:rsid w:val="002A64E7"/>
    <w:rsid w:val="002A7ED3"/>
    <w:rsid w:val="002A7FC9"/>
    <w:rsid w:val="002B06C1"/>
    <w:rsid w:val="002B139C"/>
    <w:rsid w:val="002B1881"/>
    <w:rsid w:val="002B1F61"/>
    <w:rsid w:val="002B257E"/>
    <w:rsid w:val="002B2906"/>
    <w:rsid w:val="002B2A00"/>
    <w:rsid w:val="002B322B"/>
    <w:rsid w:val="002B34E3"/>
    <w:rsid w:val="002B394C"/>
    <w:rsid w:val="002B5AEE"/>
    <w:rsid w:val="002B6177"/>
    <w:rsid w:val="002B650C"/>
    <w:rsid w:val="002B68E6"/>
    <w:rsid w:val="002B6985"/>
    <w:rsid w:val="002C0301"/>
    <w:rsid w:val="002C0326"/>
    <w:rsid w:val="002C0A9F"/>
    <w:rsid w:val="002C13D4"/>
    <w:rsid w:val="002C1AB3"/>
    <w:rsid w:val="002C1BB7"/>
    <w:rsid w:val="002C2665"/>
    <w:rsid w:val="002C28E1"/>
    <w:rsid w:val="002C327D"/>
    <w:rsid w:val="002C3890"/>
    <w:rsid w:val="002C3AD9"/>
    <w:rsid w:val="002C45C3"/>
    <w:rsid w:val="002C483B"/>
    <w:rsid w:val="002C534A"/>
    <w:rsid w:val="002C60A7"/>
    <w:rsid w:val="002C643D"/>
    <w:rsid w:val="002C6CCA"/>
    <w:rsid w:val="002C70E7"/>
    <w:rsid w:val="002C757E"/>
    <w:rsid w:val="002D0E88"/>
    <w:rsid w:val="002D138F"/>
    <w:rsid w:val="002D1593"/>
    <w:rsid w:val="002D1942"/>
    <w:rsid w:val="002D22A6"/>
    <w:rsid w:val="002D2819"/>
    <w:rsid w:val="002D2CD6"/>
    <w:rsid w:val="002D2F81"/>
    <w:rsid w:val="002D38A3"/>
    <w:rsid w:val="002D3BA3"/>
    <w:rsid w:val="002D4892"/>
    <w:rsid w:val="002D4D06"/>
    <w:rsid w:val="002D4EE7"/>
    <w:rsid w:val="002D4EED"/>
    <w:rsid w:val="002D58A2"/>
    <w:rsid w:val="002D5A95"/>
    <w:rsid w:val="002D65AD"/>
    <w:rsid w:val="002D6782"/>
    <w:rsid w:val="002D74A4"/>
    <w:rsid w:val="002D74F4"/>
    <w:rsid w:val="002D7B50"/>
    <w:rsid w:val="002D7DB2"/>
    <w:rsid w:val="002D7EA8"/>
    <w:rsid w:val="002E00E1"/>
    <w:rsid w:val="002E03AE"/>
    <w:rsid w:val="002E04B7"/>
    <w:rsid w:val="002E0542"/>
    <w:rsid w:val="002E05F2"/>
    <w:rsid w:val="002E0E87"/>
    <w:rsid w:val="002E0F36"/>
    <w:rsid w:val="002E13CF"/>
    <w:rsid w:val="002E1FA9"/>
    <w:rsid w:val="002E201C"/>
    <w:rsid w:val="002E236F"/>
    <w:rsid w:val="002E2478"/>
    <w:rsid w:val="002E3956"/>
    <w:rsid w:val="002E469E"/>
    <w:rsid w:val="002E4C01"/>
    <w:rsid w:val="002E4D50"/>
    <w:rsid w:val="002E52AB"/>
    <w:rsid w:val="002E55FF"/>
    <w:rsid w:val="002E587E"/>
    <w:rsid w:val="002E5DE8"/>
    <w:rsid w:val="002E672A"/>
    <w:rsid w:val="002E6742"/>
    <w:rsid w:val="002E6853"/>
    <w:rsid w:val="002E7EC1"/>
    <w:rsid w:val="002E7EE5"/>
    <w:rsid w:val="002F0323"/>
    <w:rsid w:val="002F134F"/>
    <w:rsid w:val="002F1D0B"/>
    <w:rsid w:val="002F1F02"/>
    <w:rsid w:val="002F27E5"/>
    <w:rsid w:val="002F2D81"/>
    <w:rsid w:val="002F43E5"/>
    <w:rsid w:val="002F4BA9"/>
    <w:rsid w:val="002F541B"/>
    <w:rsid w:val="002F5BFE"/>
    <w:rsid w:val="002F6EFF"/>
    <w:rsid w:val="002F7DF0"/>
    <w:rsid w:val="002F7FAF"/>
    <w:rsid w:val="00300AD2"/>
    <w:rsid w:val="003014FC"/>
    <w:rsid w:val="00301D64"/>
    <w:rsid w:val="00303862"/>
    <w:rsid w:val="00303AB6"/>
    <w:rsid w:val="00304640"/>
    <w:rsid w:val="00304AC1"/>
    <w:rsid w:val="00305090"/>
    <w:rsid w:val="003050C1"/>
    <w:rsid w:val="00305454"/>
    <w:rsid w:val="00305B9F"/>
    <w:rsid w:val="00305E21"/>
    <w:rsid w:val="003066C6"/>
    <w:rsid w:val="003066FA"/>
    <w:rsid w:val="00306AD6"/>
    <w:rsid w:val="00307DC7"/>
    <w:rsid w:val="00310EDB"/>
    <w:rsid w:val="00312DFC"/>
    <w:rsid w:val="0031318C"/>
    <w:rsid w:val="00313C9D"/>
    <w:rsid w:val="00313E7B"/>
    <w:rsid w:val="0031430C"/>
    <w:rsid w:val="00314C5A"/>
    <w:rsid w:val="0031531A"/>
    <w:rsid w:val="00315394"/>
    <w:rsid w:val="003156D4"/>
    <w:rsid w:val="00315D77"/>
    <w:rsid w:val="003165B1"/>
    <w:rsid w:val="00316A70"/>
    <w:rsid w:val="00316CDE"/>
    <w:rsid w:val="0031752D"/>
    <w:rsid w:val="00320642"/>
    <w:rsid w:val="00320688"/>
    <w:rsid w:val="00320B52"/>
    <w:rsid w:val="00321AAD"/>
    <w:rsid w:val="0032226D"/>
    <w:rsid w:val="00322469"/>
    <w:rsid w:val="003249F6"/>
    <w:rsid w:val="00324B2F"/>
    <w:rsid w:val="003251B3"/>
    <w:rsid w:val="0032576A"/>
    <w:rsid w:val="00325FCC"/>
    <w:rsid w:val="00326106"/>
    <w:rsid w:val="00326144"/>
    <w:rsid w:val="00326805"/>
    <w:rsid w:val="003269B7"/>
    <w:rsid w:val="00326C0E"/>
    <w:rsid w:val="003272A3"/>
    <w:rsid w:val="003272E4"/>
    <w:rsid w:val="00327B71"/>
    <w:rsid w:val="0033081D"/>
    <w:rsid w:val="00331461"/>
    <w:rsid w:val="003316A8"/>
    <w:rsid w:val="00331CC9"/>
    <w:rsid w:val="003320D7"/>
    <w:rsid w:val="00332433"/>
    <w:rsid w:val="00332D52"/>
    <w:rsid w:val="00333337"/>
    <w:rsid w:val="003338A0"/>
    <w:rsid w:val="00333A28"/>
    <w:rsid w:val="003360AD"/>
    <w:rsid w:val="0033617A"/>
    <w:rsid w:val="0033631D"/>
    <w:rsid w:val="00337409"/>
    <w:rsid w:val="003405AF"/>
    <w:rsid w:val="003405F8"/>
    <w:rsid w:val="0034088F"/>
    <w:rsid w:val="00340B3E"/>
    <w:rsid w:val="003413D2"/>
    <w:rsid w:val="003422B5"/>
    <w:rsid w:val="003426D7"/>
    <w:rsid w:val="00342857"/>
    <w:rsid w:val="00342E4F"/>
    <w:rsid w:val="00343577"/>
    <w:rsid w:val="00344BBF"/>
    <w:rsid w:val="0034509B"/>
    <w:rsid w:val="00345644"/>
    <w:rsid w:val="00345D7A"/>
    <w:rsid w:val="0034607E"/>
    <w:rsid w:val="00346B6D"/>
    <w:rsid w:val="00346BA3"/>
    <w:rsid w:val="00347356"/>
    <w:rsid w:val="00350896"/>
    <w:rsid w:val="00350C31"/>
    <w:rsid w:val="00351063"/>
    <w:rsid w:val="00351457"/>
    <w:rsid w:val="003519CD"/>
    <w:rsid w:val="00351A3A"/>
    <w:rsid w:val="0035455F"/>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796"/>
    <w:rsid w:val="003679D3"/>
    <w:rsid w:val="00367A87"/>
    <w:rsid w:val="00367EE7"/>
    <w:rsid w:val="00370181"/>
    <w:rsid w:val="003705EA"/>
    <w:rsid w:val="00370A56"/>
    <w:rsid w:val="0037223C"/>
    <w:rsid w:val="00372842"/>
    <w:rsid w:val="003729A5"/>
    <w:rsid w:val="00372C89"/>
    <w:rsid w:val="00372E9A"/>
    <w:rsid w:val="003735B9"/>
    <w:rsid w:val="00374677"/>
    <w:rsid w:val="00375850"/>
    <w:rsid w:val="0037632F"/>
    <w:rsid w:val="00377B26"/>
    <w:rsid w:val="00377B46"/>
    <w:rsid w:val="00381014"/>
    <w:rsid w:val="003811A8"/>
    <w:rsid w:val="00381604"/>
    <w:rsid w:val="00381C68"/>
    <w:rsid w:val="00381F60"/>
    <w:rsid w:val="00383430"/>
    <w:rsid w:val="00383AB0"/>
    <w:rsid w:val="0038437A"/>
    <w:rsid w:val="003847BB"/>
    <w:rsid w:val="00384814"/>
    <w:rsid w:val="00384C0A"/>
    <w:rsid w:val="00384F29"/>
    <w:rsid w:val="00385B16"/>
    <w:rsid w:val="00385B96"/>
    <w:rsid w:val="00385DA2"/>
    <w:rsid w:val="0038637D"/>
    <w:rsid w:val="00386C07"/>
    <w:rsid w:val="00386F58"/>
    <w:rsid w:val="0038700D"/>
    <w:rsid w:val="003874E2"/>
    <w:rsid w:val="003877BE"/>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831"/>
    <w:rsid w:val="00396972"/>
    <w:rsid w:val="003971A1"/>
    <w:rsid w:val="003A0DDD"/>
    <w:rsid w:val="003A12B6"/>
    <w:rsid w:val="003A1855"/>
    <w:rsid w:val="003A2012"/>
    <w:rsid w:val="003A20D5"/>
    <w:rsid w:val="003A24CC"/>
    <w:rsid w:val="003A2EE8"/>
    <w:rsid w:val="003A373C"/>
    <w:rsid w:val="003A5378"/>
    <w:rsid w:val="003A6008"/>
    <w:rsid w:val="003A703F"/>
    <w:rsid w:val="003A77E2"/>
    <w:rsid w:val="003A7D00"/>
    <w:rsid w:val="003A7E2B"/>
    <w:rsid w:val="003A7E40"/>
    <w:rsid w:val="003B0336"/>
    <w:rsid w:val="003B058A"/>
    <w:rsid w:val="003B0A3A"/>
    <w:rsid w:val="003B0D79"/>
    <w:rsid w:val="003B1CCB"/>
    <w:rsid w:val="003B2930"/>
    <w:rsid w:val="003B31A7"/>
    <w:rsid w:val="003B367F"/>
    <w:rsid w:val="003B3BC8"/>
    <w:rsid w:val="003B430E"/>
    <w:rsid w:val="003B47DE"/>
    <w:rsid w:val="003B4B51"/>
    <w:rsid w:val="003B4E00"/>
    <w:rsid w:val="003B514E"/>
    <w:rsid w:val="003B636A"/>
    <w:rsid w:val="003B68C2"/>
    <w:rsid w:val="003B69CE"/>
    <w:rsid w:val="003B71FE"/>
    <w:rsid w:val="003C011C"/>
    <w:rsid w:val="003C0B60"/>
    <w:rsid w:val="003C1B97"/>
    <w:rsid w:val="003C22FC"/>
    <w:rsid w:val="003C3292"/>
    <w:rsid w:val="003C3C1E"/>
    <w:rsid w:val="003C4134"/>
    <w:rsid w:val="003C435B"/>
    <w:rsid w:val="003C48B4"/>
    <w:rsid w:val="003C4EBE"/>
    <w:rsid w:val="003C62EC"/>
    <w:rsid w:val="003C685A"/>
    <w:rsid w:val="003C6E9C"/>
    <w:rsid w:val="003C7393"/>
    <w:rsid w:val="003C746F"/>
    <w:rsid w:val="003C76E6"/>
    <w:rsid w:val="003C7C25"/>
    <w:rsid w:val="003C7F12"/>
    <w:rsid w:val="003D03D6"/>
    <w:rsid w:val="003D14C8"/>
    <w:rsid w:val="003D1517"/>
    <w:rsid w:val="003D2DA0"/>
    <w:rsid w:val="003D34C3"/>
    <w:rsid w:val="003D3D83"/>
    <w:rsid w:val="003D4685"/>
    <w:rsid w:val="003D4A41"/>
    <w:rsid w:val="003D5ADB"/>
    <w:rsid w:val="003D646C"/>
    <w:rsid w:val="003D663E"/>
    <w:rsid w:val="003D6793"/>
    <w:rsid w:val="003D6B03"/>
    <w:rsid w:val="003D75D8"/>
    <w:rsid w:val="003E006E"/>
    <w:rsid w:val="003E0E96"/>
    <w:rsid w:val="003E20F7"/>
    <w:rsid w:val="003E336A"/>
    <w:rsid w:val="003E4048"/>
    <w:rsid w:val="003E455D"/>
    <w:rsid w:val="003E60DA"/>
    <w:rsid w:val="003E616A"/>
    <w:rsid w:val="003E6E00"/>
    <w:rsid w:val="003E7111"/>
    <w:rsid w:val="003E7940"/>
    <w:rsid w:val="003E7F7A"/>
    <w:rsid w:val="003F01BD"/>
    <w:rsid w:val="003F0486"/>
    <w:rsid w:val="003F048E"/>
    <w:rsid w:val="003F0AFF"/>
    <w:rsid w:val="003F171F"/>
    <w:rsid w:val="003F26DC"/>
    <w:rsid w:val="003F3EFD"/>
    <w:rsid w:val="003F42FF"/>
    <w:rsid w:val="003F45C2"/>
    <w:rsid w:val="003F4B48"/>
    <w:rsid w:val="003F4DDC"/>
    <w:rsid w:val="003F56B8"/>
    <w:rsid w:val="003F6327"/>
    <w:rsid w:val="003F765B"/>
    <w:rsid w:val="003F7CB8"/>
    <w:rsid w:val="004001F0"/>
    <w:rsid w:val="00400CB4"/>
    <w:rsid w:val="00401386"/>
    <w:rsid w:val="004013E6"/>
    <w:rsid w:val="004016F6"/>
    <w:rsid w:val="0040188F"/>
    <w:rsid w:val="00401E31"/>
    <w:rsid w:val="00402BBA"/>
    <w:rsid w:val="0040344F"/>
    <w:rsid w:val="004035D0"/>
    <w:rsid w:val="00403795"/>
    <w:rsid w:val="004041FB"/>
    <w:rsid w:val="004056B6"/>
    <w:rsid w:val="00405764"/>
    <w:rsid w:val="00405918"/>
    <w:rsid w:val="00405D4E"/>
    <w:rsid w:val="00406745"/>
    <w:rsid w:val="0040674B"/>
    <w:rsid w:val="00406B32"/>
    <w:rsid w:val="004074FA"/>
    <w:rsid w:val="00407A56"/>
    <w:rsid w:val="00407FCC"/>
    <w:rsid w:val="0041035A"/>
    <w:rsid w:val="004112D1"/>
    <w:rsid w:val="004113C9"/>
    <w:rsid w:val="004120DF"/>
    <w:rsid w:val="004139FF"/>
    <w:rsid w:val="00414909"/>
    <w:rsid w:val="00415034"/>
    <w:rsid w:val="00415718"/>
    <w:rsid w:val="004158D0"/>
    <w:rsid w:val="004159A8"/>
    <w:rsid w:val="00415B1A"/>
    <w:rsid w:val="0041690F"/>
    <w:rsid w:val="00416D41"/>
    <w:rsid w:val="00417264"/>
    <w:rsid w:val="004173FB"/>
    <w:rsid w:val="00417AF4"/>
    <w:rsid w:val="004210C0"/>
    <w:rsid w:val="004211DD"/>
    <w:rsid w:val="00421762"/>
    <w:rsid w:val="00421D4B"/>
    <w:rsid w:val="00421ED8"/>
    <w:rsid w:val="00422907"/>
    <w:rsid w:val="00423125"/>
    <w:rsid w:val="00423309"/>
    <w:rsid w:val="004233AD"/>
    <w:rsid w:val="00424446"/>
    <w:rsid w:val="00424D18"/>
    <w:rsid w:val="00425341"/>
    <w:rsid w:val="00425D8C"/>
    <w:rsid w:val="00426B2C"/>
    <w:rsid w:val="0042784A"/>
    <w:rsid w:val="00427FA8"/>
    <w:rsid w:val="0043026B"/>
    <w:rsid w:val="004306D4"/>
    <w:rsid w:val="00432ECA"/>
    <w:rsid w:val="00433D2E"/>
    <w:rsid w:val="00433D5E"/>
    <w:rsid w:val="0043554E"/>
    <w:rsid w:val="004355D4"/>
    <w:rsid w:val="004357B1"/>
    <w:rsid w:val="00435821"/>
    <w:rsid w:val="0043583E"/>
    <w:rsid w:val="00436CCE"/>
    <w:rsid w:val="00436D1D"/>
    <w:rsid w:val="00436EAD"/>
    <w:rsid w:val="004375E1"/>
    <w:rsid w:val="00437A2F"/>
    <w:rsid w:val="00440262"/>
    <w:rsid w:val="004402E4"/>
    <w:rsid w:val="004406BF"/>
    <w:rsid w:val="00440814"/>
    <w:rsid w:val="00442731"/>
    <w:rsid w:val="00442C12"/>
    <w:rsid w:val="004434DF"/>
    <w:rsid w:val="004451A3"/>
    <w:rsid w:val="00445874"/>
    <w:rsid w:val="00445C38"/>
    <w:rsid w:val="004475F7"/>
    <w:rsid w:val="004502AC"/>
    <w:rsid w:val="0045057B"/>
    <w:rsid w:val="0045069B"/>
    <w:rsid w:val="00450B22"/>
    <w:rsid w:val="00451709"/>
    <w:rsid w:val="00451A02"/>
    <w:rsid w:val="00451DB3"/>
    <w:rsid w:val="0045273A"/>
    <w:rsid w:val="0045277C"/>
    <w:rsid w:val="004543AB"/>
    <w:rsid w:val="0045484C"/>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976"/>
    <w:rsid w:val="00465A21"/>
    <w:rsid w:val="00465DE5"/>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71E"/>
    <w:rsid w:val="004749DA"/>
    <w:rsid w:val="00474DEF"/>
    <w:rsid w:val="004758E7"/>
    <w:rsid w:val="00475BAB"/>
    <w:rsid w:val="004764C6"/>
    <w:rsid w:val="00476F97"/>
    <w:rsid w:val="00477247"/>
    <w:rsid w:val="004776BB"/>
    <w:rsid w:val="00480067"/>
    <w:rsid w:val="0048055E"/>
    <w:rsid w:val="00480C2B"/>
    <w:rsid w:val="00480DC5"/>
    <w:rsid w:val="004824A9"/>
    <w:rsid w:val="00483140"/>
    <w:rsid w:val="00483984"/>
    <w:rsid w:val="00483BC7"/>
    <w:rsid w:val="00483CF0"/>
    <w:rsid w:val="00483EF9"/>
    <w:rsid w:val="00484D4D"/>
    <w:rsid w:val="0048664F"/>
    <w:rsid w:val="004868AD"/>
    <w:rsid w:val="00486D00"/>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C9F"/>
    <w:rsid w:val="004A0DFE"/>
    <w:rsid w:val="004A1049"/>
    <w:rsid w:val="004A1E2C"/>
    <w:rsid w:val="004A1EA7"/>
    <w:rsid w:val="004A2EF8"/>
    <w:rsid w:val="004A3A21"/>
    <w:rsid w:val="004A47DE"/>
    <w:rsid w:val="004A4E3B"/>
    <w:rsid w:val="004A5C97"/>
    <w:rsid w:val="004A64F9"/>
    <w:rsid w:val="004A69CC"/>
    <w:rsid w:val="004A7314"/>
    <w:rsid w:val="004B026C"/>
    <w:rsid w:val="004B0271"/>
    <w:rsid w:val="004B0BE8"/>
    <w:rsid w:val="004B0E4A"/>
    <w:rsid w:val="004B18F4"/>
    <w:rsid w:val="004B1A98"/>
    <w:rsid w:val="004B2463"/>
    <w:rsid w:val="004B2869"/>
    <w:rsid w:val="004B305F"/>
    <w:rsid w:val="004B34C4"/>
    <w:rsid w:val="004B34E8"/>
    <w:rsid w:val="004B3981"/>
    <w:rsid w:val="004B3A03"/>
    <w:rsid w:val="004B419F"/>
    <w:rsid w:val="004B4EA9"/>
    <w:rsid w:val="004B673A"/>
    <w:rsid w:val="004B676A"/>
    <w:rsid w:val="004B69CE"/>
    <w:rsid w:val="004B6E50"/>
    <w:rsid w:val="004B7317"/>
    <w:rsid w:val="004B75B2"/>
    <w:rsid w:val="004C0B22"/>
    <w:rsid w:val="004C0BF0"/>
    <w:rsid w:val="004C0D40"/>
    <w:rsid w:val="004C114F"/>
    <w:rsid w:val="004C11A9"/>
    <w:rsid w:val="004C1D6F"/>
    <w:rsid w:val="004C27CF"/>
    <w:rsid w:val="004C2CA7"/>
    <w:rsid w:val="004C38DF"/>
    <w:rsid w:val="004C4248"/>
    <w:rsid w:val="004C446C"/>
    <w:rsid w:val="004C45C8"/>
    <w:rsid w:val="004C5F4B"/>
    <w:rsid w:val="004C612E"/>
    <w:rsid w:val="004C61B8"/>
    <w:rsid w:val="004C6C0A"/>
    <w:rsid w:val="004C6C6D"/>
    <w:rsid w:val="004C77FF"/>
    <w:rsid w:val="004C7DB0"/>
    <w:rsid w:val="004D0223"/>
    <w:rsid w:val="004D16A3"/>
    <w:rsid w:val="004D1934"/>
    <w:rsid w:val="004D1E41"/>
    <w:rsid w:val="004D2326"/>
    <w:rsid w:val="004D24EC"/>
    <w:rsid w:val="004D2E11"/>
    <w:rsid w:val="004D329C"/>
    <w:rsid w:val="004D34D1"/>
    <w:rsid w:val="004D3EC5"/>
    <w:rsid w:val="004D4431"/>
    <w:rsid w:val="004D4523"/>
    <w:rsid w:val="004D51D6"/>
    <w:rsid w:val="004D6F29"/>
    <w:rsid w:val="004D7BF5"/>
    <w:rsid w:val="004D7F9C"/>
    <w:rsid w:val="004E0378"/>
    <w:rsid w:val="004E03F4"/>
    <w:rsid w:val="004E0449"/>
    <w:rsid w:val="004E068F"/>
    <w:rsid w:val="004E09CF"/>
    <w:rsid w:val="004E0B75"/>
    <w:rsid w:val="004E13AD"/>
    <w:rsid w:val="004E1D6F"/>
    <w:rsid w:val="004E2393"/>
    <w:rsid w:val="004E3117"/>
    <w:rsid w:val="004E3A2A"/>
    <w:rsid w:val="004E3AB1"/>
    <w:rsid w:val="004E4003"/>
    <w:rsid w:val="004E4626"/>
    <w:rsid w:val="004E4E79"/>
    <w:rsid w:val="004E5380"/>
    <w:rsid w:val="004E5627"/>
    <w:rsid w:val="004E6746"/>
    <w:rsid w:val="004E6CAC"/>
    <w:rsid w:val="004E75C1"/>
    <w:rsid w:val="004E777F"/>
    <w:rsid w:val="004F0610"/>
    <w:rsid w:val="004F07F2"/>
    <w:rsid w:val="004F07F9"/>
    <w:rsid w:val="004F0E82"/>
    <w:rsid w:val="004F1523"/>
    <w:rsid w:val="004F1847"/>
    <w:rsid w:val="004F1F9E"/>
    <w:rsid w:val="004F2CB6"/>
    <w:rsid w:val="004F2E6E"/>
    <w:rsid w:val="004F3015"/>
    <w:rsid w:val="004F313F"/>
    <w:rsid w:val="004F3EEF"/>
    <w:rsid w:val="004F43A7"/>
    <w:rsid w:val="004F447B"/>
    <w:rsid w:val="004F497C"/>
    <w:rsid w:val="004F4FE8"/>
    <w:rsid w:val="004F531B"/>
    <w:rsid w:val="004F560C"/>
    <w:rsid w:val="004F5DBB"/>
    <w:rsid w:val="004F61A3"/>
    <w:rsid w:val="004F65C2"/>
    <w:rsid w:val="004F6874"/>
    <w:rsid w:val="004F7922"/>
    <w:rsid w:val="004F7A1F"/>
    <w:rsid w:val="004F7B47"/>
    <w:rsid w:val="0050079C"/>
    <w:rsid w:val="0050106A"/>
    <w:rsid w:val="005010BC"/>
    <w:rsid w:val="00505033"/>
    <w:rsid w:val="0050537D"/>
    <w:rsid w:val="005060AE"/>
    <w:rsid w:val="005068C4"/>
    <w:rsid w:val="00506E42"/>
    <w:rsid w:val="0050790B"/>
    <w:rsid w:val="0051037C"/>
    <w:rsid w:val="0051050F"/>
    <w:rsid w:val="00510DDC"/>
    <w:rsid w:val="00511F64"/>
    <w:rsid w:val="005131A2"/>
    <w:rsid w:val="00513BB9"/>
    <w:rsid w:val="0051440E"/>
    <w:rsid w:val="00514925"/>
    <w:rsid w:val="00514B53"/>
    <w:rsid w:val="00515061"/>
    <w:rsid w:val="00515502"/>
    <w:rsid w:val="0051556E"/>
    <w:rsid w:val="00515973"/>
    <w:rsid w:val="00517AC8"/>
    <w:rsid w:val="00517C3E"/>
    <w:rsid w:val="00520E31"/>
    <w:rsid w:val="005212F4"/>
    <w:rsid w:val="00521908"/>
    <w:rsid w:val="00522CCC"/>
    <w:rsid w:val="005237A1"/>
    <w:rsid w:val="0052397A"/>
    <w:rsid w:val="00523D5A"/>
    <w:rsid w:val="00524138"/>
    <w:rsid w:val="00524154"/>
    <w:rsid w:val="00524A2B"/>
    <w:rsid w:val="005256D6"/>
    <w:rsid w:val="00525AD8"/>
    <w:rsid w:val="00526429"/>
    <w:rsid w:val="005266C1"/>
    <w:rsid w:val="005267F4"/>
    <w:rsid w:val="005268C4"/>
    <w:rsid w:val="00527317"/>
    <w:rsid w:val="00527ED6"/>
    <w:rsid w:val="00531064"/>
    <w:rsid w:val="00531E92"/>
    <w:rsid w:val="005322F1"/>
    <w:rsid w:val="005324D7"/>
    <w:rsid w:val="005335A2"/>
    <w:rsid w:val="00533D52"/>
    <w:rsid w:val="00533DEC"/>
    <w:rsid w:val="0053618A"/>
    <w:rsid w:val="00536B03"/>
    <w:rsid w:val="00537456"/>
    <w:rsid w:val="005405B2"/>
    <w:rsid w:val="0054076A"/>
    <w:rsid w:val="00540D47"/>
    <w:rsid w:val="00540EE7"/>
    <w:rsid w:val="00541A22"/>
    <w:rsid w:val="00541EAD"/>
    <w:rsid w:val="005424C2"/>
    <w:rsid w:val="005426B2"/>
    <w:rsid w:val="00543519"/>
    <w:rsid w:val="00543640"/>
    <w:rsid w:val="005444C6"/>
    <w:rsid w:val="00544BF9"/>
    <w:rsid w:val="00544DFB"/>
    <w:rsid w:val="00544F05"/>
    <w:rsid w:val="005454B8"/>
    <w:rsid w:val="00545ACB"/>
    <w:rsid w:val="00545DB9"/>
    <w:rsid w:val="00546BF8"/>
    <w:rsid w:val="00546F2B"/>
    <w:rsid w:val="00547BA2"/>
    <w:rsid w:val="00550AC5"/>
    <w:rsid w:val="00550B09"/>
    <w:rsid w:val="00550B7E"/>
    <w:rsid w:val="00551052"/>
    <w:rsid w:val="005524ED"/>
    <w:rsid w:val="00553948"/>
    <w:rsid w:val="00554456"/>
    <w:rsid w:val="00554C03"/>
    <w:rsid w:val="00554C58"/>
    <w:rsid w:val="005550F9"/>
    <w:rsid w:val="00556338"/>
    <w:rsid w:val="00556441"/>
    <w:rsid w:val="00557031"/>
    <w:rsid w:val="00557C4C"/>
    <w:rsid w:val="00560FCB"/>
    <w:rsid w:val="00561055"/>
    <w:rsid w:val="0056111C"/>
    <w:rsid w:val="00561140"/>
    <w:rsid w:val="00561412"/>
    <w:rsid w:val="00561903"/>
    <w:rsid w:val="00561A9B"/>
    <w:rsid w:val="00561E54"/>
    <w:rsid w:val="00562FB1"/>
    <w:rsid w:val="00563068"/>
    <w:rsid w:val="0056307F"/>
    <w:rsid w:val="0056376A"/>
    <w:rsid w:val="00563B3C"/>
    <w:rsid w:val="00564068"/>
    <w:rsid w:val="005646DD"/>
    <w:rsid w:val="00564CAF"/>
    <w:rsid w:val="00564DA7"/>
    <w:rsid w:val="00565204"/>
    <w:rsid w:val="00565473"/>
    <w:rsid w:val="005658F3"/>
    <w:rsid w:val="00565DAC"/>
    <w:rsid w:val="00565F0D"/>
    <w:rsid w:val="005662DC"/>
    <w:rsid w:val="00566329"/>
    <w:rsid w:val="00567623"/>
    <w:rsid w:val="00567700"/>
    <w:rsid w:val="005701C2"/>
    <w:rsid w:val="00573560"/>
    <w:rsid w:val="00574E7B"/>
    <w:rsid w:val="00575164"/>
    <w:rsid w:val="00576B5C"/>
    <w:rsid w:val="00577540"/>
    <w:rsid w:val="005802F9"/>
    <w:rsid w:val="00580DFC"/>
    <w:rsid w:val="005827A7"/>
    <w:rsid w:val="00583D43"/>
    <w:rsid w:val="005846C3"/>
    <w:rsid w:val="00584F04"/>
    <w:rsid w:val="00585623"/>
    <w:rsid w:val="005857F7"/>
    <w:rsid w:val="0058635A"/>
    <w:rsid w:val="00587D7B"/>
    <w:rsid w:val="005904DB"/>
    <w:rsid w:val="00592825"/>
    <w:rsid w:val="00592DEC"/>
    <w:rsid w:val="00593D6D"/>
    <w:rsid w:val="00594437"/>
    <w:rsid w:val="00594B70"/>
    <w:rsid w:val="00596CFA"/>
    <w:rsid w:val="005975CE"/>
    <w:rsid w:val="005A0088"/>
    <w:rsid w:val="005A04F6"/>
    <w:rsid w:val="005A14F0"/>
    <w:rsid w:val="005A1726"/>
    <w:rsid w:val="005A1861"/>
    <w:rsid w:val="005A1A31"/>
    <w:rsid w:val="005A1DB7"/>
    <w:rsid w:val="005A361D"/>
    <w:rsid w:val="005A36C2"/>
    <w:rsid w:val="005A3719"/>
    <w:rsid w:val="005A3A2F"/>
    <w:rsid w:val="005A3D7F"/>
    <w:rsid w:val="005A3DD7"/>
    <w:rsid w:val="005A4C20"/>
    <w:rsid w:val="005A4F48"/>
    <w:rsid w:val="005A54F1"/>
    <w:rsid w:val="005A5A74"/>
    <w:rsid w:val="005A5DDE"/>
    <w:rsid w:val="005A5E74"/>
    <w:rsid w:val="005A64A8"/>
    <w:rsid w:val="005A65C5"/>
    <w:rsid w:val="005A6875"/>
    <w:rsid w:val="005A6C51"/>
    <w:rsid w:val="005A7A32"/>
    <w:rsid w:val="005A7F85"/>
    <w:rsid w:val="005B00DD"/>
    <w:rsid w:val="005B07D5"/>
    <w:rsid w:val="005B1AAB"/>
    <w:rsid w:val="005B2930"/>
    <w:rsid w:val="005B2B87"/>
    <w:rsid w:val="005B33BE"/>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A98"/>
    <w:rsid w:val="005C0B8F"/>
    <w:rsid w:val="005C194E"/>
    <w:rsid w:val="005C1DB1"/>
    <w:rsid w:val="005C226F"/>
    <w:rsid w:val="005C2294"/>
    <w:rsid w:val="005C3344"/>
    <w:rsid w:val="005C367B"/>
    <w:rsid w:val="005C4E4D"/>
    <w:rsid w:val="005C58F2"/>
    <w:rsid w:val="005C5A97"/>
    <w:rsid w:val="005C6D5D"/>
    <w:rsid w:val="005C6FD0"/>
    <w:rsid w:val="005D01C3"/>
    <w:rsid w:val="005D05FF"/>
    <w:rsid w:val="005D0FB4"/>
    <w:rsid w:val="005D1176"/>
    <w:rsid w:val="005D1747"/>
    <w:rsid w:val="005D266D"/>
    <w:rsid w:val="005D2A72"/>
    <w:rsid w:val="005D2BD7"/>
    <w:rsid w:val="005D2DE0"/>
    <w:rsid w:val="005D306D"/>
    <w:rsid w:val="005D3327"/>
    <w:rsid w:val="005D577F"/>
    <w:rsid w:val="005D5BCF"/>
    <w:rsid w:val="005D6D84"/>
    <w:rsid w:val="005D70A1"/>
    <w:rsid w:val="005D79F2"/>
    <w:rsid w:val="005D7D14"/>
    <w:rsid w:val="005D7FB5"/>
    <w:rsid w:val="005E0141"/>
    <w:rsid w:val="005E09CA"/>
    <w:rsid w:val="005E0A29"/>
    <w:rsid w:val="005E1AB4"/>
    <w:rsid w:val="005E1F48"/>
    <w:rsid w:val="005E30BB"/>
    <w:rsid w:val="005E4543"/>
    <w:rsid w:val="005E56C9"/>
    <w:rsid w:val="005E5CF7"/>
    <w:rsid w:val="005E6009"/>
    <w:rsid w:val="005E642A"/>
    <w:rsid w:val="005E721E"/>
    <w:rsid w:val="005E72E7"/>
    <w:rsid w:val="005F0857"/>
    <w:rsid w:val="005F15A9"/>
    <w:rsid w:val="005F1C2F"/>
    <w:rsid w:val="005F2CD5"/>
    <w:rsid w:val="005F2CDD"/>
    <w:rsid w:val="005F31FE"/>
    <w:rsid w:val="005F3720"/>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3BAC"/>
    <w:rsid w:val="006042CD"/>
    <w:rsid w:val="00604390"/>
    <w:rsid w:val="00605217"/>
    <w:rsid w:val="0060533A"/>
    <w:rsid w:val="006054A5"/>
    <w:rsid w:val="006059E4"/>
    <w:rsid w:val="006062A0"/>
    <w:rsid w:val="00606EDF"/>
    <w:rsid w:val="006103AA"/>
    <w:rsid w:val="0061098D"/>
    <w:rsid w:val="00611068"/>
    <w:rsid w:val="0061112F"/>
    <w:rsid w:val="00611B59"/>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0AC8"/>
    <w:rsid w:val="006212D3"/>
    <w:rsid w:val="00623571"/>
    <w:rsid w:val="00623A5E"/>
    <w:rsid w:val="00623CA9"/>
    <w:rsid w:val="00624A86"/>
    <w:rsid w:val="00625008"/>
    <w:rsid w:val="0062626B"/>
    <w:rsid w:val="00626890"/>
    <w:rsid w:val="00626930"/>
    <w:rsid w:val="00626BAC"/>
    <w:rsid w:val="006271C3"/>
    <w:rsid w:val="00627B14"/>
    <w:rsid w:val="0063001E"/>
    <w:rsid w:val="00630023"/>
    <w:rsid w:val="00630C70"/>
    <w:rsid w:val="00630D67"/>
    <w:rsid w:val="00631005"/>
    <w:rsid w:val="00632727"/>
    <w:rsid w:val="00633089"/>
    <w:rsid w:val="00633769"/>
    <w:rsid w:val="00633924"/>
    <w:rsid w:val="00633FE3"/>
    <w:rsid w:val="00634570"/>
    <w:rsid w:val="0063487C"/>
    <w:rsid w:val="00635B73"/>
    <w:rsid w:val="00635BB7"/>
    <w:rsid w:val="006363D8"/>
    <w:rsid w:val="00636CC7"/>
    <w:rsid w:val="006376E3"/>
    <w:rsid w:val="00637833"/>
    <w:rsid w:val="00637F27"/>
    <w:rsid w:val="00640D22"/>
    <w:rsid w:val="00641863"/>
    <w:rsid w:val="00641A84"/>
    <w:rsid w:val="00641DA1"/>
    <w:rsid w:val="00641E5B"/>
    <w:rsid w:val="00642784"/>
    <w:rsid w:val="00643F89"/>
    <w:rsid w:val="006445FF"/>
    <w:rsid w:val="00644BED"/>
    <w:rsid w:val="00644E2E"/>
    <w:rsid w:val="00645B87"/>
    <w:rsid w:val="00645CB4"/>
    <w:rsid w:val="00646084"/>
    <w:rsid w:val="0064650B"/>
    <w:rsid w:val="00646D7F"/>
    <w:rsid w:val="00647664"/>
    <w:rsid w:val="00647700"/>
    <w:rsid w:val="00647781"/>
    <w:rsid w:val="00647850"/>
    <w:rsid w:val="00652794"/>
    <w:rsid w:val="00652CF5"/>
    <w:rsid w:val="0065343E"/>
    <w:rsid w:val="0065398F"/>
    <w:rsid w:val="00653C7C"/>
    <w:rsid w:val="00654252"/>
    <w:rsid w:val="006543B7"/>
    <w:rsid w:val="00654EA5"/>
    <w:rsid w:val="0065587E"/>
    <w:rsid w:val="006558CD"/>
    <w:rsid w:val="00655C26"/>
    <w:rsid w:val="0065637A"/>
    <w:rsid w:val="00656998"/>
    <w:rsid w:val="00656A5C"/>
    <w:rsid w:val="00656E4D"/>
    <w:rsid w:val="00656FE1"/>
    <w:rsid w:val="006576BA"/>
    <w:rsid w:val="00660EE3"/>
    <w:rsid w:val="0066233D"/>
    <w:rsid w:val="00662D3D"/>
    <w:rsid w:val="00662F1F"/>
    <w:rsid w:val="00665030"/>
    <w:rsid w:val="00665274"/>
    <w:rsid w:val="00665670"/>
    <w:rsid w:val="006659EA"/>
    <w:rsid w:val="006661E8"/>
    <w:rsid w:val="00666424"/>
    <w:rsid w:val="006673B9"/>
    <w:rsid w:val="0066790C"/>
    <w:rsid w:val="00670C7C"/>
    <w:rsid w:val="00671480"/>
    <w:rsid w:val="006717E7"/>
    <w:rsid w:val="00671E12"/>
    <w:rsid w:val="00671FD5"/>
    <w:rsid w:val="006720BC"/>
    <w:rsid w:val="00672BF5"/>
    <w:rsid w:val="00672C73"/>
    <w:rsid w:val="00673B5E"/>
    <w:rsid w:val="00673B64"/>
    <w:rsid w:val="00675430"/>
    <w:rsid w:val="006755F0"/>
    <w:rsid w:val="00675749"/>
    <w:rsid w:val="0067707F"/>
    <w:rsid w:val="00677382"/>
    <w:rsid w:val="0067772D"/>
    <w:rsid w:val="00677AD2"/>
    <w:rsid w:val="00677F60"/>
    <w:rsid w:val="00680714"/>
    <w:rsid w:val="0068071D"/>
    <w:rsid w:val="00680C6B"/>
    <w:rsid w:val="00680E67"/>
    <w:rsid w:val="00681240"/>
    <w:rsid w:val="0068245F"/>
    <w:rsid w:val="00683068"/>
    <w:rsid w:val="00683DAD"/>
    <w:rsid w:val="00683F3D"/>
    <w:rsid w:val="0068459E"/>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3B73"/>
    <w:rsid w:val="006945A1"/>
    <w:rsid w:val="006945DD"/>
    <w:rsid w:val="00694A53"/>
    <w:rsid w:val="00695C78"/>
    <w:rsid w:val="00695E6C"/>
    <w:rsid w:val="00695EAC"/>
    <w:rsid w:val="0069651D"/>
    <w:rsid w:val="00697068"/>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9E1"/>
    <w:rsid w:val="006B4CF8"/>
    <w:rsid w:val="006B5FBC"/>
    <w:rsid w:val="006B64CE"/>
    <w:rsid w:val="006B6749"/>
    <w:rsid w:val="006B6ED2"/>
    <w:rsid w:val="006C0230"/>
    <w:rsid w:val="006C0309"/>
    <w:rsid w:val="006C1114"/>
    <w:rsid w:val="006C25AB"/>
    <w:rsid w:val="006C2DA6"/>
    <w:rsid w:val="006C3581"/>
    <w:rsid w:val="006C3EFE"/>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D12"/>
    <w:rsid w:val="006D0E85"/>
    <w:rsid w:val="006D2A66"/>
    <w:rsid w:val="006D2F72"/>
    <w:rsid w:val="006D3D40"/>
    <w:rsid w:val="006D43C1"/>
    <w:rsid w:val="006D4578"/>
    <w:rsid w:val="006D5442"/>
    <w:rsid w:val="006D6E4E"/>
    <w:rsid w:val="006D72C1"/>
    <w:rsid w:val="006D7A8E"/>
    <w:rsid w:val="006E00E3"/>
    <w:rsid w:val="006E045C"/>
    <w:rsid w:val="006E065E"/>
    <w:rsid w:val="006E0EDB"/>
    <w:rsid w:val="006E17AC"/>
    <w:rsid w:val="006E189B"/>
    <w:rsid w:val="006E1D26"/>
    <w:rsid w:val="006E2558"/>
    <w:rsid w:val="006E2902"/>
    <w:rsid w:val="006E2EAB"/>
    <w:rsid w:val="006E2F9D"/>
    <w:rsid w:val="006E37C6"/>
    <w:rsid w:val="006E3CF3"/>
    <w:rsid w:val="006E41ED"/>
    <w:rsid w:val="006E4667"/>
    <w:rsid w:val="006E486D"/>
    <w:rsid w:val="006E48BB"/>
    <w:rsid w:val="006E4A16"/>
    <w:rsid w:val="006E591A"/>
    <w:rsid w:val="006F01FF"/>
    <w:rsid w:val="006F0CB2"/>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67A6"/>
    <w:rsid w:val="006F71A6"/>
    <w:rsid w:val="006F7974"/>
    <w:rsid w:val="006F7C2C"/>
    <w:rsid w:val="00700405"/>
    <w:rsid w:val="00700D18"/>
    <w:rsid w:val="0070168D"/>
    <w:rsid w:val="00701C36"/>
    <w:rsid w:val="00702F2D"/>
    <w:rsid w:val="0070353F"/>
    <w:rsid w:val="00703B42"/>
    <w:rsid w:val="0070412C"/>
    <w:rsid w:val="0070415E"/>
    <w:rsid w:val="00704E7D"/>
    <w:rsid w:val="00705060"/>
    <w:rsid w:val="00705351"/>
    <w:rsid w:val="00705DAF"/>
    <w:rsid w:val="00706128"/>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4A99"/>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3E8D"/>
    <w:rsid w:val="00724FE4"/>
    <w:rsid w:val="007263A2"/>
    <w:rsid w:val="007266B9"/>
    <w:rsid w:val="00727351"/>
    <w:rsid w:val="00727AC5"/>
    <w:rsid w:val="00727C65"/>
    <w:rsid w:val="00727CCB"/>
    <w:rsid w:val="007300F0"/>
    <w:rsid w:val="00730EB5"/>
    <w:rsid w:val="0073245C"/>
    <w:rsid w:val="00732493"/>
    <w:rsid w:val="00733230"/>
    <w:rsid w:val="00733A43"/>
    <w:rsid w:val="00733D5F"/>
    <w:rsid w:val="00733FBB"/>
    <w:rsid w:val="00734932"/>
    <w:rsid w:val="00735D53"/>
    <w:rsid w:val="007364A3"/>
    <w:rsid w:val="007378FD"/>
    <w:rsid w:val="007403FE"/>
    <w:rsid w:val="007413EB"/>
    <w:rsid w:val="00741E41"/>
    <w:rsid w:val="00742D32"/>
    <w:rsid w:val="00742E9B"/>
    <w:rsid w:val="007444E6"/>
    <w:rsid w:val="00745262"/>
    <w:rsid w:val="007457D2"/>
    <w:rsid w:val="0074592C"/>
    <w:rsid w:val="00746098"/>
    <w:rsid w:val="00746D58"/>
    <w:rsid w:val="00746E66"/>
    <w:rsid w:val="00747578"/>
    <w:rsid w:val="00751073"/>
    <w:rsid w:val="00751AF2"/>
    <w:rsid w:val="00751BD2"/>
    <w:rsid w:val="00751FAA"/>
    <w:rsid w:val="00752188"/>
    <w:rsid w:val="00752CC6"/>
    <w:rsid w:val="00753938"/>
    <w:rsid w:val="007543CE"/>
    <w:rsid w:val="0075497E"/>
    <w:rsid w:val="00754A29"/>
    <w:rsid w:val="007552A0"/>
    <w:rsid w:val="00755861"/>
    <w:rsid w:val="00755989"/>
    <w:rsid w:val="00755BCF"/>
    <w:rsid w:val="00756100"/>
    <w:rsid w:val="00756C5F"/>
    <w:rsid w:val="00756D69"/>
    <w:rsid w:val="00757029"/>
    <w:rsid w:val="007602D4"/>
    <w:rsid w:val="007607D0"/>
    <w:rsid w:val="00760D96"/>
    <w:rsid w:val="0076124A"/>
    <w:rsid w:val="0076161B"/>
    <w:rsid w:val="00761CB5"/>
    <w:rsid w:val="0076216B"/>
    <w:rsid w:val="00762547"/>
    <w:rsid w:val="00763137"/>
    <w:rsid w:val="00763F8B"/>
    <w:rsid w:val="0076417E"/>
    <w:rsid w:val="00764C15"/>
    <w:rsid w:val="0076617F"/>
    <w:rsid w:val="007662C7"/>
    <w:rsid w:val="00766862"/>
    <w:rsid w:val="0076743B"/>
    <w:rsid w:val="007675DD"/>
    <w:rsid w:val="007702BF"/>
    <w:rsid w:val="007705F0"/>
    <w:rsid w:val="00771026"/>
    <w:rsid w:val="00771CAC"/>
    <w:rsid w:val="00772036"/>
    <w:rsid w:val="00773605"/>
    <w:rsid w:val="007738D3"/>
    <w:rsid w:val="007739A3"/>
    <w:rsid w:val="007739FB"/>
    <w:rsid w:val="00773BD9"/>
    <w:rsid w:val="00773CB0"/>
    <w:rsid w:val="00773D71"/>
    <w:rsid w:val="00774CA9"/>
    <w:rsid w:val="00775526"/>
    <w:rsid w:val="0077685B"/>
    <w:rsid w:val="00776B0B"/>
    <w:rsid w:val="0077765A"/>
    <w:rsid w:val="007776C5"/>
    <w:rsid w:val="00780032"/>
    <w:rsid w:val="00780636"/>
    <w:rsid w:val="00780E86"/>
    <w:rsid w:val="00781727"/>
    <w:rsid w:val="00782CF3"/>
    <w:rsid w:val="00782E69"/>
    <w:rsid w:val="007830EB"/>
    <w:rsid w:val="007836BC"/>
    <w:rsid w:val="00783959"/>
    <w:rsid w:val="007869F9"/>
    <w:rsid w:val="00786CBB"/>
    <w:rsid w:val="00786E21"/>
    <w:rsid w:val="007878B5"/>
    <w:rsid w:val="0079038E"/>
    <w:rsid w:val="00790EBB"/>
    <w:rsid w:val="00791C6E"/>
    <w:rsid w:val="007921F7"/>
    <w:rsid w:val="00792909"/>
    <w:rsid w:val="00792BC6"/>
    <w:rsid w:val="00792C3F"/>
    <w:rsid w:val="00792EE2"/>
    <w:rsid w:val="00793105"/>
    <w:rsid w:val="007931E8"/>
    <w:rsid w:val="00793333"/>
    <w:rsid w:val="00793776"/>
    <w:rsid w:val="007939C7"/>
    <w:rsid w:val="0079460F"/>
    <w:rsid w:val="00794643"/>
    <w:rsid w:val="00794C59"/>
    <w:rsid w:val="00794E46"/>
    <w:rsid w:val="007952DE"/>
    <w:rsid w:val="00795479"/>
    <w:rsid w:val="00796292"/>
    <w:rsid w:val="007965D9"/>
    <w:rsid w:val="00796FA9"/>
    <w:rsid w:val="007972D5"/>
    <w:rsid w:val="00797DD9"/>
    <w:rsid w:val="007A0789"/>
    <w:rsid w:val="007A130E"/>
    <w:rsid w:val="007A18B1"/>
    <w:rsid w:val="007A1BBD"/>
    <w:rsid w:val="007A1F08"/>
    <w:rsid w:val="007A25FA"/>
    <w:rsid w:val="007A317F"/>
    <w:rsid w:val="007A3520"/>
    <w:rsid w:val="007A3604"/>
    <w:rsid w:val="007A3878"/>
    <w:rsid w:val="007A3D85"/>
    <w:rsid w:val="007A3E0D"/>
    <w:rsid w:val="007A436D"/>
    <w:rsid w:val="007A54F6"/>
    <w:rsid w:val="007A572A"/>
    <w:rsid w:val="007A5950"/>
    <w:rsid w:val="007A633F"/>
    <w:rsid w:val="007A6D91"/>
    <w:rsid w:val="007A7618"/>
    <w:rsid w:val="007A7823"/>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3572"/>
    <w:rsid w:val="007C3590"/>
    <w:rsid w:val="007C387A"/>
    <w:rsid w:val="007C43D6"/>
    <w:rsid w:val="007C47FF"/>
    <w:rsid w:val="007C57D9"/>
    <w:rsid w:val="007C660F"/>
    <w:rsid w:val="007C6664"/>
    <w:rsid w:val="007C69AE"/>
    <w:rsid w:val="007C6CEF"/>
    <w:rsid w:val="007C6E23"/>
    <w:rsid w:val="007C6FE9"/>
    <w:rsid w:val="007C7688"/>
    <w:rsid w:val="007C76E3"/>
    <w:rsid w:val="007C7AF2"/>
    <w:rsid w:val="007C7DD9"/>
    <w:rsid w:val="007D0DC9"/>
    <w:rsid w:val="007D0ECD"/>
    <w:rsid w:val="007D2882"/>
    <w:rsid w:val="007D2C31"/>
    <w:rsid w:val="007D3D74"/>
    <w:rsid w:val="007D445F"/>
    <w:rsid w:val="007D44B4"/>
    <w:rsid w:val="007D4DED"/>
    <w:rsid w:val="007D513B"/>
    <w:rsid w:val="007D5BA2"/>
    <w:rsid w:val="007D5ED3"/>
    <w:rsid w:val="007D6FB9"/>
    <w:rsid w:val="007E0595"/>
    <w:rsid w:val="007E0A63"/>
    <w:rsid w:val="007E0C63"/>
    <w:rsid w:val="007E0E05"/>
    <w:rsid w:val="007E0F5D"/>
    <w:rsid w:val="007E1242"/>
    <w:rsid w:val="007E23A1"/>
    <w:rsid w:val="007E259F"/>
    <w:rsid w:val="007E2C23"/>
    <w:rsid w:val="007E5306"/>
    <w:rsid w:val="007E54B8"/>
    <w:rsid w:val="007E5D12"/>
    <w:rsid w:val="007E677F"/>
    <w:rsid w:val="007E6B25"/>
    <w:rsid w:val="007F0811"/>
    <w:rsid w:val="007F152D"/>
    <w:rsid w:val="007F20EE"/>
    <w:rsid w:val="007F2821"/>
    <w:rsid w:val="007F30C6"/>
    <w:rsid w:val="007F4318"/>
    <w:rsid w:val="007F4709"/>
    <w:rsid w:val="007F47DA"/>
    <w:rsid w:val="007F4B43"/>
    <w:rsid w:val="007F4E52"/>
    <w:rsid w:val="007F4F84"/>
    <w:rsid w:val="007F55A4"/>
    <w:rsid w:val="007F5A48"/>
    <w:rsid w:val="007F6260"/>
    <w:rsid w:val="007F6343"/>
    <w:rsid w:val="007F682B"/>
    <w:rsid w:val="007F6EE5"/>
    <w:rsid w:val="00800509"/>
    <w:rsid w:val="00800725"/>
    <w:rsid w:val="00800B7F"/>
    <w:rsid w:val="0080348B"/>
    <w:rsid w:val="00803D82"/>
    <w:rsid w:val="00803D98"/>
    <w:rsid w:val="008052CE"/>
    <w:rsid w:val="00806CD6"/>
    <w:rsid w:val="0080705B"/>
    <w:rsid w:val="0080723C"/>
    <w:rsid w:val="00807F71"/>
    <w:rsid w:val="0081000F"/>
    <w:rsid w:val="00812257"/>
    <w:rsid w:val="00812657"/>
    <w:rsid w:val="00812A1A"/>
    <w:rsid w:val="00812DFF"/>
    <w:rsid w:val="0081302A"/>
    <w:rsid w:val="0081334D"/>
    <w:rsid w:val="0081383A"/>
    <w:rsid w:val="00814FC7"/>
    <w:rsid w:val="00815260"/>
    <w:rsid w:val="00816C4A"/>
    <w:rsid w:val="00817195"/>
    <w:rsid w:val="00817416"/>
    <w:rsid w:val="00820C4A"/>
    <w:rsid w:val="00821203"/>
    <w:rsid w:val="00821271"/>
    <w:rsid w:val="00821306"/>
    <w:rsid w:val="008213D9"/>
    <w:rsid w:val="00821D85"/>
    <w:rsid w:val="00823819"/>
    <w:rsid w:val="00823C4B"/>
    <w:rsid w:val="00823FB0"/>
    <w:rsid w:val="0082427D"/>
    <w:rsid w:val="00824AB1"/>
    <w:rsid w:val="00825086"/>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40C9"/>
    <w:rsid w:val="00844B4F"/>
    <w:rsid w:val="008451EB"/>
    <w:rsid w:val="00845EC1"/>
    <w:rsid w:val="008465B4"/>
    <w:rsid w:val="00846D25"/>
    <w:rsid w:val="00846F14"/>
    <w:rsid w:val="00850013"/>
    <w:rsid w:val="008500DD"/>
    <w:rsid w:val="00850191"/>
    <w:rsid w:val="00851773"/>
    <w:rsid w:val="00851E96"/>
    <w:rsid w:val="00852FA5"/>
    <w:rsid w:val="00853F7D"/>
    <w:rsid w:val="0085517F"/>
    <w:rsid w:val="0085562D"/>
    <w:rsid w:val="00855A78"/>
    <w:rsid w:val="00856154"/>
    <w:rsid w:val="00856286"/>
    <w:rsid w:val="0085657E"/>
    <w:rsid w:val="008576B0"/>
    <w:rsid w:val="0086003A"/>
    <w:rsid w:val="00860086"/>
    <w:rsid w:val="00860296"/>
    <w:rsid w:val="00860DA4"/>
    <w:rsid w:val="00860E97"/>
    <w:rsid w:val="00861390"/>
    <w:rsid w:val="00861948"/>
    <w:rsid w:val="00861D4B"/>
    <w:rsid w:val="00862011"/>
    <w:rsid w:val="00862A15"/>
    <w:rsid w:val="00862CC9"/>
    <w:rsid w:val="00862D8E"/>
    <w:rsid w:val="00862EF2"/>
    <w:rsid w:val="008641A6"/>
    <w:rsid w:val="008650A5"/>
    <w:rsid w:val="00865C3D"/>
    <w:rsid w:val="00866453"/>
    <w:rsid w:val="0086707F"/>
    <w:rsid w:val="0086734F"/>
    <w:rsid w:val="00867501"/>
    <w:rsid w:val="00867D8E"/>
    <w:rsid w:val="008700C0"/>
    <w:rsid w:val="0087099A"/>
    <w:rsid w:val="00870D79"/>
    <w:rsid w:val="00871333"/>
    <w:rsid w:val="00872386"/>
    <w:rsid w:val="008726D7"/>
    <w:rsid w:val="00873128"/>
    <w:rsid w:val="008735BC"/>
    <w:rsid w:val="008737A8"/>
    <w:rsid w:val="00873AAC"/>
    <w:rsid w:val="00873C61"/>
    <w:rsid w:val="00873DFD"/>
    <w:rsid w:val="008745D9"/>
    <w:rsid w:val="008749BF"/>
    <w:rsid w:val="00875542"/>
    <w:rsid w:val="00875E14"/>
    <w:rsid w:val="008764B2"/>
    <w:rsid w:val="0087677E"/>
    <w:rsid w:val="0087712C"/>
    <w:rsid w:val="00877429"/>
    <w:rsid w:val="00877C5D"/>
    <w:rsid w:val="0088093C"/>
    <w:rsid w:val="00880BC0"/>
    <w:rsid w:val="00881D59"/>
    <w:rsid w:val="008825D5"/>
    <w:rsid w:val="00883BF9"/>
    <w:rsid w:val="00883E75"/>
    <w:rsid w:val="00884371"/>
    <w:rsid w:val="0088452F"/>
    <w:rsid w:val="00884B7A"/>
    <w:rsid w:val="00884D47"/>
    <w:rsid w:val="00886AFE"/>
    <w:rsid w:val="00887392"/>
    <w:rsid w:val="00890C40"/>
    <w:rsid w:val="008912A7"/>
    <w:rsid w:val="0089183A"/>
    <w:rsid w:val="008920B4"/>
    <w:rsid w:val="008925EB"/>
    <w:rsid w:val="00893104"/>
    <w:rsid w:val="00893432"/>
    <w:rsid w:val="00893936"/>
    <w:rsid w:val="00893CE2"/>
    <w:rsid w:val="00893F41"/>
    <w:rsid w:val="00895144"/>
    <w:rsid w:val="0089594D"/>
    <w:rsid w:val="008972B6"/>
    <w:rsid w:val="00897339"/>
    <w:rsid w:val="00897697"/>
    <w:rsid w:val="008977E1"/>
    <w:rsid w:val="008A0044"/>
    <w:rsid w:val="008A0BFE"/>
    <w:rsid w:val="008A1932"/>
    <w:rsid w:val="008A2020"/>
    <w:rsid w:val="008A21D9"/>
    <w:rsid w:val="008A26A5"/>
    <w:rsid w:val="008A2A95"/>
    <w:rsid w:val="008A3182"/>
    <w:rsid w:val="008A3D54"/>
    <w:rsid w:val="008A411C"/>
    <w:rsid w:val="008A47CE"/>
    <w:rsid w:val="008A4D74"/>
    <w:rsid w:val="008A5933"/>
    <w:rsid w:val="008A5F2F"/>
    <w:rsid w:val="008A668F"/>
    <w:rsid w:val="008A6BAE"/>
    <w:rsid w:val="008A7350"/>
    <w:rsid w:val="008A7A72"/>
    <w:rsid w:val="008B050B"/>
    <w:rsid w:val="008B09F3"/>
    <w:rsid w:val="008B12BE"/>
    <w:rsid w:val="008B16E6"/>
    <w:rsid w:val="008B1AB2"/>
    <w:rsid w:val="008B1D9B"/>
    <w:rsid w:val="008B2042"/>
    <w:rsid w:val="008B234E"/>
    <w:rsid w:val="008B25F1"/>
    <w:rsid w:val="008B32C9"/>
    <w:rsid w:val="008B3567"/>
    <w:rsid w:val="008B36D0"/>
    <w:rsid w:val="008B38AF"/>
    <w:rsid w:val="008B3E1B"/>
    <w:rsid w:val="008B3F4B"/>
    <w:rsid w:val="008B3F4E"/>
    <w:rsid w:val="008B48EC"/>
    <w:rsid w:val="008B518E"/>
    <w:rsid w:val="008B69B8"/>
    <w:rsid w:val="008B7042"/>
    <w:rsid w:val="008B707B"/>
    <w:rsid w:val="008B7271"/>
    <w:rsid w:val="008C094A"/>
    <w:rsid w:val="008C0A5B"/>
    <w:rsid w:val="008C1570"/>
    <w:rsid w:val="008C1E3E"/>
    <w:rsid w:val="008C2059"/>
    <w:rsid w:val="008C2DBC"/>
    <w:rsid w:val="008C4969"/>
    <w:rsid w:val="008C561E"/>
    <w:rsid w:val="008C65F4"/>
    <w:rsid w:val="008C6683"/>
    <w:rsid w:val="008C7273"/>
    <w:rsid w:val="008C7C51"/>
    <w:rsid w:val="008D0E65"/>
    <w:rsid w:val="008D110A"/>
    <w:rsid w:val="008D1612"/>
    <w:rsid w:val="008D1E6A"/>
    <w:rsid w:val="008D2259"/>
    <w:rsid w:val="008D313A"/>
    <w:rsid w:val="008D3381"/>
    <w:rsid w:val="008D33FE"/>
    <w:rsid w:val="008D3B9F"/>
    <w:rsid w:val="008D3D02"/>
    <w:rsid w:val="008D4226"/>
    <w:rsid w:val="008D54C0"/>
    <w:rsid w:val="008D5ED9"/>
    <w:rsid w:val="008D7567"/>
    <w:rsid w:val="008D7640"/>
    <w:rsid w:val="008E0E86"/>
    <w:rsid w:val="008E0EE4"/>
    <w:rsid w:val="008E1C24"/>
    <w:rsid w:val="008E2626"/>
    <w:rsid w:val="008E27A9"/>
    <w:rsid w:val="008E323C"/>
    <w:rsid w:val="008E35A6"/>
    <w:rsid w:val="008E36D9"/>
    <w:rsid w:val="008E3A5C"/>
    <w:rsid w:val="008E3A9A"/>
    <w:rsid w:val="008E429E"/>
    <w:rsid w:val="008E4412"/>
    <w:rsid w:val="008E4436"/>
    <w:rsid w:val="008E5938"/>
    <w:rsid w:val="008E5D2F"/>
    <w:rsid w:val="008F1D99"/>
    <w:rsid w:val="008F1E3D"/>
    <w:rsid w:val="008F2F11"/>
    <w:rsid w:val="008F33A6"/>
    <w:rsid w:val="008F35EC"/>
    <w:rsid w:val="008F4FE8"/>
    <w:rsid w:val="008F4FED"/>
    <w:rsid w:val="008F5AAB"/>
    <w:rsid w:val="008F6200"/>
    <w:rsid w:val="008F62F8"/>
    <w:rsid w:val="008F6893"/>
    <w:rsid w:val="008F7292"/>
    <w:rsid w:val="009000F2"/>
    <w:rsid w:val="009000F6"/>
    <w:rsid w:val="0090079D"/>
    <w:rsid w:val="0090086A"/>
    <w:rsid w:val="00900D2C"/>
    <w:rsid w:val="00901807"/>
    <w:rsid w:val="00901945"/>
    <w:rsid w:val="00901F0E"/>
    <w:rsid w:val="0090274F"/>
    <w:rsid w:val="0090408F"/>
    <w:rsid w:val="009043B7"/>
    <w:rsid w:val="0090446A"/>
    <w:rsid w:val="00904A14"/>
    <w:rsid w:val="00904DC3"/>
    <w:rsid w:val="00905469"/>
    <w:rsid w:val="00905B0C"/>
    <w:rsid w:val="0090629C"/>
    <w:rsid w:val="00906EA2"/>
    <w:rsid w:val="00907278"/>
    <w:rsid w:val="009077DC"/>
    <w:rsid w:val="0091112B"/>
    <w:rsid w:val="009128B8"/>
    <w:rsid w:val="009131E5"/>
    <w:rsid w:val="0091472C"/>
    <w:rsid w:val="009149C2"/>
    <w:rsid w:val="00914C7F"/>
    <w:rsid w:val="00914FE8"/>
    <w:rsid w:val="00915351"/>
    <w:rsid w:val="00915679"/>
    <w:rsid w:val="009159C2"/>
    <w:rsid w:val="00916D22"/>
    <w:rsid w:val="0092077A"/>
    <w:rsid w:val="009219F3"/>
    <w:rsid w:val="00921DF4"/>
    <w:rsid w:val="009221CB"/>
    <w:rsid w:val="00922320"/>
    <w:rsid w:val="00923643"/>
    <w:rsid w:val="0092376C"/>
    <w:rsid w:val="00923E1A"/>
    <w:rsid w:val="00923E41"/>
    <w:rsid w:val="009243E5"/>
    <w:rsid w:val="0092490A"/>
    <w:rsid w:val="00924FDE"/>
    <w:rsid w:val="009251B9"/>
    <w:rsid w:val="00925A3E"/>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6EA5"/>
    <w:rsid w:val="00937114"/>
    <w:rsid w:val="0094015D"/>
    <w:rsid w:val="009418D4"/>
    <w:rsid w:val="00941B13"/>
    <w:rsid w:val="009441DB"/>
    <w:rsid w:val="00944834"/>
    <w:rsid w:val="00946128"/>
    <w:rsid w:val="0094633F"/>
    <w:rsid w:val="009475C1"/>
    <w:rsid w:val="009477CB"/>
    <w:rsid w:val="00947BA5"/>
    <w:rsid w:val="00950805"/>
    <w:rsid w:val="00950C0D"/>
    <w:rsid w:val="00950F3F"/>
    <w:rsid w:val="0095121C"/>
    <w:rsid w:val="009517E4"/>
    <w:rsid w:val="009518D4"/>
    <w:rsid w:val="009520BC"/>
    <w:rsid w:val="009521D2"/>
    <w:rsid w:val="00952403"/>
    <w:rsid w:val="00952BD8"/>
    <w:rsid w:val="00953573"/>
    <w:rsid w:val="009535D2"/>
    <w:rsid w:val="009549EF"/>
    <w:rsid w:val="00955C64"/>
    <w:rsid w:val="00956647"/>
    <w:rsid w:val="0095702E"/>
    <w:rsid w:val="00957409"/>
    <w:rsid w:val="00957499"/>
    <w:rsid w:val="00957BD6"/>
    <w:rsid w:val="00957ED2"/>
    <w:rsid w:val="00960DE4"/>
    <w:rsid w:val="00961164"/>
    <w:rsid w:val="00961A4F"/>
    <w:rsid w:val="00962B2E"/>
    <w:rsid w:val="00962FB8"/>
    <w:rsid w:val="0096373F"/>
    <w:rsid w:val="00963C73"/>
    <w:rsid w:val="00964007"/>
    <w:rsid w:val="009643F4"/>
    <w:rsid w:val="00964F5A"/>
    <w:rsid w:val="009653ED"/>
    <w:rsid w:val="00966AD2"/>
    <w:rsid w:val="00967867"/>
    <w:rsid w:val="00967961"/>
    <w:rsid w:val="00967A38"/>
    <w:rsid w:val="00970848"/>
    <w:rsid w:val="009716D8"/>
    <w:rsid w:val="00971D09"/>
    <w:rsid w:val="00971F54"/>
    <w:rsid w:val="00971FBF"/>
    <w:rsid w:val="00972057"/>
    <w:rsid w:val="0097227B"/>
    <w:rsid w:val="0097262E"/>
    <w:rsid w:val="0097293F"/>
    <w:rsid w:val="00974022"/>
    <w:rsid w:val="00974F00"/>
    <w:rsid w:val="0097552A"/>
    <w:rsid w:val="0097564A"/>
    <w:rsid w:val="00976BBE"/>
    <w:rsid w:val="0097741F"/>
    <w:rsid w:val="0098055B"/>
    <w:rsid w:val="009808BD"/>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9D7"/>
    <w:rsid w:val="00996EF4"/>
    <w:rsid w:val="0099703C"/>
    <w:rsid w:val="00997044"/>
    <w:rsid w:val="00997884"/>
    <w:rsid w:val="00997BC9"/>
    <w:rsid w:val="009A1694"/>
    <w:rsid w:val="009A1F7F"/>
    <w:rsid w:val="009A2BE9"/>
    <w:rsid w:val="009A2BF3"/>
    <w:rsid w:val="009A3C3E"/>
    <w:rsid w:val="009A40F6"/>
    <w:rsid w:val="009A4C2C"/>
    <w:rsid w:val="009A520A"/>
    <w:rsid w:val="009A59B3"/>
    <w:rsid w:val="009A5F76"/>
    <w:rsid w:val="009A5FAE"/>
    <w:rsid w:val="009A74DA"/>
    <w:rsid w:val="009A7E7C"/>
    <w:rsid w:val="009B05D2"/>
    <w:rsid w:val="009B0CEE"/>
    <w:rsid w:val="009B152B"/>
    <w:rsid w:val="009B2731"/>
    <w:rsid w:val="009B2DCF"/>
    <w:rsid w:val="009B3D38"/>
    <w:rsid w:val="009B4368"/>
    <w:rsid w:val="009B494C"/>
    <w:rsid w:val="009B7505"/>
    <w:rsid w:val="009B7A74"/>
    <w:rsid w:val="009C0020"/>
    <w:rsid w:val="009C03F7"/>
    <w:rsid w:val="009C10DA"/>
    <w:rsid w:val="009C1201"/>
    <w:rsid w:val="009C17EE"/>
    <w:rsid w:val="009C19FC"/>
    <w:rsid w:val="009C22FD"/>
    <w:rsid w:val="009C27F7"/>
    <w:rsid w:val="009C3BC4"/>
    <w:rsid w:val="009C3C93"/>
    <w:rsid w:val="009C3E97"/>
    <w:rsid w:val="009C4017"/>
    <w:rsid w:val="009C424E"/>
    <w:rsid w:val="009C4708"/>
    <w:rsid w:val="009C4870"/>
    <w:rsid w:val="009C4C4E"/>
    <w:rsid w:val="009C4D37"/>
    <w:rsid w:val="009C4FB5"/>
    <w:rsid w:val="009C574C"/>
    <w:rsid w:val="009C5753"/>
    <w:rsid w:val="009C5A89"/>
    <w:rsid w:val="009C5E42"/>
    <w:rsid w:val="009C620F"/>
    <w:rsid w:val="009C657D"/>
    <w:rsid w:val="009C6875"/>
    <w:rsid w:val="009C748A"/>
    <w:rsid w:val="009C7D53"/>
    <w:rsid w:val="009C7EB3"/>
    <w:rsid w:val="009D03B7"/>
    <w:rsid w:val="009D07AD"/>
    <w:rsid w:val="009D0824"/>
    <w:rsid w:val="009D1654"/>
    <w:rsid w:val="009D1BDB"/>
    <w:rsid w:val="009D2F9C"/>
    <w:rsid w:val="009D4207"/>
    <w:rsid w:val="009D4E4A"/>
    <w:rsid w:val="009D5130"/>
    <w:rsid w:val="009D53D1"/>
    <w:rsid w:val="009D53FB"/>
    <w:rsid w:val="009D6081"/>
    <w:rsid w:val="009D678C"/>
    <w:rsid w:val="009D6B9A"/>
    <w:rsid w:val="009D76B5"/>
    <w:rsid w:val="009D7BC7"/>
    <w:rsid w:val="009D7FAC"/>
    <w:rsid w:val="009E0109"/>
    <w:rsid w:val="009E0342"/>
    <w:rsid w:val="009E098B"/>
    <w:rsid w:val="009E09AB"/>
    <w:rsid w:val="009E0A39"/>
    <w:rsid w:val="009E192E"/>
    <w:rsid w:val="009E19BB"/>
    <w:rsid w:val="009E1C47"/>
    <w:rsid w:val="009E2955"/>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1F6F"/>
    <w:rsid w:val="009F2186"/>
    <w:rsid w:val="009F28DC"/>
    <w:rsid w:val="009F2EDB"/>
    <w:rsid w:val="009F30D3"/>
    <w:rsid w:val="009F33DC"/>
    <w:rsid w:val="009F385E"/>
    <w:rsid w:val="009F4550"/>
    <w:rsid w:val="009F56C0"/>
    <w:rsid w:val="009F5C76"/>
    <w:rsid w:val="00A007B4"/>
    <w:rsid w:val="00A00CA0"/>
    <w:rsid w:val="00A00E00"/>
    <w:rsid w:val="00A01221"/>
    <w:rsid w:val="00A012A8"/>
    <w:rsid w:val="00A016FF"/>
    <w:rsid w:val="00A0176B"/>
    <w:rsid w:val="00A0188F"/>
    <w:rsid w:val="00A0207F"/>
    <w:rsid w:val="00A021AF"/>
    <w:rsid w:val="00A044AA"/>
    <w:rsid w:val="00A052F0"/>
    <w:rsid w:val="00A06FB9"/>
    <w:rsid w:val="00A07F53"/>
    <w:rsid w:val="00A102F8"/>
    <w:rsid w:val="00A10A20"/>
    <w:rsid w:val="00A10FDE"/>
    <w:rsid w:val="00A117D5"/>
    <w:rsid w:val="00A11984"/>
    <w:rsid w:val="00A131F5"/>
    <w:rsid w:val="00A133C1"/>
    <w:rsid w:val="00A13414"/>
    <w:rsid w:val="00A13F2D"/>
    <w:rsid w:val="00A1475E"/>
    <w:rsid w:val="00A14F81"/>
    <w:rsid w:val="00A1535F"/>
    <w:rsid w:val="00A15A98"/>
    <w:rsid w:val="00A15CB1"/>
    <w:rsid w:val="00A15E84"/>
    <w:rsid w:val="00A16021"/>
    <w:rsid w:val="00A176DD"/>
    <w:rsid w:val="00A20FAD"/>
    <w:rsid w:val="00A2252B"/>
    <w:rsid w:val="00A22C3E"/>
    <w:rsid w:val="00A22C4D"/>
    <w:rsid w:val="00A23442"/>
    <w:rsid w:val="00A249D2"/>
    <w:rsid w:val="00A254AB"/>
    <w:rsid w:val="00A25674"/>
    <w:rsid w:val="00A266CC"/>
    <w:rsid w:val="00A26DB4"/>
    <w:rsid w:val="00A27425"/>
    <w:rsid w:val="00A27478"/>
    <w:rsid w:val="00A3023E"/>
    <w:rsid w:val="00A305C5"/>
    <w:rsid w:val="00A30919"/>
    <w:rsid w:val="00A31F05"/>
    <w:rsid w:val="00A31FD2"/>
    <w:rsid w:val="00A3404D"/>
    <w:rsid w:val="00A341AB"/>
    <w:rsid w:val="00A34290"/>
    <w:rsid w:val="00A355F9"/>
    <w:rsid w:val="00A35AA9"/>
    <w:rsid w:val="00A37309"/>
    <w:rsid w:val="00A37558"/>
    <w:rsid w:val="00A3786A"/>
    <w:rsid w:val="00A37C3C"/>
    <w:rsid w:val="00A4008C"/>
    <w:rsid w:val="00A402A8"/>
    <w:rsid w:val="00A40685"/>
    <w:rsid w:val="00A40E2F"/>
    <w:rsid w:val="00A41819"/>
    <w:rsid w:val="00A41C9A"/>
    <w:rsid w:val="00A41D73"/>
    <w:rsid w:val="00A429BD"/>
    <w:rsid w:val="00A433E8"/>
    <w:rsid w:val="00A43A1D"/>
    <w:rsid w:val="00A44854"/>
    <w:rsid w:val="00A44A45"/>
    <w:rsid w:val="00A46859"/>
    <w:rsid w:val="00A46D39"/>
    <w:rsid w:val="00A472B8"/>
    <w:rsid w:val="00A5004A"/>
    <w:rsid w:val="00A502F5"/>
    <w:rsid w:val="00A504F4"/>
    <w:rsid w:val="00A508AA"/>
    <w:rsid w:val="00A526CE"/>
    <w:rsid w:val="00A52A11"/>
    <w:rsid w:val="00A53B6E"/>
    <w:rsid w:val="00A5416E"/>
    <w:rsid w:val="00A54DC0"/>
    <w:rsid w:val="00A550C9"/>
    <w:rsid w:val="00A55228"/>
    <w:rsid w:val="00A55A04"/>
    <w:rsid w:val="00A55B20"/>
    <w:rsid w:val="00A564DE"/>
    <w:rsid w:val="00A604EC"/>
    <w:rsid w:val="00A6054E"/>
    <w:rsid w:val="00A60799"/>
    <w:rsid w:val="00A61B7F"/>
    <w:rsid w:val="00A61B91"/>
    <w:rsid w:val="00A62666"/>
    <w:rsid w:val="00A629CA"/>
    <w:rsid w:val="00A63016"/>
    <w:rsid w:val="00A63335"/>
    <w:rsid w:val="00A63685"/>
    <w:rsid w:val="00A642E7"/>
    <w:rsid w:val="00A645AC"/>
    <w:rsid w:val="00A64CC1"/>
    <w:rsid w:val="00A64FB2"/>
    <w:rsid w:val="00A65EFB"/>
    <w:rsid w:val="00A66E2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D32"/>
    <w:rsid w:val="00A82EAE"/>
    <w:rsid w:val="00A846A0"/>
    <w:rsid w:val="00A847F9"/>
    <w:rsid w:val="00A849F6"/>
    <w:rsid w:val="00A84F27"/>
    <w:rsid w:val="00A8519C"/>
    <w:rsid w:val="00A85F83"/>
    <w:rsid w:val="00A86019"/>
    <w:rsid w:val="00A86EED"/>
    <w:rsid w:val="00A8733A"/>
    <w:rsid w:val="00A87E58"/>
    <w:rsid w:val="00A9002A"/>
    <w:rsid w:val="00A9196B"/>
    <w:rsid w:val="00A91BEE"/>
    <w:rsid w:val="00A91D4B"/>
    <w:rsid w:val="00A920B2"/>
    <w:rsid w:val="00A92675"/>
    <w:rsid w:val="00A92A96"/>
    <w:rsid w:val="00A92AF0"/>
    <w:rsid w:val="00A933FE"/>
    <w:rsid w:val="00A937D5"/>
    <w:rsid w:val="00A93C70"/>
    <w:rsid w:val="00A93F07"/>
    <w:rsid w:val="00A94A32"/>
    <w:rsid w:val="00A94AFC"/>
    <w:rsid w:val="00A96B4A"/>
    <w:rsid w:val="00A96B65"/>
    <w:rsid w:val="00A971BB"/>
    <w:rsid w:val="00A979AD"/>
    <w:rsid w:val="00A97BDA"/>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8DC"/>
    <w:rsid w:val="00AA5A5C"/>
    <w:rsid w:val="00AA5A6F"/>
    <w:rsid w:val="00AA5D94"/>
    <w:rsid w:val="00AA60A5"/>
    <w:rsid w:val="00AA6B01"/>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6A58"/>
    <w:rsid w:val="00AB759A"/>
    <w:rsid w:val="00AB7B06"/>
    <w:rsid w:val="00AB7EAA"/>
    <w:rsid w:val="00AC0432"/>
    <w:rsid w:val="00AC0770"/>
    <w:rsid w:val="00AC1683"/>
    <w:rsid w:val="00AC1D82"/>
    <w:rsid w:val="00AC4094"/>
    <w:rsid w:val="00AC42B6"/>
    <w:rsid w:val="00AC4AB7"/>
    <w:rsid w:val="00AC4FCA"/>
    <w:rsid w:val="00AC5859"/>
    <w:rsid w:val="00AC5C9B"/>
    <w:rsid w:val="00AC6225"/>
    <w:rsid w:val="00AC6D24"/>
    <w:rsid w:val="00AD1065"/>
    <w:rsid w:val="00AD2270"/>
    <w:rsid w:val="00AD2771"/>
    <w:rsid w:val="00AD291B"/>
    <w:rsid w:val="00AD39C8"/>
    <w:rsid w:val="00AD3DA6"/>
    <w:rsid w:val="00AD3F3C"/>
    <w:rsid w:val="00AD41BA"/>
    <w:rsid w:val="00AD4B2F"/>
    <w:rsid w:val="00AD5F0A"/>
    <w:rsid w:val="00AD6B4F"/>
    <w:rsid w:val="00AD7812"/>
    <w:rsid w:val="00AD7C42"/>
    <w:rsid w:val="00AD7CFA"/>
    <w:rsid w:val="00AD7EC8"/>
    <w:rsid w:val="00AE0BD6"/>
    <w:rsid w:val="00AE11C1"/>
    <w:rsid w:val="00AE163D"/>
    <w:rsid w:val="00AE1C5C"/>
    <w:rsid w:val="00AE2219"/>
    <w:rsid w:val="00AE312B"/>
    <w:rsid w:val="00AE315E"/>
    <w:rsid w:val="00AE319F"/>
    <w:rsid w:val="00AE31D9"/>
    <w:rsid w:val="00AE3792"/>
    <w:rsid w:val="00AE3CF0"/>
    <w:rsid w:val="00AE4B2C"/>
    <w:rsid w:val="00AE71EE"/>
    <w:rsid w:val="00AE75AC"/>
    <w:rsid w:val="00AE7FD3"/>
    <w:rsid w:val="00AF03CF"/>
    <w:rsid w:val="00AF0A0A"/>
    <w:rsid w:val="00AF1473"/>
    <w:rsid w:val="00AF14FC"/>
    <w:rsid w:val="00AF1ED2"/>
    <w:rsid w:val="00AF1F4E"/>
    <w:rsid w:val="00AF3557"/>
    <w:rsid w:val="00AF383C"/>
    <w:rsid w:val="00AF3E33"/>
    <w:rsid w:val="00AF3F86"/>
    <w:rsid w:val="00AF440D"/>
    <w:rsid w:val="00AF4CEE"/>
    <w:rsid w:val="00AF4F2A"/>
    <w:rsid w:val="00AF5364"/>
    <w:rsid w:val="00AF584C"/>
    <w:rsid w:val="00AF5D84"/>
    <w:rsid w:val="00AF669D"/>
    <w:rsid w:val="00AF672C"/>
    <w:rsid w:val="00AF7389"/>
    <w:rsid w:val="00AF7C37"/>
    <w:rsid w:val="00B00378"/>
    <w:rsid w:val="00B00D91"/>
    <w:rsid w:val="00B00E84"/>
    <w:rsid w:val="00B012A0"/>
    <w:rsid w:val="00B02B5F"/>
    <w:rsid w:val="00B038F1"/>
    <w:rsid w:val="00B03C1B"/>
    <w:rsid w:val="00B04678"/>
    <w:rsid w:val="00B04A04"/>
    <w:rsid w:val="00B04C37"/>
    <w:rsid w:val="00B04F00"/>
    <w:rsid w:val="00B05BA6"/>
    <w:rsid w:val="00B066FE"/>
    <w:rsid w:val="00B06912"/>
    <w:rsid w:val="00B10B04"/>
    <w:rsid w:val="00B10CC6"/>
    <w:rsid w:val="00B11A61"/>
    <w:rsid w:val="00B12082"/>
    <w:rsid w:val="00B1278A"/>
    <w:rsid w:val="00B13389"/>
    <w:rsid w:val="00B1364C"/>
    <w:rsid w:val="00B141A5"/>
    <w:rsid w:val="00B14344"/>
    <w:rsid w:val="00B15286"/>
    <w:rsid w:val="00B1550D"/>
    <w:rsid w:val="00B159C0"/>
    <w:rsid w:val="00B15F6C"/>
    <w:rsid w:val="00B163E8"/>
    <w:rsid w:val="00B1666C"/>
    <w:rsid w:val="00B175F7"/>
    <w:rsid w:val="00B1767E"/>
    <w:rsid w:val="00B20760"/>
    <w:rsid w:val="00B20C4A"/>
    <w:rsid w:val="00B21676"/>
    <w:rsid w:val="00B219E1"/>
    <w:rsid w:val="00B22150"/>
    <w:rsid w:val="00B22401"/>
    <w:rsid w:val="00B226DE"/>
    <w:rsid w:val="00B22F1A"/>
    <w:rsid w:val="00B23590"/>
    <w:rsid w:val="00B236D3"/>
    <w:rsid w:val="00B239CD"/>
    <w:rsid w:val="00B241D5"/>
    <w:rsid w:val="00B24BE9"/>
    <w:rsid w:val="00B25956"/>
    <w:rsid w:val="00B25F8C"/>
    <w:rsid w:val="00B260BE"/>
    <w:rsid w:val="00B26677"/>
    <w:rsid w:val="00B269D0"/>
    <w:rsid w:val="00B26A96"/>
    <w:rsid w:val="00B274E3"/>
    <w:rsid w:val="00B2765C"/>
    <w:rsid w:val="00B27C4B"/>
    <w:rsid w:val="00B30563"/>
    <w:rsid w:val="00B30A76"/>
    <w:rsid w:val="00B32295"/>
    <w:rsid w:val="00B33024"/>
    <w:rsid w:val="00B33AB5"/>
    <w:rsid w:val="00B33C55"/>
    <w:rsid w:val="00B3412E"/>
    <w:rsid w:val="00B36241"/>
    <w:rsid w:val="00B367C4"/>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0CDB"/>
    <w:rsid w:val="00B51520"/>
    <w:rsid w:val="00B515C3"/>
    <w:rsid w:val="00B517C2"/>
    <w:rsid w:val="00B518CE"/>
    <w:rsid w:val="00B51F56"/>
    <w:rsid w:val="00B52234"/>
    <w:rsid w:val="00B53623"/>
    <w:rsid w:val="00B53D1D"/>
    <w:rsid w:val="00B53E7A"/>
    <w:rsid w:val="00B53E98"/>
    <w:rsid w:val="00B53F9B"/>
    <w:rsid w:val="00B55F64"/>
    <w:rsid w:val="00B56ECA"/>
    <w:rsid w:val="00B57093"/>
    <w:rsid w:val="00B60613"/>
    <w:rsid w:val="00B611E8"/>
    <w:rsid w:val="00B61AEC"/>
    <w:rsid w:val="00B62B7B"/>
    <w:rsid w:val="00B63816"/>
    <w:rsid w:val="00B63EF6"/>
    <w:rsid w:val="00B6440A"/>
    <w:rsid w:val="00B64BF3"/>
    <w:rsid w:val="00B65042"/>
    <w:rsid w:val="00B6560D"/>
    <w:rsid w:val="00B65844"/>
    <w:rsid w:val="00B66054"/>
    <w:rsid w:val="00B6677F"/>
    <w:rsid w:val="00B66C7A"/>
    <w:rsid w:val="00B672EA"/>
    <w:rsid w:val="00B6747B"/>
    <w:rsid w:val="00B70200"/>
    <w:rsid w:val="00B702D7"/>
    <w:rsid w:val="00B70389"/>
    <w:rsid w:val="00B70E01"/>
    <w:rsid w:val="00B728F6"/>
    <w:rsid w:val="00B72CF0"/>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443A"/>
    <w:rsid w:val="00B86289"/>
    <w:rsid w:val="00B863B3"/>
    <w:rsid w:val="00B869D3"/>
    <w:rsid w:val="00B86E44"/>
    <w:rsid w:val="00B87359"/>
    <w:rsid w:val="00B87F1C"/>
    <w:rsid w:val="00B90D8D"/>
    <w:rsid w:val="00B91263"/>
    <w:rsid w:val="00B91B61"/>
    <w:rsid w:val="00B92CF3"/>
    <w:rsid w:val="00B93849"/>
    <w:rsid w:val="00B938BD"/>
    <w:rsid w:val="00B93BC4"/>
    <w:rsid w:val="00B9407F"/>
    <w:rsid w:val="00B944E9"/>
    <w:rsid w:val="00B94896"/>
    <w:rsid w:val="00B94CDD"/>
    <w:rsid w:val="00B95A87"/>
    <w:rsid w:val="00B96DD9"/>
    <w:rsid w:val="00B97909"/>
    <w:rsid w:val="00BA14B2"/>
    <w:rsid w:val="00BA15DC"/>
    <w:rsid w:val="00BA2220"/>
    <w:rsid w:val="00BA27AB"/>
    <w:rsid w:val="00BA2C82"/>
    <w:rsid w:val="00BA5039"/>
    <w:rsid w:val="00BA583B"/>
    <w:rsid w:val="00BA5EC7"/>
    <w:rsid w:val="00BA6319"/>
    <w:rsid w:val="00BA63CE"/>
    <w:rsid w:val="00BA676E"/>
    <w:rsid w:val="00BA7227"/>
    <w:rsid w:val="00BA763C"/>
    <w:rsid w:val="00BA78B7"/>
    <w:rsid w:val="00BA7CD7"/>
    <w:rsid w:val="00BB00E5"/>
    <w:rsid w:val="00BB0E7C"/>
    <w:rsid w:val="00BB1087"/>
    <w:rsid w:val="00BB20B2"/>
    <w:rsid w:val="00BB2ACE"/>
    <w:rsid w:val="00BB2E4E"/>
    <w:rsid w:val="00BB2E62"/>
    <w:rsid w:val="00BB36C9"/>
    <w:rsid w:val="00BB5A85"/>
    <w:rsid w:val="00BB7EC0"/>
    <w:rsid w:val="00BC0207"/>
    <w:rsid w:val="00BC0A5A"/>
    <w:rsid w:val="00BC0E64"/>
    <w:rsid w:val="00BC112A"/>
    <w:rsid w:val="00BC2293"/>
    <w:rsid w:val="00BC25D1"/>
    <w:rsid w:val="00BC3BCB"/>
    <w:rsid w:val="00BC428A"/>
    <w:rsid w:val="00BC4B53"/>
    <w:rsid w:val="00BC4C40"/>
    <w:rsid w:val="00BC5981"/>
    <w:rsid w:val="00BC5AE3"/>
    <w:rsid w:val="00BC5BAD"/>
    <w:rsid w:val="00BC76C5"/>
    <w:rsid w:val="00BC774F"/>
    <w:rsid w:val="00BD138A"/>
    <w:rsid w:val="00BD14D3"/>
    <w:rsid w:val="00BD164A"/>
    <w:rsid w:val="00BD1BDD"/>
    <w:rsid w:val="00BD1D40"/>
    <w:rsid w:val="00BD1D7D"/>
    <w:rsid w:val="00BD2B4D"/>
    <w:rsid w:val="00BD2F08"/>
    <w:rsid w:val="00BD2FB9"/>
    <w:rsid w:val="00BD31C2"/>
    <w:rsid w:val="00BD3683"/>
    <w:rsid w:val="00BD450A"/>
    <w:rsid w:val="00BD4717"/>
    <w:rsid w:val="00BD48EA"/>
    <w:rsid w:val="00BD4BA8"/>
    <w:rsid w:val="00BD58A0"/>
    <w:rsid w:val="00BD59B3"/>
    <w:rsid w:val="00BD62E6"/>
    <w:rsid w:val="00BD6B0E"/>
    <w:rsid w:val="00BD7050"/>
    <w:rsid w:val="00BD720A"/>
    <w:rsid w:val="00BD7941"/>
    <w:rsid w:val="00BE0717"/>
    <w:rsid w:val="00BE0C55"/>
    <w:rsid w:val="00BE11A2"/>
    <w:rsid w:val="00BE246C"/>
    <w:rsid w:val="00BE2657"/>
    <w:rsid w:val="00BE2B83"/>
    <w:rsid w:val="00BE314D"/>
    <w:rsid w:val="00BE37AE"/>
    <w:rsid w:val="00BE3B14"/>
    <w:rsid w:val="00BE3C65"/>
    <w:rsid w:val="00BE400D"/>
    <w:rsid w:val="00BE472D"/>
    <w:rsid w:val="00BE7F4D"/>
    <w:rsid w:val="00BF03C0"/>
    <w:rsid w:val="00BF0608"/>
    <w:rsid w:val="00BF0EBF"/>
    <w:rsid w:val="00BF21D4"/>
    <w:rsid w:val="00BF2DDC"/>
    <w:rsid w:val="00BF3D30"/>
    <w:rsid w:val="00BF4A15"/>
    <w:rsid w:val="00BF4DAE"/>
    <w:rsid w:val="00BF4E0E"/>
    <w:rsid w:val="00BF4E27"/>
    <w:rsid w:val="00BF537B"/>
    <w:rsid w:val="00BF5E2F"/>
    <w:rsid w:val="00BF626A"/>
    <w:rsid w:val="00BF6D77"/>
    <w:rsid w:val="00BF7EF5"/>
    <w:rsid w:val="00C01668"/>
    <w:rsid w:val="00C018E2"/>
    <w:rsid w:val="00C02C30"/>
    <w:rsid w:val="00C03442"/>
    <w:rsid w:val="00C0378E"/>
    <w:rsid w:val="00C042E1"/>
    <w:rsid w:val="00C05730"/>
    <w:rsid w:val="00C05AF4"/>
    <w:rsid w:val="00C05AFD"/>
    <w:rsid w:val="00C0661C"/>
    <w:rsid w:val="00C0675F"/>
    <w:rsid w:val="00C06B14"/>
    <w:rsid w:val="00C0702A"/>
    <w:rsid w:val="00C0724C"/>
    <w:rsid w:val="00C07C11"/>
    <w:rsid w:val="00C07E10"/>
    <w:rsid w:val="00C10015"/>
    <w:rsid w:val="00C12ECB"/>
    <w:rsid w:val="00C14229"/>
    <w:rsid w:val="00C14ABD"/>
    <w:rsid w:val="00C151E0"/>
    <w:rsid w:val="00C15B31"/>
    <w:rsid w:val="00C166D4"/>
    <w:rsid w:val="00C168E5"/>
    <w:rsid w:val="00C1696D"/>
    <w:rsid w:val="00C17AB5"/>
    <w:rsid w:val="00C17E3F"/>
    <w:rsid w:val="00C20051"/>
    <w:rsid w:val="00C20472"/>
    <w:rsid w:val="00C20B86"/>
    <w:rsid w:val="00C21145"/>
    <w:rsid w:val="00C235A2"/>
    <w:rsid w:val="00C23615"/>
    <w:rsid w:val="00C23633"/>
    <w:rsid w:val="00C2397E"/>
    <w:rsid w:val="00C23A83"/>
    <w:rsid w:val="00C24381"/>
    <w:rsid w:val="00C243FD"/>
    <w:rsid w:val="00C24C2E"/>
    <w:rsid w:val="00C24C7A"/>
    <w:rsid w:val="00C24FFB"/>
    <w:rsid w:val="00C25C71"/>
    <w:rsid w:val="00C25CDC"/>
    <w:rsid w:val="00C25CFF"/>
    <w:rsid w:val="00C25EA6"/>
    <w:rsid w:val="00C261C1"/>
    <w:rsid w:val="00C26DBF"/>
    <w:rsid w:val="00C26F6F"/>
    <w:rsid w:val="00C30B0B"/>
    <w:rsid w:val="00C316B4"/>
    <w:rsid w:val="00C332D4"/>
    <w:rsid w:val="00C33E51"/>
    <w:rsid w:val="00C33EF8"/>
    <w:rsid w:val="00C34A50"/>
    <w:rsid w:val="00C34C45"/>
    <w:rsid w:val="00C34C47"/>
    <w:rsid w:val="00C3701A"/>
    <w:rsid w:val="00C405C8"/>
    <w:rsid w:val="00C40C2F"/>
    <w:rsid w:val="00C415AC"/>
    <w:rsid w:val="00C41BD4"/>
    <w:rsid w:val="00C4297A"/>
    <w:rsid w:val="00C42B6A"/>
    <w:rsid w:val="00C4360C"/>
    <w:rsid w:val="00C43A0B"/>
    <w:rsid w:val="00C43EDA"/>
    <w:rsid w:val="00C4414C"/>
    <w:rsid w:val="00C44606"/>
    <w:rsid w:val="00C45512"/>
    <w:rsid w:val="00C4602B"/>
    <w:rsid w:val="00C46564"/>
    <w:rsid w:val="00C46639"/>
    <w:rsid w:val="00C46762"/>
    <w:rsid w:val="00C47203"/>
    <w:rsid w:val="00C50A02"/>
    <w:rsid w:val="00C51149"/>
    <w:rsid w:val="00C5117E"/>
    <w:rsid w:val="00C512D1"/>
    <w:rsid w:val="00C5179D"/>
    <w:rsid w:val="00C51856"/>
    <w:rsid w:val="00C51AB9"/>
    <w:rsid w:val="00C51B04"/>
    <w:rsid w:val="00C5221C"/>
    <w:rsid w:val="00C53CE9"/>
    <w:rsid w:val="00C54749"/>
    <w:rsid w:val="00C54F07"/>
    <w:rsid w:val="00C5531B"/>
    <w:rsid w:val="00C55375"/>
    <w:rsid w:val="00C5685E"/>
    <w:rsid w:val="00C56906"/>
    <w:rsid w:val="00C56C98"/>
    <w:rsid w:val="00C56DEE"/>
    <w:rsid w:val="00C57120"/>
    <w:rsid w:val="00C571D5"/>
    <w:rsid w:val="00C575D4"/>
    <w:rsid w:val="00C5779D"/>
    <w:rsid w:val="00C6029A"/>
    <w:rsid w:val="00C6044C"/>
    <w:rsid w:val="00C61223"/>
    <w:rsid w:val="00C61246"/>
    <w:rsid w:val="00C61460"/>
    <w:rsid w:val="00C618A8"/>
    <w:rsid w:val="00C61A78"/>
    <w:rsid w:val="00C61B5F"/>
    <w:rsid w:val="00C62B88"/>
    <w:rsid w:val="00C634F9"/>
    <w:rsid w:val="00C637D4"/>
    <w:rsid w:val="00C643ED"/>
    <w:rsid w:val="00C64534"/>
    <w:rsid w:val="00C64D93"/>
    <w:rsid w:val="00C64F49"/>
    <w:rsid w:val="00C65200"/>
    <w:rsid w:val="00C665DE"/>
    <w:rsid w:val="00C667C3"/>
    <w:rsid w:val="00C669A8"/>
    <w:rsid w:val="00C6728B"/>
    <w:rsid w:val="00C70FF3"/>
    <w:rsid w:val="00C71528"/>
    <w:rsid w:val="00C71CF4"/>
    <w:rsid w:val="00C71F09"/>
    <w:rsid w:val="00C72588"/>
    <w:rsid w:val="00C727B9"/>
    <w:rsid w:val="00C73670"/>
    <w:rsid w:val="00C737D1"/>
    <w:rsid w:val="00C739F6"/>
    <w:rsid w:val="00C73DE0"/>
    <w:rsid w:val="00C74609"/>
    <w:rsid w:val="00C749AB"/>
    <w:rsid w:val="00C7563F"/>
    <w:rsid w:val="00C75A8F"/>
    <w:rsid w:val="00C75E18"/>
    <w:rsid w:val="00C76C0C"/>
    <w:rsid w:val="00C776BA"/>
    <w:rsid w:val="00C776CE"/>
    <w:rsid w:val="00C77E23"/>
    <w:rsid w:val="00C81716"/>
    <w:rsid w:val="00C81FE1"/>
    <w:rsid w:val="00C832CB"/>
    <w:rsid w:val="00C84085"/>
    <w:rsid w:val="00C840E0"/>
    <w:rsid w:val="00C85E17"/>
    <w:rsid w:val="00C868A7"/>
    <w:rsid w:val="00C87164"/>
    <w:rsid w:val="00C87BD0"/>
    <w:rsid w:val="00C905E5"/>
    <w:rsid w:val="00C90754"/>
    <w:rsid w:val="00C90B95"/>
    <w:rsid w:val="00C90BC4"/>
    <w:rsid w:val="00C90CA9"/>
    <w:rsid w:val="00C90E2C"/>
    <w:rsid w:val="00C92E41"/>
    <w:rsid w:val="00C92F62"/>
    <w:rsid w:val="00C93097"/>
    <w:rsid w:val="00C93B40"/>
    <w:rsid w:val="00C93DB5"/>
    <w:rsid w:val="00C94CB9"/>
    <w:rsid w:val="00C94F2B"/>
    <w:rsid w:val="00C95C2F"/>
    <w:rsid w:val="00C95F87"/>
    <w:rsid w:val="00C968EF"/>
    <w:rsid w:val="00CA0492"/>
    <w:rsid w:val="00CA0A04"/>
    <w:rsid w:val="00CA2528"/>
    <w:rsid w:val="00CA3232"/>
    <w:rsid w:val="00CA3A65"/>
    <w:rsid w:val="00CA3CAB"/>
    <w:rsid w:val="00CA3FC0"/>
    <w:rsid w:val="00CA46E9"/>
    <w:rsid w:val="00CA6A2E"/>
    <w:rsid w:val="00CA7809"/>
    <w:rsid w:val="00CA7D3E"/>
    <w:rsid w:val="00CB0317"/>
    <w:rsid w:val="00CB0662"/>
    <w:rsid w:val="00CB0A82"/>
    <w:rsid w:val="00CB0F2F"/>
    <w:rsid w:val="00CB1556"/>
    <w:rsid w:val="00CB2913"/>
    <w:rsid w:val="00CB3970"/>
    <w:rsid w:val="00CB3F63"/>
    <w:rsid w:val="00CB42B9"/>
    <w:rsid w:val="00CB4363"/>
    <w:rsid w:val="00CB4F39"/>
    <w:rsid w:val="00CB52A4"/>
    <w:rsid w:val="00CB537C"/>
    <w:rsid w:val="00CB547F"/>
    <w:rsid w:val="00CB5A26"/>
    <w:rsid w:val="00CB645B"/>
    <w:rsid w:val="00CB6A93"/>
    <w:rsid w:val="00CB7173"/>
    <w:rsid w:val="00CB77C3"/>
    <w:rsid w:val="00CB7E9C"/>
    <w:rsid w:val="00CB7F06"/>
    <w:rsid w:val="00CC0072"/>
    <w:rsid w:val="00CC0915"/>
    <w:rsid w:val="00CC1AF5"/>
    <w:rsid w:val="00CC1B74"/>
    <w:rsid w:val="00CC1EFF"/>
    <w:rsid w:val="00CC283D"/>
    <w:rsid w:val="00CC291E"/>
    <w:rsid w:val="00CC2D03"/>
    <w:rsid w:val="00CC2EB0"/>
    <w:rsid w:val="00CC3A4B"/>
    <w:rsid w:val="00CC4675"/>
    <w:rsid w:val="00CC4701"/>
    <w:rsid w:val="00CC56B4"/>
    <w:rsid w:val="00CC59F5"/>
    <w:rsid w:val="00CC5F95"/>
    <w:rsid w:val="00CC642A"/>
    <w:rsid w:val="00CC733D"/>
    <w:rsid w:val="00CC7E97"/>
    <w:rsid w:val="00CD1255"/>
    <w:rsid w:val="00CD1484"/>
    <w:rsid w:val="00CD1892"/>
    <w:rsid w:val="00CD1D00"/>
    <w:rsid w:val="00CD27AC"/>
    <w:rsid w:val="00CD2A82"/>
    <w:rsid w:val="00CD346D"/>
    <w:rsid w:val="00CD3CAB"/>
    <w:rsid w:val="00CD46A7"/>
    <w:rsid w:val="00CD4E50"/>
    <w:rsid w:val="00CD57CB"/>
    <w:rsid w:val="00CD64E1"/>
    <w:rsid w:val="00CD699D"/>
    <w:rsid w:val="00CD6AE5"/>
    <w:rsid w:val="00CD6BA3"/>
    <w:rsid w:val="00CD6CA3"/>
    <w:rsid w:val="00CD70DB"/>
    <w:rsid w:val="00CD7412"/>
    <w:rsid w:val="00CD7544"/>
    <w:rsid w:val="00CD78D4"/>
    <w:rsid w:val="00CE0697"/>
    <w:rsid w:val="00CE0ECB"/>
    <w:rsid w:val="00CE2E2E"/>
    <w:rsid w:val="00CE3A51"/>
    <w:rsid w:val="00CE41F9"/>
    <w:rsid w:val="00CE4ED0"/>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6B9"/>
    <w:rsid w:val="00CF475F"/>
    <w:rsid w:val="00CF5008"/>
    <w:rsid w:val="00CF5069"/>
    <w:rsid w:val="00CF56B1"/>
    <w:rsid w:val="00CF5E34"/>
    <w:rsid w:val="00CF7385"/>
    <w:rsid w:val="00CF7B77"/>
    <w:rsid w:val="00CF7DF5"/>
    <w:rsid w:val="00D01897"/>
    <w:rsid w:val="00D01C22"/>
    <w:rsid w:val="00D0352D"/>
    <w:rsid w:val="00D03F7C"/>
    <w:rsid w:val="00D04406"/>
    <w:rsid w:val="00D0480C"/>
    <w:rsid w:val="00D04F01"/>
    <w:rsid w:val="00D04F8B"/>
    <w:rsid w:val="00D054EF"/>
    <w:rsid w:val="00D05637"/>
    <w:rsid w:val="00D05BA9"/>
    <w:rsid w:val="00D05EB1"/>
    <w:rsid w:val="00D064D1"/>
    <w:rsid w:val="00D0650B"/>
    <w:rsid w:val="00D0659F"/>
    <w:rsid w:val="00D06E71"/>
    <w:rsid w:val="00D0714B"/>
    <w:rsid w:val="00D0764E"/>
    <w:rsid w:val="00D07D82"/>
    <w:rsid w:val="00D100E5"/>
    <w:rsid w:val="00D10327"/>
    <w:rsid w:val="00D10BE1"/>
    <w:rsid w:val="00D11FE3"/>
    <w:rsid w:val="00D12945"/>
    <w:rsid w:val="00D1343A"/>
    <w:rsid w:val="00D13D50"/>
    <w:rsid w:val="00D14101"/>
    <w:rsid w:val="00D14919"/>
    <w:rsid w:val="00D14E25"/>
    <w:rsid w:val="00D160C4"/>
    <w:rsid w:val="00D165D8"/>
    <w:rsid w:val="00D1724E"/>
    <w:rsid w:val="00D1789C"/>
    <w:rsid w:val="00D17C26"/>
    <w:rsid w:val="00D200DB"/>
    <w:rsid w:val="00D206F6"/>
    <w:rsid w:val="00D20784"/>
    <w:rsid w:val="00D20FD1"/>
    <w:rsid w:val="00D21E6F"/>
    <w:rsid w:val="00D2371E"/>
    <w:rsid w:val="00D237E0"/>
    <w:rsid w:val="00D23A17"/>
    <w:rsid w:val="00D25676"/>
    <w:rsid w:val="00D259B0"/>
    <w:rsid w:val="00D27129"/>
    <w:rsid w:val="00D279E7"/>
    <w:rsid w:val="00D27F75"/>
    <w:rsid w:val="00D3046D"/>
    <w:rsid w:val="00D30497"/>
    <w:rsid w:val="00D30B67"/>
    <w:rsid w:val="00D30F5F"/>
    <w:rsid w:val="00D31B07"/>
    <w:rsid w:val="00D31B9D"/>
    <w:rsid w:val="00D32FA0"/>
    <w:rsid w:val="00D33112"/>
    <w:rsid w:val="00D331CB"/>
    <w:rsid w:val="00D34128"/>
    <w:rsid w:val="00D3497A"/>
    <w:rsid w:val="00D364A5"/>
    <w:rsid w:val="00D36BB8"/>
    <w:rsid w:val="00D374D0"/>
    <w:rsid w:val="00D401A1"/>
    <w:rsid w:val="00D40217"/>
    <w:rsid w:val="00D40385"/>
    <w:rsid w:val="00D404CE"/>
    <w:rsid w:val="00D40727"/>
    <w:rsid w:val="00D40E8F"/>
    <w:rsid w:val="00D412BF"/>
    <w:rsid w:val="00D417C6"/>
    <w:rsid w:val="00D42B0C"/>
    <w:rsid w:val="00D42D6E"/>
    <w:rsid w:val="00D43BC9"/>
    <w:rsid w:val="00D43DEF"/>
    <w:rsid w:val="00D44259"/>
    <w:rsid w:val="00D45DDC"/>
    <w:rsid w:val="00D4752E"/>
    <w:rsid w:val="00D5064C"/>
    <w:rsid w:val="00D50C94"/>
    <w:rsid w:val="00D5251C"/>
    <w:rsid w:val="00D525B8"/>
    <w:rsid w:val="00D52F56"/>
    <w:rsid w:val="00D539DA"/>
    <w:rsid w:val="00D54A50"/>
    <w:rsid w:val="00D5538D"/>
    <w:rsid w:val="00D5556D"/>
    <w:rsid w:val="00D55C81"/>
    <w:rsid w:val="00D5674B"/>
    <w:rsid w:val="00D56AA2"/>
    <w:rsid w:val="00D56B56"/>
    <w:rsid w:val="00D56BF5"/>
    <w:rsid w:val="00D56CC3"/>
    <w:rsid w:val="00D56F99"/>
    <w:rsid w:val="00D5714C"/>
    <w:rsid w:val="00D5743F"/>
    <w:rsid w:val="00D605C2"/>
    <w:rsid w:val="00D60733"/>
    <w:rsid w:val="00D61E1D"/>
    <w:rsid w:val="00D629A4"/>
    <w:rsid w:val="00D62BDF"/>
    <w:rsid w:val="00D6312D"/>
    <w:rsid w:val="00D64F1C"/>
    <w:rsid w:val="00D651CE"/>
    <w:rsid w:val="00D6570C"/>
    <w:rsid w:val="00D65A89"/>
    <w:rsid w:val="00D65F4B"/>
    <w:rsid w:val="00D66F50"/>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2D47"/>
    <w:rsid w:val="00D73CD4"/>
    <w:rsid w:val="00D73F06"/>
    <w:rsid w:val="00D740B2"/>
    <w:rsid w:val="00D74247"/>
    <w:rsid w:val="00D743F1"/>
    <w:rsid w:val="00D744F1"/>
    <w:rsid w:val="00D7456E"/>
    <w:rsid w:val="00D753A9"/>
    <w:rsid w:val="00D755F7"/>
    <w:rsid w:val="00D75E4B"/>
    <w:rsid w:val="00D769E7"/>
    <w:rsid w:val="00D77AF6"/>
    <w:rsid w:val="00D804C5"/>
    <w:rsid w:val="00D80FDE"/>
    <w:rsid w:val="00D81A28"/>
    <w:rsid w:val="00D81A52"/>
    <w:rsid w:val="00D82B00"/>
    <w:rsid w:val="00D82BE4"/>
    <w:rsid w:val="00D82E05"/>
    <w:rsid w:val="00D8313F"/>
    <w:rsid w:val="00D838BE"/>
    <w:rsid w:val="00D83C0D"/>
    <w:rsid w:val="00D846B5"/>
    <w:rsid w:val="00D8665E"/>
    <w:rsid w:val="00D869C1"/>
    <w:rsid w:val="00D86EC6"/>
    <w:rsid w:val="00D87418"/>
    <w:rsid w:val="00D876AF"/>
    <w:rsid w:val="00D87A39"/>
    <w:rsid w:val="00D87FE6"/>
    <w:rsid w:val="00D90BC3"/>
    <w:rsid w:val="00D90DB9"/>
    <w:rsid w:val="00D90FF7"/>
    <w:rsid w:val="00D91001"/>
    <w:rsid w:val="00D91337"/>
    <w:rsid w:val="00D915C9"/>
    <w:rsid w:val="00D918DA"/>
    <w:rsid w:val="00D9198F"/>
    <w:rsid w:val="00D91FCB"/>
    <w:rsid w:val="00D92078"/>
    <w:rsid w:val="00D92A87"/>
    <w:rsid w:val="00D9384E"/>
    <w:rsid w:val="00D93862"/>
    <w:rsid w:val="00D93AEE"/>
    <w:rsid w:val="00D9413E"/>
    <w:rsid w:val="00D94C8D"/>
    <w:rsid w:val="00D96698"/>
    <w:rsid w:val="00D96876"/>
    <w:rsid w:val="00D96940"/>
    <w:rsid w:val="00D969AD"/>
    <w:rsid w:val="00D96B12"/>
    <w:rsid w:val="00D96F59"/>
    <w:rsid w:val="00D971FC"/>
    <w:rsid w:val="00DA01DC"/>
    <w:rsid w:val="00DA099C"/>
    <w:rsid w:val="00DA0A93"/>
    <w:rsid w:val="00DA0F18"/>
    <w:rsid w:val="00DA2125"/>
    <w:rsid w:val="00DA21EC"/>
    <w:rsid w:val="00DA24DE"/>
    <w:rsid w:val="00DA270C"/>
    <w:rsid w:val="00DA281F"/>
    <w:rsid w:val="00DA4A61"/>
    <w:rsid w:val="00DA61AB"/>
    <w:rsid w:val="00DA61CD"/>
    <w:rsid w:val="00DA65F4"/>
    <w:rsid w:val="00DA6EE2"/>
    <w:rsid w:val="00DA78CF"/>
    <w:rsid w:val="00DA78D5"/>
    <w:rsid w:val="00DA7A89"/>
    <w:rsid w:val="00DA7BF4"/>
    <w:rsid w:val="00DA7D1E"/>
    <w:rsid w:val="00DB00F7"/>
    <w:rsid w:val="00DB052F"/>
    <w:rsid w:val="00DB0D2C"/>
    <w:rsid w:val="00DB107D"/>
    <w:rsid w:val="00DB149F"/>
    <w:rsid w:val="00DB14D3"/>
    <w:rsid w:val="00DB154B"/>
    <w:rsid w:val="00DB1632"/>
    <w:rsid w:val="00DB1BDC"/>
    <w:rsid w:val="00DB2A95"/>
    <w:rsid w:val="00DB3490"/>
    <w:rsid w:val="00DB3593"/>
    <w:rsid w:val="00DB395F"/>
    <w:rsid w:val="00DB440B"/>
    <w:rsid w:val="00DB4426"/>
    <w:rsid w:val="00DB468E"/>
    <w:rsid w:val="00DB480F"/>
    <w:rsid w:val="00DB4B40"/>
    <w:rsid w:val="00DB4F12"/>
    <w:rsid w:val="00DB4F21"/>
    <w:rsid w:val="00DB5184"/>
    <w:rsid w:val="00DB5F7A"/>
    <w:rsid w:val="00DB6D32"/>
    <w:rsid w:val="00DB6F96"/>
    <w:rsid w:val="00DB71B9"/>
    <w:rsid w:val="00DC0281"/>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42DE"/>
    <w:rsid w:val="00DD4309"/>
    <w:rsid w:val="00DD4344"/>
    <w:rsid w:val="00DD573B"/>
    <w:rsid w:val="00DD5A1E"/>
    <w:rsid w:val="00DD5B8C"/>
    <w:rsid w:val="00DD5BEE"/>
    <w:rsid w:val="00DD5DFA"/>
    <w:rsid w:val="00DE0229"/>
    <w:rsid w:val="00DE1326"/>
    <w:rsid w:val="00DE148C"/>
    <w:rsid w:val="00DE1A9D"/>
    <w:rsid w:val="00DE1CB1"/>
    <w:rsid w:val="00DE2073"/>
    <w:rsid w:val="00DE2B27"/>
    <w:rsid w:val="00DE30AC"/>
    <w:rsid w:val="00DE4106"/>
    <w:rsid w:val="00DE466B"/>
    <w:rsid w:val="00DE48F4"/>
    <w:rsid w:val="00DE5563"/>
    <w:rsid w:val="00DE5C78"/>
    <w:rsid w:val="00DE5D48"/>
    <w:rsid w:val="00DE6A47"/>
    <w:rsid w:val="00DE6E4D"/>
    <w:rsid w:val="00DE7371"/>
    <w:rsid w:val="00DE7498"/>
    <w:rsid w:val="00DE75EF"/>
    <w:rsid w:val="00DE7611"/>
    <w:rsid w:val="00DF05A0"/>
    <w:rsid w:val="00DF1509"/>
    <w:rsid w:val="00DF1BA8"/>
    <w:rsid w:val="00DF1F63"/>
    <w:rsid w:val="00DF28F2"/>
    <w:rsid w:val="00DF2BFF"/>
    <w:rsid w:val="00DF3798"/>
    <w:rsid w:val="00DF4FF1"/>
    <w:rsid w:val="00DF6FD2"/>
    <w:rsid w:val="00DF72EF"/>
    <w:rsid w:val="00DF7724"/>
    <w:rsid w:val="00E00956"/>
    <w:rsid w:val="00E00C1E"/>
    <w:rsid w:val="00E00F5F"/>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400"/>
    <w:rsid w:val="00E1224C"/>
    <w:rsid w:val="00E1254C"/>
    <w:rsid w:val="00E12BDF"/>
    <w:rsid w:val="00E12D66"/>
    <w:rsid w:val="00E13326"/>
    <w:rsid w:val="00E13E71"/>
    <w:rsid w:val="00E14356"/>
    <w:rsid w:val="00E14961"/>
    <w:rsid w:val="00E14D76"/>
    <w:rsid w:val="00E15485"/>
    <w:rsid w:val="00E15D6C"/>
    <w:rsid w:val="00E161DE"/>
    <w:rsid w:val="00E170C7"/>
    <w:rsid w:val="00E203DE"/>
    <w:rsid w:val="00E20CE7"/>
    <w:rsid w:val="00E217B1"/>
    <w:rsid w:val="00E222FA"/>
    <w:rsid w:val="00E229CE"/>
    <w:rsid w:val="00E22B4A"/>
    <w:rsid w:val="00E2495A"/>
    <w:rsid w:val="00E24A62"/>
    <w:rsid w:val="00E24F52"/>
    <w:rsid w:val="00E25433"/>
    <w:rsid w:val="00E25755"/>
    <w:rsid w:val="00E26D2E"/>
    <w:rsid w:val="00E279B2"/>
    <w:rsid w:val="00E30324"/>
    <w:rsid w:val="00E3055B"/>
    <w:rsid w:val="00E31699"/>
    <w:rsid w:val="00E31812"/>
    <w:rsid w:val="00E31889"/>
    <w:rsid w:val="00E31CE7"/>
    <w:rsid w:val="00E333D5"/>
    <w:rsid w:val="00E3394F"/>
    <w:rsid w:val="00E35A45"/>
    <w:rsid w:val="00E37A6F"/>
    <w:rsid w:val="00E401A6"/>
    <w:rsid w:val="00E40222"/>
    <w:rsid w:val="00E40406"/>
    <w:rsid w:val="00E40BCB"/>
    <w:rsid w:val="00E41DD2"/>
    <w:rsid w:val="00E41F44"/>
    <w:rsid w:val="00E4208F"/>
    <w:rsid w:val="00E43006"/>
    <w:rsid w:val="00E43551"/>
    <w:rsid w:val="00E437FA"/>
    <w:rsid w:val="00E45A2C"/>
    <w:rsid w:val="00E46A9C"/>
    <w:rsid w:val="00E47010"/>
    <w:rsid w:val="00E50BDD"/>
    <w:rsid w:val="00E50C25"/>
    <w:rsid w:val="00E50DF3"/>
    <w:rsid w:val="00E510CF"/>
    <w:rsid w:val="00E513D7"/>
    <w:rsid w:val="00E5206C"/>
    <w:rsid w:val="00E52897"/>
    <w:rsid w:val="00E52AAB"/>
    <w:rsid w:val="00E52DF4"/>
    <w:rsid w:val="00E5448E"/>
    <w:rsid w:val="00E54E0D"/>
    <w:rsid w:val="00E558E5"/>
    <w:rsid w:val="00E56144"/>
    <w:rsid w:val="00E56795"/>
    <w:rsid w:val="00E57932"/>
    <w:rsid w:val="00E606C4"/>
    <w:rsid w:val="00E60811"/>
    <w:rsid w:val="00E60AB8"/>
    <w:rsid w:val="00E63C60"/>
    <w:rsid w:val="00E64050"/>
    <w:rsid w:val="00E6514D"/>
    <w:rsid w:val="00E65161"/>
    <w:rsid w:val="00E652C9"/>
    <w:rsid w:val="00E6593B"/>
    <w:rsid w:val="00E672C6"/>
    <w:rsid w:val="00E70192"/>
    <w:rsid w:val="00E703F9"/>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D24"/>
    <w:rsid w:val="00E834D4"/>
    <w:rsid w:val="00E8357D"/>
    <w:rsid w:val="00E84212"/>
    <w:rsid w:val="00E84C04"/>
    <w:rsid w:val="00E84F72"/>
    <w:rsid w:val="00E856A2"/>
    <w:rsid w:val="00E8572B"/>
    <w:rsid w:val="00E8575B"/>
    <w:rsid w:val="00E85929"/>
    <w:rsid w:val="00E85AD2"/>
    <w:rsid w:val="00E874BB"/>
    <w:rsid w:val="00E879A8"/>
    <w:rsid w:val="00E87AE5"/>
    <w:rsid w:val="00E87CF7"/>
    <w:rsid w:val="00E87E4D"/>
    <w:rsid w:val="00E9026F"/>
    <w:rsid w:val="00E9036E"/>
    <w:rsid w:val="00E9078A"/>
    <w:rsid w:val="00E912FD"/>
    <w:rsid w:val="00E92C6E"/>
    <w:rsid w:val="00E92D0B"/>
    <w:rsid w:val="00E93195"/>
    <w:rsid w:val="00E9519E"/>
    <w:rsid w:val="00E951D8"/>
    <w:rsid w:val="00E95C2A"/>
    <w:rsid w:val="00E961CB"/>
    <w:rsid w:val="00E963BC"/>
    <w:rsid w:val="00E96E91"/>
    <w:rsid w:val="00E97B36"/>
    <w:rsid w:val="00E97DC6"/>
    <w:rsid w:val="00E97F7A"/>
    <w:rsid w:val="00EA0010"/>
    <w:rsid w:val="00EA0143"/>
    <w:rsid w:val="00EA0400"/>
    <w:rsid w:val="00EA089B"/>
    <w:rsid w:val="00EA0902"/>
    <w:rsid w:val="00EA1A55"/>
    <w:rsid w:val="00EA1B9D"/>
    <w:rsid w:val="00EA1D28"/>
    <w:rsid w:val="00EA2686"/>
    <w:rsid w:val="00EA2E21"/>
    <w:rsid w:val="00EA2F07"/>
    <w:rsid w:val="00EA37FA"/>
    <w:rsid w:val="00EA380C"/>
    <w:rsid w:val="00EA3C2B"/>
    <w:rsid w:val="00EA7308"/>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CE6"/>
    <w:rsid w:val="00EB3E92"/>
    <w:rsid w:val="00EB541F"/>
    <w:rsid w:val="00EB54AB"/>
    <w:rsid w:val="00EB6257"/>
    <w:rsid w:val="00EB68E6"/>
    <w:rsid w:val="00EB71C9"/>
    <w:rsid w:val="00EB76BE"/>
    <w:rsid w:val="00EB7B67"/>
    <w:rsid w:val="00EC07F1"/>
    <w:rsid w:val="00EC1E8A"/>
    <w:rsid w:val="00EC328C"/>
    <w:rsid w:val="00EC5241"/>
    <w:rsid w:val="00EC56E1"/>
    <w:rsid w:val="00EC594C"/>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CA2"/>
    <w:rsid w:val="00EE00FB"/>
    <w:rsid w:val="00EE13DA"/>
    <w:rsid w:val="00EE1595"/>
    <w:rsid w:val="00EE2087"/>
    <w:rsid w:val="00EE2EA4"/>
    <w:rsid w:val="00EE3384"/>
    <w:rsid w:val="00EE499F"/>
    <w:rsid w:val="00EE56E2"/>
    <w:rsid w:val="00EE5E84"/>
    <w:rsid w:val="00EE6D45"/>
    <w:rsid w:val="00EE6E89"/>
    <w:rsid w:val="00EF0D4B"/>
    <w:rsid w:val="00EF0FE6"/>
    <w:rsid w:val="00EF10A9"/>
    <w:rsid w:val="00EF1432"/>
    <w:rsid w:val="00EF1511"/>
    <w:rsid w:val="00EF2C5F"/>
    <w:rsid w:val="00EF3AC4"/>
    <w:rsid w:val="00EF3FF9"/>
    <w:rsid w:val="00EF41AF"/>
    <w:rsid w:val="00EF4DB4"/>
    <w:rsid w:val="00EF53E2"/>
    <w:rsid w:val="00EF55E9"/>
    <w:rsid w:val="00EF5B41"/>
    <w:rsid w:val="00EF611C"/>
    <w:rsid w:val="00EF6A8F"/>
    <w:rsid w:val="00F00630"/>
    <w:rsid w:val="00F00922"/>
    <w:rsid w:val="00F00924"/>
    <w:rsid w:val="00F00AB5"/>
    <w:rsid w:val="00F0132E"/>
    <w:rsid w:val="00F01BE6"/>
    <w:rsid w:val="00F0217A"/>
    <w:rsid w:val="00F026D3"/>
    <w:rsid w:val="00F03395"/>
    <w:rsid w:val="00F033DB"/>
    <w:rsid w:val="00F034E6"/>
    <w:rsid w:val="00F03E4C"/>
    <w:rsid w:val="00F056DA"/>
    <w:rsid w:val="00F05E02"/>
    <w:rsid w:val="00F06340"/>
    <w:rsid w:val="00F0665D"/>
    <w:rsid w:val="00F06D42"/>
    <w:rsid w:val="00F07134"/>
    <w:rsid w:val="00F0724D"/>
    <w:rsid w:val="00F07378"/>
    <w:rsid w:val="00F10B81"/>
    <w:rsid w:val="00F117A4"/>
    <w:rsid w:val="00F12EEB"/>
    <w:rsid w:val="00F14536"/>
    <w:rsid w:val="00F14591"/>
    <w:rsid w:val="00F145D3"/>
    <w:rsid w:val="00F14B4B"/>
    <w:rsid w:val="00F14CBF"/>
    <w:rsid w:val="00F14CD1"/>
    <w:rsid w:val="00F15115"/>
    <w:rsid w:val="00F15C81"/>
    <w:rsid w:val="00F15D8C"/>
    <w:rsid w:val="00F15F18"/>
    <w:rsid w:val="00F16B86"/>
    <w:rsid w:val="00F16E1A"/>
    <w:rsid w:val="00F16F92"/>
    <w:rsid w:val="00F178AD"/>
    <w:rsid w:val="00F17904"/>
    <w:rsid w:val="00F17C3E"/>
    <w:rsid w:val="00F20197"/>
    <w:rsid w:val="00F20369"/>
    <w:rsid w:val="00F20570"/>
    <w:rsid w:val="00F20607"/>
    <w:rsid w:val="00F208BB"/>
    <w:rsid w:val="00F213D0"/>
    <w:rsid w:val="00F213D8"/>
    <w:rsid w:val="00F2163E"/>
    <w:rsid w:val="00F21760"/>
    <w:rsid w:val="00F2198B"/>
    <w:rsid w:val="00F21A5D"/>
    <w:rsid w:val="00F21C13"/>
    <w:rsid w:val="00F22362"/>
    <w:rsid w:val="00F22796"/>
    <w:rsid w:val="00F23157"/>
    <w:rsid w:val="00F2363A"/>
    <w:rsid w:val="00F238F7"/>
    <w:rsid w:val="00F23BA0"/>
    <w:rsid w:val="00F2443F"/>
    <w:rsid w:val="00F254C4"/>
    <w:rsid w:val="00F25641"/>
    <w:rsid w:val="00F256D8"/>
    <w:rsid w:val="00F26065"/>
    <w:rsid w:val="00F266E3"/>
    <w:rsid w:val="00F2689C"/>
    <w:rsid w:val="00F27E44"/>
    <w:rsid w:val="00F30313"/>
    <w:rsid w:val="00F303BC"/>
    <w:rsid w:val="00F317EA"/>
    <w:rsid w:val="00F318A1"/>
    <w:rsid w:val="00F31CF5"/>
    <w:rsid w:val="00F3265C"/>
    <w:rsid w:val="00F343EE"/>
    <w:rsid w:val="00F353F4"/>
    <w:rsid w:val="00F35494"/>
    <w:rsid w:val="00F35607"/>
    <w:rsid w:val="00F35D47"/>
    <w:rsid w:val="00F35DBA"/>
    <w:rsid w:val="00F36175"/>
    <w:rsid w:val="00F3619D"/>
    <w:rsid w:val="00F36EC1"/>
    <w:rsid w:val="00F3722A"/>
    <w:rsid w:val="00F37366"/>
    <w:rsid w:val="00F37C99"/>
    <w:rsid w:val="00F40747"/>
    <w:rsid w:val="00F419B8"/>
    <w:rsid w:val="00F41C0F"/>
    <w:rsid w:val="00F42856"/>
    <w:rsid w:val="00F43777"/>
    <w:rsid w:val="00F43A4C"/>
    <w:rsid w:val="00F4482B"/>
    <w:rsid w:val="00F44F02"/>
    <w:rsid w:val="00F450EC"/>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84B"/>
    <w:rsid w:val="00F51A82"/>
    <w:rsid w:val="00F51B78"/>
    <w:rsid w:val="00F52436"/>
    <w:rsid w:val="00F5254B"/>
    <w:rsid w:val="00F53A44"/>
    <w:rsid w:val="00F53E96"/>
    <w:rsid w:val="00F54E5E"/>
    <w:rsid w:val="00F551DB"/>
    <w:rsid w:val="00F559BE"/>
    <w:rsid w:val="00F561DD"/>
    <w:rsid w:val="00F56FEF"/>
    <w:rsid w:val="00F57521"/>
    <w:rsid w:val="00F60938"/>
    <w:rsid w:val="00F60C7E"/>
    <w:rsid w:val="00F60E0A"/>
    <w:rsid w:val="00F61606"/>
    <w:rsid w:val="00F61918"/>
    <w:rsid w:val="00F61C45"/>
    <w:rsid w:val="00F62066"/>
    <w:rsid w:val="00F62151"/>
    <w:rsid w:val="00F62CA8"/>
    <w:rsid w:val="00F630B4"/>
    <w:rsid w:val="00F635EF"/>
    <w:rsid w:val="00F63BF4"/>
    <w:rsid w:val="00F63C55"/>
    <w:rsid w:val="00F63C60"/>
    <w:rsid w:val="00F64991"/>
    <w:rsid w:val="00F65BA9"/>
    <w:rsid w:val="00F65BC8"/>
    <w:rsid w:val="00F66205"/>
    <w:rsid w:val="00F6630F"/>
    <w:rsid w:val="00F66419"/>
    <w:rsid w:val="00F67B58"/>
    <w:rsid w:val="00F67E81"/>
    <w:rsid w:val="00F71C68"/>
    <w:rsid w:val="00F724E2"/>
    <w:rsid w:val="00F72764"/>
    <w:rsid w:val="00F74103"/>
    <w:rsid w:val="00F745A4"/>
    <w:rsid w:val="00F74C0C"/>
    <w:rsid w:val="00F75BB5"/>
    <w:rsid w:val="00F75FD5"/>
    <w:rsid w:val="00F7604C"/>
    <w:rsid w:val="00F773A9"/>
    <w:rsid w:val="00F8130C"/>
    <w:rsid w:val="00F81623"/>
    <w:rsid w:val="00F81D19"/>
    <w:rsid w:val="00F81D25"/>
    <w:rsid w:val="00F826FC"/>
    <w:rsid w:val="00F829B9"/>
    <w:rsid w:val="00F83045"/>
    <w:rsid w:val="00F83615"/>
    <w:rsid w:val="00F8421D"/>
    <w:rsid w:val="00F85329"/>
    <w:rsid w:val="00F86079"/>
    <w:rsid w:val="00F87282"/>
    <w:rsid w:val="00F878CD"/>
    <w:rsid w:val="00F87905"/>
    <w:rsid w:val="00F90C1F"/>
    <w:rsid w:val="00F910AF"/>
    <w:rsid w:val="00F91A44"/>
    <w:rsid w:val="00F9217B"/>
    <w:rsid w:val="00F941E2"/>
    <w:rsid w:val="00F94A11"/>
    <w:rsid w:val="00F951DF"/>
    <w:rsid w:val="00F96655"/>
    <w:rsid w:val="00F9719A"/>
    <w:rsid w:val="00F97A34"/>
    <w:rsid w:val="00F97E4A"/>
    <w:rsid w:val="00F97EA1"/>
    <w:rsid w:val="00FA03BA"/>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3AC7"/>
    <w:rsid w:val="00FB44CA"/>
    <w:rsid w:val="00FB5138"/>
    <w:rsid w:val="00FB55B4"/>
    <w:rsid w:val="00FB5A71"/>
    <w:rsid w:val="00FB7823"/>
    <w:rsid w:val="00FC05B2"/>
    <w:rsid w:val="00FC08B3"/>
    <w:rsid w:val="00FC09D7"/>
    <w:rsid w:val="00FC22D0"/>
    <w:rsid w:val="00FC38D4"/>
    <w:rsid w:val="00FC391E"/>
    <w:rsid w:val="00FC3BB7"/>
    <w:rsid w:val="00FC412D"/>
    <w:rsid w:val="00FC4345"/>
    <w:rsid w:val="00FC444A"/>
    <w:rsid w:val="00FC453D"/>
    <w:rsid w:val="00FC4A89"/>
    <w:rsid w:val="00FC665F"/>
    <w:rsid w:val="00FC6D59"/>
    <w:rsid w:val="00FC78F5"/>
    <w:rsid w:val="00FC7AD2"/>
    <w:rsid w:val="00FC7FC0"/>
    <w:rsid w:val="00FD0130"/>
    <w:rsid w:val="00FD10B3"/>
    <w:rsid w:val="00FD11C3"/>
    <w:rsid w:val="00FD154E"/>
    <w:rsid w:val="00FD1E37"/>
    <w:rsid w:val="00FD24D7"/>
    <w:rsid w:val="00FD29CE"/>
    <w:rsid w:val="00FD3AE2"/>
    <w:rsid w:val="00FD3E41"/>
    <w:rsid w:val="00FD5AE4"/>
    <w:rsid w:val="00FD5F25"/>
    <w:rsid w:val="00FD60BE"/>
    <w:rsid w:val="00FD6894"/>
    <w:rsid w:val="00FD6AF0"/>
    <w:rsid w:val="00FD6B07"/>
    <w:rsid w:val="00FD704D"/>
    <w:rsid w:val="00FD79B8"/>
    <w:rsid w:val="00FE09BE"/>
    <w:rsid w:val="00FE0AD1"/>
    <w:rsid w:val="00FE1852"/>
    <w:rsid w:val="00FE2532"/>
    <w:rsid w:val="00FE289B"/>
    <w:rsid w:val="00FE32B7"/>
    <w:rsid w:val="00FE33DB"/>
    <w:rsid w:val="00FE33F5"/>
    <w:rsid w:val="00FE37DD"/>
    <w:rsid w:val="00FE3C31"/>
    <w:rsid w:val="00FE4015"/>
    <w:rsid w:val="00FE44F5"/>
    <w:rsid w:val="00FE4783"/>
    <w:rsid w:val="00FE480D"/>
    <w:rsid w:val="00FE4ACC"/>
    <w:rsid w:val="00FE7DD1"/>
    <w:rsid w:val="00FF0B4F"/>
    <w:rsid w:val="00FF0B70"/>
    <w:rsid w:val="00FF1814"/>
    <w:rsid w:val="00FF1A06"/>
    <w:rsid w:val="00FF1AD3"/>
    <w:rsid w:val="00FF1B46"/>
    <w:rsid w:val="00FF219D"/>
    <w:rsid w:val="00FF2BB3"/>
    <w:rsid w:val="00FF2C3A"/>
    <w:rsid w:val="00FF48D2"/>
    <w:rsid w:val="00FF49B4"/>
    <w:rsid w:val="00FF49F4"/>
    <w:rsid w:val="00FF651D"/>
    <w:rsid w:val="00FF6843"/>
    <w:rsid w:val="00FF7724"/>
    <w:rsid w:val="00FF78E2"/>
    <w:rsid w:val="010651D9"/>
    <w:rsid w:val="03861B5F"/>
    <w:rsid w:val="03DD35E4"/>
    <w:rsid w:val="04DD1D1A"/>
    <w:rsid w:val="059B4776"/>
    <w:rsid w:val="065A6178"/>
    <w:rsid w:val="067A0837"/>
    <w:rsid w:val="0A5B7E63"/>
    <w:rsid w:val="0C87121B"/>
    <w:rsid w:val="0DA455F0"/>
    <w:rsid w:val="0DF702FE"/>
    <w:rsid w:val="0F816ACD"/>
    <w:rsid w:val="10555DD7"/>
    <w:rsid w:val="1077064B"/>
    <w:rsid w:val="10FC16EA"/>
    <w:rsid w:val="114315DF"/>
    <w:rsid w:val="118963A1"/>
    <w:rsid w:val="123A3009"/>
    <w:rsid w:val="12645F60"/>
    <w:rsid w:val="127723A9"/>
    <w:rsid w:val="13072A44"/>
    <w:rsid w:val="152E483E"/>
    <w:rsid w:val="15CF5AE0"/>
    <w:rsid w:val="17E40FCE"/>
    <w:rsid w:val="18487620"/>
    <w:rsid w:val="1B2A271F"/>
    <w:rsid w:val="1B676507"/>
    <w:rsid w:val="1D266CE1"/>
    <w:rsid w:val="1D3963AF"/>
    <w:rsid w:val="1E022140"/>
    <w:rsid w:val="1E217115"/>
    <w:rsid w:val="1E714A66"/>
    <w:rsid w:val="1EB7510C"/>
    <w:rsid w:val="1F0820BD"/>
    <w:rsid w:val="1FE868A9"/>
    <w:rsid w:val="2094257D"/>
    <w:rsid w:val="252A3C8B"/>
    <w:rsid w:val="262025D5"/>
    <w:rsid w:val="262B2D33"/>
    <w:rsid w:val="277A1460"/>
    <w:rsid w:val="299019AB"/>
    <w:rsid w:val="2B1343D9"/>
    <w:rsid w:val="2DD15014"/>
    <w:rsid w:val="2FD25781"/>
    <w:rsid w:val="2FE16A7C"/>
    <w:rsid w:val="319C6071"/>
    <w:rsid w:val="31E506E4"/>
    <w:rsid w:val="342E63AB"/>
    <w:rsid w:val="34BB3D03"/>
    <w:rsid w:val="365302AE"/>
    <w:rsid w:val="37981C17"/>
    <w:rsid w:val="37AB2A7B"/>
    <w:rsid w:val="37DE3B35"/>
    <w:rsid w:val="38BB56A1"/>
    <w:rsid w:val="38D5369C"/>
    <w:rsid w:val="3C5F759A"/>
    <w:rsid w:val="42BE4073"/>
    <w:rsid w:val="42E1381E"/>
    <w:rsid w:val="43815876"/>
    <w:rsid w:val="443416DB"/>
    <w:rsid w:val="49E756E6"/>
    <w:rsid w:val="4C1910FC"/>
    <w:rsid w:val="51A0432A"/>
    <w:rsid w:val="51C41B1F"/>
    <w:rsid w:val="52A96B6F"/>
    <w:rsid w:val="5477163A"/>
    <w:rsid w:val="550764A4"/>
    <w:rsid w:val="55512DB6"/>
    <w:rsid w:val="55611BD4"/>
    <w:rsid w:val="57380A73"/>
    <w:rsid w:val="58AE4F0C"/>
    <w:rsid w:val="595E0E0D"/>
    <w:rsid w:val="5A2A7C7B"/>
    <w:rsid w:val="5A501FDE"/>
    <w:rsid w:val="5A905491"/>
    <w:rsid w:val="5B3630C5"/>
    <w:rsid w:val="5BC12BCC"/>
    <w:rsid w:val="5C80234E"/>
    <w:rsid w:val="5E261785"/>
    <w:rsid w:val="5EAC442C"/>
    <w:rsid w:val="5FCC5339"/>
    <w:rsid w:val="5FE40D58"/>
    <w:rsid w:val="61054A27"/>
    <w:rsid w:val="611D2366"/>
    <w:rsid w:val="62885958"/>
    <w:rsid w:val="64061770"/>
    <w:rsid w:val="64CE2EAA"/>
    <w:rsid w:val="662E75B1"/>
    <w:rsid w:val="66342C2E"/>
    <w:rsid w:val="663E784C"/>
    <w:rsid w:val="68F57607"/>
    <w:rsid w:val="6B950FB3"/>
    <w:rsid w:val="6E8E12EF"/>
    <w:rsid w:val="70F42B31"/>
    <w:rsid w:val="71D43752"/>
    <w:rsid w:val="74054D73"/>
    <w:rsid w:val="74812690"/>
    <w:rsid w:val="748B40F7"/>
    <w:rsid w:val="749C4185"/>
    <w:rsid w:val="75070EA6"/>
    <w:rsid w:val="756E7D31"/>
    <w:rsid w:val="75DA2C18"/>
    <w:rsid w:val="784F2409"/>
    <w:rsid w:val="7A67303B"/>
    <w:rsid w:val="7AAB1D04"/>
    <w:rsid w:val="7ABA4368"/>
    <w:rsid w:val="7B257FFD"/>
    <w:rsid w:val="7C727C55"/>
    <w:rsid w:val="7CAC0859"/>
    <w:rsid w:val="7E211ED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uiPriority="99"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0"/>
    <w:qFormat/>
    <w:uiPriority w:val="0"/>
    <w:pPr>
      <w:keepNext/>
      <w:keepLines/>
      <w:numPr>
        <w:ilvl w:val="0"/>
        <w:numId w:val="1"/>
      </w:numPr>
      <w:spacing w:before="340" w:beforeLines="0" w:after="330" w:afterLines="0" w:line="578" w:lineRule="auto"/>
      <w:outlineLvl w:val="0"/>
    </w:pPr>
    <w:rPr>
      <w:b/>
      <w:bCs/>
      <w:kern w:val="44"/>
      <w:sz w:val="44"/>
      <w:szCs w:val="44"/>
    </w:rPr>
  </w:style>
  <w:style w:type="paragraph" w:styleId="2">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71"/>
    <w:qFormat/>
    <w:uiPriority w:val="0"/>
    <w:pPr>
      <w:keepNext/>
      <w:keepLines/>
      <w:numPr>
        <w:ilvl w:val="3"/>
        <w:numId w:val="1"/>
      </w:numPr>
      <w:spacing w:before="280" w:beforeLines="0" w:after="290" w:afterLines="0" w:line="376" w:lineRule="auto"/>
      <w:outlineLvl w:val="3"/>
    </w:pPr>
    <w:rPr>
      <w:rFonts w:ascii="Arial" w:hAnsi="Arial" w:eastAsia="黑体"/>
      <w:b/>
      <w:bCs/>
      <w:sz w:val="28"/>
      <w:szCs w:val="28"/>
      <w:lang w:val="zh-CN"/>
    </w:rPr>
  </w:style>
  <w:style w:type="paragraph" w:styleId="6">
    <w:name w:val="heading 5"/>
    <w:basedOn w:val="1"/>
    <w:next w:val="1"/>
    <w:link w:val="72"/>
    <w:qFormat/>
    <w:uiPriority w:val="0"/>
    <w:pPr>
      <w:keepNext/>
      <w:keepLines/>
      <w:numPr>
        <w:ilvl w:val="4"/>
        <w:numId w:val="1"/>
      </w:numPr>
      <w:spacing w:before="280" w:beforeLines="0" w:after="290" w:afterLines="0" w:line="376" w:lineRule="auto"/>
      <w:outlineLvl w:val="4"/>
    </w:pPr>
    <w:rPr>
      <w:b/>
      <w:bCs/>
      <w:sz w:val="28"/>
      <w:szCs w:val="28"/>
    </w:rPr>
  </w:style>
  <w:style w:type="paragraph" w:styleId="7">
    <w:name w:val="heading 6"/>
    <w:basedOn w:val="1"/>
    <w:next w:val="1"/>
    <w:link w:val="73"/>
    <w:qFormat/>
    <w:uiPriority w:val="0"/>
    <w:pPr>
      <w:keepNext/>
      <w:keepLines/>
      <w:numPr>
        <w:ilvl w:val="5"/>
        <w:numId w:val="1"/>
      </w:numPr>
      <w:spacing w:before="240" w:beforeLines="0" w:after="64" w:afterLines="0" w:line="320" w:lineRule="auto"/>
      <w:outlineLvl w:val="5"/>
    </w:pPr>
    <w:rPr>
      <w:rFonts w:ascii="Arial" w:hAnsi="Arial" w:eastAsia="黑体"/>
      <w:b/>
      <w:bCs/>
      <w:sz w:val="24"/>
    </w:rPr>
  </w:style>
  <w:style w:type="paragraph" w:styleId="8">
    <w:name w:val="heading 7"/>
    <w:basedOn w:val="1"/>
    <w:next w:val="1"/>
    <w:link w:val="74"/>
    <w:qFormat/>
    <w:uiPriority w:val="0"/>
    <w:pPr>
      <w:keepNext/>
      <w:keepLines/>
      <w:numPr>
        <w:ilvl w:val="6"/>
        <w:numId w:val="1"/>
      </w:numPr>
      <w:spacing w:before="240" w:beforeLines="0" w:after="64" w:afterLines="0" w:line="320" w:lineRule="auto"/>
      <w:outlineLvl w:val="6"/>
    </w:pPr>
    <w:rPr>
      <w:b/>
      <w:bCs/>
      <w:sz w:val="24"/>
    </w:rPr>
  </w:style>
  <w:style w:type="paragraph" w:styleId="9">
    <w:name w:val="heading 8"/>
    <w:basedOn w:val="1"/>
    <w:next w:val="1"/>
    <w:link w:val="75"/>
    <w:qFormat/>
    <w:uiPriority w:val="0"/>
    <w:pPr>
      <w:keepNext/>
      <w:keepLines/>
      <w:numPr>
        <w:ilvl w:val="7"/>
        <w:numId w:val="1"/>
      </w:numPr>
      <w:spacing w:before="240" w:beforeLines="0" w:after="64" w:afterLines="0" w:line="320" w:lineRule="auto"/>
      <w:outlineLvl w:val="7"/>
    </w:pPr>
    <w:rPr>
      <w:rFonts w:ascii="Arial" w:hAnsi="Arial" w:eastAsia="黑体"/>
      <w:sz w:val="24"/>
    </w:rPr>
  </w:style>
  <w:style w:type="paragraph" w:styleId="10">
    <w:name w:val="heading 9"/>
    <w:basedOn w:val="1"/>
    <w:next w:val="1"/>
    <w:link w:val="76"/>
    <w:qFormat/>
    <w:uiPriority w:val="0"/>
    <w:pPr>
      <w:keepNext/>
      <w:keepLines/>
      <w:numPr>
        <w:ilvl w:val="8"/>
        <w:numId w:val="1"/>
      </w:numPr>
      <w:spacing w:before="240" w:beforeLines="0" w:after="64" w:afterLines="0" w:line="320" w:lineRule="auto"/>
      <w:outlineLvl w:val="8"/>
    </w:pPr>
    <w:rPr>
      <w:rFonts w:ascii="Arial" w:hAnsi="Arial" w:eastAsia="黑体"/>
      <w:szCs w:val="21"/>
    </w:rPr>
  </w:style>
  <w:style w:type="character" w:default="1" w:styleId="61">
    <w:name w:val="Default Paragraph Font"/>
    <w:semiHidden/>
    <w:qFormat/>
    <w:uiPriority w:val="0"/>
    <w:rPr>
      <w:rFonts w:ascii="Arial" w:hAnsi="Arial" w:eastAsia="黑体" w:cs="Arial"/>
      <w:snapToGrid w:val="0"/>
      <w:kern w:val="0"/>
      <w:szCs w:val="21"/>
    </w:rPr>
  </w:style>
  <w:style w:type="table" w:default="1" w:styleId="60">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s="Times New Roman"/>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77"/>
    <w:qFormat/>
    <w:uiPriority w:val="0"/>
    <w:pPr>
      <w:widowControl/>
      <w:adjustRightInd w:val="0"/>
      <w:snapToGrid w:val="0"/>
      <w:spacing w:line="480" w:lineRule="exact"/>
      <w:ind w:firstLine="567"/>
    </w:pPr>
    <w:rPr>
      <w:rFonts w:ascii="宋体"/>
      <w:snapToGrid w:val="0"/>
      <w:color w:val="000000"/>
      <w:kern w:val="28"/>
      <w:sz w:val="28"/>
      <w:szCs w:val="20"/>
    </w:rPr>
  </w:style>
  <w:style w:type="paragraph" w:styleId="16">
    <w:name w:val="caption"/>
    <w:basedOn w:val="1"/>
    <w:next w:val="1"/>
    <w:link w:val="78"/>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79"/>
    <w:qFormat/>
    <w:uiPriority w:val="0"/>
    <w:pPr>
      <w:jc w:val="left"/>
    </w:pPr>
  </w:style>
  <w:style w:type="paragraph" w:styleId="20">
    <w:name w:val="Salutation"/>
    <w:basedOn w:val="1"/>
    <w:next w:val="1"/>
    <w:link w:val="80"/>
    <w:qFormat/>
    <w:uiPriority w:val="0"/>
    <w:rPr>
      <w:rFonts w:ascii="仿宋_GB2312" w:eastAsia="仿宋_GB2312"/>
      <w:sz w:val="28"/>
      <w:szCs w:val="20"/>
    </w:rPr>
  </w:style>
  <w:style w:type="paragraph" w:styleId="21">
    <w:name w:val="Body Text 3"/>
    <w:basedOn w:val="1"/>
    <w:link w:val="81"/>
    <w:qFormat/>
    <w:uiPriority w:val="0"/>
    <w:pPr>
      <w:jc w:val="center"/>
    </w:pPr>
    <w:rPr>
      <w:szCs w:val="20"/>
    </w:rPr>
  </w:style>
  <w:style w:type="paragraph" w:styleId="22">
    <w:name w:val="Body Text"/>
    <w:basedOn w:val="1"/>
    <w:link w:val="82"/>
    <w:qFormat/>
    <w:uiPriority w:val="0"/>
    <w:pPr>
      <w:autoSpaceDE w:val="0"/>
      <w:autoSpaceDN w:val="0"/>
      <w:adjustRightInd w:val="0"/>
      <w:spacing w:line="360" w:lineRule="auto"/>
    </w:pPr>
    <w:rPr>
      <w:rFonts w:ascii="宋体" w:hAnsi="Arial" w:cs="Arial"/>
      <w:snapToGrid w:val="0"/>
      <w:sz w:val="24"/>
      <w:szCs w:val="21"/>
      <w:lang w:val="zh-CN"/>
    </w:rPr>
  </w:style>
  <w:style w:type="paragraph" w:styleId="23">
    <w:name w:val="Body Text Indent"/>
    <w:basedOn w:val="1"/>
    <w:link w:val="83"/>
    <w:qFormat/>
    <w:uiPriority w:val="0"/>
    <w:pPr>
      <w:spacing w:line="480" w:lineRule="exact"/>
      <w:ind w:firstLine="480" w:firstLineChars="200"/>
    </w:pPr>
    <w:rPr>
      <w:rFonts w:ascii="宋体" w:hAnsi="宋体"/>
      <w:sz w:val="24"/>
    </w:rPr>
  </w:style>
  <w:style w:type="paragraph" w:styleId="24">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qFormat/>
    <w:uiPriority w:val="0"/>
    <w:pPr>
      <w:adjustRightInd/>
      <w:spacing w:line="360" w:lineRule="auto"/>
      <w:ind w:left="100" w:leftChars="200" w:hanging="200" w:hangingChars="200"/>
    </w:pPr>
    <w:rPr>
      <w:rFonts w:eastAsia="微软雅黑"/>
    </w:rPr>
  </w:style>
  <w:style w:type="paragraph" w:styleId="26">
    <w:name w:val="Block Text"/>
    <w:basedOn w:val="1"/>
    <w:qFormat/>
    <w:uiPriority w:val="0"/>
    <w:pPr>
      <w:ind w:left="-359" w:leftChars="-171" w:rightChars="-244" w:firstLine="501" w:firstLineChars="239"/>
    </w:pPr>
    <w:rPr>
      <w:rFonts w:ascii="仿宋_GB2312" w:eastAsia="仿宋_GB2312"/>
      <w:sz w:val="30"/>
      <w:szCs w:val="20"/>
    </w:rPr>
  </w:style>
  <w:style w:type="paragraph" w:styleId="27">
    <w:name w:val="List Bullet 2"/>
    <w:basedOn w:val="1"/>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84"/>
    <w:qFormat/>
    <w:uiPriority w:val="0"/>
    <w:pPr>
      <w:widowControl/>
      <w:adjustRightInd/>
      <w:ind w:firstLine="200" w:firstLineChars="200"/>
      <w:jc w:val="left"/>
    </w:pPr>
    <w:rPr>
      <w:rFonts w:ascii="宋体" w:hAnsi="宋体"/>
      <w:i/>
      <w:iCs/>
      <w:kern w:val="0"/>
      <w:sz w:val="24"/>
    </w:rPr>
  </w:style>
  <w:style w:type="paragraph" w:styleId="29">
    <w:name w:val="toc 5"/>
    <w:basedOn w:val="1"/>
    <w:next w:val="1"/>
    <w:qFormat/>
    <w:uiPriority w:val="0"/>
    <w:pPr>
      <w:ind w:left="1680" w:leftChars="800"/>
    </w:pPr>
  </w:style>
  <w:style w:type="paragraph" w:styleId="3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link w:val="85"/>
    <w:qFormat/>
    <w:uiPriority w:val="0"/>
    <w:rPr>
      <w:rFonts w:ascii="宋体" w:hAnsi="Courier New" w:cs="Arial"/>
      <w:snapToGrid w:val="0"/>
      <w:szCs w:val="21"/>
    </w:rPr>
  </w:style>
  <w:style w:type="paragraph" w:styleId="32">
    <w:name w:val="List Number 4"/>
    <w:basedOn w:val="1"/>
    <w:qFormat/>
    <w:uiPriority w:val="0"/>
    <w:pPr>
      <w:numPr>
        <w:ilvl w:val="0"/>
        <w:numId w:val="4"/>
      </w:numPr>
      <w:autoSpaceDE w:val="0"/>
      <w:autoSpaceDN w:val="0"/>
      <w:spacing w:line="360" w:lineRule="atLeast"/>
      <w:ind w:left="840" w:hanging="420"/>
    </w:pPr>
    <w:rPr>
      <w:kern w:val="0"/>
      <w:sz w:val="24"/>
    </w:rPr>
  </w:style>
  <w:style w:type="paragraph" w:styleId="33">
    <w:name w:val="toc 8"/>
    <w:basedOn w:val="1"/>
    <w:next w:val="1"/>
    <w:qFormat/>
    <w:uiPriority w:val="0"/>
    <w:pPr>
      <w:ind w:left="2940" w:leftChars="1400"/>
    </w:pPr>
  </w:style>
  <w:style w:type="paragraph" w:styleId="34">
    <w:name w:val="Date"/>
    <w:basedOn w:val="1"/>
    <w:next w:val="1"/>
    <w:link w:val="86"/>
    <w:qFormat/>
    <w:uiPriority w:val="0"/>
    <w:pPr>
      <w:ind w:left="100" w:leftChars="2500"/>
    </w:pPr>
    <w:rPr>
      <w:rFonts w:ascii="宋体"/>
      <w:sz w:val="24"/>
      <w:szCs w:val="21"/>
      <w:lang w:val="zh-CN"/>
    </w:rPr>
  </w:style>
  <w:style w:type="paragraph" w:styleId="35">
    <w:name w:val="Body Text Indent 2"/>
    <w:basedOn w:val="1"/>
    <w:link w:val="87"/>
    <w:qFormat/>
    <w:uiPriority w:val="0"/>
    <w:pPr>
      <w:adjustRightInd w:val="0"/>
      <w:spacing w:line="360" w:lineRule="auto"/>
      <w:ind w:firstLine="601"/>
      <w:textAlignment w:val="baseline"/>
    </w:pPr>
    <w:rPr>
      <w:rFonts w:ascii="宋体"/>
      <w:kern w:val="0"/>
      <w:sz w:val="28"/>
      <w:szCs w:val="20"/>
    </w:rPr>
  </w:style>
  <w:style w:type="paragraph" w:styleId="36">
    <w:name w:val="Balloon Text"/>
    <w:basedOn w:val="1"/>
    <w:link w:val="88"/>
    <w:semiHidden/>
    <w:qFormat/>
    <w:uiPriority w:val="0"/>
    <w:rPr>
      <w:sz w:val="18"/>
      <w:szCs w:val="18"/>
    </w:rPr>
  </w:style>
  <w:style w:type="paragraph" w:styleId="37">
    <w:name w:val="footer"/>
    <w:basedOn w:val="1"/>
    <w:qFormat/>
    <w:uiPriority w:val="99"/>
    <w:pPr>
      <w:tabs>
        <w:tab w:val="center" w:pos="4153"/>
        <w:tab w:val="right" w:pos="8306"/>
      </w:tabs>
      <w:snapToGrid w:val="0"/>
      <w:jc w:val="left"/>
    </w:pPr>
    <w:rPr>
      <w:sz w:val="18"/>
      <w:szCs w:val="18"/>
    </w:rPr>
  </w:style>
  <w:style w:type="paragraph" w:styleId="38">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39">
    <w:name w:val="Signature"/>
    <w:basedOn w:val="1"/>
    <w:link w:val="89"/>
    <w:qFormat/>
    <w:uiPriority w:val="0"/>
    <w:pPr>
      <w:adjustRightInd w:val="0"/>
      <w:spacing w:after="600" w:afterLines="0" w:line="312" w:lineRule="atLeast"/>
      <w:jc w:val="center"/>
      <w:textAlignment w:val="baseline"/>
    </w:pPr>
    <w:rPr>
      <w:rFonts w:eastAsia="仿宋_GB2312"/>
      <w:kern w:val="0"/>
      <w:sz w:val="24"/>
      <w:szCs w:val="20"/>
    </w:rPr>
  </w:style>
  <w:style w:type="paragraph" w:styleId="40">
    <w:name w:val="toc 1"/>
    <w:basedOn w:val="1"/>
    <w:next w:val="1"/>
    <w:qFormat/>
    <w:uiPriority w:val="0"/>
  </w:style>
  <w:style w:type="paragraph" w:styleId="41">
    <w:name w:val="toc 4"/>
    <w:basedOn w:val="1"/>
    <w:next w:val="1"/>
    <w:qFormat/>
    <w:uiPriority w:val="0"/>
    <w:pPr>
      <w:ind w:left="1260" w:leftChars="600"/>
    </w:pPr>
  </w:style>
  <w:style w:type="paragraph" w:styleId="42">
    <w:name w:val="index heading"/>
    <w:basedOn w:val="1"/>
    <w:next w:val="43"/>
    <w:qFormat/>
    <w:uiPriority w:val="0"/>
    <w:pPr>
      <w:adjustRightInd/>
      <w:ind w:firstLine="200" w:firstLineChars="200"/>
    </w:pPr>
  </w:style>
  <w:style w:type="paragraph" w:styleId="43">
    <w:name w:val="index 1"/>
    <w:basedOn w:val="1"/>
    <w:next w:val="1"/>
    <w:qFormat/>
    <w:uiPriority w:val="0"/>
    <w:pPr>
      <w:adjustRightInd/>
      <w:spacing w:line="360" w:lineRule="auto"/>
      <w:ind w:firstLine="200" w:firstLineChars="200"/>
      <w:jc w:val="center"/>
    </w:pPr>
    <w:rPr>
      <w:sz w:val="24"/>
      <w:szCs w:val="20"/>
    </w:rPr>
  </w:style>
  <w:style w:type="paragraph" w:styleId="44">
    <w:name w:val="Subtitle"/>
    <w:link w:val="9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qFormat/>
    <w:uiPriority w:val="0"/>
    <w:pPr>
      <w:tabs>
        <w:tab w:val="left" w:pos="902"/>
      </w:tabs>
      <w:adjustRightInd/>
      <w:spacing w:line="400" w:lineRule="exact"/>
      <w:ind w:left="902" w:hanging="420"/>
    </w:pPr>
    <w:rPr>
      <w:sz w:val="24"/>
      <w:szCs w:val="20"/>
    </w:rPr>
  </w:style>
  <w:style w:type="paragraph" w:styleId="46">
    <w:name w:val="List"/>
    <w:basedOn w:val="1"/>
    <w:qFormat/>
    <w:uiPriority w:val="0"/>
    <w:pPr>
      <w:ind w:left="200" w:hanging="200" w:hangingChars="200"/>
    </w:pPr>
  </w:style>
  <w:style w:type="paragraph" w:styleId="47">
    <w:name w:val="footnote text"/>
    <w:basedOn w:val="15"/>
    <w:link w:val="91"/>
    <w:qFormat/>
    <w:uiPriority w:val="0"/>
    <w:pPr>
      <w:adjustRightInd/>
      <w:snapToGrid/>
      <w:spacing w:before="60" w:beforeLines="0" w:after="60" w:afterLines="0" w:line="300" w:lineRule="exact"/>
      <w:ind w:firstLine="0"/>
    </w:pPr>
    <w:rPr>
      <w:rFonts w:ascii="Times New Roman"/>
      <w:snapToGrid/>
      <w:color w:val="0000FF"/>
      <w:kern w:val="0"/>
      <w:sz w:val="21"/>
    </w:rPr>
  </w:style>
  <w:style w:type="paragraph" w:styleId="48">
    <w:name w:val="toc 6"/>
    <w:basedOn w:val="1"/>
    <w:next w:val="1"/>
    <w:qFormat/>
    <w:uiPriority w:val="0"/>
    <w:pPr>
      <w:ind w:left="2100" w:leftChars="1000"/>
    </w:pPr>
  </w:style>
  <w:style w:type="paragraph" w:styleId="49">
    <w:name w:val="List 5"/>
    <w:basedOn w:val="1"/>
    <w:qFormat/>
    <w:uiPriority w:val="0"/>
    <w:pPr>
      <w:adjustRightInd/>
      <w:ind w:left="100" w:leftChars="800" w:hanging="200" w:hangingChars="200"/>
    </w:pPr>
  </w:style>
  <w:style w:type="paragraph" w:styleId="50">
    <w:name w:val="Body Text Indent 3"/>
    <w:basedOn w:val="1"/>
    <w:link w:val="92"/>
    <w:qFormat/>
    <w:uiPriority w:val="0"/>
    <w:pPr>
      <w:spacing w:line="360" w:lineRule="auto"/>
      <w:ind w:firstLine="420"/>
    </w:pPr>
    <w:rPr>
      <w:sz w:val="24"/>
      <w:szCs w:val="20"/>
    </w:rPr>
  </w:style>
  <w:style w:type="paragraph" w:styleId="51">
    <w:name w:val="toc 2"/>
    <w:basedOn w:val="1"/>
    <w:next w:val="1"/>
    <w:qFormat/>
    <w:uiPriority w:val="0"/>
    <w:pPr>
      <w:ind w:left="420" w:leftChars="200"/>
    </w:pPr>
  </w:style>
  <w:style w:type="paragraph" w:styleId="52">
    <w:name w:val="toc 9"/>
    <w:basedOn w:val="1"/>
    <w:next w:val="1"/>
    <w:qFormat/>
    <w:uiPriority w:val="0"/>
    <w:pPr>
      <w:ind w:left="3360" w:leftChars="1600"/>
    </w:pPr>
  </w:style>
  <w:style w:type="paragraph" w:styleId="53">
    <w:name w:val="Body Text 2"/>
    <w:basedOn w:val="1"/>
    <w:qFormat/>
    <w:uiPriority w:val="0"/>
    <w:pPr>
      <w:spacing w:after="120" w:afterLines="0" w:line="480" w:lineRule="auto"/>
    </w:pPr>
  </w:style>
  <w:style w:type="paragraph" w:styleId="54">
    <w:name w:val="HTML Preformatted"/>
    <w:basedOn w:val="1"/>
    <w:link w:val="9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qFormat/>
    <w:uiPriority w:val="99"/>
    <w:pPr>
      <w:widowControl/>
      <w:spacing w:before="100" w:beforeLines="0" w:beforeAutospacing="1" w:after="100" w:afterLines="0" w:afterAutospacing="1"/>
      <w:jc w:val="left"/>
    </w:pPr>
    <w:rPr>
      <w:rFonts w:ascii="宋体" w:hAnsi="宋体"/>
      <w:kern w:val="0"/>
      <w:sz w:val="24"/>
    </w:rPr>
  </w:style>
  <w:style w:type="paragraph" w:styleId="56">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57">
    <w:name w:val="annotation subject"/>
    <w:basedOn w:val="19"/>
    <w:next w:val="19"/>
    <w:semiHidden/>
    <w:qFormat/>
    <w:uiPriority w:val="0"/>
    <w:rPr>
      <w:b/>
      <w:bCs/>
    </w:rPr>
  </w:style>
  <w:style w:type="paragraph" w:styleId="58">
    <w:name w:val="Body Text First Indent"/>
    <w:basedOn w:val="22"/>
    <w:link w:val="94"/>
    <w:qFormat/>
    <w:uiPriority w:val="0"/>
    <w:pPr>
      <w:ind w:firstLine="420"/>
    </w:pPr>
    <w:rPr>
      <w:rFonts w:hAnsi="Times New Roman" w:cs="Times New Roman"/>
      <w:snapToGrid/>
      <w:szCs w:val="20"/>
    </w:rPr>
  </w:style>
  <w:style w:type="paragraph" w:styleId="59">
    <w:name w:val="Body Text First Indent 2"/>
    <w:basedOn w:val="23"/>
    <w:link w:val="95"/>
    <w:qFormat/>
    <w:uiPriority w:val="0"/>
    <w:pPr>
      <w:adjustRightInd/>
      <w:spacing w:after="120" w:afterLines="0" w:line="240" w:lineRule="auto"/>
      <w:ind w:left="420" w:leftChars="200" w:firstLine="210"/>
    </w:pPr>
    <w:rPr>
      <w:sz w:val="21"/>
    </w:rPr>
  </w:style>
  <w:style w:type="character" w:styleId="62">
    <w:name w:val="Strong"/>
    <w:qFormat/>
    <w:uiPriority w:val="22"/>
    <w:rPr>
      <w:b/>
      <w:bCs/>
    </w:rPr>
  </w:style>
  <w:style w:type="character" w:styleId="63">
    <w:name w:val="page number"/>
    <w:basedOn w:val="61"/>
    <w:qFormat/>
    <w:uiPriority w:val="0"/>
  </w:style>
  <w:style w:type="character" w:styleId="64">
    <w:name w:val="FollowedHyperlink"/>
    <w:qFormat/>
    <w:uiPriority w:val="0"/>
    <w:rPr>
      <w:rFonts w:ascii="Arial" w:hAnsi="Arial" w:eastAsia="黑体" w:cs="Arial"/>
      <w:snapToGrid w:val="0"/>
      <w:color w:val="000000"/>
      <w:kern w:val="0"/>
      <w:sz w:val="18"/>
      <w:szCs w:val="18"/>
      <w:u w:val="none"/>
    </w:rPr>
  </w:style>
  <w:style w:type="character" w:styleId="65">
    <w:name w:val="Emphasis"/>
    <w:qFormat/>
    <w:uiPriority w:val="0"/>
    <w:rPr>
      <w:color w:val="CC0033"/>
    </w:rPr>
  </w:style>
  <w:style w:type="character" w:styleId="66">
    <w:name w:val="line number"/>
    <w:basedOn w:val="61"/>
    <w:qFormat/>
    <w:uiPriority w:val="0"/>
  </w:style>
  <w:style w:type="character" w:styleId="67">
    <w:name w:val="Hyperlink"/>
    <w:qFormat/>
    <w:uiPriority w:val="0"/>
    <w:rPr>
      <w:rFonts w:ascii="Arial" w:hAnsi="Arial" w:eastAsia="黑体" w:cs="Arial"/>
      <w:snapToGrid w:val="0"/>
      <w:color w:val="000000"/>
      <w:kern w:val="0"/>
      <w:sz w:val="18"/>
      <w:szCs w:val="18"/>
      <w:u w:val="none"/>
    </w:rPr>
  </w:style>
  <w:style w:type="character" w:styleId="68">
    <w:name w:val="HTML Code"/>
    <w:qFormat/>
    <w:uiPriority w:val="0"/>
    <w:rPr>
      <w:rFonts w:ascii="黑体" w:hAnsi="Courier New" w:eastAsia="黑体" w:cs="楷体_GB2312"/>
      <w:sz w:val="20"/>
      <w:szCs w:val="20"/>
    </w:rPr>
  </w:style>
  <w:style w:type="character" w:styleId="69">
    <w:name w:val="annotation reference"/>
    <w:qFormat/>
    <w:uiPriority w:val="99"/>
    <w:rPr>
      <w:sz w:val="21"/>
      <w:szCs w:val="21"/>
    </w:rPr>
  </w:style>
  <w:style w:type="character" w:customStyle="1" w:styleId="70">
    <w:name w:val="标题 1 Char"/>
    <w:link w:val="3"/>
    <w:qFormat/>
    <w:uiPriority w:val="0"/>
    <w:rPr>
      <w:b/>
      <w:bCs/>
      <w:kern w:val="44"/>
      <w:sz w:val="44"/>
      <w:szCs w:val="44"/>
    </w:rPr>
  </w:style>
  <w:style w:type="character" w:customStyle="1" w:styleId="71">
    <w:name w:val="标题 4 Char"/>
    <w:link w:val="5"/>
    <w:qFormat/>
    <w:uiPriority w:val="0"/>
    <w:rPr>
      <w:rFonts w:ascii="Arial" w:hAnsi="Arial" w:eastAsia="黑体"/>
      <w:b/>
      <w:bCs/>
      <w:kern w:val="2"/>
      <w:sz w:val="28"/>
      <w:szCs w:val="28"/>
      <w:lang w:val="zh-CN"/>
    </w:rPr>
  </w:style>
  <w:style w:type="character" w:customStyle="1" w:styleId="72">
    <w:name w:val="标题 5 Char"/>
    <w:link w:val="6"/>
    <w:qFormat/>
    <w:uiPriority w:val="0"/>
    <w:rPr>
      <w:b/>
      <w:bCs/>
      <w:kern w:val="2"/>
      <w:sz w:val="28"/>
      <w:szCs w:val="28"/>
    </w:rPr>
  </w:style>
  <w:style w:type="character" w:customStyle="1" w:styleId="73">
    <w:name w:val="标题 6 Char"/>
    <w:link w:val="7"/>
    <w:qFormat/>
    <w:uiPriority w:val="0"/>
    <w:rPr>
      <w:rFonts w:ascii="Arial" w:hAnsi="Arial" w:eastAsia="黑体"/>
      <w:b/>
      <w:bCs/>
      <w:kern w:val="2"/>
      <w:sz w:val="24"/>
      <w:szCs w:val="24"/>
    </w:rPr>
  </w:style>
  <w:style w:type="character" w:customStyle="1" w:styleId="74">
    <w:name w:val="标题 7 Char"/>
    <w:link w:val="8"/>
    <w:qFormat/>
    <w:uiPriority w:val="0"/>
    <w:rPr>
      <w:b/>
      <w:bCs/>
      <w:kern w:val="2"/>
      <w:sz w:val="24"/>
      <w:szCs w:val="24"/>
    </w:rPr>
  </w:style>
  <w:style w:type="character" w:customStyle="1" w:styleId="75">
    <w:name w:val="标题 8 Char"/>
    <w:link w:val="9"/>
    <w:qFormat/>
    <w:uiPriority w:val="0"/>
    <w:rPr>
      <w:rFonts w:ascii="Arial" w:hAnsi="Arial" w:eastAsia="黑体"/>
      <w:kern w:val="2"/>
      <w:sz w:val="24"/>
      <w:szCs w:val="24"/>
    </w:rPr>
  </w:style>
  <w:style w:type="character" w:customStyle="1" w:styleId="76">
    <w:name w:val="标题 9 Char"/>
    <w:link w:val="10"/>
    <w:qFormat/>
    <w:uiPriority w:val="0"/>
    <w:rPr>
      <w:rFonts w:ascii="Arial" w:hAnsi="Arial" w:eastAsia="黑体"/>
      <w:kern w:val="2"/>
      <w:sz w:val="21"/>
      <w:szCs w:val="21"/>
    </w:rPr>
  </w:style>
  <w:style w:type="character" w:customStyle="1" w:styleId="77">
    <w:name w:val="正文缩进 Char2"/>
    <w:link w:val="15"/>
    <w:qFormat/>
    <w:uiPriority w:val="0"/>
    <w:rPr>
      <w:rFonts w:ascii="宋体" w:eastAsia="宋体"/>
      <w:snapToGrid w:val="0"/>
      <w:color w:val="000000"/>
      <w:kern w:val="28"/>
      <w:sz w:val="28"/>
      <w:lang w:val="en-US" w:eastAsia="zh-CN" w:bidi="ar-SA"/>
    </w:rPr>
  </w:style>
  <w:style w:type="character" w:customStyle="1" w:styleId="78">
    <w:name w:val="题注 Char"/>
    <w:link w:val="16"/>
    <w:qFormat/>
    <w:uiPriority w:val="0"/>
    <w:rPr>
      <w:b/>
      <w:kern w:val="2"/>
      <w:sz w:val="28"/>
    </w:rPr>
  </w:style>
  <w:style w:type="character" w:customStyle="1" w:styleId="79">
    <w:name w:val="批注文字 Char1"/>
    <w:link w:val="19"/>
    <w:qFormat/>
    <w:uiPriority w:val="0"/>
    <w:rPr>
      <w:kern w:val="2"/>
      <w:sz w:val="21"/>
      <w:szCs w:val="24"/>
    </w:rPr>
  </w:style>
  <w:style w:type="character" w:customStyle="1" w:styleId="80">
    <w:name w:val="称呼 Char"/>
    <w:link w:val="20"/>
    <w:qFormat/>
    <w:uiPriority w:val="0"/>
    <w:rPr>
      <w:rFonts w:ascii="仿宋_GB2312" w:eastAsia="仿宋_GB2312"/>
      <w:kern w:val="2"/>
      <w:sz w:val="28"/>
    </w:rPr>
  </w:style>
  <w:style w:type="character" w:customStyle="1" w:styleId="81">
    <w:name w:val="正文文本 3 Char"/>
    <w:link w:val="21"/>
    <w:qFormat/>
    <w:uiPriority w:val="0"/>
    <w:rPr>
      <w:kern w:val="2"/>
      <w:sz w:val="21"/>
    </w:rPr>
  </w:style>
  <w:style w:type="character" w:customStyle="1" w:styleId="82">
    <w:name w:val="正文文本 Char1"/>
    <w:link w:val="22"/>
    <w:semiHidden/>
    <w:qFormat/>
    <w:uiPriority w:val="0"/>
    <w:rPr>
      <w:rFonts w:ascii="宋体" w:hAnsi="Arial" w:eastAsia="宋体" w:cs="Arial"/>
      <w:snapToGrid w:val="0"/>
      <w:kern w:val="2"/>
      <w:sz w:val="24"/>
      <w:szCs w:val="21"/>
      <w:lang w:val="zh-CN" w:eastAsia="zh-CN" w:bidi="ar-SA"/>
    </w:rPr>
  </w:style>
  <w:style w:type="character" w:customStyle="1" w:styleId="83">
    <w:name w:val="正文文本缩进 Char1"/>
    <w:link w:val="23"/>
    <w:qFormat/>
    <w:uiPriority w:val="0"/>
    <w:rPr>
      <w:rFonts w:ascii="宋体" w:hAnsi="宋体"/>
      <w:kern w:val="2"/>
      <w:sz w:val="24"/>
      <w:szCs w:val="24"/>
    </w:rPr>
  </w:style>
  <w:style w:type="character" w:customStyle="1" w:styleId="84">
    <w:name w:val="HTML 地址 Char"/>
    <w:link w:val="28"/>
    <w:qFormat/>
    <w:uiPriority w:val="0"/>
    <w:rPr>
      <w:rFonts w:ascii="宋体" w:hAnsi="宋体"/>
      <w:i/>
      <w:iCs/>
      <w:sz w:val="24"/>
      <w:szCs w:val="24"/>
    </w:rPr>
  </w:style>
  <w:style w:type="character" w:customStyle="1" w:styleId="85">
    <w:name w:val="纯文本 Char"/>
    <w:link w:val="31"/>
    <w:qFormat/>
    <w:uiPriority w:val="0"/>
    <w:rPr>
      <w:rFonts w:ascii="宋体" w:hAnsi="Courier New" w:eastAsia="宋体" w:cs="Arial"/>
      <w:snapToGrid w:val="0"/>
      <w:kern w:val="2"/>
      <w:sz w:val="21"/>
      <w:szCs w:val="21"/>
      <w:lang w:val="en-US" w:eastAsia="zh-CN" w:bidi="ar-SA"/>
    </w:rPr>
  </w:style>
  <w:style w:type="character" w:customStyle="1" w:styleId="86">
    <w:name w:val="日期 Char"/>
    <w:link w:val="34"/>
    <w:qFormat/>
    <w:uiPriority w:val="0"/>
    <w:rPr>
      <w:rFonts w:ascii="宋体"/>
      <w:kern w:val="2"/>
      <w:sz w:val="24"/>
      <w:szCs w:val="21"/>
      <w:lang w:val="zh-CN"/>
    </w:rPr>
  </w:style>
  <w:style w:type="character" w:customStyle="1" w:styleId="87">
    <w:name w:val="正文文本缩进 2 Char"/>
    <w:link w:val="35"/>
    <w:qFormat/>
    <w:uiPriority w:val="0"/>
    <w:rPr>
      <w:rFonts w:ascii="宋体"/>
      <w:sz w:val="28"/>
    </w:rPr>
  </w:style>
  <w:style w:type="character" w:customStyle="1" w:styleId="88">
    <w:name w:val="批注框文本 Char"/>
    <w:link w:val="36"/>
    <w:semiHidden/>
    <w:qFormat/>
    <w:uiPriority w:val="0"/>
    <w:rPr>
      <w:kern w:val="2"/>
      <w:sz w:val="18"/>
      <w:szCs w:val="18"/>
    </w:rPr>
  </w:style>
  <w:style w:type="character" w:customStyle="1" w:styleId="89">
    <w:name w:val="签名 Char"/>
    <w:link w:val="39"/>
    <w:qFormat/>
    <w:uiPriority w:val="0"/>
    <w:rPr>
      <w:rFonts w:eastAsia="仿宋_GB2312"/>
      <w:sz w:val="24"/>
    </w:rPr>
  </w:style>
  <w:style w:type="character" w:customStyle="1" w:styleId="90">
    <w:name w:val="副标题 Char"/>
    <w:link w:val="44"/>
    <w:qFormat/>
    <w:uiPriority w:val="0"/>
    <w:rPr>
      <w:rFonts w:ascii="Arial" w:hAnsi="Arial" w:eastAsia="隶书"/>
      <w:b/>
      <w:bCs/>
      <w:kern w:val="28"/>
      <w:sz w:val="44"/>
      <w:szCs w:val="32"/>
      <w:lang w:val="en-US" w:eastAsia="zh-CN" w:bidi="ar-SA"/>
    </w:rPr>
  </w:style>
  <w:style w:type="character" w:customStyle="1" w:styleId="91">
    <w:name w:val="脚注文本 Char"/>
    <w:link w:val="47"/>
    <w:qFormat/>
    <w:uiPriority w:val="0"/>
    <w:rPr>
      <w:color w:val="0000FF"/>
      <w:sz w:val="21"/>
    </w:rPr>
  </w:style>
  <w:style w:type="character" w:customStyle="1" w:styleId="92">
    <w:name w:val="正文文本缩进 3 Char"/>
    <w:link w:val="50"/>
    <w:qFormat/>
    <w:uiPriority w:val="0"/>
    <w:rPr>
      <w:kern w:val="2"/>
      <w:sz w:val="24"/>
    </w:rPr>
  </w:style>
  <w:style w:type="character" w:customStyle="1" w:styleId="93">
    <w:name w:val="HTML 预设格式 Char"/>
    <w:link w:val="54"/>
    <w:qFormat/>
    <w:uiPriority w:val="0"/>
    <w:rPr>
      <w:rFonts w:ascii="黑体" w:hAnsi="Courier New" w:eastAsia="黑体"/>
    </w:rPr>
  </w:style>
  <w:style w:type="character" w:customStyle="1" w:styleId="94">
    <w:name w:val="正文首行缩进 Char"/>
    <w:link w:val="58"/>
    <w:qFormat/>
    <w:uiPriority w:val="0"/>
    <w:rPr>
      <w:rFonts w:ascii="宋体"/>
      <w:kern w:val="2"/>
      <w:sz w:val="24"/>
      <w:lang w:val="zh-CN"/>
    </w:rPr>
  </w:style>
  <w:style w:type="character" w:customStyle="1" w:styleId="95">
    <w:name w:val="正文首行缩进 2 Char"/>
    <w:link w:val="59"/>
    <w:qFormat/>
    <w:uiPriority w:val="0"/>
    <w:rPr>
      <w:rFonts w:ascii="宋体" w:hAnsi="宋体"/>
      <w:kern w:val="2"/>
      <w:sz w:val="21"/>
      <w:szCs w:val="24"/>
    </w:rPr>
  </w:style>
  <w:style w:type="character" w:customStyle="1" w:styleId="96">
    <w:name w:val="pt141"/>
    <w:qFormat/>
    <w:uiPriority w:val="0"/>
    <w:rPr>
      <w:color w:val="330066"/>
      <w:sz w:val="22"/>
      <w:szCs w:val="22"/>
    </w:rPr>
  </w:style>
  <w:style w:type="character" w:customStyle="1" w:styleId="97">
    <w:name w:val="标题4-dyf Char"/>
    <w:link w:val="98"/>
    <w:qFormat/>
    <w:uiPriority w:val="0"/>
    <w:rPr>
      <w:rFonts w:ascii="Cambria" w:hAnsi="Cambria"/>
      <w:b/>
      <w:bCs/>
      <w:color w:val="000000"/>
      <w:kern w:val="2"/>
      <w:sz w:val="21"/>
      <w:szCs w:val="21"/>
    </w:rPr>
  </w:style>
  <w:style w:type="paragraph" w:customStyle="1" w:styleId="98">
    <w:name w:val="标题4-dyf"/>
    <w:basedOn w:val="5"/>
    <w:link w:val="97"/>
    <w:qFormat/>
    <w:uiPriority w:val="0"/>
    <w:pPr>
      <w:numPr>
        <w:ilvl w:val="3"/>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99">
    <w:name w:val="页脚 Char1"/>
    <w:qFormat/>
    <w:uiPriority w:val="0"/>
    <w:rPr>
      <w:rFonts w:eastAsia="宋体"/>
      <w:kern w:val="2"/>
      <w:sz w:val="18"/>
      <w:szCs w:val="18"/>
      <w:lang w:val="en-US" w:eastAsia="zh-CN" w:bidi="ar-SA"/>
    </w:rPr>
  </w:style>
  <w:style w:type="character" w:customStyle="1" w:styleId="100">
    <w:name w:val="样式6 Char"/>
    <w:qFormat/>
    <w:uiPriority w:val="0"/>
    <w:rPr>
      <w:rFonts w:ascii="仿宋_GB2312" w:hAnsi="宋体" w:eastAsia="仿宋_GB2312"/>
      <w:b/>
      <w:bCs/>
      <w:kern w:val="2"/>
      <w:sz w:val="24"/>
      <w:szCs w:val="24"/>
      <w:lang w:val="en-US" w:eastAsia="zh-CN" w:bidi="ar-SA"/>
    </w:rPr>
  </w:style>
  <w:style w:type="character" w:customStyle="1" w:styleId="101">
    <w:name w:val="md"/>
    <w:basedOn w:val="61"/>
    <w:qFormat/>
    <w:uiPriority w:val="0"/>
  </w:style>
  <w:style w:type="character" w:customStyle="1" w:styleId="102">
    <w:name w:val="gf正文1 Char"/>
    <w:qFormat/>
    <w:uiPriority w:val="0"/>
    <w:rPr>
      <w:rFonts w:ascii="宋体" w:hAnsi="宋体" w:eastAsia="宋体" w:cs="宋体"/>
      <w:kern w:val="2"/>
      <w:sz w:val="24"/>
      <w:szCs w:val="24"/>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副标题 Char1"/>
    <w:qFormat/>
    <w:uiPriority w:val="0"/>
    <w:rPr>
      <w:rFonts w:ascii="Cambria" w:hAnsi="Cambria" w:eastAsia="宋体" w:cs="Times New Roman"/>
      <w:b/>
      <w:bCs/>
      <w:snapToGrid w:val="0"/>
      <w:kern w:val="28"/>
      <w:sz w:val="32"/>
      <w:szCs w:val="32"/>
    </w:rPr>
  </w:style>
  <w:style w:type="character" w:customStyle="1" w:styleId="106">
    <w:name w:val="页眉 Char1"/>
    <w:qFormat/>
    <w:uiPriority w:val="0"/>
    <w:rPr>
      <w:rFonts w:eastAsia="宋体"/>
      <w:kern w:val="2"/>
      <w:sz w:val="18"/>
      <w:szCs w:val="18"/>
      <w:lang w:val="en-US" w:eastAsia="zh-CN" w:bidi="ar-SA"/>
    </w:rPr>
  </w:style>
  <w:style w:type="character" w:customStyle="1" w:styleId="107">
    <w:name w:val="普通文字 Char1"/>
    <w:qFormat/>
    <w:uiPriority w:val="0"/>
    <w:rPr>
      <w:rFonts w:ascii="宋体" w:hAnsi="Courier New" w:eastAsia="宋体"/>
      <w:kern w:val="2"/>
      <w:sz w:val="21"/>
      <w:lang w:val="en-US" w:eastAsia="zh-CN"/>
    </w:rPr>
  </w:style>
  <w:style w:type="character" w:customStyle="1" w:styleId="108">
    <w:name w:val="Font Style82"/>
    <w:qFormat/>
    <w:uiPriority w:val="99"/>
    <w:rPr>
      <w:rFonts w:ascii="宋体" w:eastAsia="宋体" w:cs="宋体"/>
      <w:color w:val="000000"/>
      <w:sz w:val="14"/>
      <w:szCs w:val="14"/>
    </w:rPr>
  </w:style>
  <w:style w:type="character" w:customStyle="1" w:styleId="109">
    <w:name w:val="样式3 Char"/>
    <w:basedOn w:val="110"/>
    <w:qFormat/>
    <w:uiPriority w:val="0"/>
  </w:style>
  <w:style w:type="character" w:customStyle="1" w:styleId="110">
    <w:name w:val="样式2 Char"/>
    <w:qFormat/>
    <w:uiPriority w:val="0"/>
    <w:rPr>
      <w:rFonts w:ascii="仿宋_GB2312" w:hAnsi="仿宋" w:eastAsia="仿宋_GB2312" w:cs="仿宋_GB2312"/>
      <w:b/>
      <w:bCs/>
      <w:sz w:val="32"/>
      <w:szCs w:val="30"/>
      <w:lang w:val="zh-CN"/>
    </w:rPr>
  </w:style>
  <w:style w:type="character" w:customStyle="1" w:styleId="111">
    <w:name w:val="样式7 Char"/>
    <w:qFormat/>
    <w:uiPriority w:val="0"/>
    <w:rPr>
      <w:rFonts w:ascii="仿宋_GB2312" w:hAnsi="仿宋" w:eastAsia="仿宋_GB2312"/>
      <w:b/>
      <w:kern w:val="2"/>
      <w:sz w:val="24"/>
      <w:szCs w:val="24"/>
    </w:rPr>
  </w:style>
  <w:style w:type="character" w:customStyle="1" w:styleId="112">
    <w:name w:val="文本正文 Char Char"/>
    <w:qFormat/>
    <w:locked/>
    <w:uiPriority w:val="0"/>
    <w:rPr>
      <w:sz w:val="24"/>
      <w:lang w:bidi="ar-SA"/>
    </w:rPr>
  </w:style>
  <w:style w:type="character" w:customStyle="1" w:styleId="113">
    <w:name w:val="Footer-Even Char1"/>
    <w:qFormat/>
    <w:uiPriority w:val="0"/>
    <w:rPr>
      <w:rFonts w:eastAsia="宋体"/>
      <w:kern w:val="2"/>
      <w:sz w:val="18"/>
      <w:szCs w:val="18"/>
      <w:lang w:val="en-US" w:eastAsia="zh-CN" w:bidi="ar-SA"/>
    </w:rPr>
  </w:style>
  <w:style w:type="character" w:customStyle="1" w:styleId="114">
    <w:name w:val="二级标题 Char Char"/>
    <w:qFormat/>
    <w:uiPriority w:val="0"/>
    <w:rPr>
      <w:rFonts w:ascii="宋体" w:hAnsi="宋体" w:eastAsia="宋体"/>
      <w:b/>
      <w:snapToGrid w:val="0"/>
      <w:kern w:val="2"/>
      <w:sz w:val="24"/>
      <w:szCs w:val="24"/>
      <w:lang w:val="en-US" w:eastAsia="zh-CN" w:bidi="ar-SA"/>
    </w:rPr>
  </w:style>
  <w:style w:type="character" w:customStyle="1" w:styleId="115">
    <w:name w:val="mdeck"/>
    <w:qFormat/>
    <w:uiPriority w:val="0"/>
    <w:rPr>
      <w:rFonts w:ascii="仿宋_GB2312" w:eastAsia="微软雅黑"/>
      <w:b/>
      <w:kern w:val="2"/>
      <w:sz w:val="32"/>
      <w:szCs w:val="32"/>
      <w:lang w:val="en-US" w:eastAsia="zh-CN" w:bidi="ar-SA"/>
    </w:rPr>
  </w:style>
  <w:style w:type="character" w:customStyle="1" w:styleId="11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17">
    <w:name w:val="正文文本缩进 字符"/>
    <w:qFormat/>
    <w:uiPriority w:val="0"/>
    <w:rPr>
      <w:rFonts w:ascii="宋体" w:hAnsi="宋体"/>
      <w:kern w:val="2"/>
      <w:sz w:val="24"/>
      <w:szCs w:val="24"/>
    </w:rPr>
  </w:style>
  <w:style w:type="character" w:customStyle="1" w:styleId="118">
    <w:name w:val="正文非缩进 Char3"/>
    <w:qFormat/>
    <w:uiPriority w:val="0"/>
    <w:rPr>
      <w:rFonts w:ascii="宋体" w:eastAsia="宋体"/>
      <w:snapToGrid w:val="0"/>
      <w:color w:val="000000"/>
      <w:kern w:val="28"/>
      <w:sz w:val="28"/>
      <w:lang w:val="en-US" w:eastAsia="zh-CN" w:bidi="ar-SA"/>
    </w:rPr>
  </w:style>
  <w:style w:type="character" w:customStyle="1" w:styleId="119">
    <w:name w:val="Balloon Text Char"/>
    <w:semiHidden/>
    <w:qFormat/>
    <w:locked/>
    <w:uiPriority w:val="0"/>
    <w:rPr>
      <w:rFonts w:eastAsia="宋体"/>
      <w:kern w:val="2"/>
      <w:sz w:val="18"/>
      <w:szCs w:val="18"/>
      <w:lang w:val="en-US" w:eastAsia="zh-CN" w:bidi="ar-SA"/>
    </w:rPr>
  </w:style>
  <w:style w:type="character" w:customStyle="1" w:styleId="120">
    <w:name w:val="仿宋正文 Char"/>
    <w:link w:val="121"/>
    <w:qFormat/>
    <w:uiPriority w:val="0"/>
    <w:rPr>
      <w:rFonts w:ascii="仿宋_GB2312" w:eastAsia="仿宋_GB2312"/>
      <w:kern w:val="2"/>
      <w:sz w:val="24"/>
      <w:lang w:val="en-US" w:eastAsia="zh-CN" w:bidi="ar-SA"/>
    </w:rPr>
  </w:style>
  <w:style w:type="paragraph" w:customStyle="1" w:styleId="121">
    <w:name w:val="仿宋正文"/>
    <w:basedOn w:val="1"/>
    <w:link w:val="120"/>
    <w:qFormat/>
    <w:uiPriority w:val="0"/>
    <w:pPr>
      <w:adjustRightInd/>
      <w:spacing w:line="360" w:lineRule="auto"/>
      <w:ind w:firstLine="480" w:firstLineChars="200"/>
    </w:pPr>
    <w:rPr>
      <w:rFonts w:ascii="仿宋_GB2312" w:eastAsia="仿宋_GB2312"/>
      <w:sz w:val="24"/>
      <w:szCs w:val="20"/>
    </w:rPr>
  </w:style>
  <w:style w:type="character" w:customStyle="1" w:styleId="122">
    <w:name w:val="apple-converted-space"/>
    <w:qFormat/>
    <w:uiPriority w:val="0"/>
  </w:style>
  <w:style w:type="character" w:customStyle="1" w:styleId="123">
    <w:name w:val="纯文本 Char1"/>
    <w:link w:val="124"/>
    <w:qFormat/>
    <w:uiPriority w:val="0"/>
    <w:rPr>
      <w:rFonts w:ascii="宋体" w:hAnsi="Courier New"/>
    </w:rPr>
  </w:style>
  <w:style w:type="paragraph" w:customStyle="1" w:styleId="124">
    <w:name w:val="纯文本1"/>
    <w:basedOn w:val="1"/>
    <w:link w:val="123"/>
    <w:qFormat/>
    <w:uiPriority w:val="0"/>
    <w:pPr>
      <w:adjustRightInd/>
    </w:pPr>
    <w:rPr>
      <w:rFonts w:ascii="宋体" w:hAnsi="Courier New"/>
      <w:kern w:val="0"/>
      <w:sz w:val="20"/>
      <w:szCs w:val="20"/>
    </w:rPr>
  </w:style>
  <w:style w:type="character" w:customStyle="1" w:styleId="125">
    <w:name w:val=" Char Char2"/>
    <w:qFormat/>
    <w:uiPriority w:val="0"/>
    <w:rPr>
      <w:rFonts w:eastAsia="宋体"/>
      <w:b/>
      <w:bCs/>
      <w:kern w:val="2"/>
      <w:sz w:val="21"/>
      <w:szCs w:val="24"/>
      <w:lang w:val="en-US" w:eastAsia="zh-CN" w:bidi="ar-SA"/>
    </w:rPr>
  </w:style>
  <w:style w:type="character" w:customStyle="1" w:styleId="126">
    <w:name w:val="h3 Char"/>
    <w:qFormat/>
    <w:uiPriority w:val="0"/>
    <w:rPr>
      <w:rFonts w:eastAsia="宋体"/>
      <w:b/>
      <w:kern w:val="2"/>
      <w:sz w:val="32"/>
      <w:lang w:val="en-US" w:eastAsia="zh-CN" w:bidi="ar-SA"/>
    </w:rPr>
  </w:style>
  <w:style w:type="character" w:customStyle="1" w:styleId="127">
    <w:name w:val="普通文字 Char3"/>
    <w:qFormat/>
    <w:uiPriority w:val="0"/>
    <w:rPr>
      <w:rFonts w:ascii="宋体" w:hAnsi="Courier New" w:eastAsia="宋体"/>
      <w:kern w:val="2"/>
      <w:sz w:val="21"/>
      <w:lang w:val="en-US" w:eastAsia="zh-CN" w:bidi="ar-SA"/>
    </w:rPr>
  </w:style>
  <w:style w:type="character" w:customStyle="1" w:styleId="128">
    <w:name w:val="content"/>
    <w:qFormat/>
    <w:uiPriority w:val="0"/>
  </w:style>
  <w:style w:type="character" w:customStyle="1" w:styleId="129">
    <w:name w:val="No Spacing Char"/>
    <w:link w:val="130"/>
    <w:qFormat/>
    <w:uiPriority w:val="1"/>
    <w:rPr>
      <w:rFonts w:ascii="Calibri" w:hAnsi="Calibri"/>
      <w:sz w:val="22"/>
      <w:szCs w:val="22"/>
      <w:lang w:val="en-US" w:eastAsia="zh-CN" w:bidi="ar-SA"/>
    </w:rPr>
  </w:style>
  <w:style w:type="paragraph" w:customStyle="1" w:styleId="130">
    <w:name w:val="无间隔1"/>
    <w:link w:val="129"/>
    <w:qFormat/>
    <w:uiPriority w:val="1"/>
    <w:rPr>
      <w:rFonts w:ascii="Calibri" w:hAnsi="Calibri" w:eastAsia="宋体" w:cs="Times New Roman"/>
      <w:sz w:val="22"/>
      <w:szCs w:val="22"/>
      <w:lang w:val="en-US" w:eastAsia="zh-CN" w:bidi="ar-SA"/>
    </w:rPr>
  </w:style>
  <w:style w:type="character" w:customStyle="1" w:styleId="131">
    <w:name w:val="样式5 Char"/>
    <w:qFormat/>
    <w:uiPriority w:val="0"/>
    <w:rPr>
      <w:rFonts w:ascii="仿宋_GB2312" w:hAnsi="仿宋" w:eastAsia="仿宋_GB2312"/>
      <w:kern w:val="2"/>
      <w:sz w:val="24"/>
      <w:szCs w:val="24"/>
    </w:rPr>
  </w:style>
  <w:style w:type="character" w:customStyle="1" w:styleId="132">
    <w:name w:val="ca-131"/>
    <w:qFormat/>
    <w:uiPriority w:val="0"/>
    <w:rPr>
      <w:rFonts w:hint="eastAsia" w:ascii="仿宋_GB2312" w:eastAsia="仿宋_GB2312"/>
      <w:b/>
      <w:bCs/>
      <w:color w:val="000000"/>
      <w:spacing w:val="-20"/>
      <w:sz w:val="24"/>
      <w:szCs w:val="24"/>
    </w:rPr>
  </w:style>
  <w:style w:type="character" w:customStyle="1" w:styleId="133">
    <w:name w:val="正文（缩进2汉字） Char"/>
    <w:link w:val="134"/>
    <w:qFormat/>
    <w:uiPriority w:val="0"/>
    <w:rPr>
      <w:rFonts w:ascii="宋体"/>
    </w:rPr>
  </w:style>
  <w:style w:type="paragraph" w:customStyle="1" w:styleId="134">
    <w:name w:val="正文（缩进2汉字）"/>
    <w:basedOn w:val="1"/>
    <w:link w:val="133"/>
    <w:qFormat/>
    <w:uiPriority w:val="0"/>
    <w:pPr>
      <w:tabs>
        <w:tab w:val="left" w:pos="525"/>
      </w:tabs>
      <w:adjustRightInd/>
      <w:spacing w:before="100" w:beforeLines="0" w:beforeAutospacing="1" w:after="100" w:afterLines="0" w:afterAutospacing="1"/>
      <w:ind w:left="120" w:leftChars="50" w:firstLine="494" w:firstLineChars="206"/>
    </w:pPr>
    <w:rPr>
      <w:rFonts w:ascii="宋体"/>
      <w:kern w:val="0"/>
      <w:sz w:val="20"/>
      <w:szCs w:val="20"/>
    </w:rPr>
  </w:style>
  <w:style w:type="character" w:customStyle="1" w:styleId="135">
    <w:name w:val="Body Text(ch) Char Char"/>
    <w:qFormat/>
    <w:uiPriority w:val="0"/>
    <w:rPr>
      <w:rFonts w:ascii="宋体"/>
      <w:kern w:val="2"/>
      <w:sz w:val="24"/>
      <w:szCs w:val="21"/>
      <w:lang w:val="zh-CN"/>
    </w:rPr>
  </w:style>
  <w:style w:type="character" w:customStyle="1" w:styleId="136">
    <w:name w:val="正文 项目 Char"/>
    <w:qFormat/>
    <w:uiPriority w:val="0"/>
    <w:rPr>
      <w:rFonts w:ascii="仿宋_GB2312" w:hAnsi="仿宋_GB2312" w:eastAsia="仿宋_GB2312"/>
      <w:kern w:val="2"/>
      <w:sz w:val="24"/>
      <w:lang w:bidi="ar-SA"/>
    </w:rPr>
  </w:style>
  <w:style w:type="character" w:customStyle="1" w:styleId="137">
    <w:name w:val="Char Char2"/>
    <w:qFormat/>
    <w:uiPriority w:val="0"/>
    <w:rPr>
      <w:rFonts w:eastAsia="宋体"/>
      <w:b/>
      <w:bCs/>
      <w:kern w:val="2"/>
      <w:sz w:val="21"/>
      <w:szCs w:val="24"/>
      <w:lang w:val="en-US" w:eastAsia="zh-CN" w:bidi="ar-SA"/>
    </w:rPr>
  </w:style>
  <w:style w:type="character" w:customStyle="1" w:styleId="138">
    <w:name w:val="正文 编号 Char"/>
    <w:qFormat/>
    <w:uiPriority w:val="0"/>
    <w:rPr>
      <w:rFonts w:ascii="仿宋_GB2312" w:hAnsi="仿宋_GB2312" w:eastAsia="仿宋_GB2312"/>
      <w:kern w:val="2"/>
      <w:sz w:val="24"/>
      <w:lang w:bidi="ar-SA"/>
    </w:rPr>
  </w:style>
  <w:style w:type="character" w:customStyle="1" w:styleId="139">
    <w:name w:val="Char Char11"/>
    <w:qFormat/>
    <w:locked/>
    <w:uiPriority w:val="0"/>
    <w:rPr>
      <w:rFonts w:ascii="宋体" w:hAnsi="宋体" w:eastAsia="宋体"/>
      <w:b/>
      <w:kern w:val="2"/>
      <w:sz w:val="24"/>
      <w:szCs w:val="24"/>
      <w:lang w:val="en-US" w:eastAsia="zh-CN" w:bidi="ar-SA"/>
    </w:rPr>
  </w:style>
  <w:style w:type="character" w:customStyle="1" w:styleId="140">
    <w:name w:val="Comment Text Char"/>
    <w:semiHidden/>
    <w:qFormat/>
    <w:locked/>
    <w:uiPriority w:val="0"/>
    <w:rPr>
      <w:rFonts w:ascii="宋体" w:hAnsi="宋体" w:eastAsia="宋体"/>
      <w:kern w:val="2"/>
      <w:sz w:val="24"/>
      <w:lang w:val="en-US" w:eastAsia="zh-CN" w:bidi="ar-SA"/>
    </w:rPr>
  </w:style>
  <w:style w:type="character" w:customStyle="1" w:styleId="141">
    <w:name w:val="标题 2 Char Char"/>
    <w:qFormat/>
    <w:uiPriority w:val="0"/>
    <w:rPr>
      <w:rFonts w:ascii="楷体_GB2312" w:hAnsi="Arial" w:eastAsia="楷体_GB2312"/>
      <w:b/>
      <w:bCs/>
      <w:kern w:val="2"/>
      <w:sz w:val="24"/>
      <w:szCs w:val="32"/>
      <w:lang w:val="en-US" w:eastAsia="zh-CN" w:bidi="ar-SA"/>
    </w:rPr>
  </w:style>
  <w:style w:type="character" w:customStyle="1" w:styleId="142">
    <w:name w:val="Char Char4"/>
    <w:qFormat/>
    <w:uiPriority w:val="0"/>
    <w:rPr>
      <w:rFonts w:eastAsia="宋体"/>
      <w:b/>
      <w:sz w:val="24"/>
      <w:lang w:val="en-GB" w:eastAsia="zh-CN" w:bidi="ar-SA"/>
    </w:rPr>
  </w:style>
  <w:style w:type="character" w:customStyle="1" w:styleId="143">
    <w:name w:val="big1"/>
    <w:qFormat/>
    <w:uiPriority w:val="0"/>
    <w:rPr>
      <w:rFonts w:hint="eastAsia" w:ascii="宋体" w:hAnsi="宋体" w:eastAsia="宋体"/>
      <w:color w:val="333333"/>
      <w:sz w:val="22"/>
      <w:szCs w:val="22"/>
    </w:rPr>
  </w:style>
  <w:style w:type="character" w:customStyle="1" w:styleId="144">
    <w:name w:val="tw4winJump"/>
    <w:qFormat/>
    <w:uiPriority w:val="0"/>
    <w:rPr>
      <w:rFonts w:ascii="Courier New" w:hAnsi="Courier New" w:cs="Courier New"/>
      <w:color w:val="008080"/>
    </w:rPr>
  </w:style>
  <w:style w:type="character" w:customStyle="1" w:styleId="14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46">
    <w:name w:val="gray6"/>
    <w:basedOn w:val="61"/>
    <w:qFormat/>
    <w:uiPriority w:val="0"/>
  </w:style>
  <w:style w:type="character" w:customStyle="1" w:styleId="147">
    <w:name w:val=" Char Char8"/>
    <w:qFormat/>
    <w:uiPriority w:val="0"/>
    <w:rPr>
      <w:rFonts w:eastAsia="宋体"/>
      <w:b/>
      <w:sz w:val="24"/>
      <w:lang w:val="en-GB" w:eastAsia="zh-CN"/>
    </w:rPr>
  </w:style>
  <w:style w:type="character" w:customStyle="1" w:styleId="148">
    <w:name w:val=" Char Char7"/>
    <w:semiHidden/>
    <w:qFormat/>
    <w:uiPriority w:val="0"/>
    <w:rPr>
      <w:rFonts w:eastAsia="宋体"/>
      <w:kern w:val="2"/>
      <w:sz w:val="21"/>
      <w:szCs w:val="24"/>
      <w:lang w:val="en-US" w:eastAsia="zh-CN" w:bidi="ar-SA"/>
    </w:rPr>
  </w:style>
  <w:style w:type="character" w:customStyle="1" w:styleId="149">
    <w:name w:val="pt9"/>
    <w:qFormat/>
    <w:uiPriority w:val="0"/>
    <w:rPr>
      <w:rFonts w:ascii="仿宋_GB2312" w:eastAsia="微软雅黑"/>
      <w:b/>
      <w:kern w:val="2"/>
      <w:sz w:val="32"/>
      <w:szCs w:val="32"/>
      <w:lang w:val="en-US" w:eastAsia="zh-CN" w:bidi="ar-SA"/>
    </w:rPr>
  </w:style>
  <w:style w:type="character" w:customStyle="1" w:styleId="150">
    <w:name w:val="标题 2 Char"/>
    <w:qFormat/>
    <w:uiPriority w:val="0"/>
    <w:rPr>
      <w:rFonts w:ascii="Arial" w:hAnsi="Arial" w:eastAsia="黑体"/>
      <w:b/>
      <w:kern w:val="2"/>
      <w:sz w:val="32"/>
      <w:lang w:val="en-US" w:eastAsia="zh-CN"/>
    </w:rPr>
  </w:style>
  <w:style w:type="character" w:customStyle="1" w:styleId="151">
    <w:name w:val="highlight1"/>
    <w:qFormat/>
    <w:uiPriority w:val="0"/>
    <w:rPr>
      <w:rFonts w:ascii="仿宋_GB2312" w:eastAsia="微软雅黑"/>
      <w:b/>
      <w:kern w:val="2"/>
      <w:sz w:val="23"/>
      <w:szCs w:val="23"/>
      <w:lang w:val="en-US" w:eastAsia="zh-CN" w:bidi="ar-SA"/>
    </w:rPr>
  </w:style>
  <w:style w:type="character" w:customStyle="1" w:styleId="152">
    <w:name w:val="样式4 Char"/>
    <w:qFormat/>
    <w:uiPriority w:val="0"/>
    <w:rPr>
      <w:rFonts w:ascii="仿宋_GB2312" w:hAnsi="仿宋" w:eastAsia="仿宋_GB2312"/>
      <w:b/>
      <w:kern w:val="2"/>
      <w:sz w:val="32"/>
      <w:szCs w:val="32"/>
      <w:lang w:bidi="ar-SA"/>
    </w:rPr>
  </w:style>
  <w:style w:type="character" w:customStyle="1" w:styleId="153">
    <w:name w:val="tw4winExternal"/>
    <w:qFormat/>
    <w:uiPriority w:val="0"/>
    <w:rPr>
      <w:rFonts w:ascii="Courier New" w:hAnsi="Courier New" w:cs="Courier New"/>
      <w:color w:val="808080"/>
    </w:rPr>
  </w:style>
  <w:style w:type="character" w:customStyle="1" w:styleId="154">
    <w:name w:val="正文非缩进 Char"/>
    <w:qFormat/>
    <w:uiPriority w:val="0"/>
    <w:rPr>
      <w:rFonts w:ascii="宋体" w:eastAsia="宋体"/>
      <w:snapToGrid w:val="0"/>
      <w:color w:val="000000"/>
      <w:kern w:val="28"/>
      <w:sz w:val="28"/>
      <w:lang w:val="en-US" w:eastAsia="zh-CN" w:bidi="ar-SA"/>
    </w:rPr>
  </w:style>
  <w:style w:type="character" w:customStyle="1" w:styleId="155">
    <w:name w:val="font12gray1"/>
    <w:qFormat/>
    <w:uiPriority w:val="0"/>
    <w:rPr>
      <w:rFonts w:ascii="仿宋_GB2312" w:eastAsia="微软雅黑"/>
      <w:b/>
      <w:spacing w:val="300"/>
      <w:kern w:val="2"/>
      <w:sz w:val="18"/>
      <w:szCs w:val="18"/>
      <w:lang w:val="en-US" w:eastAsia="zh-CN" w:bidi="ar-SA"/>
    </w:rPr>
  </w:style>
  <w:style w:type="character" w:customStyle="1" w:styleId="156">
    <w:name w:val="Ò³Ã¼ Char Char"/>
    <w:qFormat/>
    <w:uiPriority w:val="0"/>
    <w:rPr>
      <w:rFonts w:eastAsia="宋体"/>
      <w:kern w:val="2"/>
      <w:sz w:val="18"/>
      <w:lang w:val="en-US" w:eastAsia="zh-CN" w:bidi="ar-SA"/>
    </w:rPr>
  </w:style>
  <w:style w:type="character" w:customStyle="1" w:styleId="157">
    <w:name w:val="正文1 Char1"/>
    <w:qFormat/>
    <w:uiPriority w:val="0"/>
    <w:rPr>
      <w:rFonts w:ascii="仿宋_GB2312" w:hAnsi="Courier New" w:eastAsia="仿宋_GB2312"/>
      <w:kern w:val="28"/>
      <w:sz w:val="24"/>
      <w:szCs w:val="24"/>
    </w:rPr>
  </w:style>
  <w:style w:type="character" w:customStyle="1" w:styleId="158">
    <w:name w:val=" Char Char10"/>
    <w:semiHidden/>
    <w:qFormat/>
    <w:uiPriority w:val="0"/>
    <w:rPr>
      <w:rFonts w:ascii="宋体" w:hAnsi="宋体"/>
      <w:kern w:val="2"/>
      <w:sz w:val="21"/>
      <w:szCs w:val="24"/>
    </w:rPr>
  </w:style>
  <w:style w:type="character" w:customStyle="1" w:styleId="159">
    <w:name w:val="样式 标题 4h4H4Fab-4T5Ref Heading 1rh1Heading sqlsect 1.2.3.... Char"/>
    <w:link w:val="160"/>
    <w:qFormat/>
    <w:uiPriority w:val="0"/>
    <w:rPr>
      <w:rFonts w:ascii="微软雅黑" w:hAnsi="微软雅黑" w:eastAsia="微软雅黑"/>
      <w:b/>
      <w:bCs/>
      <w:kern w:val="2"/>
      <w:sz w:val="24"/>
      <w:szCs w:val="28"/>
    </w:rPr>
  </w:style>
  <w:style w:type="paragraph" w:customStyle="1" w:styleId="160">
    <w:name w:val="样式 标题 4h4H4Fab-4T5Ref Heading 1rh1Heading sqlsect 1.2.3...."/>
    <w:basedOn w:val="5"/>
    <w:link w:val="159"/>
    <w:qFormat/>
    <w:uiPriority w:val="0"/>
    <w:pPr>
      <w:numPr>
        <w:ilvl w:val="3"/>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161">
    <w:name w:val="hui"/>
    <w:basedOn w:val="61"/>
    <w:qFormat/>
    <w:uiPriority w:val="0"/>
  </w:style>
  <w:style w:type="character" w:customStyle="1" w:styleId="162">
    <w:name w:val="方案正文 Char"/>
    <w:qFormat/>
    <w:uiPriority w:val="0"/>
    <w:rPr>
      <w:rFonts w:ascii="仿宋_GB2312" w:eastAsia="仿宋_GB2312"/>
      <w:b/>
      <w:color w:val="000000"/>
      <w:kern w:val="2"/>
      <w:sz w:val="24"/>
      <w:lang w:val="en-US" w:eastAsia="zh-CN" w:bidi="ar-SA"/>
    </w:rPr>
  </w:style>
  <w:style w:type="character" w:customStyle="1" w:styleId="163">
    <w:name w:val="纯文本 字符"/>
    <w:qFormat/>
    <w:uiPriority w:val="0"/>
    <w:rPr>
      <w:rFonts w:ascii="宋体" w:hAnsi="Courier New" w:eastAsia="宋体" w:cs="Arial"/>
      <w:snapToGrid/>
      <w:kern w:val="2"/>
      <w:sz w:val="21"/>
      <w:szCs w:val="21"/>
      <w:lang w:val="en-US" w:eastAsia="zh-CN" w:bidi="ar-SA"/>
    </w:rPr>
  </w:style>
  <w:style w:type="character" w:customStyle="1" w:styleId="164">
    <w:name w:val="标题 1 Char Char"/>
    <w:qFormat/>
    <w:uiPriority w:val="0"/>
    <w:rPr>
      <w:rFonts w:hint="eastAsia" w:ascii="宋体" w:hAnsi="宋体" w:eastAsia="宋体"/>
      <w:b/>
      <w:spacing w:val="-2"/>
      <w:sz w:val="24"/>
      <w:lang w:val="en-US" w:eastAsia="zh-CN" w:bidi="ar-SA"/>
    </w:rPr>
  </w:style>
  <w:style w:type="character" w:customStyle="1" w:styleId="165">
    <w:name w:val="hei16b1"/>
    <w:qFormat/>
    <w:uiPriority w:val="0"/>
    <w:rPr>
      <w:rFonts w:hint="default" w:ascii="Arial" w:hAnsi="Arial" w:cs="Arial"/>
      <w:b/>
      <w:bCs/>
      <w:color w:val="000000"/>
      <w:sz w:val="24"/>
      <w:szCs w:val="24"/>
    </w:rPr>
  </w:style>
  <w:style w:type="character" w:customStyle="1" w:styleId="166">
    <w:name w:val="large1"/>
    <w:qFormat/>
    <w:uiPriority w:val="0"/>
    <w:rPr>
      <w:rFonts w:hint="eastAsia" w:ascii="宋体" w:hAnsi="宋体" w:eastAsia="宋体"/>
      <w:sz w:val="21"/>
      <w:szCs w:val="21"/>
    </w:rPr>
  </w:style>
  <w:style w:type="character" w:customStyle="1" w:styleId="167">
    <w:name w:val="正文2 Char"/>
    <w:qFormat/>
    <w:uiPriority w:val="0"/>
    <w:rPr>
      <w:rFonts w:eastAsia="宋体"/>
      <w:kern w:val="2"/>
      <w:sz w:val="24"/>
      <w:lang w:val="en-US" w:eastAsia="zh-CN" w:bidi="ar-SA"/>
    </w:rPr>
  </w:style>
  <w:style w:type="character" w:customStyle="1" w:styleId="168">
    <w:name w:val="标准正文格式 Char"/>
    <w:qFormat/>
    <w:uiPriority w:val="0"/>
    <w:rPr>
      <w:rFonts w:ascii="宋体" w:eastAsia="仿宋_GB2312" w:cs="宋体"/>
      <w:color w:val="000000"/>
      <w:sz w:val="24"/>
      <w:lang w:val="en-US" w:eastAsia="zh-CN" w:bidi="ar-SA"/>
    </w:rPr>
  </w:style>
  <w:style w:type="character" w:customStyle="1" w:styleId="169">
    <w:name w:val=" Char Char"/>
    <w:qFormat/>
    <w:uiPriority w:val="0"/>
    <w:rPr>
      <w:rFonts w:ascii="宋体" w:hAnsi="Courier New" w:eastAsia="宋体"/>
      <w:kern w:val="2"/>
      <w:sz w:val="21"/>
      <w:lang w:val="en-US" w:eastAsia="zh-CN" w:bidi="ar-SA"/>
    </w:rPr>
  </w:style>
  <w:style w:type="character" w:customStyle="1" w:styleId="170">
    <w:name w:val="blue1"/>
    <w:basedOn w:val="61"/>
    <w:qFormat/>
    <w:uiPriority w:val="0"/>
  </w:style>
  <w:style w:type="character" w:customStyle="1" w:styleId="171">
    <w:name w:val="样式 宋体"/>
    <w:qFormat/>
    <w:uiPriority w:val="0"/>
    <w:rPr>
      <w:rFonts w:ascii="宋体" w:hAnsi="宋体"/>
      <w:sz w:val="24"/>
    </w:rPr>
  </w:style>
  <w:style w:type="character" w:customStyle="1" w:styleId="172">
    <w:name w:val="标书1 Char"/>
    <w:qFormat/>
    <w:uiPriority w:val="0"/>
    <w:rPr>
      <w:rFonts w:eastAsia="宋体"/>
      <w:b/>
      <w:bCs/>
      <w:kern w:val="44"/>
      <w:sz w:val="44"/>
      <w:szCs w:val="44"/>
      <w:lang w:val="en-US" w:eastAsia="zh-CN" w:bidi="ar-SA"/>
    </w:rPr>
  </w:style>
  <w:style w:type="character" w:customStyle="1" w:styleId="173">
    <w:name w:val="表正文 Char1"/>
    <w:qFormat/>
    <w:uiPriority w:val="0"/>
    <w:rPr>
      <w:rFonts w:ascii="宋体" w:eastAsia="宋体"/>
      <w:snapToGrid w:val="0"/>
      <w:color w:val="000000"/>
      <w:kern w:val="28"/>
      <w:sz w:val="28"/>
    </w:rPr>
  </w:style>
  <w:style w:type="character" w:customStyle="1" w:styleId="174">
    <w:name w:val="列出段落 Char"/>
    <w:qFormat/>
    <w:uiPriority w:val="34"/>
    <w:rPr>
      <w:rFonts w:eastAsia="楷体_GB2312" w:cs="Lucida Sans"/>
      <w:kern w:val="2"/>
      <w:sz w:val="24"/>
      <w:szCs w:val="24"/>
      <w:lang w:val="en-US" w:eastAsia="zh-CN" w:bidi="ar-SA"/>
    </w:rPr>
  </w:style>
  <w:style w:type="character" w:customStyle="1" w:styleId="175">
    <w:name w:val="tw4winTerm"/>
    <w:qFormat/>
    <w:uiPriority w:val="0"/>
    <w:rPr>
      <w:color w:val="0000FF"/>
    </w:rPr>
  </w:style>
  <w:style w:type="character" w:customStyle="1" w:styleId="176">
    <w:name w:val="dandyren_title1"/>
    <w:qFormat/>
    <w:uiPriority w:val="0"/>
    <w:rPr>
      <w:b/>
      <w:bCs/>
      <w:color w:val="FF6633"/>
      <w:sz w:val="18"/>
      <w:szCs w:val="18"/>
    </w:rPr>
  </w:style>
  <w:style w:type="character" w:customStyle="1" w:styleId="177">
    <w:name w:val="页眉 Char"/>
    <w:qFormat/>
    <w:uiPriority w:val="99"/>
    <w:rPr>
      <w:rFonts w:eastAsia="仿宋_GB2312"/>
      <w:kern w:val="2"/>
      <w:sz w:val="18"/>
      <w:lang w:val="en-US" w:eastAsia="zh-CN"/>
    </w:rPr>
  </w:style>
  <w:style w:type="character" w:customStyle="1" w:styleId="178">
    <w:name w:val="DO_NOT_TRANSLATE"/>
    <w:qFormat/>
    <w:uiPriority w:val="0"/>
    <w:rPr>
      <w:rFonts w:ascii="Courier New" w:hAnsi="Courier New" w:cs="Courier New"/>
      <w:color w:val="800000"/>
    </w:rPr>
  </w:style>
  <w:style w:type="character" w:customStyle="1" w:styleId="179">
    <w:name w:val="h Char Char1"/>
    <w:qFormat/>
    <w:uiPriority w:val="0"/>
    <w:rPr>
      <w:rFonts w:eastAsia="宋体"/>
      <w:kern w:val="2"/>
      <w:sz w:val="18"/>
      <w:szCs w:val="18"/>
      <w:lang w:val="en-US" w:eastAsia="zh-CN" w:bidi="ar-SA"/>
    </w:rPr>
  </w:style>
  <w:style w:type="character" w:customStyle="1" w:styleId="180">
    <w:name w:val="javascript"/>
    <w:qFormat/>
    <w:uiPriority w:val="0"/>
  </w:style>
  <w:style w:type="character" w:customStyle="1" w:styleId="181">
    <w:name w:val="带编号样式 Char"/>
    <w:qFormat/>
    <w:uiPriority w:val="0"/>
    <w:rPr>
      <w:rFonts w:ascii="仿宋_GB2312" w:eastAsia="仿宋_GB2312"/>
      <w:color w:val="000000"/>
      <w:sz w:val="24"/>
      <w:lang w:bidi="ar-SA"/>
    </w:rPr>
  </w:style>
  <w:style w:type="character" w:customStyle="1" w:styleId="182">
    <w:name w:val=" Char Char4"/>
    <w:qFormat/>
    <w:uiPriority w:val="0"/>
    <w:rPr>
      <w:rFonts w:eastAsia="宋体"/>
      <w:b/>
      <w:sz w:val="24"/>
      <w:lang w:val="en-GB" w:eastAsia="zh-CN" w:bidi="ar-SA"/>
    </w:rPr>
  </w:style>
  <w:style w:type="character" w:customStyle="1" w:styleId="183">
    <w:name w:val="Footer Char"/>
    <w:qFormat/>
    <w:locked/>
    <w:uiPriority w:val="0"/>
    <w:rPr>
      <w:rFonts w:eastAsia="宋体"/>
      <w:kern w:val="2"/>
      <w:sz w:val="18"/>
      <w:lang w:val="en-US" w:eastAsia="zh-CN" w:bidi="ar-SA"/>
    </w:rPr>
  </w:style>
  <w:style w:type="character" w:customStyle="1" w:styleId="184">
    <w:name w:val="正文首行缩进两字 Char"/>
    <w:qFormat/>
    <w:uiPriority w:val="0"/>
    <w:rPr>
      <w:sz w:val="24"/>
      <w:szCs w:val="24"/>
      <w:lang w:val="en-US" w:eastAsia="zh-CN" w:bidi="ar-SA"/>
    </w:rPr>
  </w:style>
  <w:style w:type="character" w:customStyle="1" w:styleId="185">
    <w:name w:val="正文首行缩进 Char Char Char Char Char Char"/>
    <w:qFormat/>
    <w:uiPriority w:val="0"/>
    <w:rPr>
      <w:rFonts w:ascii="宋体" w:eastAsia="宋体"/>
      <w:kern w:val="2"/>
      <w:sz w:val="24"/>
      <w:lang w:val="zh-CN" w:bidi="ar-SA"/>
    </w:rPr>
  </w:style>
  <w:style w:type="character" w:customStyle="1" w:styleId="186">
    <w:name w:val="插图说明 Char"/>
    <w:qFormat/>
    <w:uiPriority w:val="0"/>
    <w:rPr>
      <w:rFonts w:eastAsia="黑体"/>
      <w:sz w:val="24"/>
      <w:lang w:val="en-US" w:eastAsia="zh-CN"/>
    </w:rPr>
  </w:style>
  <w:style w:type="character" w:customStyle="1" w:styleId="187">
    <w:name w:val="纯文本 Char_0"/>
    <w:link w:val="188"/>
    <w:qFormat/>
    <w:uiPriority w:val="0"/>
    <w:rPr>
      <w:rFonts w:ascii="宋体" w:hAnsi="Courier New"/>
      <w:kern w:val="2"/>
      <w:sz w:val="21"/>
      <w:szCs w:val="21"/>
    </w:rPr>
  </w:style>
  <w:style w:type="paragraph" w:customStyle="1" w:styleId="188">
    <w:name w:val="纯文本_0_0"/>
    <w:basedOn w:val="189"/>
    <w:link w:val="187"/>
    <w:qFormat/>
    <w:uiPriority w:val="0"/>
    <w:rPr>
      <w:rFonts w:ascii="宋体" w:hAnsi="Courier New"/>
      <w:szCs w:val="21"/>
    </w:rPr>
  </w:style>
  <w:style w:type="paragraph" w:customStyle="1" w:styleId="18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0">
    <w:name w:val=" Char Char9"/>
    <w:qFormat/>
    <w:uiPriority w:val="0"/>
    <w:rPr>
      <w:rFonts w:eastAsia="宋体"/>
      <w:kern w:val="2"/>
      <w:sz w:val="18"/>
      <w:szCs w:val="18"/>
      <w:lang w:val="en-US" w:eastAsia="zh-CN" w:bidi="ar-SA"/>
    </w:rPr>
  </w:style>
  <w:style w:type="character" w:customStyle="1" w:styleId="191">
    <w:name w:val="Used by Word for text of Help footnotes Char Char"/>
    <w:semiHidden/>
    <w:qFormat/>
    <w:uiPriority w:val="0"/>
    <w:rPr>
      <w:rFonts w:ascii="Times New Roman" w:hAnsi="Times New Roman" w:eastAsia="宋体" w:cs="Times New Roman"/>
      <w:sz w:val="20"/>
      <w:szCs w:val="20"/>
    </w:rPr>
  </w:style>
  <w:style w:type="character" w:customStyle="1" w:styleId="192">
    <w:name w:val="正文缩进 Char"/>
    <w:qFormat/>
    <w:uiPriority w:val="0"/>
    <w:rPr>
      <w:rFonts w:eastAsia="宋体"/>
      <w:kern w:val="2"/>
      <w:sz w:val="21"/>
      <w:lang w:val="en-US" w:eastAsia="zh-CN"/>
    </w:rPr>
  </w:style>
  <w:style w:type="character" w:customStyle="1" w:styleId="193">
    <w:name w:val="公文正文 Char"/>
    <w:qFormat/>
    <w:uiPriority w:val="0"/>
    <w:rPr>
      <w:rFonts w:ascii="仿宋_GB2312" w:eastAsia="仿宋_GB2312"/>
      <w:kern w:val="2"/>
      <w:sz w:val="24"/>
      <w:szCs w:val="24"/>
      <w:lang w:val="en-US" w:eastAsia="zh-CN" w:bidi="ar-SA"/>
    </w:rPr>
  </w:style>
  <w:style w:type="character" w:customStyle="1" w:styleId="194">
    <w:name w:val="正文缩进 字符"/>
    <w:qFormat/>
    <w:uiPriority w:val="0"/>
    <w:rPr>
      <w:rFonts w:ascii="宋体" w:eastAsia="宋体"/>
      <w:snapToGrid/>
      <w:color w:val="000000"/>
      <w:kern w:val="28"/>
      <w:sz w:val="28"/>
      <w:lang w:val="en-US" w:eastAsia="zh-CN" w:bidi="ar-SA"/>
    </w:rPr>
  </w:style>
  <w:style w:type="character" w:customStyle="1" w:styleId="195">
    <w:name w:val="Header Char"/>
    <w:semiHidden/>
    <w:qFormat/>
    <w:locked/>
    <w:uiPriority w:val="0"/>
    <w:rPr>
      <w:rFonts w:eastAsia="宋体"/>
      <w:kern w:val="2"/>
      <w:sz w:val="18"/>
      <w:szCs w:val="18"/>
      <w:lang w:val="en-US" w:eastAsia="zh-CN" w:bidi="ar-SA"/>
    </w:rPr>
  </w:style>
  <w:style w:type="character" w:customStyle="1" w:styleId="196">
    <w:name w:val="h Char Char"/>
    <w:qFormat/>
    <w:uiPriority w:val="0"/>
    <w:rPr>
      <w:rFonts w:eastAsia="宋体"/>
      <w:kern w:val="2"/>
      <w:sz w:val="18"/>
      <w:lang w:val="en-US" w:eastAsia="zh-CN" w:bidi="ar-SA"/>
    </w:rPr>
  </w:style>
  <w:style w:type="character" w:customStyle="1" w:styleId="197">
    <w:name w:val="h3 Char1"/>
    <w:qFormat/>
    <w:uiPriority w:val="0"/>
    <w:rPr>
      <w:rFonts w:eastAsia="宋体"/>
      <w:b/>
      <w:bCs/>
      <w:kern w:val="2"/>
      <w:sz w:val="32"/>
      <w:szCs w:val="32"/>
      <w:lang w:bidi="ar-SA"/>
    </w:rPr>
  </w:style>
  <w:style w:type="character" w:customStyle="1" w:styleId="198">
    <w:name w:val="Char Char6"/>
    <w:qFormat/>
    <w:uiPriority w:val="0"/>
    <w:rPr>
      <w:rFonts w:eastAsia="宋体"/>
      <w:kern w:val="2"/>
      <w:sz w:val="21"/>
      <w:szCs w:val="24"/>
      <w:lang w:val="en-US" w:eastAsia="zh-CN" w:bidi="ar-SA"/>
    </w:rPr>
  </w:style>
  <w:style w:type="character" w:customStyle="1" w:styleId="199">
    <w:name w:val="样式8 Char"/>
    <w:qFormat/>
    <w:uiPriority w:val="0"/>
    <w:rPr>
      <w:rFonts w:ascii="仿宋_GB2312" w:hAnsi="宋体" w:eastAsia="仿宋_GB2312"/>
      <w:b/>
      <w:bCs/>
      <w:kern w:val="2"/>
      <w:sz w:val="24"/>
      <w:szCs w:val="24"/>
    </w:rPr>
  </w:style>
  <w:style w:type="character" w:customStyle="1" w:styleId="200">
    <w:name w:val="solutionfonts"/>
    <w:qFormat/>
    <w:uiPriority w:val="0"/>
  </w:style>
  <w:style w:type="character" w:customStyle="1" w:styleId="201">
    <w:name w:val="font21"/>
    <w:qFormat/>
    <w:uiPriority w:val="0"/>
    <w:rPr>
      <w:rFonts w:hint="eastAsia" w:ascii="宋体" w:hAnsi="宋体" w:eastAsia="宋体"/>
      <w:kern w:val="2"/>
      <w:sz w:val="28"/>
      <w:szCs w:val="28"/>
      <w:lang w:val="en-US" w:eastAsia="zh-CN" w:bidi="ar-SA"/>
    </w:rPr>
  </w:style>
  <w:style w:type="character" w:customStyle="1" w:styleId="202">
    <w:name w:val="正文缩进 Char1"/>
    <w:qFormat/>
    <w:uiPriority w:val="0"/>
    <w:rPr>
      <w:rFonts w:ascii="宋体" w:eastAsia="宋体"/>
      <w:snapToGrid w:val="0"/>
      <w:color w:val="000000"/>
      <w:kern w:val="28"/>
      <w:sz w:val="28"/>
      <w:lang w:val="en-US" w:eastAsia="zh-CN" w:bidi="ar-SA"/>
    </w:rPr>
  </w:style>
  <w:style w:type="character" w:customStyle="1" w:styleId="203">
    <w:name w:val="Item List Char"/>
    <w:link w:val="204"/>
    <w:qFormat/>
    <w:uiPriority w:val="0"/>
    <w:rPr>
      <w:rFonts w:ascii="Arial"/>
      <w:bCs/>
      <w:sz w:val="21"/>
      <w:szCs w:val="21"/>
      <w:lang w:val="en-US" w:eastAsia="zh-CN" w:bidi="ar-SA"/>
    </w:rPr>
  </w:style>
  <w:style w:type="paragraph" w:customStyle="1" w:styleId="204">
    <w:name w:val="Item List"/>
    <w:link w:val="20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05">
    <w:name w:val="PI Char"/>
    <w:qFormat/>
    <w:uiPriority w:val="0"/>
    <w:rPr>
      <w:rFonts w:ascii="宋体" w:hAnsi="宋体" w:eastAsia="宋体"/>
      <w:kern w:val="2"/>
      <w:sz w:val="24"/>
      <w:szCs w:val="24"/>
      <w:lang w:val="en-US" w:eastAsia="zh-CN" w:bidi="ar-SA"/>
    </w:rPr>
  </w:style>
  <w:style w:type="character" w:customStyle="1" w:styleId="206">
    <w:name w:val="bookmark-item"/>
    <w:basedOn w:val="61"/>
    <w:qFormat/>
    <w:uiPriority w:val="0"/>
  </w:style>
  <w:style w:type="character" w:customStyle="1" w:styleId="207">
    <w:name w:val="px14"/>
    <w:qFormat/>
    <w:uiPriority w:val="0"/>
    <w:rPr>
      <w:rFonts w:ascii="仿宋_GB2312" w:eastAsia="微软雅黑" w:cs="Times New Roman"/>
      <w:b/>
      <w:kern w:val="2"/>
      <w:sz w:val="32"/>
      <w:szCs w:val="32"/>
      <w:lang w:val="en-US" w:eastAsia="zh-CN" w:bidi="ar-SA"/>
    </w:rPr>
  </w:style>
  <w:style w:type="character" w:customStyle="1" w:styleId="208">
    <w:name w:val=" Char Char6"/>
    <w:qFormat/>
    <w:uiPriority w:val="0"/>
    <w:rPr>
      <w:rFonts w:eastAsia="宋体"/>
      <w:kern w:val="2"/>
      <w:sz w:val="21"/>
      <w:szCs w:val="24"/>
      <w:lang w:val="en-US" w:eastAsia="zh-CN" w:bidi="ar-SA"/>
    </w:rPr>
  </w:style>
  <w:style w:type="character" w:customStyle="1" w:styleId="209">
    <w:name w:val=" Char Char12"/>
    <w:qFormat/>
    <w:uiPriority w:val="0"/>
    <w:rPr>
      <w:rFonts w:ascii="仿宋_GB2312" w:eastAsia="仿宋_GB2312"/>
      <w:b/>
      <w:bCs/>
      <w:kern w:val="2"/>
      <w:sz w:val="24"/>
      <w:szCs w:val="24"/>
      <w:lang w:val="zh-CN" w:eastAsia="zh-CN" w:bidi="ar-SA"/>
    </w:rPr>
  </w:style>
  <w:style w:type="character" w:customStyle="1" w:styleId="210">
    <w:name w:val="unnamed11"/>
    <w:qFormat/>
    <w:uiPriority w:val="0"/>
    <w:rPr>
      <w:sz w:val="20"/>
      <w:szCs w:val="20"/>
    </w:rPr>
  </w:style>
  <w:style w:type="character" w:customStyle="1" w:styleId="211">
    <w:name w:val="正文1 Char"/>
    <w:qFormat/>
    <w:uiPriority w:val="0"/>
    <w:rPr>
      <w:rFonts w:ascii="宋体" w:eastAsia="宋体"/>
      <w:snapToGrid w:val="0"/>
      <w:color w:val="000000"/>
      <w:kern w:val="28"/>
      <w:sz w:val="28"/>
      <w:lang w:val="en-US" w:eastAsia="zh-CN" w:bidi="ar-SA"/>
    </w:rPr>
  </w:style>
  <w:style w:type="character" w:customStyle="1" w:styleId="212">
    <w:name w:val="样式 样式 标题 4h4H4Fab-4T5Ref Heading 1rh1Heading sqlsect 1.2.3.... +... Char"/>
    <w:link w:val="213"/>
    <w:qFormat/>
    <w:uiPriority w:val="0"/>
    <w:rPr>
      <w:rFonts w:ascii="微软雅黑" w:hAnsi="微软雅黑" w:eastAsia="微软雅黑"/>
      <w:b/>
      <w:bCs/>
      <w:kern w:val="2"/>
      <w:sz w:val="24"/>
      <w:szCs w:val="28"/>
    </w:rPr>
  </w:style>
  <w:style w:type="paragraph" w:customStyle="1" w:styleId="213">
    <w:name w:val="样式 样式 标题 4h4H4Fab-4T5Ref Heading 1rh1Heading sqlsect 1.2.3.... +..."/>
    <w:basedOn w:val="160"/>
    <w:link w:val="212"/>
    <w:qFormat/>
    <w:uiPriority w:val="0"/>
  </w:style>
  <w:style w:type="character" w:customStyle="1" w:styleId="214">
    <w:name w:val="正文文本缩进 Char"/>
    <w:qFormat/>
    <w:uiPriority w:val="0"/>
    <w:rPr>
      <w:rFonts w:ascii="宋体" w:hAnsi="宋体"/>
      <w:kern w:val="2"/>
      <w:sz w:val="24"/>
      <w:szCs w:val="24"/>
    </w:rPr>
  </w:style>
  <w:style w:type="character" w:customStyle="1" w:styleId="215">
    <w:name w:val="链接"/>
    <w:qFormat/>
    <w:uiPriority w:val="0"/>
    <w:rPr>
      <w:color w:val="0000FF"/>
      <w:sz w:val="21"/>
      <w:szCs w:val="21"/>
      <w:u w:val="single"/>
    </w:rPr>
  </w:style>
  <w:style w:type="character" w:customStyle="1" w:styleId="216">
    <w:name w:val="myp11"/>
    <w:qFormat/>
    <w:uiPriority w:val="0"/>
    <w:rPr>
      <w:rFonts w:ascii="仿宋_GB2312" w:eastAsia="微软雅黑"/>
      <w:b/>
      <w:kern w:val="2"/>
      <w:sz w:val="32"/>
      <w:szCs w:val="32"/>
      <w:lang w:val="en-US" w:eastAsia="zh-CN" w:bidi="ar-SA"/>
    </w:rPr>
  </w:style>
  <w:style w:type="character" w:customStyle="1" w:styleId="217">
    <w:name w:val="b11_01b Char"/>
    <w:link w:val="218"/>
    <w:qFormat/>
    <w:uiPriority w:val="0"/>
    <w:rPr>
      <w:rFonts w:ascii="Verdana" w:hAnsi="Verdana"/>
      <w:b/>
      <w:bCs/>
      <w:color w:val="4A82CA"/>
      <w:sz w:val="17"/>
      <w:szCs w:val="17"/>
    </w:rPr>
  </w:style>
  <w:style w:type="paragraph" w:customStyle="1" w:styleId="218">
    <w:name w:val="b11_01b"/>
    <w:basedOn w:val="1"/>
    <w:next w:val="1"/>
    <w:link w:val="217"/>
    <w:qFormat/>
    <w:uiPriority w:val="0"/>
    <w:pPr>
      <w:widowControl/>
      <w:adjustRightInd/>
      <w:spacing w:before="100" w:beforeLines="0" w:beforeAutospacing="1" w:after="100" w:afterLines="0" w:afterAutospacing="1" w:line="384" w:lineRule="auto"/>
      <w:jc w:val="left"/>
    </w:pPr>
    <w:rPr>
      <w:rFonts w:ascii="Verdana" w:hAnsi="Verdana"/>
      <w:b/>
      <w:bCs/>
      <w:color w:val="4A82CA"/>
      <w:kern w:val="0"/>
      <w:sz w:val="17"/>
      <w:szCs w:val="17"/>
    </w:rPr>
  </w:style>
  <w:style w:type="character" w:customStyle="1" w:styleId="219">
    <w:name w:val="纯文本 Char Char Char"/>
    <w:qFormat/>
    <w:uiPriority w:val="0"/>
    <w:rPr>
      <w:rFonts w:ascii="宋体" w:hAnsi="Courier New" w:eastAsia="宋体"/>
      <w:kern w:val="2"/>
      <w:sz w:val="21"/>
      <w:lang w:val="en-US" w:eastAsia="zh-CN" w:bidi="ar-SA"/>
    </w:rPr>
  </w:style>
  <w:style w:type="character" w:customStyle="1" w:styleId="220">
    <w:name w:val="正文2 Char Char"/>
    <w:link w:val="221"/>
    <w:qFormat/>
    <w:uiPriority w:val="0"/>
    <w:rPr>
      <w:rFonts w:eastAsia="宋体"/>
      <w:kern w:val="2"/>
      <w:sz w:val="24"/>
      <w:lang w:val="en-US" w:eastAsia="zh-CN" w:bidi="ar-SA"/>
    </w:rPr>
  </w:style>
  <w:style w:type="paragraph" w:customStyle="1" w:styleId="221">
    <w:name w:val="正文2"/>
    <w:basedOn w:val="1"/>
    <w:link w:val="220"/>
    <w:qFormat/>
    <w:uiPriority w:val="0"/>
    <w:pPr>
      <w:spacing w:before="156" w:beforeLines="0" w:line="360" w:lineRule="auto"/>
      <w:ind w:firstLine="510" w:firstLineChars="200"/>
    </w:pPr>
    <w:rPr>
      <w:sz w:val="24"/>
      <w:szCs w:val="20"/>
    </w:rPr>
  </w:style>
  <w:style w:type="character" w:customStyle="1" w:styleId="222">
    <w:name w:val="Char Char5"/>
    <w:qFormat/>
    <w:uiPriority w:val="0"/>
    <w:rPr>
      <w:rFonts w:ascii="宋体" w:hAnsi="Courier New" w:eastAsia="宋体"/>
      <w:kern w:val="2"/>
      <w:sz w:val="21"/>
      <w:lang w:val="en-US" w:eastAsia="zh-CN"/>
    </w:rPr>
  </w:style>
  <w:style w:type="character" w:customStyle="1" w:styleId="223">
    <w:name w:val="正文 项目2 Char"/>
    <w:basedOn w:val="136"/>
    <w:qFormat/>
    <w:uiPriority w:val="0"/>
  </w:style>
  <w:style w:type="character" w:customStyle="1" w:styleId="224">
    <w:name w:val="标题 3 Char2"/>
    <w:qFormat/>
    <w:uiPriority w:val="0"/>
    <w:rPr>
      <w:rFonts w:eastAsia="宋体"/>
      <w:b/>
      <w:bCs/>
      <w:kern w:val="2"/>
      <w:sz w:val="32"/>
      <w:szCs w:val="32"/>
      <w:lang w:val="en-US" w:eastAsia="zh-CN" w:bidi="ar-SA"/>
    </w:rPr>
  </w:style>
  <w:style w:type="character" w:customStyle="1" w:styleId="225">
    <w:name w:val="f141"/>
    <w:qFormat/>
    <w:uiPriority w:val="0"/>
    <w:rPr>
      <w:rFonts w:ascii="Tahoma" w:hAnsi="Tahoma" w:eastAsia="宋体"/>
      <w:b/>
      <w:kern w:val="2"/>
      <w:sz w:val="21"/>
      <w:szCs w:val="21"/>
      <w:lang w:val="en-US" w:eastAsia="zh-CN" w:bidi="ar-SA"/>
    </w:rPr>
  </w:style>
  <w:style w:type="character" w:customStyle="1" w:styleId="226">
    <w:name w:val=" Char Char5"/>
    <w:qFormat/>
    <w:uiPriority w:val="0"/>
    <w:rPr>
      <w:rFonts w:ascii="宋体" w:hAnsi="Courier New" w:eastAsia="宋体"/>
      <w:kern w:val="2"/>
      <w:sz w:val="21"/>
      <w:lang w:val="en-US" w:eastAsia="zh-CN"/>
    </w:rPr>
  </w:style>
  <w:style w:type="character" w:customStyle="1" w:styleId="227">
    <w:name w:val="myp1111"/>
    <w:qFormat/>
    <w:uiPriority w:val="0"/>
    <w:rPr>
      <w:rFonts w:hint="default" w:ascii="ˎ̥" w:hAnsi="ˎ̥"/>
      <w:color w:val="000000"/>
      <w:sz w:val="20"/>
      <w:szCs w:val="20"/>
      <w:u w:val="none"/>
    </w:rPr>
  </w:style>
  <w:style w:type="character" w:customStyle="1" w:styleId="228">
    <w:name w:val="Heading 7 Char"/>
    <w:qFormat/>
    <w:locked/>
    <w:uiPriority w:val="0"/>
    <w:rPr>
      <w:rFonts w:ascii="宋体" w:hAnsi="宋体" w:eastAsia="宋体"/>
      <w:b/>
      <w:bCs/>
      <w:kern w:val="2"/>
      <w:sz w:val="24"/>
      <w:szCs w:val="24"/>
      <w:lang w:val="en-US" w:eastAsia="zh-CN" w:bidi="ar-SA"/>
    </w:rPr>
  </w:style>
  <w:style w:type="character" w:customStyle="1" w:styleId="229">
    <w:name w:val="普通文字 Char Char1"/>
    <w:qFormat/>
    <w:uiPriority w:val="0"/>
    <w:rPr>
      <w:rFonts w:ascii="宋体" w:hAnsi="Courier New"/>
      <w:kern w:val="2"/>
      <w:sz w:val="21"/>
    </w:rPr>
  </w:style>
  <w:style w:type="character" w:customStyle="1" w:styleId="230">
    <w:name w:val="unnamed31"/>
    <w:qFormat/>
    <w:uiPriority w:val="0"/>
    <w:rPr>
      <w:rFonts w:ascii="Tahoma" w:hAnsi="Tahoma" w:eastAsia="宋体"/>
      <w:b/>
      <w:kern w:val="2"/>
      <w:sz w:val="24"/>
      <w:szCs w:val="32"/>
      <w:u w:val="none"/>
      <w:lang w:val="en-US" w:eastAsia="zh-CN" w:bidi="ar-SA"/>
    </w:rPr>
  </w:style>
  <w:style w:type="character" w:customStyle="1" w:styleId="231">
    <w:name w:val="标书正文格式 Char"/>
    <w:qFormat/>
    <w:uiPriority w:val="0"/>
    <w:rPr>
      <w:rFonts w:eastAsia="楷体_GB2312"/>
      <w:kern w:val="2"/>
      <w:sz w:val="24"/>
      <w:szCs w:val="24"/>
      <w:lang w:bidi="ar-SA"/>
    </w:rPr>
  </w:style>
  <w:style w:type="character" w:customStyle="1" w:styleId="23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233">
    <w:name w:val="页脚 Char"/>
    <w:qFormat/>
    <w:uiPriority w:val="99"/>
    <w:rPr>
      <w:rFonts w:eastAsia="仿宋_GB2312"/>
      <w:kern w:val="2"/>
      <w:sz w:val="18"/>
      <w:lang w:val="en-US" w:eastAsia="zh-CN"/>
    </w:rPr>
  </w:style>
  <w:style w:type="character" w:customStyle="1" w:styleId="234">
    <w:name w:val="tw4winError"/>
    <w:qFormat/>
    <w:uiPriority w:val="0"/>
    <w:rPr>
      <w:rFonts w:ascii="Courier New" w:hAnsi="Courier New" w:cs="Courier New"/>
      <w:color w:val="00FF00"/>
      <w:sz w:val="40"/>
      <w:szCs w:val="40"/>
    </w:rPr>
  </w:style>
  <w:style w:type="character" w:customStyle="1" w:styleId="235">
    <w:name w:val="c7 style3"/>
    <w:qFormat/>
    <w:uiPriority w:val="0"/>
  </w:style>
  <w:style w:type="character" w:customStyle="1" w:styleId="236">
    <w:name w:val="tw4winPopup"/>
    <w:qFormat/>
    <w:uiPriority w:val="0"/>
    <w:rPr>
      <w:rFonts w:ascii="Courier New" w:hAnsi="Courier New" w:cs="Courier New"/>
      <w:color w:val="008000"/>
    </w:rPr>
  </w:style>
  <w:style w:type="character" w:customStyle="1" w:styleId="237">
    <w:name w:val="Bold"/>
    <w:qFormat/>
    <w:uiPriority w:val="0"/>
    <w:rPr>
      <w:rFonts w:ascii="Arial" w:hAnsi="Arial" w:eastAsia="黑体" w:cs="Times New Roman"/>
      <w:b/>
      <w:kern w:val="2"/>
      <w:sz w:val="32"/>
      <w:szCs w:val="32"/>
      <w:lang w:val="en-US" w:eastAsia="zh-CN" w:bidi="ar-SA"/>
    </w:rPr>
  </w:style>
  <w:style w:type="character" w:customStyle="1" w:styleId="238">
    <w:name w:val=" Char Char3"/>
    <w:qFormat/>
    <w:uiPriority w:val="0"/>
    <w:rPr>
      <w:rFonts w:eastAsia="宋体"/>
      <w:kern w:val="2"/>
      <w:sz w:val="21"/>
      <w:szCs w:val="24"/>
      <w:lang w:val="en-US" w:eastAsia="zh-CN" w:bidi="ar-SA"/>
    </w:rPr>
  </w:style>
  <w:style w:type="character" w:customStyle="1" w:styleId="239">
    <w:name w:val="冯 Char"/>
    <w:link w:val="240"/>
    <w:qFormat/>
    <w:uiPriority w:val="0"/>
    <w:rPr>
      <w:rFonts w:ascii="宋体" w:hAnsi="宋体"/>
      <w:color w:val="000000"/>
      <w:sz w:val="24"/>
      <w:szCs w:val="24"/>
    </w:rPr>
  </w:style>
  <w:style w:type="paragraph" w:customStyle="1" w:styleId="240">
    <w:name w:val="冯"/>
    <w:basedOn w:val="1"/>
    <w:link w:val="239"/>
    <w:qFormat/>
    <w:uiPriority w:val="0"/>
    <w:pPr>
      <w:widowControl/>
      <w:adjustRightInd/>
      <w:spacing w:line="360" w:lineRule="auto"/>
      <w:ind w:firstLine="480" w:firstLineChars="200"/>
    </w:pPr>
    <w:rPr>
      <w:rFonts w:ascii="宋体" w:hAnsi="宋体"/>
      <w:color w:val="000000"/>
      <w:kern w:val="0"/>
      <w:sz w:val="24"/>
    </w:rPr>
  </w:style>
  <w:style w:type="character" w:customStyle="1" w:styleId="241">
    <w:name w:val="冯广丽 Char"/>
    <w:link w:val="242"/>
    <w:qFormat/>
    <w:uiPriority w:val="0"/>
    <w:rPr>
      <w:rFonts w:ascii="宋体" w:hAnsi="宋体"/>
      <w:kern w:val="2"/>
      <w:sz w:val="24"/>
      <w:szCs w:val="22"/>
    </w:rPr>
  </w:style>
  <w:style w:type="paragraph" w:customStyle="1" w:styleId="242">
    <w:name w:val="冯广丽"/>
    <w:basedOn w:val="1"/>
    <w:link w:val="241"/>
    <w:qFormat/>
    <w:uiPriority w:val="0"/>
    <w:pPr>
      <w:adjustRightInd/>
      <w:spacing w:line="360" w:lineRule="auto"/>
      <w:ind w:firstLine="480" w:firstLineChars="200"/>
    </w:pPr>
    <w:rPr>
      <w:rFonts w:ascii="宋体" w:hAnsi="宋体"/>
      <w:sz w:val="24"/>
      <w:szCs w:val="22"/>
    </w:rPr>
  </w:style>
  <w:style w:type="character" w:customStyle="1" w:styleId="243">
    <w:name w:val="批注文字 Char"/>
    <w:qFormat/>
    <w:uiPriority w:val="99"/>
    <w:rPr>
      <w:kern w:val="2"/>
      <w:sz w:val="21"/>
      <w:szCs w:val="24"/>
    </w:rPr>
  </w:style>
  <w:style w:type="character" w:customStyle="1" w:styleId="244">
    <w:name w:val="style91"/>
    <w:qFormat/>
    <w:uiPriority w:val="0"/>
    <w:rPr>
      <w:color w:val="333333"/>
    </w:rPr>
  </w:style>
  <w:style w:type="character" w:customStyle="1" w:styleId="245">
    <w:name w:val="正文文本 2 Char"/>
    <w:qFormat/>
    <w:uiPriority w:val="0"/>
    <w:rPr>
      <w:rFonts w:eastAsia="宋体"/>
      <w:kern w:val="2"/>
      <w:sz w:val="21"/>
      <w:szCs w:val="24"/>
      <w:lang w:val="en-US" w:eastAsia="zh-CN" w:bidi="ar-SA"/>
    </w:rPr>
  </w:style>
  <w:style w:type="character" w:customStyle="1" w:styleId="246">
    <w:name w:val="Char Char8"/>
    <w:qFormat/>
    <w:uiPriority w:val="0"/>
    <w:rPr>
      <w:rFonts w:eastAsia="宋体"/>
      <w:b/>
      <w:sz w:val="24"/>
      <w:lang w:val="en-GB" w:eastAsia="zh-CN"/>
    </w:rPr>
  </w:style>
  <w:style w:type="character" w:customStyle="1" w:styleId="247">
    <w:name w:val="此正文 Char"/>
    <w:link w:val="248"/>
    <w:qFormat/>
    <w:uiPriority w:val="0"/>
    <w:rPr>
      <w:kern w:val="2"/>
      <w:sz w:val="24"/>
      <w:szCs w:val="24"/>
    </w:rPr>
  </w:style>
  <w:style w:type="paragraph" w:customStyle="1" w:styleId="248">
    <w:name w:val="此正文"/>
    <w:basedOn w:val="1"/>
    <w:link w:val="247"/>
    <w:qFormat/>
    <w:uiPriority w:val="0"/>
    <w:pPr>
      <w:adjustRightInd/>
      <w:spacing w:line="360" w:lineRule="auto"/>
      <w:ind w:firstLine="200" w:firstLineChars="200"/>
    </w:pPr>
    <w:rPr>
      <w:sz w:val="24"/>
    </w:rPr>
  </w:style>
  <w:style w:type="character" w:customStyle="1" w:styleId="249">
    <w:name w:val="批注主题 Char"/>
    <w:qFormat/>
    <w:uiPriority w:val="0"/>
    <w:rPr>
      <w:rFonts w:eastAsia="宋体"/>
      <w:b/>
      <w:bCs/>
      <w:kern w:val="2"/>
      <w:sz w:val="21"/>
      <w:szCs w:val="24"/>
      <w:lang w:val="en-US" w:eastAsia="zh-CN" w:bidi="ar-SA"/>
    </w:rPr>
  </w:style>
  <w:style w:type="character" w:customStyle="1" w:styleId="250">
    <w:name w:val="Footer-Even Char"/>
    <w:qFormat/>
    <w:uiPriority w:val="0"/>
    <w:rPr>
      <w:rFonts w:eastAsia="宋体"/>
      <w:kern w:val="2"/>
      <w:sz w:val="18"/>
      <w:lang w:val="en-US" w:eastAsia="zh-CN" w:bidi="ar-SA"/>
    </w:rPr>
  </w:style>
  <w:style w:type="character" w:customStyle="1" w:styleId="251">
    <w:name w:val="普通文字 Char1 Char"/>
    <w:qFormat/>
    <w:uiPriority w:val="0"/>
    <w:rPr>
      <w:rFonts w:ascii="宋体" w:hAnsi="Courier New" w:eastAsia="宋体"/>
      <w:kern w:val="2"/>
      <w:sz w:val="21"/>
      <w:szCs w:val="24"/>
      <w:lang w:val="en-US" w:eastAsia="zh-CN" w:bidi="ar-SA"/>
    </w:rPr>
  </w:style>
  <w:style w:type="character" w:customStyle="1" w:styleId="252">
    <w:name w:val="Document Map Char"/>
    <w:semiHidden/>
    <w:qFormat/>
    <w:locked/>
    <w:uiPriority w:val="0"/>
    <w:rPr>
      <w:rFonts w:eastAsia="宋体"/>
      <w:kern w:val="2"/>
      <w:sz w:val="21"/>
      <w:szCs w:val="24"/>
      <w:lang w:val="en-US" w:eastAsia="zh-CN" w:bidi="ar-SA"/>
    </w:rPr>
  </w:style>
  <w:style w:type="character" w:customStyle="1" w:styleId="253">
    <w:name w:val="文档结构图 Char"/>
    <w:qFormat/>
    <w:uiPriority w:val="0"/>
    <w:rPr>
      <w:rFonts w:eastAsia="宋体"/>
      <w:kern w:val="2"/>
      <w:sz w:val="21"/>
      <w:szCs w:val="24"/>
      <w:lang w:val="en-US" w:eastAsia="zh-CN" w:bidi="ar-SA"/>
    </w:rPr>
  </w:style>
  <w:style w:type="character" w:customStyle="1" w:styleId="254">
    <w:name w:val="标题 4 Char1"/>
    <w:semiHidden/>
    <w:qFormat/>
    <w:uiPriority w:val="9"/>
    <w:rPr>
      <w:rFonts w:ascii="Cambria" w:hAnsi="Cambria" w:eastAsia="宋体" w:cs="Times New Roman"/>
      <w:b/>
      <w:bCs/>
      <w:kern w:val="2"/>
      <w:sz w:val="28"/>
      <w:szCs w:val="28"/>
    </w:rPr>
  </w:style>
  <w:style w:type="character" w:customStyle="1" w:styleId="255">
    <w:name w:val="Char Char3"/>
    <w:semiHidden/>
    <w:qFormat/>
    <w:uiPriority w:val="0"/>
    <w:rPr>
      <w:rFonts w:ascii="Times New Roman" w:hAnsi="Times New Roman" w:eastAsia="宋体" w:cs="Times New Roman"/>
      <w:b/>
      <w:kern w:val="2"/>
      <w:sz w:val="32"/>
      <w:szCs w:val="24"/>
      <w:lang w:val="en-US" w:eastAsia="zh-CN" w:bidi="ar-SA"/>
    </w:rPr>
  </w:style>
  <w:style w:type="character" w:customStyle="1" w:styleId="256">
    <w:name w:val="FA正文 Char Char"/>
    <w:qFormat/>
    <w:uiPriority w:val="0"/>
    <w:rPr>
      <w:rFonts w:hAnsi="宋体"/>
      <w:kern w:val="2"/>
      <w:sz w:val="24"/>
      <w:lang w:bidi="ar-SA"/>
    </w:rPr>
  </w:style>
  <w:style w:type="character" w:customStyle="1" w:styleId="257">
    <w:name w:val="表正文 Char"/>
    <w:qFormat/>
    <w:uiPriority w:val="0"/>
    <w:rPr>
      <w:rFonts w:ascii="宋体" w:eastAsia="宋体"/>
      <w:snapToGrid w:val="0"/>
      <w:color w:val="000000"/>
      <w:kern w:val="28"/>
      <w:sz w:val="28"/>
      <w:lang w:val="en-US" w:eastAsia="zh-CN" w:bidi="ar-SA"/>
    </w:rPr>
  </w:style>
  <w:style w:type="character" w:customStyle="1" w:styleId="258">
    <w:name w:val="Table Text Char1"/>
    <w:qFormat/>
    <w:uiPriority w:val="0"/>
    <w:rPr>
      <w:rFonts w:eastAsia="宋体"/>
      <w:sz w:val="24"/>
      <w:szCs w:val="24"/>
      <w:lang w:val="en-US" w:eastAsia="zh-CN" w:bidi="ar-SA"/>
    </w:rPr>
  </w:style>
  <w:style w:type="character" w:customStyle="1" w:styleId="259">
    <w:name w:val="Char Char12"/>
    <w:qFormat/>
    <w:uiPriority w:val="0"/>
    <w:rPr>
      <w:rFonts w:ascii="仿宋_GB2312" w:eastAsia="仿宋_GB2312"/>
      <w:b/>
      <w:bCs/>
      <w:kern w:val="2"/>
      <w:sz w:val="24"/>
      <w:szCs w:val="24"/>
      <w:lang w:val="zh-CN" w:eastAsia="zh-CN" w:bidi="ar-SA"/>
    </w:rPr>
  </w:style>
  <w:style w:type="character" w:customStyle="1" w:styleId="260">
    <w:name w:val="shadow11"/>
    <w:qFormat/>
    <w:uiPriority w:val="0"/>
    <w:rPr>
      <w:color w:val="000000"/>
      <w:sz w:val="21"/>
    </w:rPr>
  </w:style>
  <w:style w:type="character" w:customStyle="1" w:styleId="261">
    <w:name w:val="zbggmain style9"/>
    <w:qFormat/>
    <w:uiPriority w:val="0"/>
  </w:style>
  <w:style w:type="character" w:customStyle="1" w:styleId="262">
    <w:name w:val="首行缩进 Char"/>
    <w:qFormat/>
    <w:uiPriority w:val="0"/>
    <w:rPr>
      <w:rFonts w:ascii="宋体" w:eastAsia="宋体"/>
      <w:kern w:val="2"/>
      <w:sz w:val="24"/>
      <w:lang w:val="en-US" w:eastAsia="zh-CN" w:bidi="ar-SA"/>
    </w:rPr>
  </w:style>
  <w:style w:type="character" w:customStyle="1" w:styleId="263">
    <w:name w:val="tw4winMark"/>
    <w:qFormat/>
    <w:uiPriority w:val="0"/>
    <w:rPr>
      <w:rFonts w:ascii="Courier New" w:hAnsi="Courier New" w:cs="Courier New"/>
      <w:vanish/>
      <w:color w:val="800080"/>
      <w:sz w:val="24"/>
      <w:szCs w:val="24"/>
      <w:vertAlign w:val="subscript"/>
    </w:rPr>
  </w:style>
  <w:style w:type="character" w:customStyle="1" w:styleId="264">
    <w:name w:val="标题 Char"/>
    <w:qFormat/>
    <w:uiPriority w:val="0"/>
    <w:rPr>
      <w:rFonts w:eastAsia="宋体"/>
      <w:b/>
      <w:sz w:val="24"/>
      <w:lang w:val="en-GB" w:eastAsia="zh-CN" w:bidi="ar-SA"/>
    </w:rPr>
  </w:style>
  <w:style w:type="character" w:customStyle="1" w:styleId="265">
    <w:name w:val="message1"/>
    <w:qFormat/>
    <w:uiPriority w:val="0"/>
    <w:rPr>
      <w:rFonts w:hint="default" w:ascii="Tahoma" w:hAnsi="Tahoma" w:cs="Tahoma"/>
      <w:sz w:val="18"/>
      <w:szCs w:val="18"/>
    </w:rPr>
  </w:style>
  <w:style w:type="character" w:customStyle="1" w:styleId="266">
    <w:name w:val="Heading 2 Hidden Char"/>
    <w:qFormat/>
    <w:uiPriority w:val="0"/>
    <w:rPr>
      <w:rFonts w:ascii="仿宋_GB2312" w:eastAsia="仿宋_GB2312"/>
      <w:b/>
      <w:bCs/>
      <w:kern w:val="2"/>
      <w:sz w:val="24"/>
      <w:szCs w:val="24"/>
      <w:lang w:val="zh-CN" w:eastAsia="zh-CN" w:bidi="ar-SA"/>
    </w:rPr>
  </w:style>
  <w:style w:type="character" w:customStyle="1" w:styleId="267">
    <w:name w:val="tw4winInternal"/>
    <w:qFormat/>
    <w:uiPriority w:val="0"/>
    <w:rPr>
      <w:rFonts w:ascii="Courier New" w:hAnsi="Courier New" w:cs="Courier New"/>
      <w:color w:val="FF0000"/>
    </w:rPr>
  </w:style>
  <w:style w:type="character" w:customStyle="1" w:styleId="268">
    <w:name w:val="t21"/>
    <w:qFormat/>
    <w:uiPriority w:val="0"/>
    <w:rPr>
      <w:rFonts w:ascii="仿宋_GB2312" w:eastAsia="微软雅黑"/>
      <w:b/>
      <w:kern w:val="2"/>
      <w:sz w:val="23"/>
      <w:szCs w:val="23"/>
      <w:lang w:val="en-US" w:eastAsia="zh-CN" w:bidi="ar-SA"/>
    </w:rPr>
  </w:style>
  <w:style w:type="character" w:customStyle="1" w:styleId="269">
    <w:name w:val="正文文本 Char"/>
    <w:qFormat/>
    <w:uiPriority w:val="0"/>
    <w:rPr>
      <w:rFonts w:eastAsia="宋体"/>
      <w:kern w:val="2"/>
      <w:sz w:val="24"/>
      <w:szCs w:val="24"/>
      <w:lang w:val="en-US" w:eastAsia="zh-CN" w:bidi="ar-SA"/>
    </w:rPr>
  </w:style>
  <w:style w:type="character" w:customStyle="1" w:styleId="270">
    <w:name w:val="标书表格字体格式 Char"/>
    <w:qFormat/>
    <w:uiPriority w:val="0"/>
    <w:rPr>
      <w:kern w:val="2"/>
      <w:sz w:val="21"/>
      <w:szCs w:val="24"/>
      <w:lang w:bidi="ar-SA"/>
    </w:rPr>
  </w:style>
  <w:style w:type="character" w:customStyle="1" w:styleId="271">
    <w:name w:val="style36"/>
    <w:basedOn w:val="61"/>
    <w:qFormat/>
    <w:uiPriority w:val="0"/>
  </w:style>
  <w:style w:type="character" w:customStyle="1" w:styleId="272">
    <w:name w:val="hui3"/>
    <w:qFormat/>
    <w:uiPriority w:val="0"/>
    <w:rPr>
      <w:color w:val="333333"/>
    </w:rPr>
  </w:style>
  <w:style w:type="character" w:customStyle="1" w:styleId="273">
    <w:name w:val="Ò³Ã¼ Char Char1"/>
    <w:qFormat/>
    <w:uiPriority w:val="0"/>
    <w:rPr>
      <w:rFonts w:eastAsia="宋体"/>
      <w:kern w:val="2"/>
      <w:sz w:val="18"/>
      <w:szCs w:val="18"/>
      <w:lang w:val="en-US" w:eastAsia="zh-CN" w:bidi="ar-SA"/>
    </w:rPr>
  </w:style>
  <w:style w:type="character" w:customStyle="1" w:styleId="274">
    <w:name w:val="dectext1"/>
    <w:qFormat/>
    <w:uiPriority w:val="0"/>
    <w:rPr>
      <w:rFonts w:ascii="宋体" w:hAnsi="宋体" w:eastAsia="宋体"/>
      <w:color w:val="333333"/>
      <w:sz w:val="21"/>
      <w:szCs w:val="21"/>
      <w:u w:val="none"/>
    </w:rPr>
  </w:style>
  <w:style w:type="character" w:customStyle="1" w:styleId="275">
    <w:name w:val="Normal Indent Char Char"/>
    <w:qFormat/>
    <w:uiPriority w:val="0"/>
    <w:rPr>
      <w:rFonts w:eastAsia="宋体"/>
      <w:kern w:val="2"/>
      <w:sz w:val="21"/>
      <w:lang w:val="en-US" w:eastAsia="zh-CN" w:bidi="ar-SA"/>
    </w:rPr>
  </w:style>
  <w:style w:type="character" w:customStyle="1" w:styleId="276">
    <w:name w:val="表格 Char Char"/>
    <w:qFormat/>
    <w:uiPriority w:val="0"/>
    <w:rPr>
      <w:rFonts w:ascii="宋体" w:hAnsi="宋体" w:eastAsia="宋体"/>
      <w:lang w:bidi="ar-SA"/>
    </w:rPr>
  </w:style>
  <w:style w:type="character" w:customStyle="1" w:styleId="277">
    <w:name w:val="txt"/>
    <w:qFormat/>
    <w:uiPriority w:val="0"/>
    <w:rPr>
      <w:rFonts w:ascii="仿宋_GB2312" w:eastAsia="微软雅黑"/>
      <w:b/>
      <w:kern w:val="2"/>
      <w:sz w:val="32"/>
      <w:szCs w:val="32"/>
      <w:lang w:val="en-US" w:eastAsia="zh-CN" w:bidi="ar-SA"/>
    </w:rPr>
  </w:style>
  <w:style w:type="paragraph" w:customStyle="1" w:styleId="27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7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280">
    <w:name w:val="Char Char11 Char Char Char Char Char Char Char Char Char"/>
    <w:basedOn w:val="1"/>
    <w:qFormat/>
    <w:uiPriority w:val="0"/>
    <w:pPr>
      <w:spacing w:line="360" w:lineRule="auto"/>
    </w:pPr>
    <w:rPr>
      <w:szCs w:val="20"/>
    </w:rPr>
  </w:style>
  <w:style w:type="paragraph" w:customStyle="1" w:styleId="281">
    <w:name w:val="样式3"/>
    <w:basedOn w:val="282"/>
    <w:qFormat/>
    <w:uiPriority w:val="0"/>
    <w:pPr>
      <w:tabs>
        <w:tab w:val="left" w:pos="2790"/>
        <w:tab w:val="left" w:pos="4230"/>
      </w:tabs>
      <w:spacing w:before="312" w:beforeLines="100"/>
      <w:jc w:val="left"/>
    </w:pPr>
  </w:style>
  <w:style w:type="paragraph" w:customStyle="1" w:styleId="282">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b/>
      <w:bCs/>
      <w:kern w:val="0"/>
      <w:sz w:val="32"/>
      <w:szCs w:val="30"/>
      <w:lang w:val="zh-CN"/>
    </w:rPr>
  </w:style>
  <w:style w:type="paragraph" w:customStyle="1" w:styleId="28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84">
    <w:name w:val="Test2"/>
    <w:basedOn w:val="2"/>
    <w:qFormat/>
    <w:uiPriority w:val="0"/>
    <w:pPr>
      <w:widowControl/>
      <w:adjustRightInd w:val="0"/>
      <w:snapToGrid w:val="0"/>
      <w:spacing w:before="360" w:beforeLines="0" w:after="360" w:afterLines="0" w:line="240" w:lineRule="atLeast"/>
    </w:pPr>
    <w:rPr>
      <w:rFonts w:ascii="宋体" w:hAnsi="Arial" w:eastAsia="宋体"/>
      <w:snapToGrid w:val="0"/>
      <w:kern w:val="0"/>
      <w:sz w:val="28"/>
      <w:szCs w:val="32"/>
      <w:lang w:val="en-US"/>
    </w:rPr>
  </w:style>
  <w:style w:type="paragraph" w:customStyle="1" w:styleId="285">
    <w:name w:val=" Char3"/>
    <w:basedOn w:val="1"/>
    <w:qFormat/>
    <w:uiPriority w:val="0"/>
    <w:pPr>
      <w:adjustRightInd/>
    </w:pPr>
    <w:rPr>
      <w:rFonts w:ascii="仿宋_GB2312" w:eastAsia="仿宋_GB2312"/>
      <w:b/>
      <w:sz w:val="32"/>
      <w:szCs w:val="32"/>
    </w:rPr>
  </w:style>
  <w:style w:type="paragraph" w:customStyle="1" w:styleId="28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28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88">
    <w:name w:val="彩色列表 - 强调文字颜色 12"/>
    <w:basedOn w:val="1"/>
    <w:qFormat/>
    <w:uiPriority w:val="0"/>
    <w:pPr>
      <w:adjustRightInd/>
      <w:ind w:firstLine="420" w:firstLineChars="200"/>
    </w:pPr>
    <w:rPr>
      <w:rFonts w:ascii="Calibri" w:hAnsi="Calibri"/>
      <w:szCs w:val="22"/>
    </w:rPr>
  </w:style>
  <w:style w:type="paragraph" w:customStyle="1" w:styleId="289">
    <w:name w:val=" Char Char1 Char Char Char Char Char Char"/>
    <w:basedOn w:val="1"/>
    <w:qFormat/>
    <w:uiPriority w:val="0"/>
    <w:rPr>
      <w:rFonts w:ascii="仿宋_GB2312" w:eastAsia="仿宋_GB2312"/>
      <w:b/>
      <w:sz w:val="32"/>
      <w:szCs w:val="20"/>
    </w:rPr>
  </w:style>
  <w:style w:type="paragraph" w:customStyle="1" w:styleId="290">
    <w:name w:val="main"/>
    <w:basedOn w:val="1"/>
    <w:qFormat/>
    <w:uiPriority w:val="0"/>
    <w:pPr>
      <w:widowControl/>
      <w:adjustRightInd/>
      <w:spacing w:before="100" w:beforeLines="0" w:beforeAutospacing="1" w:after="100" w:afterLines="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91">
    <w:name w:val="方案正文"/>
    <w:basedOn w:val="1"/>
    <w:qFormat/>
    <w:uiPriority w:val="0"/>
    <w:pPr>
      <w:adjustRightInd w:val="0"/>
      <w:snapToGrid w:val="0"/>
      <w:spacing w:line="324" w:lineRule="auto"/>
      <w:ind w:firstLine="482" w:firstLineChars="200"/>
    </w:pPr>
    <w:rPr>
      <w:rFonts w:ascii="仿宋_GB2312" w:eastAsia="仿宋_GB2312"/>
      <w:b/>
      <w:color w:val="000000"/>
      <w:sz w:val="24"/>
      <w:szCs w:val="20"/>
    </w:rPr>
  </w:style>
  <w:style w:type="paragraph" w:customStyle="1" w:styleId="292">
    <w:name w:val="tableheading"/>
    <w:basedOn w:val="1"/>
    <w:qFormat/>
    <w:uiPriority w:val="0"/>
    <w:pPr>
      <w:widowControl/>
      <w:adjustRightInd/>
      <w:spacing w:before="100" w:beforeLines="0" w:beforeAutospacing="1" w:after="100" w:afterLines="0" w:afterAutospacing="1"/>
      <w:jc w:val="left"/>
    </w:pPr>
    <w:rPr>
      <w:rFonts w:ascii="宋体" w:hAnsi="宋体" w:cs="宋体"/>
      <w:kern w:val="0"/>
      <w:sz w:val="24"/>
    </w:rPr>
  </w:style>
  <w:style w:type="paragraph" w:customStyle="1" w:styleId="293">
    <w:name w:val="样式 标题 3标题 3 Char第二层条h33Bold Headbh章标题1小标题level_3PIM 3..."/>
    <w:basedOn w:val="4"/>
    <w:qFormat/>
    <w:uiPriority w:val="0"/>
    <w:pPr>
      <w:numPr>
        <w:ilvl w:val="2"/>
        <w:numId w:val="0"/>
      </w:numPr>
      <w:adjustRightInd w:val="0"/>
      <w:snapToGrid w:val="0"/>
      <w:spacing w:before="0" w:beforeLines="0" w:after="0" w:afterLines="0" w:line="360" w:lineRule="auto"/>
    </w:pPr>
    <w:rPr>
      <w:rFonts w:ascii="黑体" w:hAnsi="宋体" w:eastAsia="黑体" w:cs="宋体"/>
      <w:b w:val="0"/>
      <w:bCs w:val="0"/>
      <w:color w:val="000000"/>
      <w:kern w:val="0"/>
      <w:sz w:val="28"/>
      <w:szCs w:val="20"/>
    </w:rPr>
  </w:style>
  <w:style w:type="paragraph" w:customStyle="1" w:styleId="29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9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296">
    <w:name w:val="Char Char"/>
    <w:basedOn w:val="1"/>
    <w:qFormat/>
    <w:uiPriority w:val="0"/>
    <w:pPr>
      <w:spacing w:line="360" w:lineRule="auto"/>
    </w:pPr>
    <w:rPr>
      <w:rFonts w:ascii="Tahoma" w:hAnsi="Tahoma"/>
      <w:sz w:val="24"/>
      <w:szCs w:val="20"/>
    </w:rPr>
  </w:style>
  <w:style w:type="paragraph" w:customStyle="1" w:styleId="297">
    <w:name w:val="Thf"/>
    <w:basedOn w:val="298"/>
    <w:qFormat/>
    <w:uiPriority w:val="0"/>
    <w:pPr>
      <w:ind w:left="0"/>
    </w:pPr>
  </w:style>
  <w:style w:type="paragraph" w:customStyle="1" w:styleId="298">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9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center"/>
    </w:pPr>
    <w:rPr>
      <w:rFonts w:ascii="宋体" w:hAnsi="宋体"/>
      <w:kern w:val="0"/>
      <w:sz w:val="20"/>
      <w:szCs w:val="20"/>
    </w:rPr>
  </w:style>
  <w:style w:type="paragraph" w:customStyle="1" w:styleId="300">
    <w:name w:val="正文（首行缩进2字符）"/>
    <w:basedOn w:val="1"/>
    <w:qFormat/>
    <w:uiPriority w:val="0"/>
    <w:pPr>
      <w:adjustRightInd/>
      <w:spacing w:line="360" w:lineRule="auto"/>
      <w:ind w:firstLine="480" w:firstLineChars="200"/>
    </w:pPr>
    <w:rPr>
      <w:sz w:val="24"/>
      <w:szCs w:val="20"/>
    </w:rPr>
  </w:style>
  <w:style w:type="paragraph" w:customStyle="1" w:styleId="301">
    <w:name w:val="默认段落字体 Para Char Char Char1 Char"/>
    <w:basedOn w:val="1"/>
    <w:qFormat/>
    <w:uiPriority w:val="0"/>
    <w:pPr>
      <w:spacing w:line="240" w:lineRule="atLeast"/>
      <w:ind w:left="420" w:firstLine="420"/>
    </w:pPr>
    <w:rPr>
      <w:sz w:val="24"/>
    </w:rPr>
  </w:style>
  <w:style w:type="paragraph" w:customStyle="1" w:styleId="302">
    <w:name w:val="默认段落字体 Para Char Char Char Char Char Char Char"/>
    <w:basedOn w:val="1"/>
    <w:qFormat/>
    <w:uiPriority w:val="0"/>
    <w:rPr>
      <w:rFonts w:eastAsia="仿宋_GB2312"/>
      <w:sz w:val="28"/>
      <w:szCs w:val="20"/>
    </w:rPr>
  </w:style>
  <w:style w:type="paragraph" w:customStyle="1" w:styleId="303">
    <w:name w:val=" Char3 Char Char Char"/>
    <w:basedOn w:val="1"/>
    <w:qFormat/>
    <w:uiPriority w:val="0"/>
    <w:pPr>
      <w:widowControl/>
      <w:adjustRightInd/>
      <w:spacing w:after="160" w:afterLines="0" w:line="240" w:lineRule="exact"/>
      <w:jc w:val="left"/>
    </w:pPr>
    <w:rPr>
      <w:szCs w:val="20"/>
    </w:rPr>
  </w:style>
  <w:style w:type="paragraph" w:customStyle="1" w:styleId="304">
    <w:name w:val="正文首行缩进1"/>
    <w:basedOn w:val="22"/>
    <w:qFormat/>
    <w:uiPriority w:val="0"/>
    <w:pPr>
      <w:suppressAutoHyphens/>
      <w:autoSpaceDE/>
      <w:autoSpaceDN/>
      <w:adjustRightInd/>
      <w:spacing w:after="120" w:afterLines="0" w:line="240" w:lineRule="auto"/>
      <w:ind w:firstLine="420"/>
      <w:jc w:val="left"/>
    </w:pPr>
    <w:rPr>
      <w:rFonts w:ascii="Times New Roman"/>
      <w:kern w:val="1"/>
      <w:sz w:val="28"/>
      <w:szCs w:val="24"/>
      <w:lang w:val="en-US" w:eastAsia="ar-SA"/>
    </w:rPr>
  </w:style>
  <w:style w:type="paragraph" w:customStyle="1" w:styleId="305">
    <w:name w:val="Char Char1"/>
    <w:basedOn w:val="1"/>
    <w:qFormat/>
    <w:uiPriority w:val="0"/>
    <w:pPr>
      <w:widowControl/>
      <w:spacing w:after="160" w:afterLines="0" w:line="240" w:lineRule="exact"/>
      <w:jc w:val="left"/>
    </w:pPr>
    <w:rPr>
      <w:rFonts w:eastAsia="仿宋_GB2312"/>
      <w:sz w:val="28"/>
    </w:rPr>
  </w:style>
  <w:style w:type="paragraph" w:customStyle="1" w:styleId="306">
    <w:name w:val="P1"/>
    <w:basedOn w:val="1"/>
    <w:qFormat/>
    <w:uiPriority w:val="0"/>
    <w:pPr>
      <w:adjustRightInd/>
      <w:spacing w:line="288" w:lineRule="auto"/>
      <w:ind w:firstLine="425" w:firstLineChars="200"/>
    </w:pPr>
  </w:style>
  <w:style w:type="paragraph" w:customStyle="1" w:styleId="307">
    <w:name w:val="标题五"/>
    <w:basedOn w:val="1"/>
    <w:qFormat/>
    <w:uiPriority w:val="0"/>
    <w:pPr>
      <w:adjustRightInd/>
      <w:spacing w:before="156" w:beforeLines="50" w:line="360" w:lineRule="auto"/>
    </w:pPr>
    <w:rPr>
      <w:b/>
      <w:sz w:val="24"/>
    </w:rPr>
  </w:style>
  <w:style w:type="paragraph" w:customStyle="1" w:styleId="308">
    <w:name w:val="font8"/>
    <w:basedOn w:val="1"/>
    <w:qFormat/>
    <w:uiPriority w:val="0"/>
    <w:pPr>
      <w:widowControl/>
      <w:adjustRightInd/>
      <w:spacing w:before="100" w:beforeLines="0" w:beforeAutospacing="1" w:after="100" w:afterLines="0" w:afterAutospacing="1"/>
      <w:jc w:val="left"/>
    </w:pPr>
    <w:rPr>
      <w:color w:val="000000"/>
      <w:kern w:val="0"/>
      <w:sz w:val="20"/>
      <w:szCs w:val="20"/>
    </w:rPr>
  </w:style>
  <w:style w:type="paragraph" w:customStyle="1" w:styleId="309">
    <w:name w:val=" Char1 Char Char Char"/>
    <w:basedOn w:val="1"/>
    <w:qFormat/>
    <w:uiPriority w:val="0"/>
    <w:rPr>
      <w:rFonts w:ascii="Tahoma" w:hAnsi="Tahoma"/>
      <w:sz w:val="24"/>
      <w:szCs w:val="20"/>
    </w:rPr>
  </w:style>
  <w:style w:type="paragraph" w:customStyle="1" w:styleId="310">
    <w:name w:val="xl23"/>
    <w:basedOn w:val="1"/>
    <w:qFormat/>
    <w:uiPriority w:val="0"/>
    <w:pPr>
      <w:widowControl/>
      <w:adjustRightInd/>
      <w:spacing w:before="100" w:beforeLines="0" w:beforeAutospacing="1" w:after="100" w:afterLines="0" w:afterAutospacing="1" w:line="360" w:lineRule="auto"/>
      <w:ind w:firstLine="200" w:firstLineChars="200"/>
      <w:textAlignment w:val="top"/>
    </w:pPr>
    <w:rPr>
      <w:kern w:val="0"/>
      <w:sz w:val="24"/>
    </w:rPr>
  </w:style>
  <w:style w:type="paragraph" w:customStyle="1" w:styleId="311">
    <w:name w:val="表格项目符号 2"/>
    <w:basedOn w:val="27"/>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312">
    <w:name w:val="封面公司名"/>
    <w:qFormat/>
    <w:uiPriority w:val="0"/>
    <w:pPr>
      <w:jc w:val="center"/>
    </w:pPr>
    <w:rPr>
      <w:rFonts w:ascii="Arial" w:hAnsi="Arial" w:eastAsia="楷体_GB2312" w:cs="宋体"/>
      <w:bCs/>
      <w:kern w:val="2"/>
      <w:sz w:val="28"/>
      <w:lang w:val="en-US" w:eastAsia="zh-CN" w:bidi="ar-SA"/>
    </w:rPr>
  </w:style>
  <w:style w:type="paragraph" w:customStyle="1" w:styleId="313">
    <w:name w:val=" Char Char Char Char"/>
    <w:basedOn w:val="1"/>
    <w:qFormat/>
    <w:uiPriority w:val="0"/>
    <w:rPr>
      <w:rFonts w:ascii="Tahoma" w:hAnsi="Tahoma"/>
      <w:sz w:val="24"/>
      <w:szCs w:val="20"/>
    </w:rPr>
  </w:style>
  <w:style w:type="paragraph" w:customStyle="1" w:styleId="31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textAlignment w:val="top"/>
    </w:pPr>
    <w:rPr>
      <w:rFonts w:ascii="宋体" w:hAnsi="宋体"/>
      <w:kern w:val="0"/>
      <w:sz w:val="20"/>
      <w:szCs w:val="20"/>
    </w:rPr>
  </w:style>
  <w:style w:type="paragraph" w:customStyle="1" w:styleId="315">
    <w:name w:val="Bulleting First Indent 1"/>
    <w:basedOn w:val="5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eastAsia="zh-CN"/>
    </w:rPr>
  </w:style>
  <w:style w:type="paragraph" w:customStyle="1" w:styleId="316">
    <w:name w:val="Table Text"/>
    <w:basedOn w:val="1"/>
    <w:qFormat/>
    <w:uiPriority w:val="0"/>
    <w:pPr>
      <w:widowControl/>
      <w:spacing w:before="60" w:beforeLines="0" w:after="60" w:afterLines="0"/>
      <w:jc w:val="left"/>
    </w:pPr>
    <w:rPr>
      <w:kern w:val="0"/>
      <w:sz w:val="24"/>
    </w:rPr>
  </w:style>
  <w:style w:type="paragraph" w:customStyle="1" w:styleId="317">
    <w:name w:val="0"/>
    <w:basedOn w:val="1"/>
    <w:qFormat/>
    <w:uiPriority w:val="0"/>
    <w:pPr>
      <w:widowControl/>
    </w:pPr>
    <w:rPr>
      <w:kern w:val="0"/>
      <w:sz w:val="24"/>
      <w:szCs w:val="20"/>
    </w:rPr>
  </w:style>
  <w:style w:type="paragraph" w:customStyle="1" w:styleId="318">
    <w:name w:val="Char3"/>
    <w:basedOn w:val="1"/>
    <w:qFormat/>
    <w:uiPriority w:val="0"/>
    <w:pPr>
      <w:adjustRightInd/>
      <w:ind w:firstLine="200" w:firstLineChars="200"/>
    </w:pPr>
    <w:rPr>
      <w:rFonts w:ascii="Tahoma" w:hAnsi="Tahoma"/>
      <w:sz w:val="24"/>
      <w:szCs w:val="20"/>
    </w:rPr>
  </w:style>
  <w:style w:type="paragraph" w:customStyle="1" w:styleId="31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20">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321">
    <w:name w:val=" Char Char Char1 Char"/>
    <w:basedOn w:val="1"/>
    <w:qFormat/>
    <w:uiPriority w:val="0"/>
    <w:rPr>
      <w:szCs w:val="20"/>
    </w:rPr>
  </w:style>
  <w:style w:type="paragraph" w:customStyle="1" w:styleId="322">
    <w:name w:val="Char Char1 Char Char Char"/>
    <w:basedOn w:val="1"/>
    <w:qFormat/>
    <w:uiPriority w:val="0"/>
    <w:rPr>
      <w:rFonts w:ascii="仿宋_GB2312" w:eastAsia="仿宋_GB2312"/>
      <w:b/>
      <w:sz w:val="32"/>
      <w:szCs w:val="20"/>
    </w:rPr>
  </w:style>
  <w:style w:type="paragraph" w:customStyle="1" w:styleId="323">
    <w:name w:val="四级条标题"/>
    <w:basedOn w:val="324"/>
    <w:next w:val="328"/>
    <w:qFormat/>
    <w:uiPriority w:val="0"/>
    <w:pPr>
      <w:numPr>
        <w:ilvl w:val="5"/>
        <w:numId w:val="4"/>
      </w:numPr>
      <w:tabs>
        <w:tab w:val="left" w:pos="1260"/>
        <w:tab w:val="left" w:pos="1680"/>
        <w:tab w:val="left" w:pos="2100"/>
        <w:tab w:val="left" w:pos="2520"/>
      </w:tabs>
      <w:outlineLvl w:val="5"/>
    </w:pPr>
  </w:style>
  <w:style w:type="paragraph" w:customStyle="1" w:styleId="324">
    <w:name w:val="三级条标题"/>
    <w:basedOn w:val="325"/>
    <w:next w:val="328"/>
    <w:qFormat/>
    <w:uiPriority w:val="0"/>
    <w:pPr>
      <w:numPr>
        <w:ilvl w:val="0"/>
        <w:numId w:val="0"/>
      </w:numPr>
      <w:tabs>
        <w:tab w:val="left" w:pos="1260"/>
        <w:tab w:val="left" w:pos="1680"/>
        <w:tab w:val="left" w:pos="2100"/>
        <w:tab w:val="left" w:pos="2520"/>
      </w:tabs>
      <w:ind w:left="2520" w:hanging="420"/>
      <w:outlineLvl w:val="4"/>
    </w:pPr>
  </w:style>
  <w:style w:type="paragraph" w:customStyle="1" w:styleId="325">
    <w:name w:val="二级条标题"/>
    <w:basedOn w:val="326"/>
    <w:next w:val="328"/>
    <w:qFormat/>
    <w:uiPriority w:val="0"/>
    <w:pPr>
      <w:tabs>
        <w:tab w:val="left" w:pos="1260"/>
        <w:tab w:val="left" w:pos="1680"/>
        <w:tab w:val="left" w:pos="2100"/>
      </w:tabs>
      <w:ind w:left="0"/>
      <w:outlineLvl w:val="3"/>
    </w:pPr>
  </w:style>
  <w:style w:type="paragraph" w:customStyle="1" w:styleId="326">
    <w:name w:val="一级条标题"/>
    <w:basedOn w:val="327"/>
    <w:next w:val="328"/>
    <w:qFormat/>
    <w:uiPriority w:val="0"/>
    <w:pPr>
      <w:tabs>
        <w:tab w:val="left" w:pos="1260"/>
        <w:tab w:val="left" w:pos="1680"/>
      </w:tabs>
      <w:spacing w:before="0" w:beforeLines="0" w:after="0" w:afterLines="0"/>
      <w:ind w:left="1680"/>
      <w:outlineLvl w:val="2"/>
    </w:pPr>
  </w:style>
  <w:style w:type="paragraph" w:customStyle="1" w:styleId="327">
    <w:name w:val="章标题"/>
    <w:next w:val="32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2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9">
    <w:name w:val="正文缩进1"/>
    <w:basedOn w:val="1"/>
    <w:next w:val="23"/>
    <w:qFormat/>
    <w:uiPriority w:val="0"/>
    <w:pPr>
      <w:autoSpaceDE w:val="0"/>
      <w:autoSpaceDN w:val="0"/>
      <w:adjustRightInd w:val="0"/>
      <w:snapToGrid w:val="0"/>
      <w:spacing w:after="120" w:afterLines="0" w:line="360" w:lineRule="auto"/>
      <w:ind w:left="420" w:leftChars="200" w:firstLine="480" w:firstLineChars="200"/>
    </w:pPr>
    <w:rPr>
      <w:sz w:val="24"/>
      <w:szCs w:val="21"/>
    </w:rPr>
  </w:style>
  <w:style w:type="paragraph" w:customStyle="1" w:styleId="330">
    <w:name w:val="FA正文"/>
    <w:basedOn w:val="1"/>
    <w:qFormat/>
    <w:uiPriority w:val="0"/>
    <w:pPr>
      <w:spacing w:line="360" w:lineRule="auto"/>
      <w:ind w:firstLine="480" w:firstLineChars="200"/>
    </w:pPr>
    <w:rPr>
      <w:rFonts w:hAnsi="宋体"/>
      <w:sz w:val="24"/>
      <w:szCs w:val="20"/>
    </w:rPr>
  </w:style>
  <w:style w:type="paragraph" w:customStyle="1" w:styleId="331">
    <w:name w:val="EB_表格"/>
    <w:basedOn w:val="1"/>
    <w:qFormat/>
    <w:uiPriority w:val="0"/>
    <w:pPr>
      <w:adjustRightInd/>
      <w:spacing w:line="300" w:lineRule="auto"/>
      <w:jc w:val="center"/>
    </w:pPr>
  </w:style>
  <w:style w:type="paragraph" w:customStyle="1" w:styleId="332">
    <w:name w:val="正文段"/>
    <w:basedOn w:val="1"/>
    <w:qFormat/>
    <w:uiPriority w:val="0"/>
    <w:pPr>
      <w:widowControl/>
      <w:snapToGrid w:val="0"/>
      <w:spacing w:after="156" w:afterLines="50"/>
      <w:ind w:firstLine="200" w:firstLineChars="200"/>
    </w:pPr>
    <w:rPr>
      <w:kern w:val="0"/>
      <w:sz w:val="24"/>
      <w:szCs w:val="20"/>
    </w:rPr>
  </w:style>
  <w:style w:type="paragraph" w:customStyle="1" w:styleId="333">
    <w:name w:val="Char Char Char Char"/>
    <w:basedOn w:val="1"/>
    <w:qFormat/>
    <w:uiPriority w:val="0"/>
    <w:pPr>
      <w:widowControl/>
      <w:spacing w:after="160" w:afterLines="0" w:line="240" w:lineRule="exact"/>
      <w:jc w:val="left"/>
    </w:pPr>
    <w:rPr>
      <w:rFonts w:ascii="Arial" w:hAnsi="Arial" w:eastAsia="Times New Roman" w:cs="Verdana"/>
      <w:b/>
      <w:kern w:val="0"/>
      <w:sz w:val="24"/>
      <w:szCs w:val="20"/>
      <w:lang w:eastAsia="en-US"/>
    </w:rPr>
  </w:style>
  <w:style w:type="paragraph" w:customStyle="1" w:styleId="334">
    <w:name w:val="List Paragraph1"/>
    <w:basedOn w:val="1"/>
    <w:qFormat/>
    <w:uiPriority w:val="34"/>
    <w:pPr>
      <w:spacing w:line="360" w:lineRule="auto"/>
      <w:ind w:firstLine="200" w:firstLineChars="200"/>
    </w:pPr>
    <w:rPr>
      <w:rFonts w:eastAsia="楷体_GB2312" w:cs="Lucida Sans"/>
      <w:sz w:val="24"/>
    </w:rPr>
  </w:style>
  <w:style w:type="paragraph" w:customStyle="1" w:styleId="335">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3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337">
    <w:name w:val="样式 正文文本缩进 + 段前: 2 字符"/>
    <w:basedOn w:val="1"/>
    <w:qFormat/>
    <w:uiPriority w:val="0"/>
    <w:pPr>
      <w:adjustRightInd/>
      <w:ind w:left="420" w:leftChars="200"/>
      <w:jc w:val="left"/>
    </w:pPr>
    <w:rPr>
      <w:sz w:val="28"/>
      <w:szCs w:val="20"/>
      <w:lang w:eastAsia="zh-TW"/>
    </w:rPr>
  </w:style>
  <w:style w:type="paragraph" w:customStyle="1" w:styleId="338">
    <w:name w:val="Char3 Char Char Char"/>
    <w:basedOn w:val="1"/>
    <w:qFormat/>
    <w:uiPriority w:val="0"/>
    <w:pPr>
      <w:widowControl/>
      <w:adjustRightInd/>
      <w:spacing w:after="160" w:line="240" w:lineRule="exact"/>
      <w:jc w:val="left"/>
    </w:pPr>
    <w:rPr>
      <w:szCs w:val="20"/>
    </w:rPr>
  </w:style>
  <w:style w:type="paragraph" w:customStyle="1" w:styleId="339">
    <w:name w:val="Char Char1 Char Char Char Char Char Char Char Char Char Char Char Char Char Char Char"/>
    <w:basedOn w:val="1"/>
    <w:qFormat/>
    <w:uiPriority w:val="0"/>
    <w:pPr>
      <w:widowControl/>
      <w:adjustRightInd/>
      <w:spacing w:after="160" w:afterLines="0" w:line="240" w:lineRule="exact"/>
      <w:ind w:firstLine="200" w:firstLineChars="200"/>
      <w:jc w:val="left"/>
    </w:pPr>
    <w:rPr>
      <w:rFonts w:ascii="Verdana" w:hAnsi="Verdana"/>
      <w:kern w:val="0"/>
      <w:sz w:val="20"/>
      <w:szCs w:val="20"/>
      <w:lang w:eastAsia="en-US"/>
    </w:rPr>
  </w:style>
  <w:style w:type="paragraph" w:customStyle="1" w:styleId="3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41">
    <w:name w:val="a2"/>
    <w:basedOn w:val="1"/>
    <w:qFormat/>
    <w:uiPriority w:val="0"/>
    <w:pPr>
      <w:widowControl/>
      <w:adjustRightInd/>
      <w:spacing w:before="100" w:beforeLines="0" w:beforeAutospacing="1" w:after="100" w:afterLines="0" w:afterAutospacing="1"/>
      <w:jc w:val="left"/>
    </w:pPr>
    <w:rPr>
      <w:rFonts w:ascii="宋体" w:hAnsi="宋体" w:cs="宋体"/>
      <w:kern w:val="0"/>
      <w:sz w:val="24"/>
    </w:rPr>
  </w:style>
  <w:style w:type="paragraph" w:customStyle="1" w:styleId="342">
    <w:name w:val="xl41"/>
    <w:basedOn w:val="1"/>
    <w:qFormat/>
    <w:uiPriority w:val="0"/>
    <w:pPr>
      <w:widowControl/>
      <w:pBdr>
        <w:top w:val="single" w:color="auto" w:sz="4" w:space="0"/>
        <w:bottom w:val="single" w:color="auto" w:sz="4" w:space="0"/>
      </w:pBdr>
      <w:adjustRightInd/>
      <w:spacing w:before="100" w:beforeLines="0" w:beforeAutospacing="1" w:after="100" w:afterLines="0" w:afterAutospacing="1"/>
      <w:ind w:firstLine="200" w:firstLineChars="200"/>
      <w:jc w:val="center"/>
    </w:pPr>
    <w:rPr>
      <w:rFonts w:ascii="微软雅黑" w:hAnsi="微软雅黑" w:eastAsia="微软雅黑" w:cs="宋体"/>
      <w:b/>
      <w:bCs/>
      <w:kern w:val="0"/>
      <w:sz w:val="24"/>
    </w:rPr>
  </w:style>
  <w:style w:type="paragraph" w:customStyle="1" w:styleId="343">
    <w:name w:val="正文1"/>
    <w:basedOn w:val="30"/>
    <w:qFormat/>
    <w:uiPriority w:val="0"/>
    <w:pPr>
      <w:ind w:left="0" w:leftChars="0" w:firstLine="480" w:firstLineChars="200"/>
    </w:pPr>
    <w:rPr>
      <w:rFonts w:ascii="仿宋_GB2312" w:hAnsi="Courier New" w:eastAsia="仿宋_GB2312"/>
      <w:kern w:val="28"/>
      <w:sz w:val="24"/>
    </w:rPr>
  </w:style>
  <w:style w:type="paragraph" w:customStyle="1" w:styleId="344">
    <w:name w:val="文章附标题"/>
    <w:basedOn w:val="1"/>
    <w:qFormat/>
    <w:uiPriority w:val="0"/>
    <w:pPr>
      <w:autoSpaceDE w:val="0"/>
      <w:autoSpaceDN w:val="0"/>
      <w:spacing w:before="187" w:beforeLines="0" w:after="175" w:afterLines="0" w:line="374" w:lineRule="atLeast"/>
      <w:ind w:firstLine="200" w:firstLineChars="200"/>
      <w:jc w:val="center"/>
    </w:pPr>
    <w:rPr>
      <w:color w:val="000000"/>
      <w:kern w:val="0"/>
      <w:sz w:val="36"/>
      <w:szCs w:val="36"/>
    </w:rPr>
  </w:style>
  <w:style w:type="paragraph" w:customStyle="1" w:styleId="345">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34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347">
    <w:name w:val="xl25"/>
    <w:basedOn w:val="1"/>
    <w:qFormat/>
    <w:uiPriority w:val="0"/>
    <w:pPr>
      <w:widowControl/>
      <w:spacing w:before="100" w:beforeLines="0" w:beforeAutospacing="1" w:after="100" w:afterLines="0" w:afterAutospacing="1"/>
      <w:jc w:val="center"/>
      <w:textAlignment w:val="center"/>
    </w:pPr>
    <w:rPr>
      <w:rFonts w:hint="eastAsia" w:ascii="楷体_GB2312" w:hAnsi="宋体" w:eastAsia="楷体_GB2312"/>
      <w:kern w:val="0"/>
      <w:sz w:val="24"/>
    </w:rPr>
  </w:style>
  <w:style w:type="paragraph" w:customStyle="1" w:styleId="348">
    <w:name w:val="MM Topic 1"/>
    <w:basedOn w:val="3"/>
    <w:qFormat/>
    <w:uiPriority w:val="0"/>
    <w:pPr>
      <w:numPr>
        <w:ilvl w:val="0"/>
        <w:numId w:val="0"/>
      </w:numPr>
      <w:tabs>
        <w:tab w:val="left" w:pos="840"/>
      </w:tabs>
      <w:adjustRightInd/>
      <w:ind w:left="840" w:hanging="420"/>
    </w:pPr>
  </w:style>
  <w:style w:type="paragraph" w:customStyle="1" w:styleId="34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50">
    <w:name w:val="正文文字 2"/>
    <w:basedOn w:val="351"/>
    <w:next w:val="351"/>
    <w:qFormat/>
    <w:uiPriority w:val="0"/>
    <w:rPr>
      <w:rFonts w:ascii="宋体" w:eastAsia="宋体" w:cs="Times New Roman"/>
      <w:color w:val="auto"/>
    </w:rPr>
  </w:style>
  <w:style w:type="paragraph" w:customStyle="1" w:styleId="351">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52">
    <w:name w:val="xl40"/>
    <w:basedOn w:val="1"/>
    <w:qFormat/>
    <w:uiPriority w:val="0"/>
    <w:pPr>
      <w:widowControl/>
      <w:pBdr>
        <w:top w:val="single" w:color="auto" w:sz="4" w:space="0"/>
        <w:bottom w:val="single" w:color="auto" w:sz="4" w:space="0"/>
        <w:right w:val="single" w:color="auto" w:sz="4" w:space="0"/>
      </w:pBdr>
      <w:adjustRightInd/>
      <w:spacing w:before="100" w:beforeLines="0" w:beforeAutospacing="1" w:after="100" w:afterLines="0" w:afterAutospacing="1"/>
      <w:ind w:firstLine="200" w:firstLineChars="200"/>
      <w:jc w:val="center"/>
    </w:pPr>
    <w:rPr>
      <w:rFonts w:ascii="微软雅黑" w:hAnsi="微软雅黑" w:eastAsia="微软雅黑" w:cs="宋体"/>
      <w:b/>
      <w:bCs/>
      <w:kern w:val="0"/>
      <w:sz w:val="24"/>
    </w:rPr>
  </w:style>
  <w:style w:type="paragraph" w:customStyle="1" w:styleId="353">
    <w:name w:val="tabletext"/>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35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center"/>
    </w:pPr>
    <w:rPr>
      <w:rFonts w:ascii="宋体" w:hAnsi="宋体"/>
      <w:kern w:val="0"/>
      <w:sz w:val="20"/>
      <w:szCs w:val="20"/>
    </w:rPr>
  </w:style>
  <w:style w:type="paragraph" w:customStyle="1" w:styleId="356">
    <w:name w:val="列表内容"/>
    <w:basedOn w:val="1"/>
    <w:next w:val="1"/>
    <w:qFormat/>
    <w:uiPriority w:val="0"/>
    <w:pPr>
      <w:widowControl/>
      <w:tabs>
        <w:tab w:val="left" w:pos="840"/>
      </w:tabs>
      <w:ind w:left="840" w:hanging="420"/>
      <w:jc w:val="left"/>
    </w:pPr>
    <w:rPr>
      <w:kern w:val="0"/>
      <w:sz w:val="18"/>
    </w:rPr>
  </w:style>
  <w:style w:type="paragraph" w:styleId="357">
    <w:name w:val="List Paragraph"/>
    <w:basedOn w:val="1"/>
    <w:qFormat/>
    <w:uiPriority w:val="34"/>
    <w:pPr>
      <w:spacing w:line="360" w:lineRule="auto"/>
      <w:ind w:firstLine="200" w:firstLineChars="200"/>
    </w:pPr>
    <w:rPr>
      <w:rFonts w:eastAsia="楷体_GB2312" w:cs="Lucida Sans"/>
      <w:sz w:val="24"/>
    </w:rPr>
  </w:style>
  <w:style w:type="paragraph" w:customStyle="1" w:styleId="35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59">
    <w:name w:val="List Paragraph2"/>
    <w:basedOn w:val="1"/>
    <w:qFormat/>
    <w:uiPriority w:val="0"/>
    <w:pPr>
      <w:adjustRightInd/>
      <w:spacing w:line="360" w:lineRule="auto"/>
      <w:ind w:firstLine="420" w:firstLineChars="200"/>
    </w:pPr>
    <w:rPr>
      <w:rFonts w:ascii="Calibri" w:hAnsi="Calibri"/>
      <w:sz w:val="24"/>
      <w:szCs w:val="22"/>
    </w:rPr>
  </w:style>
  <w:style w:type="paragraph" w:customStyle="1" w:styleId="360">
    <w:name w:val="数字标题3"/>
    <w:basedOn w:val="4"/>
    <w:next w:val="1"/>
    <w:qFormat/>
    <w:uiPriority w:val="0"/>
    <w:pPr>
      <w:numPr>
        <w:ilvl w:val="2"/>
        <w:numId w:val="0"/>
      </w:numPr>
      <w:spacing w:line="240" w:lineRule="auto"/>
    </w:pPr>
    <w:rPr>
      <w:sz w:val="28"/>
      <w:szCs w:val="28"/>
    </w:rPr>
  </w:style>
  <w:style w:type="paragraph" w:customStyle="1" w:styleId="36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362">
    <w:name w:val=" Char2"/>
    <w:basedOn w:val="1"/>
    <w:qFormat/>
    <w:uiPriority w:val="0"/>
    <w:rPr>
      <w:rFonts w:ascii="仿宋_GB2312" w:eastAsia="仿宋_GB2312"/>
      <w:b/>
      <w:sz w:val="32"/>
      <w:szCs w:val="32"/>
    </w:rPr>
  </w:style>
  <w:style w:type="paragraph" w:customStyle="1" w:styleId="363">
    <w:name w:val="样式 正文文本缩进 2 + 仿宋_GB2312 黑色 行距: 1.5 倍行距"/>
    <w:basedOn w:val="35"/>
    <w:qFormat/>
    <w:uiPriority w:val="0"/>
    <w:pPr>
      <w:adjustRightInd/>
      <w:ind w:firstLine="560" w:firstLineChars="200"/>
      <w:textAlignment w:val="auto"/>
    </w:pPr>
    <w:rPr>
      <w:rFonts w:hAnsi="宋体" w:cs="宋体"/>
      <w:color w:val="000000"/>
      <w:kern w:val="2"/>
      <w:sz w:val="24"/>
    </w:rPr>
  </w:style>
  <w:style w:type="paragraph" w:customStyle="1" w:styleId="364">
    <w:name w:val="solutionfonts1"/>
    <w:basedOn w:val="1"/>
    <w:qFormat/>
    <w:uiPriority w:val="0"/>
    <w:pPr>
      <w:widowControl/>
      <w:adjustRightInd/>
      <w:spacing w:before="100" w:beforeLines="0" w:beforeAutospacing="1" w:after="100" w:afterLines="0" w:afterAutospacing="1"/>
      <w:ind w:firstLine="200" w:firstLineChars="200"/>
      <w:jc w:val="left"/>
    </w:pPr>
    <w:rPr>
      <w:rFonts w:ascii="宋体" w:hAnsi="宋体" w:cs="宋体"/>
      <w:kern w:val="0"/>
      <w:sz w:val="24"/>
    </w:rPr>
  </w:style>
  <w:style w:type="paragraph" w:customStyle="1" w:styleId="36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6">
    <w:name w:val="标题4_自定义"/>
    <w:basedOn w:val="5"/>
    <w:qFormat/>
    <w:uiPriority w:val="0"/>
    <w:pPr>
      <w:numPr>
        <w:ilvl w:val="3"/>
        <w:numId w:val="0"/>
      </w:numPr>
      <w:adjustRightInd/>
      <w:spacing w:before="0" w:beforeLines="0" w:after="0" w:afterLines="0" w:line="360" w:lineRule="auto"/>
    </w:pPr>
    <w:rPr>
      <w:rFonts w:ascii="Verdana" w:eastAsia="Verdana"/>
      <w:sz w:val="21"/>
      <w:lang w:val="en-US"/>
    </w:rPr>
  </w:style>
  <w:style w:type="paragraph" w:customStyle="1" w:styleId="367">
    <w:name w:val="Char Char1 Char"/>
    <w:basedOn w:val="1"/>
    <w:qFormat/>
    <w:uiPriority w:val="0"/>
    <w:pPr>
      <w:widowControl/>
      <w:snapToGrid w:val="0"/>
      <w:spacing w:before="120" w:beforeLines="0" w:after="160" w:afterLines="0" w:line="360" w:lineRule="auto"/>
      <w:ind w:right="-360"/>
      <w:jc w:val="left"/>
    </w:pPr>
    <w:rPr>
      <w:rFonts w:ascii="Arial" w:hAnsi="Arial"/>
      <w:kern w:val="0"/>
      <w:sz w:val="24"/>
      <w:lang w:eastAsia="en-US"/>
    </w:rPr>
  </w:style>
  <w:style w:type="paragraph" w:customStyle="1" w:styleId="368">
    <w:name w:val="样式 正文文本缩进 + 左侧:  2 字符 首行缩进:  2 字符"/>
    <w:basedOn w:val="2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6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370">
    <w:name w:val="样式 标题 2标题2H2Heading 2 HiddenHeading 2 CCBSheading 22nd lev..."/>
    <w:basedOn w:val="2"/>
    <w:qFormat/>
    <w:uiPriority w:val="0"/>
    <w:pPr>
      <w:widowControl/>
      <w:spacing w:before="260" w:beforeLines="0" w:after="260" w:afterLines="0" w:line="416" w:lineRule="auto"/>
      <w:ind w:left="0" w:firstLine="0"/>
    </w:pPr>
    <w:rPr>
      <w:rFonts w:ascii="Arial" w:hAnsi="Arial" w:eastAsia="黑体"/>
      <w:sz w:val="30"/>
      <w:szCs w:val="21"/>
    </w:rPr>
  </w:style>
  <w:style w:type="paragraph" w:customStyle="1" w:styleId="37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372">
    <w:name w:val="Body Copy"/>
    <w:basedOn w:val="1"/>
    <w:qFormat/>
    <w:uiPriority w:val="0"/>
    <w:pPr>
      <w:widowControl/>
      <w:tabs>
        <w:tab w:val="left" w:pos="1584"/>
        <w:tab w:val="left" w:pos="1613"/>
        <w:tab w:val="left" w:pos="1728"/>
        <w:tab w:val="left" w:pos="1872"/>
        <w:tab w:val="left" w:pos="2016"/>
      </w:tabs>
      <w:adjustRightInd/>
      <w:spacing w:after="180" w:afterLines="0" w:line="240" w:lineRule="exact"/>
      <w:ind w:left="1440" w:right="115" w:firstLine="200" w:firstLineChars="200"/>
      <w:jc w:val="left"/>
    </w:pPr>
    <w:rPr>
      <w:rFonts w:ascii="Aldine401 BT" w:hAnsi="Aldine401 BT"/>
      <w:kern w:val="0"/>
      <w:sz w:val="20"/>
      <w:szCs w:val="20"/>
    </w:rPr>
  </w:style>
  <w:style w:type="paragraph" w:customStyle="1" w:styleId="373">
    <w:name w:val="样式 标题 22h2L1 Heading 2H2sect 1.2H21sect 1.21H22sect 1.2..."/>
    <w:basedOn w:val="2"/>
    <w:next w:val="1"/>
    <w:qFormat/>
    <w:uiPriority w:val="0"/>
    <w:pPr>
      <w:numPr>
        <w:ilvl w:val="0"/>
        <w:numId w:val="0"/>
      </w:numPr>
      <w:tabs>
        <w:tab w:val="left" w:pos="425"/>
        <w:tab w:val="clear" w:pos="432"/>
      </w:tabs>
      <w:spacing w:before="260" w:beforeLines="0" w:after="260" w:afterLines="0" w:line="415" w:lineRule="auto"/>
      <w:ind w:left="425" w:hanging="425"/>
    </w:pPr>
    <w:rPr>
      <w:rFonts w:ascii="微软雅黑" w:hAnsi="微软雅黑" w:eastAsia="微软雅黑"/>
      <w:sz w:val="32"/>
      <w:szCs w:val="32"/>
      <w:lang w:val="en-US"/>
    </w:rPr>
  </w:style>
  <w:style w:type="paragraph" w:customStyle="1" w:styleId="374">
    <w:name w:val=" 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75">
    <w:name w:val="正文文字缩进2字"/>
    <w:basedOn w:val="22"/>
    <w:qFormat/>
    <w:uiPriority w:val="0"/>
    <w:pPr>
      <w:autoSpaceDE/>
      <w:autoSpaceDN/>
      <w:adjustRightInd/>
      <w:spacing w:before="60" w:beforeLines="0" w:after="60" w:afterLines="0"/>
      <w:ind w:firstLineChars="200"/>
    </w:pPr>
    <w:rPr>
      <w:rFonts w:ascii="Times New Roman"/>
      <w:szCs w:val="20"/>
      <w:lang w:val="en-US" w:eastAsia="zh-CN"/>
    </w:rPr>
  </w:style>
  <w:style w:type="paragraph" w:customStyle="1" w:styleId="376">
    <w:name w:val="MM Topic 3"/>
    <w:basedOn w:val="4"/>
    <w:qFormat/>
    <w:uiPriority w:val="0"/>
    <w:pPr>
      <w:numPr>
        <w:ilvl w:val="2"/>
        <w:numId w:val="4"/>
      </w:numPr>
      <w:tabs>
        <w:tab w:val="clear" w:pos="900"/>
      </w:tabs>
      <w:adjustRightInd/>
    </w:pPr>
    <w:rPr>
      <w:lang w:val="en-US" w:eastAsia="zh-CN"/>
    </w:rPr>
  </w:style>
  <w:style w:type="paragraph" w:customStyle="1" w:styleId="377">
    <w:name w:val="样式 样式2 + 左侧:  1 字符 右侧:  1 字符"/>
    <w:basedOn w:val="28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eastAsia="zh-CN"/>
    </w:rPr>
  </w:style>
  <w:style w:type="paragraph" w:customStyle="1" w:styleId="378">
    <w:name w:val="Char Char1 Char Char Char Char Char Char"/>
    <w:basedOn w:val="1"/>
    <w:qFormat/>
    <w:uiPriority w:val="0"/>
    <w:rPr>
      <w:rFonts w:ascii="仿宋_GB2312" w:eastAsia="仿宋_GB2312"/>
      <w:b/>
      <w:sz w:val="32"/>
      <w:szCs w:val="20"/>
    </w:rPr>
  </w:style>
  <w:style w:type="paragraph" w:customStyle="1" w:styleId="37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8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8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82">
    <w:name w:val="xl30"/>
    <w:basedOn w:val="1"/>
    <w:qFormat/>
    <w:uiPriority w:val="0"/>
    <w:pPr>
      <w:widowControl/>
      <w:pBdr>
        <w:left w:val="single" w:color="auto" w:sz="4" w:space="0"/>
        <w:right w:val="single" w:color="auto" w:sz="4" w:space="0"/>
      </w:pBdr>
      <w:adjustRightInd/>
      <w:spacing w:before="100" w:beforeLines="0" w:beforeAutospacing="1" w:after="100" w:afterLines="0" w:afterAutospacing="1"/>
      <w:jc w:val="center"/>
    </w:pPr>
    <w:rPr>
      <w:rFonts w:eastAsia="Arial Unicode MS"/>
      <w:kern w:val="0"/>
      <w:szCs w:val="21"/>
    </w:rPr>
  </w:style>
  <w:style w:type="paragraph" w:customStyle="1" w:styleId="383">
    <w:name w:val="font7"/>
    <w:basedOn w:val="1"/>
    <w:qFormat/>
    <w:uiPriority w:val="0"/>
    <w:pPr>
      <w:widowControl/>
      <w:adjustRightInd/>
      <w:spacing w:before="100" w:beforeLines="0" w:beforeAutospacing="1" w:after="100" w:afterLines="0" w:afterAutospacing="1" w:line="360" w:lineRule="auto"/>
      <w:ind w:firstLine="200" w:firstLineChars="200"/>
      <w:jc w:val="left"/>
    </w:pPr>
    <w:rPr>
      <w:kern w:val="0"/>
      <w:sz w:val="20"/>
      <w:szCs w:val="20"/>
    </w:rPr>
  </w:style>
  <w:style w:type="paragraph" w:customStyle="1" w:styleId="384">
    <w:name w:val=" 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38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386">
    <w:name w:val=" 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8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88">
    <w:name w:val="图中文字"/>
    <w:basedOn w:val="1"/>
    <w:qFormat/>
    <w:uiPriority w:val="0"/>
    <w:pPr>
      <w:snapToGrid w:val="0"/>
      <w:spacing w:line="0" w:lineRule="atLeast"/>
      <w:ind w:firstLine="200" w:firstLineChars="200"/>
      <w:jc w:val="center"/>
    </w:pPr>
    <w:rPr>
      <w:sz w:val="24"/>
      <w:szCs w:val="20"/>
    </w:rPr>
  </w:style>
  <w:style w:type="paragraph" w:customStyle="1" w:styleId="38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rFonts w:ascii="宋体" w:hAnsi="宋体"/>
      <w:kern w:val="0"/>
      <w:sz w:val="20"/>
      <w:szCs w:val="20"/>
    </w:rPr>
  </w:style>
  <w:style w:type="paragraph" w:customStyle="1" w:styleId="390">
    <w:name w:val=" Char3 Char Char"/>
    <w:basedOn w:val="1"/>
    <w:qFormat/>
    <w:uiPriority w:val="0"/>
    <w:pPr>
      <w:widowControl/>
      <w:adjustRightInd/>
      <w:spacing w:after="160" w:afterLines="0" w:line="240" w:lineRule="exact"/>
      <w:jc w:val="left"/>
    </w:pPr>
    <w:rPr>
      <w:rFonts w:ascii="Arial" w:hAnsi="Arial" w:eastAsia="Times New Roman" w:cs="Verdana"/>
      <w:b/>
      <w:kern w:val="0"/>
      <w:sz w:val="24"/>
      <w:szCs w:val="20"/>
      <w:lang w:eastAsia="en-US"/>
    </w:rPr>
  </w:style>
  <w:style w:type="paragraph" w:customStyle="1" w:styleId="391">
    <w:name w:val=" Char Char Char Char Char Char Char Char Char Char"/>
    <w:basedOn w:val="1"/>
    <w:qFormat/>
    <w:uiPriority w:val="0"/>
    <w:rPr>
      <w:rFonts w:ascii="仿宋_GB2312" w:eastAsia="仿宋_GB2312"/>
      <w:b/>
      <w:sz w:val="32"/>
      <w:szCs w:val="32"/>
    </w:rPr>
  </w:style>
  <w:style w:type="paragraph" w:customStyle="1" w:styleId="392">
    <w:name w:val="样式 标题 4PIM 4H4h4bulletblbbH41H42H43H44H45H46H47H48...1"/>
    <w:basedOn w:val="5"/>
    <w:qFormat/>
    <w:uiPriority w:val="0"/>
    <w:pPr>
      <w:widowControl/>
      <w:jc w:val="left"/>
    </w:pPr>
    <w:rPr>
      <w:rFonts w:cs="宋体"/>
      <w:sz w:val="24"/>
      <w:szCs w:val="20"/>
    </w:rPr>
  </w:style>
  <w:style w:type="paragraph" w:customStyle="1" w:styleId="393">
    <w:name w:val="标准正文格式"/>
    <w:basedOn w:val="1"/>
    <w:qFormat/>
    <w:uiPriority w:val="0"/>
    <w:pPr>
      <w:widowControl/>
      <w:spacing w:before="60" w:beforeLines="0" w:after="120" w:afterLines="0" w:line="360" w:lineRule="auto"/>
      <w:ind w:firstLine="200" w:firstLineChars="200"/>
      <w:textAlignment w:val="baseline"/>
    </w:pPr>
    <w:rPr>
      <w:rFonts w:ascii="宋体" w:eastAsia="仿宋_GB2312" w:cs="宋体"/>
      <w:color w:val="000000"/>
      <w:kern w:val="0"/>
      <w:sz w:val="24"/>
      <w:szCs w:val="20"/>
    </w:rPr>
  </w:style>
  <w:style w:type="paragraph" w:customStyle="1" w:styleId="394">
    <w:name w:val="表格内文"/>
    <w:basedOn w:val="1"/>
    <w:qFormat/>
    <w:uiPriority w:val="0"/>
    <w:pPr>
      <w:adjustRightInd/>
      <w:spacing w:line="360" w:lineRule="auto"/>
    </w:pPr>
    <w:rPr>
      <w:rFonts w:ascii="宋体" w:hAnsi="宋体" w:cs="宋体"/>
      <w:color w:val="000000"/>
      <w:szCs w:val="20"/>
    </w:rPr>
  </w:style>
  <w:style w:type="paragraph" w:customStyle="1" w:styleId="39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96">
    <w:name w:val="WW-正文文字缩进 2"/>
    <w:basedOn w:val="1"/>
    <w:qFormat/>
    <w:uiPriority w:val="0"/>
    <w:pPr>
      <w:suppressAutoHyphens/>
      <w:adjustRightInd/>
      <w:ind w:firstLine="420"/>
    </w:pPr>
    <w:rPr>
      <w:kern w:val="1"/>
      <w:szCs w:val="20"/>
    </w:rPr>
  </w:style>
  <w:style w:type="paragraph" w:customStyle="1" w:styleId="397">
    <w:name w:val=" 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9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00">
    <w:name w:val="单元格左对齐"/>
    <w:basedOn w:val="1"/>
    <w:qFormat/>
    <w:uiPriority w:val="0"/>
    <w:pPr>
      <w:adjustRightInd/>
      <w:spacing w:line="360" w:lineRule="auto"/>
    </w:pPr>
    <w:rPr>
      <w:sz w:val="24"/>
    </w:rPr>
  </w:style>
  <w:style w:type="paragraph" w:customStyle="1" w:styleId="401">
    <w:name w:val="标题 41"/>
    <w:basedOn w:val="1"/>
    <w:next w:val="1"/>
    <w:unhideWhenUsed/>
    <w:qFormat/>
    <w:uiPriority w:val="9"/>
    <w:pPr>
      <w:keepNext/>
      <w:keepLines/>
      <w:adjustRightInd/>
      <w:spacing w:before="280" w:beforeLines="0" w:after="290" w:afterLines="0" w:line="376" w:lineRule="auto"/>
      <w:outlineLvl w:val="3"/>
    </w:pPr>
    <w:rPr>
      <w:rFonts w:ascii="Cambria" w:hAnsi="Cambria"/>
      <w:b/>
      <w:bCs/>
      <w:sz w:val="28"/>
      <w:szCs w:val="28"/>
    </w:rPr>
  </w:style>
  <w:style w:type="paragraph" w:customStyle="1" w:styleId="40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40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04">
    <w:name w:val="body text bold"/>
    <w:basedOn w:val="22"/>
    <w:qFormat/>
    <w:uiPriority w:val="0"/>
    <w:pPr>
      <w:widowControl/>
      <w:autoSpaceDE/>
      <w:autoSpaceDN/>
      <w:adjustRightInd/>
      <w:spacing w:line="240" w:lineRule="auto"/>
      <w:ind w:firstLineChars="200"/>
      <w:jc w:val="left"/>
    </w:pPr>
    <w:rPr>
      <w:rFonts w:ascii="Futura Hv" w:hAnsi="Futura Hv"/>
      <w:kern w:val="0"/>
      <w:sz w:val="18"/>
      <w:szCs w:val="20"/>
      <w:lang w:val="en-US" w:eastAsia="en-US"/>
    </w:rPr>
  </w:style>
  <w:style w:type="paragraph" w:customStyle="1" w:styleId="405">
    <w:name w:val="f9a style88 f9a"/>
    <w:basedOn w:val="1"/>
    <w:qFormat/>
    <w:uiPriority w:val="0"/>
    <w:pPr>
      <w:widowControl/>
      <w:spacing w:before="100" w:beforeLines="0" w:beforeAutospacing="1" w:after="100" w:afterLines="0" w:afterAutospacing="1" w:line="276" w:lineRule="auto"/>
      <w:jc w:val="left"/>
    </w:pPr>
    <w:rPr>
      <w:rFonts w:ascii="宋体" w:hAnsi="宋体"/>
      <w:kern w:val="0"/>
      <w:sz w:val="24"/>
      <w:szCs w:val="20"/>
    </w:rPr>
  </w:style>
  <w:style w:type="paragraph" w:customStyle="1" w:styleId="406">
    <w:name w:val="目录标题"/>
    <w:basedOn w:val="1"/>
    <w:qFormat/>
    <w:uiPriority w:val="0"/>
    <w:pPr>
      <w:autoSpaceDE w:val="0"/>
      <w:autoSpaceDN w:val="0"/>
      <w:spacing w:before="566" w:beforeLines="0" w:after="544" w:afterLines="0" w:line="566" w:lineRule="atLeast"/>
      <w:ind w:firstLine="419" w:firstLineChars="200"/>
      <w:jc w:val="center"/>
    </w:pPr>
    <w:rPr>
      <w:rFonts w:ascii="Arial" w:hAnsi="Arial"/>
      <w:color w:val="000000"/>
      <w:spacing w:val="565"/>
      <w:kern w:val="0"/>
      <w:sz w:val="54"/>
      <w:szCs w:val="54"/>
    </w:rPr>
  </w:style>
  <w:style w:type="paragraph" w:customStyle="1" w:styleId="407">
    <w:name w:val=" 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08">
    <w:name w:val="注释"/>
    <w:basedOn w:val="1"/>
    <w:qFormat/>
    <w:uiPriority w:val="0"/>
    <w:pPr>
      <w:adjustRightInd/>
      <w:spacing w:line="360" w:lineRule="auto"/>
      <w:ind w:firstLine="480"/>
    </w:pPr>
    <w:rPr>
      <w:sz w:val="24"/>
    </w:rPr>
  </w:style>
  <w:style w:type="paragraph" w:customStyle="1" w:styleId="40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41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11">
    <w:name w:val="Char1 Char Char Char"/>
    <w:basedOn w:val="1"/>
    <w:qFormat/>
    <w:uiPriority w:val="0"/>
    <w:pPr>
      <w:widowControl/>
      <w:snapToGrid w:val="0"/>
      <w:spacing w:before="120" w:beforeLines="0" w:after="160" w:afterLines="0" w:line="360" w:lineRule="auto"/>
      <w:ind w:right="-360"/>
      <w:jc w:val="left"/>
    </w:pPr>
    <w:rPr>
      <w:rFonts w:ascii="Arial" w:hAnsi="Arial"/>
      <w:kern w:val="0"/>
      <w:sz w:val="24"/>
      <w:lang w:eastAsia="en-US"/>
    </w:rPr>
  </w:style>
  <w:style w:type="paragraph" w:customStyle="1" w:styleId="412">
    <w:name w:val="Char2"/>
    <w:basedOn w:val="1"/>
    <w:qFormat/>
    <w:uiPriority w:val="0"/>
    <w:rPr>
      <w:rFonts w:ascii="仿宋_GB2312" w:eastAsia="仿宋_GB2312"/>
      <w:b/>
      <w:sz w:val="32"/>
      <w:szCs w:val="32"/>
    </w:rPr>
  </w:style>
  <w:style w:type="paragraph" w:customStyle="1" w:styleId="413">
    <w:name w:val="style82 f9a f9a f9a"/>
    <w:basedOn w:val="1"/>
    <w:qFormat/>
    <w:uiPriority w:val="0"/>
    <w:pPr>
      <w:widowControl/>
      <w:spacing w:before="100" w:beforeLines="0" w:beforeAutospacing="1" w:after="100" w:afterLines="0" w:afterAutospacing="1" w:line="276" w:lineRule="auto"/>
      <w:jc w:val="left"/>
    </w:pPr>
    <w:rPr>
      <w:rFonts w:ascii="宋体" w:hAnsi="宋体"/>
      <w:kern w:val="0"/>
      <w:sz w:val="24"/>
      <w:szCs w:val="20"/>
    </w:rPr>
  </w:style>
  <w:style w:type="paragraph" w:customStyle="1" w:styleId="414">
    <w:name w:val="样式7"/>
    <w:basedOn w:val="415"/>
    <w:next w:val="1"/>
    <w:qFormat/>
    <w:uiPriority w:val="0"/>
    <w:pPr>
      <w:spacing w:after="156" w:afterLines="50"/>
      <w:jc w:val="left"/>
      <w:outlineLvl w:val="3"/>
    </w:pPr>
    <w:rPr>
      <w:sz w:val="24"/>
      <w:szCs w:val="24"/>
    </w:rPr>
  </w:style>
  <w:style w:type="paragraph" w:customStyle="1" w:styleId="41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41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41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kern w:val="0"/>
      <w:sz w:val="20"/>
      <w:szCs w:val="20"/>
    </w:rPr>
  </w:style>
  <w:style w:type="paragraph" w:customStyle="1" w:styleId="418">
    <w:name w:val="La0b"/>
    <w:basedOn w:val="1"/>
    <w:qFormat/>
    <w:uiPriority w:val="0"/>
    <w:pPr>
      <w:tabs>
        <w:tab w:val="left" w:pos="1500"/>
      </w:tabs>
      <w:adjustRightInd/>
      <w:spacing w:after="100" w:afterLines="0" w:line="240" w:lineRule="exact"/>
      <w:ind w:left="1500" w:hanging="420" w:firstLineChars="200"/>
    </w:pPr>
    <w:rPr>
      <w:rFonts w:ascii="宋体" w:hAnsi="宋体" w:eastAsia="微软雅黑"/>
      <w:b/>
      <w:sz w:val="24"/>
      <w:szCs w:val="20"/>
    </w:rPr>
  </w:style>
  <w:style w:type="paragraph" w:customStyle="1" w:styleId="41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20">
    <w:name w:val="文章总标题"/>
    <w:basedOn w:val="1"/>
    <w:qFormat/>
    <w:uiPriority w:val="0"/>
    <w:pPr>
      <w:autoSpaceDE w:val="0"/>
      <w:autoSpaceDN w:val="0"/>
      <w:spacing w:before="566" w:beforeLines="0" w:after="544" w:afterLines="0" w:line="566" w:lineRule="atLeast"/>
      <w:ind w:firstLine="200" w:firstLineChars="200"/>
      <w:jc w:val="center"/>
    </w:pPr>
    <w:rPr>
      <w:rFonts w:ascii="Arial" w:hAnsi="Arial"/>
      <w:color w:val="000000"/>
      <w:kern w:val="0"/>
      <w:sz w:val="54"/>
      <w:szCs w:val="54"/>
    </w:rPr>
  </w:style>
  <w:style w:type="paragraph" w:customStyle="1" w:styleId="421">
    <w:name w:val="正文表标题"/>
    <w:next w:val="32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22">
    <w:name w:val="TOC 标题1"/>
    <w:basedOn w:val="3"/>
    <w:next w:val="1"/>
    <w:unhideWhenUsed/>
    <w:qFormat/>
    <w:uiPriority w:val="39"/>
    <w:pPr>
      <w:widowControl/>
      <w:numPr>
        <w:ilvl w:val="0"/>
        <w:numId w:val="0"/>
      </w:numPr>
      <w:adjustRightInd/>
      <w:spacing w:before="480" w:beforeLines="0" w:after="0" w:afterLines="0" w:line="276" w:lineRule="auto"/>
      <w:jc w:val="left"/>
      <w:outlineLvl w:val="9"/>
    </w:pPr>
    <w:rPr>
      <w:rFonts w:ascii="Cambria" w:hAnsi="Cambria"/>
      <w:color w:val="365F91"/>
      <w:kern w:val="0"/>
      <w:sz w:val="28"/>
      <w:szCs w:val="28"/>
    </w:rPr>
  </w:style>
  <w:style w:type="paragraph" w:customStyle="1" w:styleId="423">
    <w:name w:val="Char1 Char Char Char5"/>
    <w:basedOn w:val="1"/>
    <w:qFormat/>
    <w:uiPriority w:val="0"/>
    <w:pPr>
      <w:adjustRightInd/>
      <w:ind w:firstLine="200" w:firstLineChars="200"/>
    </w:pPr>
    <w:rPr>
      <w:rFonts w:ascii="Tahoma" w:hAnsi="Tahoma"/>
      <w:sz w:val="24"/>
      <w:szCs w:val="20"/>
    </w:rPr>
  </w:style>
  <w:style w:type="paragraph" w:customStyle="1" w:styleId="424">
    <w:name w:val="xl39"/>
    <w:basedOn w:val="1"/>
    <w:qFormat/>
    <w:uiPriority w:val="0"/>
    <w:pPr>
      <w:widowControl/>
      <w:pBdr>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center"/>
    </w:pPr>
    <w:rPr>
      <w:rFonts w:ascii="宋体" w:hAnsi="宋体"/>
      <w:kern w:val="0"/>
      <w:sz w:val="20"/>
      <w:szCs w:val="20"/>
    </w:rPr>
  </w:style>
  <w:style w:type="paragraph" w:customStyle="1" w:styleId="42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6">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42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28">
    <w:name w:val="CM14"/>
    <w:basedOn w:val="351"/>
    <w:next w:val="351"/>
    <w:qFormat/>
    <w:uiPriority w:val="0"/>
    <w:pPr>
      <w:spacing w:after="68" w:afterLines="0"/>
    </w:pPr>
    <w:rPr>
      <w:rFonts w:ascii="FHLHE E+ Futura Bk" w:eastAsia="FHLHE E+ Futura Bk" w:cs="Times New Roman"/>
      <w:color w:val="auto"/>
    </w:rPr>
  </w:style>
  <w:style w:type="paragraph" w:customStyle="1" w:styleId="42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30">
    <w:name w:val="MM Topic 2"/>
    <w:basedOn w:val="2"/>
    <w:qFormat/>
    <w:uiPriority w:val="0"/>
    <w:pPr>
      <w:numPr>
        <w:ilvl w:val="1"/>
        <w:numId w:val="4"/>
      </w:numPr>
      <w:tabs>
        <w:tab w:val="clear" w:pos="432"/>
      </w:tabs>
    </w:pPr>
    <w:rPr>
      <w:rFonts w:ascii="Arial" w:hAnsi="Arial" w:eastAsia="黑体"/>
      <w:sz w:val="32"/>
      <w:szCs w:val="32"/>
      <w:lang w:val="en-US"/>
    </w:rPr>
  </w:style>
  <w:style w:type="paragraph" w:customStyle="1" w:styleId="431">
    <w:name w:val="表格标题2"/>
    <w:basedOn w:val="394"/>
    <w:qFormat/>
    <w:uiPriority w:val="0"/>
    <w:rPr>
      <w:b/>
    </w:rPr>
  </w:style>
  <w:style w:type="paragraph" w:customStyle="1" w:styleId="43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33">
    <w:name w:val="Heading1"/>
    <w:basedOn w:val="1"/>
    <w:next w:val="1"/>
    <w:qFormat/>
    <w:uiPriority w:val="0"/>
    <w:pPr>
      <w:widowControl/>
      <w:spacing w:before="100" w:beforeAutospacing="1" w:after="100" w:afterAutospacing="1" w:line="240" w:lineRule="atLeast"/>
      <w:jc w:val="left"/>
    </w:pPr>
    <w:rPr>
      <w:rFonts w:ascii="ˎ̥" w:hAnsi="ˎ̥" w:cs="宋体"/>
      <w:b/>
      <w:bCs/>
      <w:color w:val="FFFFFF"/>
      <w:kern w:val="36"/>
      <w:szCs w:val="21"/>
    </w:rPr>
  </w:style>
  <w:style w:type="paragraph" w:customStyle="1" w:styleId="434">
    <w:name w:val="RFI Heading 3rd Level"/>
    <w:basedOn w:val="1"/>
    <w:qFormat/>
    <w:uiPriority w:val="0"/>
    <w:pPr>
      <w:widowControl/>
      <w:tabs>
        <w:tab w:val="left" w:pos="840"/>
      </w:tabs>
      <w:adjustRightInd/>
      <w:ind w:firstLineChars="200"/>
      <w:jc w:val="left"/>
    </w:pPr>
    <w:rPr>
      <w:rFonts w:ascii="Arial (W1)" w:hAnsi="Arial (W1)"/>
      <w:color w:val="000000"/>
      <w:kern w:val="0"/>
      <w:sz w:val="24"/>
      <w:lang w:val="en-GB" w:eastAsia="en-US"/>
    </w:rPr>
  </w:style>
  <w:style w:type="paragraph" w:customStyle="1" w:styleId="435">
    <w:name w:val="五级条标题"/>
    <w:basedOn w:val="323"/>
    <w:next w:val="328"/>
    <w:qFormat/>
    <w:uiPriority w:val="0"/>
    <w:pPr>
      <w:numPr>
        <w:ilvl w:val="6"/>
        <w:numId w:val="4"/>
      </w:numPr>
      <w:tabs>
        <w:tab w:val="clear" w:pos="2940"/>
      </w:tabs>
      <w:outlineLvl w:val="6"/>
    </w:pPr>
  </w:style>
  <w:style w:type="paragraph" w:customStyle="1" w:styleId="436">
    <w:name w:val="列出段落2"/>
    <w:basedOn w:val="1"/>
    <w:qFormat/>
    <w:uiPriority w:val="0"/>
    <w:pPr>
      <w:adjustRightInd/>
      <w:ind w:firstLine="420" w:firstLineChars="200"/>
    </w:pPr>
    <w:rPr>
      <w:rFonts w:ascii="宋体" w:hAnsi="宋体"/>
      <w:sz w:val="24"/>
    </w:rPr>
  </w:style>
  <w:style w:type="paragraph" w:customStyle="1" w:styleId="437">
    <w:name w:val="xl42"/>
    <w:basedOn w:val="1"/>
    <w:qFormat/>
    <w:uiPriority w:val="0"/>
    <w:pPr>
      <w:widowControl/>
      <w:pBdr>
        <w:top w:val="single" w:color="auto" w:sz="4" w:space="0"/>
        <w:left w:val="single" w:color="auto" w:sz="4" w:space="0"/>
        <w:bottom w:val="single" w:color="auto" w:sz="4" w:space="0"/>
      </w:pBdr>
      <w:adjustRightInd/>
      <w:spacing w:before="100" w:beforeLines="0" w:beforeAutospacing="1" w:after="100" w:afterLines="0" w:afterAutospacing="1"/>
      <w:ind w:firstLine="200" w:firstLineChars="200"/>
      <w:jc w:val="center"/>
    </w:pPr>
    <w:rPr>
      <w:rFonts w:ascii="微软雅黑" w:hAnsi="微软雅黑" w:eastAsia="微软雅黑" w:cs="宋体"/>
      <w:b/>
      <w:bCs/>
      <w:kern w:val="0"/>
      <w:szCs w:val="21"/>
    </w:rPr>
  </w:style>
  <w:style w:type="paragraph" w:customStyle="1" w:styleId="438">
    <w:name w:val="Char"/>
    <w:basedOn w:val="1"/>
    <w:qFormat/>
    <w:uiPriority w:val="0"/>
    <w:rPr>
      <w:rFonts w:ascii="仿宋_GB2312" w:eastAsia="仿宋_GB2312"/>
      <w:b/>
      <w:sz w:val="32"/>
      <w:szCs w:val="32"/>
    </w:rPr>
  </w:style>
  <w:style w:type="paragraph" w:customStyle="1" w:styleId="439">
    <w:name w:val=" Char Char11"/>
    <w:basedOn w:val="1"/>
    <w:qFormat/>
    <w:uiPriority w:val="0"/>
    <w:pPr>
      <w:spacing w:line="360" w:lineRule="auto"/>
    </w:pPr>
    <w:rPr>
      <w:szCs w:val="20"/>
    </w:rPr>
  </w:style>
  <w:style w:type="paragraph" w:customStyle="1" w:styleId="440">
    <w:name w:val="标书标题4"/>
    <w:basedOn w:val="5"/>
    <w:qFormat/>
    <w:uiPriority w:val="0"/>
    <w:pPr>
      <w:keepLines w:val="0"/>
      <w:numPr>
        <w:ilvl w:val="3"/>
        <w:numId w:val="0"/>
      </w:numPr>
      <w:snapToGrid w:val="0"/>
      <w:spacing w:before="0" w:beforeLines="0" w:after="0" w:afterLines="0" w:line="300" w:lineRule="auto"/>
    </w:pPr>
    <w:rPr>
      <w:rFonts w:ascii="Arial Narrow" w:hAnsi="Arial Narrow" w:eastAsia="仿宋_GB2312"/>
      <w:bCs w:val="0"/>
      <w:color w:val="000000"/>
      <w:kern w:val="0"/>
      <w:szCs w:val="32"/>
      <w:lang w:val="en-US"/>
    </w:rPr>
  </w:style>
  <w:style w:type="paragraph" w:customStyle="1" w:styleId="44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442">
    <w:name w:val="正文（标题三）"/>
    <w:basedOn w:val="1"/>
    <w:qFormat/>
    <w:uiPriority w:val="0"/>
    <w:pPr>
      <w:spacing w:line="360" w:lineRule="auto"/>
      <w:ind w:firstLine="200" w:firstLineChars="200"/>
    </w:pPr>
    <w:rPr>
      <w:sz w:val="24"/>
    </w:rPr>
  </w:style>
  <w:style w:type="paragraph" w:customStyle="1" w:styleId="44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44">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45">
    <w:name w:val="样式"/>
    <w:basedOn w:val="1"/>
    <w:qFormat/>
    <w:uiPriority w:val="0"/>
    <w:pPr>
      <w:autoSpaceDE w:val="0"/>
      <w:autoSpaceDN w:val="0"/>
      <w:snapToGrid w:val="0"/>
      <w:spacing w:before="120" w:beforeLines="0" w:after="120" w:afterLines="0" w:line="360" w:lineRule="auto"/>
    </w:pPr>
    <w:rPr>
      <w:rFonts w:ascii="宋体"/>
      <w:sz w:val="24"/>
      <w:szCs w:val="20"/>
    </w:rPr>
  </w:style>
  <w:style w:type="paragraph" w:customStyle="1" w:styleId="446">
    <w:name w:val="有符号正文"/>
    <w:basedOn w:val="1"/>
    <w:qFormat/>
    <w:uiPriority w:val="0"/>
    <w:pPr>
      <w:adjustRightInd/>
      <w:spacing w:line="400" w:lineRule="exact"/>
      <w:ind w:firstLine="200" w:firstLineChars="200"/>
    </w:pPr>
    <w:rPr>
      <w:rFonts w:ascii="Arial" w:hAnsi="Arial"/>
    </w:rPr>
  </w:style>
  <w:style w:type="paragraph" w:customStyle="1" w:styleId="44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449">
    <w:name w:val="gf正文1"/>
    <w:basedOn w:val="1"/>
    <w:qFormat/>
    <w:uiPriority w:val="0"/>
    <w:pPr>
      <w:tabs>
        <w:tab w:val="left" w:pos="3240"/>
        <w:tab w:val="left" w:pos="3960"/>
      </w:tabs>
      <w:adjustRightInd w:val="0"/>
      <w:snapToGrid w:val="0"/>
      <w:spacing w:line="360" w:lineRule="auto"/>
      <w:ind w:firstLine="480" w:firstLineChars="200"/>
    </w:pPr>
    <w:rPr>
      <w:rFonts w:ascii="宋体" w:hAnsi="宋体" w:cs="宋体"/>
      <w:sz w:val="24"/>
    </w:rPr>
  </w:style>
  <w:style w:type="paragraph" w:customStyle="1" w:styleId="450">
    <w:name w:val=" Char Char1 Char Char Char"/>
    <w:basedOn w:val="1"/>
    <w:qFormat/>
    <w:uiPriority w:val="0"/>
    <w:rPr>
      <w:rFonts w:ascii="仿宋_GB2312" w:eastAsia="仿宋_GB2312"/>
      <w:b/>
      <w:sz w:val="32"/>
      <w:szCs w:val="32"/>
    </w:rPr>
  </w:style>
  <w:style w:type="paragraph" w:customStyle="1" w:styleId="451">
    <w:name w:val="样式 标题 1章节第一层h1H"/>
    <w:basedOn w:val="3"/>
    <w:qFormat/>
    <w:uiPriority w:val="0"/>
    <w:pPr>
      <w:keepNext w:val="0"/>
      <w:keepLines w:val="0"/>
      <w:numPr>
        <w:ilvl w:val="0"/>
        <w:numId w:val="0"/>
      </w:numPr>
      <w:autoSpaceDE w:val="0"/>
      <w:autoSpaceDN w:val="0"/>
      <w:spacing w:before="0" w:beforeLines="0" w:after="0" w:afterLines="0" w:line="240" w:lineRule="auto"/>
      <w:jc w:val="left"/>
      <w:outlineLvl w:val="9"/>
    </w:pPr>
    <w:rPr>
      <w:kern w:val="0"/>
      <w:sz w:val="52"/>
      <w:szCs w:val="52"/>
      <w:lang w:val="zh-CN"/>
    </w:rPr>
  </w:style>
  <w:style w:type="paragraph" w:customStyle="1" w:styleId="452">
    <w:name w:val="数字标题1"/>
    <w:basedOn w:val="3"/>
    <w:next w:val="1"/>
    <w:qFormat/>
    <w:uiPriority w:val="0"/>
    <w:pPr>
      <w:numPr>
        <w:ilvl w:val="0"/>
        <w:numId w:val="5"/>
      </w:numPr>
      <w:tabs>
        <w:tab w:val="clear" w:pos="432"/>
      </w:tabs>
    </w:pPr>
  </w:style>
  <w:style w:type="paragraph" w:customStyle="1" w:styleId="453">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454">
    <w:name w:val=" 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456">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57">
    <w:name w:val="数字标题2"/>
    <w:basedOn w:val="2"/>
    <w:next w:val="1"/>
    <w:qFormat/>
    <w:uiPriority w:val="0"/>
    <w:pPr>
      <w:numPr>
        <w:ilvl w:val="1"/>
        <w:numId w:val="5"/>
      </w:numPr>
      <w:tabs>
        <w:tab w:val="clear" w:pos="432"/>
      </w:tabs>
    </w:pPr>
    <w:rPr>
      <w:rFonts w:ascii="Times New Roman" w:eastAsia="宋体"/>
      <w:i/>
      <w:sz w:val="36"/>
      <w:szCs w:val="36"/>
      <w:lang w:val="en-US"/>
    </w:rPr>
  </w:style>
  <w:style w:type="paragraph" w:customStyle="1" w:styleId="45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59">
    <w:name w:val="Char Char Char"/>
    <w:basedOn w:val="1"/>
    <w:qFormat/>
    <w:uiPriority w:val="0"/>
    <w:pPr>
      <w:widowControl/>
      <w:spacing w:after="160" w:afterLines="0" w:line="240" w:lineRule="exact"/>
      <w:jc w:val="left"/>
    </w:pPr>
    <w:rPr>
      <w:rFonts w:ascii="Verdana" w:hAnsi="Verdana"/>
      <w:kern w:val="0"/>
      <w:sz w:val="20"/>
      <w:szCs w:val="20"/>
      <w:lang w:eastAsia="en-US"/>
    </w:rPr>
  </w:style>
  <w:style w:type="paragraph" w:customStyle="1" w:styleId="460">
    <w:name w:val="封面"/>
    <w:basedOn w:val="1"/>
    <w:qFormat/>
    <w:uiPriority w:val="0"/>
    <w:pPr>
      <w:spacing w:line="360" w:lineRule="atLeast"/>
      <w:jc w:val="right"/>
      <w:textAlignment w:val="baseline"/>
    </w:pPr>
    <w:rPr>
      <w:rFonts w:ascii="Symbol" w:hAnsi="Symbol"/>
      <w:kern w:val="0"/>
      <w:szCs w:val="20"/>
    </w:rPr>
  </w:style>
  <w:style w:type="paragraph" w:customStyle="1" w:styleId="461">
    <w:name w:val="样式1 + (中宋体"/>
    <w:basedOn w:val="34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62">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463">
    <w:name w:val=" Char Char11 Char Char Char Char Char Char Char Char Char"/>
    <w:basedOn w:val="1"/>
    <w:qFormat/>
    <w:uiPriority w:val="0"/>
    <w:pPr>
      <w:spacing w:line="360" w:lineRule="auto"/>
    </w:pPr>
    <w:rPr>
      <w:szCs w:val="20"/>
    </w:rPr>
  </w:style>
  <w:style w:type="paragraph" w:customStyle="1" w:styleId="46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65">
    <w:name w:val="MM Empty"/>
    <w:basedOn w:val="1"/>
    <w:qFormat/>
    <w:uiPriority w:val="0"/>
    <w:pPr>
      <w:adjustRightInd/>
    </w:pPr>
  </w:style>
  <w:style w:type="paragraph" w:customStyle="1" w:styleId="466">
    <w:name w:val="小节标题"/>
    <w:basedOn w:val="1"/>
    <w:qFormat/>
    <w:uiPriority w:val="0"/>
    <w:pPr>
      <w:autoSpaceDE w:val="0"/>
      <w:autoSpaceDN w:val="0"/>
      <w:spacing w:before="175" w:beforeLines="0" w:after="102" w:afterLines="0" w:line="351" w:lineRule="atLeast"/>
      <w:ind w:firstLine="200" w:firstLineChars="200"/>
    </w:pPr>
    <w:rPr>
      <w:color w:val="000000"/>
      <w:kern w:val="0"/>
      <w:szCs w:val="21"/>
    </w:rPr>
  </w:style>
  <w:style w:type="paragraph" w:customStyle="1" w:styleId="46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68">
    <w:name w:val="普通正文"/>
    <w:basedOn w:val="1"/>
    <w:qFormat/>
    <w:uiPriority w:val="0"/>
    <w:pPr>
      <w:tabs>
        <w:tab w:val="left" w:pos="2280"/>
      </w:tabs>
      <w:spacing w:before="120" w:beforeLines="0" w:after="120" w:afterLines="0" w:line="360" w:lineRule="auto"/>
      <w:ind w:firstLine="480" w:firstLineChars="200"/>
      <w:jc w:val="left"/>
      <w:textAlignment w:val="baseline"/>
    </w:pPr>
    <w:rPr>
      <w:rFonts w:ascii="Arial" w:hAnsi="Arial"/>
      <w:kern w:val="0"/>
      <w:sz w:val="24"/>
    </w:rPr>
  </w:style>
  <w:style w:type="paragraph" w:customStyle="1" w:styleId="469">
    <w:name w:val="RFI Heading 2nd Level"/>
    <w:basedOn w:val="1"/>
    <w:qFormat/>
    <w:uiPriority w:val="0"/>
    <w:pPr>
      <w:widowControl/>
      <w:tabs>
        <w:tab w:val="left" w:pos="1260"/>
      </w:tabs>
      <w:adjustRightInd/>
      <w:ind w:firstLineChars="200"/>
      <w:jc w:val="left"/>
    </w:pPr>
    <w:rPr>
      <w:rFonts w:ascii="Arial (W1)" w:hAnsi="Arial (W1)"/>
      <w:b/>
      <w:bCs/>
      <w:color w:val="0000FF"/>
      <w:kern w:val="0"/>
      <w:sz w:val="28"/>
      <w:lang w:val="en-GB" w:eastAsia="en-US"/>
    </w:rPr>
  </w:style>
  <w:style w:type="paragraph" w:customStyle="1" w:styleId="470">
    <w:name w:val="Normal0"/>
    <w:qFormat/>
    <w:uiPriority w:val="0"/>
    <w:rPr>
      <w:rFonts w:ascii="Times New Roman" w:hAnsi="Times New Roman" w:eastAsia="宋体" w:cs="Times New Roman"/>
      <w:lang w:val="en-US" w:eastAsia="en-US" w:bidi="ar-SA"/>
    </w:rPr>
  </w:style>
  <w:style w:type="paragraph" w:customStyle="1" w:styleId="471">
    <w:name w:val=" 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47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74">
    <w:name w:val="标准小四"/>
    <w:basedOn w:val="1"/>
    <w:qFormat/>
    <w:uiPriority w:val="0"/>
    <w:pPr>
      <w:spacing w:line="360" w:lineRule="auto"/>
      <w:ind w:firstLine="480" w:firstLineChars="200"/>
    </w:pPr>
    <w:rPr>
      <w:rFonts w:ascii="Arial" w:hAnsi="Arial"/>
      <w:sz w:val="24"/>
      <w:szCs w:val="21"/>
    </w:rPr>
  </w:style>
  <w:style w:type="paragraph" w:customStyle="1" w:styleId="475">
    <w:name w:val="MM Title"/>
    <w:basedOn w:val="56"/>
    <w:qFormat/>
    <w:uiPriority w:val="0"/>
    <w:pPr>
      <w:widowControl w:val="0"/>
      <w:overflowPunct/>
      <w:autoSpaceDE/>
      <w:autoSpaceDN/>
      <w:adjustRightInd/>
      <w:spacing w:before="240" w:beforeLines="0" w:after="60" w:afterLines="0"/>
      <w:textAlignment w:val="auto"/>
      <w:outlineLvl w:val="0"/>
    </w:pPr>
    <w:rPr>
      <w:rFonts w:ascii="Arial" w:hAnsi="Arial" w:cs="Arial"/>
      <w:bCs/>
      <w:kern w:val="2"/>
      <w:sz w:val="32"/>
      <w:szCs w:val="32"/>
      <w:lang w:val="en-US"/>
    </w:rPr>
  </w:style>
  <w:style w:type="paragraph" w:customStyle="1" w:styleId="476">
    <w:name w:val="默认段落字体 Para Char"/>
    <w:basedOn w:val="1"/>
    <w:qFormat/>
    <w:uiPriority w:val="0"/>
    <w:rPr>
      <w:rFonts w:ascii="Tahoma" w:hAnsi="Tahoma"/>
      <w:sz w:val="24"/>
      <w:szCs w:val="20"/>
    </w:rPr>
  </w:style>
  <w:style w:type="paragraph" w:customStyle="1" w:styleId="477">
    <w:name w:val="Char1 Char Char Char2"/>
    <w:basedOn w:val="1"/>
    <w:qFormat/>
    <w:uiPriority w:val="0"/>
    <w:pPr>
      <w:adjustRightInd/>
      <w:ind w:firstLine="200" w:firstLineChars="200"/>
    </w:pPr>
    <w:rPr>
      <w:rFonts w:ascii="Tahoma" w:hAnsi="Tahoma"/>
      <w:sz w:val="24"/>
      <w:szCs w:val="20"/>
    </w:rPr>
  </w:style>
  <w:style w:type="paragraph" w:customStyle="1" w:styleId="47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79">
    <w:name w:val="数字标题4"/>
    <w:basedOn w:val="5"/>
    <w:qFormat/>
    <w:uiPriority w:val="0"/>
    <w:pPr>
      <w:numPr>
        <w:ilvl w:val="3"/>
        <w:numId w:val="0"/>
      </w:numPr>
      <w:tabs>
        <w:tab w:val="left" w:pos="0"/>
        <w:tab w:val="clear" w:pos="864"/>
      </w:tabs>
      <w:spacing w:before="0" w:beforeLines="0" w:after="0" w:afterLines="0" w:line="360" w:lineRule="auto"/>
      <w:ind w:left="1"/>
    </w:pPr>
    <w:rPr>
      <w:rFonts w:eastAsia="仿宋_GB2312" w:cs="Arial"/>
      <w:b w:val="0"/>
      <w:bCs w:val="0"/>
      <w:color w:val="000000"/>
      <w:kern w:val="0"/>
      <w:sz w:val="24"/>
      <w:szCs w:val="24"/>
      <w:lang w:val="en-US"/>
    </w:rPr>
  </w:style>
  <w:style w:type="paragraph" w:customStyle="1" w:styleId="4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481">
    <w:name w:val="正文 首行缩进:  2 字符 Char"/>
    <w:basedOn w:val="1"/>
    <w:qFormat/>
    <w:uiPriority w:val="0"/>
    <w:pPr>
      <w:adjustRightInd/>
      <w:spacing w:line="360" w:lineRule="auto"/>
      <w:ind w:firstLine="480"/>
    </w:pPr>
    <w:rPr>
      <w:rFonts w:cs="宋体"/>
      <w:sz w:val="24"/>
      <w:szCs w:val="20"/>
    </w:rPr>
  </w:style>
  <w:style w:type="paragraph" w:customStyle="1" w:styleId="482">
    <w:name w:val="Char Char Char Char Char Char1 Char"/>
    <w:basedOn w:val="1"/>
    <w:qFormat/>
    <w:uiPriority w:val="0"/>
    <w:pPr>
      <w:widowControl/>
      <w:spacing w:after="160" w:afterLines="0" w:line="240" w:lineRule="exact"/>
      <w:jc w:val="left"/>
    </w:pPr>
    <w:rPr>
      <w:rFonts w:ascii="Verdana" w:hAnsi="Verdana"/>
      <w:kern w:val="0"/>
      <w:szCs w:val="20"/>
      <w:lang w:eastAsia="en-US"/>
    </w:rPr>
  </w:style>
  <w:style w:type="paragraph" w:customStyle="1" w:styleId="483">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484">
    <w:name w:val=" Char"/>
    <w:basedOn w:val="1"/>
    <w:qFormat/>
    <w:uiPriority w:val="0"/>
    <w:rPr>
      <w:rFonts w:ascii="仿宋_GB2312" w:eastAsia="仿宋_GB2312"/>
      <w:b/>
      <w:sz w:val="32"/>
      <w:szCs w:val="32"/>
    </w:rPr>
  </w:style>
  <w:style w:type="paragraph" w:customStyle="1" w:styleId="485">
    <w:name w:val="Char2 Char Char"/>
    <w:basedOn w:val="1"/>
    <w:qFormat/>
    <w:uiPriority w:val="0"/>
    <w:pPr>
      <w:adjustRightInd/>
    </w:pPr>
    <w:rPr>
      <w:rFonts w:ascii="Tahoma" w:hAnsi="Tahoma"/>
      <w:sz w:val="24"/>
      <w:szCs w:val="20"/>
    </w:rPr>
  </w:style>
  <w:style w:type="paragraph" w:customStyle="1" w:styleId="486">
    <w:name w:val=" Char2 Char Char"/>
    <w:basedOn w:val="1"/>
    <w:qFormat/>
    <w:uiPriority w:val="0"/>
    <w:pPr>
      <w:adjustRightInd/>
    </w:pPr>
    <w:rPr>
      <w:rFonts w:ascii="Tahoma" w:hAnsi="Tahoma"/>
      <w:sz w:val="24"/>
      <w:szCs w:val="20"/>
    </w:rPr>
  </w:style>
  <w:style w:type="paragraph" w:customStyle="1" w:styleId="487">
    <w:name w:val="章正文"/>
    <w:basedOn w:val="1"/>
    <w:qFormat/>
    <w:uiPriority w:val="0"/>
    <w:pPr>
      <w:adjustRightInd/>
      <w:spacing w:before="156" w:beforeLines="50" w:after="120" w:afterLines="0" w:line="300" w:lineRule="auto"/>
      <w:ind w:firstLine="480" w:firstLineChars="200"/>
    </w:pPr>
    <w:rPr>
      <w:rFonts w:ascii="Helvetica" w:hAnsi="Helvetica"/>
      <w:kern w:val="0"/>
      <w:sz w:val="24"/>
    </w:rPr>
  </w:style>
  <w:style w:type="paragraph" w:customStyle="1" w:styleId="488">
    <w:name w:val="style3"/>
    <w:basedOn w:val="1"/>
    <w:qFormat/>
    <w:uiPriority w:val="0"/>
    <w:pPr>
      <w:widowControl/>
      <w:adjustRightInd/>
      <w:spacing w:before="100" w:beforeLines="0" w:beforeAutospacing="1" w:after="100" w:afterLines="0" w:afterAutospacing="1" w:line="360" w:lineRule="auto"/>
      <w:ind w:firstLine="480" w:firstLineChars="200"/>
      <w:jc w:val="left"/>
    </w:pPr>
    <w:rPr>
      <w:rFonts w:ascii="宋体" w:hAnsi="宋体" w:eastAsia="微软雅黑"/>
      <w:color w:val="666666"/>
      <w:kern w:val="0"/>
      <w:sz w:val="24"/>
    </w:rPr>
  </w:style>
  <w:style w:type="paragraph" w:customStyle="1" w:styleId="489">
    <w:name w:val="标书标题2"/>
    <w:basedOn w:val="2"/>
    <w:qFormat/>
    <w:uiPriority w:val="0"/>
    <w:pPr>
      <w:keepLines w:val="0"/>
      <w:widowControl/>
      <w:numPr>
        <w:ilvl w:val="0"/>
        <w:numId w:val="0"/>
      </w:numPr>
      <w:tabs>
        <w:tab w:val="left" w:pos="840"/>
        <w:tab w:val="clear" w:pos="432"/>
      </w:tabs>
      <w:adjustRightInd w:val="0"/>
      <w:snapToGrid w:val="0"/>
      <w:spacing w:before="156" w:beforeLines="50" w:after="60" w:afterLines="0" w:line="300" w:lineRule="auto"/>
      <w:ind w:left="840" w:hanging="420"/>
    </w:pPr>
    <w:rPr>
      <w:rFonts w:ascii="Arial Narrow" w:hAnsi="Arial Narrow"/>
      <w:snapToGrid w:val="0"/>
      <w:kern w:val="0"/>
      <w:szCs w:val="20"/>
      <w:lang w:val="en-US"/>
    </w:rPr>
  </w:style>
  <w:style w:type="paragraph" w:customStyle="1" w:styleId="490">
    <w:name w:val=" Char1 Char Char Char Char Char Char Char Char Char Char Char1 Char Char Char Char Char Char Char Char Char Char Char Char Char Char1 Char Char Char Char"/>
    <w:basedOn w:val="1"/>
    <w:qFormat/>
    <w:uiPriority w:val="0"/>
    <w:pPr>
      <w:adjustRightInd w:val="0"/>
      <w:spacing w:line="360" w:lineRule="auto"/>
    </w:pPr>
    <w:rPr>
      <w:kern w:val="0"/>
      <w:sz w:val="24"/>
      <w:szCs w:val="20"/>
    </w:rPr>
  </w:style>
  <w:style w:type="paragraph" w:customStyle="1" w:styleId="491">
    <w:name w:val="正文（首行缩进）"/>
    <w:basedOn w:val="2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492">
    <w:name w:val="Bulleted List"/>
    <w:basedOn w:val="1"/>
    <w:qFormat/>
    <w:uiPriority w:val="0"/>
    <w:pPr>
      <w:tabs>
        <w:tab w:val="left" w:pos="1260"/>
      </w:tabs>
      <w:adjustRightInd/>
      <w:ind w:left="1260" w:hanging="420"/>
    </w:pPr>
  </w:style>
  <w:style w:type="paragraph" w:customStyle="1" w:styleId="493">
    <w:name w:val=" Char Char11 Char Char Char"/>
    <w:basedOn w:val="1"/>
    <w:qFormat/>
    <w:uiPriority w:val="0"/>
    <w:pPr>
      <w:spacing w:line="360" w:lineRule="auto"/>
    </w:pPr>
    <w:rPr>
      <w:szCs w:val="20"/>
    </w:rPr>
  </w:style>
  <w:style w:type="paragraph" w:customStyle="1" w:styleId="49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5">
    <w:name w:val="Char1 Char Char Char Char Char Char Char Char Char"/>
    <w:basedOn w:val="1"/>
    <w:semiHidden/>
    <w:qFormat/>
    <w:uiPriority w:val="0"/>
    <w:pPr>
      <w:adjustRightInd/>
      <w:spacing w:before="240" w:beforeLines="0" w:after="120" w:afterLines="0" w:line="288" w:lineRule="auto"/>
      <w:ind w:firstLine="200" w:firstLineChars="200"/>
      <w:jc w:val="left"/>
    </w:pPr>
    <w:rPr>
      <w:rFonts w:ascii="Tahoma" w:hAnsi="Tahoma"/>
      <w:sz w:val="24"/>
    </w:rPr>
  </w:style>
  <w:style w:type="paragraph" w:customStyle="1" w:styleId="49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49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49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99">
    <w:name w:val=" Char Char1 Char"/>
    <w:basedOn w:val="1"/>
    <w:qFormat/>
    <w:uiPriority w:val="0"/>
    <w:rPr>
      <w:rFonts w:ascii="仿宋_GB2312" w:eastAsia="仿宋_GB2312"/>
      <w:b/>
      <w:sz w:val="32"/>
      <w:szCs w:val="32"/>
    </w:rPr>
  </w:style>
  <w:style w:type="paragraph" w:customStyle="1" w:styleId="500">
    <w:name w:val="a1"/>
    <w:basedOn w:val="1"/>
    <w:qFormat/>
    <w:uiPriority w:val="0"/>
    <w:pPr>
      <w:widowControl/>
      <w:spacing w:line="300" w:lineRule="atLeast"/>
      <w:jc w:val="left"/>
    </w:pPr>
    <w:rPr>
      <w:rFonts w:ascii="宋体" w:hAnsi="宋体"/>
      <w:kern w:val="0"/>
      <w:sz w:val="18"/>
      <w:szCs w:val="20"/>
    </w:rPr>
  </w:style>
  <w:style w:type="paragraph" w:customStyle="1" w:styleId="50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kern w:val="0"/>
      <w:sz w:val="20"/>
      <w:szCs w:val="20"/>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504">
    <w:name w:val="trademark"/>
    <w:qFormat/>
    <w:uiPriority w:val="0"/>
    <w:pPr>
      <w:spacing w:after="60"/>
    </w:pPr>
    <w:rPr>
      <w:rFonts w:ascii="Futura Bk" w:hAnsi="Futura Bk" w:eastAsia="宋体" w:cs="Times New Roman"/>
      <w:sz w:val="15"/>
      <w:lang w:val="en-US" w:eastAsia="en-US" w:bidi="ar-SA"/>
    </w:rPr>
  </w:style>
  <w:style w:type="paragraph" w:customStyle="1" w:styleId="50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textAlignment w:val="top"/>
    </w:pPr>
    <w:rPr>
      <w:rFonts w:ascii="宋体" w:hAnsi="宋体"/>
      <w:kern w:val="0"/>
      <w:sz w:val="20"/>
      <w:szCs w:val="20"/>
    </w:rPr>
  </w:style>
  <w:style w:type="paragraph" w:customStyle="1" w:styleId="506">
    <w:name w:val="文本正文 Char"/>
    <w:basedOn w:val="1"/>
    <w:qFormat/>
    <w:uiPriority w:val="0"/>
    <w:pPr>
      <w:spacing w:line="360" w:lineRule="auto"/>
      <w:ind w:firstLine="200" w:firstLineChars="200"/>
    </w:pPr>
    <w:rPr>
      <w:kern w:val="0"/>
      <w:sz w:val="24"/>
      <w:szCs w:val="20"/>
    </w:rPr>
  </w:style>
  <w:style w:type="paragraph" w:customStyle="1" w:styleId="507">
    <w:name w:val="数字标题5"/>
    <w:basedOn w:val="6"/>
    <w:next w:val="1"/>
    <w:qFormat/>
    <w:uiPriority w:val="0"/>
    <w:pPr>
      <w:numPr>
        <w:ilvl w:val="4"/>
        <w:numId w:val="5"/>
      </w:numPr>
      <w:tabs>
        <w:tab w:val="clear" w:pos="1008"/>
      </w:tabs>
    </w:pPr>
  </w:style>
  <w:style w:type="paragraph" w:customStyle="1" w:styleId="5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9">
    <w:name w:val="带编号样式"/>
    <w:basedOn w:val="506"/>
    <w:qFormat/>
    <w:uiPriority w:val="0"/>
    <w:pPr>
      <w:tabs>
        <w:tab w:val="left" w:pos="840"/>
      </w:tabs>
      <w:snapToGrid w:val="0"/>
      <w:ind w:left="840" w:hanging="420" w:firstLineChars="0"/>
    </w:pPr>
    <w:rPr>
      <w:rFonts w:ascii="仿宋_GB2312" w:eastAsia="仿宋_GB2312"/>
      <w:color w:val="000000"/>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rFonts w:ascii="宋体" w:hAnsi="宋体"/>
      <w:kern w:val="0"/>
      <w:sz w:val="20"/>
      <w:szCs w:val="20"/>
    </w:rPr>
  </w:style>
  <w:style w:type="paragraph" w:customStyle="1" w:styleId="513">
    <w:name w:val="小项目标题"/>
    <w:basedOn w:val="1"/>
    <w:qFormat/>
    <w:uiPriority w:val="0"/>
    <w:pPr>
      <w:adjustRightInd/>
      <w:spacing w:before="100" w:beforeLines="0" w:beforeAutospacing="1" w:after="100" w:afterLines="0" w:afterAutospacing="1" w:line="360" w:lineRule="auto"/>
      <w:ind w:left="480" w:leftChars="200" w:firstLine="200" w:firstLineChars="200"/>
      <w:jc w:val="left"/>
    </w:pPr>
    <w:rPr>
      <w:sz w:val="24"/>
    </w:rPr>
  </w:style>
  <w:style w:type="paragraph" w:customStyle="1" w:styleId="514">
    <w:name w:val="首行缩进"/>
    <w:basedOn w:val="1"/>
    <w:qFormat/>
    <w:uiPriority w:val="0"/>
    <w:pPr>
      <w:spacing w:line="360" w:lineRule="auto"/>
      <w:ind w:firstLine="480" w:firstLineChars="200"/>
    </w:pPr>
    <w:rPr>
      <w:rFonts w:ascii="宋体"/>
      <w:sz w:val="24"/>
      <w:szCs w:val="20"/>
    </w:rPr>
  </w:style>
  <w:style w:type="paragraph" w:customStyle="1" w:styleId="51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516">
    <w:name w:val="模板普通正文"/>
    <w:basedOn w:val="23"/>
    <w:qFormat/>
    <w:uiPriority w:val="0"/>
    <w:pPr>
      <w:adjustRightInd/>
      <w:spacing w:before="156" w:beforeLines="50" w:after="10" w:afterLines="0" w:line="360" w:lineRule="auto"/>
      <w:ind w:firstLine="175" w:firstLineChars="175"/>
      <w:jc w:val="left"/>
    </w:pPr>
    <w:rPr>
      <w:rFonts w:ascii="Times New Roman" w:hAnsi="Times New Roman"/>
    </w:rPr>
  </w:style>
  <w:style w:type="paragraph" w:customStyle="1" w:styleId="517">
    <w:name w:val="4"/>
    <w:basedOn w:val="1"/>
    <w:next w:val="35"/>
    <w:qFormat/>
    <w:uiPriority w:val="0"/>
    <w:pPr>
      <w:spacing w:after="120" w:afterLines="0" w:line="480" w:lineRule="auto"/>
      <w:ind w:left="420" w:leftChars="200"/>
    </w:pPr>
    <w:rPr>
      <w:sz w:val="24"/>
      <w:szCs w:val="20"/>
    </w:rPr>
  </w:style>
  <w:style w:type="paragraph" w:customStyle="1" w:styleId="518">
    <w:name w:val="font5"/>
    <w:basedOn w:val="1"/>
    <w:qFormat/>
    <w:uiPriority w:val="0"/>
    <w:pPr>
      <w:widowControl/>
      <w:adjustRightInd/>
      <w:spacing w:before="100" w:beforeLines="0" w:beforeAutospacing="1" w:after="100" w:afterLines="0" w:afterAutospacing="1" w:line="360" w:lineRule="auto"/>
      <w:ind w:firstLine="200" w:firstLineChars="200"/>
      <w:jc w:val="left"/>
    </w:pPr>
    <w:rPr>
      <w:rFonts w:hint="eastAsia" w:ascii="宋体" w:hAnsi="宋体"/>
      <w:kern w:val="0"/>
      <w:sz w:val="18"/>
      <w:szCs w:val="18"/>
    </w:rPr>
  </w:style>
  <w:style w:type="paragraph" w:customStyle="1" w:styleId="519">
    <w:name w:val="Char1"/>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520">
    <w:name w:val="样式 标题 2H2h2Underrubrik1prop2l2Chapter Titlesect 1.2DO NO..."/>
    <w:basedOn w:val="2"/>
    <w:qFormat/>
    <w:uiPriority w:val="0"/>
    <w:pPr>
      <w:numPr>
        <w:ilvl w:val="0"/>
        <w:numId w:val="0"/>
      </w:numPr>
      <w:spacing w:before="120" w:beforeLines="0" w:after="120" w:afterLines="0"/>
      <w:ind w:left="425" w:hanging="425"/>
    </w:pPr>
    <w:rPr>
      <w:rFonts w:ascii="微软雅黑" w:hAnsi="微软雅黑" w:eastAsia="微软雅黑" w:cs="宋体"/>
      <w:sz w:val="32"/>
      <w:szCs w:val="20"/>
      <w:lang w:val="en-US"/>
    </w:rPr>
  </w:style>
  <w:style w:type="paragraph" w:customStyle="1" w:styleId="521">
    <w:name w:val="Char Char Char Char Char Char Char Char Char Char Char1 Char"/>
    <w:basedOn w:val="1"/>
    <w:qFormat/>
    <w:uiPriority w:val="0"/>
    <w:pPr>
      <w:adjustRightInd/>
    </w:pPr>
    <w:rPr>
      <w:rFonts w:ascii="Tahoma" w:hAnsi="Tahoma"/>
      <w:sz w:val="24"/>
    </w:rPr>
  </w:style>
  <w:style w:type="paragraph" w:customStyle="1" w:styleId="522">
    <w:name w:val="样式 标题 1 + 黑色 段前: 0.5 行 段后: 0.5 行1"/>
    <w:basedOn w:val="3"/>
    <w:qFormat/>
    <w:uiPriority w:val="0"/>
    <w:pPr>
      <w:keepLines w:val="0"/>
      <w:pageBreakBefore/>
      <w:numPr>
        <w:ilvl w:val="0"/>
        <w:numId w:val="0"/>
      </w:numPr>
      <w:pBdr>
        <w:top w:val="single" w:color="auto" w:sz="4" w:space="1"/>
        <w:left w:val="single" w:color="auto" w:sz="4" w:space="4"/>
        <w:bottom w:val="single" w:color="auto" w:sz="4" w:space="1"/>
        <w:right w:val="single" w:color="auto" w:sz="4" w:space="4"/>
      </w:pBdr>
      <w:shd w:val="clear" w:color="auto" w:fill="333399"/>
      <w:adjustRightInd/>
      <w:spacing w:before="0" w:beforeLines="0" w:after="0" w:afterLines="0" w:line="640" w:lineRule="exact"/>
      <w:ind w:left="431" w:hanging="431"/>
      <w:jc w:val="center"/>
    </w:pPr>
    <w:rPr>
      <w:rFonts w:ascii="黑体" w:hAnsi="黑体" w:eastAsia="黑体" w:cs="Arial"/>
      <w:caps/>
      <w:color w:val="FFFFFF"/>
      <w:kern w:val="2"/>
      <w:sz w:val="30"/>
      <w:szCs w:val="20"/>
    </w:rPr>
  </w:style>
  <w:style w:type="paragraph" w:customStyle="1" w:styleId="523">
    <w:name w:val="表格"/>
    <w:basedOn w:val="1"/>
    <w:qFormat/>
    <w:uiPriority w:val="0"/>
    <w:pPr>
      <w:snapToGrid w:val="0"/>
      <w:ind w:firstLine="42" w:firstLineChars="21"/>
    </w:pPr>
    <w:rPr>
      <w:rFonts w:ascii="宋体" w:hAnsi="宋体"/>
      <w:kern w:val="0"/>
      <w:sz w:val="20"/>
      <w:szCs w:val="20"/>
    </w:rPr>
  </w:style>
  <w:style w:type="paragraph" w:customStyle="1" w:styleId="524">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5">
    <w:name w:val="彩色列表 - 强调文字颜色 11"/>
    <w:basedOn w:val="1"/>
    <w:qFormat/>
    <w:uiPriority w:val="0"/>
    <w:pPr>
      <w:adjustRightInd/>
      <w:ind w:firstLine="420" w:firstLineChars="200"/>
    </w:pPr>
    <w:rPr>
      <w:rFonts w:ascii="Calibri" w:hAnsi="Calibri"/>
      <w:szCs w:val="22"/>
    </w:rPr>
  </w:style>
  <w:style w:type="paragraph" w:customStyle="1" w:styleId="526">
    <w:name w:val="Body"/>
    <w:basedOn w:val="1"/>
    <w:qFormat/>
    <w:uiPriority w:val="0"/>
    <w:pPr>
      <w:widowControl/>
      <w:adjustRightInd/>
      <w:spacing w:before="120" w:beforeLines="0" w:after="120" w:afterLines="0" w:line="240" w:lineRule="exact"/>
      <w:ind w:firstLine="200" w:firstLineChars="200"/>
      <w:jc w:val="left"/>
    </w:pPr>
    <w:rPr>
      <w:rFonts w:ascii="Arial" w:hAnsi="Arial"/>
      <w:kern w:val="0"/>
      <w:sz w:val="20"/>
      <w:szCs w:val="20"/>
      <w:lang w:eastAsia="en-US"/>
    </w:rPr>
  </w:style>
  <w:style w:type="paragraph" w:customStyle="1" w:styleId="52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528">
    <w:name w:val="xl43"/>
    <w:basedOn w:val="1"/>
    <w:qFormat/>
    <w:uiPriority w:val="0"/>
    <w:pPr>
      <w:widowControl/>
      <w:pBdr>
        <w:top w:val="single" w:color="auto" w:sz="4" w:space="0"/>
        <w:bottom w:val="single" w:color="auto" w:sz="4" w:space="0"/>
        <w:right w:val="single" w:color="auto" w:sz="4" w:space="0"/>
      </w:pBdr>
      <w:adjustRightInd/>
      <w:spacing w:before="100" w:beforeLines="0" w:beforeAutospacing="1" w:after="100" w:afterLines="0" w:afterAutospacing="1"/>
      <w:ind w:firstLine="200" w:firstLineChars="200"/>
      <w:jc w:val="center"/>
    </w:pPr>
    <w:rPr>
      <w:rFonts w:ascii="微软雅黑" w:hAnsi="微软雅黑" w:eastAsia="微软雅黑" w:cs="宋体"/>
      <w:b/>
      <w:bCs/>
      <w:kern w:val="0"/>
      <w:szCs w:val="21"/>
    </w:rPr>
  </w:style>
  <w:style w:type="paragraph" w:customStyle="1" w:styleId="529">
    <w:name w:val="四号　首行缩进"/>
    <w:basedOn w:val="1"/>
    <w:qFormat/>
    <w:uiPriority w:val="0"/>
    <w:pPr>
      <w:adjustRightInd/>
      <w:spacing w:line="360" w:lineRule="auto"/>
    </w:pPr>
    <w:rPr>
      <w:rFonts w:ascii="宋体" w:hAnsi="宋体"/>
      <w:szCs w:val="20"/>
    </w:rPr>
  </w:style>
  <w:style w:type="paragraph" w:customStyle="1" w:styleId="530">
    <w:name w:val="单元格居中"/>
    <w:basedOn w:val="1"/>
    <w:qFormat/>
    <w:uiPriority w:val="0"/>
    <w:pPr>
      <w:adjustRightInd/>
      <w:spacing w:line="360" w:lineRule="auto"/>
      <w:jc w:val="center"/>
    </w:pPr>
    <w:rPr>
      <w:sz w:val="24"/>
    </w:rPr>
  </w:style>
  <w:style w:type="paragraph" w:customStyle="1" w:styleId="531">
    <w:name w:val="Body Text 2"/>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532">
    <w:name w:val="默认段落样式"/>
    <w:basedOn w:val="221"/>
    <w:qFormat/>
    <w:uiPriority w:val="0"/>
    <w:pPr>
      <w:spacing w:before="0" w:beforeLines="0"/>
      <w:ind w:firstLine="480"/>
      <w:outlineLvl w:val="2"/>
    </w:pPr>
    <w:rPr>
      <w:rFonts w:ascii="仿宋_GB2312" w:hAnsi="宋体" w:eastAsia="仿宋_GB2312"/>
      <w:color w:val="000000"/>
      <w:szCs w:val="24"/>
    </w:rPr>
  </w:style>
  <w:style w:type="paragraph" w:customStyle="1" w:styleId="533">
    <w:name w:val="表文字"/>
    <w:qFormat/>
    <w:uiPriority w:val="0"/>
    <w:rPr>
      <w:rFonts w:ascii="宋体" w:hAnsi="Times New Roman" w:eastAsia="宋体" w:cs="Times New Roman"/>
      <w:kern w:val="2"/>
      <w:lang w:val="en-US" w:eastAsia="zh-CN" w:bidi="ar-SA"/>
    </w:rPr>
  </w:style>
  <w:style w:type="paragraph" w:customStyle="1" w:styleId="53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rFonts w:ascii="宋体" w:hAnsi="宋体"/>
      <w:kern w:val="0"/>
      <w:sz w:val="20"/>
      <w:szCs w:val="20"/>
    </w:rPr>
  </w:style>
  <w:style w:type="paragraph" w:customStyle="1" w:styleId="535">
    <w:name w:val="目录1"/>
    <w:basedOn w:val="1"/>
    <w:qFormat/>
    <w:uiPriority w:val="0"/>
    <w:pPr>
      <w:tabs>
        <w:tab w:val="left" w:leader="dot" w:pos="8503"/>
      </w:tabs>
      <w:autoSpaceDE w:val="0"/>
      <w:autoSpaceDN w:val="0"/>
      <w:spacing w:after="136" w:afterLines="0" w:line="289" w:lineRule="atLeast"/>
      <w:ind w:firstLine="200" w:firstLineChars="200"/>
      <w:jc w:val="left"/>
    </w:pPr>
    <w:rPr>
      <w:rFonts w:ascii="Arial" w:hAnsi="Arial"/>
      <w:color w:val="000000"/>
      <w:kern w:val="0"/>
      <w:sz w:val="28"/>
      <w:szCs w:val="28"/>
    </w:rPr>
  </w:style>
  <w:style w:type="paragraph" w:customStyle="1" w:styleId="536">
    <w:name w:val="左对齐表格文字"/>
    <w:basedOn w:val="1"/>
    <w:qFormat/>
    <w:uiPriority w:val="0"/>
    <w:pPr>
      <w:adjustRightInd/>
      <w:ind w:firstLine="200" w:firstLineChars="200"/>
      <w:jc w:val="right"/>
    </w:pPr>
  </w:style>
  <w:style w:type="paragraph" w:customStyle="1" w:styleId="537">
    <w:name w:val="Table Contents"/>
    <w:basedOn w:val="1"/>
    <w:qFormat/>
    <w:uiPriority w:val="0"/>
    <w:pPr>
      <w:suppressAutoHyphens/>
      <w:autoSpaceDE w:val="0"/>
      <w:spacing w:after="120" w:afterLines="0"/>
      <w:jc w:val="left"/>
    </w:pPr>
    <w:rPr>
      <w:rFonts w:ascii="Helvetica" w:hAnsi="Helvetica"/>
      <w:kern w:val="1"/>
      <w:sz w:val="20"/>
      <w:szCs w:val="20"/>
    </w:rPr>
  </w:style>
  <w:style w:type="paragraph" w:customStyle="1" w:styleId="538">
    <w:name w:val="Char Char Char Char Char Char Char Char Char Char Char Char1 Char"/>
    <w:basedOn w:val="1"/>
    <w:qFormat/>
    <w:uiPriority w:val="0"/>
    <w:rPr>
      <w:rFonts w:ascii="Tahoma" w:hAnsi="Tahoma" w:cs="仿宋_GB2312"/>
      <w:sz w:val="24"/>
      <w:szCs w:val="20"/>
    </w:rPr>
  </w:style>
  <w:style w:type="paragraph" w:customStyle="1" w:styleId="539">
    <w:name w:val="!大节"/>
    <w:basedOn w:val="2"/>
    <w:qFormat/>
    <w:uiPriority w:val="0"/>
    <w:pPr>
      <w:numPr>
        <w:ilvl w:val="0"/>
        <w:numId w:val="0"/>
      </w:numPr>
      <w:spacing w:before="260" w:beforeLines="0" w:after="260" w:afterLines="0" w:line="415" w:lineRule="auto"/>
      <w:ind w:left="420" w:hanging="420"/>
      <w:jc w:val="left"/>
    </w:pPr>
    <w:rPr>
      <w:rFonts w:ascii="Arial" w:hAnsi="Arial" w:eastAsia="微软雅黑"/>
      <w:sz w:val="32"/>
      <w:szCs w:val="32"/>
      <w:lang w:val="en-US"/>
    </w:rPr>
  </w:style>
  <w:style w:type="paragraph" w:customStyle="1" w:styleId="54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41">
    <w:name w:val="Char Char Char Char Char Char Char"/>
    <w:basedOn w:val="1"/>
    <w:qFormat/>
    <w:uiPriority w:val="0"/>
    <w:rPr>
      <w:rFonts w:ascii="仿宋_GB2312" w:eastAsia="仿宋_GB2312"/>
      <w:b/>
      <w:sz w:val="32"/>
      <w:szCs w:val="32"/>
    </w:rPr>
  </w:style>
  <w:style w:type="paragraph" w:customStyle="1" w:styleId="54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3">
    <w:name w:val="xl38"/>
    <w:basedOn w:val="1"/>
    <w:qFormat/>
    <w:uiPriority w:val="0"/>
    <w:pPr>
      <w:widowControl/>
      <w:pBdr>
        <w:top w:val="single" w:color="auto" w:sz="4" w:space="0"/>
        <w:left w:val="single" w:color="auto" w:sz="4" w:space="0"/>
        <w:right w:val="single" w:color="auto" w:sz="4" w:space="0"/>
      </w:pBdr>
      <w:adjustRightInd/>
      <w:spacing w:before="100" w:beforeLines="0" w:beforeAutospacing="1" w:after="100" w:afterLines="0" w:afterAutospacing="1" w:line="360" w:lineRule="auto"/>
      <w:ind w:firstLine="480" w:firstLineChars="200"/>
      <w:jc w:val="center"/>
    </w:pPr>
    <w:rPr>
      <w:rFonts w:ascii="宋体" w:hAnsi="宋体" w:eastAsia="微软雅黑"/>
      <w:kern w:val="0"/>
      <w:sz w:val="20"/>
      <w:szCs w:val="20"/>
    </w:rPr>
  </w:style>
  <w:style w:type="paragraph" w:customStyle="1" w:styleId="544">
    <w:name w:val="正文文字缩进项目"/>
    <w:basedOn w:val="2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545">
    <w:name w:val="MM Topic 4"/>
    <w:basedOn w:val="5"/>
    <w:qFormat/>
    <w:uiPriority w:val="0"/>
    <w:pPr>
      <w:numPr>
        <w:ilvl w:val="3"/>
        <w:numId w:val="4"/>
      </w:numPr>
      <w:tabs>
        <w:tab w:val="clear" w:pos="864"/>
      </w:tabs>
      <w:adjustRightInd/>
    </w:pPr>
    <w:rPr>
      <w:lang w:val="en-US"/>
    </w:rPr>
  </w:style>
  <w:style w:type="paragraph" w:customStyle="1" w:styleId="546">
    <w:name w:val="_Style 545"/>
    <w:qFormat/>
    <w:uiPriority w:val="0"/>
    <w:rPr>
      <w:rFonts w:ascii="Times New Roman" w:hAnsi="Times New Roman" w:eastAsia="宋体" w:cs="Times New Roman"/>
      <w:kern w:val="2"/>
      <w:sz w:val="21"/>
      <w:lang w:val="en-US" w:eastAsia="zh-CN" w:bidi="ar-SA"/>
    </w:rPr>
  </w:style>
  <w:style w:type="paragraph" w:customStyle="1" w:styleId="547">
    <w:name w:val=" Char Char Char Char Char Char Char"/>
    <w:basedOn w:val="1"/>
    <w:qFormat/>
    <w:uiPriority w:val="0"/>
    <w:rPr>
      <w:rFonts w:ascii="仿宋_GB2312" w:eastAsia="仿宋_GB2312"/>
      <w:b/>
      <w:sz w:val="32"/>
      <w:szCs w:val="32"/>
    </w:rPr>
  </w:style>
  <w:style w:type="paragraph" w:customStyle="1" w:styleId="548">
    <w:name w:val="Char Char Char Char Char Char Char Char Char Char"/>
    <w:basedOn w:val="1"/>
    <w:qFormat/>
    <w:uiPriority w:val="0"/>
    <w:rPr>
      <w:rFonts w:ascii="仿宋_GB2312" w:eastAsia="仿宋_GB2312"/>
      <w:b/>
      <w:sz w:val="32"/>
      <w:szCs w:val="32"/>
    </w:rPr>
  </w:style>
  <w:style w:type="paragraph" w:customStyle="1" w:styleId="549">
    <w:name w:val="插图说明"/>
    <w:basedOn w:val="1"/>
    <w:qFormat/>
    <w:uiPriority w:val="0"/>
    <w:pPr>
      <w:spacing w:after="240" w:afterLines="0"/>
      <w:ind w:firstLineChars="200"/>
      <w:jc w:val="center"/>
      <w:textAlignment w:val="baseline"/>
    </w:pPr>
    <w:rPr>
      <w:rFonts w:eastAsia="黑体"/>
      <w:sz w:val="24"/>
      <w:szCs w:val="20"/>
    </w:rPr>
  </w:style>
  <w:style w:type="paragraph" w:customStyle="1" w:styleId="55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551">
    <w:name w:val="Char1 Char Char Char4"/>
    <w:basedOn w:val="1"/>
    <w:qFormat/>
    <w:uiPriority w:val="0"/>
    <w:pPr>
      <w:adjustRightInd/>
      <w:ind w:firstLine="200" w:firstLineChars="200"/>
    </w:pPr>
    <w:rPr>
      <w:rFonts w:ascii="Tahoma" w:hAnsi="Tahoma"/>
      <w:sz w:val="24"/>
      <w:szCs w:val="20"/>
    </w:rPr>
  </w:style>
  <w:style w:type="paragraph" w:customStyle="1" w:styleId="552">
    <w:name w:val=" Char Char Char Char Char Char1 Char"/>
    <w:basedOn w:val="1"/>
    <w:qFormat/>
    <w:uiPriority w:val="0"/>
    <w:pPr>
      <w:widowControl/>
      <w:spacing w:after="160" w:afterLines="0" w:line="240" w:lineRule="exact"/>
      <w:jc w:val="left"/>
    </w:pPr>
    <w:rPr>
      <w:rFonts w:ascii="Verdana" w:hAnsi="Verdana"/>
      <w:kern w:val="0"/>
      <w:szCs w:val="20"/>
      <w:lang w:eastAsia="en-US"/>
    </w:rPr>
  </w:style>
  <w:style w:type="paragraph" w:customStyle="1" w:styleId="553">
    <w:name w:val="正文21"/>
    <w:basedOn w:val="1"/>
    <w:qFormat/>
    <w:uiPriority w:val="0"/>
    <w:pPr>
      <w:adjustRightInd/>
      <w:spacing w:before="156" w:beforeLines="0" w:line="360" w:lineRule="auto"/>
      <w:ind w:firstLine="510" w:firstLineChars="200"/>
    </w:pPr>
    <w:rPr>
      <w:sz w:val="24"/>
      <w:szCs w:val="20"/>
    </w:rPr>
  </w:style>
  <w:style w:type="paragraph" w:customStyle="1" w:styleId="554">
    <w:name w:val="Char19"/>
    <w:basedOn w:val="1"/>
    <w:qFormat/>
    <w:uiPriority w:val="0"/>
    <w:pPr>
      <w:adjustRightInd/>
    </w:pPr>
    <w:rPr>
      <w:szCs w:val="20"/>
    </w:rPr>
  </w:style>
  <w:style w:type="paragraph" w:customStyle="1" w:styleId="555">
    <w:name w:val="标书表格字体格式"/>
    <w:next w:val="447"/>
    <w:qFormat/>
    <w:uiPriority w:val="0"/>
    <w:rPr>
      <w:rFonts w:ascii="Times New Roman" w:hAnsi="Times New Roman" w:eastAsia="宋体" w:cs="Times New Roman"/>
      <w:kern w:val="2"/>
      <w:sz w:val="21"/>
      <w:szCs w:val="24"/>
      <w:lang w:val="en-US" w:eastAsia="zh-CN" w:bidi="ar-SA"/>
    </w:rPr>
  </w:style>
  <w:style w:type="paragraph" w:customStyle="1" w:styleId="55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557">
    <w:name w:val="默认段落字体 Para Char Char Char Char"/>
    <w:basedOn w:val="1"/>
    <w:qFormat/>
    <w:uiPriority w:val="0"/>
    <w:pPr>
      <w:spacing w:line="360" w:lineRule="auto"/>
    </w:pPr>
    <w:rPr>
      <w:szCs w:val="20"/>
    </w:rPr>
  </w:style>
  <w:style w:type="paragraph" w:customStyle="1" w:styleId="558">
    <w:name w:val="公文正文"/>
    <w:basedOn w:val="1"/>
    <w:qFormat/>
    <w:uiPriority w:val="0"/>
    <w:pPr>
      <w:adjustRightInd/>
      <w:spacing w:before="156" w:beforeLines="0" w:line="360" w:lineRule="auto"/>
      <w:ind w:firstLine="360" w:firstLineChars="200"/>
    </w:pPr>
    <w:rPr>
      <w:rFonts w:ascii="仿宋_GB2312" w:eastAsia="仿宋_GB2312"/>
      <w:sz w:val="24"/>
    </w:rPr>
  </w:style>
  <w:style w:type="paragraph" w:customStyle="1" w:styleId="559">
    <w:name w:val="Char Char1 Char Char1 Char Char1"/>
    <w:basedOn w:val="1"/>
    <w:qFormat/>
    <w:uiPriority w:val="0"/>
    <w:pPr>
      <w:tabs>
        <w:tab w:val="left" w:pos="840"/>
      </w:tabs>
      <w:ind w:left="840" w:hanging="420"/>
    </w:pPr>
    <w:rPr>
      <w:rFonts w:ascii="Tahoma" w:hAnsi="Tahoma"/>
      <w:sz w:val="24"/>
    </w:rPr>
  </w:style>
  <w:style w:type="paragraph" w:customStyle="1" w:styleId="560">
    <w:name w:val="style25"/>
    <w:basedOn w:val="1"/>
    <w:qFormat/>
    <w:uiPriority w:val="0"/>
    <w:pPr>
      <w:widowControl/>
      <w:adjustRightInd/>
      <w:spacing w:before="100" w:beforeLines="0" w:beforeAutospacing="1" w:after="100" w:afterLines="0" w:afterAutospacing="1"/>
      <w:ind w:firstLine="200" w:firstLineChars="200"/>
      <w:jc w:val="left"/>
    </w:pPr>
    <w:rPr>
      <w:rFonts w:ascii="宋体" w:hAnsi="宋体" w:cs="宋体"/>
      <w:color w:val="557AAF"/>
      <w:kern w:val="0"/>
      <w:sz w:val="18"/>
      <w:szCs w:val="18"/>
    </w:rPr>
  </w:style>
  <w:style w:type="paragraph" w:customStyle="1" w:styleId="56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562">
    <w:name w:val="表格文字（大）"/>
    <w:basedOn w:val="1"/>
    <w:qFormat/>
    <w:uiPriority w:val="0"/>
    <w:pPr>
      <w:adjustRightInd/>
      <w:spacing w:before="20" w:beforeLines="0" w:after="20" w:afterLines="0"/>
      <w:ind w:firstLine="200" w:firstLineChars="200"/>
    </w:pPr>
    <w:rPr>
      <w:rFonts w:ascii="Century Gothic" w:hAnsi="Century Gothic"/>
      <w:sz w:val="24"/>
      <w:szCs w:val="20"/>
    </w:rPr>
  </w:style>
  <w:style w:type="paragraph" w:customStyle="1" w:styleId="563">
    <w:name w:val="bt_content"/>
    <w:basedOn w:val="1"/>
    <w:qFormat/>
    <w:uiPriority w:val="0"/>
    <w:pPr>
      <w:widowControl/>
      <w:adjustRightInd/>
      <w:spacing w:before="100" w:beforeLines="0" w:beforeAutospacing="1" w:after="100" w:afterLines="0" w:afterAutospacing="1" w:line="360" w:lineRule="auto"/>
      <w:ind w:firstLine="480" w:firstLineChars="200"/>
      <w:jc w:val="left"/>
    </w:pPr>
    <w:rPr>
      <w:rFonts w:ascii="宋体" w:hAnsi="宋体" w:eastAsia="微软雅黑" w:cs="宋体"/>
      <w:kern w:val="0"/>
      <w:sz w:val="24"/>
    </w:rPr>
  </w:style>
  <w:style w:type="paragraph" w:customStyle="1" w:styleId="5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rFonts w:ascii="宋体" w:hAnsi="宋体"/>
      <w:kern w:val="0"/>
      <w:sz w:val="20"/>
      <w:szCs w:val="20"/>
    </w:rPr>
  </w:style>
  <w:style w:type="paragraph" w:customStyle="1" w:styleId="565">
    <w:name w:val="数字标题6"/>
    <w:basedOn w:val="7"/>
    <w:next w:val="1"/>
    <w:qFormat/>
    <w:uiPriority w:val="0"/>
    <w:pPr>
      <w:numPr>
        <w:ilvl w:val="5"/>
        <w:numId w:val="5"/>
      </w:numPr>
      <w:tabs>
        <w:tab w:val="clear" w:pos="1152"/>
      </w:tabs>
    </w:pPr>
    <w:rPr>
      <w:rFonts w:ascii="Times New Roman" w:hAnsi="Times New Roman" w:eastAsia="宋体"/>
      <w:i/>
    </w:rPr>
  </w:style>
  <w:style w:type="paragraph" w:customStyle="1" w:styleId="56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567">
    <w:name w:val=" Char Char Char Char Char Char Char Char Char Char Char Char1 Char"/>
    <w:basedOn w:val="1"/>
    <w:qFormat/>
    <w:uiPriority w:val="0"/>
    <w:rPr>
      <w:rFonts w:ascii="Tahoma" w:hAnsi="Tahoma" w:cs="仿宋_GB2312"/>
      <w:sz w:val="24"/>
      <w:szCs w:val="20"/>
    </w:rPr>
  </w:style>
  <w:style w:type="paragraph" w:customStyle="1" w:styleId="568">
    <w:name w:val="样式 小四 首行缩进:  0.74 厘米 行距: 1.5 倍行距"/>
    <w:basedOn w:val="1"/>
    <w:qFormat/>
    <w:uiPriority w:val="0"/>
    <w:pPr>
      <w:adjustRightInd/>
      <w:spacing w:before="100" w:beforeLines="0" w:beforeAutospacing="1" w:after="100" w:afterLines="0" w:afterAutospacing="1" w:line="300" w:lineRule="auto"/>
      <w:ind w:firstLine="480" w:firstLineChars="200"/>
    </w:pPr>
    <w:rPr>
      <w:rFonts w:ascii="宋体" w:hAnsi="宋体" w:eastAsia="微软雅黑"/>
      <w:sz w:val="24"/>
    </w:rPr>
  </w:style>
  <w:style w:type="paragraph" w:customStyle="1" w:styleId="569">
    <w:name w:val=" Char Char Char"/>
    <w:basedOn w:val="1"/>
    <w:qFormat/>
    <w:uiPriority w:val="0"/>
    <w:rPr>
      <w:rFonts w:ascii="Tahoma" w:hAnsi="Tahoma"/>
      <w:sz w:val="24"/>
      <w:szCs w:val="20"/>
    </w:rPr>
  </w:style>
  <w:style w:type="paragraph" w:customStyle="1" w:styleId="570">
    <w:name w:val="_Style 569"/>
    <w:basedOn w:val="3"/>
    <w:next w:val="1"/>
    <w:qFormat/>
    <w:uiPriority w:val="39"/>
    <w:pPr>
      <w:widowControl/>
      <w:numPr>
        <w:ilvl w:val="0"/>
        <w:numId w:val="0"/>
      </w:numPr>
      <w:adjustRightInd/>
      <w:spacing w:before="480" w:beforeLines="0" w:after="0" w:afterLines="0" w:line="276" w:lineRule="auto"/>
      <w:jc w:val="left"/>
      <w:outlineLvl w:val="9"/>
    </w:pPr>
    <w:rPr>
      <w:rFonts w:ascii="Cambria" w:hAnsi="Cambria"/>
      <w:color w:val="365F91"/>
      <w:kern w:val="0"/>
      <w:sz w:val="28"/>
      <w:szCs w:val="28"/>
    </w:rPr>
  </w:style>
  <w:style w:type="paragraph" w:customStyle="1" w:styleId="57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7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573">
    <w:name w:val="Char1 Char Char Char3"/>
    <w:basedOn w:val="1"/>
    <w:qFormat/>
    <w:uiPriority w:val="0"/>
    <w:pPr>
      <w:adjustRightInd/>
      <w:ind w:firstLine="200" w:firstLineChars="200"/>
    </w:pPr>
    <w:rPr>
      <w:rFonts w:ascii="Tahoma" w:hAnsi="Tahoma"/>
      <w:sz w:val="24"/>
      <w:szCs w:val="20"/>
    </w:rPr>
  </w:style>
  <w:style w:type="paragraph" w:customStyle="1" w:styleId="574">
    <w:name w:val="样式6"/>
    <w:basedOn w:val="31"/>
    <w:qFormat/>
    <w:uiPriority w:val="0"/>
    <w:pPr>
      <w:spacing w:line="460" w:lineRule="exact"/>
      <w:outlineLvl w:val="2"/>
    </w:pPr>
    <w:rPr>
      <w:rFonts w:ascii="仿宋_GB2312" w:hAnsi="宋体" w:eastAsia="仿宋_GB2312"/>
      <w:b/>
      <w:bCs/>
      <w:sz w:val="24"/>
      <w:szCs w:val="24"/>
    </w:rPr>
  </w:style>
  <w:style w:type="paragraph" w:customStyle="1" w:styleId="575">
    <w:name w:val=" Char Char1"/>
    <w:basedOn w:val="1"/>
    <w:qFormat/>
    <w:uiPriority w:val="0"/>
    <w:pPr>
      <w:widowControl/>
      <w:spacing w:after="160" w:afterLines="0" w:line="240" w:lineRule="exact"/>
      <w:jc w:val="left"/>
    </w:pPr>
    <w:rPr>
      <w:rFonts w:eastAsia="仿宋_GB2312"/>
      <w:sz w:val="28"/>
    </w:rPr>
  </w:style>
  <w:style w:type="paragraph" w:customStyle="1" w:styleId="57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7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78">
    <w:name w:val="标书标题3"/>
    <w:basedOn w:val="4"/>
    <w:qFormat/>
    <w:uiPriority w:val="0"/>
    <w:pPr>
      <w:keepLines w:val="0"/>
      <w:widowControl/>
      <w:numPr>
        <w:ilvl w:val="2"/>
        <w:numId w:val="0"/>
      </w:numPr>
      <w:snapToGrid w:val="0"/>
      <w:spacing w:before="120" w:beforeLines="0" w:after="60" w:afterLines="0" w:line="300" w:lineRule="auto"/>
      <w:jc w:val="left"/>
    </w:pPr>
    <w:rPr>
      <w:rFonts w:ascii="Arial Narrow" w:hAnsi="Arial Narrow" w:eastAsia="仿宋_GB2312"/>
      <w:b w:val="0"/>
      <w:bCs w:val="0"/>
      <w:color w:val="000000"/>
      <w:kern w:val="0"/>
      <w:sz w:val="28"/>
      <w:lang w:val="en-US" w:eastAsia="zh-CN"/>
    </w:rPr>
  </w:style>
  <w:style w:type="paragraph" w:customStyle="1" w:styleId="579">
    <w:name w:val="文档正文"/>
    <w:basedOn w:val="1"/>
    <w:qFormat/>
    <w:uiPriority w:val="0"/>
    <w:pPr>
      <w:adjustRightInd w:val="0"/>
      <w:spacing w:line="480" w:lineRule="atLeast"/>
      <w:ind w:firstLine="567"/>
      <w:textAlignment w:val="baseline"/>
    </w:pPr>
    <w:rPr>
      <w:kern w:val="0"/>
      <w:sz w:val="24"/>
      <w:szCs w:val="20"/>
    </w:rPr>
  </w:style>
  <w:style w:type="paragraph" w:customStyle="1" w:styleId="580">
    <w:name w:val="Char Char4 Char Char"/>
    <w:basedOn w:val="1"/>
    <w:qFormat/>
    <w:uiPriority w:val="0"/>
    <w:pPr>
      <w:widowControl/>
      <w:adjustRightInd/>
      <w:spacing w:after="160" w:line="240" w:lineRule="exact"/>
      <w:jc w:val="left"/>
    </w:pPr>
  </w:style>
  <w:style w:type="paragraph" w:customStyle="1" w:styleId="581">
    <w:name w:val="_Style 12"/>
    <w:basedOn w:val="18"/>
    <w:qFormat/>
    <w:uiPriority w:val="0"/>
    <w:pPr>
      <w:snapToGrid w:val="0"/>
      <w:spacing w:line="360" w:lineRule="auto"/>
    </w:pPr>
  </w:style>
  <w:style w:type="paragraph" w:customStyle="1" w:styleId="582">
    <w:name w:val="样式 标题 1Level 1 HeadPIM 1Section Headh1l11Heading 0Datash..."/>
    <w:basedOn w:val="3"/>
    <w:qFormat/>
    <w:uiPriority w:val="0"/>
    <w:pPr>
      <w:keepNext w:val="0"/>
      <w:keepLines w:val="0"/>
      <w:widowControl/>
      <w:numPr>
        <w:ilvl w:val="0"/>
        <w:numId w:val="0"/>
      </w:numPr>
      <w:overflowPunct w:val="0"/>
      <w:autoSpaceDE w:val="0"/>
      <w:autoSpaceDN w:val="0"/>
      <w:spacing w:before="0" w:beforeLines="0" w:after="100" w:afterLines="0" w:line="360" w:lineRule="auto"/>
      <w:jc w:val="left"/>
      <w:textAlignment w:val="baseline"/>
    </w:pPr>
    <w:rPr>
      <w:rFonts w:ascii="宋体" w:hAnsi="宋体"/>
      <w:kern w:val="2"/>
      <w:sz w:val="24"/>
      <w:szCs w:val="20"/>
    </w:rPr>
  </w:style>
  <w:style w:type="paragraph" w:customStyle="1" w:styleId="58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4">
    <w:name w:val="正文文字表格居中"/>
    <w:basedOn w:val="1"/>
    <w:next w:val="53"/>
    <w:qFormat/>
    <w:uiPriority w:val="0"/>
    <w:pPr>
      <w:snapToGrid w:val="0"/>
      <w:spacing w:line="360" w:lineRule="auto"/>
    </w:pPr>
    <w:rPr>
      <w:rFonts w:ascii="宋体"/>
      <w:b/>
      <w:sz w:val="24"/>
      <w:szCs w:val="20"/>
    </w:rPr>
  </w:style>
  <w:style w:type="paragraph" w:customStyle="1" w:styleId="585">
    <w:name w:val="文章标题"/>
    <w:next w:val="31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586">
    <w:name w:val=" Char2 Char Char Char"/>
    <w:basedOn w:val="1"/>
    <w:qFormat/>
    <w:uiPriority w:val="0"/>
    <w:rPr>
      <w:rFonts w:ascii="仿宋_GB2312" w:eastAsia="仿宋_GB2312"/>
      <w:b/>
      <w:sz w:val="32"/>
      <w:szCs w:val="32"/>
    </w:rPr>
  </w:style>
  <w:style w:type="paragraph" w:customStyle="1" w:styleId="587">
    <w:name w:val="索引 11"/>
    <w:basedOn w:val="1"/>
    <w:next w:val="1"/>
    <w:qFormat/>
    <w:uiPriority w:val="0"/>
    <w:pPr>
      <w:adjustRightInd/>
      <w:spacing w:line="360" w:lineRule="auto"/>
    </w:pPr>
    <w:rPr>
      <w:rFonts w:ascii="仿宋_GB2312" w:eastAsia="仿宋_GB2312"/>
      <w:sz w:val="24"/>
      <w:szCs w:val="20"/>
    </w:rPr>
  </w:style>
  <w:style w:type="paragraph" w:customStyle="1" w:styleId="5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89">
    <w:name w:val="MM Topic 5"/>
    <w:basedOn w:val="6"/>
    <w:qFormat/>
    <w:uiPriority w:val="0"/>
    <w:pPr>
      <w:numPr>
        <w:ilvl w:val="4"/>
        <w:numId w:val="4"/>
      </w:numPr>
      <w:tabs>
        <w:tab w:val="clear" w:pos="1008"/>
      </w:tabs>
      <w:adjustRightInd/>
    </w:pPr>
  </w:style>
  <w:style w:type="paragraph" w:customStyle="1" w:styleId="59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kern w:val="0"/>
      <w:sz w:val="20"/>
      <w:szCs w:val="20"/>
    </w:rPr>
  </w:style>
  <w:style w:type="paragraph" w:customStyle="1" w:styleId="591">
    <w:name w:val="小标题"/>
    <w:basedOn w:val="1"/>
    <w:qFormat/>
    <w:uiPriority w:val="0"/>
    <w:pPr>
      <w:spacing w:before="120" w:beforeLines="0" w:line="360" w:lineRule="atLeast"/>
      <w:ind w:left="1134"/>
      <w:jc w:val="left"/>
      <w:textAlignment w:val="baseline"/>
    </w:pPr>
    <w:rPr>
      <w:rFonts w:eastAsia="黑体"/>
      <w:kern w:val="0"/>
      <w:szCs w:val="20"/>
    </w:rPr>
  </w:style>
  <w:style w:type="paragraph" w:customStyle="1" w:styleId="592">
    <w:name w:val="正文4"/>
    <w:basedOn w:val="1"/>
    <w:qFormat/>
    <w:uiPriority w:val="0"/>
    <w:pPr>
      <w:tabs>
        <w:tab w:val="left" w:pos="720"/>
      </w:tabs>
      <w:adjustRightInd/>
      <w:spacing w:before="60" w:beforeLines="0" w:after="60" w:afterLines="0" w:line="360" w:lineRule="auto"/>
      <w:ind w:left="575" w:leftChars="400" w:hanging="175" w:hangingChars="175"/>
    </w:pPr>
    <w:rPr>
      <w:sz w:val="24"/>
    </w:rPr>
  </w:style>
  <w:style w:type="paragraph" w:customStyle="1" w:styleId="593">
    <w:name w:val=" Char1"/>
    <w:basedOn w:val="1"/>
    <w:qFormat/>
    <w:uiPriority w:val="0"/>
    <w:rPr>
      <w:rFonts w:ascii="仿宋_GB2312" w:eastAsia="仿宋_GB2312"/>
      <w:b/>
      <w:sz w:val="32"/>
      <w:szCs w:val="32"/>
    </w:rPr>
  </w:style>
  <w:style w:type="paragraph" w:customStyle="1" w:styleId="594">
    <w:name w:val="Char Char Char Char Char Char Char Char"/>
    <w:basedOn w:val="1"/>
    <w:qFormat/>
    <w:uiPriority w:val="0"/>
    <w:pPr>
      <w:tabs>
        <w:tab w:val="left" w:pos="360"/>
      </w:tabs>
    </w:pPr>
    <w:rPr>
      <w:sz w:val="24"/>
      <w:szCs w:val="20"/>
    </w:rPr>
  </w:style>
  <w:style w:type="paragraph" w:customStyle="1" w:styleId="59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97">
    <w:name w:val="Char21"/>
    <w:basedOn w:val="1"/>
    <w:qFormat/>
    <w:uiPriority w:val="0"/>
    <w:pPr>
      <w:adjustRightInd/>
      <w:ind w:firstLine="200" w:firstLineChars="200"/>
    </w:pPr>
    <w:rPr>
      <w:rFonts w:ascii="仿宋_GB2312" w:eastAsia="仿宋_GB2312"/>
      <w:b/>
      <w:sz w:val="32"/>
      <w:szCs w:val="32"/>
    </w:rPr>
  </w:style>
  <w:style w:type="paragraph" w:customStyle="1" w:styleId="598">
    <w:name w:val="正文 项目2"/>
    <w:basedOn w:val="399"/>
    <w:qFormat/>
    <w:uiPriority w:val="0"/>
    <w:pPr>
      <w:numPr>
        <w:ilvl w:val="0"/>
        <w:numId w:val="6"/>
      </w:numPr>
      <w:tabs>
        <w:tab w:val="clear" w:pos="840"/>
      </w:tabs>
      <w:spacing w:after="0" w:afterLines="0"/>
    </w:pPr>
  </w:style>
  <w:style w:type="paragraph" w:customStyle="1" w:styleId="599">
    <w:name w:val=" Char Char Char Char Char Char Char Char"/>
    <w:basedOn w:val="1"/>
    <w:qFormat/>
    <w:uiPriority w:val="0"/>
    <w:pPr>
      <w:tabs>
        <w:tab w:val="left" w:pos="360"/>
      </w:tabs>
    </w:pPr>
    <w:rPr>
      <w:sz w:val="24"/>
      <w:szCs w:val="20"/>
    </w:rPr>
  </w:style>
  <w:style w:type="paragraph" w:customStyle="1" w:styleId="600">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601">
    <w:name w:val="font9"/>
    <w:basedOn w:val="1"/>
    <w:qFormat/>
    <w:uiPriority w:val="0"/>
    <w:pPr>
      <w:widowControl/>
      <w:adjustRightInd/>
      <w:spacing w:before="100" w:beforeLines="0" w:beforeAutospacing="1" w:after="100" w:afterLines="0" w:afterAutospacing="1"/>
      <w:jc w:val="left"/>
    </w:pPr>
    <w:rPr>
      <w:rFonts w:hint="eastAsia" w:ascii="宋体" w:hAnsi="宋体"/>
      <w:kern w:val="0"/>
      <w:sz w:val="20"/>
      <w:szCs w:val="20"/>
    </w:rPr>
  </w:style>
  <w:style w:type="paragraph" w:customStyle="1" w:styleId="60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0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04">
    <w:name w:val="Char Char11 Char Char Char"/>
    <w:basedOn w:val="1"/>
    <w:qFormat/>
    <w:uiPriority w:val="0"/>
    <w:pPr>
      <w:spacing w:line="360" w:lineRule="auto"/>
    </w:pPr>
    <w:rPr>
      <w:szCs w:val="20"/>
    </w:rPr>
  </w:style>
  <w:style w:type="paragraph" w:customStyle="1" w:styleId="605">
    <w:name w:val="Char1 Char Char Char1"/>
    <w:basedOn w:val="1"/>
    <w:qFormat/>
    <w:uiPriority w:val="0"/>
    <w:pPr>
      <w:adjustRightInd/>
      <w:ind w:firstLine="200" w:firstLineChars="200"/>
    </w:pPr>
    <w:rPr>
      <w:rFonts w:ascii="Tahoma" w:hAnsi="Tahoma"/>
      <w:sz w:val="24"/>
      <w:szCs w:val="20"/>
    </w:rPr>
  </w:style>
  <w:style w:type="paragraph" w:customStyle="1" w:styleId="606">
    <w:name w:val=" 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7">
    <w:name w:val="p0"/>
    <w:basedOn w:val="1"/>
    <w:qFormat/>
    <w:uiPriority w:val="0"/>
    <w:pPr>
      <w:widowControl/>
      <w:adjustRightInd/>
    </w:pPr>
    <w:rPr>
      <w:kern w:val="0"/>
      <w:szCs w:val="21"/>
    </w:rPr>
  </w:style>
  <w:style w:type="paragraph" w:customStyle="1" w:styleId="608">
    <w:name w:val="小节"/>
    <w:basedOn w:val="4"/>
    <w:qFormat/>
    <w:uiPriority w:val="0"/>
    <w:pPr>
      <w:numPr>
        <w:ilvl w:val="2"/>
        <w:numId w:val="0"/>
      </w:numPr>
      <w:adjustRightInd/>
      <w:spacing w:before="200" w:beforeLines="0" w:after="200" w:afterLines="0" w:line="560" w:lineRule="exact"/>
      <w:jc w:val="left"/>
    </w:pPr>
    <w:rPr>
      <w:rFonts w:ascii="宋体" w:hAnsi="宋体"/>
      <w:bCs w:val="0"/>
      <w:color w:val="000000"/>
      <w:spacing w:val="10"/>
      <w:kern w:val="24"/>
      <w:sz w:val="28"/>
      <w:lang w:val="en-US" w:eastAsia="zh-CN"/>
    </w:rPr>
  </w:style>
  <w:style w:type="paragraph" w:customStyle="1" w:styleId="60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61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61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612">
    <w:name w:val="font6"/>
    <w:basedOn w:val="1"/>
    <w:qFormat/>
    <w:uiPriority w:val="0"/>
    <w:pPr>
      <w:widowControl/>
      <w:adjustRightInd/>
      <w:spacing w:before="100" w:beforeLines="0" w:beforeAutospacing="1" w:after="100" w:afterLines="0" w:afterAutospacing="1" w:line="360" w:lineRule="auto"/>
      <w:ind w:firstLine="200" w:firstLineChars="200"/>
      <w:jc w:val="left"/>
    </w:pPr>
    <w:rPr>
      <w:rFonts w:hint="eastAsia" w:ascii="宋体" w:hAnsi="宋体"/>
      <w:kern w:val="0"/>
      <w:sz w:val="20"/>
      <w:szCs w:val="20"/>
    </w:rPr>
  </w:style>
  <w:style w:type="paragraph" w:customStyle="1" w:styleId="613">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614">
    <w:name w:val="Z5"/>
    <w:basedOn w:val="1"/>
    <w:next w:val="1"/>
    <w:qFormat/>
    <w:uiPriority w:val="0"/>
    <w:pPr>
      <w:tabs>
        <w:tab w:val="left" w:pos="2100"/>
      </w:tabs>
      <w:adjustRightInd/>
      <w:spacing w:before="240" w:beforeLines="0"/>
      <w:ind w:firstLine="200" w:firstLineChars="200"/>
      <w:outlineLvl w:val="4"/>
    </w:pPr>
    <w:rPr>
      <w:rFonts w:ascii="Tahoma" w:hAnsi="Tahoma" w:eastAsia="幼圆"/>
    </w:rPr>
  </w:style>
  <w:style w:type="paragraph" w:customStyle="1" w:styleId="615">
    <w:name w:val="bullet"/>
    <w:basedOn w:val="1"/>
    <w:qFormat/>
    <w:uiPriority w:val="0"/>
    <w:pPr>
      <w:tabs>
        <w:tab w:val="left" w:pos="840"/>
      </w:tabs>
      <w:adjustRightInd/>
      <w:ind w:left="840" w:hanging="420"/>
    </w:pPr>
  </w:style>
  <w:style w:type="paragraph" w:customStyle="1" w:styleId="616">
    <w:name w:val="正文－恩普"/>
    <w:basedOn w:val="15"/>
    <w:qFormat/>
    <w:uiPriority w:val="0"/>
    <w:pPr>
      <w:adjustRightInd/>
      <w:snapToGrid/>
      <w:spacing w:before="100" w:beforeLines="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61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61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61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styleId="620">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62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622">
    <w:name w:val="Char Char Char1 Char"/>
    <w:basedOn w:val="1"/>
    <w:qFormat/>
    <w:uiPriority w:val="0"/>
    <w:rPr>
      <w:szCs w:val="20"/>
    </w:rPr>
  </w:style>
  <w:style w:type="paragraph" w:customStyle="1" w:styleId="623">
    <w:name w:val="样式 标题 3H3 + 两端对齐"/>
    <w:basedOn w:val="4"/>
    <w:qFormat/>
    <w:uiPriority w:val="0"/>
    <w:pPr>
      <w:keepLines w:val="0"/>
      <w:numPr>
        <w:ilvl w:val="2"/>
        <w:numId w:val="0"/>
      </w:numPr>
      <w:spacing w:before="0" w:beforeLines="0" w:after="0" w:afterLines="0" w:line="240" w:lineRule="auto"/>
      <w:jc w:val="left"/>
    </w:pPr>
    <w:rPr>
      <w:rFonts w:cs="宋体"/>
      <w:sz w:val="21"/>
      <w:szCs w:val="20"/>
    </w:rPr>
  </w:style>
  <w:style w:type="paragraph" w:customStyle="1" w:styleId="62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center"/>
    </w:pPr>
    <w:rPr>
      <w:rFonts w:ascii="宋体" w:hAnsi="宋体"/>
      <w:kern w:val="0"/>
      <w:sz w:val="20"/>
      <w:szCs w:val="20"/>
    </w:rPr>
  </w:style>
  <w:style w:type="paragraph" w:customStyle="1" w:styleId="625">
    <w:name w:val="button"/>
    <w:basedOn w:val="1"/>
    <w:qFormat/>
    <w:uiPriority w:val="0"/>
    <w:pPr>
      <w:widowControl/>
      <w:spacing w:before="100" w:beforeLines="0" w:beforeAutospacing="1" w:after="100" w:afterLines="0" w:afterAutospacing="1"/>
      <w:jc w:val="left"/>
    </w:pPr>
    <w:rPr>
      <w:rFonts w:ascii="Arial Unicode MS" w:hAnsi="Arial Unicode MS"/>
      <w:color w:val="000000"/>
      <w:kern w:val="0"/>
      <w:sz w:val="24"/>
    </w:rPr>
  </w:style>
  <w:style w:type="paragraph" w:customStyle="1" w:styleId="626">
    <w:name w:val="CSS1级正文 Char"/>
    <w:basedOn w:val="22"/>
    <w:qFormat/>
    <w:uiPriority w:val="0"/>
    <w:pPr>
      <w:autoSpaceDE/>
      <w:autoSpaceDN/>
      <w:snapToGrid w:val="0"/>
      <w:ind w:firstLine="480" w:firstLineChars="200"/>
    </w:pPr>
    <w:rPr>
      <w:rFonts w:ascii="Times New Roman"/>
      <w:szCs w:val="24"/>
      <w:lang w:val="en-US" w:eastAsia="zh-CN"/>
    </w:rPr>
  </w:style>
  <w:style w:type="paragraph" w:customStyle="1" w:styleId="627">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theme" Target="theme/theme1.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58</Pages>
  <Words>27314</Words>
  <Characters>29005</Characters>
  <Lines>235</Lines>
  <Paragraphs>66</Paragraphs>
  <TotalTime>21</TotalTime>
  <ScaleCrop>false</ScaleCrop>
  <LinksUpToDate>false</LinksUpToDate>
  <CharactersWithSpaces>30095</CharactersWithSpaces>
  <Application>WPS Office_11.1.0.12116_F1E327BC-269C-435d-A152-05C5408002CA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2015-04-27T01:52:00Z</dcterms:created>
  <dc:creator>玥</dc:creator>
  <cp:lastModifiedBy>win10</cp:lastModifiedBy>
  <cp:lastPrinted>2020-09-23T02:09:00Z</cp:lastPrinted>
  <dcterms:modified xsi:type="dcterms:W3CDTF">2022-08-09T08:06:42Z</dcterms:modified>
  <dc:title>绍兴市柯桥区政府采购招标文件示范文本</dc:title>
  <cp:revision>62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2052-11.1.0.12116</vt:lpwstr>
  </property>
  <property fmtid="{D5CDD505-2E9C-101B-9397-08002B2CF9AE}" pid="3" name="ICV">
    <vt:lpwstr>009404D57274403A8E8A620BF3C5A22E</vt:lpwstr>
  </property>
  <property fmtid="{D5CDD505-2E9C-101B-9397-08002B2CF9AE}" pid="4" name="commondata">
    <vt:lpwstr>eyJoZGlkIjoiMjIyNWI0OWI3OGI5Nzc3N2ZhMDc4ODM1MTYyNWM4YTIifQ==</vt:lpwstr>
  </property>
</Properties>
</file>