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继续教育学院学生班车服务</w:t>
      </w:r>
      <w:r>
        <w:rPr>
          <w:rFonts w:hint="eastAsia" w:ascii="宋体" w:hAnsi="宋体" w:cs="宋体"/>
          <w:b/>
          <w:bCs/>
          <w:color w:val="auto"/>
          <w:sz w:val="32"/>
          <w:szCs w:val="32"/>
          <w:highlight w:val="none"/>
        </w:rPr>
        <w:t xml:space="preserve"> </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lang w:eastAsia="zh-CN"/>
        </w:rPr>
        <w:t>[2019]56540号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ZJWSBJ-JL-201924G</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lang w:eastAsia="zh-CN"/>
        </w:rPr>
        <w:t>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十</w:t>
      </w:r>
      <w:r>
        <w:rPr>
          <w:rFonts w:hint="eastAsia" w:ascii="宋体" w:hAnsi="宋体" w:cs="宋体"/>
          <w:b/>
          <w:bCs/>
          <w:color w:val="auto"/>
          <w:sz w:val="32"/>
          <w:szCs w:val="32"/>
          <w:highlight w:val="none"/>
        </w:rPr>
        <w:t>月</w:t>
      </w:r>
    </w:p>
    <w:p>
      <w:pPr>
        <w:pStyle w:val="31"/>
        <w:tabs>
          <w:tab w:val="right" w:leader="dot" w:pos="8306"/>
          <w:tab w:val="clear" w:pos="8296"/>
        </w:tabs>
        <w:ind w:left="480"/>
        <w:jc w:val="center"/>
        <w:rPr>
          <w:rFonts w:hint="eastAsia" w:ascii="Calibri" w:hAnsi="Calibri" w:eastAsia="宋体" w:cs="Times New Roman"/>
          <w:color w:val="auto"/>
          <w:kern w:val="2"/>
          <w:sz w:val="24"/>
          <w:szCs w:val="24"/>
          <w:highlight w:val="none"/>
          <w:lang w:val="en-US" w:eastAsia="zh-CN" w:bidi="ar-SA"/>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_Toc4470 </w:instrText>
      </w:r>
      <w:r>
        <w:rPr>
          <w:rFonts w:hint="eastAsia"/>
          <w:color w:val="auto"/>
          <w:sz w:val="28"/>
          <w:szCs w:val="28"/>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color w:val="auto"/>
          <w:sz w:val="28"/>
          <w:szCs w:val="28"/>
          <w:highlight w:val="none"/>
        </w:rPr>
        <w:fldChar w:fldCharType="end"/>
      </w:r>
    </w:p>
    <w:p>
      <w:pPr>
        <w:pStyle w:val="2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_Toc8514 </w:instrText>
      </w:r>
      <w:r>
        <w:rPr>
          <w:rFonts w:hint="eastAsia"/>
          <w:color w:val="auto"/>
          <w:sz w:val="28"/>
          <w:szCs w:val="28"/>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color w:val="auto"/>
          <w:sz w:val="28"/>
          <w:szCs w:val="28"/>
          <w:highlight w:val="none"/>
        </w:rPr>
        <w:fldChar w:fldCharType="end"/>
      </w:r>
    </w:p>
    <w:p>
      <w:pPr>
        <w:pStyle w:val="2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_Toc17984 </w:instrText>
      </w:r>
      <w:r>
        <w:rPr>
          <w:rFonts w:hint="eastAsia"/>
          <w:color w:val="auto"/>
          <w:sz w:val="28"/>
          <w:szCs w:val="28"/>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int="eastAsia"/>
          <w:color w:val="auto"/>
          <w:sz w:val="28"/>
          <w:szCs w:val="28"/>
          <w:highlight w:val="none"/>
        </w:rPr>
        <w:fldChar w:fldCharType="end"/>
      </w:r>
    </w:p>
    <w:p>
      <w:pPr>
        <w:pStyle w:val="2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_Toc20600 </w:instrText>
      </w:r>
      <w:r>
        <w:rPr>
          <w:rFonts w:hint="eastAsia"/>
          <w:color w:val="auto"/>
          <w:sz w:val="28"/>
          <w:szCs w:val="28"/>
          <w:highlight w:val="none"/>
        </w:rPr>
        <w:fldChar w:fldCharType="separate"/>
      </w:r>
      <w:r>
        <w:rPr>
          <w:rFonts w:hint="eastAsia" w:cs="宋体"/>
          <w:color w:val="auto"/>
          <w:sz w:val="28"/>
          <w:szCs w:val="28"/>
          <w:highlight w:val="none"/>
        </w:rPr>
        <w:t>第四章 评标办法及评分标准</w:t>
      </w:r>
      <w:bookmarkStart w:id="89" w:name="_GoBack"/>
      <w:bookmarkEnd w:id="89"/>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rFonts w:hint="eastAsia"/>
          <w:color w:val="auto"/>
          <w:sz w:val="28"/>
          <w:szCs w:val="28"/>
          <w:highlight w:val="none"/>
        </w:rPr>
        <w:fldChar w:fldCharType="end"/>
      </w:r>
    </w:p>
    <w:p>
      <w:pPr>
        <w:pStyle w:val="2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_Toc1503 </w:instrText>
      </w:r>
      <w:r>
        <w:rPr>
          <w:rFonts w:hint="eastAsia"/>
          <w:color w:val="auto"/>
          <w:sz w:val="28"/>
          <w:szCs w:val="28"/>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hint="eastAsia"/>
          <w:color w:val="auto"/>
          <w:sz w:val="28"/>
          <w:szCs w:val="28"/>
          <w:highlight w:val="none"/>
        </w:rPr>
        <w:fldChar w:fldCharType="end"/>
      </w:r>
    </w:p>
    <w:p>
      <w:pPr>
        <w:pStyle w:val="2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_Toc27145 </w:instrText>
      </w:r>
      <w:r>
        <w:rPr>
          <w:rFonts w:hint="eastAsia"/>
          <w:color w:val="auto"/>
          <w:sz w:val="28"/>
          <w:szCs w:val="28"/>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hint="eastAsia"/>
          <w:color w:val="auto"/>
          <w:sz w:val="28"/>
          <w:szCs w:val="28"/>
          <w:highlight w:val="none"/>
        </w:rPr>
        <w:fldChar w:fldCharType="end"/>
      </w:r>
    </w:p>
    <w:p>
      <w:pPr>
        <w:pStyle w:val="31"/>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3"/>
        <w:rPr>
          <w:color w:val="auto"/>
          <w:highlight w:val="none"/>
        </w:rPr>
      </w:pPr>
      <w:bookmarkStart w:id="1" w:name="_Toc4470"/>
      <w:bookmarkStart w:id="2" w:name="_Toc12653"/>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color w:val="auto"/>
          <w:highlight w:val="none"/>
          <w:lang w:eastAsia="zh-CN"/>
        </w:rPr>
        <w:t>[2019]56540号</w:t>
      </w:r>
      <w:r>
        <w:rPr>
          <w:rFonts w:hint="eastAsia"/>
          <w:color w:val="auto"/>
          <w:highlight w:val="none"/>
        </w:rPr>
        <w:t>的批准，浙江五石工程咨询有限公司受</w:t>
      </w:r>
      <w:r>
        <w:rPr>
          <w:rFonts w:hint="eastAsia"/>
          <w:color w:val="auto"/>
          <w:highlight w:val="none"/>
          <w:lang w:eastAsia="zh-CN"/>
        </w:rPr>
        <w:t>中国计量大学</w:t>
      </w:r>
      <w:r>
        <w:rPr>
          <w:rFonts w:hint="eastAsia"/>
          <w:color w:val="auto"/>
          <w:highlight w:val="none"/>
        </w:rPr>
        <w:t>委托，就</w:t>
      </w:r>
      <w:r>
        <w:rPr>
          <w:rFonts w:hint="eastAsia"/>
          <w:color w:val="auto"/>
          <w:highlight w:val="none"/>
          <w:u w:val="single"/>
          <w:lang w:eastAsia="zh-CN"/>
        </w:rPr>
        <w:t>继续教育学院学生班车服务</w:t>
      </w:r>
      <w:r>
        <w:rPr>
          <w:rFonts w:hint="eastAsia"/>
          <w:color w:val="auto"/>
          <w:highlight w:val="none"/>
        </w:rPr>
        <w:t>进行公开招标采购，欢迎国内合格的供应商前来投标。具体如下：</w:t>
      </w:r>
    </w:p>
    <w:p>
      <w:pPr>
        <w:pStyle w:val="4"/>
        <w:rPr>
          <w:rFonts w:hint="eastAsia" w:ascii="宋体" w:hAnsi="宋体" w:eastAsia="宋体" w:cs="宋体"/>
          <w:color w:val="auto"/>
          <w:sz w:val="24"/>
          <w:szCs w:val="24"/>
          <w:highlight w:val="none"/>
          <w:lang w:eastAsia="zh-CN"/>
        </w:rPr>
      </w:pPr>
      <w:bookmarkStart w:id="4" w:name="_Toc29586"/>
      <w:r>
        <w:rPr>
          <w:rStyle w:val="41"/>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ZJWSBJ-JL-201924G</w:t>
      </w:r>
    </w:p>
    <w:p>
      <w:pPr>
        <w:pStyle w:val="4"/>
        <w:rPr>
          <w:rFonts w:ascii="宋体" w:hAnsi="宋体" w:cs="宋体"/>
          <w:color w:val="auto"/>
          <w:sz w:val="24"/>
          <w:szCs w:val="24"/>
          <w:highlight w:val="none"/>
        </w:rPr>
      </w:pPr>
      <w:bookmarkStart w:id="5" w:name="_Toc11203"/>
      <w:r>
        <w:rPr>
          <w:rStyle w:val="41"/>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4"/>
        <w:rPr>
          <w:rFonts w:ascii="宋体" w:hAnsi="宋体" w:cs="宋体"/>
          <w:color w:val="auto"/>
          <w:sz w:val="24"/>
          <w:szCs w:val="24"/>
          <w:highlight w:val="none"/>
        </w:rPr>
      </w:pPr>
      <w:bookmarkStart w:id="6" w:name="_Toc5262"/>
      <w:r>
        <w:rPr>
          <w:rStyle w:val="41"/>
          <w:rFonts w:hint="eastAsia" w:ascii="宋体" w:hAnsi="宋体" w:cs="宋体"/>
          <w:b/>
          <w:color w:val="auto"/>
          <w:sz w:val="24"/>
          <w:szCs w:val="24"/>
          <w:highlight w:val="none"/>
        </w:rPr>
        <w:t>三、项目概况</w:t>
      </w:r>
      <w:bookmarkEnd w:id="6"/>
    </w:p>
    <w:tbl>
      <w:tblPr>
        <w:tblStyle w:val="38"/>
        <w:tblW w:w="9500" w:type="dxa"/>
        <w:tblInd w:w="0" w:type="dxa"/>
        <w:tblLayout w:type="fixed"/>
        <w:tblCellMar>
          <w:top w:w="15" w:type="dxa"/>
          <w:left w:w="15" w:type="dxa"/>
          <w:bottom w:w="15" w:type="dxa"/>
          <w:right w:w="15" w:type="dxa"/>
        </w:tblCellMar>
      </w:tblPr>
      <w:tblGrid>
        <w:gridCol w:w="821"/>
        <w:gridCol w:w="1455"/>
        <w:gridCol w:w="720"/>
        <w:gridCol w:w="855"/>
        <w:gridCol w:w="1335"/>
        <w:gridCol w:w="3444"/>
        <w:gridCol w:w="870"/>
      </w:tblGrid>
      <w:tr>
        <w:tblPrEx>
          <w:tblLayout w:type="fixed"/>
          <w:tblCellMar>
            <w:top w:w="15" w:type="dxa"/>
            <w:left w:w="15" w:type="dxa"/>
            <w:bottom w:w="15" w:type="dxa"/>
            <w:right w:w="15" w:type="dxa"/>
          </w:tblCellMar>
        </w:tblPrEx>
        <w:trPr>
          <w:trHeight w:val="745" w:hRule="atLeast"/>
        </w:trPr>
        <w:tc>
          <w:tcPr>
            <w:tcW w:w="8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序号</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项目名称</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单位</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预算金额(元)</w:t>
            </w:r>
          </w:p>
        </w:tc>
        <w:tc>
          <w:tcPr>
            <w:tcW w:w="344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highlight w:val="none"/>
              </w:rPr>
            </w:pPr>
            <w:r>
              <w:rPr>
                <w:rFonts w:hint="eastAsia" w:ascii="宋体" w:hAnsi="宋体" w:cs="宋体"/>
                <w:color w:val="auto"/>
                <w:kern w:val="0"/>
                <w:highlight w:val="none"/>
              </w:rPr>
              <w:t>采购需求</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rPr>
          <w:trHeight w:val="1051" w:hRule="atLeast"/>
        </w:trPr>
        <w:tc>
          <w:tcPr>
            <w:tcW w:w="8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1</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继续教育学院学生班车服务</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1</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val="en-US" w:eastAsia="zh-CN"/>
              </w:rPr>
              <w:t>项</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300000</w:t>
            </w:r>
          </w:p>
        </w:tc>
        <w:tc>
          <w:tcPr>
            <w:tcW w:w="344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highlight w:val="none"/>
                <w:lang w:val="en-US" w:eastAsia="zh-CN"/>
              </w:rPr>
            </w:pPr>
            <w:r>
              <w:rPr>
                <w:rFonts w:hint="eastAsia" w:ascii="宋体" w:hAnsi="宋体" w:cs="宋体"/>
                <w:color w:val="auto"/>
                <w:highlight w:val="none"/>
              </w:rPr>
              <w:t>53座的车7辆（一年具有3375趟跑运能力），45座车2辆（一年具有40趟跑运能力）,15座车2辆（一年具有12趟跑运能力），</w:t>
            </w:r>
            <w:r>
              <w:rPr>
                <w:rFonts w:hint="eastAsia" w:ascii="宋体" w:hAnsi="宋体" w:cs="宋体"/>
                <w:color w:val="auto"/>
                <w:highlight w:val="none"/>
                <w:lang w:val="en-US" w:eastAsia="zh-CN"/>
              </w:rPr>
              <w:t>具体详见采购需求</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p>
        </w:tc>
      </w:tr>
    </w:tbl>
    <w:p>
      <w:pPr>
        <w:pStyle w:val="4"/>
        <w:rPr>
          <w:rFonts w:ascii="宋体" w:hAnsi="宋体" w:cs="宋体"/>
          <w:color w:val="auto"/>
          <w:sz w:val="24"/>
          <w:szCs w:val="24"/>
          <w:highlight w:val="none"/>
        </w:rPr>
      </w:pPr>
      <w:bookmarkStart w:id="7" w:name="_Toc24393"/>
      <w:r>
        <w:rPr>
          <w:rStyle w:val="41"/>
          <w:rFonts w:hint="eastAsia" w:ascii="宋体" w:hAnsi="宋体" w:cs="宋体"/>
          <w:b/>
          <w:color w:val="auto"/>
          <w:sz w:val="24"/>
          <w:szCs w:val="24"/>
          <w:highlight w:val="none"/>
        </w:rPr>
        <w:t>四、投标人资格要求:</w:t>
      </w:r>
      <w:bookmarkEnd w:id="7"/>
    </w:p>
    <w:p>
      <w:pPr>
        <w:pStyle w:val="5"/>
        <w:ind w:firstLine="241" w:firstLineChars="100"/>
        <w:rPr>
          <w:rFonts w:hint="eastAsia"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5"/>
        <w:spacing w:before="75" w:beforeAutospacing="0" w:after="75" w:afterAutospacing="0" w:line="360" w:lineRule="auto"/>
        <w:ind w:firstLine="480" w:firstLineChars="200"/>
        <w:rPr>
          <w:rFonts w:hint="eastAsia"/>
          <w:color w:val="auto"/>
          <w:highlight w:val="none"/>
        </w:rPr>
      </w:pPr>
      <w:r>
        <w:rPr>
          <w:rFonts w:hint="eastAsia"/>
          <w:color w:val="auto"/>
          <w:highlight w:val="none"/>
        </w:rPr>
        <w:t xml:space="preserve">1.符合《中华人民共和国政府采购法》第二十二条第一款的规定。 </w:t>
      </w:r>
    </w:p>
    <w:p>
      <w:pPr>
        <w:pStyle w:val="35"/>
        <w:spacing w:before="75" w:beforeAutospacing="0" w:after="75" w:afterAutospacing="0" w:line="360" w:lineRule="auto"/>
        <w:ind w:firstLine="480" w:firstLineChars="200"/>
        <w:rPr>
          <w:rFonts w:hint="eastAsia"/>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5"/>
        <w:ind w:firstLine="241" w:firstLineChars="100"/>
        <w:rPr>
          <w:rFonts w:hint="eastAsia" w:ascii="宋体" w:hAnsi="宋体" w:cs="宋体"/>
          <w:color w:val="auto"/>
          <w:highlight w:val="none"/>
          <w:lang w:val="en-US" w:eastAsia="zh-CN"/>
        </w:rPr>
      </w:pPr>
      <w:r>
        <w:rPr>
          <w:rFonts w:hint="eastAsia" w:ascii="宋体" w:hAnsi="宋体" w:cs="宋体"/>
          <w:color w:val="auto"/>
          <w:highlight w:val="none"/>
        </w:rPr>
        <w:t>（二）特定资格要求：</w:t>
      </w:r>
      <w:r>
        <w:rPr>
          <w:rFonts w:hint="eastAsia" w:ascii="宋体" w:hAnsi="宋体" w:cs="宋体"/>
          <w:color w:val="auto"/>
          <w:highlight w:val="none"/>
          <w:lang w:val="en-US" w:eastAsia="zh-CN"/>
        </w:rPr>
        <w:t>无。</w:t>
      </w:r>
    </w:p>
    <w:p>
      <w:pPr>
        <w:pStyle w:val="5"/>
        <w:ind w:firstLine="241" w:firstLineChars="100"/>
        <w:rPr>
          <w:rFonts w:hint="eastAsia" w:ascii="Arial" w:hAnsi="Arial" w:cs="Arial"/>
          <w:color w:val="auto"/>
          <w:kern w:val="0"/>
          <w:szCs w:val="21"/>
          <w:highlight w:val="none"/>
          <w:lang w:eastAsia="zh-CN"/>
        </w:rPr>
      </w:pPr>
      <w:r>
        <w:rPr>
          <w:rFonts w:hint="eastAsia" w:ascii="宋体" w:hAnsi="宋体" w:cs="宋体"/>
          <w:color w:val="auto"/>
          <w:highlight w:val="none"/>
        </w:rPr>
        <w:t>（三）本项目</w:t>
      </w:r>
      <w:r>
        <w:rPr>
          <w:rFonts w:hint="eastAsia" w:ascii="宋体" w:hAnsi="宋体" w:cs="宋体"/>
          <w:color w:val="auto"/>
          <w:highlight w:val="none"/>
          <w:lang w:val="en-US" w:eastAsia="zh-CN"/>
        </w:rPr>
        <w:t>不</w:t>
      </w:r>
      <w:r>
        <w:rPr>
          <w:rFonts w:hint="eastAsia" w:ascii="宋体" w:hAnsi="宋体" w:cs="宋体"/>
          <w:color w:val="auto"/>
          <w:highlight w:val="none"/>
        </w:rPr>
        <w:t>接受联合体投标</w:t>
      </w:r>
      <w:r>
        <w:rPr>
          <w:rFonts w:hint="eastAsia" w:ascii="Arial" w:hAnsi="Arial" w:cs="Arial"/>
          <w:color w:val="auto"/>
          <w:kern w:val="0"/>
          <w:szCs w:val="21"/>
          <w:highlight w:val="none"/>
          <w:lang w:eastAsia="zh-CN"/>
        </w:rPr>
        <w:t>。</w:t>
      </w:r>
    </w:p>
    <w:p>
      <w:pPr>
        <w:pStyle w:val="35"/>
        <w:spacing w:before="75" w:beforeAutospacing="0" w:after="75" w:afterAutospacing="0" w:line="360" w:lineRule="auto"/>
        <w:rPr>
          <w:rFonts w:cs="宋体"/>
          <w:color w:val="auto"/>
          <w:highlight w:val="none"/>
        </w:rPr>
      </w:pPr>
      <w:r>
        <w:rPr>
          <w:rStyle w:val="41"/>
          <w:rFonts w:hint="eastAsia" w:cs="宋体"/>
          <w:color w:val="auto"/>
          <w:highlight w:val="none"/>
        </w:rPr>
        <w:t>五、</w:t>
      </w:r>
      <w:r>
        <w:rPr>
          <w:rStyle w:val="41"/>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1"/>
          <w:rFonts w:hint="eastAsia" w:ascii="宋体" w:hAnsi="宋体" w:cs="宋体"/>
          <w:color w:val="auto"/>
          <w:highlight w:val="none"/>
        </w:rPr>
        <w:t>1.</w:t>
      </w:r>
      <w:r>
        <w:rPr>
          <w:rStyle w:val="41"/>
          <w:rFonts w:hint="eastAsia" w:ascii="宋体" w:hAnsi="宋体" w:cs="宋体"/>
          <w:bCs/>
          <w:color w:val="auto"/>
          <w:highlight w:val="none"/>
        </w:rPr>
        <w:t>时间期限：</w:t>
      </w:r>
      <w:r>
        <w:rPr>
          <w:rFonts w:hint="eastAsia" w:ascii="宋体" w:hAnsi="宋体" w:cs="宋体"/>
          <w:color w:val="auto"/>
          <w:highlight w:val="none"/>
        </w:rPr>
        <w:t>2019-</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11</w:t>
      </w:r>
      <w:r>
        <w:rPr>
          <w:rFonts w:hint="eastAsia" w:ascii="宋体" w:hAnsi="宋体" w:cs="宋体"/>
          <w:color w:val="auto"/>
          <w:highlight w:val="none"/>
        </w:rPr>
        <w:t>至2019-</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17</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1"/>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1"/>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hint="eastAsia" w:ascii="宋体" w:hAnsi="宋体" w:cs="宋体"/>
          <w:color w:val="auto"/>
          <w:highlight w:val="none"/>
          <w:lang w:eastAsia="zh-CN"/>
        </w:rPr>
      </w:pPr>
      <w:r>
        <w:rPr>
          <w:rFonts w:hint="eastAsia" w:ascii="宋体" w:hAnsi="宋体" w:cs="宋体"/>
          <w:color w:val="auto"/>
          <w:highlight w:val="none"/>
        </w:rPr>
        <w:t>4）供应商报名登记表</w:t>
      </w:r>
      <w:r>
        <w:rPr>
          <w:rFonts w:hint="eastAsia" w:ascii="宋体" w:hAnsi="宋体" w:cs="宋体"/>
          <w:color w:val="auto"/>
          <w:highlight w:val="none"/>
          <w:lang w:eastAsia="zh-CN"/>
        </w:rPr>
        <w:t>；</w:t>
      </w:r>
    </w:p>
    <w:p>
      <w:pPr>
        <w:pStyle w:val="35"/>
        <w:spacing w:before="0" w:beforeAutospacing="0" w:after="0" w:afterAutospacing="0" w:line="360" w:lineRule="auto"/>
        <w:ind w:firstLine="480" w:firstLineChars="200"/>
        <w:rPr>
          <w:rStyle w:val="41"/>
          <w:rFonts w:cs="宋体"/>
          <w:b w:val="0"/>
          <w:color w:val="auto"/>
          <w:highlight w:val="none"/>
        </w:rPr>
      </w:pPr>
      <w:r>
        <w:rPr>
          <w:rFonts w:hint="eastAsia" w:cs="宋体"/>
          <w:color w:val="auto"/>
          <w:highlight w:val="none"/>
          <w:lang w:val="en-US" w:eastAsia="zh-CN"/>
        </w:rPr>
        <w:t>5</w:t>
      </w:r>
      <w:r>
        <w:rPr>
          <w:rFonts w:hint="eastAsia" w:cs="宋体"/>
          <w:color w:val="auto"/>
          <w:highlight w:val="none"/>
        </w:rPr>
        <w:t>）提示：</w:t>
      </w:r>
      <w:r>
        <w:rPr>
          <w:rStyle w:val="41"/>
          <w:rFonts w:hint="eastAsia" w:cs="宋体"/>
          <w:b w:val="0"/>
          <w:color w:val="auto"/>
          <w:highlight w:val="none"/>
        </w:rPr>
        <w:t>投标人未按上述方式获取的招标文件与采购代理机构发布的招标文件不一致的，由其自行承担由此产生的后果。</w:t>
      </w:r>
    </w:p>
    <w:p>
      <w:pPr>
        <w:ind w:firstLine="482"/>
        <w:rPr>
          <w:rStyle w:val="41"/>
          <w:rFonts w:ascii="宋体" w:hAnsi="宋体" w:cs="宋体"/>
          <w:bCs/>
          <w:color w:val="auto"/>
          <w:highlight w:val="none"/>
        </w:rPr>
      </w:pPr>
      <w:r>
        <w:rPr>
          <w:rStyle w:val="41"/>
          <w:rFonts w:hint="eastAsia" w:ascii="宋体" w:hAnsi="宋体" w:cs="宋体"/>
          <w:bCs/>
          <w:color w:val="auto"/>
          <w:highlight w:val="none"/>
        </w:rPr>
        <w:t>4.招标文件售价：每本</w:t>
      </w:r>
      <w:r>
        <w:rPr>
          <w:rStyle w:val="41"/>
          <w:rFonts w:hint="eastAsia" w:ascii="宋体" w:hAnsi="宋体" w:cs="宋体"/>
          <w:bCs/>
          <w:color w:val="auto"/>
          <w:highlight w:val="none"/>
          <w:lang w:val="en-US" w:eastAsia="zh-CN"/>
        </w:rPr>
        <w:t>3</w:t>
      </w:r>
      <w:r>
        <w:rPr>
          <w:rStyle w:val="41"/>
          <w:rFonts w:hint="eastAsia" w:ascii="宋体" w:hAnsi="宋体" w:cs="宋体"/>
          <w:bCs/>
          <w:color w:val="auto"/>
          <w:highlight w:val="none"/>
        </w:rPr>
        <w:t xml:space="preserve">00元（售后不退） </w:t>
      </w:r>
    </w:p>
    <w:p>
      <w:pPr>
        <w:pStyle w:val="35"/>
        <w:spacing w:before="75" w:beforeAutospacing="0" w:after="75" w:afterAutospacing="0" w:line="360" w:lineRule="auto"/>
        <w:rPr>
          <w:rStyle w:val="41"/>
          <w:rFonts w:cs="宋体"/>
          <w:color w:val="auto"/>
          <w:highlight w:val="none"/>
        </w:rPr>
      </w:pPr>
      <w:r>
        <w:rPr>
          <w:rStyle w:val="41"/>
          <w:rFonts w:hint="eastAsia" w:cs="宋体"/>
          <w:color w:val="auto"/>
          <w:highlight w:val="none"/>
        </w:rPr>
        <w:t>六、本项目招标文件公告期限为：</w:t>
      </w:r>
      <w:r>
        <w:rPr>
          <w:rStyle w:val="41"/>
          <w:rFonts w:hint="eastAsia" w:cs="宋体"/>
          <w:b w:val="0"/>
          <w:bCs/>
          <w:color w:val="auto"/>
          <w:highlight w:val="none"/>
        </w:rPr>
        <w:t>本公告发布之日起五个工作日。</w:t>
      </w:r>
    </w:p>
    <w:p>
      <w:pPr>
        <w:pStyle w:val="4"/>
        <w:rPr>
          <w:rFonts w:ascii="宋体" w:hAnsi="宋体" w:cs="宋体"/>
          <w:color w:val="auto"/>
          <w:kern w:val="0"/>
          <w:sz w:val="24"/>
          <w:szCs w:val="24"/>
          <w:highlight w:val="none"/>
          <w:shd w:val="clear" w:color="auto" w:fill="FFFFFF"/>
          <w:lang w:bidi="ar"/>
        </w:rPr>
      </w:pPr>
      <w:bookmarkStart w:id="8" w:name="_Toc1080"/>
      <w:r>
        <w:rPr>
          <w:rStyle w:val="41"/>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8"/>
    </w:p>
    <w:p>
      <w:pPr>
        <w:pStyle w:val="4"/>
        <w:ind w:firstLine="482" w:firstLineChars="200"/>
        <w:rPr>
          <w:rFonts w:ascii="宋体" w:hAnsi="宋体" w:cs="宋体"/>
          <w:b w:val="0"/>
          <w:bCs w:val="0"/>
          <w:color w:val="auto"/>
          <w:sz w:val="24"/>
          <w:szCs w:val="24"/>
          <w:highlight w:val="none"/>
        </w:rPr>
      </w:pPr>
      <w:bookmarkStart w:id="9" w:name="_Toc2231"/>
      <w:r>
        <w:rPr>
          <w:rStyle w:val="41"/>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r>
        <w:rPr>
          <w:rFonts w:hint="eastAsia" w:ascii="宋体" w:hAnsi="宋体" w:cs="宋体"/>
          <w:b w:val="0"/>
          <w:bCs w:val="0"/>
          <w:color w:val="auto"/>
          <w:sz w:val="24"/>
          <w:szCs w:val="24"/>
          <w:highlight w:val="none"/>
          <w:lang w:eastAsia="zh-CN"/>
        </w:rPr>
        <w:t>2019-10-31</w:t>
      </w:r>
      <w:r>
        <w:rPr>
          <w:rFonts w:hint="eastAsia" w:ascii="宋体" w:hAnsi="宋体" w:cs="宋体"/>
          <w:b w:val="0"/>
          <w:bCs w:val="0"/>
          <w:color w:val="auto"/>
          <w:sz w:val="24"/>
          <w:szCs w:val="24"/>
          <w:highlight w:val="none"/>
        </w:rPr>
        <w:t xml:space="preserve"> </w:t>
      </w:r>
      <w:bookmarkEnd w:id="9"/>
      <w:r>
        <w:rPr>
          <w:rFonts w:hint="eastAsia" w:ascii="宋体" w:hAnsi="宋体" w:cs="宋体"/>
          <w:b w:val="0"/>
          <w:bCs w:val="0"/>
          <w:color w:val="auto"/>
          <w:sz w:val="24"/>
          <w:szCs w:val="24"/>
          <w:highlight w:val="none"/>
          <w:lang w:eastAsia="zh-CN"/>
        </w:rPr>
        <w:t>09:30:00</w:t>
      </w:r>
      <w:r>
        <w:rPr>
          <w:rFonts w:hint="eastAsia" w:ascii="宋体" w:hAnsi="宋体" w:cs="宋体"/>
          <w:b w:val="0"/>
          <w:bCs w:val="0"/>
          <w:color w:val="auto"/>
          <w:sz w:val="24"/>
          <w:szCs w:val="24"/>
          <w:highlight w:val="none"/>
        </w:rPr>
        <w:t xml:space="preserve"> </w:t>
      </w:r>
    </w:p>
    <w:p>
      <w:pPr>
        <w:pStyle w:val="4"/>
        <w:ind w:firstLine="482" w:firstLineChars="200"/>
        <w:rPr>
          <w:rStyle w:val="41"/>
          <w:rFonts w:ascii="宋体" w:hAnsi="宋体" w:cs="宋体"/>
          <w:b w:val="0"/>
          <w:bCs w:val="0"/>
          <w:color w:val="auto"/>
          <w:sz w:val="24"/>
          <w:szCs w:val="24"/>
          <w:highlight w:val="none"/>
        </w:rPr>
      </w:pPr>
      <w:bookmarkStart w:id="10" w:name="_Toc22852"/>
      <w:r>
        <w:rPr>
          <w:rStyle w:val="41"/>
          <w:rFonts w:hint="eastAsia" w:ascii="宋体" w:hAnsi="宋体" w:cs="宋体"/>
          <w:b/>
          <w:color w:val="auto"/>
          <w:sz w:val="24"/>
          <w:szCs w:val="24"/>
          <w:highlight w:val="none"/>
        </w:rPr>
        <w:t>2.开标时间：</w:t>
      </w:r>
      <w:r>
        <w:rPr>
          <w:rStyle w:val="41"/>
          <w:rFonts w:hint="eastAsia" w:ascii="宋体" w:hAnsi="宋体" w:cs="宋体"/>
          <w:b w:val="0"/>
          <w:bCs w:val="0"/>
          <w:color w:val="auto"/>
          <w:sz w:val="24"/>
          <w:szCs w:val="24"/>
          <w:highlight w:val="none"/>
        </w:rPr>
        <w:t xml:space="preserve"> </w:t>
      </w:r>
      <w:r>
        <w:rPr>
          <w:rStyle w:val="41"/>
          <w:rFonts w:hint="eastAsia" w:ascii="宋体" w:hAnsi="宋体" w:cs="宋体"/>
          <w:b w:val="0"/>
          <w:bCs w:val="0"/>
          <w:color w:val="auto"/>
          <w:sz w:val="24"/>
          <w:szCs w:val="24"/>
          <w:highlight w:val="none"/>
          <w:lang w:eastAsia="zh-CN"/>
        </w:rPr>
        <w:t>2019-10-31</w:t>
      </w:r>
      <w:r>
        <w:rPr>
          <w:rStyle w:val="41"/>
          <w:rFonts w:hint="eastAsia" w:ascii="宋体" w:hAnsi="宋体" w:cs="宋体"/>
          <w:b w:val="0"/>
          <w:bCs w:val="0"/>
          <w:color w:val="auto"/>
          <w:sz w:val="24"/>
          <w:szCs w:val="24"/>
          <w:highlight w:val="none"/>
        </w:rPr>
        <w:t xml:space="preserve"> </w:t>
      </w:r>
      <w:bookmarkEnd w:id="10"/>
      <w:r>
        <w:rPr>
          <w:rStyle w:val="41"/>
          <w:rFonts w:hint="eastAsia" w:ascii="宋体" w:hAnsi="宋体" w:cs="宋体"/>
          <w:b w:val="0"/>
          <w:bCs w:val="0"/>
          <w:color w:val="auto"/>
          <w:sz w:val="24"/>
          <w:szCs w:val="24"/>
          <w:highlight w:val="none"/>
          <w:lang w:eastAsia="zh-CN"/>
        </w:rPr>
        <w:t>09:30:00</w:t>
      </w:r>
      <w:r>
        <w:rPr>
          <w:rStyle w:val="41"/>
          <w:rFonts w:hint="eastAsia" w:ascii="宋体" w:hAnsi="宋体" w:cs="宋体"/>
          <w:b w:val="0"/>
          <w:bCs w:val="0"/>
          <w:color w:val="auto"/>
          <w:sz w:val="24"/>
          <w:szCs w:val="24"/>
          <w:highlight w:val="none"/>
        </w:rPr>
        <w:t xml:space="preserve"> </w:t>
      </w:r>
    </w:p>
    <w:p>
      <w:pPr>
        <w:pStyle w:val="4"/>
        <w:ind w:firstLine="482" w:firstLineChars="200"/>
        <w:rPr>
          <w:rStyle w:val="41"/>
          <w:rFonts w:ascii="宋体" w:hAnsi="宋体" w:cs="宋体"/>
          <w:b w:val="0"/>
          <w:bCs w:val="0"/>
          <w:color w:val="auto"/>
          <w:sz w:val="24"/>
          <w:szCs w:val="24"/>
          <w:highlight w:val="none"/>
        </w:rPr>
      </w:pPr>
      <w:bookmarkStart w:id="11" w:name="_Toc26036"/>
      <w:r>
        <w:rPr>
          <w:rStyle w:val="41"/>
          <w:rFonts w:hint="eastAsia" w:ascii="宋体" w:hAnsi="宋体" w:cs="宋体"/>
          <w:b/>
          <w:color w:val="auto"/>
          <w:sz w:val="24"/>
          <w:szCs w:val="24"/>
          <w:highlight w:val="none"/>
        </w:rPr>
        <w:t>3.开标地点：</w:t>
      </w:r>
      <w:bookmarkEnd w:id="11"/>
      <w:r>
        <w:rPr>
          <w:rStyle w:val="41"/>
          <w:rFonts w:hint="eastAsia" w:ascii="宋体" w:hAnsi="宋体" w:cs="宋体"/>
          <w:b w:val="0"/>
          <w:bCs w:val="0"/>
          <w:color w:val="auto"/>
          <w:sz w:val="24"/>
          <w:szCs w:val="24"/>
          <w:highlight w:val="none"/>
          <w:lang w:eastAsia="zh-CN"/>
        </w:rPr>
        <w:t>中国计量大学明德北楼B305室</w:t>
      </w:r>
      <w:r>
        <w:rPr>
          <w:rStyle w:val="41"/>
          <w:rFonts w:hint="eastAsia" w:ascii="宋体" w:hAnsi="宋体" w:cs="宋体"/>
          <w:b w:val="0"/>
          <w:bCs w:val="0"/>
          <w:color w:val="auto"/>
          <w:sz w:val="24"/>
          <w:szCs w:val="24"/>
          <w:highlight w:val="none"/>
        </w:rPr>
        <w:t xml:space="preserve"> </w:t>
      </w:r>
    </w:p>
    <w:p>
      <w:pPr>
        <w:pStyle w:val="4"/>
        <w:rPr>
          <w:rFonts w:ascii="宋体" w:hAnsi="宋体" w:cs="宋体"/>
          <w:color w:val="auto"/>
          <w:sz w:val="24"/>
          <w:szCs w:val="24"/>
          <w:highlight w:val="none"/>
        </w:rPr>
      </w:pPr>
      <w:bookmarkStart w:id="12" w:name="_Toc15758"/>
      <w:r>
        <w:rPr>
          <w:rStyle w:val="41"/>
          <w:rFonts w:hint="eastAsia" w:ascii="宋体" w:hAnsi="宋体" w:cs="宋体"/>
          <w:b/>
          <w:color w:val="auto"/>
          <w:sz w:val="24"/>
          <w:szCs w:val="24"/>
          <w:highlight w:val="none"/>
        </w:rPr>
        <w:t>八、投标保证金：无</w:t>
      </w:r>
      <w:bookmarkEnd w:id="12"/>
    </w:p>
    <w:p>
      <w:pPr>
        <w:pStyle w:val="4"/>
        <w:rPr>
          <w:rFonts w:ascii="宋体" w:hAnsi="宋体" w:cs="宋体"/>
          <w:color w:val="auto"/>
          <w:sz w:val="24"/>
          <w:szCs w:val="24"/>
          <w:highlight w:val="none"/>
        </w:rPr>
      </w:pPr>
      <w:bookmarkStart w:id="13" w:name="_Toc6191"/>
      <w:r>
        <w:rPr>
          <w:rStyle w:val="41"/>
          <w:rFonts w:hint="eastAsia" w:ascii="宋体" w:hAnsi="宋体" w:cs="宋体"/>
          <w:b/>
          <w:color w:val="auto"/>
          <w:sz w:val="24"/>
          <w:szCs w:val="24"/>
          <w:highlight w:val="none"/>
        </w:rPr>
        <w:t>九、其他事项：</w:t>
      </w:r>
      <w:bookmarkEnd w:id="13"/>
    </w:p>
    <w:p>
      <w:pPr>
        <w:pStyle w:val="35"/>
        <w:spacing w:before="0" w:beforeAutospacing="0" w:after="0" w:afterAutospacing="0" w:line="360" w:lineRule="auto"/>
        <w:ind w:firstLine="334"/>
        <w:rPr>
          <w:rStyle w:val="41"/>
          <w:rFonts w:cs="宋体"/>
          <w:b w:val="0"/>
          <w:color w:val="auto"/>
          <w:kern w:val="2"/>
          <w:highlight w:val="none"/>
        </w:rPr>
      </w:pPr>
      <w:r>
        <w:rPr>
          <w:rStyle w:val="41"/>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5"/>
        <w:spacing w:before="0" w:beforeAutospacing="0" w:after="0" w:afterAutospacing="0" w:line="360" w:lineRule="auto"/>
        <w:ind w:firstLine="334"/>
        <w:rPr>
          <w:rStyle w:val="41"/>
          <w:rFonts w:cs="宋体"/>
          <w:b w:val="0"/>
          <w:color w:val="auto"/>
          <w:highlight w:val="none"/>
        </w:rPr>
      </w:pPr>
      <w:r>
        <w:rPr>
          <w:rStyle w:val="41"/>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1"/>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4"/>
        <w:rPr>
          <w:rFonts w:ascii="宋体" w:hAnsi="宋体" w:cs="宋体"/>
          <w:color w:val="auto"/>
          <w:sz w:val="24"/>
          <w:szCs w:val="24"/>
          <w:highlight w:val="none"/>
        </w:rPr>
      </w:pPr>
      <w:bookmarkStart w:id="14" w:name="_Toc5293"/>
      <w:r>
        <w:rPr>
          <w:rStyle w:val="41"/>
          <w:rFonts w:hint="eastAsia" w:ascii="宋体" w:hAnsi="宋体" w:cs="宋体"/>
          <w:b/>
          <w:color w:val="auto"/>
          <w:sz w:val="24"/>
          <w:szCs w:val="24"/>
          <w:highlight w:val="none"/>
        </w:rPr>
        <w:t>十、联系方式</w:t>
      </w:r>
      <w:bookmarkEnd w:id="14"/>
    </w:p>
    <w:p>
      <w:pPr>
        <w:ind w:firstLine="480"/>
        <w:rPr>
          <w:rFonts w:hint="eastAsia" w:ascii="宋体" w:hAnsi="宋体" w:cs="宋体"/>
          <w:color w:val="auto"/>
          <w:highlight w:val="none"/>
        </w:rPr>
      </w:pPr>
      <w:r>
        <w:rPr>
          <w:rFonts w:hint="eastAsia" w:ascii="宋体" w:hAnsi="宋体" w:cs="宋体"/>
          <w:color w:val="auto"/>
          <w:highlight w:val="none"/>
        </w:rPr>
        <w:t>1.采购人名称：中国计量大学</w:t>
      </w:r>
    </w:p>
    <w:p>
      <w:pPr>
        <w:ind w:firstLine="480"/>
        <w:rPr>
          <w:rFonts w:hint="eastAsia" w:ascii="宋体" w:hAnsi="宋体" w:cs="宋体"/>
          <w:color w:val="auto"/>
          <w:highlight w:val="none"/>
        </w:rPr>
      </w:pPr>
      <w:r>
        <w:rPr>
          <w:rFonts w:hint="eastAsia" w:ascii="宋体" w:hAnsi="宋体" w:cs="宋体"/>
          <w:color w:val="auto"/>
          <w:highlight w:val="none"/>
        </w:rPr>
        <w:t>联系人：王老师</w:t>
      </w:r>
    </w:p>
    <w:p>
      <w:pPr>
        <w:ind w:firstLine="480"/>
        <w:rPr>
          <w:rFonts w:hint="eastAsia" w:ascii="宋体" w:hAnsi="宋体" w:cs="宋体"/>
          <w:color w:val="auto"/>
          <w:highlight w:val="none"/>
        </w:rPr>
      </w:pPr>
      <w:r>
        <w:rPr>
          <w:rFonts w:hint="eastAsia" w:ascii="宋体" w:hAnsi="宋体" w:cs="宋体"/>
          <w:color w:val="auto"/>
          <w:highlight w:val="none"/>
        </w:rPr>
        <w:t>联系电话：0571-86836053</w:t>
      </w:r>
    </w:p>
    <w:p>
      <w:pPr>
        <w:ind w:firstLine="480"/>
        <w:rPr>
          <w:rFonts w:hint="eastAsia"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hint="eastAsia" w:ascii="宋体" w:hAnsi="宋体" w:cs="宋体"/>
          <w:color w:val="auto"/>
          <w:highlight w:val="none"/>
        </w:rPr>
      </w:pPr>
      <w:r>
        <w:rPr>
          <w:rFonts w:hint="eastAsia" w:ascii="宋体" w:hAnsi="宋体" w:cs="宋体"/>
          <w:color w:val="auto"/>
          <w:highlight w:val="none"/>
        </w:rPr>
        <w:t>采购项目联系人：</w:t>
      </w:r>
      <w:r>
        <w:rPr>
          <w:rFonts w:hint="eastAsia" w:ascii="宋体" w:hAnsi="宋体" w:cs="宋体"/>
          <w:color w:val="auto"/>
          <w:highlight w:val="none"/>
          <w:lang w:val="en-US" w:eastAsia="zh-CN"/>
        </w:rPr>
        <w:t>刘</w:t>
      </w:r>
      <w:r>
        <w:rPr>
          <w:rFonts w:hint="eastAsia" w:ascii="宋体" w:hAnsi="宋体" w:cs="宋体"/>
          <w:color w:val="auto"/>
          <w:highlight w:val="none"/>
        </w:rPr>
        <w:t>老师</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联系电话：0571-868</w:t>
      </w:r>
      <w:r>
        <w:rPr>
          <w:rFonts w:hint="eastAsia" w:ascii="宋体" w:hAnsi="宋体" w:cs="宋体"/>
          <w:color w:val="auto"/>
          <w:highlight w:val="none"/>
          <w:lang w:val="en-US" w:eastAsia="zh-CN"/>
        </w:rPr>
        <w:t>75601</w:t>
      </w:r>
    </w:p>
    <w:p>
      <w:pPr>
        <w:ind w:firstLine="480"/>
        <w:rPr>
          <w:rFonts w:hint="eastAsia"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hint="eastAsia" w:ascii="宋体" w:hAnsi="宋体" w:cs="宋体"/>
          <w:color w:val="auto"/>
          <w:highlight w:val="none"/>
        </w:rPr>
      </w:pPr>
      <w:r>
        <w:rPr>
          <w:rFonts w:hint="eastAsia" w:ascii="宋体" w:hAnsi="宋体" w:cs="宋体"/>
          <w:color w:val="auto"/>
          <w:highlight w:val="none"/>
        </w:rPr>
        <w:t>项目联系人：陈工</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联系电话：0571-86098397</w:t>
      </w:r>
      <w:r>
        <w:rPr>
          <w:rFonts w:hint="eastAsia" w:ascii="宋体" w:hAnsi="宋体" w:cs="宋体"/>
          <w:color w:val="auto"/>
          <w:highlight w:val="none"/>
          <w:lang w:val="en-US" w:eastAsia="zh-CN"/>
        </w:rPr>
        <w:t>-808</w:t>
      </w:r>
    </w:p>
    <w:p>
      <w:pPr>
        <w:ind w:firstLine="480"/>
        <w:rPr>
          <w:rFonts w:hint="eastAsia" w:ascii="宋体" w:hAnsi="宋体" w:cs="宋体"/>
          <w:color w:val="auto"/>
          <w:highlight w:val="none"/>
        </w:rPr>
      </w:pPr>
      <w:r>
        <w:rPr>
          <w:rFonts w:hint="eastAsia" w:ascii="宋体" w:hAnsi="宋体" w:cs="宋体"/>
          <w:color w:val="auto"/>
          <w:highlight w:val="none"/>
        </w:rPr>
        <w:t>报名联系人：梁工</w:t>
      </w:r>
    </w:p>
    <w:p>
      <w:pPr>
        <w:ind w:firstLine="480"/>
        <w:rPr>
          <w:rFonts w:hint="eastAsia" w:ascii="宋体" w:hAnsi="宋体" w:cs="宋体"/>
          <w:color w:val="auto"/>
          <w:highlight w:val="none"/>
        </w:rPr>
      </w:pPr>
      <w:r>
        <w:rPr>
          <w:rFonts w:hint="eastAsia" w:ascii="宋体" w:hAnsi="宋体" w:cs="宋体"/>
          <w:color w:val="auto"/>
          <w:highlight w:val="none"/>
        </w:rPr>
        <w:t>联系电话：17746806483</w:t>
      </w:r>
    </w:p>
    <w:p>
      <w:pPr>
        <w:ind w:firstLine="480"/>
        <w:rPr>
          <w:rFonts w:hint="eastAsia" w:ascii="宋体" w:hAnsi="宋体" w:cs="宋体"/>
          <w:color w:val="auto"/>
          <w:highlight w:val="none"/>
        </w:rPr>
      </w:pPr>
      <w:r>
        <w:rPr>
          <w:rFonts w:hint="eastAsia" w:ascii="宋体" w:hAnsi="宋体" w:cs="宋体"/>
          <w:color w:val="auto"/>
          <w:highlight w:val="none"/>
        </w:rPr>
        <w:t>邮箱：2810140286@qq.com</w:t>
      </w:r>
    </w:p>
    <w:p>
      <w:pPr>
        <w:ind w:firstLine="480"/>
        <w:rPr>
          <w:rFonts w:hint="eastAsia" w:ascii="宋体" w:hAnsi="宋体" w:cs="宋体"/>
          <w:color w:val="auto"/>
          <w:highlight w:val="none"/>
        </w:rPr>
      </w:pPr>
      <w:r>
        <w:rPr>
          <w:rFonts w:hint="eastAsia" w:ascii="宋体" w:hAnsi="宋体" w:cs="宋体"/>
          <w:color w:val="auto"/>
          <w:highlight w:val="none"/>
        </w:rPr>
        <w:t>质疑联系人及电话：毛工/</w:t>
      </w:r>
      <w:r>
        <w:rPr>
          <w:rFonts w:hint="eastAsia" w:ascii="宋体" w:hAnsi="宋体" w:cs="宋体"/>
          <w:color w:val="auto"/>
          <w:highlight w:val="none"/>
          <w:lang w:val="en-US" w:eastAsia="zh-CN"/>
        </w:rPr>
        <w:t>0571-</w:t>
      </w:r>
      <w:r>
        <w:rPr>
          <w:rFonts w:hint="eastAsia" w:ascii="宋体" w:hAnsi="宋体" w:cs="宋体"/>
          <w:color w:val="auto"/>
          <w:highlight w:val="none"/>
        </w:rPr>
        <w:t>87919156</w:t>
      </w:r>
    </w:p>
    <w:p>
      <w:pPr>
        <w:ind w:firstLine="480"/>
        <w:rPr>
          <w:rFonts w:hint="eastAsia"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hint="eastAsia"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hint="eastAsia"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hint="eastAsia" w:ascii="宋体" w:hAnsi="宋体" w:cs="宋体"/>
          <w:color w:val="auto"/>
          <w:highlight w:val="none"/>
        </w:rPr>
      </w:pPr>
      <w:r>
        <w:rPr>
          <w:rFonts w:hint="eastAsia" w:ascii="宋体" w:hAnsi="宋体" w:cs="宋体"/>
          <w:color w:val="auto"/>
          <w:highlight w:val="none"/>
        </w:rPr>
        <w:t>联系人：倪老师</w:t>
      </w:r>
    </w:p>
    <w:p>
      <w:pPr>
        <w:ind w:firstLine="480"/>
        <w:rPr>
          <w:rFonts w:hint="eastAsia" w:ascii="宋体" w:hAnsi="宋体" w:cs="宋体"/>
          <w:color w:val="auto"/>
          <w:highlight w:val="none"/>
        </w:rPr>
      </w:pPr>
      <w:r>
        <w:rPr>
          <w:rFonts w:hint="eastAsia" w:ascii="宋体" w:hAnsi="宋体" w:cs="宋体"/>
          <w:color w:val="auto"/>
          <w:highlight w:val="none"/>
        </w:rPr>
        <w:t>监督投诉电话：0571-87057615</w:t>
      </w:r>
    </w:p>
    <w:p>
      <w:pPr>
        <w:ind w:firstLine="480"/>
        <w:rPr>
          <w:rFonts w:hint="eastAsia"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w:t>
      </w:r>
      <w:r>
        <w:rPr>
          <w:rFonts w:hint="eastAsia" w:ascii="宋体" w:hAnsi="宋体" w:cs="宋体"/>
          <w:color w:val="auto"/>
          <w:kern w:val="0"/>
          <w:szCs w:val="32"/>
          <w:highlight w:val="none"/>
          <w:lang w:val="en-US" w:eastAsia="zh-CN"/>
        </w:rPr>
        <w:t>10</w:t>
      </w:r>
      <w:r>
        <w:rPr>
          <w:rFonts w:hint="eastAsia" w:ascii="宋体" w:hAnsi="宋体" w:cs="宋体"/>
          <w:color w:val="auto"/>
          <w:kern w:val="0"/>
          <w:szCs w:val="32"/>
          <w:highlight w:val="none"/>
        </w:rPr>
        <w:t>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color w:val="auto"/>
          <w:highlight w:val="none"/>
        </w:rPr>
      </w:pPr>
      <w:bookmarkStart w:id="15" w:name="_Toc8514"/>
      <w:r>
        <w:rPr>
          <w:rFonts w:hint="eastAsia" w:cs="宋体"/>
          <w:color w:val="auto"/>
          <w:highlight w:val="none"/>
        </w:rPr>
        <w:t>第二章 项目需求说明</w:t>
      </w:r>
      <w:bookmarkEnd w:id="15"/>
    </w:p>
    <w:p>
      <w:pPr>
        <w:pStyle w:val="4"/>
        <w:bidi w:val="0"/>
        <w:rPr>
          <w:rFonts w:hint="eastAsia"/>
          <w:color w:val="auto"/>
          <w:sz w:val="24"/>
          <w:szCs w:val="28"/>
          <w:highlight w:val="none"/>
        </w:rPr>
      </w:pPr>
      <w:bookmarkStart w:id="16" w:name="_Toc450840085"/>
      <w:r>
        <w:rPr>
          <w:rFonts w:hint="eastAsia"/>
          <w:color w:val="auto"/>
          <w:sz w:val="24"/>
          <w:szCs w:val="28"/>
          <w:highlight w:val="none"/>
        </w:rPr>
        <w:t>一、项目情况</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中国计量大学继续教育学院的部分学生住宿在新联公寓，上课在学校，往返公寓和学校之间，由学院提供班车。</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路线1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新联公寓→中国计量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西校区（北门）→中国计量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东校区</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路线2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东校区（南大门）→中国计量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西校区东大门（靠近体育馆）→新联公寓</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用途：中国计量大学继续教育学院学生上课使用</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本项目中标方服务期：20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日。</w:t>
      </w:r>
    </w:p>
    <w:p>
      <w:pPr>
        <w:tabs>
          <w:tab w:val="left" w:pos="1455"/>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备注：路线仅仅作为参考，届时会根据实际情况调整，单趟距离控制在</w:t>
      </w:r>
      <w:r>
        <w:rPr>
          <w:rFonts w:hint="eastAsia" w:ascii="宋体" w:hAnsi="宋体" w:cs="宋体"/>
          <w:color w:val="auto"/>
          <w:sz w:val="24"/>
          <w:szCs w:val="24"/>
          <w:highlight w:val="none"/>
          <w:lang w:val="en-US" w:eastAsia="zh-CN"/>
        </w:rPr>
        <w:t>5公里以内（以百度地图显示的距离为准）。</w:t>
      </w:r>
    </w:p>
    <w:p>
      <w:pPr>
        <w:pStyle w:val="4"/>
        <w:bidi w:val="0"/>
        <w:rPr>
          <w:rFonts w:hint="eastAsia"/>
          <w:color w:val="auto"/>
          <w:highlight w:val="none"/>
        </w:rPr>
      </w:pPr>
      <w:r>
        <w:rPr>
          <w:rFonts w:hint="eastAsia"/>
          <w:color w:val="auto"/>
          <w:highlight w:val="none"/>
        </w:rPr>
        <w:t>二、车辆要求：</w:t>
      </w:r>
    </w:p>
    <w:p>
      <w:pPr>
        <w:tabs>
          <w:tab w:val="left" w:pos="1455"/>
        </w:tabs>
        <w:spacing w:line="360" w:lineRule="auto"/>
        <w:ind w:firstLine="480" w:firstLineChars="200"/>
        <w:rPr>
          <w:rFonts w:ascii="宋体" w:hAnsi="宋体" w:cs="宋体"/>
          <w:color w:val="auto"/>
          <w:sz w:val="24"/>
          <w:szCs w:val="24"/>
          <w:highlight w:val="none"/>
        </w:rPr>
      </w:pPr>
      <w:bookmarkStart w:id="17" w:name="OLE_LINK1"/>
      <w:r>
        <w:rPr>
          <w:rFonts w:hint="eastAsia" w:ascii="宋体" w:hAnsi="宋体" w:cs="宋体"/>
          <w:color w:val="auto"/>
          <w:sz w:val="24"/>
          <w:szCs w:val="24"/>
          <w:highlight w:val="none"/>
        </w:rPr>
        <w:t>（一）数量要求：</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投标方需提供5</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座的车</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辆（一年具有</w:t>
      </w:r>
      <w:r>
        <w:rPr>
          <w:rFonts w:hint="eastAsia" w:ascii="宋体" w:hAnsi="宋体" w:cs="宋体"/>
          <w:color w:val="auto"/>
          <w:sz w:val="24"/>
          <w:szCs w:val="24"/>
          <w:highlight w:val="none"/>
          <w:lang w:val="en-US" w:eastAsia="zh-CN"/>
        </w:rPr>
        <w:t>3375</w:t>
      </w:r>
      <w:r>
        <w:rPr>
          <w:rFonts w:hint="eastAsia" w:ascii="宋体" w:hAnsi="宋体" w:cs="宋体"/>
          <w:color w:val="auto"/>
          <w:sz w:val="24"/>
          <w:szCs w:val="24"/>
          <w:highlight w:val="none"/>
        </w:rPr>
        <w:t>趟跑运能力），4</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座车2辆（一年具有</w:t>
      </w:r>
      <w:r>
        <w:rPr>
          <w:rFonts w:hint="eastAsia" w:ascii="宋体" w:hAnsi="宋体" w:cs="宋体"/>
          <w:color w:val="auto"/>
          <w:sz w:val="24"/>
          <w:szCs w:val="24"/>
          <w:highlight w:val="none"/>
          <w:lang w:val="en-US" w:eastAsia="zh-CN"/>
        </w:rPr>
        <w:t>40</w:t>
      </w:r>
      <w:r>
        <w:rPr>
          <w:rFonts w:hint="eastAsia" w:ascii="宋体" w:hAnsi="宋体" w:cs="宋体"/>
          <w:color w:val="auto"/>
          <w:sz w:val="24"/>
          <w:szCs w:val="24"/>
          <w:highlight w:val="none"/>
        </w:rPr>
        <w:t>趟跑运能力）,1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座车</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辆（一年具有</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趟跑运能力），共计</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辆参与班车客运服务。投标公司需具有同一时间点运载</w:t>
      </w:r>
      <w:r>
        <w:rPr>
          <w:rFonts w:hint="eastAsia" w:ascii="宋体" w:hAnsi="宋体" w:cs="宋体"/>
          <w:color w:val="auto"/>
          <w:sz w:val="24"/>
          <w:szCs w:val="24"/>
          <w:highlight w:val="none"/>
          <w:lang w:val="en-US" w:eastAsia="zh-CN"/>
        </w:rPr>
        <w:t>450</w:t>
      </w:r>
      <w:r>
        <w:rPr>
          <w:rFonts w:hint="eastAsia" w:ascii="宋体" w:hAnsi="宋体" w:cs="宋体"/>
          <w:color w:val="auto"/>
          <w:sz w:val="24"/>
          <w:szCs w:val="24"/>
          <w:highlight w:val="none"/>
        </w:rPr>
        <w:t>个学生</w:t>
      </w:r>
      <w:r>
        <w:rPr>
          <w:rFonts w:hint="eastAsia" w:ascii="宋体" w:hAnsi="宋体" w:cs="宋体"/>
          <w:color w:val="auto"/>
          <w:sz w:val="24"/>
          <w:szCs w:val="24"/>
          <w:highlight w:val="none"/>
          <w:lang w:val="en-US" w:eastAsia="zh-CN"/>
        </w:rPr>
        <w:t>,30分钟内运载900个学生的</w:t>
      </w:r>
      <w:r>
        <w:rPr>
          <w:rFonts w:hint="eastAsia" w:ascii="宋体" w:hAnsi="宋体" w:cs="宋体"/>
          <w:color w:val="auto"/>
          <w:sz w:val="24"/>
          <w:szCs w:val="24"/>
          <w:highlight w:val="none"/>
        </w:rPr>
        <w:t>的能力。</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（二）车辆要求</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车辆须为本地牌照车辆；保险必须按规定参保司乘人员及第三责任险投保金额为</w:t>
      </w:r>
      <w:r>
        <w:rPr>
          <w:rFonts w:hint="eastAsia" w:ascii="宋体" w:hAnsi="宋体" w:cs="宋体"/>
          <w:color w:val="auto"/>
          <w:sz w:val="24"/>
          <w:szCs w:val="24"/>
          <w:highlight w:val="none"/>
          <w:u w:val="single"/>
          <w:lang w:val="en-US" w:eastAsia="zh-CN"/>
        </w:rPr>
        <w:t>100</w:t>
      </w:r>
      <w:r>
        <w:rPr>
          <w:rFonts w:hint="eastAsia" w:ascii="宋体" w:hAnsi="宋体" w:cs="宋体"/>
          <w:color w:val="auto"/>
          <w:sz w:val="24"/>
          <w:szCs w:val="24"/>
          <w:highlight w:val="none"/>
          <w:u w:val="single"/>
        </w:rPr>
        <w:t>万元</w:t>
      </w:r>
      <w:r>
        <w:rPr>
          <w:rFonts w:hint="eastAsia" w:ascii="宋体" w:hAnsi="宋体" w:cs="宋体"/>
          <w:color w:val="auto"/>
          <w:sz w:val="24"/>
          <w:szCs w:val="24"/>
          <w:highlight w:val="none"/>
        </w:rPr>
        <w:t>/辆以上；承运人旅客责任保险金额为</w:t>
      </w:r>
      <w:r>
        <w:rPr>
          <w:rFonts w:hint="eastAsia" w:ascii="宋体" w:hAnsi="宋体" w:cs="宋体"/>
          <w:color w:val="auto"/>
          <w:sz w:val="24"/>
          <w:szCs w:val="24"/>
          <w:highlight w:val="none"/>
          <w:u w:val="single"/>
          <w:lang w:val="en-US" w:eastAsia="zh-CN"/>
        </w:rPr>
        <w:t>50-100</w:t>
      </w:r>
      <w:r>
        <w:rPr>
          <w:rFonts w:hint="eastAsia" w:ascii="宋体" w:hAnsi="宋体" w:cs="宋体"/>
          <w:color w:val="auto"/>
          <w:sz w:val="24"/>
          <w:szCs w:val="24"/>
          <w:highlight w:val="none"/>
          <w:u w:val="single"/>
        </w:rPr>
        <w:t>万元</w:t>
      </w:r>
      <w:r>
        <w:rPr>
          <w:rFonts w:hint="eastAsia" w:ascii="宋体" w:hAnsi="宋体" w:cs="宋体"/>
          <w:color w:val="auto"/>
          <w:sz w:val="24"/>
          <w:szCs w:val="24"/>
          <w:highlight w:val="none"/>
        </w:rPr>
        <w:t>/人以上，使招标人的乘客一旦发生意外时得到保障，并提供保单复印件。</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提供营运车辆，使用年限1年以上5年以下（以行驶证登记日期至本项目开标之日计）的车辆。具备道路营运证，符合国家规定安全环保等要求，尾气排放符合欧III或以上标准。</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车辆具体要求必须具备：</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1)车身外观整洁，无锈斑、脱漆、凹凸、松动、开裂、变形； </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2)门饰条饰板完好，无脱落；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3）车灯功能完好，灯罩无破损；</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4）排气管无松动；车轮毂罩齐全、完好；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5)车辆前后号牌完整、无遮盖、无油污；</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6)车门开闭自如、锁止可靠；全车座椅无松动、靠背升降自如扶手完好；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7)车窗玻璃完整、清洁，玻璃升降装置功能完好；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8)车厢内整洁、卫生、无杂物、无异味；顶棚及车门内侧洁净、无积垢；</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9)头座套、窗帘，保持清洁、卫生、完好，即脏即换（1一2月更换一次）；</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10)车内设备，如空调、暖气等效果良好；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11)车辆刹车、避震效果良好（车辆需具备缓速器）钢板弹簧车架无异响；</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12)车辆配备灭火装置及车载安全锤,须有效完好；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13）车队对车辆实行每月一次例行 “安检”，发现问题，牵涉到安全的，如刹车、方向、灯光等将要求及时修复，未能及时修复需安排相同或相近的车辆代营运，并做好安检记录，以便采购方随时抽检。</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服务车辆车型需统一品牌，同一颜色。</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因用车单位的车辆年检、故障维修和校车特殊任务等原因要临时调用乙方单位的备用车做机动班车时，应该无条件按合同价第一时间保障采购方单位的车辆使用，乙方须确保准时安全的同时，所调用的车辆必须与要求的车况相同相近。</w:t>
      </w:r>
    </w:p>
    <w:p>
      <w:pPr>
        <w:tabs>
          <w:tab w:val="left" w:pos="1455"/>
        </w:tabs>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行车线路要求：采购人要求的行车路线为</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路线1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新联公寓→中国计量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西校区（北门）→中国计量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东校区</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路线2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东校区（南大门）→中国计量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西校区东大门（靠近体育馆）→新联公寓</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具体运行时间、停靠地点、行驶路线，采购人根据需要确定，投标人执行。根据运行需要，采购人有权调整班车的数量、时间、线路及站点</w:t>
      </w:r>
      <w:r>
        <w:rPr>
          <w:rFonts w:hint="eastAsia" w:ascii="宋体" w:hAnsi="宋体" w:cs="宋体"/>
          <w:color w:val="auto"/>
          <w:sz w:val="24"/>
          <w:szCs w:val="24"/>
          <w:highlight w:val="none"/>
          <w:lang w:eastAsia="zh-CN"/>
        </w:rPr>
        <w:t>，单趟距离控制在</w:t>
      </w:r>
      <w:r>
        <w:rPr>
          <w:rFonts w:hint="eastAsia" w:ascii="宋体" w:hAnsi="宋体" w:cs="宋体"/>
          <w:color w:val="auto"/>
          <w:sz w:val="24"/>
          <w:szCs w:val="24"/>
          <w:highlight w:val="none"/>
          <w:lang w:val="en-US" w:eastAsia="zh-CN"/>
        </w:rPr>
        <w:t>5公里以内的，价格不变</w:t>
      </w:r>
      <w:r>
        <w:rPr>
          <w:rFonts w:hint="eastAsia" w:ascii="宋体" w:hAnsi="宋体" w:cs="宋体"/>
          <w:color w:val="auto"/>
          <w:sz w:val="24"/>
          <w:szCs w:val="24"/>
          <w:highlight w:val="none"/>
        </w:rPr>
        <w:t>。</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因班车运行期间的油价涨跌与采购方无关（油价涨跌自负赢亏）。</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临时性用车和其它零星业务的用车，由采购人通知中标方，中标方</w:t>
      </w:r>
      <w:r>
        <w:rPr>
          <w:rFonts w:hint="eastAsia" w:ascii="宋体" w:hAnsi="宋体" w:cs="宋体"/>
          <w:color w:val="auto"/>
          <w:sz w:val="24"/>
          <w:szCs w:val="24"/>
          <w:highlight w:val="none"/>
          <w:lang w:eastAsia="zh-CN"/>
        </w:rPr>
        <w:t>必须</w:t>
      </w:r>
      <w:r>
        <w:rPr>
          <w:rFonts w:hint="eastAsia" w:ascii="宋体" w:hAnsi="宋体" w:cs="宋体"/>
          <w:color w:val="auto"/>
          <w:sz w:val="24"/>
          <w:szCs w:val="24"/>
          <w:highlight w:val="none"/>
        </w:rPr>
        <w:t>满足采购人的要求，无条件保障用车，车辆费用不分高峰期和平时用车期。费用都按招标、投标约定结算，确保30分钟内能安排临时用车安排。</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（三）排放要求：</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为确保服务车辆运输安全性，投标人提供的服务车辆应为全承载式客车，技术等级达到一级技术等级，排放标准达到欧III。</w:t>
      </w:r>
    </w:p>
    <w:p>
      <w:pPr>
        <w:pStyle w:val="4"/>
        <w:bidi w:val="0"/>
        <w:rPr>
          <w:rFonts w:hint="eastAsia"/>
          <w:color w:val="auto"/>
          <w:highlight w:val="none"/>
        </w:rPr>
      </w:pPr>
      <w:r>
        <w:rPr>
          <w:rFonts w:hint="eastAsia"/>
          <w:color w:val="auto"/>
          <w:highlight w:val="none"/>
        </w:rPr>
        <w:t>三、服务要求</w:t>
      </w:r>
    </w:p>
    <w:p>
      <w:pPr>
        <w:tabs>
          <w:tab w:val="left" w:pos="14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投标方中标后，要遵守中国计量大学继续教育学院学生班车情况执行。</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（一）中标后的委派驾驶员必须服从学院办公室的统一安排调度。</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（二）按计划规定的车辆班次、发站时间、运行线路及临时停靠、站点进行运作。</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中标方在向采购人提供服务的过程中，须始终贯穿安全、准时准点的要点要素，如遇车辆故障、交通事故等原因导致不能准点到达，中标方应及时通知学院并及时调配车辆，确保学生准时上课、实习、考试及到校内的各项学生活动。中标方由此造成误车5分钟及以上的，每发生一次则扣减当日包车款的5%，同时承担学院学生自行换乘车的费用。中标方提前5分钟到达始发站等候，准时发车。班车司机要提高服务质量，改进服务态度，礼貌文明待客。在任何情况下不准与学生争吵，不准在开车途中吸烟、接听手机。违反本规定，经批评教育不改的，可更换司机或辞退车辆。</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严格遵守交通法，安全行驶。行驶途中严格按照交通法规、做到不冲红灯、不随意变更车道，不超速（特别是绕城高速随意变更车道及超速），屡教不改的调离工作岗位，中标方必须加强对驾驶员安全法的教育。</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（五）无论班车发生何种责任事故（全责、次责、无责及驾驶员责任引起的乘车人员损伤）一切费用（包括垫付费用）均由中标方负责。</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（六）用相对固定车辆、固定人员的运行方式，提供舒适的乘车环境，驾驶员要及时搞好班车的卫生工作。夏季室外温度28度及以上开启冷气，冬季室外温度10度及以下开暖空调。</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提供服务的驾驶员必须是与中标人签订劳动合同的合法劳务人员，要求具有五年（含）以上驾龄的A照驾驶员（需提供个人简历），必须安全行车3年或以上且无重大安全事故和严重交通违规记录，服务态度好，敬业守时，人品好，自觉服从采购人管理，身体健康，无嗜酒和赌博等不良习气，对车辆异常状况具有鉴别的能力；中标人须支付驾驶员工资等一切福利待遇以及按劳动法规定为其购买社会保险。</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bookmarkStart w:id="18" w:name="OLE_LINK2"/>
      <w:r>
        <w:rPr>
          <w:rFonts w:hint="eastAsia" w:ascii="宋体" w:hAnsi="宋体" w:cs="宋体"/>
          <w:color w:val="auto"/>
          <w:sz w:val="24"/>
          <w:szCs w:val="24"/>
          <w:highlight w:val="none"/>
        </w:rPr>
        <w:t>中标方若在</w:t>
      </w:r>
      <w:r>
        <w:rPr>
          <w:rFonts w:hint="eastAsia" w:ascii="宋体" w:hAnsi="宋体" w:cs="宋体"/>
          <w:color w:val="auto"/>
          <w:sz w:val="24"/>
          <w:szCs w:val="24"/>
          <w:highlight w:val="none"/>
          <w:lang w:eastAsia="zh-CN"/>
        </w:rPr>
        <w:t>合同期</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highlight w:val="none"/>
          <w:lang w:eastAsia="zh-CN"/>
        </w:rPr>
        <w:t>累计有</w:t>
      </w:r>
      <w:r>
        <w:rPr>
          <w:rFonts w:hint="eastAsia" w:ascii="宋体" w:hAnsi="宋体" w:cs="宋体"/>
          <w:color w:val="auto"/>
          <w:sz w:val="24"/>
          <w:szCs w:val="24"/>
          <w:highlight w:val="none"/>
          <w:lang w:val="en-US" w:eastAsia="zh-CN"/>
        </w:rPr>
        <w:t>3次或3次以上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未按学院规定的数量、时间、地点等要求提供车辆，学院有权解除合同。</w:t>
      </w:r>
    </w:p>
    <w:bookmarkEnd w:id="17"/>
    <w:bookmarkEnd w:id="18"/>
    <w:p>
      <w:pPr>
        <w:pStyle w:val="4"/>
        <w:bidi w:val="0"/>
        <w:rPr>
          <w:rFonts w:hint="eastAsia"/>
          <w:color w:val="auto"/>
          <w:highlight w:val="none"/>
        </w:rPr>
      </w:pPr>
      <w:r>
        <w:rPr>
          <w:rFonts w:hint="eastAsia"/>
          <w:color w:val="auto"/>
          <w:highlight w:val="none"/>
        </w:rPr>
        <w:t>四、报价要求</w:t>
      </w:r>
    </w:p>
    <w:p>
      <w:pPr>
        <w:tabs>
          <w:tab w:val="left" w:pos="14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本次投标</w:t>
      </w:r>
      <w:r>
        <w:rPr>
          <w:rFonts w:hint="eastAsia" w:ascii="宋体" w:hAnsi="宋体" w:cs="宋体"/>
          <w:color w:val="auto"/>
          <w:sz w:val="24"/>
          <w:szCs w:val="24"/>
          <w:highlight w:val="none"/>
          <w:lang w:eastAsia="zh-CN"/>
        </w:rPr>
        <w:t>合同期内的用车，</w:t>
      </w:r>
      <w:r>
        <w:rPr>
          <w:rFonts w:hint="eastAsia" w:ascii="宋体" w:hAnsi="宋体" w:cs="宋体"/>
          <w:color w:val="auto"/>
          <w:sz w:val="24"/>
          <w:szCs w:val="24"/>
          <w:highlight w:val="none"/>
        </w:rPr>
        <w:t>预算</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万，最终结算以实际跑运趟数计算，最高不超过</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万。根据预估计学院一年需要的车次需求为:</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座车路线跑运次数为</w:t>
      </w:r>
      <w:r>
        <w:rPr>
          <w:rFonts w:hint="eastAsia" w:ascii="宋体" w:hAnsi="宋体" w:cs="宋体"/>
          <w:color w:val="auto"/>
          <w:sz w:val="24"/>
          <w:szCs w:val="24"/>
          <w:highlight w:val="none"/>
          <w:lang w:val="en-US" w:eastAsia="zh-CN"/>
        </w:rPr>
        <w:t>3375</w:t>
      </w:r>
      <w:r>
        <w:rPr>
          <w:rFonts w:hint="eastAsia" w:ascii="宋体" w:hAnsi="宋体" w:cs="宋体"/>
          <w:color w:val="auto"/>
          <w:sz w:val="24"/>
          <w:szCs w:val="24"/>
          <w:highlight w:val="none"/>
        </w:rPr>
        <w:t>趟</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座车路线跑运次数为</w:t>
      </w:r>
      <w:r>
        <w:rPr>
          <w:rFonts w:hint="eastAsia" w:ascii="宋体" w:hAnsi="宋体" w:cs="宋体"/>
          <w:color w:val="auto"/>
          <w:sz w:val="24"/>
          <w:szCs w:val="24"/>
          <w:highlight w:val="none"/>
          <w:lang w:val="en-US" w:eastAsia="zh-CN"/>
        </w:rPr>
        <w:t>40</w:t>
      </w:r>
      <w:r>
        <w:rPr>
          <w:rFonts w:hint="eastAsia" w:ascii="宋体" w:hAnsi="宋体" w:cs="宋体"/>
          <w:color w:val="auto"/>
          <w:sz w:val="24"/>
          <w:szCs w:val="24"/>
          <w:highlight w:val="none"/>
        </w:rPr>
        <w:t>趟</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b/>
          <w:color w:val="auto"/>
          <w:sz w:val="24"/>
          <w:highlight w:val="none"/>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座车路线跑运次数为</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趟。投标单位的报价在满足学院的如上用车需求情况下，总价不得超</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万。</w:t>
      </w:r>
    </w:p>
    <w:p>
      <w:pPr>
        <w:pStyle w:val="4"/>
        <w:bidi w:val="0"/>
        <w:rPr>
          <w:color w:val="auto"/>
          <w:highlight w:val="none"/>
        </w:rPr>
      </w:pPr>
      <w:r>
        <w:rPr>
          <w:rFonts w:hint="eastAsia"/>
          <w:color w:val="auto"/>
          <w:highlight w:val="none"/>
        </w:rPr>
        <w:t>五、投标报价明细表</w:t>
      </w:r>
    </w:p>
    <w:tbl>
      <w:tblPr>
        <w:tblStyle w:val="38"/>
        <w:tblpPr w:leftFromText="180" w:rightFromText="180" w:vertAnchor="text" w:horzAnchor="page" w:tblpX="1905" w:tblpY="108"/>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229"/>
        <w:gridCol w:w="1169"/>
        <w:gridCol w:w="1644"/>
        <w:gridCol w:w="1307"/>
        <w:gridCol w:w="117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序号</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车类型</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路线</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计量单位</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rPr>
              <w:t>单价（元）</w:t>
            </w:r>
            <w:r>
              <w:rPr>
                <w:rFonts w:hint="eastAsia" w:ascii="Times New Roman" w:hAnsi="Times New Roman"/>
                <w:b/>
                <w:color w:val="auto"/>
                <w:sz w:val="24"/>
                <w:highlight w:val="none"/>
                <w:lang w:val="en-US" w:eastAsia="zh-CN"/>
              </w:rPr>
              <w:t>B</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预估计趟数</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rPr>
              <w:t>预估总价（元）</w:t>
            </w:r>
            <w:r>
              <w:rPr>
                <w:rFonts w:hint="eastAsia" w:ascii="Times New Roman" w:hAnsi="Times New Roman"/>
                <w:b/>
                <w:color w:val="auto"/>
                <w:sz w:val="24"/>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ascii="Times New Roman" w:hAnsi="Times New Roman"/>
                <w:b/>
                <w:color w:val="auto"/>
                <w:sz w:val="24"/>
                <w:highlight w:val="none"/>
              </w:rPr>
              <w:t>1</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ascii="Times New Roman" w:hAnsi="Times New Roman"/>
                <w:b/>
                <w:color w:val="auto"/>
                <w:sz w:val="24"/>
                <w:highlight w:val="none"/>
              </w:rPr>
              <w:t>5</w:t>
            </w:r>
            <w:r>
              <w:rPr>
                <w:rFonts w:hint="eastAsia" w:ascii="Times New Roman" w:hAnsi="Times New Roman"/>
                <w:b/>
                <w:color w:val="auto"/>
                <w:sz w:val="24"/>
                <w:highlight w:val="none"/>
                <w:lang w:val="en-US" w:eastAsia="zh-CN"/>
              </w:rPr>
              <w:t>3</w:t>
            </w:r>
            <w:r>
              <w:rPr>
                <w:rFonts w:hint="eastAsia" w:ascii="Times New Roman" w:hAnsi="Times New Roman"/>
                <w:b/>
                <w:color w:val="auto"/>
                <w:sz w:val="24"/>
                <w:highlight w:val="none"/>
              </w:rPr>
              <w:t>座</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val="en-US" w:eastAsia="zh-CN"/>
              </w:rPr>
            </w:pPr>
            <w:r>
              <w:rPr>
                <w:rFonts w:hint="eastAsia" w:ascii="Times New Roman" w:hAnsi="Times New Roman"/>
                <w:b/>
                <w:color w:val="auto"/>
                <w:sz w:val="24"/>
                <w:highlight w:val="none"/>
              </w:rPr>
              <w:t>路线</w:t>
            </w: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2</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一辆车单趟</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color w:val="auto"/>
                <w:sz w:val="24"/>
                <w:highlight w:val="none"/>
                <w:lang w:val="en-US" w:eastAsia="zh-CN"/>
              </w:rPr>
            </w:pPr>
            <w:r>
              <w:rPr>
                <w:rFonts w:hint="eastAsia" w:ascii="Times New Roman" w:hAnsi="Times New Roman" w:eastAsia="宋体"/>
                <w:b/>
                <w:color w:val="auto"/>
                <w:sz w:val="24"/>
                <w:highlight w:val="none"/>
                <w:lang w:val="en-US" w:eastAsia="zh-CN"/>
              </w:rPr>
              <w:t>3375</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lang w:val="en-US" w:eastAsia="zh-CN"/>
              </w:rPr>
              <w:t>2</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ascii="Times New Roman" w:hAnsi="Times New Roman"/>
                <w:b/>
                <w:color w:val="auto"/>
                <w:sz w:val="24"/>
                <w:highlight w:val="none"/>
              </w:rPr>
              <w:t>4</w:t>
            </w:r>
            <w:r>
              <w:rPr>
                <w:rFonts w:hint="eastAsia" w:ascii="Times New Roman" w:hAnsi="Times New Roman"/>
                <w:b/>
                <w:color w:val="auto"/>
                <w:sz w:val="24"/>
                <w:highlight w:val="none"/>
                <w:lang w:val="en-US" w:eastAsia="zh-CN"/>
              </w:rPr>
              <w:t>5</w:t>
            </w:r>
            <w:r>
              <w:rPr>
                <w:rFonts w:hint="eastAsia" w:ascii="Times New Roman" w:hAnsi="Times New Roman"/>
                <w:b/>
                <w:color w:val="auto"/>
                <w:sz w:val="24"/>
                <w:highlight w:val="none"/>
              </w:rPr>
              <w:t>座</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val="en-US" w:eastAsia="zh-CN"/>
              </w:rPr>
            </w:pPr>
            <w:r>
              <w:rPr>
                <w:rFonts w:hint="eastAsia" w:ascii="Times New Roman" w:hAnsi="Times New Roman"/>
                <w:b/>
                <w:color w:val="auto"/>
                <w:sz w:val="24"/>
                <w:highlight w:val="none"/>
              </w:rPr>
              <w:t>路线</w:t>
            </w: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2</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一辆车单趟</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color w:val="auto"/>
                <w:sz w:val="24"/>
                <w:highlight w:val="none"/>
                <w:lang w:val="en-US" w:eastAsia="zh-CN"/>
              </w:rPr>
            </w:pPr>
            <w:r>
              <w:rPr>
                <w:rFonts w:hint="eastAsia" w:ascii="Times New Roman" w:hAnsi="Times New Roman" w:eastAsia="宋体"/>
                <w:b/>
                <w:color w:val="auto"/>
                <w:sz w:val="24"/>
                <w:highlight w:val="none"/>
                <w:lang w:val="en-US" w:eastAsia="zh-CN"/>
              </w:rPr>
              <w:t>40</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lang w:val="en-US" w:eastAsia="zh-CN"/>
              </w:rPr>
              <w:t>3</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5</w:t>
            </w:r>
            <w:r>
              <w:rPr>
                <w:rFonts w:hint="eastAsia" w:ascii="Times New Roman" w:hAnsi="Times New Roman"/>
                <w:b/>
                <w:color w:val="auto"/>
                <w:sz w:val="24"/>
                <w:highlight w:val="none"/>
              </w:rPr>
              <w:t>座</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val="en-US" w:eastAsia="zh-CN"/>
              </w:rPr>
            </w:pPr>
            <w:r>
              <w:rPr>
                <w:rFonts w:hint="eastAsia" w:ascii="Times New Roman" w:hAnsi="Times New Roman"/>
                <w:b/>
                <w:color w:val="auto"/>
                <w:sz w:val="24"/>
                <w:highlight w:val="none"/>
              </w:rPr>
              <w:t>路线</w:t>
            </w: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2</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一辆车单趟</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color w:val="auto"/>
                <w:sz w:val="24"/>
                <w:highlight w:val="none"/>
                <w:lang w:val="en-US" w:eastAsia="zh-CN"/>
              </w:rPr>
            </w:pPr>
            <w:r>
              <w:rPr>
                <w:rFonts w:hint="eastAsia" w:ascii="Times New Roman" w:hAnsi="Times New Roman" w:eastAsia="宋体"/>
                <w:b/>
                <w:color w:val="auto"/>
                <w:sz w:val="24"/>
                <w:highlight w:val="none"/>
                <w:lang w:val="en-US" w:eastAsia="zh-CN"/>
              </w:rPr>
              <w:t>12</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4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rPr>
              <w:t>预算总额（元）</w:t>
            </w:r>
            <w:r>
              <w:rPr>
                <w:rFonts w:hint="eastAsia" w:ascii="Times New Roman" w:hAnsi="Times New Roman"/>
                <w:b/>
                <w:color w:val="auto"/>
                <w:sz w:val="24"/>
                <w:highlight w:val="none"/>
                <w:lang w:val="en-US" w:eastAsia="zh-CN"/>
              </w:rPr>
              <w:t>A</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b/>
                <w:color w:val="auto"/>
                <w:sz w:val="24"/>
                <w:highlight w:val="none"/>
              </w:rPr>
            </w:pPr>
          </w:p>
        </w:tc>
      </w:tr>
    </w:tbl>
    <w:p>
      <w:pPr>
        <w:bidi w:val="0"/>
        <w:rPr>
          <w:rFonts w:hint="eastAsia"/>
          <w:color w:val="auto"/>
          <w:highlight w:val="none"/>
        </w:rPr>
      </w:pPr>
      <w:r>
        <w:rPr>
          <w:rFonts w:hint="eastAsia"/>
          <w:color w:val="auto"/>
          <w:highlight w:val="none"/>
        </w:rPr>
        <w:t>备注</w:t>
      </w:r>
      <w:r>
        <w:rPr>
          <w:rFonts w:hint="eastAsia"/>
          <w:color w:val="auto"/>
          <w:highlight w:val="none"/>
          <w:lang w:val="en-US" w:eastAsia="zh-CN"/>
        </w:rPr>
        <w:t xml:space="preserve"> </w:t>
      </w:r>
      <w:r>
        <w:rPr>
          <w:rFonts w:hint="eastAsia"/>
          <w:color w:val="auto"/>
          <w:highlight w:val="none"/>
        </w:rPr>
        <w:t>：1</w:t>
      </w:r>
      <w:r>
        <w:rPr>
          <w:rFonts w:hint="eastAsia"/>
          <w:color w:val="auto"/>
          <w:highlight w:val="none"/>
          <w:lang w:val="en-US" w:eastAsia="zh-CN"/>
        </w:rPr>
        <w:t>.预算总额</w:t>
      </w:r>
      <w:r>
        <w:rPr>
          <w:rFonts w:hint="eastAsia"/>
          <w:color w:val="auto"/>
          <w:highlight w:val="none"/>
        </w:rPr>
        <w:t>A为序号1-</w:t>
      </w:r>
      <w:r>
        <w:rPr>
          <w:rFonts w:hint="eastAsia"/>
          <w:color w:val="auto"/>
          <w:highlight w:val="none"/>
          <w:lang w:val="en-US" w:eastAsia="zh-CN"/>
        </w:rPr>
        <w:t>3</w:t>
      </w:r>
      <w:r>
        <w:rPr>
          <w:rFonts w:hint="eastAsia"/>
          <w:color w:val="auto"/>
          <w:highlight w:val="none"/>
        </w:rPr>
        <w:t>的报价之和,A为用作最终报价的价格。A=</w:t>
      </w:r>
      <w:r>
        <w:rPr>
          <w:rFonts w:hint="eastAsia"/>
          <w:color w:val="auto"/>
          <w:highlight w:val="none"/>
          <w:lang w:val="en-US" w:eastAsia="zh-CN"/>
        </w:rPr>
        <w:t>C</w:t>
      </w:r>
      <w:r>
        <w:rPr>
          <w:rFonts w:hint="eastAsia"/>
          <w:color w:val="auto"/>
          <w:highlight w:val="none"/>
        </w:rPr>
        <w:t>1+</w:t>
      </w:r>
      <w:r>
        <w:rPr>
          <w:rFonts w:hint="eastAsia"/>
          <w:color w:val="auto"/>
          <w:highlight w:val="none"/>
          <w:lang w:val="en-US" w:eastAsia="zh-CN"/>
        </w:rPr>
        <w:t>C</w:t>
      </w:r>
      <w:r>
        <w:rPr>
          <w:rFonts w:hint="eastAsia"/>
          <w:color w:val="auto"/>
          <w:highlight w:val="none"/>
        </w:rPr>
        <w:t>2+</w:t>
      </w:r>
      <w:r>
        <w:rPr>
          <w:rFonts w:hint="eastAsia"/>
          <w:color w:val="auto"/>
          <w:highlight w:val="none"/>
          <w:lang w:val="en-US" w:eastAsia="zh-CN"/>
        </w:rPr>
        <w:t>C</w:t>
      </w:r>
      <w:r>
        <w:rPr>
          <w:rFonts w:hint="eastAsia"/>
          <w:color w:val="auto"/>
          <w:highlight w:val="none"/>
        </w:rPr>
        <w:t>3。</w:t>
      </w:r>
    </w:p>
    <w:p>
      <w:pPr>
        <w:bidi w:val="0"/>
        <w:rPr>
          <w:rFonts w:hint="eastAsia"/>
          <w:color w:val="auto"/>
          <w:highlight w:val="none"/>
        </w:rPr>
      </w:pPr>
      <w:r>
        <w:rPr>
          <w:rFonts w:hint="eastAsia"/>
          <w:color w:val="auto"/>
          <w:highlight w:val="none"/>
          <w:lang w:val="en-US" w:eastAsia="zh-CN"/>
        </w:rPr>
        <w:t>2.C</w:t>
      </w:r>
      <w:r>
        <w:rPr>
          <w:rFonts w:hint="eastAsia"/>
          <w:color w:val="auto"/>
          <w:highlight w:val="none"/>
        </w:rPr>
        <w:t>1=</w:t>
      </w:r>
      <w:r>
        <w:rPr>
          <w:rFonts w:hint="eastAsia"/>
          <w:color w:val="auto"/>
          <w:highlight w:val="none"/>
          <w:lang w:val="en-US" w:eastAsia="zh-CN"/>
        </w:rPr>
        <w:t>B</w:t>
      </w:r>
      <w:r>
        <w:rPr>
          <w:rFonts w:hint="eastAsia"/>
          <w:color w:val="auto"/>
          <w:highlight w:val="none"/>
        </w:rPr>
        <w:t>1*</w:t>
      </w:r>
      <w:r>
        <w:rPr>
          <w:rFonts w:hint="eastAsia"/>
          <w:color w:val="auto"/>
          <w:highlight w:val="none"/>
          <w:lang w:val="en-US" w:eastAsia="zh-CN"/>
        </w:rPr>
        <w:t>3375</w:t>
      </w:r>
      <w:r>
        <w:rPr>
          <w:rFonts w:hint="eastAsia"/>
          <w:color w:val="auto"/>
          <w:highlight w:val="none"/>
          <w:lang w:eastAsia="zh-CN"/>
        </w:rPr>
        <w:t>；</w:t>
      </w:r>
      <w:r>
        <w:rPr>
          <w:rFonts w:hint="eastAsia"/>
          <w:color w:val="auto"/>
          <w:highlight w:val="none"/>
        </w:rPr>
        <w:t xml:space="preserve">  </w:t>
      </w:r>
      <w:r>
        <w:rPr>
          <w:rFonts w:hint="eastAsia"/>
          <w:color w:val="auto"/>
          <w:highlight w:val="none"/>
          <w:lang w:val="en-US" w:eastAsia="zh-CN"/>
        </w:rPr>
        <w:t>C</w:t>
      </w:r>
      <w:r>
        <w:rPr>
          <w:rFonts w:hint="eastAsia"/>
          <w:color w:val="auto"/>
          <w:highlight w:val="none"/>
        </w:rPr>
        <w:t>2=</w:t>
      </w:r>
      <w:r>
        <w:rPr>
          <w:rFonts w:hint="eastAsia"/>
          <w:color w:val="auto"/>
          <w:highlight w:val="none"/>
          <w:lang w:val="en-US" w:eastAsia="zh-CN"/>
        </w:rPr>
        <w:t>B</w:t>
      </w:r>
      <w:r>
        <w:rPr>
          <w:rFonts w:hint="eastAsia"/>
          <w:color w:val="auto"/>
          <w:highlight w:val="none"/>
        </w:rPr>
        <w:t>2*</w:t>
      </w:r>
      <w:r>
        <w:rPr>
          <w:rFonts w:hint="eastAsia"/>
          <w:color w:val="auto"/>
          <w:highlight w:val="none"/>
          <w:lang w:val="en-US" w:eastAsia="zh-CN"/>
        </w:rPr>
        <w:t>40</w:t>
      </w:r>
      <w:r>
        <w:rPr>
          <w:rFonts w:hint="eastAsia"/>
          <w:color w:val="auto"/>
          <w:highlight w:val="none"/>
          <w:lang w:eastAsia="zh-CN"/>
        </w:rPr>
        <w:t>；</w:t>
      </w:r>
      <w:r>
        <w:rPr>
          <w:rFonts w:hint="eastAsia"/>
          <w:color w:val="auto"/>
          <w:highlight w:val="none"/>
        </w:rPr>
        <w:t xml:space="preserve">  </w:t>
      </w:r>
      <w:r>
        <w:rPr>
          <w:rFonts w:hint="eastAsia"/>
          <w:color w:val="auto"/>
          <w:highlight w:val="none"/>
          <w:lang w:val="en-US" w:eastAsia="zh-CN"/>
        </w:rPr>
        <w:t>C</w:t>
      </w:r>
      <w:r>
        <w:rPr>
          <w:rFonts w:hint="eastAsia"/>
          <w:color w:val="auto"/>
          <w:highlight w:val="none"/>
        </w:rPr>
        <w:t>3=</w:t>
      </w:r>
      <w:r>
        <w:rPr>
          <w:rFonts w:hint="eastAsia"/>
          <w:color w:val="auto"/>
          <w:highlight w:val="none"/>
          <w:lang w:val="en-US" w:eastAsia="zh-CN"/>
        </w:rPr>
        <w:t>B</w:t>
      </w:r>
      <w:r>
        <w:rPr>
          <w:rFonts w:hint="eastAsia"/>
          <w:color w:val="auto"/>
          <w:highlight w:val="none"/>
        </w:rPr>
        <w:t>3*</w:t>
      </w:r>
      <w:r>
        <w:rPr>
          <w:rFonts w:hint="eastAsia"/>
          <w:color w:val="auto"/>
          <w:highlight w:val="none"/>
          <w:lang w:val="en-US" w:eastAsia="zh-CN"/>
        </w:rPr>
        <w:t>12；</w:t>
      </w:r>
    </w:p>
    <w:p>
      <w:pPr>
        <w:pStyle w:val="4"/>
        <w:bidi w:val="0"/>
        <w:rPr>
          <w:rFonts w:hint="eastAsia"/>
          <w:color w:val="auto"/>
          <w:highlight w:val="none"/>
        </w:rPr>
      </w:pPr>
      <w:r>
        <w:rPr>
          <w:rFonts w:hint="eastAsia"/>
          <w:color w:val="auto"/>
          <w:highlight w:val="none"/>
        </w:rPr>
        <w:t>六、班车行驶路线、时间等参考</w:t>
      </w:r>
    </w:p>
    <w:tbl>
      <w:tblPr>
        <w:tblStyle w:val="3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360" w:lineRule="auto"/>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284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360" w:lineRule="auto"/>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路线1</w:t>
            </w:r>
          </w:p>
        </w:tc>
        <w:tc>
          <w:tcPr>
            <w:tcW w:w="284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360" w:lineRule="auto"/>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路线2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周一到周五</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tabs>
                <w:tab w:val="left" w:pos="1455"/>
              </w:tabs>
              <w:spacing w:line="360" w:lineRule="auto"/>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新联公寓→中国计量</w:t>
            </w:r>
            <w:r>
              <w:rPr>
                <w:rFonts w:hint="eastAsia" w:ascii="宋体" w:hAnsi="宋体" w:eastAsia="宋体" w:cs="宋体"/>
                <w:color w:val="auto"/>
                <w:sz w:val="24"/>
                <w:szCs w:val="24"/>
                <w:highlight w:val="none"/>
                <w:lang w:eastAsia="zh-CN"/>
              </w:rPr>
              <w:t>大学</w:t>
            </w:r>
            <w:r>
              <w:rPr>
                <w:rFonts w:hint="eastAsia" w:ascii="宋体" w:hAnsi="宋体" w:eastAsia="宋体" w:cs="宋体"/>
                <w:color w:val="auto"/>
                <w:sz w:val="24"/>
                <w:szCs w:val="24"/>
                <w:highlight w:val="none"/>
              </w:rPr>
              <w:t>西校区（北门）→中国计量</w:t>
            </w:r>
            <w:r>
              <w:rPr>
                <w:rFonts w:hint="eastAsia" w:ascii="宋体" w:hAnsi="宋体" w:eastAsia="宋体" w:cs="宋体"/>
                <w:color w:val="auto"/>
                <w:sz w:val="24"/>
                <w:szCs w:val="24"/>
                <w:highlight w:val="none"/>
                <w:lang w:eastAsia="zh-CN"/>
              </w:rPr>
              <w:t>大学</w:t>
            </w:r>
            <w:r>
              <w:rPr>
                <w:rFonts w:hint="eastAsia" w:ascii="宋体" w:hAnsi="宋体" w:eastAsia="宋体" w:cs="宋体"/>
                <w:color w:val="auto"/>
                <w:sz w:val="24"/>
                <w:szCs w:val="24"/>
                <w:highlight w:val="none"/>
              </w:rPr>
              <w:t>东校区</w:t>
            </w:r>
            <w:r>
              <w:rPr>
                <w:rFonts w:hint="eastAsia" w:ascii="宋体" w:hAnsi="宋体" w:eastAsia="宋体" w:cs="宋体"/>
                <w:color w:val="auto"/>
                <w:sz w:val="24"/>
                <w:szCs w:val="24"/>
                <w:highlight w:val="none"/>
                <w:lang w:eastAsia="zh-CN"/>
              </w:rPr>
              <w:t>。</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tabs>
                <w:tab w:val="left" w:pos="1455"/>
              </w:tabs>
              <w:spacing w:line="360" w:lineRule="auto"/>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中国计量</w:t>
            </w:r>
            <w:r>
              <w:rPr>
                <w:rFonts w:hint="eastAsia" w:ascii="宋体" w:hAnsi="宋体" w:eastAsia="宋体" w:cs="宋体"/>
                <w:color w:val="auto"/>
                <w:sz w:val="24"/>
                <w:szCs w:val="24"/>
                <w:highlight w:val="none"/>
                <w:lang w:eastAsia="zh-CN"/>
              </w:rPr>
              <w:t>大学</w:t>
            </w:r>
            <w:r>
              <w:rPr>
                <w:rFonts w:hint="eastAsia" w:ascii="宋体" w:hAnsi="宋体" w:eastAsia="宋体" w:cs="宋体"/>
                <w:color w:val="auto"/>
                <w:sz w:val="24"/>
                <w:szCs w:val="24"/>
                <w:highlight w:val="none"/>
              </w:rPr>
              <w:t>东校区（南大门）→中国计量</w:t>
            </w:r>
            <w:r>
              <w:rPr>
                <w:rFonts w:hint="eastAsia" w:ascii="宋体" w:hAnsi="宋体" w:eastAsia="宋体" w:cs="宋体"/>
                <w:color w:val="auto"/>
                <w:sz w:val="24"/>
                <w:szCs w:val="24"/>
                <w:highlight w:val="none"/>
                <w:lang w:eastAsia="zh-CN"/>
              </w:rPr>
              <w:t>大学</w:t>
            </w:r>
            <w:r>
              <w:rPr>
                <w:rFonts w:hint="eastAsia" w:ascii="宋体" w:hAnsi="宋体" w:eastAsia="宋体" w:cs="宋体"/>
                <w:color w:val="auto"/>
                <w:sz w:val="24"/>
                <w:szCs w:val="24"/>
                <w:highlight w:val="none"/>
              </w:rPr>
              <w:t>西校区东大门（靠近体育馆）→新联公寓</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7:30</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9:30</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13:00</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17:30</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textAlignment w:val="bottom"/>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17:05</w:t>
            </w:r>
          </w:p>
        </w:tc>
      </w:tr>
    </w:tbl>
    <w:p>
      <w:pPr>
        <w:spacing w:line="420" w:lineRule="exact"/>
        <w:rPr>
          <w:rFonts w:ascii="仿宋" w:hAnsi="仿宋" w:eastAsia="仿宋"/>
          <w:b/>
          <w:color w:val="auto"/>
          <w:sz w:val="28"/>
          <w:szCs w:val="28"/>
          <w:highlight w:val="none"/>
        </w:rPr>
      </w:pPr>
    </w:p>
    <w:p>
      <w:pPr>
        <w:pStyle w:val="4"/>
        <w:rPr>
          <w:color w:val="auto"/>
          <w:highlight w:val="none"/>
          <w:lang w:val="en-US" w:eastAsia="zh-CN"/>
        </w:rPr>
      </w:pPr>
      <w:bookmarkStart w:id="19" w:name="_Toc11083"/>
      <w:bookmarkStart w:id="20" w:name="_Toc2379"/>
      <w:r>
        <w:rPr>
          <w:rFonts w:hint="eastAsia"/>
          <w:color w:val="auto"/>
          <w:highlight w:val="none"/>
        </w:rPr>
        <w:t>六、</w:t>
      </w:r>
      <w:bookmarkEnd w:id="19"/>
      <w:r>
        <w:rPr>
          <w:rFonts w:hint="eastAsia"/>
          <w:color w:val="auto"/>
          <w:highlight w:val="none"/>
          <w:lang w:val="en-US" w:eastAsia="zh-CN"/>
        </w:rPr>
        <w:t>履约保证金</w:t>
      </w:r>
      <w:bookmarkEnd w:id="20"/>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合同签订后7个工作日内</w:t>
      </w:r>
      <w:r>
        <w:rPr>
          <w:rFonts w:hint="eastAsia" w:ascii="宋体" w:hAnsi="宋体" w:cs="宋体"/>
          <w:color w:val="auto"/>
          <w:sz w:val="24"/>
          <w:szCs w:val="32"/>
          <w:highlight w:val="none"/>
          <w:lang w:val="en-US" w:eastAsia="zh-CN"/>
        </w:rPr>
        <w:t>向采购人缴纳履约保证金人民币壹万元整，</w:t>
      </w:r>
      <w:r>
        <w:rPr>
          <w:rFonts w:hint="eastAsia" w:ascii="宋体" w:hAnsi="宋体" w:cs="宋体"/>
          <w:color w:val="auto"/>
          <w:sz w:val="24"/>
          <w:szCs w:val="32"/>
          <w:highlight w:val="none"/>
        </w:rPr>
        <w:t>本合同履行完毕确认乙方无违约行为后无息返还给乙方（遇寒暑假及国家法定假日顺延）。</w:t>
      </w:r>
    </w:p>
    <w:p>
      <w:pPr>
        <w:pStyle w:val="4"/>
        <w:rPr>
          <w:rFonts w:hint="eastAsia"/>
          <w:color w:val="auto"/>
          <w:highlight w:val="none"/>
        </w:rPr>
      </w:pPr>
      <w:bookmarkStart w:id="21" w:name="_Toc7083"/>
      <w:r>
        <w:rPr>
          <w:rFonts w:hint="eastAsia"/>
          <w:color w:val="auto"/>
          <w:highlight w:val="none"/>
          <w:lang w:val="en-US" w:eastAsia="zh-CN"/>
        </w:rPr>
        <w:t>七</w:t>
      </w:r>
      <w:r>
        <w:rPr>
          <w:rFonts w:hint="eastAsia"/>
          <w:color w:val="auto"/>
          <w:highlight w:val="none"/>
        </w:rPr>
        <w:t>、结算方式</w:t>
      </w:r>
      <w:bookmarkEnd w:id="21"/>
    </w:p>
    <w:p>
      <w:pPr>
        <w:ind w:firstLine="480"/>
        <w:rPr>
          <w:rFonts w:hint="eastAsia" w:ascii="仿宋" w:hAnsi="仿宋" w:eastAsia="仿宋"/>
          <w:snapToGrid w:val="0"/>
          <w:color w:val="auto"/>
          <w:sz w:val="30"/>
          <w:szCs w:val="30"/>
          <w:highlight w:val="none"/>
        </w:rPr>
      </w:pPr>
      <w:r>
        <w:rPr>
          <w:rFonts w:hint="eastAsia" w:ascii="宋体" w:hAnsi="宋体" w:cs="宋体"/>
          <w:color w:val="auto"/>
          <w:sz w:val="24"/>
          <w:szCs w:val="32"/>
          <w:highlight w:val="none"/>
        </w:rPr>
        <w:t>合同总价不超过30万元。按趟计价，按月结算，费用结算时应附清单及相关有效发票。最终结算以实际跑运趟数调整，但单趟价格均不做调整。</w:t>
      </w:r>
    </w:p>
    <w:p>
      <w:pPr>
        <w:pStyle w:val="2"/>
        <w:rPr>
          <w:rFonts w:ascii="宋体" w:hAnsi="宋体" w:cs="宋体"/>
          <w:color w:val="auto"/>
          <w:highlight w:val="none"/>
        </w:rPr>
      </w:pPr>
    </w:p>
    <w:p>
      <w:pPr>
        <w:pStyle w:val="2"/>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6"/>
    <w:p>
      <w:pPr>
        <w:pStyle w:val="3"/>
        <w:rPr>
          <w:color w:val="auto"/>
          <w:highlight w:val="none"/>
        </w:rPr>
      </w:pPr>
      <w:bookmarkStart w:id="22" w:name="_Toc17984"/>
      <w:r>
        <w:rPr>
          <w:rFonts w:hint="eastAsia" w:cs="宋体"/>
          <w:color w:val="auto"/>
          <w:highlight w:val="none"/>
        </w:rPr>
        <w:t>第三章 投标人须知</w:t>
      </w:r>
      <w:bookmarkEnd w:id="22"/>
    </w:p>
    <w:p>
      <w:pPr>
        <w:pStyle w:val="4"/>
        <w:jc w:val="center"/>
        <w:rPr>
          <w:rFonts w:ascii="宋体" w:hAnsi="宋体" w:cs="宋体"/>
          <w:color w:val="auto"/>
          <w:highlight w:val="none"/>
        </w:rPr>
      </w:pPr>
      <w:bookmarkStart w:id="23" w:name="_Toc452457413"/>
      <w:bookmarkStart w:id="24" w:name="_Toc2290"/>
      <w:bookmarkStart w:id="25" w:name="_Toc21699"/>
      <w:r>
        <w:rPr>
          <w:rFonts w:hint="eastAsia" w:ascii="宋体" w:hAnsi="宋体" w:cs="宋体"/>
          <w:color w:val="auto"/>
          <w:highlight w:val="none"/>
        </w:rPr>
        <w:t>前 附 表</w:t>
      </w:r>
      <w:bookmarkEnd w:id="23"/>
      <w:bookmarkEnd w:id="24"/>
      <w:bookmarkEnd w:id="25"/>
    </w:p>
    <w:tbl>
      <w:tblPr>
        <w:tblStyle w:val="3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ind w:firstLine="480"/>
              <w:rPr>
                <w:color w:val="auto"/>
                <w:highlight w:val="none"/>
                <w:lang w:val="zh-CN"/>
              </w:rPr>
            </w:pPr>
            <w:r>
              <w:rPr>
                <w:rFonts w:hint="eastAsia"/>
                <w:color w:val="auto"/>
                <w:highlight w:val="none"/>
              </w:rPr>
              <w:t>报价包括提供所有规定产品及完成服务工作所产生的全部费用</w:t>
            </w:r>
            <w:r>
              <w:rPr>
                <w:rFonts w:hint="eastAsia"/>
                <w:color w:val="auto"/>
                <w:highlight w:val="none"/>
                <w:lang w:eastAsia="zh-CN"/>
              </w:rPr>
              <w:t>，</w:t>
            </w:r>
            <w:r>
              <w:rPr>
                <w:rFonts w:hint="eastAsia"/>
                <w:color w:val="auto"/>
                <w:highlight w:val="none"/>
                <w:lang w:val="en-US" w:eastAsia="zh-CN"/>
              </w:rPr>
              <w:t>采购</w:t>
            </w:r>
            <w:r>
              <w:rPr>
                <w:rFonts w:hint="eastAsia"/>
                <w:color w:val="auto"/>
                <w:highlight w:val="none"/>
              </w:rPr>
              <w:t>文件未列明，而</w:t>
            </w:r>
            <w:r>
              <w:rPr>
                <w:rFonts w:hint="eastAsia"/>
                <w:color w:val="auto"/>
                <w:highlight w:val="none"/>
                <w:lang w:val="en-US" w:eastAsia="zh-CN"/>
              </w:rPr>
              <w:t>投标人</w:t>
            </w:r>
            <w:r>
              <w:rPr>
                <w:rFonts w:hint="eastAsia"/>
                <w:color w:val="auto"/>
                <w:highlight w:val="none"/>
              </w:rPr>
              <w:t>认为必需的费用也需列入报价</w:t>
            </w:r>
            <w:r>
              <w:rPr>
                <w:rFonts w:hint="eastAsia"/>
                <w:color w:val="auto"/>
                <w:highlight w:val="none"/>
                <w:lang w:val="zh-CN"/>
              </w:rPr>
              <w:t>。</w:t>
            </w:r>
            <w:r>
              <w:rPr>
                <w:rFonts w:hint="eastAsia"/>
                <w:color w:val="auto"/>
                <w:highlight w:val="none"/>
              </w:rPr>
              <w:t>《投标（开标）一览表》是报价的唯一载体</w:t>
            </w:r>
            <w:r>
              <w:rPr>
                <w:rFonts w:hint="eastAsia"/>
                <w:color w:val="auto"/>
                <w:highlight w:val="none"/>
                <w:lang w:val="zh-CN"/>
              </w:rPr>
              <w:t>。投标文件中价格全部采用人民币报价。招标文件未列明，而投标人认为必需的费用也需列入报价。</w:t>
            </w:r>
          </w:p>
          <w:p>
            <w:pPr>
              <w:ind w:firstLine="480"/>
              <w:rPr>
                <w:color w:val="auto"/>
                <w:highlight w:val="none"/>
                <w:lang w:val="zh-CN"/>
              </w:rPr>
            </w:pPr>
            <w:r>
              <w:rPr>
                <w:rFonts w:hint="eastAsia"/>
                <w:color w:val="auto"/>
                <w:highlight w:val="none"/>
                <w:lang w:val="zh-CN"/>
              </w:rPr>
              <w:t>投标报价出现下列情形的，投标无效：</w:t>
            </w:r>
          </w:p>
          <w:p>
            <w:pPr>
              <w:ind w:firstLine="0" w:firstLineChars="0"/>
              <w:rPr>
                <w:color w:val="auto"/>
                <w:highlight w:val="none"/>
                <w:lang w:val="zh-CN"/>
              </w:rPr>
            </w:pPr>
            <w:r>
              <w:rPr>
                <w:rFonts w:hint="eastAsia"/>
                <w:color w:val="auto"/>
                <w:highlight w:val="none"/>
              </w:rPr>
              <w:t>★</w:t>
            </w:r>
            <w:r>
              <w:rPr>
                <w:rFonts w:hint="eastAsia"/>
                <w:color w:val="auto"/>
                <w:highlight w:val="none"/>
                <w:lang w:val="zh-CN"/>
              </w:rPr>
              <w:t>投标文件出现不是唯一的、有选择性投标报价的；</w:t>
            </w:r>
          </w:p>
          <w:p>
            <w:pPr>
              <w:ind w:firstLine="0" w:firstLineChars="0"/>
              <w:rPr>
                <w:color w:val="auto"/>
                <w:highlight w:val="none"/>
                <w:lang w:val="zh-CN"/>
              </w:rPr>
            </w:pPr>
            <w:r>
              <w:rPr>
                <w:rFonts w:hint="eastAsia"/>
                <w:color w:val="auto"/>
                <w:highlight w:val="none"/>
              </w:rPr>
              <w:t>★投标报价高于本项目采购预算或者最高限价的;</w:t>
            </w:r>
          </w:p>
          <w:p>
            <w:pPr>
              <w:ind w:firstLine="0" w:firstLineChars="0"/>
              <w:rPr>
                <w:color w:val="auto"/>
                <w:highlight w:val="none"/>
              </w:rPr>
            </w:pPr>
            <w:r>
              <w:rPr>
                <w:rFonts w:hint="eastAsia"/>
                <w:color w:val="auto"/>
                <w:highlight w:val="none"/>
              </w:rPr>
              <w:t>★报价明显低于其他通过符合性审查投标人的报价，有可能影响产品质量或者不能诚信履约的，未能按要求提供书面说明或者提交相关证明材料，不能证明其报价合理性的;</w:t>
            </w:r>
          </w:p>
          <w:p>
            <w:pPr>
              <w:ind w:firstLine="0" w:firstLineChars="0"/>
              <w:rPr>
                <w:color w:val="auto"/>
                <w:highlight w:val="none"/>
              </w:rPr>
            </w:pPr>
            <w:r>
              <w:rPr>
                <w:rFonts w:hint="eastAsia"/>
                <w:color w:val="auto"/>
                <w:highlight w:val="none"/>
              </w:rPr>
              <w:t>★《投标（开标）一览表》填写不完整或字迹不能辨认或有漏项的；</w:t>
            </w:r>
          </w:p>
          <w:p>
            <w:pPr>
              <w:ind w:firstLine="0" w:firstLineChars="0"/>
              <w:rPr>
                <w:rFonts w:ascii="仿宋" w:hAnsi="仿宋" w:eastAsia="仿宋" w:cs="仿宋_GB2312"/>
                <w:b/>
                <w:color w:val="auto"/>
                <w:highlight w:val="none"/>
              </w:rPr>
            </w:pPr>
            <w:r>
              <w:rPr>
                <w:rFonts w:hint="eastAsia"/>
                <w:color w:val="auto"/>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240" w:firstLineChars="100"/>
              <w:jc w:val="both"/>
              <w:rPr>
                <w:color w:val="auto"/>
                <w:highlight w:val="none"/>
              </w:rPr>
            </w:pPr>
            <w:r>
              <w:rPr>
                <w:rFonts w:hint="eastAsia"/>
                <w:color w:val="auto"/>
                <w:highlight w:val="none"/>
              </w:rPr>
              <w:t>分包或转包</w:t>
            </w:r>
          </w:p>
        </w:tc>
        <w:tc>
          <w:tcPr>
            <w:tcW w:w="6670" w:type="dxa"/>
            <w:vAlign w:val="center"/>
          </w:tcPr>
          <w:p>
            <w:pPr>
              <w:numPr>
                <w:ilvl w:val="0"/>
                <w:numId w:val="5"/>
              </w:numPr>
              <w:ind w:firstLine="0" w:firstLineChars="0"/>
              <w:rPr>
                <w:rFonts w:hint="eastAsia"/>
                <w:color w:val="auto"/>
                <w:highlight w:val="none"/>
              </w:rPr>
            </w:pPr>
            <w:r>
              <w:rPr>
                <w:rFonts w:hint="eastAsia"/>
                <w:color w:val="auto"/>
                <w:highlight w:val="none"/>
              </w:rPr>
              <w:t>采购人不同意分包。</w:t>
            </w:r>
          </w:p>
          <w:p>
            <w:pPr>
              <w:pStyle w:val="8"/>
              <w:numPr>
                <w:ilvl w:val="0"/>
                <w:numId w:val="0"/>
              </w:numPr>
              <w:rPr>
                <w:color w:val="auto"/>
                <w:highlight w:val="none"/>
              </w:rPr>
            </w:pPr>
            <w:r>
              <w:rPr>
                <w:rFonts w:hint="eastAsia" w:ascii="Calibri" w:hAnsi="Calibri" w:eastAsia="宋体" w:cs="Times New Roman"/>
                <w:color w:val="auto"/>
                <w:kern w:val="2"/>
                <w:sz w:val="24"/>
                <w:szCs w:val="24"/>
                <w:highlight w:val="none"/>
                <w:lang w:val="en-US" w:eastAsia="zh-CN" w:bidi="ar-SA"/>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jc w:val="both"/>
              <w:rPr>
                <w:color w:val="auto"/>
                <w:highlight w:val="none"/>
              </w:rPr>
            </w:pPr>
            <w:r>
              <w:rPr>
                <w:rFonts w:hint="eastAsia"/>
                <w:color w:val="auto"/>
                <w:highlight w:val="none"/>
              </w:rPr>
              <w:t>（1）纸质版：资格证明文件正本一份，副本无需提供；报价文件正本一份，副本五份；商务技术文件正本一份，副本五份。</w:t>
            </w:r>
          </w:p>
          <w:p>
            <w:pPr>
              <w:ind w:firstLine="0" w:firstLineChars="0"/>
              <w:jc w:val="both"/>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jc w:val="both"/>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hint="eastAsia" w:ascii="宋体" w:hAnsi="宋体"/>
                <w:color w:val="auto"/>
                <w:sz w:val="24"/>
                <w:highlight w:val="none"/>
              </w:rPr>
            </w:pPr>
            <w:r>
              <w:rPr>
                <w:rFonts w:hint="eastAsia" w:ascii="宋体" w:hAnsi="宋体"/>
                <w:color w:val="auto"/>
                <w:sz w:val="24"/>
                <w:highlight w:val="none"/>
              </w:rPr>
              <w:t>代理服务费收费标准为：按国家计委关于印发《招标代理服务收费管理暂行办法》(计价格[2002]1980号)文件规定收费标准的70%向中标(成交)供应商收取。即服务收费标准(费率)如下：</w:t>
            </w:r>
          </w:p>
          <w:tbl>
            <w:tblPr>
              <w:tblStyle w:val="38"/>
              <w:tblW w:w="6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38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服务类型中标金额</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（万元）</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货物招标</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100以下</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1.05%</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100-500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0.77%</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500-1000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0.56%</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1000-5000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0.35%</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5000-10000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0.18%</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0.07%</w:t>
                  </w:r>
                </w:p>
              </w:tc>
            </w:tr>
          </w:tbl>
          <w:p>
            <w:pPr>
              <w:spacing w:line="312"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人在领取</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通知书前，应向招标代理机构交纳招标代理服务费。</w:t>
            </w:r>
          </w:p>
          <w:p>
            <w:pPr>
              <w:spacing w:line="312"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招标代理服务费以电汇方式支付。</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服务费汇入以下账户：</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单位：浙江五石工程咨询有限公司萧山分公司</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银行：浙江民泰商业银行杭州钱江新城支行</w:t>
            </w:r>
          </w:p>
          <w:p>
            <w:pPr>
              <w:ind w:firstLine="480" w:firstLineChars="200"/>
              <w:rPr>
                <w:rFonts w:ascii="宋体" w:hAnsi="宋体" w:cs="宋体"/>
                <w:color w:val="auto"/>
                <w:highlight w:val="none"/>
              </w:rPr>
            </w:pPr>
            <w:r>
              <w:rPr>
                <w:rFonts w:hint="eastAsia" w:ascii="宋体" w:hAnsi="宋体" w:cs="宋体"/>
                <w:color w:val="auto"/>
                <w:sz w:val="24"/>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hint="eastAsia" w:ascii="宋体" w:hAnsi="宋体" w:cs="宋体"/>
                <w:color w:val="auto"/>
                <w:kern w:val="0"/>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lang w:val="en-US" w:eastAsia="zh-CN"/>
              </w:rPr>
              <w:t>（1）成交</w:t>
            </w:r>
            <w:r>
              <w:rPr>
                <w:rFonts w:hint="eastAsia" w:ascii="宋体" w:hAnsi="宋体"/>
                <w:color w:val="auto"/>
                <w:highlight w:val="none"/>
              </w:rPr>
              <w:t>人在中标之后领取通知书之前，应向招标代理机构交纳招标代理服务费。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若中标人未在约定时间内支付招标代理服务费，从逾期之日起按日利率千分之一承担违约金。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4"/>
        <w:jc w:val="center"/>
        <w:rPr>
          <w:rFonts w:ascii="宋体" w:hAnsi="宋体" w:cs="宋体"/>
          <w:color w:val="auto"/>
          <w:highlight w:val="none"/>
        </w:rPr>
      </w:pPr>
      <w:bookmarkStart w:id="26" w:name="_Toc152045529"/>
      <w:bookmarkStart w:id="27" w:name="_Toc296602420"/>
      <w:bookmarkStart w:id="28" w:name="_Toc452457414"/>
      <w:bookmarkStart w:id="29" w:name="_Toc179632546"/>
      <w:bookmarkStart w:id="30" w:name="_Toc246996175"/>
      <w:bookmarkStart w:id="31" w:name="_Toc144974497"/>
      <w:bookmarkStart w:id="32" w:name="_Toc152042305"/>
      <w:bookmarkStart w:id="33" w:name="_Toc246996918"/>
      <w:bookmarkStart w:id="34" w:name="_Toc247085689"/>
      <w:r>
        <w:rPr>
          <w:rFonts w:hint="eastAsia" w:ascii="宋体" w:hAnsi="宋体" w:cs="宋体"/>
          <w:color w:val="auto"/>
          <w:highlight w:val="none"/>
        </w:rPr>
        <w:br w:type="page"/>
      </w:r>
      <w:bookmarkEnd w:id="26"/>
      <w:bookmarkEnd w:id="27"/>
      <w:bookmarkEnd w:id="28"/>
      <w:bookmarkEnd w:id="29"/>
      <w:bookmarkEnd w:id="30"/>
      <w:bookmarkEnd w:id="31"/>
      <w:bookmarkEnd w:id="32"/>
      <w:bookmarkEnd w:id="33"/>
      <w:bookmarkEnd w:id="34"/>
      <w:bookmarkStart w:id="35" w:name="_Toc2440"/>
      <w:bookmarkStart w:id="36" w:name="_Toc22147"/>
      <w:bookmarkStart w:id="37" w:name="_Toc144974498"/>
      <w:bookmarkStart w:id="38" w:name="_Toc296602421"/>
      <w:bookmarkStart w:id="39" w:name="_Toc247085690"/>
      <w:bookmarkStart w:id="40" w:name="_Toc246996919"/>
      <w:bookmarkStart w:id="41" w:name="_Toc179632547"/>
      <w:bookmarkStart w:id="42" w:name="_Toc152045530"/>
      <w:bookmarkStart w:id="43" w:name="_Toc152042306"/>
      <w:bookmarkStart w:id="44" w:name="_Toc246996176"/>
      <w:r>
        <w:rPr>
          <w:rFonts w:hint="eastAsia" w:ascii="宋体" w:hAnsi="宋体" w:cs="宋体"/>
          <w:color w:val="auto"/>
          <w:highlight w:val="none"/>
        </w:rPr>
        <w:t>第一节 总 则</w:t>
      </w:r>
      <w:bookmarkEnd w:id="35"/>
      <w:bookmarkEnd w:id="36"/>
    </w:p>
    <w:p>
      <w:pPr>
        <w:pStyle w:val="5"/>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5"/>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w:t>
      </w:r>
      <w:r>
        <w:rPr>
          <w:rFonts w:hint="eastAsia" w:ascii="宋体" w:hAnsi="宋体" w:cs="宋体"/>
          <w:color w:val="auto"/>
          <w:highlight w:val="none"/>
          <w:lang w:eastAsia="zh-CN"/>
        </w:rPr>
        <w:t>中国计量大学</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spacing w:line="360" w:lineRule="auto"/>
        <w:ind w:firstLine="456" w:firstLineChars="200"/>
        <w:jc w:val="left"/>
        <w:rPr>
          <w:rFonts w:hint="eastAsia" w:ascii="宋体" w:hAnsi="宋体" w:eastAsia="宋体"/>
          <w:color w:val="auto"/>
          <w:spacing w:val="-6"/>
          <w:highlight w:val="none"/>
          <w:lang w:eastAsia="zh-CN"/>
        </w:rPr>
      </w:pPr>
      <w:r>
        <w:rPr>
          <w:rFonts w:hint="eastAsia" w:ascii="宋体" w:hAnsi="宋体"/>
          <w:color w:val="auto"/>
          <w:spacing w:val="-6"/>
          <w:highlight w:val="none"/>
          <w:lang w:val="en-US" w:eastAsia="zh-CN"/>
        </w:rPr>
        <w:t>6.</w:t>
      </w:r>
      <w:r>
        <w:rPr>
          <w:rFonts w:hint="eastAsia" w:ascii="宋体" w:hAnsi="宋体"/>
          <w:color w:val="auto"/>
          <w:spacing w:val="-6"/>
          <w:highlight w:val="none"/>
        </w:rPr>
        <w:t>联合体</w:t>
      </w:r>
      <w:r>
        <w:rPr>
          <w:rFonts w:hint="eastAsia" w:ascii="宋体" w:hAnsi="宋体"/>
          <w:color w:val="auto"/>
          <w:spacing w:val="-6"/>
          <w:highlight w:val="none"/>
          <w:lang w:eastAsia="zh-CN"/>
        </w:rPr>
        <w:t>：</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联合体</w:t>
      </w:r>
      <w:r>
        <w:rPr>
          <w:rFonts w:hint="eastAsia" w:ascii="宋体" w:hAnsi="宋体"/>
          <w:color w:val="auto"/>
          <w:spacing w:val="-6"/>
          <w:highlight w:val="none"/>
          <w:lang w:val="en-US" w:eastAsia="zh-CN"/>
        </w:rPr>
        <w:t>投标</w:t>
      </w:r>
      <w:r>
        <w:rPr>
          <w:rFonts w:hint="eastAsia" w:ascii="宋体" w:hAnsi="宋体"/>
          <w:color w:val="auto"/>
          <w:spacing w:val="-6"/>
          <w:highlight w:val="none"/>
        </w:rPr>
        <w:t>的，应遵守以下规定：</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2）组成联合体参加本项目的，须在购买</w:t>
      </w:r>
      <w:r>
        <w:rPr>
          <w:rFonts w:hint="eastAsia" w:ascii="宋体" w:hAnsi="宋体"/>
          <w:color w:val="auto"/>
          <w:spacing w:val="-6"/>
          <w:highlight w:val="none"/>
          <w:lang w:val="en-US" w:eastAsia="zh-CN"/>
        </w:rPr>
        <w:t>招标</w:t>
      </w:r>
      <w:r>
        <w:rPr>
          <w:rFonts w:hint="eastAsia" w:ascii="宋体" w:hAnsi="宋体"/>
          <w:color w:val="auto"/>
          <w:spacing w:val="-6"/>
          <w:highlight w:val="none"/>
        </w:rPr>
        <w:t>文件时做出相关声明，否则不予接受。</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文件组成的一部分；本项目的主体、关键性工作须由主办人完成，并在联合协议中进行说明；</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w:t>
      </w:r>
      <w:r>
        <w:rPr>
          <w:rFonts w:hint="eastAsia" w:ascii="宋体" w:hAnsi="宋体"/>
          <w:color w:val="auto"/>
          <w:spacing w:val="-6"/>
          <w:highlight w:val="none"/>
          <w:lang w:val="en-US" w:eastAsia="zh-CN"/>
        </w:rPr>
        <w:t>投标</w:t>
      </w:r>
      <w:r>
        <w:rPr>
          <w:rFonts w:hint="eastAsia" w:ascii="宋体" w:hAnsi="宋体"/>
          <w:color w:val="auto"/>
          <w:spacing w:val="-6"/>
          <w:highlight w:val="none"/>
        </w:rPr>
        <w:t>，也不得组成新的联合体参加同一项目</w:t>
      </w:r>
      <w:r>
        <w:rPr>
          <w:rFonts w:hint="eastAsia" w:ascii="宋体" w:hAnsi="宋体"/>
          <w:color w:val="auto"/>
          <w:spacing w:val="-6"/>
          <w:highlight w:val="none"/>
          <w:lang w:val="en-US" w:eastAsia="zh-CN"/>
        </w:rPr>
        <w:t>投标</w:t>
      </w:r>
      <w:r>
        <w:rPr>
          <w:rFonts w:hint="eastAsia" w:ascii="宋体" w:hAnsi="宋体"/>
          <w:color w:val="auto"/>
          <w:spacing w:val="-6"/>
          <w:highlight w:val="none"/>
        </w:rPr>
        <w:t>；</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7）</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文件须由主办人盖章及其代表签署。</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8）联合体</w:t>
      </w:r>
      <w:r>
        <w:rPr>
          <w:rFonts w:hint="eastAsia" w:ascii="宋体" w:hAnsi="宋体"/>
          <w:color w:val="auto"/>
          <w:spacing w:val="-6"/>
          <w:highlight w:val="none"/>
          <w:lang w:val="en-US" w:eastAsia="zh-CN"/>
        </w:rPr>
        <w:t>投标</w:t>
      </w:r>
      <w:r>
        <w:rPr>
          <w:rFonts w:hint="eastAsia" w:ascii="宋体" w:hAnsi="宋体"/>
          <w:color w:val="auto"/>
          <w:spacing w:val="-6"/>
          <w:highlight w:val="none"/>
        </w:rPr>
        <w:t>，</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文件中供应商名称应注明“成员单位名称1和成员单位名称2的联合体”。</w:t>
      </w:r>
    </w:p>
    <w:p>
      <w:pPr>
        <w:pStyle w:val="8"/>
        <w:rPr>
          <w:color w:val="auto"/>
          <w:highlight w:val="none"/>
        </w:rPr>
      </w:pPr>
    </w:p>
    <w:p>
      <w:pPr>
        <w:pStyle w:val="5"/>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5"/>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9"/>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19"/>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9"/>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19"/>
        <w:numPr>
          <w:ilvl w:val="0"/>
          <w:numId w:val="6"/>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numPr>
          <w:ilvl w:val="0"/>
          <w:numId w:val="6"/>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19"/>
        <w:numPr>
          <w:ilvl w:val="0"/>
          <w:numId w:val="6"/>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19"/>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5"/>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8"/>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45" w:name="_Toc91899879"/>
      <w:bookmarkStart w:id="46" w:name="_Toc16985"/>
      <w:r>
        <w:rPr>
          <w:rFonts w:hint="eastAsia" w:ascii="宋体" w:hAnsi="宋体" w:cs="宋体"/>
          <w:b/>
          <w:bCs/>
          <w:color w:val="auto"/>
          <w:sz w:val="28"/>
          <w:szCs w:val="32"/>
          <w:highlight w:val="none"/>
        </w:rPr>
        <w:t>第二节 招标文件</w:t>
      </w:r>
      <w:bookmarkEnd w:id="45"/>
      <w:r>
        <w:rPr>
          <w:rFonts w:hint="eastAsia" w:ascii="宋体" w:hAnsi="宋体" w:cs="宋体"/>
          <w:b/>
          <w:bCs/>
          <w:color w:val="auto"/>
          <w:sz w:val="28"/>
          <w:szCs w:val="32"/>
          <w:highlight w:val="none"/>
        </w:rPr>
        <w:t>的构成、澄清、修改</w:t>
      </w:r>
      <w:bookmarkEnd w:id="46"/>
    </w:p>
    <w:p>
      <w:pPr>
        <w:pStyle w:val="5"/>
        <w:rPr>
          <w:rFonts w:ascii="宋体" w:hAnsi="宋体" w:cs="宋体"/>
          <w:color w:val="auto"/>
          <w:highlight w:val="none"/>
        </w:rPr>
      </w:pPr>
      <w:bookmarkStart w:id="47" w:name="_Toc91899880"/>
      <w:bookmarkStart w:id="48" w:name="_Hlt74730307"/>
      <w:r>
        <w:rPr>
          <w:rFonts w:hint="eastAsia" w:ascii="宋体" w:hAnsi="宋体" w:cs="宋体"/>
          <w:color w:val="auto"/>
          <w:highlight w:val="none"/>
        </w:rPr>
        <w:t>一、招标文件的构成</w:t>
      </w:r>
      <w:bookmarkEnd w:id="47"/>
    </w:p>
    <w:bookmarkEnd w:id="48"/>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19"/>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
        <w:jc w:val="center"/>
        <w:rPr>
          <w:rFonts w:ascii="宋体" w:hAnsi="宋体" w:cs="宋体"/>
          <w:color w:val="auto"/>
          <w:highlight w:val="none"/>
        </w:rPr>
      </w:pPr>
      <w:bookmarkStart w:id="49" w:name="_Toc82338241"/>
      <w:bookmarkStart w:id="50" w:name="_Toc450840075"/>
      <w:bookmarkStart w:id="51" w:name="_Toc204"/>
      <w:bookmarkStart w:id="52" w:name="_Toc1096"/>
      <w:bookmarkStart w:id="53" w:name="_Toc82873324"/>
      <w:r>
        <w:rPr>
          <w:rFonts w:hint="eastAsia" w:ascii="宋体" w:hAnsi="宋体" w:cs="宋体"/>
          <w:color w:val="auto"/>
          <w:highlight w:val="none"/>
        </w:rPr>
        <w:t>第三节 投标文件</w:t>
      </w:r>
      <w:bookmarkEnd w:id="49"/>
      <w:bookmarkEnd w:id="50"/>
      <w:bookmarkEnd w:id="51"/>
      <w:bookmarkEnd w:id="52"/>
      <w:bookmarkEnd w:id="53"/>
    </w:p>
    <w:p>
      <w:pPr>
        <w:pStyle w:val="5"/>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lang w:val="en-US" w:eastAsia="zh-CN"/>
        </w:rPr>
        <w:t>资格证明书</w:t>
      </w:r>
      <w:r>
        <w:rPr>
          <w:rFonts w:hint="eastAsia" w:ascii="宋体" w:hAnsi="宋体" w:cs="宋体"/>
          <w:color w:val="auto"/>
          <w:highlight w:val="none"/>
        </w:rPr>
        <w:t>和法定代表人授权委托书（投标人的代表若为非法定代表人的，必须提交法定代表人授权书；身份证复印件、授权委托人社保证明（至少开标前三个月任1个月的社保证明）；（附件五）</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highlight w:val="none"/>
        </w:rPr>
        <w:t>投标人情况表（附件</w:t>
      </w:r>
      <w:r>
        <w:rPr>
          <w:rFonts w:hint="eastAsia" w:ascii="宋体" w:hAnsi="宋体" w:cs="宋体"/>
          <w:color w:val="auto"/>
          <w:highlight w:val="none"/>
          <w:lang w:val="en-US" w:eastAsia="zh-CN"/>
        </w:rPr>
        <w:t>八</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highlight w:val="none"/>
          <w:lang w:val="en-US" w:eastAsia="zh-CN"/>
        </w:rPr>
        <w:t>采购需求</w:t>
      </w:r>
      <w:r>
        <w:rPr>
          <w:rFonts w:ascii="宋体" w:hAnsi="宋体" w:cs="宋体"/>
          <w:color w:val="auto"/>
          <w:highlight w:val="none"/>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w:t>
      </w:r>
      <w:r>
        <w:rPr>
          <w:rFonts w:hint="eastAsia" w:ascii="宋体" w:hAnsi="宋体" w:cs="宋体"/>
          <w:color w:val="auto"/>
          <w:highlight w:val="none"/>
          <w:lang w:val="en-US" w:eastAsia="zh-CN"/>
        </w:rPr>
        <w:t>九</w:t>
      </w:r>
      <w:r>
        <w:rPr>
          <w:rFonts w:hint="eastAsia" w:ascii="宋体" w:hAnsi="宋体" w:cs="宋体"/>
          <w:color w:val="auto"/>
          <w:highlight w:val="none"/>
        </w:rPr>
        <w:t>）</w:t>
      </w:r>
    </w:p>
    <w:p>
      <w:pPr>
        <w:numPr>
          <w:ilvl w:val="0"/>
          <w:numId w:val="10"/>
        </w:numPr>
        <w:ind w:left="425" w:leftChars="0" w:hanging="425" w:firstLineChars="0"/>
        <w:rPr>
          <w:rFonts w:hint="eastAsia" w:ascii="宋体" w:hAnsi="宋体" w:cs="宋体"/>
          <w:color w:val="auto"/>
          <w:highlight w:val="none"/>
        </w:rPr>
      </w:pPr>
      <w:r>
        <w:rPr>
          <w:rFonts w:hint="eastAsia" w:ascii="宋体" w:hAnsi="宋体" w:cs="宋体"/>
          <w:color w:val="auto"/>
          <w:highlight w:val="none"/>
        </w:rPr>
        <w:t>针对本项目的完整服务方案、说明</w:t>
      </w:r>
    </w:p>
    <w:p>
      <w:pPr>
        <w:numPr>
          <w:ilvl w:val="0"/>
          <w:numId w:val="10"/>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拟</w:t>
      </w:r>
      <w:r>
        <w:rPr>
          <w:rFonts w:hint="eastAsia" w:ascii="宋体" w:hAnsi="宋体" w:cs="宋体"/>
          <w:color w:val="auto"/>
          <w:highlight w:val="none"/>
        </w:rPr>
        <w:t>投入本项目的服务车辆</w:t>
      </w:r>
      <w:r>
        <w:rPr>
          <w:rFonts w:hint="eastAsia" w:ascii="宋体" w:hAnsi="宋体" w:cs="宋体"/>
          <w:color w:val="auto"/>
          <w:highlight w:val="none"/>
          <w:lang w:val="en-US" w:eastAsia="zh-CN"/>
        </w:rPr>
        <w:t>情况介绍</w:t>
      </w:r>
    </w:p>
    <w:p>
      <w:pPr>
        <w:numPr>
          <w:ilvl w:val="0"/>
          <w:numId w:val="10"/>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拟投入本项目</w:t>
      </w:r>
      <w:r>
        <w:rPr>
          <w:rFonts w:hint="eastAsia" w:ascii="宋体" w:hAnsi="宋体" w:cs="宋体"/>
          <w:color w:val="auto"/>
          <w:highlight w:val="none"/>
        </w:rPr>
        <w:t>管理人员及驾驶人员的配备</w:t>
      </w:r>
    </w:p>
    <w:p>
      <w:pPr>
        <w:numPr>
          <w:ilvl w:val="0"/>
          <w:numId w:val="10"/>
        </w:numPr>
        <w:ind w:left="425" w:leftChars="0" w:hanging="425" w:firstLineChars="0"/>
        <w:rPr>
          <w:rFonts w:hint="eastAsia" w:ascii="宋体" w:hAnsi="宋体" w:cs="宋体"/>
          <w:color w:val="auto"/>
          <w:highlight w:val="none"/>
        </w:rPr>
      </w:pPr>
      <w:r>
        <w:rPr>
          <w:rFonts w:hint="eastAsia" w:ascii="宋体" w:hAnsi="宋体" w:cs="宋体"/>
          <w:color w:val="auto"/>
          <w:highlight w:val="none"/>
        </w:rPr>
        <w:t>车辆安全保障体系</w:t>
      </w:r>
    </w:p>
    <w:p>
      <w:pPr>
        <w:numPr>
          <w:ilvl w:val="0"/>
          <w:numId w:val="10"/>
        </w:numPr>
        <w:ind w:left="425" w:leftChars="0" w:hanging="425" w:firstLineChars="0"/>
        <w:rPr>
          <w:rFonts w:hint="eastAsia" w:ascii="宋体" w:hAnsi="宋体" w:cs="宋体"/>
          <w:color w:val="auto"/>
          <w:highlight w:val="none"/>
        </w:rPr>
      </w:pPr>
      <w:r>
        <w:rPr>
          <w:rFonts w:hint="eastAsia" w:ascii="宋体" w:hAnsi="宋体" w:cs="宋体"/>
          <w:color w:val="auto"/>
          <w:highlight w:val="none"/>
        </w:rPr>
        <w:t>车辆维保能力</w:t>
      </w:r>
    </w:p>
    <w:p>
      <w:pPr>
        <w:numPr>
          <w:ilvl w:val="0"/>
          <w:numId w:val="10"/>
        </w:numPr>
        <w:ind w:left="425" w:leftChars="0" w:hanging="425" w:firstLineChars="0"/>
        <w:rPr>
          <w:rFonts w:hint="eastAsia" w:ascii="宋体" w:hAnsi="宋体" w:cs="宋体"/>
          <w:color w:val="auto"/>
          <w:highlight w:val="none"/>
        </w:rPr>
      </w:pPr>
      <w:r>
        <w:rPr>
          <w:rFonts w:hint="eastAsia" w:ascii="宋体" w:hAnsi="宋体" w:cs="宋体"/>
          <w:color w:val="auto"/>
          <w:highlight w:val="none"/>
        </w:rPr>
        <w:t>应急</w:t>
      </w:r>
      <w:r>
        <w:rPr>
          <w:rFonts w:hint="eastAsia" w:ascii="宋体" w:hAnsi="宋体" w:cs="宋体"/>
          <w:color w:val="auto"/>
          <w:highlight w:val="none"/>
          <w:lang w:val="en-US" w:eastAsia="zh-CN"/>
        </w:rPr>
        <w:t>预案及保障措施</w:t>
      </w:r>
    </w:p>
    <w:p>
      <w:pPr>
        <w:numPr>
          <w:ilvl w:val="0"/>
          <w:numId w:val="10"/>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其他</w:t>
      </w:r>
      <w:r>
        <w:rPr>
          <w:rFonts w:hint="eastAsia" w:ascii="宋体" w:hAnsi="宋体" w:cs="宋体"/>
          <w:color w:val="auto"/>
          <w:highlight w:val="none"/>
        </w:rPr>
        <w:t>优惠承诺、各项服务承诺、合理化建议等；</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hint="eastAsia" w:ascii="宋体" w:hAnsi="宋体" w:cs="宋体"/>
          <w:color w:val="auto"/>
          <w:highlight w:val="none"/>
        </w:rPr>
      </w:pPr>
      <w:r>
        <w:rPr>
          <w:rFonts w:hint="eastAsia" w:ascii="宋体" w:hAnsi="宋体" w:cs="宋体"/>
          <w:color w:val="auto"/>
          <w:highlight w:val="none"/>
        </w:rPr>
        <w:t>2.投标报价是履行合同的最终价格，报价应包括保证车辆上路正常安全行驶所需的各种费用，如车辆营运、维修、燃油费、过路过桥费、停车费、车辆本身各种费用（如养路费、保险费、保养修理费、折旧费等）、司机劳务费、风险费用（如燃油价格调整等）、保险、税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招标代理服务费</w:t>
      </w:r>
      <w:r>
        <w:rPr>
          <w:rFonts w:hint="eastAsia" w:ascii="宋体" w:hAnsi="宋体" w:cs="宋体"/>
          <w:color w:val="auto"/>
          <w:highlight w:val="none"/>
        </w:rPr>
        <w:t>等一切税金和费用。</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3.最低报价不能作为中标保证。</w:t>
      </w:r>
    </w:p>
    <w:p>
      <w:pPr>
        <w:pStyle w:val="5"/>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54" w:name="_Toc12521"/>
      <w:bookmarkStart w:id="55" w:name="_Toc1"/>
      <w:r>
        <w:rPr>
          <w:rFonts w:hint="eastAsia" w:ascii="宋体" w:hAnsi="宋体" w:cs="宋体"/>
          <w:color w:val="auto"/>
          <w:highlight w:val="none"/>
        </w:rPr>
        <w:t>第四节 投标文件的递交</w:t>
      </w:r>
      <w:bookmarkEnd w:id="54"/>
      <w:bookmarkEnd w:id="55"/>
    </w:p>
    <w:p>
      <w:pPr>
        <w:pStyle w:val="5"/>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4"/>
        <w:jc w:val="center"/>
        <w:rPr>
          <w:rFonts w:ascii="宋体" w:hAnsi="宋体" w:cs="宋体"/>
          <w:color w:val="auto"/>
          <w:highlight w:val="none"/>
        </w:rPr>
      </w:pPr>
      <w:bookmarkStart w:id="56" w:name="_Toc20835"/>
      <w:bookmarkStart w:id="57" w:name="_Toc27893"/>
      <w:r>
        <w:rPr>
          <w:rFonts w:hint="eastAsia" w:ascii="宋体" w:hAnsi="宋体" w:cs="宋体"/>
          <w:color w:val="auto"/>
          <w:highlight w:val="none"/>
        </w:rPr>
        <w:t>第五节 开标</w:t>
      </w:r>
      <w:bookmarkEnd w:id="56"/>
      <w:bookmarkEnd w:id="57"/>
    </w:p>
    <w:p>
      <w:pPr>
        <w:pStyle w:val="5"/>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58" w:name="_Toc13687"/>
      <w:bookmarkStart w:id="59" w:name="_Toc13357"/>
      <w:r>
        <w:rPr>
          <w:rFonts w:hint="eastAsia" w:ascii="宋体" w:hAnsi="宋体" w:cs="宋体"/>
          <w:color w:val="auto"/>
          <w:highlight w:val="none"/>
        </w:rPr>
        <w:t>第六节 评标</w:t>
      </w:r>
      <w:bookmarkEnd w:id="58"/>
      <w:bookmarkEnd w:id="59"/>
    </w:p>
    <w:p>
      <w:pPr>
        <w:pStyle w:val="5"/>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5"/>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5"/>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5"/>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5"/>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60" w:name="_Toc31535"/>
      <w:bookmarkStart w:id="61" w:name="_Toc24239"/>
      <w:r>
        <w:rPr>
          <w:rFonts w:hint="eastAsia" w:ascii="宋体" w:hAnsi="宋体" w:cs="宋体"/>
          <w:color w:val="auto"/>
          <w:highlight w:val="none"/>
        </w:rPr>
        <w:t>第七节 授予合同</w:t>
      </w:r>
      <w:bookmarkEnd w:id="60"/>
      <w:bookmarkEnd w:id="61"/>
    </w:p>
    <w:p>
      <w:pPr>
        <w:pStyle w:val="5"/>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highlight w:val="none"/>
          <w:lang w:eastAsia="zh-CN"/>
        </w:rPr>
        <w:t>中国计量大学</w:t>
      </w:r>
      <w:r>
        <w:rPr>
          <w:rFonts w:hint="eastAsia" w:ascii="宋体" w:hAnsi="宋体" w:cs="宋体"/>
          <w:color w:val="auto"/>
          <w:highlight w:val="none"/>
        </w:rPr>
        <w:t>采购网等相关网站或媒体上公告中标结果。中标公告期限为1个工作日。</w:t>
      </w:r>
    </w:p>
    <w:p>
      <w:pPr>
        <w:pStyle w:val="5"/>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bidi w:val="0"/>
        <w:rPr>
          <w:rFonts w:hint="eastAsia"/>
          <w:color w:val="auto"/>
          <w:highlight w:val="none"/>
        </w:rPr>
      </w:pPr>
      <w:bookmarkStart w:id="62" w:name="_Toc12481"/>
      <w:bookmarkStart w:id="63" w:name="_Toc15220"/>
    </w:p>
    <w:p>
      <w:pPr>
        <w:pStyle w:val="4"/>
        <w:jc w:val="center"/>
        <w:rPr>
          <w:rFonts w:ascii="宋体" w:hAnsi="宋体" w:cs="宋体"/>
          <w:color w:val="auto"/>
          <w:highlight w:val="none"/>
        </w:rPr>
      </w:pPr>
      <w:r>
        <w:rPr>
          <w:rFonts w:hint="eastAsia" w:ascii="宋体" w:hAnsi="宋体" w:cs="宋体"/>
          <w:color w:val="auto"/>
          <w:highlight w:val="none"/>
        </w:rPr>
        <w:t>第八节 例外处理</w:t>
      </w:r>
      <w:bookmarkEnd w:id="62"/>
      <w:bookmarkEnd w:id="63"/>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3"/>
        <w:rPr>
          <w:color w:val="auto"/>
          <w:highlight w:val="none"/>
        </w:rPr>
      </w:pPr>
      <w:bookmarkStart w:id="64" w:name="_Toc450840079"/>
      <w:bookmarkStart w:id="65" w:name="_Toc82338233"/>
      <w:bookmarkStart w:id="66" w:name="_Toc82873316"/>
      <w:bookmarkStart w:id="67" w:name="_Toc20600"/>
      <w:r>
        <w:rPr>
          <w:rFonts w:hint="eastAsia" w:cs="宋体"/>
          <w:color w:val="auto"/>
          <w:highlight w:val="none"/>
        </w:rPr>
        <w:t xml:space="preserve">第四章 </w:t>
      </w:r>
      <w:bookmarkEnd w:id="64"/>
      <w:bookmarkEnd w:id="65"/>
      <w:bookmarkEnd w:id="66"/>
      <w:r>
        <w:rPr>
          <w:rFonts w:hint="eastAsia" w:cs="宋体"/>
          <w:color w:val="auto"/>
          <w:highlight w:val="none"/>
        </w:rPr>
        <w:t>评标办法及评分标准</w:t>
      </w:r>
      <w:bookmarkEnd w:id="67"/>
    </w:p>
    <w:p>
      <w:pPr>
        <w:pStyle w:val="4"/>
        <w:rPr>
          <w:rFonts w:ascii="宋体" w:hAnsi="宋体" w:cs="宋体"/>
          <w:color w:val="auto"/>
          <w:highlight w:val="none"/>
        </w:rPr>
      </w:pPr>
      <w:bookmarkStart w:id="68" w:name="_Toc11391"/>
      <w:bookmarkStart w:id="69" w:name="_Toc3811"/>
      <w:bookmarkStart w:id="70" w:name="_Toc3110"/>
      <w:bookmarkStart w:id="71" w:name="OLE_LINK3"/>
      <w:r>
        <w:rPr>
          <w:rFonts w:hint="eastAsia" w:ascii="宋体" w:hAnsi="宋体" w:cs="宋体"/>
          <w:color w:val="auto"/>
          <w:highlight w:val="none"/>
        </w:rPr>
        <w:t>一、评分总则</w:t>
      </w:r>
      <w:bookmarkEnd w:id="68"/>
      <w:bookmarkEnd w:id="69"/>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w:t>
      </w:r>
      <w:r>
        <w:rPr>
          <w:rFonts w:hint="eastAsia" w:ascii="宋体" w:hAnsi="宋体" w:cs="宋体"/>
          <w:color w:val="auto"/>
          <w:highlight w:val="none"/>
          <w:lang w:val="en-US" w:eastAsia="zh-CN"/>
        </w:rPr>
        <w:t>资信分+</w:t>
      </w:r>
      <w:r>
        <w:rPr>
          <w:rFonts w:hint="eastAsia" w:ascii="宋体" w:hAnsi="宋体" w:cs="宋体"/>
          <w:color w:val="auto"/>
          <w:highlight w:val="none"/>
        </w:rPr>
        <w:t>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4"/>
        <w:rPr>
          <w:rFonts w:ascii="宋体" w:hAnsi="宋体" w:cs="宋体"/>
          <w:color w:val="auto"/>
          <w:highlight w:val="none"/>
        </w:rPr>
      </w:pPr>
      <w:bookmarkStart w:id="72" w:name="_Toc7789"/>
      <w:r>
        <w:rPr>
          <w:rFonts w:hint="eastAsia" w:ascii="宋体" w:hAnsi="宋体" w:cs="宋体"/>
          <w:color w:val="auto"/>
          <w:highlight w:val="none"/>
        </w:rPr>
        <w:t>二、评分内容及标准</w:t>
      </w:r>
      <w:bookmarkEnd w:id="70"/>
      <w:bookmarkEnd w:id="72"/>
    </w:p>
    <w:bookmarkEnd w:id="71"/>
    <w:p>
      <w:pPr>
        <w:ind w:firstLine="480"/>
        <w:rPr>
          <w:rFonts w:ascii="宋体" w:hAnsi="宋体" w:cs="宋体"/>
          <w:color w:val="auto"/>
          <w:szCs w:val="32"/>
          <w:highlight w:val="none"/>
        </w:rPr>
      </w:pPr>
      <w:bookmarkStart w:id="73" w:name="_Toc82338234"/>
      <w:bookmarkStart w:id="74" w:name="_Toc82873317"/>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p>
      <w:pPr>
        <w:pStyle w:val="5"/>
        <w:rPr>
          <w:rFonts w:hint="eastAsia"/>
          <w:color w:val="auto"/>
          <w:highlight w:val="none"/>
        </w:rPr>
      </w:pPr>
      <w:bookmarkStart w:id="75" w:name="_Toc450840083"/>
      <w:r>
        <w:rPr>
          <w:rFonts w:hint="eastAsia"/>
          <w:color w:val="auto"/>
          <w:highlight w:val="none"/>
        </w:rPr>
        <w:t xml:space="preserve">1 商务报价分 </w:t>
      </w:r>
      <w:r>
        <w:rPr>
          <w:rFonts w:hint="eastAsia"/>
          <w:color w:val="auto"/>
          <w:highlight w:val="none"/>
          <w:lang w:val="en-US" w:eastAsia="zh-CN"/>
        </w:rPr>
        <w:t>3</w:t>
      </w:r>
      <w:r>
        <w:rPr>
          <w:rFonts w:hint="eastAsia"/>
          <w:color w:val="auto"/>
          <w:highlight w:val="none"/>
        </w:rPr>
        <w:t>0分</w:t>
      </w:r>
    </w:p>
    <w:p>
      <w:pPr>
        <w:ind w:firstLine="420"/>
        <w:rPr>
          <w:rFonts w:hint="eastAsia"/>
          <w:color w:val="auto"/>
          <w:highlight w:val="none"/>
        </w:rPr>
      </w:pPr>
      <w:r>
        <w:rPr>
          <w:rFonts w:hint="eastAsia"/>
          <w:color w:val="auto"/>
          <w:highlight w:val="none"/>
        </w:rPr>
        <w:t>商务报价评分将在有效投标人范围内进行，最高得30分，小数点后保留2位小数。满足招标文件要求且投标价格最低的投标报价为评标基准价，其商务报价分为满分30分。其他投标人的价格分按照下列公式计算：商务报价分=(评标基准价／投标报价)×30。</w:t>
      </w:r>
    </w:p>
    <w:p>
      <w:pPr>
        <w:ind w:firstLine="420"/>
        <w:rPr>
          <w:rFonts w:hint="eastAsia"/>
          <w:color w:val="auto"/>
          <w:highlight w:val="none"/>
        </w:rPr>
      </w:pPr>
      <w:r>
        <w:rPr>
          <w:rFonts w:hint="eastAsia"/>
          <w:color w:val="auto"/>
          <w:highlight w:val="none"/>
        </w:rPr>
        <w:t>根据浙江省财政厅浙江省中小企业局转发财政部工业和信息化部关于印发《政府采购促进中小企业发展暂行办法》的通知（浙财采监【2012】11号文）规定，参加浙江省政府采购的中小企业供应商，应根据浙江省财政厅《关于开展政府采购供应商网上注册登记和诚信管理工作的通知》（浙财采监【2010】8号文）的要求，通过浙江政府采购网申请注册加入政府采购供应商库。</w:t>
      </w:r>
    </w:p>
    <w:p>
      <w:pPr>
        <w:ind w:firstLine="420"/>
        <w:rPr>
          <w:rFonts w:hint="eastAsia"/>
          <w:color w:val="auto"/>
          <w:highlight w:val="none"/>
        </w:rPr>
      </w:pPr>
      <w:r>
        <w:rPr>
          <w:rFonts w:hint="eastAsia"/>
          <w:color w:val="auto"/>
          <w:highlight w:val="none"/>
        </w:rPr>
        <w:t>供应商应按照浙江省财政厅浙江省中小企业局转发财政部工业和信息化部关于印发《政府采购促进中小企业发展暂行办法》的通知（浙财采监【2012】11号文）规定，在商务文件中按照规定格式，才可享受价格扣除后参与评审的优惠。监狱企业视同小型、微型企业。</w:t>
      </w:r>
    </w:p>
    <w:p>
      <w:pPr>
        <w:ind w:firstLine="420"/>
        <w:rPr>
          <w:rFonts w:hint="eastAsia"/>
          <w:color w:val="auto"/>
          <w:highlight w:val="none"/>
        </w:rPr>
      </w:pPr>
      <w:r>
        <w:rPr>
          <w:rFonts w:hint="eastAsia"/>
          <w:color w:val="auto"/>
          <w:highlight w:val="none"/>
        </w:rPr>
        <w:t>投标报价得分=(评标基准价／(投标报价*94%))×30。</w:t>
      </w:r>
    </w:p>
    <w:p>
      <w:pPr>
        <w:ind w:firstLine="420"/>
        <w:rPr>
          <w:rFonts w:hint="eastAsia"/>
          <w:color w:val="auto"/>
          <w:highlight w:val="none"/>
        </w:rPr>
      </w:pPr>
      <w:r>
        <w:rPr>
          <w:rFonts w:hint="eastAsia"/>
          <w:color w:val="auto"/>
          <w:highlight w:val="none"/>
        </w:rPr>
        <w:t>此项由评标委员会集体核实后统一打分。</w:t>
      </w:r>
    </w:p>
    <w:p>
      <w:pPr>
        <w:pStyle w:val="5"/>
        <w:rPr>
          <w:rFonts w:hint="eastAsia"/>
          <w:color w:val="auto"/>
          <w:highlight w:val="none"/>
        </w:rPr>
      </w:pPr>
      <w:r>
        <w:rPr>
          <w:rFonts w:hint="eastAsia"/>
          <w:color w:val="auto"/>
          <w:highlight w:val="none"/>
        </w:rPr>
        <w:t>2 资信评分10分</w:t>
      </w:r>
    </w:p>
    <w:p>
      <w:pPr>
        <w:numPr>
          <w:ilvl w:val="0"/>
          <w:numId w:val="11"/>
        </w:numPr>
        <w:ind w:firstLine="420"/>
        <w:rPr>
          <w:rFonts w:hint="eastAsia"/>
          <w:color w:val="auto"/>
          <w:highlight w:val="none"/>
        </w:rPr>
      </w:pPr>
      <w:r>
        <w:rPr>
          <w:rFonts w:hint="eastAsia" w:hAnsi="宋体"/>
          <w:color w:val="auto"/>
          <w:highlight w:val="none"/>
        </w:rPr>
        <w:t>自2016年1月份以来同类业绩，每个得1分，最高</w:t>
      </w:r>
      <w:r>
        <w:rPr>
          <w:rFonts w:hint="eastAsia" w:hAnsi="宋体"/>
          <w:color w:val="auto"/>
          <w:highlight w:val="none"/>
          <w:lang w:val="en-US" w:eastAsia="zh-CN"/>
        </w:rPr>
        <w:t>5</w:t>
      </w:r>
      <w:r>
        <w:rPr>
          <w:rFonts w:hint="eastAsia" w:hAnsi="宋体"/>
          <w:color w:val="auto"/>
          <w:highlight w:val="none"/>
        </w:rPr>
        <w:t>分；（业绩必须提供相应的证明文件（合同复印件或用户证明），时间以合同签订时间为准。原则上以投标文件中的复印件为准，若复印件不明确，评审小组以核查的原件为准，开标时请携带原件备查）（0-</w:t>
      </w:r>
      <w:r>
        <w:rPr>
          <w:rFonts w:hint="eastAsia" w:hAnsi="宋体"/>
          <w:color w:val="auto"/>
          <w:highlight w:val="none"/>
          <w:lang w:val="en-US" w:eastAsia="zh-CN"/>
        </w:rPr>
        <w:t>5</w:t>
      </w:r>
      <w:r>
        <w:rPr>
          <w:rFonts w:hint="eastAsia" w:hAnsi="宋体"/>
          <w:color w:val="auto"/>
          <w:highlight w:val="none"/>
        </w:rPr>
        <w:t>分）。</w:t>
      </w:r>
    </w:p>
    <w:p>
      <w:pPr>
        <w:numPr>
          <w:ilvl w:val="0"/>
          <w:numId w:val="11"/>
        </w:numPr>
        <w:ind w:firstLine="420"/>
        <w:rPr>
          <w:rFonts w:hint="eastAsia"/>
          <w:color w:val="auto"/>
          <w:highlight w:val="none"/>
        </w:rPr>
      </w:pPr>
      <w:r>
        <w:rPr>
          <w:rFonts w:hint="eastAsia" w:hAnsi="宋体"/>
          <w:color w:val="auto"/>
          <w:highlight w:val="none"/>
        </w:rPr>
        <w:t>上述服务案例中，能提供服务企业满意度调查表且结果为满意的，每个得1分，满分5分（需提供满意度调查表加盖服务业主单位公章）（0-</w:t>
      </w:r>
      <w:r>
        <w:rPr>
          <w:rFonts w:hint="eastAsia" w:hAnsi="宋体"/>
          <w:color w:val="auto"/>
          <w:highlight w:val="none"/>
          <w:lang w:val="en-US" w:eastAsia="zh-CN"/>
        </w:rPr>
        <w:t>5</w:t>
      </w:r>
      <w:r>
        <w:rPr>
          <w:rFonts w:hint="eastAsia" w:hAnsi="宋体"/>
          <w:color w:val="auto"/>
          <w:highlight w:val="none"/>
        </w:rPr>
        <w:t>分）。</w:t>
      </w:r>
    </w:p>
    <w:p>
      <w:pPr>
        <w:ind w:firstLine="420"/>
        <w:rPr>
          <w:rFonts w:hint="eastAsia"/>
          <w:color w:val="auto"/>
          <w:highlight w:val="none"/>
        </w:rPr>
      </w:pPr>
      <w:r>
        <w:rPr>
          <w:rFonts w:hint="eastAsia"/>
          <w:color w:val="auto"/>
          <w:highlight w:val="none"/>
        </w:rPr>
        <w:t>此项由评标委员会集体核实后统一打分。</w:t>
      </w:r>
    </w:p>
    <w:p>
      <w:pPr>
        <w:pStyle w:val="5"/>
        <w:rPr>
          <w:rFonts w:hint="eastAsia"/>
          <w:color w:val="auto"/>
          <w:highlight w:val="none"/>
        </w:rPr>
      </w:pPr>
      <w:r>
        <w:rPr>
          <w:rFonts w:hint="eastAsia"/>
          <w:color w:val="auto"/>
          <w:highlight w:val="none"/>
        </w:rPr>
        <w:t>3 技术评分60分</w:t>
      </w:r>
    </w:p>
    <w:p>
      <w:pPr>
        <w:ind w:firstLine="420"/>
        <w:rPr>
          <w:rFonts w:hint="eastAsia"/>
          <w:color w:val="auto"/>
          <w:highlight w:val="none"/>
        </w:rPr>
      </w:pPr>
      <w:r>
        <w:rPr>
          <w:rFonts w:hint="eastAsia"/>
          <w:color w:val="auto"/>
          <w:highlight w:val="none"/>
        </w:rPr>
        <w:t>该评分分值由评标委员会根据评审情况在分值范围内独立打分（具体分值设定详见表格），小数点后保留2位小数。每个投标人的最终技术得分为评标委员会打分的算术平均值。</w:t>
      </w:r>
    </w:p>
    <w:tbl>
      <w:tblPr>
        <w:tblStyle w:val="3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30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评分项目</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根据企业资质、综合实力、合同履约能力，整体经营状况、技术力量等情况评分</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olor w:val="auto"/>
                <w:szCs w:val="21"/>
                <w:highlight w:val="none"/>
                <w:lang w:val="en-US" w:eastAsia="zh-CN"/>
              </w:rPr>
              <w:t>采购需求偏离程度：投标人所提供的车辆和服务与需求的吻合程度和偏差情况（除★以外）全部满足或明显优于招标文件要求得10分；低于要求（负偏离）的每条扣1分，扣完为止。（采购需求偏离表中响应规格与技术资料不一致的经评标委员会讨论后可被认定为负偏离）。</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近三年安全驾驶情况：未发生重大以上责任事故的得3分，三年内发生重大以上责任事故的该项不得分（需提供交通主管部门的无重大责任事故证明材料，未提供的该项不得分）</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根据</w:t>
            </w:r>
            <w:r>
              <w:rPr>
                <w:rFonts w:hint="eastAsia" w:ascii="宋体" w:hAnsi="宋体" w:cs="宋体"/>
                <w:color w:val="auto"/>
                <w:szCs w:val="21"/>
                <w:highlight w:val="none"/>
              </w:rPr>
              <w:t>管理服务方案及承诺</w:t>
            </w:r>
            <w:r>
              <w:rPr>
                <w:rFonts w:hint="eastAsia" w:ascii="宋体" w:hAnsi="宋体" w:cs="宋体"/>
                <w:color w:val="auto"/>
                <w:szCs w:val="21"/>
                <w:highlight w:val="none"/>
                <w:lang w:val="en-US" w:eastAsia="zh-CN"/>
              </w:rPr>
              <w:t>的合理性、可行性等</w:t>
            </w:r>
            <w:r>
              <w:rPr>
                <w:rFonts w:hint="eastAsia" w:ascii="宋体" w:hAnsi="宋体"/>
                <w:color w:val="auto"/>
                <w:spacing w:val="-6"/>
                <w:szCs w:val="21"/>
                <w:highlight w:val="none"/>
                <w:lang w:val="en-US" w:eastAsia="zh-CN"/>
              </w:rPr>
              <w:t>评分</w:t>
            </w:r>
            <w:r>
              <w:rPr>
                <w:rFonts w:hint="eastAsia" w:ascii="宋体" w:hAnsi="宋体" w:eastAsia="宋体" w:cs="宋体"/>
                <w:color w:val="auto"/>
                <w:sz w:val="21"/>
                <w:szCs w:val="21"/>
                <w:highlight w:val="none"/>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lang w:val="en-US" w:eastAsia="zh-CN"/>
              </w:rPr>
            </w:pPr>
            <w:r>
              <w:rPr>
                <w:rFonts w:hint="eastAsia" w:ascii="宋体" w:hAnsi="宋体"/>
                <w:color w:val="auto"/>
                <w:highlight w:val="none"/>
              </w:rPr>
              <w:t>对招标单位的线路</w:t>
            </w:r>
            <w:r>
              <w:rPr>
                <w:rFonts w:hint="eastAsia" w:ascii="宋体" w:hAnsi="宋体"/>
                <w:color w:val="auto"/>
                <w:highlight w:val="none"/>
                <w:lang w:eastAsia="zh-CN"/>
              </w:rPr>
              <w:t>熟知程度及难点重点介绍</w:t>
            </w:r>
            <w:r>
              <w:rPr>
                <w:rFonts w:hint="eastAsia" w:ascii="宋体" w:hAnsi="宋体"/>
                <w:color w:val="auto"/>
                <w:highlight w:val="none"/>
                <w:lang w:val="en-US" w:eastAsia="zh-CN"/>
              </w:rPr>
              <w:t>分析</w:t>
            </w:r>
            <w:r>
              <w:rPr>
                <w:rFonts w:hint="eastAsia" w:ascii="宋体" w:hAnsi="宋体"/>
                <w:color w:val="auto"/>
                <w:highlight w:val="none"/>
                <w:lang w:eastAsia="zh-CN"/>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根据投入本项目的服务车辆（车辆性能、新旧程度、公司有无挂靠车辆等）评分。需提供有效证明材料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无证明材料不得分。</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管理人员及驾驶人员的配备（资历、驾龄、从业记录等），提供合同、社保证明、驾驶证等证明材料</w:t>
            </w:r>
            <w:r>
              <w:rPr>
                <w:rFonts w:hint="eastAsia" w:ascii="宋体" w:hAnsi="宋体" w:cs="宋体"/>
                <w:color w:val="auto"/>
                <w:szCs w:val="21"/>
                <w:highlight w:val="none"/>
                <w:lang w:eastAsia="zh-CN"/>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olor w:val="auto"/>
                <w:highlight w:val="none"/>
              </w:rPr>
              <w:t>提供服务的驾驶员安全驾驶无事故的，得2分，提供相关证明资料。</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车辆安全保障体系：提供公司安全管理制、培训制度和服务规范等，车辆是否安装GP</w:t>
            </w:r>
            <w:r>
              <w:rPr>
                <w:rFonts w:hint="eastAsia" w:ascii="宋体" w:hAnsi="宋体" w:cs="宋体"/>
                <w:color w:val="auto"/>
                <w:szCs w:val="21"/>
                <w:highlight w:val="none"/>
                <w:lang w:val="en-US" w:eastAsia="zh-CN"/>
              </w:rPr>
              <w:t>R</w:t>
            </w:r>
            <w:r>
              <w:rPr>
                <w:rFonts w:hint="eastAsia" w:ascii="宋体" w:hAnsi="宋体" w:cs="宋体"/>
                <w:color w:val="auto"/>
                <w:szCs w:val="21"/>
                <w:highlight w:val="none"/>
              </w:rPr>
              <w:t>S系统</w:t>
            </w:r>
            <w:r>
              <w:rPr>
                <w:rFonts w:hint="eastAsia" w:ascii="宋体" w:hAnsi="宋体" w:cs="宋体"/>
                <w:color w:val="auto"/>
                <w:szCs w:val="21"/>
                <w:highlight w:val="none"/>
                <w:lang w:eastAsia="zh-CN"/>
              </w:rPr>
              <w:t>和</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G视频监控功能，并把平台提供给采购方使用</w:t>
            </w:r>
            <w:r>
              <w:rPr>
                <w:rFonts w:hint="eastAsia" w:ascii="宋体" w:hAnsi="宋体" w:cs="宋体"/>
                <w:color w:val="auto"/>
                <w:szCs w:val="21"/>
                <w:highlight w:val="none"/>
                <w:lang w:val="en-US" w:eastAsia="zh-CN"/>
              </w:rPr>
              <w:t>等</w:t>
            </w:r>
            <w:r>
              <w:rPr>
                <w:rFonts w:hint="eastAsia" w:hAnsi="宋体"/>
                <w:color w:val="auto"/>
                <w:spacing w:val="-6"/>
                <w:szCs w:val="21"/>
                <w:highlight w:val="none"/>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车辆维保能力：自身是否具备车辆维修保养等技术力量，</w:t>
            </w:r>
            <w:r>
              <w:rPr>
                <w:rFonts w:hint="eastAsia" w:ascii="宋体" w:hAnsi="宋体" w:cs="宋体"/>
                <w:color w:val="auto"/>
                <w:szCs w:val="21"/>
                <w:highlight w:val="none"/>
                <w:lang w:val="en-US" w:eastAsia="zh-CN"/>
              </w:rPr>
              <w:t>维保能力比较</w:t>
            </w:r>
            <w:r>
              <w:rPr>
                <w:rFonts w:hint="eastAsia" w:hAnsi="宋体"/>
                <w:color w:val="auto"/>
                <w:spacing w:val="-6"/>
                <w:szCs w:val="21"/>
                <w:highlight w:val="none"/>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hAnsi="宋体"/>
                <w:color w:val="auto"/>
                <w:spacing w:val="-6"/>
                <w:szCs w:val="21"/>
                <w:highlight w:val="none"/>
                <w:lang w:val="en-US" w:eastAsia="zh-CN"/>
              </w:rPr>
              <w:t>拟投入本项目</w:t>
            </w:r>
            <w:r>
              <w:rPr>
                <w:rFonts w:hint="eastAsia" w:hAnsi="宋体"/>
                <w:color w:val="auto"/>
                <w:spacing w:val="-6"/>
                <w:szCs w:val="21"/>
                <w:highlight w:val="none"/>
              </w:rPr>
              <w:t>车辆在使用期间的维修保养、定期检审记录。记录不足不得分。</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因驾驶员原因误车、误点造成教职工不能正常乘坐班车的应急措施和补偿承诺。</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临时任务应急能力、突发事件应急预案、实施力度、是否及时服从校方调度等。</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针对学校的确实可行的优惠承诺及方案</w:t>
            </w:r>
            <w:r>
              <w:rPr>
                <w:rFonts w:hint="eastAsia" w:ascii="宋体" w:hAnsi="宋体" w:cs="宋体"/>
                <w:color w:val="auto"/>
                <w:szCs w:val="21"/>
                <w:highlight w:val="none"/>
                <w:lang w:val="en-US" w:eastAsia="zh-CN"/>
              </w:rPr>
              <w:t xml:space="preserve"> </w:t>
            </w:r>
            <w:r>
              <w:rPr>
                <w:rFonts w:hint="eastAsia" w:hAnsi="宋体"/>
                <w:color w:val="auto"/>
                <w:spacing w:val="-6"/>
                <w:szCs w:val="21"/>
                <w:highlight w:val="none"/>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r>
    </w:tbl>
    <w:p>
      <w:pPr>
        <w:ind w:firstLine="536"/>
        <w:rPr>
          <w:rFonts w:hint="eastAsia" w:ascii="宋体" w:hAnsi="宋体" w:cs="宋体"/>
          <w:color w:val="auto"/>
          <w:sz w:val="24"/>
          <w:szCs w:val="32"/>
          <w:highlight w:val="none"/>
        </w:rPr>
      </w:pPr>
      <w:r>
        <w:rPr>
          <w:rFonts w:hint="eastAsia" w:ascii="宋体" w:hAnsi="宋体"/>
          <w:color w:val="auto"/>
          <w:spacing w:val="14"/>
          <w:sz w:val="24"/>
          <w:highlight w:val="none"/>
        </w:rPr>
        <w:t>注：</w:t>
      </w:r>
      <w:r>
        <w:rPr>
          <w:rFonts w:hint="eastAsia" w:ascii="宋体" w:hAnsi="宋体"/>
          <w:color w:val="auto"/>
          <w:sz w:val="24"/>
          <w:highlight w:val="none"/>
        </w:rPr>
        <w:t>各评委</w:t>
      </w:r>
      <w:r>
        <w:rPr>
          <w:rFonts w:hint="eastAsia" w:ascii="宋体" w:hAnsi="宋体"/>
          <w:color w:val="auto"/>
          <w:spacing w:val="14"/>
          <w:sz w:val="24"/>
          <w:highlight w:val="none"/>
        </w:rPr>
        <w:t>根据评标情况</w:t>
      </w:r>
      <w:r>
        <w:rPr>
          <w:rFonts w:hint="eastAsia" w:ascii="宋体" w:hAnsi="宋体"/>
          <w:color w:val="auto"/>
          <w:sz w:val="24"/>
          <w:highlight w:val="none"/>
        </w:rPr>
        <w:t>进行独立评估打分</w:t>
      </w:r>
      <w:r>
        <w:rPr>
          <w:rFonts w:hint="eastAsia" w:ascii="宋体" w:hAnsi="宋体"/>
          <w:color w:val="auto"/>
          <w:spacing w:val="14"/>
          <w:sz w:val="24"/>
          <w:highlight w:val="none"/>
        </w:rPr>
        <w:t>，每栏分值不得超出本栏规定的分值范围；</w:t>
      </w:r>
    </w:p>
    <w:p>
      <w:pPr>
        <w:ind w:left="0" w:leftChars="0" w:firstLine="0" w:firstLineChars="0"/>
        <w:rPr>
          <w:rFonts w:hint="eastAsia" w:ascii="宋体" w:hAnsi="宋体"/>
          <w:color w:val="auto"/>
          <w:highlight w:val="none"/>
        </w:rPr>
      </w:pPr>
    </w:p>
    <w:p>
      <w:pPr>
        <w:ind w:left="0" w:leftChars="0" w:firstLine="0" w:firstLineChars="0"/>
        <w:rPr>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73"/>
    <w:bookmarkEnd w:id="74"/>
    <w:bookmarkEnd w:id="75"/>
    <w:p>
      <w:pPr>
        <w:pStyle w:val="3"/>
        <w:ind w:firstLine="643"/>
        <w:rPr>
          <w:color w:val="auto"/>
          <w:szCs w:val="24"/>
          <w:highlight w:val="none"/>
        </w:rPr>
      </w:pPr>
      <w:bookmarkStart w:id="76" w:name="_Toc1503"/>
      <w:r>
        <w:rPr>
          <w:rFonts w:hint="eastAsia" w:cs="宋体"/>
          <w:color w:val="auto"/>
          <w:szCs w:val="32"/>
          <w:highlight w:val="none"/>
        </w:rPr>
        <w:t>第五章 合同格式</w:t>
      </w:r>
      <w:bookmarkEnd w:id="76"/>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600" w:lineRule="auto"/>
        <w:ind w:firstLine="0" w:firstLineChars="0"/>
        <w:jc w:val="center"/>
        <w:rPr>
          <w:rFonts w:hint="eastAsia"/>
          <w:b/>
          <w:color w:val="auto"/>
          <w:sz w:val="44"/>
          <w:highlight w:val="none"/>
        </w:rPr>
      </w:pPr>
      <w:bookmarkStart w:id="77" w:name="_Toc450840088"/>
      <w:r>
        <w:rPr>
          <w:rFonts w:hint="eastAsia" w:ascii="宋体" w:hAnsi="宋体" w:cs="宋体"/>
          <w:b/>
          <w:bCs/>
          <w:color w:val="auto"/>
          <w:sz w:val="36"/>
          <w:szCs w:val="36"/>
          <w:highlight w:val="none"/>
        </w:rPr>
        <w:t>中国计量大学继续教育学院学生班车服务</w:t>
      </w:r>
    </w:p>
    <w:p>
      <w:pPr>
        <w:snapToGrid w:val="0"/>
        <w:spacing w:line="240" w:lineRule="auto"/>
        <w:ind w:firstLine="420"/>
        <w:contextualSpacing/>
        <w:jc w:val="center"/>
        <w:rPr>
          <w:rFonts w:hint="eastAsia"/>
          <w:color w:val="auto"/>
          <w:szCs w:val="21"/>
          <w:highlight w:val="none"/>
        </w:rPr>
      </w:pPr>
      <w:r>
        <w:rPr>
          <w:rFonts w:hint="eastAsia"/>
          <w:color w:val="auto"/>
          <w:szCs w:val="21"/>
          <w:highlight w:val="none"/>
        </w:rPr>
        <w:t xml:space="preserve">                                          合同编号：</w:t>
      </w:r>
    </w:p>
    <w:p>
      <w:pPr>
        <w:snapToGrid w:val="0"/>
        <w:spacing w:line="240" w:lineRule="auto"/>
        <w:ind w:firstLine="420"/>
        <w:contextualSpacing/>
        <w:jc w:val="center"/>
        <w:rPr>
          <w:rFonts w:hint="eastAsia"/>
          <w:color w:val="auto"/>
          <w:szCs w:val="21"/>
          <w:highlight w:val="none"/>
        </w:rPr>
      </w:pPr>
      <w:r>
        <w:rPr>
          <w:rFonts w:hint="eastAsia"/>
          <w:color w:val="auto"/>
          <w:szCs w:val="21"/>
          <w:highlight w:val="none"/>
        </w:rPr>
        <w:t xml:space="preserve">                                            确认书编号：</w:t>
      </w:r>
    </w:p>
    <w:p>
      <w:pPr>
        <w:snapToGrid w:val="0"/>
        <w:spacing w:line="240" w:lineRule="auto"/>
        <w:ind w:firstLine="420"/>
        <w:contextualSpacing/>
        <w:jc w:val="center"/>
        <w:rPr>
          <w:rFonts w:hint="eastAsia"/>
          <w:color w:val="auto"/>
          <w:szCs w:val="21"/>
          <w:highlight w:val="none"/>
        </w:rPr>
      </w:pPr>
      <w:r>
        <w:rPr>
          <w:rFonts w:hint="eastAsia"/>
          <w:color w:val="auto"/>
          <w:szCs w:val="21"/>
          <w:highlight w:val="none"/>
        </w:rPr>
        <w:t xml:space="preserve">                                      </w:t>
      </w:r>
    </w:p>
    <w:p>
      <w:pPr>
        <w:spacing w:line="520" w:lineRule="exact"/>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rPr>
        <w:t>甲方</w:t>
      </w:r>
      <w:r>
        <w:rPr>
          <w:rFonts w:hint="eastAsia" w:ascii="宋体" w:hAnsi="宋体" w:cs="宋体"/>
          <w:color w:val="auto"/>
          <w:sz w:val="24"/>
          <w:highlight w:val="none"/>
        </w:rPr>
        <w:t>（采购人）： 中国计量大学</w:t>
      </w:r>
    </w:p>
    <w:p>
      <w:pPr>
        <w:spacing w:line="520" w:lineRule="exact"/>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rPr>
        <w:t>乙方</w:t>
      </w:r>
      <w:r>
        <w:rPr>
          <w:rFonts w:hint="eastAsia" w:ascii="宋体" w:hAnsi="宋体" w:cs="宋体"/>
          <w:color w:val="auto"/>
          <w:sz w:val="24"/>
          <w:highlight w:val="none"/>
        </w:rPr>
        <w:t xml:space="preserve">（供应商）： </w:t>
      </w:r>
    </w:p>
    <w:p>
      <w:pPr>
        <w:pStyle w:val="19"/>
        <w:adjustRightInd w:val="0"/>
        <w:snapToGrid w:val="0"/>
        <w:spacing w:before="120" w:after="120" w:line="460" w:lineRule="exact"/>
        <w:ind w:firstLine="475" w:firstLineChars="198"/>
        <w:rPr>
          <w:rFonts w:hint="eastAsia" w:hAnsi="宋体" w:cs="宋体"/>
          <w:color w:val="auto"/>
          <w:sz w:val="24"/>
          <w:szCs w:val="32"/>
          <w:highlight w:val="none"/>
        </w:rPr>
      </w:pPr>
      <w:r>
        <w:rPr>
          <w:rFonts w:hint="eastAsia" w:hAnsi="宋体" w:cs="宋体"/>
          <w:color w:val="auto"/>
          <w:sz w:val="24"/>
          <w:szCs w:val="32"/>
          <w:highlight w:val="none"/>
        </w:rPr>
        <w:t>依照《中华人民共和国合同法》及其他有关法律、行政法规，遵循平等、自愿、公平和诚实信用的原则，双方根据对</w:t>
      </w:r>
      <w:r>
        <w:rPr>
          <w:rFonts w:hint="eastAsia" w:hAnsi="宋体" w:cs="宋体"/>
          <w:color w:val="auto"/>
          <w:sz w:val="24"/>
          <w:szCs w:val="32"/>
          <w:highlight w:val="none"/>
          <w:u w:val="single"/>
        </w:rPr>
        <w:t xml:space="preserve">                         </w:t>
      </w:r>
      <w:r>
        <w:rPr>
          <w:rFonts w:hint="eastAsia" w:hAnsi="宋体" w:cs="宋体"/>
          <w:color w:val="auto"/>
          <w:sz w:val="24"/>
          <w:szCs w:val="32"/>
          <w:highlight w:val="none"/>
        </w:rPr>
        <w:t xml:space="preserve"> （项目名称和编号）的公开招标的结果,签署本合同。</w:t>
      </w:r>
    </w:p>
    <w:p>
      <w:pPr>
        <w:pStyle w:val="19"/>
        <w:adjustRightInd w:val="0"/>
        <w:snapToGrid w:val="0"/>
        <w:spacing w:before="120" w:after="120" w:line="460" w:lineRule="exact"/>
        <w:ind w:firstLine="513" w:firstLineChars="213"/>
        <w:rPr>
          <w:rFonts w:hint="eastAsia" w:hAnsi="宋体" w:cs="宋体"/>
          <w:color w:val="auto"/>
          <w:sz w:val="24"/>
          <w:szCs w:val="24"/>
          <w:highlight w:val="none"/>
        </w:rPr>
      </w:pPr>
      <w:r>
        <w:rPr>
          <w:rFonts w:hint="eastAsia" w:hAnsi="宋体" w:cs="宋体"/>
          <w:b/>
          <w:snapToGrid w:val="0"/>
          <w:color w:val="auto"/>
          <w:sz w:val="24"/>
          <w:szCs w:val="24"/>
          <w:highlight w:val="none"/>
        </w:rPr>
        <w:t>一、项目内容</w:t>
      </w:r>
      <w:r>
        <w:rPr>
          <w:rFonts w:hint="eastAsia" w:hAnsi="宋体" w:cs="宋体"/>
          <w:b/>
          <w:color w:val="auto"/>
          <w:sz w:val="24"/>
          <w:szCs w:val="24"/>
          <w:highlight w:val="none"/>
        </w:rPr>
        <w:t>及合同价格</w:t>
      </w:r>
      <w:r>
        <w:rPr>
          <w:rFonts w:hint="eastAsia" w:hAnsi="宋体" w:cs="宋体"/>
          <w:b/>
          <w:color w:val="auto"/>
          <w:sz w:val="24"/>
          <w:szCs w:val="24"/>
          <w:highlight w:val="none"/>
          <w:lang w:eastAsia="zh-CN"/>
        </w:rPr>
        <w:t>：按中标方报价执行</w:t>
      </w:r>
    </w:p>
    <w:p>
      <w:pPr>
        <w:pStyle w:val="19"/>
        <w:adjustRightInd w:val="0"/>
        <w:snapToGrid w:val="0"/>
        <w:spacing w:before="120" w:after="120"/>
        <w:rPr>
          <w:rFonts w:hint="eastAsia" w:hAnsi="宋体" w:cs="宋体"/>
          <w:color w:val="auto"/>
          <w:sz w:val="24"/>
          <w:szCs w:val="24"/>
          <w:highlight w:val="none"/>
        </w:rPr>
      </w:pPr>
    </w:p>
    <w:p>
      <w:pPr>
        <w:pStyle w:val="19"/>
        <w:adjustRightInd w:val="0"/>
        <w:snapToGrid w:val="0"/>
        <w:spacing w:before="120" w:after="120"/>
        <w:rPr>
          <w:rFonts w:hint="eastAsia" w:hAnsi="宋体" w:cs="宋体"/>
          <w:color w:val="auto"/>
          <w:sz w:val="24"/>
          <w:szCs w:val="24"/>
          <w:highlight w:val="none"/>
        </w:rPr>
      </w:pPr>
    </w:p>
    <w:p>
      <w:pPr>
        <w:pStyle w:val="19"/>
        <w:adjustRightInd w:val="0"/>
        <w:snapToGrid w:val="0"/>
        <w:spacing w:before="120" w:after="120"/>
        <w:rPr>
          <w:rFonts w:hint="eastAsia" w:hAnsi="宋体" w:cs="宋体"/>
          <w:color w:val="auto"/>
          <w:sz w:val="24"/>
          <w:szCs w:val="24"/>
          <w:highlight w:val="none"/>
        </w:rPr>
      </w:pPr>
    </w:p>
    <w:p>
      <w:pPr>
        <w:pStyle w:val="19"/>
        <w:adjustRightInd w:val="0"/>
        <w:snapToGrid w:val="0"/>
        <w:spacing w:before="120" w:after="120"/>
        <w:rPr>
          <w:rFonts w:hint="eastAsia" w:hAnsi="宋体" w:cs="宋体"/>
          <w:color w:val="auto"/>
          <w:kern w:val="0"/>
          <w:sz w:val="24"/>
          <w:szCs w:val="24"/>
          <w:highlight w:val="none"/>
        </w:rPr>
      </w:pPr>
      <w:r>
        <w:rPr>
          <w:rFonts w:hint="eastAsia" w:hAnsi="宋体" w:cs="宋体"/>
          <w:color w:val="auto"/>
          <w:sz w:val="24"/>
          <w:szCs w:val="24"/>
          <w:highlight w:val="none"/>
        </w:rPr>
        <w:t>注：1、项目具体技术需求及采购人地址等详见招标文件、投标文件以及询标记录。</w:t>
      </w:r>
    </w:p>
    <w:p>
      <w:pPr>
        <w:adjustRightInd w:val="0"/>
        <w:snapToGrid w:val="0"/>
        <w:spacing w:line="240" w:lineRule="auto"/>
        <w:ind w:firstLine="480"/>
        <w:rPr>
          <w:rFonts w:hint="eastAsia" w:ascii="宋体" w:hAnsi="宋体" w:cs="宋体"/>
          <w:color w:val="auto"/>
          <w:sz w:val="24"/>
          <w:highlight w:val="none"/>
        </w:rPr>
      </w:pPr>
      <w:r>
        <w:rPr>
          <w:rFonts w:hint="eastAsia" w:ascii="宋体" w:hAnsi="宋体" w:cs="宋体"/>
          <w:color w:val="auto"/>
          <w:sz w:val="24"/>
          <w:highlight w:val="none"/>
        </w:rPr>
        <w:t>　2、以上合同总价包含项目达到预期使用效果所需的一切费用。</w:t>
      </w:r>
    </w:p>
    <w:p>
      <w:pPr>
        <w:pStyle w:val="19"/>
        <w:adjustRightInd w:val="0"/>
        <w:snapToGrid w:val="0"/>
        <w:spacing w:before="120" w:after="120"/>
        <w:ind w:firstLine="513" w:firstLineChars="213"/>
        <w:rPr>
          <w:rFonts w:hint="eastAsia" w:hAnsi="宋体" w:cs="宋体"/>
          <w:b/>
          <w:snapToGrid w:val="0"/>
          <w:color w:val="auto"/>
          <w:sz w:val="24"/>
          <w:szCs w:val="24"/>
          <w:highlight w:val="none"/>
        </w:rPr>
      </w:pPr>
    </w:p>
    <w:p>
      <w:pPr>
        <w:pStyle w:val="19"/>
        <w:adjustRightInd w:val="0"/>
        <w:snapToGrid w:val="0"/>
        <w:spacing w:before="120" w:after="120"/>
        <w:ind w:firstLine="513" w:firstLineChars="213"/>
        <w:rPr>
          <w:rFonts w:hAnsi="宋体" w:cs="宋体"/>
          <w:b/>
          <w:snapToGrid w:val="0"/>
          <w:color w:val="auto"/>
          <w:sz w:val="24"/>
          <w:szCs w:val="24"/>
          <w:highlight w:val="none"/>
        </w:rPr>
      </w:pPr>
      <w:r>
        <w:rPr>
          <w:rFonts w:hint="eastAsia" w:hAnsi="宋体" w:cs="宋体"/>
          <w:b/>
          <w:snapToGrid w:val="0"/>
          <w:color w:val="auto"/>
          <w:sz w:val="24"/>
          <w:szCs w:val="24"/>
          <w:highlight w:val="none"/>
        </w:rPr>
        <w:t>二、行车路线要求</w:t>
      </w:r>
      <w:r>
        <w:rPr>
          <w:rFonts w:hint="eastAsia" w:hAnsi="宋体" w:cs="宋体"/>
          <w:b/>
          <w:snapToGrid w:val="0"/>
          <w:color w:val="auto"/>
          <w:sz w:val="24"/>
          <w:szCs w:val="24"/>
          <w:highlight w:val="none"/>
          <w:lang w:eastAsia="zh-CN"/>
        </w:rPr>
        <w:t>：参照采购需求行车路线</w:t>
      </w:r>
    </w:p>
    <w:p>
      <w:pPr>
        <w:pStyle w:val="19"/>
        <w:adjustRightInd w:val="0"/>
        <w:snapToGrid w:val="0"/>
        <w:spacing w:before="120" w:after="120"/>
        <w:ind w:firstLine="513" w:firstLineChars="213"/>
        <w:rPr>
          <w:rFonts w:hint="eastAsia" w:hAnsi="宋体" w:cs="宋体"/>
          <w:b/>
          <w:snapToGrid w:val="0"/>
          <w:color w:val="auto"/>
          <w:sz w:val="24"/>
          <w:szCs w:val="24"/>
          <w:highlight w:val="none"/>
        </w:rPr>
      </w:pPr>
      <w:r>
        <w:rPr>
          <w:rFonts w:hint="eastAsia" w:hAnsi="宋体" w:cs="宋体"/>
          <w:b/>
          <w:snapToGrid w:val="0"/>
          <w:color w:val="auto"/>
          <w:sz w:val="24"/>
          <w:szCs w:val="24"/>
          <w:highlight w:val="none"/>
        </w:rPr>
        <w:t>三、车辆要求</w:t>
      </w:r>
    </w:p>
    <w:p>
      <w:pPr>
        <w:tabs>
          <w:tab w:val="left" w:pos="14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（一）数量要求：</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投标方需提供5</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座的车</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辆（一年具有</w:t>
      </w:r>
      <w:r>
        <w:rPr>
          <w:rFonts w:hint="eastAsia" w:ascii="宋体" w:hAnsi="宋体" w:cs="宋体"/>
          <w:color w:val="auto"/>
          <w:sz w:val="24"/>
          <w:szCs w:val="24"/>
          <w:highlight w:val="none"/>
          <w:lang w:val="en-US" w:eastAsia="zh-CN"/>
        </w:rPr>
        <w:t>3375</w:t>
      </w:r>
      <w:r>
        <w:rPr>
          <w:rFonts w:hint="eastAsia" w:ascii="宋体" w:hAnsi="宋体" w:cs="宋体"/>
          <w:color w:val="auto"/>
          <w:sz w:val="24"/>
          <w:szCs w:val="24"/>
          <w:highlight w:val="none"/>
        </w:rPr>
        <w:t>趟跑运能力），4</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座车2辆（一年具有</w:t>
      </w:r>
      <w:r>
        <w:rPr>
          <w:rFonts w:hint="eastAsia" w:ascii="宋体" w:hAnsi="宋体" w:cs="宋体"/>
          <w:color w:val="auto"/>
          <w:sz w:val="24"/>
          <w:szCs w:val="24"/>
          <w:highlight w:val="none"/>
          <w:lang w:val="en-US" w:eastAsia="zh-CN"/>
        </w:rPr>
        <w:t>40</w:t>
      </w:r>
      <w:r>
        <w:rPr>
          <w:rFonts w:hint="eastAsia" w:ascii="宋体" w:hAnsi="宋体" w:cs="宋体"/>
          <w:color w:val="auto"/>
          <w:sz w:val="24"/>
          <w:szCs w:val="24"/>
          <w:highlight w:val="none"/>
        </w:rPr>
        <w:t>趟跑运能力）,1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座车</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辆（一年具有</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趟跑运能力），共计</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辆参与班车客运服务。投标公司需具有同一时间点运载</w:t>
      </w:r>
      <w:r>
        <w:rPr>
          <w:rFonts w:hint="eastAsia" w:ascii="宋体" w:hAnsi="宋体" w:cs="宋体"/>
          <w:color w:val="auto"/>
          <w:sz w:val="24"/>
          <w:szCs w:val="24"/>
          <w:highlight w:val="none"/>
          <w:lang w:val="en-US" w:eastAsia="zh-CN"/>
        </w:rPr>
        <w:t>450</w:t>
      </w:r>
      <w:r>
        <w:rPr>
          <w:rFonts w:hint="eastAsia" w:ascii="宋体" w:hAnsi="宋体" w:cs="宋体"/>
          <w:color w:val="auto"/>
          <w:sz w:val="24"/>
          <w:szCs w:val="24"/>
          <w:highlight w:val="none"/>
        </w:rPr>
        <w:t>个学生</w:t>
      </w:r>
      <w:r>
        <w:rPr>
          <w:rFonts w:hint="eastAsia" w:ascii="宋体" w:hAnsi="宋体" w:cs="宋体"/>
          <w:color w:val="auto"/>
          <w:sz w:val="24"/>
          <w:szCs w:val="24"/>
          <w:highlight w:val="none"/>
          <w:lang w:val="en-US" w:eastAsia="zh-CN"/>
        </w:rPr>
        <w:t>,30分钟内运载900个学生的</w:t>
      </w:r>
      <w:r>
        <w:rPr>
          <w:rFonts w:hint="eastAsia" w:ascii="宋体" w:hAnsi="宋体" w:cs="宋体"/>
          <w:color w:val="auto"/>
          <w:sz w:val="24"/>
          <w:szCs w:val="24"/>
          <w:highlight w:val="none"/>
        </w:rPr>
        <w:t>的能力。</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（二）车辆要求</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车辆须为本地牌照车辆；保险必须按规定参保司乘人员及第三责任险投保金额为</w:t>
      </w:r>
      <w:r>
        <w:rPr>
          <w:rFonts w:hint="eastAsia" w:ascii="宋体" w:hAnsi="宋体" w:cs="宋体"/>
          <w:color w:val="auto"/>
          <w:sz w:val="24"/>
          <w:szCs w:val="24"/>
          <w:highlight w:val="none"/>
          <w:u w:val="single"/>
          <w:lang w:val="en-US" w:eastAsia="zh-CN"/>
        </w:rPr>
        <w:t>100</w:t>
      </w:r>
      <w:r>
        <w:rPr>
          <w:rFonts w:hint="eastAsia" w:ascii="宋体" w:hAnsi="宋体" w:cs="宋体"/>
          <w:color w:val="auto"/>
          <w:sz w:val="24"/>
          <w:szCs w:val="24"/>
          <w:highlight w:val="none"/>
          <w:u w:val="single"/>
        </w:rPr>
        <w:t>万元</w:t>
      </w:r>
      <w:r>
        <w:rPr>
          <w:rFonts w:hint="eastAsia" w:ascii="宋体" w:hAnsi="宋体" w:cs="宋体"/>
          <w:color w:val="auto"/>
          <w:sz w:val="24"/>
          <w:szCs w:val="24"/>
          <w:highlight w:val="none"/>
        </w:rPr>
        <w:t>/辆以上；承运人旅客责任保险金额为</w:t>
      </w:r>
      <w:r>
        <w:rPr>
          <w:rFonts w:hint="eastAsia" w:ascii="宋体" w:hAnsi="宋体" w:cs="宋体"/>
          <w:color w:val="auto"/>
          <w:sz w:val="24"/>
          <w:szCs w:val="24"/>
          <w:highlight w:val="none"/>
          <w:u w:val="single"/>
          <w:lang w:val="en-US" w:eastAsia="zh-CN"/>
        </w:rPr>
        <w:t>50-100</w:t>
      </w:r>
      <w:r>
        <w:rPr>
          <w:rFonts w:hint="eastAsia" w:ascii="宋体" w:hAnsi="宋体" w:cs="宋体"/>
          <w:color w:val="auto"/>
          <w:sz w:val="24"/>
          <w:szCs w:val="24"/>
          <w:highlight w:val="none"/>
          <w:u w:val="single"/>
        </w:rPr>
        <w:t>万元</w:t>
      </w:r>
      <w:r>
        <w:rPr>
          <w:rFonts w:hint="eastAsia" w:ascii="宋体" w:hAnsi="宋体" w:cs="宋体"/>
          <w:color w:val="auto"/>
          <w:sz w:val="24"/>
          <w:szCs w:val="24"/>
          <w:highlight w:val="none"/>
        </w:rPr>
        <w:t>/人以上，使招标人的乘客一旦发生意外时得到保障，并提供保单复印件。</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提供营运车辆，使用年限1年以上5年以下（以行驶证登记日期至本项目开标之日计）的车辆。具备道路营运证，符合国家规定安全环保等要求，尾气排放符合欧III或以上标准。</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车辆具体要求必须具备：</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1)车身外观整洁，无锈斑、脱漆、凹凸、松动、开裂、变形； </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2)门饰条饰板完好，无脱落；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3）车灯功能完好，灯罩无破损；</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4）排气管无松动；车轮毂罩齐全、完好；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5)车辆前后号牌完整、无遮盖、无油污；</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6)车门开闭自如、锁止可靠；全车座椅无松动、靠背升降自如扶手完好；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7)车窗玻璃完整、清洁，玻璃升降装置功能完好；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8)车厢内整洁、卫生、无杂物、无异味；顶棚及车门内侧洁净、无积垢；</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9)头座套、窗帘，保持清洁、卫生、完好，即脏即换（1一2月更换一次）；</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10)车内设备，如空调、暖气等效果良好；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11)车辆刹车、避震效果良好（车辆需具备缓速器）钢板弹簧车架无异响；</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12)车辆配备灭火装置及车载安全锤,须有效完好；</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13）车队对车辆实行每月一次例行 “安检”，发现问题，牵涉到安全的，如刹车、方向、灯光等将要求及时修复，未能及时修复需安排相同或相近的车辆代营运，并做好安检记录，以便采购方随时抽检。</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服务车辆车型需统一品牌，同一颜色。</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因用车单位的车辆年检、故障维修和校车特殊任务等原因要临时调用乙方单位的备用车做机动班车时，应该无条件按合同价第一时间保障采购方单位的车辆使用，乙方须确保准时安全的同时，所调用的车辆必须与要求的车况相同相近。</w:t>
      </w:r>
    </w:p>
    <w:p>
      <w:pPr>
        <w:tabs>
          <w:tab w:val="left" w:pos="1455"/>
        </w:tabs>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行车线路要求：采购人要求的行车路线为</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路线1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新联公寓→中国计量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西校区（北门）→中国计量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东校区</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路线2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东校区（南大门）→中国计量</w:t>
      </w:r>
      <w:r>
        <w:rPr>
          <w:rFonts w:hint="eastAsia" w:ascii="宋体" w:hAnsi="宋体" w:cs="宋体"/>
          <w:color w:val="auto"/>
          <w:sz w:val="24"/>
          <w:szCs w:val="24"/>
          <w:highlight w:val="none"/>
          <w:lang w:eastAsia="zh-CN"/>
        </w:rPr>
        <w:t>大学</w:t>
      </w:r>
      <w:r>
        <w:rPr>
          <w:rFonts w:hint="eastAsia" w:ascii="宋体" w:hAnsi="宋体" w:cs="宋体"/>
          <w:color w:val="auto"/>
          <w:sz w:val="24"/>
          <w:szCs w:val="24"/>
          <w:highlight w:val="none"/>
        </w:rPr>
        <w:t>西校区东大门（靠近体育馆）→新联公寓</w:t>
      </w:r>
      <w:r>
        <w:rPr>
          <w:rFonts w:hint="eastAsia" w:ascii="宋体" w:hAnsi="宋体" w:cs="宋体"/>
          <w:color w:val="auto"/>
          <w:sz w:val="24"/>
          <w:szCs w:val="24"/>
          <w:highlight w:val="none"/>
          <w:lang w:eastAsia="zh-CN"/>
        </w:rPr>
        <w:t>。</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具体运行时间、停靠地点、行驶路线，采购人根据需要确定，投标人执行。根据运行需要，采购人有权调整班车的数量、时间、线路及站点</w:t>
      </w:r>
      <w:r>
        <w:rPr>
          <w:rFonts w:hint="eastAsia" w:ascii="宋体" w:hAnsi="宋体" w:cs="宋体"/>
          <w:color w:val="auto"/>
          <w:sz w:val="24"/>
          <w:szCs w:val="24"/>
          <w:highlight w:val="none"/>
          <w:lang w:eastAsia="zh-CN"/>
        </w:rPr>
        <w:t>，单趟距离控制在</w:t>
      </w:r>
      <w:r>
        <w:rPr>
          <w:rFonts w:hint="eastAsia" w:ascii="宋体" w:hAnsi="宋体" w:cs="宋体"/>
          <w:color w:val="auto"/>
          <w:sz w:val="24"/>
          <w:szCs w:val="24"/>
          <w:highlight w:val="none"/>
          <w:lang w:val="en-US" w:eastAsia="zh-CN"/>
        </w:rPr>
        <w:t>5公里以内的，价格不变</w:t>
      </w:r>
      <w:r>
        <w:rPr>
          <w:rFonts w:hint="eastAsia" w:ascii="宋体" w:hAnsi="宋体" w:cs="宋体"/>
          <w:color w:val="auto"/>
          <w:sz w:val="24"/>
          <w:szCs w:val="24"/>
          <w:highlight w:val="none"/>
        </w:rPr>
        <w:t>。</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因班车运行期间的油价涨跌与采购方无关（油价涨跌自负赢亏）。</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临时性用车和其它零星业务的用车，由采购人通知中标方，中标方</w:t>
      </w:r>
      <w:r>
        <w:rPr>
          <w:rFonts w:hint="eastAsia" w:ascii="宋体" w:hAnsi="宋体" w:cs="宋体"/>
          <w:color w:val="auto"/>
          <w:sz w:val="24"/>
          <w:szCs w:val="24"/>
          <w:highlight w:val="none"/>
          <w:lang w:eastAsia="zh-CN"/>
        </w:rPr>
        <w:t>必须</w:t>
      </w:r>
      <w:r>
        <w:rPr>
          <w:rFonts w:hint="eastAsia" w:ascii="宋体" w:hAnsi="宋体" w:cs="宋体"/>
          <w:color w:val="auto"/>
          <w:sz w:val="24"/>
          <w:szCs w:val="24"/>
          <w:highlight w:val="none"/>
        </w:rPr>
        <w:t>满足采购人的要求，无条件保障用车，车辆费用不分高峰期和平时用车期。费用都按招标、投标约定结算，确保30分钟内能安排临时用车安排。</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（三）排放要求：</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为确保服务车辆运输安全性，投标人提供的服务车辆应为全承载式客车，技术等级达到一级技术等级，排放标准达到欧III。</w:t>
      </w:r>
    </w:p>
    <w:p>
      <w:pPr>
        <w:tabs>
          <w:tab w:val="left" w:pos="1455"/>
        </w:tabs>
        <w:spacing w:line="360" w:lineRule="auto"/>
        <w:ind w:firstLine="482" w:firstLineChars="200"/>
        <w:rPr>
          <w:rFonts w:hint="eastAsia"/>
          <w:b/>
          <w:color w:val="auto"/>
          <w:sz w:val="24"/>
          <w:highlight w:val="none"/>
        </w:rPr>
      </w:pPr>
      <w:r>
        <w:rPr>
          <w:rFonts w:hint="eastAsia"/>
          <w:b/>
          <w:color w:val="auto"/>
          <w:sz w:val="24"/>
          <w:highlight w:val="none"/>
          <w:lang w:val="en-US" w:eastAsia="zh-CN"/>
        </w:rPr>
        <w:t>四</w:t>
      </w:r>
      <w:r>
        <w:rPr>
          <w:rFonts w:hint="eastAsia"/>
          <w:b/>
          <w:color w:val="auto"/>
          <w:sz w:val="24"/>
          <w:highlight w:val="none"/>
        </w:rPr>
        <w:t>、服务要求</w:t>
      </w:r>
    </w:p>
    <w:p>
      <w:pPr>
        <w:tabs>
          <w:tab w:val="left" w:pos="14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遵守中国计量大学继续教育学院学生班车情况执行。</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委派驾驶员必须服从学院办公室的统一安排调度。</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（二）按计划规定的车辆班次、发站时间、运行线路及临时停靠、站点进行运作。</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在向</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提供服务的过程中，须始终贯穿安全、准时准点的要点要素，如遇车辆故障、交通事故等原因导致不能准点到达，</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应及时通知学院并及时调配车辆，确保学生准时上课、实习、考试及到校内的各项学生活动。</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由此造成误车5分钟及以上的，每发生一次则扣减当日包车款的5%，同时承担学院学生自行换乘车的费用。</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提前5分钟到达始发站等候，准时发车。班车司机要提高服务质量，改进服务态度，礼貌文明待客。在任何情况下不准与学生争吵，不准在开车途中吸烟、接听手机。违反本规定，经批评教育不改的，可更换司机或辞退车辆。</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（四）严格遵守交通法，安全行驶。行驶途中严格按照交通法规、做到不冲红灯、不随意变更车道，不超速（特别是绕城高速随意变更车道及超速），屡教不改的调离工作岗位，</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必须加强对驾驶员安全法的教育。</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（五）无论班车发生何种责任事故（全责、次责、无责及驾驶员责任引起的乘车人员损伤）一切费用（包括垫付费用）均由</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负责。</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（六）用相对固定车辆、固定人员的运行方式，提供舒适的乘车环境，驾驶员要及时搞好班车的卫生工作。夏季室外温度28度及以上开启冷气，冬季室外温度10度及以下开暖空调。</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提供服务的驾驶员必须是与中标人签订劳动合同的合法劳务人员，要求具有五年（含）以上驾龄的A照驾驶员（需提供个人简历），必须安全行车3年或以上且无重大安全事故和严重交通违规记录，服务态度好，敬业守时，人品好，自觉服从采购人管理，身体健康，无嗜酒和赌博等不良习气，对车辆异常状况具有鉴别的能力；中标人须支付驾驶员工资等一切福利待遇以及按劳动法规定为其购买社会保险。</w:t>
      </w:r>
    </w:p>
    <w:p>
      <w:pPr>
        <w:tabs>
          <w:tab w:val="left" w:pos="14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若在</w:t>
      </w:r>
      <w:r>
        <w:rPr>
          <w:rFonts w:hint="eastAsia" w:ascii="宋体" w:hAnsi="宋体" w:cs="宋体"/>
          <w:color w:val="auto"/>
          <w:sz w:val="24"/>
          <w:szCs w:val="24"/>
          <w:highlight w:val="none"/>
          <w:lang w:eastAsia="zh-CN"/>
        </w:rPr>
        <w:t>合同期</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highlight w:val="none"/>
          <w:lang w:eastAsia="zh-CN"/>
        </w:rPr>
        <w:t>累计有</w:t>
      </w:r>
      <w:r>
        <w:rPr>
          <w:rFonts w:hint="eastAsia" w:ascii="宋体" w:hAnsi="宋体" w:cs="宋体"/>
          <w:color w:val="auto"/>
          <w:sz w:val="24"/>
          <w:szCs w:val="24"/>
          <w:highlight w:val="none"/>
          <w:lang w:val="en-US" w:eastAsia="zh-CN"/>
        </w:rPr>
        <w:t>3次或3次以上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未按</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规定的数量、时间、地点等要求提供车辆，</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有权解除合同。</w:t>
      </w:r>
    </w:p>
    <w:p>
      <w:pPr>
        <w:pStyle w:val="19"/>
        <w:adjustRightInd w:val="0"/>
        <w:snapToGrid w:val="0"/>
        <w:spacing w:before="120" w:after="120"/>
        <w:ind w:firstLine="513" w:firstLineChars="213"/>
        <w:rPr>
          <w:rFonts w:hint="eastAsia" w:hAnsi="宋体" w:cs="宋体"/>
          <w:b/>
          <w:snapToGrid w:val="0"/>
          <w:color w:val="auto"/>
          <w:sz w:val="24"/>
          <w:szCs w:val="24"/>
          <w:highlight w:val="none"/>
        </w:rPr>
      </w:pPr>
      <w:r>
        <w:rPr>
          <w:rFonts w:hint="eastAsia" w:hAnsi="宋体" w:cs="宋体"/>
          <w:b/>
          <w:snapToGrid w:val="0"/>
          <w:color w:val="auto"/>
          <w:sz w:val="24"/>
          <w:szCs w:val="24"/>
          <w:highlight w:val="none"/>
        </w:rPr>
        <w:t>五、合同有效期和履约保证金</w:t>
      </w:r>
    </w:p>
    <w:p>
      <w:pPr>
        <w:pStyle w:val="19"/>
        <w:adjustRightInd w:val="0"/>
        <w:snapToGrid w:val="0"/>
        <w:spacing w:before="120" w:after="120"/>
        <w:ind w:firstLine="511" w:firstLineChars="213"/>
        <w:rPr>
          <w:rFonts w:hint="eastAsia" w:ascii="宋体" w:hAnsi="宋体" w:eastAsia="宋体" w:cs="宋体"/>
          <w:color w:val="auto"/>
          <w:kern w:val="2"/>
          <w:sz w:val="24"/>
          <w:szCs w:val="24"/>
          <w:highlight w:val="none"/>
          <w:lang w:val="en-US" w:eastAsia="zh-CN" w:bidi="ar-SA"/>
        </w:rPr>
      </w:pPr>
      <w:bookmarkStart w:id="78" w:name="OLE_LINK6"/>
      <w:r>
        <w:rPr>
          <w:rFonts w:hint="eastAsia" w:ascii="宋体" w:hAnsi="宋体" w:eastAsia="宋体" w:cs="宋体"/>
          <w:color w:val="auto"/>
          <w:kern w:val="2"/>
          <w:sz w:val="24"/>
          <w:szCs w:val="24"/>
          <w:highlight w:val="none"/>
          <w:lang w:val="en-US" w:eastAsia="zh-CN" w:bidi="ar-SA"/>
        </w:rPr>
        <w:t>1、合同有限期1年：（2020年2月24日--2021年2月6日。）</w:t>
      </w:r>
    </w:p>
    <w:bookmarkEnd w:id="78"/>
    <w:p>
      <w:pPr>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2、合同签订后7个工作日内向采购人缴纳履约保证金人民币壹万元整，本合同履行完毕确认乙方无违约行为后无息返还给乙方（遇寒暑假及国家法定假日顺延）。</w:t>
      </w:r>
    </w:p>
    <w:p>
      <w:pPr>
        <w:pStyle w:val="19"/>
        <w:adjustRightInd w:val="0"/>
        <w:snapToGrid w:val="0"/>
        <w:spacing w:before="120" w:after="120"/>
        <w:ind w:firstLine="513" w:firstLineChars="213"/>
        <w:rPr>
          <w:rFonts w:hint="eastAsia" w:hAnsi="宋体" w:cs="宋体"/>
          <w:b/>
          <w:snapToGrid w:val="0"/>
          <w:color w:val="auto"/>
          <w:sz w:val="24"/>
          <w:szCs w:val="24"/>
          <w:highlight w:val="none"/>
        </w:rPr>
      </w:pPr>
      <w:r>
        <w:rPr>
          <w:rFonts w:hint="eastAsia" w:hAnsi="宋体" w:cs="宋体"/>
          <w:b/>
          <w:snapToGrid w:val="0"/>
          <w:color w:val="auto"/>
          <w:sz w:val="24"/>
          <w:szCs w:val="24"/>
          <w:highlight w:val="none"/>
        </w:rPr>
        <w:t>六、货款支付</w:t>
      </w:r>
    </w:p>
    <w:p>
      <w:pPr>
        <w:pStyle w:val="19"/>
        <w:adjustRightInd w:val="0"/>
        <w:snapToGrid w:val="0"/>
        <w:spacing w:before="120" w:after="120"/>
        <w:ind w:firstLine="511" w:firstLineChars="21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当月若无违约事件，甲方按月向乙方支付相关费用，支付金额按照单价*实际发车趟数计算，合同期内累计总支付金额不得超过30万元。若有相关违约事件，甲方在扣除乙方应支付的赔偿款后再支付费用。</w:t>
      </w:r>
    </w:p>
    <w:p>
      <w:pPr>
        <w:adjustRightInd w:val="0"/>
        <w:snapToGrid w:val="0"/>
        <w:spacing w:before="120" w:beforeLines="50" w:after="120" w:afterLines="50" w:line="240" w:lineRule="auto"/>
        <w:ind w:firstLine="513" w:firstLineChars="213"/>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七、税费</w:t>
      </w:r>
    </w:p>
    <w:p>
      <w:pPr>
        <w:adjustRightInd w:val="0"/>
        <w:snapToGrid w:val="0"/>
        <w:spacing w:before="120" w:beforeLines="50" w:after="120" w:afterLines="50" w:line="240" w:lineRule="auto"/>
        <w:ind w:firstLine="511" w:firstLineChars="213"/>
        <w:rPr>
          <w:rFonts w:hint="eastAsia" w:ascii="宋体" w:hAnsi="宋体" w:cs="宋体"/>
          <w:b/>
          <w:snapToGrid w:val="0"/>
          <w:color w:val="auto"/>
          <w:sz w:val="24"/>
          <w:highlight w:val="none"/>
        </w:rPr>
      </w:pPr>
      <w:r>
        <w:rPr>
          <w:rFonts w:hint="eastAsia" w:ascii="宋体" w:hAnsi="宋体" w:cs="宋体"/>
          <w:snapToGrid w:val="0"/>
          <w:color w:val="auto"/>
          <w:kern w:val="0"/>
          <w:sz w:val="24"/>
          <w:highlight w:val="none"/>
        </w:rPr>
        <w:t>本合同执行中相关的一切税费均由乙方负担。</w:t>
      </w:r>
    </w:p>
    <w:p>
      <w:pPr>
        <w:pStyle w:val="19"/>
        <w:adjustRightInd w:val="0"/>
        <w:snapToGrid w:val="0"/>
        <w:spacing w:before="120" w:after="120"/>
        <w:ind w:firstLine="513" w:firstLineChars="213"/>
        <w:rPr>
          <w:rFonts w:hint="eastAsia" w:hAnsi="宋体" w:cs="宋体"/>
          <w:b/>
          <w:snapToGrid w:val="0"/>
          <w:color w:val="auto"/>
          <w:sz w:val="24"/>
          <w:szCs w:val="24"/>
          <w:highlight w:val="none"/>
        </w:rPr>
      </w:pPr>
      <w:r>
        <w:rPr>
          <w:rFonts w:hint="eastAsia" w:hAnsi="宋体" w:cs="宋体"/>
          <w:b/>
          <w:snapToGrid w:val="0"/>
          <w:color w:val="auto"/>
          <w:sz w:val="24"/>
          <w:szCs w:val="24"/>
          <w:highlight w:val="none"/>
        </w:rPr>
        <w:t>八、违约责任</w:t>
      </w:r>
    </w:p>
    <w:p>
      <w:pPr>
        <w:pStyle w:val="19"/>
        <w:adjustRightInd w:val="0"/>
        <w:snapToGrid w:val="0"/>
        <w:spacing w:before="120" w:after="120"/>
        <w:ind w:left="1"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1、 乙方造成误车5分钟及以上的，每发生一次则扣减当日包车款的5%，同时承担甲方学生自行换乘的费用。</w:t>
      </w:r>
    </w:p>
    <w:p>
      <w:pPr>
        <w:tabs>
          <w:tab w:val="left" w:pos="1455"/>
        </w:tabs>
        <w:adjustRightInd w:val="0"/>
        <w:snapToGrid w:val="0"/>
        <w:spacing w:line="240" w:lineRule="auto"/>
        <w:ind w:firstLine="480"/>
        <w:rPr>
          <w:rFonts w:hint="eastAsia" w:ascii="宋体" w:hAnsi="宋体" w:cs="宋体"/>
          <w:snapToGrid w:val="0"/>
          <w:color w:val="auto"/>
          <w:sz w:val="24"/>
          <w:highlight w:val="none"/>
        </w:rPr>
      </w:pPr>
      <w:r>
        <w:rPr>
          <w:rFonts w:hint="eastAsia" w:ascii="宋体" w:hAnsi="宋体" w:cs="宋体"/>
          <w:snapToGrid w:val="0"/>
          <w:color w:val="auto"/>
          <w:sz w:val="24"/>
          <w:highlight w:val="none"/>
        </w:rPr>
        <w:t>2、 乙方若在合同期内有3次及3次以上未按甲方规定的数量、时间、地点等要求提供车辆，甲方有权解除合同。</w:t>
      </w:r>
    </w:p>
    <w:p>
      <w:pPr>
        <w:pStyle w:val="19"/>
        <w:adjustRightInd w:val="0"/>
        <w:snapToGrid w:val="0"/>
        <w:spacing w:before="120" w:after="120"/>
        <w:ind w:left="1"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3、解除合同应按《浙江省合同管理办法》向财政备案。</w:t>
      </w:r>
    </w:p>
    <w:p>
      <w:pPr>
        <w:pStyle w:val="19"/>
        <w:adjustRightInd w:val="0"/>
        <w:snapToGrid w:val="0"/>
        <w:spacing w:before="120" w:after="120"/>
        <w:ind w:left="1" w:firstLine="511" w:firstLineChars="213"/>
        <w:rPr>
          <w:rFonts w:hint="eastAsia" w:hAnsi="宋体" w:cs="宋体"/>
          <w:b/>
          <w:snapToGrid w:val="0"/>
          <w:color w:val="auto"/>
          <w:sz w:val="24"/>
          <w:szCs w:val="24"/>
          <w:highlight w:val="none"/>
        </w:rPr>
      </w:pPr>
      <w:r>
        <w:rPr>
          <w:rFonts w:hint="eastAsia" w:hAnsi="宋体" w:cs="宋体"/>
          <w:snapToGrid w:val="0"/>
          <w:color w:val="auto"/>
          <w:sz w:val="24"/>
          <w:szCs w:val="24"/>
          <w:highlight w:val="none"/>
        </w:rPr>
        <w:t>4、以上条款未解释到位的，详见招标文件。</w:t>
      </w:r>
    </w:p>
    <w:p>
      <w:pPr>
        <w:pStyle w:val="19"/>
        <w:adjustRightInd w:val="0"/>
        <w:snapToGrid w:val="0"/>
        <w:spacing w:before="120" w:after="120"/>
        <w:ind w:firstLine="513" w:firstLineChars="213"/>
        <w:rPr>
          <w:rFonts w:hint="eastAsia" w:hAnsi="宋体" w:cs="宋体"/>
          <w:b/>
          <w:snapToGrid w:val="0"/>
          <w:color w:val="auto"/>
          <w:sz w:val="24"/>
          <w:szCs w:val="24"/>
          <w:highlight w:val="none"/>
        </w:rPr>
      </w:pPr>
      <w:r>
        <w:rPr>
          <w:rFonts w:hint="eastAsia" w:hAnsi="宋体" w:cs="宋体"/>
          <w:b/>
          <w:snapToGrid w:val="0"/>
          <w:color w:val="auto"/>
          <w:sz w:val="24"/>
          <w:szCs w:val="24"/>
          <w:highlight w:val="none"/>
        </w:rPr>
        <w:t>九、不可抗力事件处理</w:t>
      </w:r>
    </w:p>
    <w:p>
      <w:pPr>
        <w:pStyle w:val="19"/>
        <w:adjustRightInd w:val="0"/>
        <w:snapToGrid w:val="0"/>
        <w:spacing w:before="120" w:after="120"/>
        <w:ind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1、 在合同有效期内，任何一方因不可抗力事件导致不能履行合同，则合同履行期可延长，其延长期与不可抗力影响期相同。</w:t>
      </w:r>
    </w:p>
    <w:p>
      <w:pPr>
        <w:pStyle w:val="19"/>
        <w:adjustRightInd w:val="0"/>
        <w:snapToGrid w:val="0"/>
        <w:spacing w:before="120" w:after="120"/>
        <w:ind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2、 不可抗力事件发生后，应立即通知对方，并寄送有关权威机构出具的证明。</w:t>
      </w:r>
    </w:p>
    <w:p>
      <w:pPr>
        <w:pStyle w:val="19"/>
        <w:adjustRightInd w:val="0"/>
        <w:snapToGrid w:val="0"/>
        <w:spacing w:before="120" w:after="120"/>
        <w:ind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3、 不可抗力事件延续120天以上，双方应通过友好协商，确定是否继续履行合同。</w:t>
      </w:r>
    </w:p>
    <w:p>
      <w:pPr>
        <w:pStyle w:val="19"/>
        <w:adjustRightInd w:val="0"/>
        <w:snapToGrid w:val="0"/>
        <w:spacing w:before="120" w:after="120"/>
        <w:ind w:firstLine="513" w:firstLineChars="213"/>
        <w:rPr>
          <w:rFonts w:hint="eastAsia" w:hAnsi="宋体" w:cs="宋体"/>
          <w:b/>
          <w:snapToGrid w:val="0"/>
          <w:color w:val="auto"/>
          <w:sz w:val="24"/>
          <w:szCs w:val="24"/>
          <w:highlight w:val="none"/>
        </w:rPr>
      </w:pPr>
      <w:r>
        <w:rPr>
          <w:rFonts w:hint="eastAsia" w:hAnsi="宋体" w:cs="宋体"/>
          <w:b/>
          <w:snapToGrid w:val="0"/>
          <w:color w:val="auto"/>
          <w:sz w:val="24"/>
          <w:szCs w:val="24"/>
          <w:highlight w:val="none"/>
        </w:rPr>
        <w:t>十、诉讼</w:t>
      </w:r>
    </w:p>
    <w:p>
      <w:pPr>
        <w:pStyle w:val="19"/>
        <w:adjustRightInd w:val="0"/>
        <w:snapToGrid w:val="0"/>
        <w:spacing w:before="120" w:after="120"/>
        <w:ind w:left="2"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双方在执行合同中所发生的一切争议，应通过协商解决。如协商不成，可向甲方所在地法院起诉。</w:t>
      </w:r>
    </w:p>
    <w:p>
      <w:pPr>
        <w:pStyle w:val="19"/>
        <w:adjustRightInd w:val="0"/>
        <w:snapToGrid w:val="0"/>
        <w:spacing w:before="120" w:after="120"/>
        <w:ind w:firstLine="513" w:firstLineChars="213"/>
        <w:rPr>
          <w:rFonts w:hint="eastAsia" w:hAnsi="宋体" w:cs="宋体"/>
          <w:b/>
          <w:snapToGrid w:val="0"/>
          <w:color w:val="auto"/>
          <w:sz w:val="24"/>
          <w:szCs w:val="24"/>
          <w:highlight w:val="none"/>
        </w:rPr>
      </w:pPr>
      <w:r>
        <w:rPr>
          <w:rFonts w:hint="eastAsia" w:hAnsi="宋体" w:cs="宋体"/>
          <w:b/>
          <w:snapToGrid w:val="0"/>
          <w:color w:val="auto"/>
          <w:sz w:val="24"/>
          <w:szCs w:val="24"/>
          <w:highlight w:val="none"/>
        </w:rPr>
        <w:t>十一、合同生效及其它</w:t>
      </w:r>
    </w:p>
    <w:p>
      <w:pPr>
        <w:pStyle w:val="19"/>
        <w:adjustRightInd w:val="0"/>
        <w:snapToGrid w:val="0"/>
        <w:spacing w:before="120" w:after="120"/>
        <w:ind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1、 合同经甲、乙</w:t>
      </w:r>
      <w:r>
        <w:rPr>
          <w:rFonts w:hint="eastAsia" w:hAnsi="宋体" w:cs="宋体"/>
          <w:snapToGrid w:val="0"/>
          <w:color w:val="auto"/>
          <w:sz w:val="24"/>
          <w:szCs w:val="24"/>
          <w:highlight w:val="none"/>
          <w:lang w:val="en-US" w:eastAsia="zh-CN"/>
        </w:rPr>
        <w:t>双</w:t>
      </w:r>
      <w:r>
        <w:rPr>
          <w:rFonts w:hint="eastAsia" w:hAnsi="宋体" w:cs="宋体"/>
          <w:snapToGrid w:val="0"/>
          <w:color w:val="auto"/>
          <w:sz w:val="24"/>
          <w:szCs w:val="24"/>
          <w:highlight w:val="none"/>
        </w:rPr>
        <w:t>方签名并加盖单位公章后生效。</w:t>
      </w:r>
    </w:p>
    <w:p>
      <w:pPr>
        <w:pStyle w:val="19"/>
        <w:adjustRightInd w:val="0"/>
        <w:snapToGrid w:val="0"/>
        <w:spacing w:before="120" w:after="120"/>
        <w:ind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2、合同执行中涉及采购资金和采购内容修改或补充的，须经采购中心、财政部门审批，并签书面补充协议，经报政府采购监督管理部门备案后，方可作为主合同不可分割的一部分。</w:t>
      </w:r>
    </w:p>
    <w:p>
      <w:pPr>
        <w:pStyle w:val="19"/>
        <w:adjustRightInd w:val="0"/>
        <w:snapToGrid w:val="0"/>
        <w:spacing w:before="120" w:after="120"/>
        <w:ind w:firstLine="511" w:firstLineChars="213"/>
        <w:rPr>
          <w:rFonts w:hint="eastAsia" w:hAnsi="宋体" w:cs="宋体"/>
          <w:snapToGrid w:val="0"/>
          <w:color w:val="auto"/>
          <w:sz w:val="24"/>
          <w:szCs w:val="24"/>
          <w:highlight w:val="none"/>
        </w:rPr>
      </w:pPr>
      <w:r>
        <w:rPr>
          <w:rFonts w:hint="eastAsia" w:hAnsi="宋体" w:cs="宋体"/>
          <w:snapToGrid w:val="0"/>
          <w:color w:val="auto"/>
          <w:sz w:val="24"/>
          <w:szCs w:val="24"/>
          <w:highlight w:val="none"/>
        </w:rPr>
        <w:t>3、招标文件、投标文件与本合同具有同等法律效力。</w:t>
      </w:r>
    </w:p>
    <w:p>
      <w:pPr>
        <w:pStyle w:val="19"/>
        <w:adjustRightInd w:val="0"/>
        <w:snapToGrid w:val="0"/>
        <w:spacing w:before="120" w:after="120"/>
        <w:ind w:firstLine="480" w:firstLineChars="200"/>
        <w:rPr>
          <w:rFonts w:hint="eastAsia" w:hAnsi="宋体" w:cs="宋体"/>
          <w:snapToGrid w:val="0"/>
          <w:color w:val="auto"/>
          <w:sz w:val="24"/>
          <w:szCs w:val="24"/>
          <w:highlight w:val="none"/>
        </w:rPr>
      </w:pPr>
      <w:r>
        <w:rPr>
          <w:rFonts w:hint="eastAsia" w:hAnsi="宋体" w:cs="宋体"/>
          <w:snapToGrid w:val="0"/>
          <w:color w:val="auto"/>
          <w:sz w:val="24"/>
          <w:szCs w:val="24"/>
          <w:highlight w:val="none"/>
        </w:rPr>
        <w:t>4、本合同未尽事宜，遵照《合同法》有关条文执行。</w:t>
      </w:r>
    </w:p>
    <w:p>
      <w:pPr>
        <w:pStyle w:val="19"/>
        <w:adjustRightInd w:val="0"/>
        <w:snapToGrid w:val="0"/>
        <w:spacing w:before="120" w:after="120"/>
        <w:ind w:left="2" w:leftChars="1" w:firstLine="480" w:firstLineChars="200"/>
        <w:rPr>
          <w:rFonts w:hint="eastAsia" w:hAnsi="宋体" w:cs="宋体"/>
          <w:snapToGrid w:val="0"/>
          <w:color w:val="auto"/>
          <w:sz w:val="24"/>
          <w:szCs w:val="24"/>
          <w:highlight w:val="none"/>
        </w:rPr>
      </w:pPr>
      <w:r>
        <w:rPr>
          <w:rFonts w:hint="eastAsia" w:hAnsi="宋体" w:cs="宋体"/>
          <w:snapToGrid w:val="0"/>
          <w:color w:val="auto"/>
          <w:sz w:val="24"/>
          <w:szCs w:val="24"/>
          <w:highlight w:val="none"/>
        </w:rPr>
        <w:t>5、本合同一式六份，具有同等法律效力，甲</w:t>
      </w:r>
      <w:r>
        <w:rPr>
          <w:rFonts w:hint="eastAsia" w:hAnsi="宋体" w:cs="宋体"/>
          <w:snapToGrid w:val="0"/>
          <w:color w:val="auto"/>
          <w:sz w:val="24"/>
          <w:szCs w:val="24"/>
          <w:highlight w:val="none"/>
          <w:lang w:val="en-US" w:eastAsia="zh-CN"/>
        </w:rPr>
        <w:t>方执肆份，</w:t>
      </w:r>
      <w:r>
        <w:rPr>
          <w:rFonts w:hint="eastAsia" w:hAnsi="宋体" w:cs="宋体"/>
          <w:snapToGrid w:val="0"/>
          <w:color w:val="auto"/>
          <w:sz w:val="24"/>
          <w:szCs w:val="24"/>
          <w:highlight w:val="none"/>
        </w:rPr>
        <w:t>乙方</w:t>
      </w:r>
      <w:r>
        <w:rPr>
          <w:rFonts w:hint="eastAsia" w:hAnsi="宋体" w:cs="宋体"/>
          <w:snapToGrid w:val="0"/>
          <w:color w:val="auto"/>
          <w:sz w:val="24"/>
          <w:szCs w:val="24"/>
          <w:highlight w:val="none"/>
          <w:lang w:val="en-US" w:eastAsia="zh-CN"/>
        </w:rPr>
        <w:t>执贰</w:t>
      </w:r>
      <w:r>
        <w:rPr>
          <w:rFonts w:hint="eastAsia" w:hAnsi="宋体" w:cs="宋体"/>
          <w:snapToGrid w:val="0"/>
          <w:color w:val="auto"/>
          <w:sz w:val="24"/>
          <w:szCs w:val="24"/>
          <w:highlight w:val="none"/>
        </w:rPr>
        <w:t>份</w:t>
      </w:r>
      <w:r>
        <w:rPr>
          <w:rFonts w:hint="eastAsia" w:hAnsi="宋体" w:cs="宋体"/>
          <w:snapToGrid w:val="0"/>
          <w:color w:val="auto"/>
          <w:sz w:val="24"/>
          <w:szCs w:val="24"/>
          <w:highlight w:val="none"/>
          <w:lang w:val="en-US" w:eastAsia="zh-CN"/>
        </w:rPr>
        <w:t xml:space="preserve"> </w:t>
      </w:r>
      <w:r>
        <w:rPr>
          <w:rFonts w:hint="eastAsia" w:hAnsi="宋体" w:cs="宋体"/>
          <w:snapToGrid w:val="0"/>
          <w:color w:val="auto"/>
          <w:sz w:val="24"/>
          <w:szCs w:val="24"/>
          <w:highlight w:val="none"/>
        </w:rPr>
        <w:t>。</w:t>
      </w:r>
    </w:p>
    <w:p>
      <w:pPr>
        <w:pStyle w:val="19"/>
        <w:spacing w:before="120" w:after="120" w:line="288" w:lineRule="auto"/>
        <w:ind w:firstLine="420" w:firstLineChars="200"/>
        <w:rPr>
          <w:rFonts w:ascii="Times New Roman" w:hAnsi="Times New Roman"/>
          <w:color w:val="auto"/>
          <w:szCs w:val="21"/>
          <w:highlight w:val="none"/>
        </w:rPr>
      </w:pPr>
    </w:p>
    <w:tbl>
      <w:tblPr>
        <w:tblStyle w:val="38"/>
        <w:tblW w:w="10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532" w:type="dxa"/>
            <w:noWrap w:val="0"/>
            <w:vAlign w:val="center"/>
          </w:tcPr>
          <w:p>
            <w:pPr>
              <w:ind w:firstLine="396"/>
              <w:rPr>
                <w:rFonts w:hint="eastAsia" w:eastAsia="宋体"/>
                <w:color w:val="auto"/>
                <w:spacing w:val="-6"/>
                <w:sz w:val="21"/>
                <w:szCs w:val="21"/>
                <w:highlight w:val="none"/>
                <w:lang w:eastAsia="zh-CN"/>
              </w:rPr>
            </w:pPr>
            <w:r>
              <w:rPr>
                <w:rFonts w:hAnsi="宋体"/>
                <w:color w:val="auto"/>
                <w:spacing w:val="-6"/>
                <w:sz w:val="21"/>
                <w:szCs w:val="21"/>
                <w:highlight w:val="none"/>
              </w:rPr>
              <w:t>甲方（公章）：</w:t>
            </w:r>
            <w:r>
              <w:rPr>
                <w:rFonts w:hint="eastAsia" w:hAnsi="宋体"/>
                <w:color w:val="auto"/>
                <w:spacing w:val="-6"/>
                <w:sz w:val="21"/>
                <w:szCs w:val="21"/>
                <w:highlight w:val="none"/>
                <w:lang w:eastAsia="zh-CN"/>
              </w:rPr>
              <w:t>中国计量大学</w:t>
            </w:r>
          </w:p>
        </w:tc>
        <w:tc>
          <w:tcPr>
            <w:tcW w:w="4533" w:type="dxa"/>
            <w:noWrap w:val="0"/>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地址：</w:t>
            </w:r>
            <w:r>
              <w:rPr>
                <w:color w:val="auto"/>
                <w:spacing w:val="-6"/>
                <w:sz w:val="21"/>
                <w:szCs w:val="21"/>
                <w:highlight w:val="none"/>
              </w:rPr>
              <w:t xml:space="preserve"> </w:t>
            </w:r>
            <w:r>
              <w:rPr>
                <w:rFonts w:hint="eastAsia"/>
                <w:color w:val="auto"/>
                <w:spacing w:val="-6"/>
                <w:sz w:val="21"/>
                <w:szCs w:val="21"/>
                <w:highlight w:val="none"/>
              </w:rPr>
              <w:t>杭州下沙学源街258号</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邮编：</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电话：</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开户银行：</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帐号：</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w:t>
            </w:r>
            <w:r>
              <w:rPr>
                <w:rFonts w:hint="eastAsia" w:hAnsi="宋体"/>
                <w:color w:val="auto"/>
                <w:spacing w:val="-6"/>
                <w:sz w:val="21"/>
                <w:szCs w:val="21"/>
                <w:highlight w:val="none"/>
              </w:rPr>
              <w:t xml:space="preserve">      </w:t>
            </w:r>
            <w:r>
              <w:rPr>
                <w:rFonts w:hAnsi="宋体"/>
                <w:color w:val="auto"/>
                <w:spacing w:val="-6"/>
                <w:sz w:val="21"/>
                <w:szCs w:val="21"/>
                <w:highlight w:val="none"/>
              </w:rPr>
              <w:t>签订时间：</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年</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月</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日</w:t>
            </w:r>
          </w:p>
        </w:tc>
      </w:tr>
    </w:tbl>
    <w:p>
      <w:pPr>
        <w:ind w:left="0" w:leftChars="0" w:firstLine="0" w:firstLineChars="0"/>
        <w:rPr>
          <w:rFonts w:ascii="宋体" w:hAnsi="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3"/>
        <w:rPr>
          <w:color w:val="auto"/>
          <w:highlight w:val="none"/>
        </w:rPr>
      </w:pPr>
      <w:bookmarkStart w:id="79" w:name="_Toc27145"/>
      <w:r>
        <w:rPr>
          <w:rFonts w:hint="eastAsia" w:cs="宋体"/>
          <w:color w:val="auto"/>
          <w:highlight w:val="none"/>
        </w:rPr>
        <w:t>第六章 投标文件格式</w:t>
      </w:r>
      <w:bookmarkEnd w:id="77"/>
      <w:bookmarkEnd w:id="79"/>
    </w:p>
    <w:p>
      <w:pPr>
        <w:pStyle w:val="19"/>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19"/>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503315456"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1024;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5"/>
        <w:ind w:firstLine="2982" w:firstLineChars="900"/>
        <w:rPr>
          <w:b/>
          <w:color w:val="auto"/>
          <w:sz w:val="33"/>
          <w:szCs w:val="33"/>
          <w:highlight w:val="none"/>
        </w:rPr>
      </w:pPr>
      <w:r>
        <w:rPr>
          <w:b/>
          <w:color w:val="auto"/>
          <w:sz w:val="33"/>
          <w:szCs w:val="33"/>
          <w:highlight w:val="none"/>
        </w:rPr>
        <w:t xml:space="preserve">格式一：资格审查材料 </w:t>
      </w:r>
    </w:p>
    <w:tbl>
      <w:tblPr>
        <w:tblStyle w:val="38"/>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5"/>
              <w:numPr>
                <w:ilvl w:val="0"/>
                <w:numId w:val="12"/>
              </w:numPr>
              <w:rPr>
                <w:color w:val="auto"/>
                <w:highlight w:val="none"/>
              </w:rPr>
            </w:pPr>
            <w:r>
              <w:rPr>
                <w:color w:val="auto"/>
                <w:highlight w:val="none"/>
              </w:rPr>
              <w:t>如</w:t>
            </w:r>
            <w:r>
              <w:rPr>
                <w:rFonts w:hint="eastAsia"/>
                <w:color w:val="auto"/>
                <w:highlight w:val="none"/>
                <w:lang w:val="en-US" w:eastAsia="zh-CN"/>
              </w:rPr>
              <w:t>投标人</w:t>
            </w:r>
            <w:r>
              <w:rPr>
                <w:color w:val="auto"/>
                <w:highlight w:val="none"/>
              </w:rPr>
              <w:t>是企业（包括合伙企业），提供在工商部门注册的有效“企业法人营业执照”或“营业执照”；</w:t>
            </w:r>
          </w:p>
          <w:p>
            <w:pPr>
              <w:pStyle w:val="35"/>
              <w:numPr>
                <w:ilvl w:val="0"/>
                <w:numId w:val="12"/>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是事业单位，提供有效的“事业单位法人证书”；</w:t>
            </w:r>
          </w:p>
          <w:p>
            <w:pPr>
              <w:pStyle w:val="35"/>
              <w:numPr>
                <w:ilvl w:val="0"/>
                <w:numId w:val="12"/>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是非企业专业服务机构的，提供执业许可证等证明文件；</w:t>
            </w:r>
          </w:p>
          <w:p>
            <w:pPr>
              <w:pStyle w:val="35"/>
              <w:numPr>
                <w:ilvl w:val="0"/>
                <w:numId w:val="12"/>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是个体工商户，提供有效的“个体工商户营业执照”；</w:t>
            </w:r>
          </w:p>
          <w:p>
            <w:pPr>
              <w:pStyle w:val="35"/>
              <w:numPr>
                <w:ilvl w:val="0"/>
                <w:numId w:val="12"/>
              </w:numPr>
              <w:rPr>
                <w:color w:val="auto"/>
                <w:highlight w:val="none"/>
              </w:rPr>
            </w:pPr>
            <w:r>
              <w:rPr>
                <w:color w:val="auto"/>
                <w:highlight w:val="none"/>
              </w:rPr>
              <w:t>如投标人是自然人，提供有效的自然人身份证明。</w:t>
            </w:r>
          </w:p>
          <w:p>
            <w:pPr>
              <w:pStyle w:val="35"/>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5"/>
              <w:numPr>
                <w:ilvl w:val="0"/>
                <w:numId w:val="13"/>
              </w:numPr>
              <w:rPr>
                <w:color w:val="auto"/>
                <w:highlight w:val="none"/>
              </w:rPr>
            </w:pPr>
            <w:r>
              <w:rPr>
                <w:rFonts w:hint="eastAsia"/>
                <w:color w:val="auto"/>
                <w:highlight w:val="none"/>
                <w:lang w:eastAsia="zh-CN"/>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5"/>
              <w:numPr>
                <w:ilvl w:val="0"/>
                <w:numId w:val="13"/>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5"/>
              <w:numPr>
                <w:ilvl w:val="0"/>
                <w:numId w:val="13"/>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5"/>
              <w:numPr>
                <w:ilvl w:val="0"/>
                <w:numId w:val="13"/>
              </w:numPr>
              <w:rPr>
                <w:color w:val="auto"/>
                <w:highlight w:val="none"/>
              </w:rPr>
            </w:pPr>
            <w:r>
              <w:rPr>
                <w:rFonts w:hint="eastAsia"/>
                <w:color w:val="auto"/>
                <w:highlight w:val="none"/>
                <w:lang w:eastAsia="zh-CN"/>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5"/>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5"/>
              <w:numPr>
                <w:ilvl w:val="0"/>
                <w:numId w:val="14"/>
              </w:numPr>
              <w:rPr>
                <w:color w:val="auto"/>
                <w:highlight w:val="none"/>
              </w:rPr>
            </w:pPr>
            <w:r>
              <w:rPr>
                <w:color w:val="auto"/>
                <w:highlight w:val="none"/>
              </w:rPr>
              <w:t>最近六个月任意一月依法缴纳税收的证明材料指</w:t>
            </w:r>
            <w:r>
              <w:rPr>
                <w:rFonts w:hint="eastAsia"/>
                <w:color w:val="auto"/>
                <w:highlight w:val="none"/>
                <w:lang w:eastAsia="zh-CN"/>
              </w:rPr>
              <w:t>投标人</w:t>
            </w:r>
            <w:r>
              <w:rPr>
                <w:color w:val="auto"/>
                <w:highlight w:val="none"/>
              </w:rPr>
              <w:t>参加政府采购活动前最近六个月任意一月内依法缴纳税收的凭据（完税证明或纳税证明或银行电子缴税付款凭证等）；</w:t>
            </w:r>
          </w:p>
          <w:p>
            <w:pPr>
              <w:pStyle w:val="35"/>
              <w:numPr>
                <w:ilvl w:val="0"/>
                <w:numId w:val="14"/>
              </w:numPr>
              <w:rPr>
                <w:color w:val="auto"/>
                <w:highlight w:val="none"/>
              </w:rPr>
            </w:pPr>
            <w:r>
              <w:rPr>
                <w:color w:val="auto"/>
                <w:highlight w:val="none"/>
              </w:rPr>
              <w:t>依法免税的</w:t>
            </w:r>
            <w:r>
              <w:rPr>
                <w:rFonts w:hint="eastAsia"/>
                <w:color w:val="auto"/>
                <w:highlight w:val="none"/>
                <w:lang w:eastAsia="zh-CN"/>
              </w:rPr>
              <w:t>投标人</w:t>
            </w:r>
            <w:r>
              <w:rPr>
                <w:color w:val="auto"/>
                <w:highlight w:val="none"/>
              </w:rPr>
              <w:t>，应提供相应文件证明其依法免税；</w:t>
            </w:r>
          </w:p>
          <w:p>
            <w:pPr>
              <w:pStyle w:val="35"/>
              <w:numPr>
                <w:ilvl w:val="0"/>
                <w:numId w:val="14"/>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lang w:eastAsia="zh-CN"/>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5"/>
              <w:numPr>
                <w:ilvl w:val="0"/>
                <w:numId w:val="14"/>
              </w:numPr>
              <w:rPr>
                <w:color w:val="auto"/>
                <w:highlight w:val="none"/>
              </w:rPr>
            </w:pPr>
            <w:r>
              <w:rPr>
                <w:color w:val="auto"/>
                <w:highlight w:val="none"/>
              </w:rPr>
              <w:t>依法不需要缴纳社会保障资金的投标人，应提供相应文件证明其依法不需要缴纳社会保障资金；</w:t>
            </w:r>
          </w:p>
          <w:p>
            <w:pPr>
              <w:pStyle w:val="35"/>
              <w:numPr>
                <w:ilvl w:val="0"/>
                <w:numId w:val="14"/>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5"/>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5"/>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5"/>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5"/>
              <w:keepNext w:val="0"/>
              <w:keepLines w:val="0"/>
              <w:pageBreakBefore w:val="0"/>
              <w:kinsoku/>
              <w:wordWrap/>
              <w:overflowPunct/>
              <w:topLinePunct w:val="0"/>
              <w:autoSpaceDE/>
              <w:autoSpaceDN/>
              <w:bidi w:val="0"/>
              <w:adjustRightInd/>
              <w:snapToGrid/>
              <w:spacing w:before="75" w:beforeAutospacing="0" w:after="75" w:afterAutospacing="0" w:line="240" w:lineRule="auto"/>
              <w:textAlignment w:val="auto"/>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ind w:left="0" w:leftChars="0" w:firstLine="0" w:firstLineChars="0"/>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1</w:t>
            </w:r>
            <w:r>
              <w:rPr>
                <w:rFonts w:hint="eastAsia"/>
                <w:color w:val="auto"/>
                <w:sz w:val="22"/>
                <w:szCs w:val="22"/>
                <w:highlight w:val="none"/>
                <w:lang w:eastAsia="zh-CN"/>
              </w:rPr>
              <w:t>）</w:t>
            </w:r>
            <w:r>
              <w:rPr>
                <w:rFonts w:hint="eastAsia"/>
                <w:color w:val="auto"/>
                <w:sz w:val="22"/>
                <w:szCs w:val="22"/>
                <w:highlight w:val="none"/>
              </w:rPr>
              <w:t>提供响应文件递交截止日前1日历天17:00（北京时间）的查询信息网站截图，查询渠道：“国家企业信用信息公示系统”（w</w:t>
            </w:r>
            <w:r>
              <w:rPr>
                <w:color w:val="auto"/>
                <w:sz w:val="22"/>
                <w:szCs w:val="22"/>
                <w:highlight w:val="none"/>
              </w:rPr>
              <w:fldChar w:fldCharType="begin"/>
            </w:r>
            <w:r>
              <w:rPr>
                <w:color w:val="auto"/>
                <w:sz w:val="22"/>
                <w:szCs w:val="22"/>
                <w:highlight w:val="none"/>
              </w:rPr>
              <w:instrText xml:space="preserve"> HYPERLINK "http://www.gsxt.gov.cn/corp-query-homepage.html" </w:instrText>
            </w:r>
            <w:r>
              <w:rPr>
                <w:color w:val="auto"/>
                <w:sz w:val="22"/>
                <w:szCs w:val="22"/>
                <w:highlight w:val="none"/>
              </w:rPr>
              <w:fldChar w:fldCharType="separate"/>
            </w:r>
            <w:r>
              <w:rPr>
                <w:rFonts w:hint="eastAsia"/>
                <w:color w:val="auto"/>
                <w:sz w:val="22"/>
                <w:szCs w:val="22"/>
                <w:highlight w:val="none"/>
              </w:rPr>
              <w:t>ww.gsxt.gov.cn/corp-query-homepage.html</w:t>
            </w:r>
            <w:r>
              <w:rPr>
                <w:rFonts w:hint="eastAsia"/>
                <w:color w:val="auto"/>
                <w:sz w:val="22"/>
                <w:szCs w:val="22"/>
                <w:highlight w:val="none"/>
              </w:rPr>
              <w:fldChar w:fldCharType="end"/>
            </w:r>
            <w:r>
              <w:rPr>
                <w:rFonts w:hint="eastAsia"/>
                <w:color w:val="auto"/>
                <w:sz w:val="22"/>
                <w:szCs w:val="22"/>
                <w:highlight w:val="none"/>
              </w:rPr>
              <w:t>）</w:t>
            </w:r>
          </w:p>
          <w:p>
            <w:pPr>
              <w:pStyle w:val="13"/>
              <w:rPr>
                <w:color w:val="auto"/>
                <w:highlight w:val="none"/>
              </w:rPr>
            </w:pPr>
            <w:r>
              <w:rPr>
                <w:rFonts w:hint="eastAsia" w:ascii="Calibri" w:hAnsi="Calibri" w:eastAsia="宋体" w:cs="Times New Roman"/>
                <w:color w:val="auto"/>
                <w:kern w:val="2"/>
                <w:sz w:val="24"/>
                <w:szCs w:val="24"/>
                <w:highlight w:val="none"/>
                <w:lang w:val="en-US" w:eastAsia="zh-CN" w:bidi="ar-SA"/>
              </w:rPr>
              <w:t>（2）提交公司架构及股权结构。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5"/>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5"/>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lang w:val="en-US" w:eastAsia="zh-CN"/>
              </w:rPr>
              <w:t>招标</w:t>
            </w:r>
            <w:r>
              <w:rPr>
                <w:color w:val="auto"/>
                <w:highlight w:val="none"/>
              </w:rPr>
              <w:t>公告”中“四</w:t>
            </w:r>
            <w:r>
              <w:rPr>
                <w:rFonts w:hint="eastAsia"/>
                <w:color w:val="auto"/>
                <w:highlight w:val="none"/>
              </w:rPr>
              <w:t>、</w:t>
            </w:r>
            <w:r>
              <w:rPr>
                <w:rFonts w:hint="eastAsia"/>
                <w:color w:val="auto"/>
                <w:highlight w:val="none"/>
                <w:lang w:val="en-US" w:eastAsia="zh-CN"/>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0</w:t>
            </w:r>
          </w:p>
        </w:tc>
        <w:tc>
          <w:tcPr>
            <w:tcW w:w="2740" w:type="dxa"/>
            <w:vAlign w:val="center"/>
          </w:tcPr>
          <w:p>
            <w:pPr>
              <w:spacing w:line="400" w:lineRule="exact"/>
              <w:ind w:left="0" w:leftChars="0"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left="0" w:leftChars="0" w:firstLine="0" w:firstLineChars="0"/>
              <w:rPr>
                <w:rFonts w:hint="eastAsia" w:ascii="宋体" w:hAnsi="宋体" w:eastAsia="宋体"/>
                <w:color w:val="auto"/>
                <w:highlight w:val="none"/>
                <w:lang w:eastAsia="zh-CN"/>
              </w:rPr>
            </w:pPr>
            <w:r>
              <w:rPr>
                <w:rFonts w:hint="eastAsia" w:ascii="宋体" w:hAnsi="宋体"/>
                <w:color w:val="auto"/>
                <w:highlight w:val="none"/>
              </w:rPr>
              <w:t>本项目</w:t>
            </w:r>
            <w:r>
              <w:rPr>
                <w:rFonts w:hint="eastAsia" w:ascii="宋体" w:hAnsi="宋体"/>
                <w:color w:val="auto"/>
                <w:highlight w:val="none"/>
                <w:lang w:val="en-US" w:eastAsia="zh-CN"/>
              </w:rPr>
              <w:t>不</w:t>
            </w:r>
            <w:r>
              <w:rPr>
                <w:rFonts w:hint="eastAsia" w:ascii="宋体" w:hAnsi="宋体"/>
                <w:color w:val="auto"/>
                <w:highlight w:val="none"/>
              </w:rPr>
              <w:t>接受联合体投标</w:t>
            </w:r>
            <w:r>
              <w:rPr>
                <w:rFonts w:hint="eastAsia" w:ascii="宋体" w:hAnsi="宋体"/>
                <w:color w:val="auto"/>
                <w:highlight w:val="none"/>
                <w:lang w:eastAsia="zh-CN"/>
              </w:rPr>
              <w:t>。</w:t>
            </w:r>
          </w:p>
        </w:tc>
      </w:tr>
    </w:tbl>
    <w:p>
      <w:pPr>
        <w:pStyle w:val="35"/>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rPr>
          <w:rFonts w:hint="eastAsia" w:ascii="宋体" w:hAnsi="宋体"/>
          <w:b/>
          <w:color w:val="auto"/>
          <w:kern w:val="0"/>
          <w:sz w:val="32"/>
          <w:szCs w:val="32"/>
          <w:highlight w:val="none"/>
        </w:rPr>
      </w:pPr>
      <w:r>
        <w:rPr>
          <w:rFonts w:hint="eastAsia" w:ascii="宋体" w:hAnsi="宋体"/>
          <w:b/>
          <w:color w:val="auto"/>
          <w:kern w:val="0"/>
          <w:sz w:val="32"/>
          <w:szCs w:val="32"/>
          <w:highlight w:val="none"/>
        </w:rPr>
        <w:br w:type="page"/>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hint="eastAsia"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rPr>
          <w:rFonts w:hint="eastAsia"/>
          <w:color w:val="auto"/>
          <w:highlight w:val="none"/>
        </w:rPr>
      </w:pPr>
      <w:r>
        <w:rPr>
          <w:rFonts w:hint="eastAsia"/>
          <w:color w:val="auto"/>
          <w:highlight w:val="none"/>
        </w:rPr>
        <w:br w:type="page"/>
      </w:r>
    </w:p>
    <w:p>
      <w:pPr>
        <w:pStyle w:val="8"/>
        <w:rPr>
          <w:rFonts w:hint="eastAsia"/>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5"/>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rPr>
          <w:rFonts w:ascii="宋体" w:hAnsi="宋体" w:eastAsia="宋体" w:cs="宋体"/>
          <w:b/>
          <w:color w:val="auto"/>
          <w:sz w:val="32"/>
          <w:szCs w:val="32"/>
          <w:highlight w:val="none"/>
        </w:rPr>
      </w:pPr>
      <w:r>
        <w:rPr>
          <w:rFonts w:ascii="宋体" w:hAnsi="宋体" w:eastAsia="宋体" w:cs="宋体"/>
          <w:b/>
          <w:color w:val="auto"/>
          <w:sz w:val="32"/>
          <w:szCs w:val="32"/>
          <w:highlight w:val="none"/>
        </w:rPr>
        <w:br w:type="page"/>
      </w: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1024"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1024;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报价文件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80" w:name="_Toc6136"/>
      <w:r>
        <w:rPr>
          <w:rFonts w:hint="eastAsia" w:ascii="宋体" w:hAnsi="宋体" w:cs="宋体"/>
          <w:b/>
          <w:color w:val="auto"/>
          <w:kern w:val="0"/>
          <w:sz w:val="36"/>
          <w:highlight w:val="none"/>
        </w:rPr>
        <w:t>报价文件目录</w:t>
      </w:r>
      <w:bookmarkEnd w:id="80"/>
    </w:p>
    <w:p>
      <w:pPr>
        <w:ind w:firstLine="480"/>
        <w:outlineLvl w:val="0"/>
        <w:rPr>
          <w:rFonts w:ascii="宋体" w:hAnsi="宋体" w:cs="宋体"/>
          <w:color w:val="auto"/>
          <w:kern w:val="0"/>
          <w:highlight w:val="none"/>
        </w:rPr>
      </w:pPr>
      <w:bookmarkStart w:id="81" w:name="_Toc16666"/>
      <w:r>
        <w:rPr>
          <w:rFonts w:hint="eastAsia" w:ascii="宋体" w:hAnsi="宋体" w:cs="宋体"/>
          <w:color w:val="auto"/>
          <w:kern w:val="0"/>
          <w:highlight w:val="none"/>
        </w:rPr>
        <w:t>（1）投标响应函………………………………………………………………（页码）</w:t>
      </w:r>
      <w:bookmarkEnd w:id="81"/>
    </w:p>
    <w:p>
      <w:pPr>
        <w:ind w:firstLine="480"/>
        <w:outlineLvl w:val="0"/>
        <w:rPr>
          <w:rFonts w:ascii="宋体" w:hAnsi="宋体" w:cs="宋体"/>
          <w:color w:val="auto"/>
          <w:kern w:val="0"/>
          <w:highlight w:val="none"/>
        </w:rPr>
      </w:pPr>
      <w:bookmarkStart w:id="82" w:name="_Toc9814"/>
      <w:r>
        <w:rPr>
          <w:rFonts w:hint="eastAsia" w:ascii="宋体" w:hAnsi="宋体" w:cs="宋体"/>
          <w:color w:val="auto"/>
          <w:kern w:val="0"/>
          <w:highlight w:val="none"/>
        </w:rPr>
        <w:t>（2）开标一览表………………………………………………………………（页码）</w:t>
      </w:r>
      <w:bookmarkEnd w:id="82"/>
    </w:p>
    <w:p>
      <w:pPr>
        <w:ind w:firstLine="480"/>
        <w:outlineLvl w:val="0"/>
        <w:rPr>
          <w:rFonts w:ascii="宋体" w:hAnsi="宋体" w:cs="宋体"/>
          <w:color w:val="auto"/>
          <w:kern w:val="0"/>
          <w:highlight w:val="none"/>
        </w:rPr>
      </w:pPr>
      <w:bookmarkStart w:id="83" w:name="_Toc10349"/>
      <w:r>
        <w:rPr>
          <w:rFonts w:hint="eastAsia" w:ascii="宋体" w:hAnsi="宋体" w:cs="宋体"/>
          <w:color w:val="auto"/>
          <w:kern w:val="0"/>
          <w:highlight w:val="none"/>
        </w:rPr>
        <w:t>（3）投标报价明细表…………………………………………………………（页码）</w:t>
      </w:r>
      <w:bookmarkEnd w:id="83"/>
    </w:p>
    <w:p>
      <w:pPr>
        <w:ind w:firstLine="480"/>
        <w:outlineLvl w:val="0"/>
        <w:rPr>
          <w:rFonts w:ascii="宋体" w:hAnsi="宋体" w:cs="宋体"/>
          <w:color w:val="auto"/>
          <w:highlight w:val="none"/>
        </w:rPr>
      </w:pPr>
      <w:bookmarkStart w:id="84"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84"/>
    </w:p>
    <w:p>
      <w:pPr>
        <w:pStyle w:val="5"/>
        <w:rPr>
          <w:rFonts w:ascii="仿宋_GB2312" w:eastAsia="仿宋_GB2312"/>
          <w:color w:val="auto"/>
          <w:sz w:val="32"/>
          <w:highlight w:val="none"/>
        </w:rPr>
      </w:pPr>
      <w:r>
        <w:rPr>
          <w:rFonts w:hint="eastAsia" w:ascii="仿宋_GB2312" w:hAnsi="宋体" w:eastAsia="仿宋_GB2312"/>
          <w:color w:val="auto"/>
          <w:kern w:val="0"/>
          <w:sz w:val="32"/>
          <w:highlight w:val="none"/>
        </w:rPr>
        <w:br w:type="page"/>
      </w: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中国计量大学</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19"/>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en-US" w:eastAsia="zh-CN"/>
        </w:rPr>
        <w:t>4</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lang w:val="en-US" w:eastAsia="zh-CN"/>
        </w:rPr>
        <w:t>4</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5"/>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85" w:name="_Toc14446"/>
      <w:r>
        <w:rPr>
          <w:rFonts w:hint="eastAsia" w:ascii="宋体" w:hAnsi="宋体" w:eastAsia="宋体" w:cs="宋体"/>
          <w:bCs/>
          <w:color w:val="auto"/>
          <w:kern w:val="2"/>
          <w:sz w:val="24"/>
          <w:szCs w:val="32"/>
          <w:highlight w:val="none"/>
        </w:rPr>
        <w:t>开标一览表</w:t>
      </w:r>
      <w:bookmarkEnd w:id="85"/>
    </w:p>
    <w:p>
      <w:pPr>
        <w:pStyle w:val="169"/>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中国计量大学</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69"/>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86"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86"/>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开标一览表(单位均为人民币元)</w:t>
      </w:r>
    </w:p>
    <w:tbl>
      <w:tblPr>
        <w:tblStyle w:val="38"/>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475"/>
        <w:gridCol w:w="765"/>
        <w:gridCol w:w="750"/>
        <w:gridCol w:w="286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序号</w:t>
            </w:r>
          </w:p>
        </w:tc>
        <w:tc>
          <w:tcPr>
            <w:tcW w:w="2475"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标项内容</w:t>
            </w:r>
          </w:p>
        </w:tc>
        <w:tc>
          <w:tcPr>
            <w:tcW w:w="765"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数量</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单位</w:t>
            </w:r>
          </w:p>
        </w:tc>
        <w:tc>
          <w:tcPr>
            <w:tcW w:w="2864"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报价</w:t>
            </w:r>
          </w:p>
        </w:tc>
        <w:tc>
          <w:tcPr>
            <w:tcW w:w="229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default" w:ascii="Arial" w:hAnsi="Arial" w:eastAsia="宋体" w:cs="Arial"/>
                <w:b/>
                <w:color w:val="auto"/>
                <w:highlight w:val="none"/>
                <w:lang w:val="en-US" w:eastAsia="zh-CN"/>
              </w:rPr>
            </w:pPr>
            <w:r>
              <w:rPr>
                <w:rFonts w:hint="eastAsia" w:ascii="宋体" w:hAnsi="宋体" w:cs="Arial"/>
                <w:b/>
                <w:color w:val="auto"/>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1</w:t>
            </w:r>
          </w:p>
        </w:tc>
        <w:tc>
          <w:tcPr>
            <w:tcW w:w="247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color w:val="auto"/>
                <w:kern w:val="0"/>
                <w:szCs w:val="21"/>
                <w:highlight w:val="none"/>
                <w:lang w:val="en-US"/>
              </w:rPr>
            </w:pPr>
            <w:r>
              <w:rPr>
                <w:rFonts w:hint="eastAsia" w:ascii="宋体" w:hAnsi="宋体" w:cs="宋体"/>
                <w:b/>
                <w:color w:val="auto"/>
                <w:szCs w:val="21"/>
                <w:highlight w:val="none"/>
                <w:lang w:val="en-US" w:eastAsia="zh-CN"/>
              </w:rPr>
              <w:t>继续教育学院学生班车服务项目</w:t>
            </w:r>
          </w:p>
        </w:tc>
        <w:tc>
          <w:tcPr>
            <w:tcW w:w="765"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hint="eastAsia" w:ascii="Arial" w:hAnsi="Arial" w:cs="Arial"/>
                <w:b/>
                <w:color w:val="auto"/>
                <w:highlight w:val="none"/>
              </w:rPr>
              <w:t>1</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Arial" w:hAnsi="Arial" w:eastAsia="宋体" w:cs="Arial"/>
                <w:color w:val="auto"/>
                <w:highlight w:val="none"/>
                <w:lang w:eastAsia="zh-CN"/>
              </w:rPr>
            </w:pPr>
            <w:r>
              <w:rPr>
                <w:rFonts w:hint="eastAsia" w:ascii="Arial" w:hAnsi="Arial" w:cs="Arial"/>
                <w:color w:val="auto"/>
                <w:highlight w:val="none"/>
                <w:lang w:val="en-US" w:eastAsia="zh-CN"/>
              </w:rPr>
              <w:t>项</w:t>
            </w:r>
          </w:p>
        </w:tc>
        <w:tc>
          <w:tcPr>
            <w:tcW w:w="2864"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ascii="Arial" w:hAnsi="Arial" w:cs="Arial"/>
                <w:color w:val="auto"/>
                <w:highlight w:val="none"/>
              </w:rPr>
            </w:pPr>
            <w:r>
              <w:rPr>
                <w:rFonts w:ascii="Arial" w:hAnsi="Arial" w:cs="Arial"/>
                <w:color w:val="auto"/>
                <w:highlight w:val="none"/>
              </w:rPr>
              <w:t>小写：￥</w:t>
            </w:r>
          </w:p>
          <w:p>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ascii="Arial" w:hAnsi="Arial" w:cs="Arial"/>
                <w:color w:val="auto"/>
                <w:highlight w:val="none"/>
              </w:rPr>
            </w:pPr>
            <w:r>
              <w:rPr>
                <w:rFonts w:ascii="Arial" w:hAnsi="Arial" w:cs="Arial"/>
                <w:color w:val="auto"/>
                <w:highlight w:val="none"/>
              </w:rPr>
              <w:t>大写：人民币</w:t>
            </w:r>
          </w:p>
        </w:tc>
        <w:tc>
          <w:tcPr>
            <w:tcW w:w="229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ascii="Arial" w:hAnsi="Arial" w:cs="Arial"/>
                <w:b/>
                <w:color w:val="auto"/>
                <w:highlight w:val="none"/>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日。</w:t>
            </w:r>
          </w:p>
        </w:tc>
      </w:tr>
    </w:tbl>
    <w:p>
      <w:pPr>
        <w:snapToGrid w:val="0"/>
        <w:ind w:firstLine="0" w:firstLineChars="0"/>
        <w:rPr>
          <w:rFonts w:hint="eastAsia" w:ascii="宋体" w:hAnsi="宋体" w:cs="宋体"/>
          <w:b/>
          <w:color w:val="auto"/>
          <w:kern w:val="0"/>
          <w:highlight w:val="none"/>
          <w:lang w:val="zh-CN"/>
        </w:rPr>
      </w:pPr>
    </w:p>
    <w:p>
      <w:pPr>
        <w:snapToGrid w:val="0"/>
        <w:ind w:firstLine="0" w:firstLineChars="0"/>
        <w:rPr>
          <w:rFonts w:hint="eastAsia"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2、报价应包括保证车辆上路正常安全行驶所需的各种费用，如车辆营运、维修、燃油费、过路过桥费、停车费、车辆本身各种费用（如养路费、保险费、保养修理费、折旧费等）、司机劳务费、风险费用（如燃油价格调整等）、保险、税金、</w:t>
      </w:r>
      <w:r>
        <w:rPr>
          <w:rFonts w:hint="eastAsia" w:ascii="宋体" w:hAnsi="宋体" w:cs="宋体"/>
          <w:color w:val="auto"/>
          <w:kern w:val="0"/>
          <w:highlight w:val="none"/>
          <w:lang w:val="en-US" w:eastAsia="zh-CN"/>
        </w:rPr>
        <w:t>招标代理服务费</w:t>
      </w:r>
      <w:r>
        <w:rPr>
          <w:rFonts w:hint="eastAsia" w:ascii="宋体" w:hAnsi="宋体" w:cs="宋体"/>
          <w:color w:val="auto"/>
          <w:kern w:val="0"/>
          <w:highlight w:val="none"/>
          <w:lang w:val="zh-CN"/>
        </w:rPr>
        <w:t>等一切税金和费用。</w:t>
      </w:r>
    </w:p>
    <w:p>
      <w:pPr>
        <w:snapToGrid w:val="0"/>
        <w:ind w:firstLine="480" w:firstLineChars="200"/>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3、投标总价应与投标函中总报价、报价明细表合计一致。</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、以上表格要求细分项目及报价。</w:t>
      </w:r>
    </w:p>
    <w:p>
      <w:pPr>
        <w:ind w:firstLine="480"/>
        <w:rPr>
          <w:rFonts w:hint="eastAsia"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5"/>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87" w:name="_Toc17346"/>
      <w:r>
        <w:rPr>
          <w:rFonts w:hint="eastAsia" w:ascii="宋体" w:hAnsi="宋体" w:eastAsia="宋体" w:cs="宋体"/>
          <w:bCs/>
          <w:color w:val="auto"/>
          <w:kern w:val="2"/>
          <w:sz w:val="24"/>
          <w:szCs w:val="32"/>
          <w:highlight w:val="none"/>
        </w:rPr>
        <w:t>投标报价明细表</w:t>
      </w:r>
      <w:bookmarkEnd w:id="87"/>
    </w:p>
    <w:p>
      <w:pPr>
        <w:pStyle w:val="19"/>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金额单位：人民币（元）</w:t>
      </w:r>
    </w:p>
    <w:p>
      <w:pPr>
        <w:pStyle w:val="19"/>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Arial" w:hAnsi="宋体" w:cs="Arial"/>
          <w:b/>
          <w:bCs/>
          <w:color w:val="auto"/>
          <w:kern w:val="0"/>
          <w:szCs w:val="21"/>
          <w:highlight w:val="none"/>
          <w:lang w:val="en-US" w:eastAsia="zh-CN"/>
        </w:rPr>
      </w:pPr>
    </w:p>
    <w:tbl>
      <w:tblPr>
        <w:tblStyle w:val="38"/>
        <w:tblpPr w:leftFromText="180" w:rightFromText="180" w:vertAnchor="text" w:horzAnchor="page" w:tblpX="1905" w:tblpY="108"/>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33"/>
        <w:gridCol w:w="1323"/>
        <w:gridCol w:w="945"/>
        <w:gridCol w:w="1140"/>
        <w:gridCol w:w="1425"/>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序号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车类型</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路线</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计量单位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rPr>
              <w:t>单价（元）</w:t>
            </w:r>
            <w:r>
              <w:rPr>
                <w:rFonts w:hint="eastAsia" w:ascii="Times New Roman" w:hAnsi="Times New Roman"/>
                <w:b/>
                <w:color w:val="auto"/>
                <w:sz w:val="24"/>
                <w:highlight w:val="none"/>
                <w:lang w:val="en-US" w:eastAsia="zh-CN"/>
              </w:rPr>
              <w:t>B</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预估计趟数</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rPr>
              <w:t>预估总价（元）</w:t>
            </w:r>
            <w:r>
              <w:rPr>
                <w:rFonts w:hint="eastAsia" w:ascii="Times New Roman" w:hAnsi="Times New Roman"/>
                <w:b/>
                <w:color w:val="auto"/>
                <w:sz w:val="24"/>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ascii="Times New Roman" w:hAnsi="Times New Roman"/>
                <w:b/>
                <w:color w:val="auto"/>
                <w:sz w:val="24"/>
                <w:highlight w:val="none"/>
              </w:rPr>
              <w:t>1</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ascii="Times New Roman" w:hAnsi="Times New Roman"/>
                <w:b/>
                <w:color w:val="auto"/>
                <w:sz w:val="24"/>
                <w:highlight w:val="none"/>
              </w:rPr>
              <w:t>5</w:t>
            </w:r>
            <w:r>
              <w:rPr>
                <w:rFonts w:hint="eastAsia" w:ascii="Times New Roman" w:hAnsi="Times New Roman"/>
                <w:b/>
                <w:color w:val="auto"/>
                <w:sz w:val="24"/>
                <w:highlight w:val="none"/>
                <w:lang w:val="en-US" w:eastAsia="zh-CN"/>
              </w:rPr>
              <w:t>3</w:t>
            </w:r>
            <w:r>
              <w:rPr>
                <w:rFonts w:hint="eastAsia" w:ascii="Times New Roman" w:hAnsi="Times New Roman"/>
                <w:b/>
                <w:color w:val="auto"/>
                <w:sz w:val="24"/>
                <w:highlight w:val="none"/>
              </w:rPr>
              <w:t>座</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val="en-US" w:eastAsia="zh-CN"/>
              </w:rPr>
            </w:pPr>
            <w:r>
              <w:rPr>
                <w:rFonts w:hint="eastAsia" w:ascii="Times New Roman" w:hAnsi="Times New Roman"/>
                <w:b/>
                <w:color w:val="auto"/>
                <w:sz w:val="24"/>
                <w:highlight w:val="none"/>
              </w:rPr>
              <w:t>路线</w:t>
            </w: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一辆车单趟</w:t>
            </w:r>
          </w:p>
        </w:tc>
        <w:tc>
          <w:tcPr>
            <w:tcW w:w="114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b w:val="0"/>
                <w:bCs/>
                <w:color w:val="auto"/>
                <w:sz w:val="24"/>
                <w:highlight w:val="none"/>
                <w:lang w:val="en-US"/>
              </w:rPr>
            </w:pPr>
            <w:r>
              <w:rPr>
                <w:rFonts w:hint="eastAsia" w:ascii="Times New Roman" w:hAnsi="Times New Roman"/>
                <w:b/>
                <w:color w:val="auto"/>
                <w:sz w:val="24"/>
                <w:highlight w:val="none"/>
                <w:lang w:val="en-US" w:eastAsia="zh-CN"/>
              </w:rPr>
              <w:t>B1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color w:val="auto"/>
                <w:sz w:val="24"/>
                <w:highlight w:val="none"/>
                <w:lang w:val="en-US" w:eastAsia="zh-CN"/>
              </w:rPr>
            </w:pPr>
            <w:r>
              <w:rPr>
                <w:rFonts w:hint="eastAsia" w:ascii="Times New Roman" w:hAnsi="Times New Roman" w:eastAsia="宋体"/>
                <w:b/>
                <w:color w:val="auto"/>
                <w:sz w:val="24"/>
                <w:highlight w:val="none"/>
                <w:lang w:val="en-US" w:eastAsia="zh-CN"/>
              </w:rPr>
              <w:t>3375</w:t>
            </w:r>
          </w:p>
        </w:tc>
        <w:tc>
          <w:tcPr>
            <w:tcW w:w="224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bCs w:val="0"/>
                <w:color w:val="auto"/>
                <w:sz w:val="24"/>
                <w:highlight w:val="none"/>
                <w:lang w:val="en-US" w:eastAsia="zh-CN"/>
              </w:rPr>
            </w:pPr>
            <w:r>
              <w:rPr>
                <w:rFonts w:hint="eastAsia" w:ascii="Times New Roman" w:hAnsi="Times New Roman"/>
                <w:b/>
                <w:bCs w:val="0"/>
                <w:color w:val="auto"/>
                <w:sz w:val="24"/>
                <w:highlight w:val="none"/>
                <w:lang w:val="en-US" w:eastAsia="zh-CN"/>
              </w:rPr>
              <w:t>C1=</w:t>
            </w:r>
            <w:r>
              <w:rPr>
                <w:rFonts w:hint="eastAsia" w:ascii="宋体" w:hAnsi="宋体" w:cs="宋体"/>
                <w:b/>
                <w:bCs w:val="0"/>
                <w:color w:val="auto"/>
                <w:sz w:val="24"/>
                <w:highlight w:val="none"/>
                <w:lang w:val="en-US" w:eastAsia="zh-CN"/>
              </w:rPr>
              <w:t>B</w:t>
            </w:r>
            <w:r>
              <w:rPr>
                <w:rFonts w:hint="eastAsia" w:ascii="宋体" w:hAnsi="宋体" w:cs="宋体"/>
                <w:b/>
                <w:bCs w:val="0"/>
                <w:color w:val="auto"/>
                <w:sz w:val="24"/>
                <w:highlight w:val="none"/>
              </w:rPr>
              <w:t>1*</w:t>
            </w:r>
            <w:r>
              <w:rPr>
                <w:rFonts w:hint="eastAsia" w:ascii="宋体" w:hAnsi="宋体" w:cs="宋体"/>
                <w:b/>
                <w:bCs w:val="0"/>
                <w:color w:val="auto"/>
                <w:sz w:val="24"/>
                <w:highlight w:val="none"/>
                <w:lang w:val="en-US" w:eastAsia="zh-CN"/>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lang w:val="en-US" w:eastAsia="zh-CN"/>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ascii="Times New Roman" w:hAnsi="Times New Roman"/>
                <w:b/>
                <w:color w:val="auto"/>
                <w:sz w:val="24"/>
                <w:highlight w:val="none"/>
              </w:rPr>
              <w:t>4</w:t>
            </w:r>
            <w:r>
              <w:rPr>
                <w:rFonts w:hint="eastAsia" w:ascii="Times New Roman" w:hAnsi="Times New Roman"/>
                <w:b/>
                <w:color w:val="auto"/>
                <w:sz w:val="24"/>
                <w:highlight w:val="none"/>
                <w:lang w:val="en-US" w:eastAsia="zh-CN"/>
              </w:rPr>
              <w:t>5</w:t>
            </w:r>
            <w:r>
              <w:rPr>
                <w:rFonts w:hint="eastAsia" w:ascii="Times New Roman" w:hAnsi="Times New Roman"/>
                <w:b/>
                <w:color w:val="auto"/>
                <w:sz w:val="24"/>
                <w:highlight w:val="none"/>
              </w:rPr>
              <w:t>座</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val="en-US" w:eastAsia="zh-CN"/>
              </w:rPr>
            </w:pPr>
            <w:r>
              <w:rPr>
                <w:rFonts w:hint="eastAsia" w:ascii="Times New Roman" w:hAnsi="Times New Roman"/>
                <w:b/>
                <w:color w:val="auto"/>
                <w:sz w:val="24"/>
                <w:highlight w:val="none"/>
              </w:rPr>
              <w:t>路线</w:t>
            </w: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一辆车单趟</w:t>
            </w:r>
          </w:p>
        </w:tc>
        <w:tc>
          <w:tcPr>
            <w:tcW w:w="114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b/>
                <w:color w:val="auto"/>
                <w:sz w:val="24"/>
                <w:highlight w:val="none"/>
                <w:lang w:val="en-US"/>
              </w:rPr>
            </w:pPr>
            <w:r>
              <w:rPr>
                <w:rFonts w:hint="eastAsia" w:ascii="Times New Roman" w:hAnsi="Times New Roman"/>
                <w:b/>
                <w:color w:val="auto"/>
                <w:sz w:val="24"/>
                <w:highlight w:val="none"/>
                <w:lang w:val="en-US" w:eastAsia="zh-CN"/>
              </w:rPr>
              <w:t>B2</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color w:val="auto"/>
                <w:sz w:val="24"/>
                <w:highlight w:val="none"/>
                <w:lang w:val="en-US" w:eastAsia="zh-CN"/>
              </w:rPr>
            </w:pPr>
            <w:r>
              <w:rPr>
                <w:rFonts w:hint="eastAsia" w:ascii="Times New Roman" w:hAnsi="Times New Roman" w:eastAsia="宋体"/>
                <w:b/>
                <w:color w:val="auto"/>
                <w:sz w:val="24"/>
                <w:highlight w:val="none"/>
                <w:lang w:val="en-US" w:eastAsia="zh-CN"/>
              </w:rPr>
              <w:t>40</w:t>
            </w:r>
          </w:p>
        </w:tc>
        <w:tc>
          <w:tcPr>
            <w:tcW w:w="224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bCs w:val="0"/>
                <w:color w:val="auto"/>
                <w:sz w:val="24"/>
                <w:highlight w:val="none"/>
                <w:lang w:val="en-US" w:eastAsia="zh-CN"/>
              </w:rPr>
            </w:pPr>
            <w:r>
              <w:rPr>
                <w:rFonts w:hint="eastAsia" w:ascii="Times New Roman" w:hAnsi="Times New Roman"/>
                <w:b/>
                <w:bCs w:val="0"/>
                <w:color w:val="auto"/>
                <w:sz w:val="24"/>
                <w:highlight w:val="none"/>
                <w:lang w:val="en-US" w:eastAsia="zh-CN"/>
              </w:rPr>
              <w:t>C2=</w:t>
            </w:r>
            <w:r>
              <w:rPr>
                <w:rFonts w:hint="eastAsia" w:ascii="宋体" w:hAnsi="宋体" w:cs="宋体"/>
                <w:b/>
                <w:bCs w:val="0"/>
                <w:color w:val="auto"/>
                <w:sz w:val="24"/>
                <w:highlight w:val="none"/>
                <w:lang w:val="en-US" w:eastAsia="zh-CN"/>
              </w:rPr>
              <w:t>B</w:t>
            </w:r>
            <w:r>
              <w:rPr>
                <w:rFonts w:hint="eastAsia" w:ascii="宋体" w:hAnsi="宋体" w:cs="宋体"/>
                <w:b/>
                <w:bCs w:val="0"/>
                <w:color w:val="auto"/>
                <w:sz w:val="24"/>
                <w:highlight w:val="none"/>
              </w:rPr>
              <w:t>2*</w:t>
            </w:r>
            <w:r>
              <w:rPr>
                <w:rFonts w:hint="eastAsia" w:ascii="宋体" w:hAnsi="宋体" w:cs="宋体"/>
                <w:b/>
                <w:bCs w:val="0"/>
                <w:color w:val="auto"/>
                <w:sz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lang w:val="en-US" w:eastAsia="zh-CN"/>
              </w:rPr>
              <w:t>3</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5</w:t>
            </w:r>
            <w:r>
              <w:rPr>
                <w:rFonts w:hint="eastAsia" w:ascii="Times New Roman" w:hAnsi="Times New Roman"/>
                <w:b/>
                <w:color w:val="auto"/>
                <w:sz w:val="24"/>
                <w:highlight w:val="none"/>
              </w:rPr>
              <w:t>座</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val="en-US" w:eastAsia="zh-CN"/>
              </w:rPr>
            </w:pPr>
            <w:r>
              <w:rPr>
                <w:rFonts w:hint="eastAsia" w:ascii="Times New Roman" w:hAnsi="Times New Roman"/>
                <w:b/>
                <w:color w:val="auto"/>
                <w:sz w:val="24"/>
                <w:highlight w:val="none"/>
              </w:rPr>
              <w:t>路线</w:t>
            </w: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color w:val="auto"/>
                <w:sz w:val="24"/>
                <w:highlight w:val="none"/>
              </w:rPr>
            </w:pPr>
            <w:r>
              <w:rPr>
                <w:rFonts w:hint="eastAsia" w:ascii="Times New Roman" w:hAnsi="Times New Roman"/>
                <w:b/>
                <w:color w:val="auto"/>
                <w:sz w:val="24"/>
                <w:highlight w:val="none"/>
              </w:rPr>
              <w:t>一辆车单趟</w:t>
            </w:r>
          </w:p>
        </w:tc>
        <w:tc>
          <w:tcPr>
            <w:tcW w:w="114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b/>
                <w:color w:val="auto"/>
                <w:sz w:val="24"/>
                <w:highlight w:val="none"/>
                <w:lang w:val="en-US"/>
              </w:rPr>
            </w:pPr>
            <w:r>
              <w:rPr>
                <w:rFonts w:hint="eastAsia" w:ascii="Times New Roman" w:hAnsi="Times New Roman"/>
                <w:b/>
                <w:color w:val="auto"/>
                <w:sz w:val="24"/>
                <w:highlight w:val="none"/>
                <w:lang w:val="en-US" w:eastAsia="zh-CN"/>
              </w:rPr>
              <w:t>B3</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color w:val="auto"/>
                <w:sz w:val="24"/>
                <w:highlight w:val="none"/>
                <w:lang w:val="en-US" w:eastAsia="zh-CN"/>
              </w:rPr>
            </w:pPr>
            <w:r>
              <w:rPr>
                <w:rFonts w:hint="eastAsia" w:ascii="Times New Roman" w:hAnsi="Times New Roman" w:eastAsia="宋体"/>
                <w:b/>
                <w:color w:val="auto"/>
                <w:sz w:val="24"/>
                <w:highlight w:val="none"/>
                <w:lang w:val="en-US" w:eastAsia="zh-CN"/>
              </w:rPr>
              <w:t>12</w:t>
            </w:r>
          </w:p>
        </w:tc>
        <w:tc>
          <w:tcPr>
            <w:tcW w:w="224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b/>
                <w:bCs w:val="0"/>
                <w:color w:val="auto"/>
                <w:sz w:val="24"/>
                <w:highlight w:val="none"/>
                <w:lang w:val="en-US" w:eastAsia="zh-CN"/>
              </w:rPr>
            </w:pPr>
            <w:r>
              <w:rPr>
                <w:rFonts w:hint="eastAsia" w:ascii="Times New Roman" w:hAnsi="Times New Roman"/>
                <w:b/>
                <w:bCs w:val="0"/>
                <w:color w:val="auto"/>
                <w:sz w:val="24"/>
                <w:highlight w:val="none"/>
                <w:lang w:val="en-US" w:eastAsia="zh-CN"/>
              </w:rPr>
              <w:t>C3=</w:t>
            </w:r>
            <w:r>
              <w:rPr>
                <w:rFonts w:hint="eastAsia" w:ascii="宋体" w:hAnsi="宋体" w:cs="宋体"/>
                <w:b/>
                <w:bCs w:val="0"/>
                <w:color w:val="auto"/>
                <w:sz w:val="24"/>
                <w:highlight w:val="none"/>
                <w:lang w:val="en-US" w:eastAsia="zh-CN"/>
              </w:rPr>
              <w:t>B</w:t>
            </w:r>
            <w:r>
              <w:rPr>
                <w:rFonts w:hint="eastAsia" w:ascii="宋体" w:hAnsi="宋体" w:cs="宋体"/>
                <w:b/>
                <w:bCs w:val="0"/>
                <w:color w:val="auto"/>
                <w:sz w:val="24"/>
                <w:highlight w:val="none"/>
              </w:rPr>
              <w:t>3*</w:t>
            </w:r>
            <w:r>
              <w:rPr>
                <w:rFonts w:hint="eastAsia" w:ascii="宋体" w:hAnsi="宋体" w:cs="宋体"/>
                <w:b/>
                <w:bCs w:val="0"/>
                <w:color w:val="auto"/>
                <w:sz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1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b/>
                <w:color w:val="auto"/>
                <w:sz w:val="24"/>
                <w:highlight w:val="none"/>
                <w:lang w:eastAsia="zh-CN"/>
              </w:rPr>
            </w:pPr>
            <w:r>
              <w:rPr>
                <w:rFonts w:hint="eastAsia" w:ascii="Times New Roman" w:hAnsi="Times New Roman"/>
                <w:b/>
                <w:color w:val="auto"/>
                <w:sz w:val="24"/>
                <w:highlight w:val="none"/>
                <w:lang w:val="en-US" w:eastAsia="zh-CN"/>
              </w:rPr>
              <w:t>投标总价</w:t>
            </w:r>
            <w:r>
              <w:rPr>
                <w:rFonts w:hint="eastAsia" w:ascii="Times New Roman" w:hAnsi="Times New Roman"/>
                <w:b/>
                <w:color w:val="auto"/>
                <w:sz w:val="24"/>
                <w:highlight w:val="none"/>
              </w:rPr>
              <w:t>（元）</w:t>
            </w:r>
            <w:r>
              <w:rPr>
                <w:rFonts w:hint="eastAsia" w:ascii="Times New Roman" w:hAnsi="Times New Roman"/>
                <w:b/>
                <w:color w:val="auto"/>
                <w:sz w:val="24"/>
                <w:highlight w:val="none"/>
                <w:lang w:val="en-US" w:eastAsia="zh-CN"/>
              </w:rPr>
              <w:t>A</w:t>
            </w:r>
          </w:p>
        </w:tc>
        <w:tc>
          <w:tcPr>
            <w:tcW w:w="224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bCs w:val="0"/>
                <w:color w:val="auto"/>
                <w:sz w:val="24"/>
                <w:highlight w:val="none"/>
              </w:rPr>
            </w:pPr>
            <w:r>
              <w:rPr>
                <w:rFonts w:hint="eastAsia" w:ascii="宋体" w:hAnsi="宋体" w:cs="宋体"/>
                <w:b/>
                <w:bCs w:val="0"/>
                <w:color w:val="auto"/>
                <w:sz w:val="24"/>
                <w:highlight w:val="none"/>
              </w:rPr>
              <w:t>A=</w:t>
            </w:r>
            <w:r>
              <w:rPr>
                <w:rFonts w:hint="eastAsia" w:ascii="宋体" w:hAnsi="宋体" w:cs="宋体"/>
                <w:b/>
                <w:bCs w:val="0"/>
                <w:color w:val="auto"/>
                <w:sz w:val="24"/>
                <w:highlight w:val="none"/>
                <w:lang w:val="en-US" w:eastAsia="zh-CN"/>
              </w:rPr>
              <w:t>C</w:t>
            </w:r>
            <w:r>
              <w:rPr>
                <w:rFonts w:hint="eastAsia" w:ascii="宋体" w:hAnsi="宋体" w:cs="宋体"/>
                <w:b/>
                <w:bCs w:val="0"/>
                <w:color w:val="auto"/>
                <w:sz w:val="24"/>
                <w:highlight w:val="none"/>
              </w:rPr>
              <w:t>1+</w:t>
            </w:r>
            <w:r>
              <w:rPr>
                <w:rFonts w:hint="eastAsia" w:ascii="宋体" w:hAnsi="宋体" w:cs="宋体"/>
                <w:b/>
                <w:bCs w:val="0"/>
                <w:color w:val="auto"/>
                <w:sz w:val="24"/>
                <w:highlight w:val="none"/>
                <w:lang w:val="en-US" w:eastAsia="zh-CN"/>
              </w:rPr>
              <w:t>C</w:t>
            </w:r>
            <w:r>
              <w:rPr>
                <w:rFonts w:hint="eastAsia" w:ascii="宋体" w:hAnsi="宋体" w:cs="宋体"/>
                <w:b/>
                <w:bCs w:val="0"/>
                <w:color w:val="auto"/>
                <w:sz w:val="24"/>
                <w:highlight w:val="none"/>
              </w:rPr>
              <w:t>2+</w:t>
            </w:r>
            <w:r>
              <w:rPr>
                <w:rFonts w:hint="eastAsia" w:ascii="宋体" w:hAnsi="宋体" w:cs="宋体"/>
                <w:b/>
                <w:bCs w:val="0"/>
                <w:color w:val="auto"/>
                <w:sz w:val="24"/>
                <w:highlight w:val="none"/>
                <w:lang w:val="en-US" w:eastAsia="zh-CN"/>
              </w:rPr>
              <w:t>C</w:t>
            </w:r>
            <w:r>
              <w:rPr>
                <w:rFonts w:hint="eastAsia" w:ascii="宋体" w:hAnsi="宋体" w:cs="宋体"/>
                <w:b/>
                <w:bCs w:val="0"/>
                <w:color w:val="auto"/>
                <w:sz w:val="24"/>
                <w:highlight w:val="none"/>
              </w:rPr>
              <w:t>3</w:t>
            </w:r>
          </w:p>
        </w:tc>
      </w:tr>
    </w:tbl>
    <w:p>
      <w:pPr>
        <w:spacing w:line="360" w:lineRule="auto"/>
        <w:rPr>
          <w:color w:val="auto"/>
          <w:sz w:val="24"/>
          <w:highlight w:val="none"/>
        </w:rPr>
      </w:pPr>
    </w:p>
    <w:p>
      <w:pPr>
        <w:bidi w:val="0"/>
        <w:rPr>
          <w:rFonts w:hint="eastAsia"/>
          <w:color w:val="auto"/>
          <w:highlight w:val="none"/>
        </w:rPr>
      </w:pPr>
    </w:p>
    <w:p>
      <w:pPr>
        <w:bidi w:val="0"/>
        <w:rPr>
          <w:rFonts w:hint="eastAsia"/>
          <w:color w:val="auto"/>
          <w:highlight w:val="none"/>
        </w:rPr>
      </w:pPr>
      <w:r>
        <w:rPr>
          <w:rFonts w:hint="eastAsia"/>
          <w:color w:val="auto"/>
          <w:highlight w:val="none"/>
        </w:rPr>
        <w:t>备注</w:t>
      </w:r>
      <w:r>
        <w:rPr>
          <w:rFonts w:hint="eastAsia"/>
          <w:color w:val="auto"/>
          <w:highlight w:val="none"/>
          <w:lang w:val="en-US" w:eastAsia="zh-CN"/>
        </w:rPr>
        <w:t xml:space="preserve"> </w:t>
      </w:r>
      <w:r>
        <w:rPr>
          <w:rFonts w:hint="eastAsia"/>
          <w:color w:val="auto"/>
          <w:highlight w:val="none"/>
        </w:rPr>
        <w:t>：1</w:t>
      </w:r>
      <w:r>
        <w:rPr>
          <w:rFonts w:hint="eastAsia"/>
          <w:color w:val="auto"/>
          <w:highlight w:val="none"/>
          <w:lang w:val="en-US" w:eastAsia="zh-CN"/>
        </w:rPr>
        <w:t>投标总价</w:t>
      </w:r>
      <w:r>
        <w:rPr>
          <w:rFonts w:hint="eastAsia"/>
          <w:color w:val="auto"/>
          <w:highlight w:val="none"/>
        </w:rPr>
        <w:t>不得超过</w:t>
      </w:r>
      <w:r>
        <w:rPr>
          <w:rFonts w:hint="eastAsia"/>
          <w:color w:val="auto"/>
          <w:highlight w:val="none"/>
          <w:lang w:val="en-US" w:eastAsia="zh-CN"/>
        </w:rPr>
        <w:t>30</w:t>
      </w:r>
      <w:r>
        <w:rPr>
          <w:rFonts w:hint="eastAsia"/>
          <w:color w:val="auto"/>
          <w:highlight w:val="none"/>
        </w:rPr>
        <w:t>万，结算金额以实际的跑运趟数为准。</w:t>
      </w: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1" w:type="default"/>
          <w:pgSz w:w="11906" w:h="16838"/>
          <w:pgMar w:top="1440" w:right="1797" w:bottom="1440" w:left="1797" w:header="851" w:footer="851" w:gutter="0"/>
          <w:cols w:space="720" w:num="1"/>
          <w:docGrid w:linePitch="312" w:charSpace="0"/>
        </w:sectPr>
      </w:pPr>
    </w:p>
    <w:p>
      <w:pPr>
        <w:pStyle w:val="5"/>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中小企业声明函</w:t>
      </w:r>
    </w:p>
    <w:p>
      <w:pPr>
        <w:pStyle w:val="28"/>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w:t>
      </w:r>
      <w:r>
        <w:rPr>
          <w:rFonts w:hint="eastAsia" w:ascii="宋体" w:hAnsi="宋体" w:cs="宋体"/>
          <w:color w:val="auto"/>
          <w:highlight w:val="none"/>
          <w:lang w:eastAsia="zh-CN"/>
        </w:rPr>
        <w:t>中国计量大学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w:t>
      </w:r>
      <w:r>
        <w:rPr>
          <w:rFonts w:hint="eastAsia" w:ascii="宋体" w:hAnsi="宋体" w:cs="宋体"/>
          <w:color w:val="auto"/>
          <w:highlight w:val="none"/>
          <w:lang w:val="en-US" w:eastAsia="zh-CN"/>
        </w:rPr>
        <w:t>提供</w:t>
      </w:r>
      <w:r>
        <w:rPr>
          <w:rFonts w:hint="eastAsia" w:ascii="宋体" w:hAnsi="宋体" w:cs="宋体"/>
          <w:color w:val="auto"/>
          <w:highlight w:val="none"/>
        </w:rPr>
        <w:t>的</w:t>
      </w:r>
      <w:r>
        <w:rPr>
          <w:rFonts w:hint="eastAsia" w:ascii="宋体" w:hAnsi="宋体" w:cs="宋体"/>
          <w:color w:val="auto"/>
          <w:highlight w:val="none"/>
          <w:lang w:val="en-US" w:eastAsia="zh-CN"/>
        </w:rPr>
        <w:t>服务</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2" w:type="default"/>
          <w:footerReference r:id="rId23" w:type="default"/>
          <w:pgSz w:w="11907" w:h="16840"/>
          <w:pgMar w:top="1247" w:right="1304" w:bottom="1021" w:left="1304" w:header="720" w:footer="720" w:gutter="0"/>
          <w:cols w:space="720" w:num="1"/>
          <w:docGrid w:linePitch="286" w:charSpace="0"/>
        </w:sectPr>
      </w:pPr>
    </w:p>
    <w:p>
      <w:pPr>
        <w:pStyle w:val="5"/>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lang w:eastAsia="zh-CN"/>
        </w:rPr>
        <w:t>中国计量大学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1024"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1024;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5"/>
        <w:rPr>
          <w:rFonts w:hint="eastAsia" w:ascii="宋体" w:hAnsi="宋体" w:cs="宋体"/>
          <w:color w:val="auto"/>
          <w:highlight w:val="none"/>
        </w:rPr>
      </w:pPr>
      <w:bookmarkStart w:id="88" w:name="_Toc7692"/>
      <w:r>
        <w:rPr>
          <w:rFonts w:hint="eastAsia" w:ascii="宋体" w:hAnsi="宋体" w:cs="宋体"/>
          <w:color w:val="auto"/>
          <w:highlight w:val="none"/>
        </w:rPr>
        <w:t>资信技术评分索引表（请放在目录前页）</w:t>
      </w:r>
    </w:p>
    <w:tbl>
      <w:tblPr>
        <w:tblStyle w:val="38"/>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评分</w:t>
            </w:r>
          </w:p>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atLeast"/>
              <w:ind w:firstLine="0" w:firstLineChars="0"/>
              <w:textAlignment w:val="auto"/>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atLeast"/>
              <w:ind w:firstLine="0" w:firstLineChars="0"/>
              <w:textAlignment w:val="auto"/>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jc w:val="left"/>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spacing w:line="400" w:lineRule="atLeast"/>
              <w:ind w:firstLine="0" w:firstLineChars="0"/>
              <w:textAlignment w:val="auto"/>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bl>
    <w:p>
      <w:pPr>
        <w:rPr>
          <w:rFonts w:hint="default" w:ascii="宋体" w:hAnsi="宋体" w:eastAsia="宋体" w:cs="宋体"/>
          <w:b/>
          <w:color w:val="auto"/>
          <w:kern w:val="0"/>
          <w:sz w:val="24"/>
          <w:szCs w:val="20"/>
          <w:highlight w:val="none"/>
          <w:lang w:val="en-US" w:eastAsia="zh-CN"/>
        </w:rPr>
      </w:pPr>
      <w:r>
        <w:rPr>
          <w:rFonts w:hint="eastAsia" w:ascii="宋体" w:hAnsi="宋体" w:cs="宋体"/>
          <w:b/>
          <w:color w:val="auto"/>
          <w:kern w:val="0"/>
          <w:sz w:val="24"/>
          <w:szCs w:val="20"/>
          <w:highlight w:val="none"/>
          <w:lang w:val="en-US" w:eastAsia="zh-CN"/>
        </w:rPr>
        <w:t>根据评分标准自行调整。</w:t>
      </w:r>
    </w:p>
    <w:p>
      <w:pPr>
        <w:rPr>
          <w:rFonts w:hint="eastAsia"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hint="eastAsia" w:ascii="宋体" w:hAnsi="宋体" w:eastAsia="宋体" w:cs="宋体"/>
          <w:b/>
          <w:color w:val="auto"/>
          <w:kern w:val="0"/>
          <w:sz w:val="36"/>
          <w:highlight w:val="none"/>
          <w:lang w:val="en-US" w:eastAsia="zh-CN"/>
        </w:rPr>
      </w:pPr>
      <w:r>
        <w:rPr>
          <w:rFonts w:hint="eastAsia" w:ascii="宋体" w:hAnsi="宋体" w:cs="宋体"/>
          <w:b/>
          <w:color w:val="auto"/>
          <w:kern w:val="0"/>
          <w:sz w:val="36"/>
          <w:highlight w:val="none"/>
        </w:rPr>
        <w:t>商务技术文件目录</w:t>
      </w:r>
      <w:bookmarkEnd w:id="88"/>
      <w:r>
        <w:rPr>
          <w:rFonts w:hint="eastAsia" w:ascii="宋体" w:hAnsi="宋体" w:cs="宋体"/>
          <w:b/>
          <w:color w:val="auto"/>
          <w:kern w:val="0"/>
          <w:sz w:val="36"/>
          <w:highlight w:val="none"/>
          <w:lang w:val="en-US" w:eastAsia="zh-CN"/>
        </w:rPr>
        <w:t xml:space="preserve"> </w:t>
      </w:r>
    </w:p>
    <w:p>
      <w:pPr>
        <w:numPr>
          <w:ilvl w:val="0"/>
          <w:numId w:val="15"/>
        </w:numPr>
        <w:tabs>
          <w:tab w:val="left" w:pos="312"/>
        </w:tabs>
        <w:ind w:left="425" w:leftChars="0" w:hanging="425" w:firstLineChars="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lang w:val="en-US" w:eastAsia="zh-CN"/>
        </w:rPr>
        <w:t>资格证明书</w:t>
      </w:r>
      <w:r>
        <w:rPr>
          <w:rFonts w:hint="eastAsia" w:ascii="宋体" w:hAnsi="宋体" w:cs="宋体"/>
          <w:color w:val="auto"/>
          <w:highlight w:val="none"/>
        </w:rPr>
        <w:t>和法定代表人授权委托书</w:t>
      </w:r>
      <w:r>
        <w:rPr>
          <w:rFonts w:hint="eastAsia" w:ascii="宋体" w:hAnsi="宋体" w:cs="宋体"/>
          <w:color w:val="auto"/>
          <w:kern w:val="0"/>
          <w:highlight w:val="none"/>
        </w:rPr>
        <w:t>……………………………（页码）</w:t>
      </w:r>
    </w:p>
    <w:p>
      <w:pPr>
        <w:numPr>
          <w:ilvl w:val="0"/>
          <w:numId w:val="15"/>
        </w:numPr>
        <w:ind w:left="425" w:leftChars="0" w:hanging="425"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……………………………………………………………………（页码）</w:t>
      </w:r>
    </w:p>
    <w:p>
      <w:pPr>
        <w:numPr>
          <w:ilvl w:val="0"/>
          <w:numId w:val="15"/>
        </w:numPr>
        <w:ind w:left="425" w:leftChars="0" w:hanging="425"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5"/>
        </w:numPr>
        <w:ind w:left="425" w:leftChars="0" w:hanging="425" w:firstLineChars="0"/>
        <w:rPr>
          <w:rFonts w:ascii="宋体" w:hAnsi="宋体" w:cs="宋体"/>
          <w:color w:val="auto"/>
          <w:kern w:val="0"/>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5"/>
        </w:numPr>
        <w:ind w:left="425" w:leftChars="0" w:hanging="425" w:firstLineChars="0"/>
        <w:rPr>
          <w:rFonts w:ascii="宋体" w:hAnsi="宋体" w:cs="宋体"/>
          <w:color w:val="auto"/>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5"/>
        </w:numPr>
        <w:ind w:left="425" w:leftChars="0" w:hanging="425" w:firstLineChars="0"/>
        <w:rPr>
          <w:rFonts w:hint="eastAsia" w:ascii="宋体" w:hAnsi="宋体" w:cs="宋体"/>
          <w:color w:val="auto"/>
          <w:kern w:val="0"/>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5"/>
        </w:numPr>
        <w:ind w:left="425" w:leftChars="0" w:hanging="425" w:firstLineChars="0"/>
        <w:rPr>
          <w:rFonts w:ascii="宋体" w:hAnsi="宋体" w:cs="宋体"/>
          <w:color w:val="auto"/>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5"/>
        </w:numPr>
        <w:ind w:left="425" w:leftChars="0" w:hanging="425" w:firstLineChars="0"/>
        <w:rPr>
          <w:rFonts w:ascii="宋体" w:hAnsi="宋体" w:cs="宋体"/>
          <w:color w:val="auto"/>
          <w:kern w:val="0"/>
          <w:highlight w:val="none"/>
        </w:rPr>
      </w:pPr>
      <w:r>
        <w:rPr>
          <w:rFonts w:hint="eastAsia" w:ascii="宋体" w:hAnsi="宋体" w:cs="宋体"/>
          <w:color w:val="auto"/>
          <w:highlight w:val="none"/>
          <w:lang w:val="en-US" w:eastAsia="zh-CN"/>
        </w:rPr>
        <w:t>采购需求</w:t>
      </w:r>
      <w:r>
        <w:rPr>
          <w:rFonts w:hint="eastAsia" w:ascii="宋体" w:hAnsi="宋体" w:cs="宋体"/>
          <w:color w:val="auto"/>
          <w:highlight w:val="none"/>
        </w:rPr>
        <w:t>偏离表</w:t>
      </w:r>
      <w:r>
        <w:rPr>
          <w:rFonts w:hint="eastAsia" w:ascii="宋体" w:hAnsi="宋体" w:cs="宋体"/>
          <w:color w:val="auto"/>
          <w:kern w:val="0"/>
          <w:highlight w:val="none"/>
        </w:rPr>
        <w:t>……………………………………………………………………（页码）</w:t>
      </w:r>
    </w:p>
    <w:p>
      <w:pPr>
        <w:numPr>
          <w:ilvl w:val="0"/>
          <w:numId w:val="15"/>
        </w:numPr>
        <w:ind w:left="425" w:leftChars="0" w:hanging="425" w:firstLineChars="0"/>
        <w:rPr>
          <w:color w:val="auto"/>
          <w:highlight w:val="none"/>
        </w:rPr>
      </w:pPr>
      <w:r>
        <w:rPr>
          <w:rFonts w:hint="eastAsia" w:ascii="宋体" w:hAnsi="宋体" w:cs="宋体"/>
          <w:color w:val="auto"/>
          <w:kern w:val="0"/>
          <w:highlight w:val="none"/>
          <w:lang w:val="en-US" w:eastAsia="zh-CN"/>
        </w:rPr>
        <w:t>服务方案</w:t>
      </w:r>
      <w:r>
        <w:rPr>
          <w:rFonts w:hint="eastAsia" w:ascii="宋体" w:hAnsi="宋体" w:cs="宋体"/>
          <w:color w:val="auto"/>
          <w:kern w:val="0"/>
          <w:highlight w:val="none"/>
        </w:rPr>
        <w:t>……………………………………………………………………………（页码）</w:t>
      </w:r>
    </w:p>
    <w:p>
      <w:pPr>
        <w:numPr>
          <w:ilvl w:val="0"/>
          <w:numId w:val="15"/>
        </w:numPr>
        <w:ind w:left="425" w:leftChars="0" w:hanging="425" w:firstLineChars="0"/>
        <w:rPr>
          <w:rFonts w:ascii="宋体" w:hAnsi="宋体" w:cs="宋体"/>
          <w:color w:val="auto"/>
          <w:highlight w:val="none"/>
        </w:rPr>
      </w:pPr>
      <w:r>
        <w:rPr>
          <w:rFonts w:hint="eastAsia" w:ascii="宋体" w:hAnsi="宋体" w:cs="宋体"/>
          <w:color w:val="auto"/>
          <w:highlight w:val="none"/>
        </w:rPr>
        <w:t>拟投入本项目的服务车辆情况</w:t>
      </w:r>
      <w:r>
        <w:rPr>
          <w:rFonts w:hint="eastAsia" w:ascii="宋体" w:hAnsi="宋体" w:cs="宋体"/>
          <w:color w:val="auto"/>
          <w:kern w:val="0"/>
          <w:highlight w:val="none"/>
        </w:rPr>
        <w:t>……………………………………………………（页码）</w:t>
      </w:r>
    </w:p>
    <w:p>
      <w:pPr>
        <w:numPr>
          <w:ilvl w:val="0"/>
          <w:numId w:val="15"/>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拟投入本项目</w:t>
      </w:r>
      <w:r>
        <w:rPr>
          <w:rFonts w:hint="eastAsia" w:ascii="宋体" w:hAnsi="宋体" w:cs="宋体"/>
          <w:color w:val="auto"/>
          <w:highlight w:val="none"/>
        </w:rPr>
        <w:t>管理人员及驾驶人员</w:t>
      </w:r>
      <w:r>
        <w:rPr>
          <w:rFonts w:hint="eastAsia" w:ascii="宋体" w:hAnsi="宋体" w:cs="宋体"/>
          <w:color w:val="auto"/>
          <w:kern w:val="0"/>
          <w:highlight w:val="none"/>
        </w:rPr>
        <w:t>………………………………………………（页码</w:t>
      </w:r>
      <w:r>
        <w:rPr>
          <w:rFonts w:hint="eastAsia" w:ascii="宋体" w:hAnsi="宋体" w:cs="宋体"/>
          <w:color w:val="auto"/>
          <w:kern w:val="0"/>
          <w:highlight w:val="none"/>
          <w:lang w:eastAsia="zh-CN"/>
        </w:rPr>
        <w:t>）</w:t>
      </w:r>
    </w:p>
    <w:p>
      <w:pPr>
        <w:numPr>
          <w:ilvl w:val="0"/>
          <w:numId w:val="15"/>
        </w:numPr>
        <w:ind w:left="425" w:leftChars="0" w:hanging="425" w:firstLineChars="0"/>
        <w:rPr>
          <w:rFonts w:hint="eastAsia" w:ascii="宋体" w:hAnsi="宋体" w:cs="宋体"/>
          <w:color w:val="auto"/>
          <w:highlight w:val="none"/>
        </w:rPr>
      </w:pPr>
      <w:r>
        <w:rPr>
          <w:rFonts w:hint="eastAsia" w:ascii="宋体" w:hAnsi="宋体" w:cs="宋体"/>
          <w:color w:val="auto"/>
          <w:highlight w:val="none"/>
        </w:rPr>
        <w:t>车辆安全保障体系</w:t>
      </w:r>
      <w:r>
        <w:rPr>
          <w:rFonts w:hint="eastAsia" w:ascii="宋体" w:hAnsi="宋体" w:cs="宋体"/>
          <w:color w:val="auto"/>
          <w:kern w:val="0"/>
          <w:highlight w:val="none"/>
        </w:rPr>
        <w:t>…………………………………………………………………（页码）</w:t>
      </w:r>
    </w:p>
    <w:p>
      <w:pPr>
        <w:numPr>
          <w:ilvl w:val="0"/>
          <w:numId w:val="15"/>
        </w:numPr>
        <w:ind w:left="425" w:leftChars="0" w:hanging="425" w:firstLineChars="0"/>
        <w:rPr>
          <w:rFonts w:hint="eastAsia" w:ascii="宋体" w:hAnsi="宋体" w:cs="宋体"/>
          <w:color w:val="auto"/>
          <w:highlight w:val="none"/>
        </w:rPr>
      </w:pPr>
      <w:r>
        <w:rPr>
          <w:rFonts w:hint="eastAsia" w:ascii="宋体" w:hAnsi="宋体" w:cs="宋体"/>
          <w:color w:val="auto"/>
          <w:highlight w:val="none"/>
        </w:rPr>
        <w:t>车辆维保能力</w:t>
      </w:r>
      <w:r>
        <w:rPr>
          <w:rFonts w:hint="eastAsia" w:ascii="宋体" w:hAnsi="宋体" w:cs="宋体"/>
          <w:color w:val="auto"/>
          <w:kern w:val="0"/>
          <w:highlight w:val="none"/>
        </w:rPr>
        <w:t>………………………………………………………………………（页码）</w:t>
      </w:r>
    </w:p>
    <w:p>
      <w:pPr>
        <w:numPr>
          <w:ilvl w:val="0"/>
          <w:numId w:val="15"/>
        </w:numPr>
        <w:ind w:left="425" w:leftChars="0" w:hanging="425" w:firstLineChars="0"/>
        <w:rPr>
          <w:rFonts w:hint="eastAsia" w:ascii="宋体" w:hAnsi="宋体" w:cs="宋体"/>
          <w:color w:val="auto"/>
          <w:highlight w:val="none"/>
        </w:rPr>
      </w:pPr>
      <w:r>
        <w:rPr>
          <w:rFonts w:hint="eastAsia" w:ascii="宋体" w:hAnsi="宋体" w:cs="宋体"/>
          <w:color w:val="auto"/>
          <w:highlight w:val="none"/>
        </w:rPr>
        <w:t>应急</w:t>
      </w:r>
      <w:r>
        <w:rPr>
          <w:rFonts w:hint="eastAsia" w:ascii="宋体" w:hAnsi="宋体" w:cs="宋体"/>
          <w:color w:val="auto"/>
          <w:highlight w:val="none"/>
          <w:lang w:val="en-US" w:eastAsia="zh-CN"/>
        </w:rPr>
        <w:t>预案及保障措施</w:t>
      </w:r>
      <w:r>
        <w:rPr>
          <w:rFonts w:hint="eastAsia" w:ascii="宋体" w:hAnsi="宋体" w:cs="宋体"/>
          <w:color w:val="auto"/>
          <w:kern w:val="0"/>
          <w:highlight w:val="none"/>
        </w:rPr>
        <w:t>………………………………………………………………（页码）</w:t>
      </w:r>
    </w:p>
    <w:p>
      <w:pPr>
        <w:numPr>
          <w:ilvl w:val="0"/>
          <w:numId w:val="15"/>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其他</w:t>
      </w:r>
      <w:r>
        <w:rPr>
          <w:rFonts w:hint="eastAsia" w:ascii="宋体" w:hAnsi="宋体" w:cs="宋体"/>
          <w:color w:val="auto"/>
          <w:highlight w:val="none"/>
        </w:rPr>
        <w:t>优惠承诺、各项服务承诺、合理化建议等</w:t>
      </w:r>
      <w:r>
        <w:rPr>
          <w:rFonts w:hint="eastAsia" w:ascii="宋体" w:hAnsi="宋体" w:cs="宋体"/>
          <w:color w:val="auto"/>
          <w:kern w:val="0"/>
          <w:highlight w:val="none"/>
        </w:rPr>
        <w:t>……………………………………（页码）</w:t>
      </w:r>
    </w:p>
    <w:p>
      <w:pPr>
        <w:numPr>
          <w:ilvl w:val="0"/>
          <w:numId w:val="10"/>
        </w:numPr>
        <w:ind w:left="425" w:leftChars="0" w:hanging="425" w:firstLineChars="0"/>
        <w:rPr>
          <w:rFonts w:ascii="宋体" w:hAnsi="宋体" w:cs="宋体"/>
          <w:color w:val="auto"/>
          <w:highlight w:val="none"/>
        </w:rPr>
      </w:pPr>
      <w:r>
        <w:rPr>
          <w:rFonts w:hint="eastAsia" w:ascii="宋体" w:hAnsi="宋体" w:cs="宋体"/>
          <w:color w:val="auto"/>
          <w:highlight w:val="none"/>
        </w:rPr>
        <w:t>其它</w:t>
      </w:r>
      <w:r>
        <w:rPr>
          <w:rFonts w:hint="eastAsia" w:ascii="宋体" w:hAnsi="宋体" w:cs="宋体"/>
          <w:color w:val="auto"/>
          <w:kern w:val="0"/>
          <w:highlight w:val="none"/>
        </w:rPr>
        <w:t>…………………………………………………………………………………（页码）</w:t>
      </w:r>
    </w:p>
    <w:p>
      <w:pPr>
        <w:pStyle w:val="2"/>
        <w:rPr>
          <w:rFonts w:ascii="宋体" w:hAnsi="宋体" w:eastAsia="宋体" w:cs="宋体"/>
          <w:color w:val="auto"/>
          <w:highlight w:val="none"/>
        </w:rPr>
      </w:pPr>
    </w:p>
    <w:p>
      <w:pPr>
        <w:rPr>
          <w:rFonts w:hint="eastAsia" w:ascii="宋体" w:hAnsi="宋体" w:cs="宋体"/>
          <w:iCs/>
          <w:color w:val="auto"/>
          <w:highlight w:val="none"/>
        </w:rPr>
      </w:pPr>
      <w:r>
        <w:rPr>
          <w:rFonts w:hint="eastAsia" w:ascii="宋体" w:hAnsi="宋体" w:cs="宋体"/>
          <w:iCs/>
          <w:color w:val="auto"/>
          <w:highlight w:val="none"/>
        </w:rPr>
        <w:br w:type="page"/>
      </w:r>
    </w:p>
    <w:p>
      <w:pPr>
        <w:pStyle w:val="5"/>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lang w:eastAsia="zh-CN"/>
        </w:rPr>
        <w:t>中国计量大学</w:t>
      </w:r>
      <w:r>
        <w:rPr>
          <w:rFonts w:hint="eastAsia" w:ascii="宋体" w:hAnsi="宋体" w:cs="宋体"/>
          <w:color w:val="auto"/>
          <w:highlight w:val="none"/>
        </w:rPr>
        <w:t>、浙江五石工程咨询有限公司：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项目[招标编号：</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lang w:eastAsia="zh-CN"/>
        </w:rPr>
        <w:t>中国计量大学</w:t>
      </w:r>
      <w:r>
        <w:rPr>
          <w:rFonts w:hint="eastAsia" w:ascii="宋体" w:hAnsi="宋体" w:cs="宋体"/>
          <w:color w:val="auto"/>
          <w:highlight w:val="none"/>
        </w:rPr>
        <w:t>：</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八</w:t>
      </w:r>
      <w:r>
        <w:rPr>
          <w:rFonts w:hint="eastAsia" w:ascii="宋体" w:hAnsi="宋体" w:cs="宋体"/>
          <w:color w:val="auto"/>
          <w:highlight w:val="none"/>
        </w:rPr>
        <w:t xml:space="preserve">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8"/>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九</w:t>
      </w:r>
      <w:r>
        <w:rPr>
          <w:rFonts w:hint="eastAsia" w:ascii="宋体" w:hAnsi="宋体" w:cs="宋体"/>
          <w:color w:val="auto"/>
          <w:highlight w:val="none"/>
        </w:rPr>
        <w:t xml:space="preserve"> </w:t>
      </w:r>
      <w:r>
        <w:rPr>
          <w:rFonts w:hint="eastAsia" w:ascii="宋体" w:hAnsi="宋体" w:cs="宋体"/>
          <w:color w:val="auto"/>
          <w:highlight w:val="none"/>
          <w:lang w:val="en-US" w:eastAsia="zh-CN"/>
        </w:rPr>
        <w:t>采购需求</w:t>
      </w:r>
      <w:r>
        <w:rPr>
          <w:rFonts w:hint="eastAsia" w:ascii="宋体" w:hAnsi="宋体" w:cs="宋体"/>
          <w:color w:val="auto"/>
          <w:highlight w:val="none"/>
        </w:rPr>
        <w:t>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54"/>
        <w:gridCol w:w="2864"/>
        <w:gridCol w:w="25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0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95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864"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55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559"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附件十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一</w:t>
      </w:r>
      <w:r>
        <w:rPr>
          <w:rFonts w:hint="eastAsia" w:ascii="宋体" w:hAnsi="宋体" w:cs="宋体"/>
          <w:color w:val="auto"/>
          <w:highlight w:val="none"/>
        </w:rPr>
        <w:t xml:space="preserve">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二</w:t>
      </w:r>
      <w:r>
        <w:rPr>
          <w:rFonts w:hint="eastAsia" w:ascii="宋体" w:hAnsi="宋体" w:cs="宋体"/>
          <w:color w:val="auto"/>
          <w:highlight w:val="none"/>
        </w:rPr>
        <w:t xml:space="preserve">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w:t>
      </w:r>
      <w:r>
        <w:rPr>
          <w:rFonts w:hint="eastAsia" w:ascii="宋体" w:hAnsi="宋体" w:cs="宋体"/>
          <w:i/>
          <w:color w:val="auto"/>
          <w:spacing w:val="4"/>
          <w:highlight w:val="none"/>
          <w:lang w:eastAsia="zh-CN"/>
        </w:rPr>
        <w:t>，</w:t>
      </w:r>
      <w:r>
        <w:rPr>
          <w:rFonts w:hint="eastAsia" w:ascii="宋体" w:hAnsi="宋体" w:cs="宋体"/>
          <w:i/>
          <w:color w:val="auto"/>
          <w:spacing w:val="4"/>
          <w:highlight w:val="none"/>
          <w:lang w:val="en-US" w:eastAsia="zh-CN"/>
        </w:rPr>
        <w:t>格式可自拟</w:t>
      </w:r>
      <w:r>
        <w:rPr>
          <w:rFonts w:hint="eastAsia" w:ascii="宋体" w:hAnsi="宋体" w:cs="宋体"/>
          <w:i/>
          <w:color w:val="auto"/>
          <w:spacing w:val="4"/>
          <w:highlight w:val="none"/>
        </w:rPr>
        <w:t>）</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bookmarkEnd w:id="37"/>
    <w:bookmarkEnd w:id="38"/>
    <w:bookmarkEnd w:id="39"/>
    <w:bookmarkEnd w:id="40"/>
    <w:bookmarkEnd w:id="41"/>
    <w:bookmarkEnd w:id="42"/>
    <w:bookmarkEnd w:id="43"/>
    <w:bookmarkEnd w:id="44"/>
    <w:p>
      <w:pPr>
        <w:pStyle w:val="5"/>
        <w:rPr>
          <w:rFonts w:hint="eastAsia" w:ascii="宋体" w:hAnsi="宋体" w:eastAsia="宋体" w:cs="宋体"/>
          <w:color w:val="auto"/>
          <w:sz w:val="24"/>
          <w:szCs w:val="40"/>
          <w:highlight w:val="none"/>
          <w:lang w:eastAsia="zh-CN"/>
        </w:rPr>
      </w:pPr>
      <w:r>
        <w:rPr>
          <w:rFonts w:hint="eastAsia" w:ascii="宋体" w:hAnsi="宋体" w:cs="宋体"/>
          <w:color w:val="auto"/>
          <w:sz w:val="24"/>
          <w:szCs w:val="22"/>
          <w:highlight w:val="none"/>
        </w:rPr>
        <w:t>附件十</w:t>
      </w:r>
      <w:r>
        <w:rPr>
          <w:rFonts w:hint="eastAsia" w:ascii="宋体" w:hAnsi="宋体" w:cs="宋体"/>
          <w:color w:val="auto"/>
          <w:sz w:val="24"/>
          <w:szCs w:val="22"/>
          <w:highlight w:val="none"/>
          <w:lang w:val="en-US" w:eastAsia="zh-CN"/>
        </w:rPr>
        <w:t>三</w:t>
      </w:r>
      <w:r>
        <w:rPr>
          <w:rFonts w:hint="eastAsia" w:ascii="宋体" w:hAnsi="宋体" w:cs="宋体"/>
          <w:color w:val="auto"/>
          <w:sz w:val="24"/>
          <w:szCs w:val="22"/>
          <w:highlight w:val="none"/>
        </w:rPr>
        <w:t xml:space="preserve"> </w:t>
      </w:r>
      <w:r>
        <w:rPr>
          <w:rFonts w:hint="eastAsia" w:ascii="宋体" w:hAnsi="宋体" w:cs="宋体"/>
          <w:color w:val="auto"/>
          <w:sz w:val="24"/>
          <w:szCs w:val="40"/>
          <w:highlight w:val="none"/>
          <w:lang w:val="en-US" w:eastAsia="zh-CN"/>
        </w:rPr>
        <w:t>弃标函</w:t>
      </w:r>
    </w:p>
    <w:p>
      <w:pPr>
        <w:spacing w:line="240" w:lineRule="auto"/>
        <w:ind w:firstLine="480" w:firstLineChars="0"/>
        <w:rPr>
          <w:rFonts w:hint="eastAsia" w:ascii="宋体" w:hAnsi="宋体" w:cs="宋体"/>
          <w:color w:val="auto"/>
          <w:sz w:val="24"/>
          <w:szCs w:val="32"/>
          <w:highlight w:val="none"/>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中国计量大学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浙江五石工程咨询有限公司：</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default" w:ascii="宋体" w:hAnsi="宋体" w:eastAsia="宋体" w:cs="宋体"/>
          <w:color w:val="auto"/>
          <w:sz w:val="24"/>
          <w:szCs w:val="32"/>
          <w:highlight w:val="none"/>
          <w:lang w:val="en-US" w:eastAsia="zh-CN"/>
        </w:rPr>
      </w:pPr>
    </w:p>
    <w:p>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270" w:afterAutospacing="0" w:line="360" w:lineRule="auto"/>
        <w:ind w:left="0" w:right="0" w:firstLine="720" w:firstLineChars="300"/>
        <w:jc w:val="both"/>
        <w:textAlignment w:val="auto"/>
        <w:rPr>
          <w:rFonts w:ascii="Arial" w:hAnsi="Arial" w:cs="Arial"/>
          <w:b w:val="0"/>
          <w:i w:val="0"/>
          <w:caps w:val="0"/>
          <w:color w:val="auto"/>
          <w:spacing w:val="0"/>
          <w:sz w:val="24"/>
          <w:szCs w:val="24"/>
          <w:highlight w:val="none"/>
        </w:rPr>
      </w:pPr>
      <w:r>
        <w:rPr>
          <w:rFonts w:hint="default" w:ascii="Arial" w:hAnsi="Arial" w:cs="Arial"/>
          <w:b w:val="0"/>
          <w:i w:val="0"/>
          <w:caps w:val="0"/>
          <w:color w:val="auto"/>
          <w:spacing w:val="0"/>
          <w:sz w:val="24"/>
          <w:szCs w:val="24"/>
          <w:highlight w:val="none"/>
          <w:shd w:val="clear" w:color="auto" w:fill="FFFFFF"/>
        </w:rPr>
        <w:t>我公司</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w:t>
      </w:r>
      <w:r>
        <w:rPr>
          <w:rFonts w:hint="default" w:ascii="Arial" w:hAnsi="Arial" w:cs="Arial"/>
          <w:b w:val="0"/>
          <w:i w:val="0"/>
          <w:caps w:val="0"/>
          <w:color w:val="auto"/>
          <w:spacing w:val="0"/>
          <w:sz w:val="24"/>
          <w:szCs w:val="24"/>
          <w:highlight w:val="none"/>
          <w:shd w:val="clear" w:color="auto" w:fill="FFFFFF"/>
        </w:rPr>
        <w:t>，</w:t>
      </w:r>
      <w:r>
        <w:rPr>
          <w:rFonts w:hint="eastAsia" w:ascii="Arial" w:hAnsi="Arial" w:cs="Arial"/>
          <w:b w:val="0"/>
          <w:i w:val="0"/>
          <w:caps w:val="0"/>
          <w:color w:val="auto"/>
          <w:spacing w:val="0"/>
          <w:sz w:val="24"/>
          <w:szCs w:val="24"/>
          <w:highlight w:val="none"/>
          <w:shd w:val="clear" w:color="auto" w:fill="FFFFFF"/>
          <w:lang w:val="en-US" w:eastAsia="zh-CN"/>
        </w:rPr>
        <w:t>于</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2019</w:t>
      </w:r>
      <w:r>
        <w:rPr>
          <w:rFonts w:hint="eastAsia" w:ascii="Arial" w:hAnsi="Arial" w:cs="Arial"/>
          <w:b w:val="0"/>
          <w:i w:val="0"/>
          <w:caps w:val="0"/>
          <w:color w:val="auto"/>
          <w:spacing w:val="0"/>
          <w:sz w:val="24"/>
          <w:szCs w:val="24"/>
          <w:highlight w:val="none"/>
          <w:shd w:val="clear" w:color="auto" w:fill="FFFFFF"/>
          <w:lang w:val="en-US" w:eastAsia="zh-CN"/>
        </w:rPr>
        <w:t>年</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w:t>
      </w:r>
      <w:r>
        <w:rPr>
          <w:rFonts w:hint="eastAsia" w:ascii="Arial" w:hAnsi="Arial" w:cs="Arial"/>
          <w:b w:val="0"/>
          <w:i w:val="0"/>
          <w:caps w:val="0"/>
          <w:color w:val="auto"/>
          <w:spacing w:val="0"/>
          <w:sz w:val="24"/>
          <w:szCs w:val="24"/>
          <w:highlight w:val="none"/>
          <w:shd w:val="clear" w:color="auto" w:fill="FFFFFF"/>
          <w:lang w:val="en-US" w:eastAsia="zh-CN"/>
        </w:rPr>
        <w:t>月</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w:t>
      </w:r>
      <w:r>
        <w:rPr>
          <w:rFonts w:hint="eastAsia" w:ascii="Arial" w:hAnsi="Arial" w:cs="Arial"/>
          <w:b w:val="0"/>
          <w:i w:val="0"/>
          <w:caps w:val="0"/>
          <w:color w:val="auto"/>
          <w:spacing w:val="0"/>
          <w:sz w:val="24"/>
          <w:szCs w:val="24"/>
          <w:highlight w:val="none"/>
          <w:shd w:val="clear" w:color="auto" w:fill="FFFFFF"/>
          <w:lang w:val="en-US" w:eastAsia="zh-CN"/>
        </w:rPr>
        <w:t>日报名</w:t>
      </w:r>
      <w:r>
        <w:rPr>
          <w:rFonts w:hint="default" w:ascii="Arial" w:hAnsi="Arial" w:cs="Arial"/>
          <w:b w:val="0"/>
          <w:i w:val="0"/>
          <w:caps w:val="0"/>
          <w:color w:val="auto"/>
          <w:spacing w:val="0"/>
          <w:sz w:val="24"/>
          <w:szCs w:val="24"/>
          <w:highlight w:val="none"/>
          <w:shd w:val="clear" w:color="auto" w:fill="FFFFFF"/>
        </w:rPr>
        <w:t>参与</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（项目名称）     </w:t>
      </w:r>
      <w:r>
        <w:rPr>
          <w:rFonts w:hint="default" w:ascii="Arial" w:hAnsi="Arial" w:cs="Arial"/>
          <w:b w:val="0"/>
          <w:i w:val="0"/>
          <w:caps w:val="0"/>
          <w:color w:val="auto"/>
          <w:spacing w:val="0"/>
          <w:sz w:val="24"/>
          <w:szCs w:val="24"/>
          <w:highlight w:val="none"/>
          <w:shd w:val="clear" w:color="auto" w:fill="FFFFFF"/>
        </w:rPr>
        <w:t>项目，由于</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w:t>
      </w:r>
      <w:r>
        <w:rPr>
          <w:rFonts w:hint="default" w:ascii="Arial" w:hAnsi="Arial" w:cs="Arial"/>
          <w:b w:val="0"/>
          <w:i w:val="0"/>
          <w:caps w:val="0"/>
          <w:color w:val="auto"/>
          <w:spacing w:val="0"/>
          <w:sz w:val="24"/>
          <w:szCs w:val="24"/>
          <w:highlight w:val="none"/>
          <w:shd w:val="clear" w:color="auto" w:fill="FFFFFF"/>
        </w:rPr>
        <w:t>原因，经研究决定放弃投标。特此声明。</w:t>
      </w:r>
    </w:p>
    <w:p>
      <w:pPr>
        <w:ind w:firstLine="480"/>
        <w:rPr>
          <w:rFonts w:hint="default" w:eastAsia="宋体"/>
          <w:color w:val="auto"/>
          <w:sz w:val="24"/>
          <w:szCs w:val="40"/>
          <w:highlight w:val="none"/>
          <w:lang w:val="en-US" w:eastAsia="zh-CN"/>
        </w:rPr>
      </w:pPr>
    </w:p>
    <w:p>
      <w:pPr>
        <w:ind w:firstLine="480"/>
        <w:rPr>
          <w:color w:val="auto"/>
          <w:sz w:val="24"/>
          <w:szCs w:val="40"/>
          <w:highlight w:val="none"/>
        </w:rPr>
      </w:pPr>
    </w:p>
    <w:p>
      <w:pPr>
        <w:ind w:firstLine="480"/>
        <w:rPr>
          <w:color w:val="auto"/>
          <w:sz w:val="24"/>
          <w:szCs w:val="40"/>
          <w:highlight w:val="none"/>
        </w:rPr>
      </w:pPr>
    </w:p>
    <w:p>
      <w:pPr>
        <w:ind w:firstLine="480"/>
        <w:rPr>
          <w:color w:val="auto"/>
          <w:sz w:val="24"/>
          <w:szCs w:val="40"/>
          <w:highlight w:val="none"/>
        </w:rPr>
      </w:pPr>
    </w:p>
    <w:p>
      <w:pPr>
        <w:ind w:firstLine="480"/>
        <w:rPr>
          <w:color w:val="auto"/>
          <w:sz w:val="24"/>
          <w:szCs w:val="40"/>
          <w:highlight w:val="none"/>
        </w:rPr>
      </w:pPr>
    </w:p>
    <w:p>
      <w:pPr>
        <w:ind w:firstLine="228" w:firstLineChars="95"/>
        <w:jc w:val="left"/>
        <w:rPr>
          <w:rFonts w:hint="eastAsia" w:ascii="宋体" w:hAnsi="宋体" w:cs="宋体"/>
          <w:color w:val="auto"/>
          <w:sz w:val="24"/>
          <w:highlight w:val="none"/>
        </w:rPr>
      </w:pPr>
      <w:r>
        <w:rPr>
          <w:rFonts w:hint="eastAsia" w:ascii="宋体" w:hAnsi="宋体" w:cs="宋体"/>
          <w:color w:val="auto"/>
          <w:sz w:val="24"/>
          <w:szCs w:val="22"/>
          <w:highlight w:val="none"/>
        </w:rPr>
        <w:t>投标方全称</w:t>
      </w:r>
      <w:r>
        <w:rPr>
          <w:rFonts w:hint="eastAsia" w:ascii="宋体" w:hAnsi="宋体" w:cs="宋体"/>
          <w:color w:val="auto"/>
          <w:sz w:val="24"/>
          <w:highlight w:val="none"/>
        </w:rPr>
        <w:t>（公章）：</w:t>
      </w:r>
    </w:p>
    <w:p>
      <w:pPr>
        <w:ind w:firstLine="228" w:firstLineChars="95"/>
        <w:jc w:val="left"/>
        <w:rPr>
          <w:rFonts w:hint="eastAsia" w:ascii="宋体" w:hAnsi="宋体" w:cs="宋体"/>
          <w:color w:val="auto"/>
          <w:sz w:val="24"/>
          <w:highlight w:val="none"/>
        </w:rPr>
      </w:pPr>
      <w:r>
        <w:rPr>
          <w:rFonts w:hint="eastAsia" w:ascii="宋体" w:hAnsi="宋体" w:cs="宋体"/>
          <w:color w:val="auto"/>
          <w:sz w:val="24"/>
          <w:highlight w:val="none"/>
        </w:rPr>
        <w:t>日期：2019年  月  日</w:t>
      </w:r>
    </w:p>
    <w:p>
      <w:pPr>
        <w:ind w:firstLine="480"/>
        <w:rPr>
          <w:color w:val="auto"/>
          <w:sz w:val="24"/>
          <w:szCs w:val="40"/>
          <w:highlight w:val="none"/>
        </w:rPr>
      </w:pPr>
    </w:p>
    <w:p>
      <w:pPr>
        <w:ind w:firstLine="480"/>
        <w:rPr>
          <w:color w:val="auto"/>
          <w:sz w:val="24"/>
          <w:szCs w:val="40"/>
          <w:highlight w:val="none"/>
        </w:rPr>
      </w:pPr>
    </w:p>
    <w:p>
      <w:pPr>
        <w:ind w:firstLine="480"/>
        <w:rPr>
          <w:rFonts w:hint="default" w:eastAsia="宋体"/>
          <w:color w:val="auto"/>
          <w:sz w:val="24"/>
          <w:szCs w:val="40"/>
          <w:highlight w:val="none"/>
          <w:lang w:val="en-US" w:eastAsia="zh-CN"/>
        </w:rPr>
      </w:pPr>
      <w:r>
        <w:rPr>
          <w:rFonts w:hint="eastAsia"/>
          <w:color w:val="auto"/>
          <w:sz w:val="24"/>
          <w:szCs w:val="40"/>
          <w:highlight w:val="none"/>
          <w:lang w:val="en-US" w:eastAsia="zh-CN"/>
        </w:rPr>
        <w:t>注：报名单位若不参与该项目的投标，请于开标截止前3个工作日内将弃标函盖章发送至我公司邮箱。邮箱：2810140286@qq.com。</w:t>
      </w:r>
    </w:p>
    <w:p>
      <w:pPr>
        <w:ind w:firstLine="480"/>
        <w:rPr>
          <w:color w:val="auto"/>
          <w:sz w:val="24"/>
          <w:szCs w:val="40"/>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四</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4"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mbZq8BAABMAwAADgAAAGRycy9lMm9Eb2MueG1srVPNahsxEL4X8g5C&#10;91hrE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ALShy3OKL9j5f9z9/7X89kNs396QPUmPYUMDEN137AOY9+QGeWPaho8xcF&#10;EYxjp3en7sohEZEfzWfzeYUhgbHxgvjs9XmIkO6ktyQbDY04vtJVvv0C6ZA6puRqzt9qY8oIjfvH&#10;gZjZwzL3A8dspWE1HAWtfLtDPT1OvqEOV5MSc++wsXlJRiOOxmo0NiHqdYfUpoUXhKtNQhKFW65w&#10;gD0WxpEVdcf1yjvx971kvf4E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WmbZq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4D4gbABAABM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fKXHc4ogOPx8Pv54PTw+krnN/Bh8bTLv3mJjGzzDinCd/RGeWPapg8xcF&#10;EYxjp/fn7soxEZEfLerFosKQwNh0QXz28tyHmL5IsCQbLQ04vtJVvvsW0zF1SsnVHFxrY8oIjfvL&#10;gZjZwzL3I8dspXE9ngStodujngEn31KHq0mJ+eqwsXlJJiNMxnoytj7oTY/U5oVX9JfbhCQKt1zh&#10;CHsqjCMr6k7rlXfiz3vJevkJ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uA+IG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lang w:eastAsia="zh-CN"/>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i/>
        <w:iCs/>
        <w:sz w:val="24"/>
        <w:szCs w:val="24"/>
      </w:rPr>
    </w:pPr>
  </w:p>
  <w:p>
    <w:pPr>
      <w:pStyle w:val="24"/>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C9753911"/>
    <w:multiLevelType w:val="singleLevel"/>
    <w:tmpl w:val="C9753911"/>
    <w:lvl w:ilvl="0" w:tentative="0">
      <w:start w:val="1"/>
      <w:numFmt w:val="decimal"/>
      <w:suff w:val="nothing"/>
      <w:lvlText w:val="（%1）"/>
      <w:lvlJc w:val="left"/>
    </w:lvl>
  </w:abstractNum>
  <w:abstractNum w:abstractNumId="3">
    <w:nsid w:val="E2635752"/>
    <w:multiLevelType w:val="singleLevel"/>
    <w:tmpl w:val="E2635752"/>
    <w:lvl w:ilvl="0" w:tentative="0">
      <w:start w:val="1"/>
      <w:numFmt w:val="decimal"/>
      <w:lvlText w:val="%1."/>
      <w:lvlJc w:val="left"/>
      <w:pPr>
        <w:ind w:left="425" w:hanging="425"/>
      </w:pPr>
      <w:rPr>
        <w:rFonts w:hint="default"/>
      </w:rPr>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81965CD"/>
    <w:multiLevelType w:val="singleLevel"/>
    <w:tmpl w:val="F81965CD"/>
    <w:lvl w:ilvl="0" w:tentative="0">
      <w:start w:val="1"/>
      <w:numFmt w:val="decimal"/>
      <w:suff w:val="nothing"/>
      <w:lvlText w:val="（%1）"/>
      <w:lvlJc w:val="left"/>
    </w:lvl>
  </w:abstractNum>
  <w:abstractNum w:abstractNumId="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68A08C"/>
    <w:multiLevelType w:val="singleLevel"/>
    <w:tmpl w:val="4068A08C"/>
    <w:lvl w:ilvl="0" w:tentative="0">
      <w:start w:val="1"/>
      <w:numFmt w:val="decimal"/>
      <w:lvlText w:val="%1."/>
      <w:lvlJc w:val="left"/>
      <w:pPr>
        <w:ind w:left="425" w:hanging="425"/>
      </w:pPr>
      <w:rPr>
        <w:rFonts w:hint="default"/>
      </w:rPr>
    </w:lvl>
  </w:abstractNum>
  <w:abstractNum w:abstractNumId="9">
    <w:nsid w:val="41C5F5BA"/>
    <w:multiLevelType w:val="singleLevel"/>
    <w:tmpl w:val="41C5F5BA"/>
    <w:lvl w:ilvl="0" w:tentative="0">
      <w:start w:val="1"/>
      <w:numFmt w:val="decimal"/>
      <w:lvlText w:val="%1."/>
      <w:lvlJc w:val="left"/>
      <w:pPr>
        <w:ind w:left="425" w:hanging="425"/>
      </w:pPr>
      <w:rPr>
        <w:rFonts w:hint="default"/>
      </w:rPr>
    </w:lvl>
  </w:abstractNum>
  <w:abstractNum w:abstractNumId="10">
    <w:nsid w:val="4BFDDBFF"/>
    <w:multiLevelType w:val="singleLevel"/>
    <w:tmpl w:val="4BFDDBFF"/>
    <w:lvl w:ilvl="0" w:tentative="0">
      <w:start w:val="1"/>
      <w:numFmt w:val="decimal"/>
      <w:suff w:val="nothing"/>
      <w:lvlText w:val="（%1）"/>
      <w:lvlJc w:val="left"/>
    </w:lvl>
  </w:abstractNum>
  <w:abstractNum w:abstractNumId="11">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4C22E59"/>
    <w:multiLevelType w:val="singleLevel"/>
    <w:tmpl w:val="64C22E59"/>
    <w:lvl w:ilvl="0" w:tentative="0">
      <w:start w:val="1"/>
      <w:numFmt w:val="decimal"/>
      <w:lvlText w:val="%1."/>
      <w:lvlJc w:val="left"/>
      <w:pPr>
        <w:tabs>
          <w:tab w:val="left" w:pos="312"/>
        </w:tabs>
      </w:pPr>
    </w:lvl>
  </w:abstractNum>
  <w:abstractNum w:abstractNumId="13">
    <w:nsid w:val="6DE11870"/>
    <w:multiLevelType w:val="multilevel"/>
    <w:tmpl w:val="6DE1187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E76112D"/>
    <w:multiLevelType w:val="singleLevel"/>
    <w:tmpl w:val="7E76112D"/>
    <w:lvl w:ilvl="0" w:tentative="0">
      <w:start w:val="9"/>
      <w:numFmt w:val="decimal"/>
      <w:lvlText w:val="%1."/>
      <w:lvlJc w:val="left"/>
      <w:pPr>
        <w:tabs>
          <w:tab w:val="left" w:pos="312"/>
        </w:tabs>
      </w:pPr>
    </w:lvl>
  </w:abstractNum>
  <w:num w:numId="1">
    <w:abstractNumId w:val="11"/>
  </w:num>
  <w:num w:numId="2">
    <w:abstractNumId w:val="13"/>
  </w:num>
  <w:num w:numId="3">
    <w:abstractNumId w:val="7"/>
  </w:num>
  <w:num w:numId="4">
    <w:abstractNumId w:val="9"/>
  </w:num>
  <w:num w:numId="5">
    <w:abstractNumId w:val="10"/>
  </w:num>
  <w:num w:numId="6">
    <w:abstractNumId w:val="4"/>
  </w:num>
  <w:num w:numId="7">
    <w:abstractNumId w:val="1"/>
  </w:num>
  <w:num w:numId="8">
    <w:abstractNumId w:val="14"/>
  </w:num>
  <w:num w:numId="9">
    <w:abstractNumId w:val="6"/>
  </w:num>
  <w:num w:numId="10">
    <w:abstractNumId w:val="3"/>
  </w:num>
  <w:num w:numId="11">
    <w:abstractNumId w:val="12"/>
  </w:num>
  <w:num w:numId="12">
    <w:abstractNumId w:val="5"/>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4415EE3"/>
    <w:rsid w:val="05273450"/>
    <w:rsid w:val="05B01605"/>
    <w:rsid w:val="06F32C4C"/>
    <w:rsid w:val="07221759"/>
    <w:rsid w:val="07845EBA"/>
    <w:rsid w:val="07996EB4"/>
    <w:rsid w:val="079E733B"/>
    <w:rsid w:val="07D945DC"/>
    <w:rsid w:val="082D669C"/>
    <w:rsid w:val="092D4ADB"/>
    <w:rsid w:val="094B0040"/>
    <w:rsid w:val="096D0679"/>
    <w:rsid w:val="09A13A7B"/>
    <w:rsid w:val="09D51869"/>
    <w:rsid w:val="0A676977"/>
    <w:rsid w:val="0B5673B8"/>
    <w:rsid w:val="0CA8083B"/>
    <w:rsid w:val="0CD26A47"/>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41A42B8"/>
    <w:rsid w:val="147A2410"/>
    <w:rsid w:val="14852C6F"/>
    <w:rsid w:val="150B31E0"/>
    <w:rsid w:val="155D0521"/>
    <w:rsid w:val="15871E93"/>
    <w:rsid w:val="15F003C1"/>
    <w:rsid w:val="15F61009"/>
    <w:rsid w:val="15FC3115"/>
    <w:rsid w:val="168878EF"/>
    <w:rsid w:val="16ED72BA"/>
    <w:rsid w:val="17445402"/>
    <w:rsid w:val="18E00489"/>
    <w:rsid w:val="19282791"/>
    <w:rsid w:val="192C2D7A"/>
    <w:rsid w:val="19810432"/>
    <w:rsid w:val="19F45009"/>
    <w:rsid w:val="1A1E7230"/>
    <w:rsid w:val="1A5E1863"/>
    <w:rsid w:val="1AB83062"/>
    <w:rsid w:val="1C2F581E"/>
    <w:rsid w:val="1D035F55"/>
    <w:rsid w:val="1D7C153E"/>
    <w:rsid w:val="1E055C9E"/>
    <w:rsid w:val="1E646060"/>
    <w:rsid w:val="1E8D072E"/>
    <w:rsid w:val="1F0136F8"/>
    <w:rsid w:val="1F8A0112"/>
    <w:rsid w:val="200C3AA1"/>
    <w:rsid w:val="20CB3924"/>
    <w:rsid w:val="21220D3E"/>
    <w:rsid w:val="214A3DCF"/>
    <w:rsid w:val="21BF72A1"/>
    <w:rsid w:val="21C3592D"/>
    <w:rsid w:val="21C55F53"/>
    <w:rsid w:val="21FC530F"/>
    <w:rsid w:val="225A2932"/>
    <w:rsid w:val="22A84E37"/>
    <w:rsid w:val="233A2E59"/>
    <w:rsid w:val="234B117B"/>
    <w:rsid w:val="23594B35"/>
    <w:rsid w:val="23EA5690"/>
    <w:rsid w:val="244157BB"/>
    <w:rsid w:val="247240E4"/>
    <w:rsid w:val="24D54DB0"/>
    <w:rsid w:val="24F82B87"/>
    <w:rsid w:val="25A07AA6"/>
    <w:rsid w:val="25D27E7B"/>
    <w:rsid w:val="274F2171"/>
    <w:rsid w:val="275E0F3C"/>
    <w:rsid w:val="27797DE0"/>
    <w:rsid w:val="27965B8B"/>
    <w:rsid w:val="282657F7"/>
    <w:rsid w:val="282E3069"/>
    <w:rsid w:val="28FC2B68"/>
    <w:rsid w:val="29172B11"/>
    <w:rsid w:val="29223179"/>
    <w:rsid w:val="29523F82"/>
    <w:rsid w:val="297F63E2"/>
    <w:rsid w:val="29AA4023"/>
    <w:rsid w:val="29FF498C"/>
    <w:rsid w:val="2A3B1864"/>
    <w:rsid w:val="2A456589"/>
    <w:rsid w:val="2A5B4807"/>
    <w:rsid w:val="2AC46B39"/>
    <w:rsid w:val="2ADE0C2E"/>
    <w:rsid w:val="2B16314B"/>
    <w:rsid w:val="2B53670E"/>
    <w:rsid w:val="2C0E274C"/>
    <w:rsid w:val="2C1864B9"/>
    <w:rsid w:val="2C3042EA"/>
    <w:rsid w:val="2C5466FC"/>
    <w:rsid w:val="2D4477EE"/>
    <w:rsid w:val="2DC41DAC"/>
    <w:rsid w:val="2DD4300E"/>
    <w:rsid w:val="2E413F38"/>
    <w:rsid w:val="2EC14611"/>
    <w:rsid w:val="305E4CC4"/>
    <w:rsid w:val="31EE4BAA"/>
    <w:rsid w:val="31F5436E"/>
    <w:rsid w:val="32243194"/>
    <w:rsid w:val="3263631F"/>
    <w:rsid w:val="32C00D78"/>
    <w:rsid w:val="33222A9A"/>
    <w:rsid w:val="332D1CBE"/>
    <w:rsid w:val="33480719"/>
    <w:rsid w:val="339D5261"/>
    <w:rsid w:val="349A334C"/>
    <w:rsid w:val="34CA78C0"/>
    <w:rsid w:val="34F8467B"/>
    <w:rsid w:val="35586223"/>
    <w:rsid w:val="35A418C4"/>
    <w:rsid w:val="36253B84"/>
    <w:rsid w:val="365F5950"/>
    <w:rsid w:val="368920CF"/>
    <w:rsid w:val="37D078F7"/>
    <w:rsid w:val="37F76452"/>
    <w:rsid w:val="381045CB"/>
    <w:rsid w:val="38CE707C"/>
    <w:rsid w:val="39104B12"/>
    <w:rsid w:val="3B216441"/>
    <w:rsid w:val="3BFB42C7"/>
    <w:rsid w:val="3C203F89"/>
    <w:rsid w:val="3CAA46F7"/>
    <w:rsid w:val="3CE77BA9"/>
    <w:rsid w:val="3E217459"/>
    <w:rsid w:val="3E5D213F"/>
    <w:rsid w:val="3F255D56"/>
    <w:rsid w:val="3F416A26"/>
    <w:rsid w:val="3F65787F"/>
    <w:rsid w:val="402D6EAD"/>
    <w:rsid w:val="4082593F"/>
    <w:rsid w:val="411977E2"/>
    <w:rsid w:val="41681941"/>
    <w:rsid w:val="41E47D60"/>
    <w:rsid w:val="423D6569"/>
    <w:rsid w:val="44560F40"/>
    <w:rsid w:val="44720E16"/>
    <w:rsid w:val="44B40707"/>
    <w:rsid w:val="44C41913"/>
    <w:rsid w:val="44D619FA"/>
    <w:rsid w:val="44EE065A"/>
    <w:rsid w:val="45351E74"/>
    <w:rsid w:val="45D662CB"/>
    <w:rsid w:val="45E54860"/>
    <w:rsid w:val="46196EAA"/>
    <w:rsid w:val="466C6EAA"/>
    <w:rsid w:val="47DC74AE"/>
    <w:rsid w:val="482B2304"/>
    <w:rsid w:val="4853715D"/>
    <w:rsid w:val="48857FBF"/>
    <w:rsid w:val="48DE11B8"/>
    <w:rsid w:val="49205619"/>
    <w:rsid w:val="4922547B"/>
    <w:rsid w:val="49D54F3C"/>
    <w:rsid w:val="4A1F67CA"/>
    <w:rsid w:val="4A993CF4"/>
    <w:rsid w:val="4AB7573A"/>
    <w:rsid w:val="4B8A72CF"/>
    <w:rsid w:val="4B972445"/>
    <w:rsid w:val="4C1065B5"/>
    <w:rsid w:val="4C70027F"/>
    <w:rsid w:val="4D880BBF"/>
    <w:rsid w:val="4D943011"/>
    <w:rsid w:val="4DDF3F73"/>
    <w:rsid w:val="4E7738C0"/>
    <w:rsid w:val="4F8119B1"/>
    <w:rsid w:val="4F92238A"/>
    <w:rsid w:val="4FE062A3"/>
    <w:rsid w:val="5043798C"/>
    <w:rsid w:val="50731BAF"/>
    <w:rsid w:val="50845F18"/>
    <w:rsid w:val="510E0E2A"/>
    <w:rsid w:val="515B5BAE"/>
    <w:rsid w:val="51935A2D"/>
    <w:rsid w:val="51C25525"/>
    <w:rsid w:val="5298489A"/>
    <w:rsid w:val="52E223AA"/>
    <w:rsid w:val="54321EEE"/>
    <w:rsid w:val="54453B17"/>
    <w:rsid w:val="54963849"/>
    <w:rsid w:val="55323649"/>
    <w:rsid w:val="556A2FD5"/>
    <w:rsid w:val="55992665"/>
    <w:rsid w:val="55D634ED"/>
    <w:rsid w:val="56B332E9"/>
    <w:rsid w:val="57070611"/>
    <w:rsid w:val="571826D1"/>
    <w:rsid w:val="57C62622"/>
    <w:rsid w:val="585D5FB5"/>
    <w:rsid w:val="591658BB"/>
    <w:rsid w:val="593B0594"/>
    <w:rsid w:val="595A55D0"/>
    <w:rsid w:val="596E3A7C"/>
    <w:rsid w:val="59BF3C49"/>
    <w:rsid w:val="5C0B789C"/>
    <w:rsid w:val="5CC441E1"/>
    <w:rsid w:val="5CE760ED"/>
    <w:rsid w:val="5D8D5661"/>
    <w:rsid w:val="5EA62EF7"/>
    <w:rsid w:val="5EBA517D"/>
    <w:rsid w:val="5EEC4DA1"/>
    <w:rsid w:val="5F281498"/>
    <w:rsid w:val="5FF3650A"/>
    <w:rsid w:val="600960AF"/>
    <w:rsid w:val="61FC05BF"/>
    <w:rsid w:val="626121B5"/>
    <w:rsid w:val="62CE0974"/>
    <w:rsid w:val="62E0024A"/>
    <w:rsid w:val="62F34C8A"/>
    <w:rsid w:val="63463232"/>
    <w:rsid w:val="641724DD"/>
    <w:rsid w:val="648D4DC3"/>
    <w:rsid w:val="64937B40"/>
    <w:rsid w:val="64E414E0"/>
    <w:rsid w:val="656B25DE"/>
    <w:rsid w:val="65991807"/>
    <w:rsid w:val="665F1C74"/>
    <w:rsid w:val="66A43656"/>
    <w:rsid w:val="66EF7312"/>
    <w:rsid w:val="680F0D3C"/>
    <w:rsid w:val="68120405"/>
    <w:rsid w:val="68F63773"/>
    <w:rsid w:val="69A0595C"/>
    <w:rsid w:val="69C16E3E"/>
    <w:rsid w:val="6AAC6B9E"/>
    <w:rsid w:val="6B865118"/>
    <w:rsid w:val="6BA33D7F"/>
    <w:rsid w:val="6BF32268"/>
    <w:rsid w:val="6BFC2786"/>
    <w:rsid w:val="6C0D5A20"/>
    <w:rsid w:val="6C1E03F6"/>
    <w:rsid w:val="6C2C2459"/>
    <w:rsid w:val="6C887360"/>
    <w:rsid w:val="6CDC73D1"/>
    <w:rsid w:val="6D476454"/>
    <w:rsid w:val="6E39307B"/>
    <w:rsid w:val="6E875598"/>
    <w:rsid w:val="6F0247A4"/>
    <w:rsid w:val="6F0D2154"/>
    <w:rsid w:val="6F2C13F5"/>
    <w:rsid w:val="6F551655"/>
    <w:rsid w:val="6FF20B84"/>
    <w:rsid w:val="70730315"/>
    <w:rsid w:val="709A551D"/>
    <w:rsid w:val="71E963C9"/>
    <w:rsid w:val="72B566B1"/>
    <w:rsid w:val="72BC0BF9"/>
    <w:rsid w:val="72D14842"/>
    <w:rsid w:val="74425093"/>
    <w:rsid w:val="757C7A9C"/>
    <w:rsid w:val="758461E8"/>
    <w:rsid w:val="75DC2DB7"/>
    <w:rsid w:val="76833EBE"/>
    <w:rsid w:val="76C84CCD"/>
    <w:rsid w:val="76F01E2B"/>
    <w:rsid w:val="789D5080"/>
    <w:rsid w:val="78E131DA"/>
    <w:rsid w:val="7AA01F48"/>
    <w:rsid w:val="7AF906EE"/>
    <w:rsid w:val="7B0A05EE"/>
    <w:rsid w:val="7C220ADF"/>
    <w:rsid w:val="7C4D5033"/>
    <w:rsid w:val="7C660A57"/>
    <w:rsid w:val="7C8B5068"/>
    <w:rsid w:val="7E1E3A11"/>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4"/>
      <w:szCs w:val="32"/>
    </w:rPr>
  </w:style>
  <w:style w:type="paragraph" w:styleId="5">
    <w:name w:val="heading 3"/>
    <w:basedOn w:val="1"/>
    <w:next w:val="1"/>
    <w:link w:val="52"/>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 w:val="21"/>
      <w:szCs w:val="28"/>
    </w:rPr>
  </w:style>
  <w:style w:type="character" w:default="1" w:styleId="40">
    <w:name w:val="Default Paragraph Font"/>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rPr>
      <w:sz w:val="21"/>
    </w:r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sz w:val="21"/>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4">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92"/>
    <w:unhideWhenUsed/>
    <w:qFormat/>
    <w:uiPriority w:val="0"/>
    <w:pPr>
      <w:spacing w:line="240" w:lineRule="auto"/>
      <w:ind w:firstLine="0" w:firstLineChars="0"/>
    </w:pPr>
    <w:rPr>
      <w:rFonts w:ascii="宋体"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2">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3">
    <w:name w:val="Balloon Text"/>
    <w:basedOn w:val="1"/>
    <w:link w:val="86"/>
    <w:unhideWhenUsed/>
    <w:qFormat/>
    <w:uiPriority w:val="0"/>
    <w:rPr>
      <w:rFonts w:ascii="Times New Roman" w:hAnsi="Times New Roman"/>
      <w:kern w:val="0"/>
      <w:sz w:val="18"/>
      <w:szCs w:val="18"/>
    </w:rPr>
  </w:style>
  <w:style w:type="paragraph" w:styleId="24">
    <w:name w:val="footer"/>
    <w:basedOn w:val="1"/>
    <w:link w:val="66"/>
    <w:unhideWhenUsed/>
    <w:qFormat/>
    <w:uiPriority w:val="99"/>
    <w:pPr>
      <w:tabs>
        <w:tab w:val="center" w:pos="4153"/>
        <w:tab w:val="right" w:pos="8306"/>
      </w:tabs>
      <w:snapToGrid w:val="0"/>
      <w:jc w:val="left"/>
    </w:pPr>
    <w:rPr>
      <w:kern w:val="0"/>
      <w:sz w:val="18"/>
      <w:szCs w:val="18"/>
    </w:rPr>
  </w:style>
  <w:style w:type="paragraph" w:styleId="25">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4">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6">
    <w:name w:val="Title"/>
    <w:basedOn w:val="1"/>
    <w:link w:val="95"/>
    <w:qFormat/>
    <w:uiPriority w:val="0"/>
    <w:pPr>
      <w:spacing w:line="240" w:lineRule="auto"/>
      <w:ind w:firstLine="0" w:firstLineChars="0"/>
      <w:jc w:val="center"/>
    </w:pPr>
    <w:rPr>
      <w:rFonts w:ascii="Times New Roman" w:hAnsi="Times New Roman"/>
      <w:sz w:val="30"/>
    </w:rPr>
  </w:style>
  <w:style w:type="paragraph" w:styleId="37">
    <w:name w:val="annotation subject"/>
    <w:basedOn w:val="10"/>
    <w:next w:val="10"/>
    <w:link w:val="53"/>
    <w:unhideWhenUsed/>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字符"/>
    <w:link w:val="34"/>
    <w:semiHidden/>
    <w:qFormat/>
    <w:uiPriority w:val="0"/>
    <w:rPr>
      <w:rFonts w:ascii="Arial Unicode MS" w:hAnsi="Arial Unicode MS" w:eastAsia="Arial Unicode MS" w:cs="Arial Unicode MS"/>
    </w:rPr>
  </w:style>
  <w:style w:type="character" w:customStyle="1" w:styleId="48">
    <w:name w:val="正文文本缩进 2 字符"/>
    <w:link w:val="22"/>
    <w:semiHidden/>
    <w:qFormat/>
    <w:uiPriority w:val="0"/>
    <w:rPr>
      <w:rFonts w:ascii="宋体" w:hAnsi="Times New Roman"/>
      <w:sz w:val="24"/>
    </w:rPr>
  </w:style>
  <w:style w:type="character" w:customStyle="1" w:styleId="49">
    <w:name w:val="wz1"/>
    <w:basedOn w:val="40"/>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link w:val="5"/>
    <w:qFormat/>
    <w:uiPriority w:val="0"/>
    <w:rPr>
      <w:b/>
      <w:bCs/>
      <w:kern w:val="2"/>
      <w:sz w:val="24"/>
      <w:szCs w:val="32"/>
    </w:rPr>
  </w:style>
  <w:style w:type="character" w:customStyle="1" w:styleId="53">
    <w:name w:val="批注主题 字符"/>
    <w:link w:val="37"/>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40"/>
    <w:qFormat/>
    <w:uiPriority w:val="0"/>
  </w:style>
  <w:style w:type="character" w:customStyle="1" w:styleId="57">
    <w:name w:val="s"/>
    <w:basedOn w:val="40"/>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字符"/>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13"/>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字符"/>
    <w:link w:val="9"/>
    <w:semiHidden/>
    <w:qFormat/>
    <w:uiPriority w:val="0"/>
    <w:rPr>
      <w:rFonts w:ascii="宋体" w:hAnsi="Times New Roman" w:eastAsia="宋体" w:cs="Times New Roman"/>
      <w:sz w:val="18"/>
      <w:szCs w:val="18"/>
    </w:rPr>
  </w:style>
  <w:style w:type="character" w:customStyle="1" w:styleId="65">
    <w:name w:val="content"/>
    <w:basedOn w:val="40"/>
    <w:qFormat/>
    <w:uiPriority w:val="0"/>
  </w:style>
  <w:style w:type="character" w:customStyle="1" w:styleId="66">
    <w:name w:val="页脚 字符1"/>
    <w:link w:val="24"/>
    <w:qFormat/>
    <w:uiPriority w:val="99"/>
    <w:rPr>
      <w:sz w:val="18"/>
      <w:szCs w:val="18"/>
    </w:rPr>
  </w:style>
  <w:style w:type="character" w:customStyle="1" w:styleId="67">
    <w:name w:val="标题 2 字符"/>
    <w:link w:val="4"/>
    <w:qFormat/>
    <w:uiPriority w:val="0"/>
    <w:rPr>
      <w:rFonts w:ascii="Cambria" w:hAnsi="Cambria" w:eastAsia="宋体"/>
      <w:b/>
      <w:bCs/>
      <w:kern w:val="2"/>
      <w:sz w:val="24"/>
      <w:szCs w:val="32"/>
    </w:rPr>
  </w:style>
  <w:style w:type="character" w:customStyle="1" w:styleId="68">
    <w:name w:val="正文文本 字符"/>
    <w:link w:val="13"/>
    <w:semiHidden/>
    <w:qFormat/>
    <w:uiPriority w:val="0"/>
    <w:rPr>
      <w:rFonts w:ascii="仿宋_GB2312" w:hAnsi="Times New Roman" w:eastAsia="仿宋_GB2312"/>
      <w:sz w:val="28"/>
    </w:rPr>
  </w:style>
  <w:style w:type="character" w:customStyle="1" w:styleId="69">
    <w:name w:val="style8"/>
    <w:basedOn w:val="40"/>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字符"/>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字符"/>
    <w:link w:val="33"/>
    <w:semiHidden/>
    <w:qFormat/>
    <w:uiPriority w:val="0"/>
    <w:rPr>
      <w:rFonts w:ascii="Times New Roman" w:hAnsi="Times New Roman"/>
      <w:b/>
      <w:bCs/>
      <w:color w:val="000000"/>
      <w:kern w:val="2"/>
      <w:sz w:val="28"/>
      <w:szCs w:val="24"/>
    </w:rPr>
  </w:style>
  <w:style w:type="character" w:customStyle="1" w:styleId="77">
    <w:name w:val="正文文本缩进 字符1"/>
    <w:link w:val="14"/>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字符"/>
    <w:link w:val="10"/>
    <w:semiHidden/>
    <w:qFormat/>
    <w:uiPriority w:val="0"/>
    <w:rPr>
      <w:rFonts w:ascii="Times New Roman" w:hAnsi="Times New Roman"/>
      <w:kern w:val="2"/>
      <w:sz w:val="21"/>
      <w:szCs w:val="24"/>
    </w:rPr>
  </w:style>
  <w:style w:type="character" w:customStyle="1" w:styleId="80">
    <w:name w:val="正文文本缩进 3 字符"/>
    <w:link w:val="30"/>
    <w:semiHidden/>
    <w:qFormat/>
    <w:uiPriority w:val="0"/>
    <w:rPr>
      <w:rFonts w:ascii="Times New Roman" w:hAnsi="Times New Roman" w:eastAsia="黑体"/>
      <w:color w:val="000000"/>
      <w:kern w:val="2"/>
      <w:sz w:val="24"/>
      <w:szCs w:val="24"/>
    </w:rPr>
  </w:style>
  <w:style w:type="character" w:customStyle="1" w:styleId="81">
    <w:name w:val="无间隔 字符"/>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40"/>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字符"/>
    <w:link w:val="23"/>
    <w:semiHidden/>
    <w:qFormat/>
    <w:uiPriority w:val="0"/>
    <w:rPr>
      <w:rFonts w:ascii="Times New Roman" w:hAnsi="Times New Roman" w:eastAsia="宋体" w:cs="Times New Roman"/>
      <w:sz w:val="18"/>
      <w:szCs w:val="18"/>
    </w:rPr>
  </w:style>
  <w:style w:type="character" w:customStyle="1" w:styleId="87">
    <w:name w:val="页眉 字符1"/>
    <w:link w:val="25"/>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40"/>
    <w:qFormat/>
    <w:uiPriority w:val="0"/>
  </w:style>
  <w:style w:type="character" w:customStyle="1" w:styleId="91">
    <w:name w:val="style1"/>
    <w:basedOn w:val="40"/>
    <w:qFormat/>
    <w:uiPriority w:val="0"/>
  </w:style>
  <w:style w:type="character" w:customStyle="1" w:styleId="92">
    <w:name w:val="纯文本 字符1"/>
    <w:link w:val="19"/>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字符"/>
    <w:link w:val="11"/>
    <w:semiHidden/>
    <w:qFormat/>
    <w:uiPriority w:val="0"/>
    <w:rPr>
      <w:rFonts w:ascii="楷体_GB2312" w:hAnsi="Times New Roman" w:eastAsia="楷体_GB2312"/>
      <w:b/>
      <w:color w:val="000000"/>
      <w:kern w:val="2"/>
      <w:sz w:val="30"/>
      <w:szCs w:val="24"/>
    </w:rPr>
  </w:style>
  <w:style w:type="character" w:customStyle="1" w:styleId="95">
    <w:name w:val="标题 字符"/>
    <w:link w:val="36"/>
    <w:qFormat/>
    <w:locked/>
    <w:uiPriority w:val="0"/>
    <w:rPr>
      <w:rFonts w:ascii="Times New Roman" w:hAnsi="Times New Roman"/>
      <w:kern w:val="2"/>
      <w:sz w:val="30"/>
      <w:szCs w:val="24"/>
    </w:rPr>
  </w:style>
  <w:style w:type="character" w:customStyle="1" w:styleId="96">
    <w:name w:val="标题 4 字符"/>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字符"/>
    <w:link w:val="21"/>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5"/>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customStyle="1" w:styleId="165">
    <w:name w:val="trs_editor"/>
    <w:basedOn w:val="1"/>
    <w:qFormat/>
    <w:uiPriority w:val="0"/>
    <w:pPr>
      <w:widowControl/>
      <w:spacing w:before="100" w:beforeAutospacing="1" w:after="100" w:afterAutospacing="1"/>
      <w:jc w:val="left"/>
    </w:pPr>
    <w:rPr>
      <w:rFonts w:ascii="宋体" w:hAnsi="宋体" w:cs="宋体"/>
      <w:kern w:val="0"/>
    </w:rPr>
  </w:style>
  <w:style w:type="paragraph" w:styleId="166">
    <w:name w:val="List Paragraph"/>
    <w:basedOn w:val="1"/>
    <w:qFormat/>
    <w:uiPriority w:val="34"/>
    <w:pPr>
      <w:ind w:firstLine="420"/>
    </w:pPr>
    <w:rPr>
      <w:szCs w:val="22"/>
    </w:rPr>
  </w:style>
  <w:style w:type="paragraph" w:customStyle="1" w:styleId="167">
    <w:name w:val="正文2"/>
    <w:basedOn w:val="1"/>
    <w:qFormat/>
    <w:uiPriority w:val="0"/>
    <w:pPr>
      <w:spacing w:before="156"/>
      <w:ind w:firstLine="510"/>
    </w:pPr>
    <w:rPr>
      <w:rFonts w:ascii="MT Extra" w:hAnsi="MT Extra" w:cs="MT Extra"/>
    </w:rPr>
  </w:style>
  <w:style w:type="paragraph" w:customStyle="1" w:styleId="168">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69">
    <w:name w:val="部分1"/>
    <w:basedOn w:val="1"/>
    <w:qFormat/>
    <w:uiPriority w:val="99"/>
    <w:pPr>
      <w:keepNext/>
      <w:pageBreakBefore/>
      <w:tabs>
        <w:tab w:val="left" w:pos="720"/>
      </w:tabs>
      <w:jc w:val="center"/>
      <w:outlineLvl w:val="0"/>
    </w:pPr>
    <w:rPr>
      <w:rFonts w:eastAsia="黑体"/>
      <w:b/>
      <w:kern w:val="44"/>
      <w:sz w:val="36"/>
    </w:rPr>
  </w:style>
  <w:style w:type="paragraph" w:customStyle="1" w:styleId="1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6530</Words>
  <Characters>37226</Characters>
  <Lines>310</Lines>
  <Paragraphs>87</Paragraphs>
  <TotalTime>8</TotalTime>
  <ScaleCrop>false</ScaleCrop>
  <LinksUpToDate>false</LinksUpToDate>
  <CharactersWithSpaces>43669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2019-01-18T01:07:00Z</dcterms:created>
  <dc:creator>Administrator</dc:creator>
  <cp:lastModifiedBy>dell</cp:lastModifiedBy>
  <cp:lastPrinted>2018-11-09T06:35:00Z</cp:lastPrinted>
  <dcterms:modified xsi:type="dcterms:W3CDTF">2019-10-14T07:06:28Z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