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中国计量大学</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项目名称：超净室改造 </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确认书号：</w:t>
      </w:r>
      <w:r>
        <w:rPr>
          <w:rFonts w:hint="eastAsia" w:ascii="宋体" w:hAnsi="宋体" w:cs="宋体"/>
          <w:b/>
          <w:bCs/>
          <w:color w:val="auto"/>
          <w:sz w:val="32"/>
          <w:szCs w:val="32"/>
          <w:highlight w:val="none"/>
          <w:lang w:eastAsia="zh-CN"/>
        </w:rPr>
        <w:t>[2019]39106号</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招标编号：ZJWSBJ-JL-201919G</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人：中国计量大学</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间：二〇一九年</w:t>
      </w:r>
      <w:r>
        <w:rPr>
          <w:rFonts w:hint="eastAsia" w:ascii="宋体" w:hAnsi="宋体" w:cs="宋体"/>
          <w:b/>
          <w:bCs/>
          <w:color w:val="auto"/>
          <w:sz w:val="32"/>
          <w:szCs w:val="32"/>
          <w:highlight w:val="none"/>
          <w:lang w:val="en-US" w:eastAsia="zh-CN"/>
        </w:rPr>
        <w:t>九</w:t>
      </w:r>
      <w:r>
        <w:rPr>
          <w:rFonts w:hint="eastAsia" w:ascii="宋体" w:hAnsi="宋体" w:cs="宋体"/>
          <w:b/>
          <w:bCs/>
          <w:color w:val="auto"/>
          <w:sz w:val="32"/>
          <w:szCs w:val="32"/>
          <w:highlight w:val="none"/>
        </w:rPr>
        <w:t>月......................</w:t>
      </w:r>
    </w:p>
    <w:p>
      <w:pPr>
        <w:pStyle w:val="32"/>
        <w:tabs>
          <w:tab w:val="right" w:leader="dot" w:pos="8306"/>
          <w:tab w:val="clear" w:pos="8296"/>
        </w:tabs>
        <w:ind w:left="480"/>
        <w:jc w:val="center"/>
        <w:rPr>
          <w:color w:val="auto"/>
          <w:highlight w:val="none"/>
        </w:rPr>
      </w:pPr>
      <w:bookmarkStart w:id="0" w:name="_Toc32639"/>
      <w:r>
        <w:rPr>
          <w:rFonts w:hint="eastAsia" w:ascii="宋体" w:hAnsi="宋体" w:cs="宋体"/>
          <w:b/>
          <w:bCs/>
          <w:color w:val="auto"/>
          <w:sz w:val="28"/>
          <w:szCs w:val="40"/>
          <w:highlight w:val="none"/>
          <w:lang w:val="zh-CN"/>
        </w:rPr>
        <w:t>目</w:t>
      </w:r>
      <w:r>
        <w:rPr>
          <w:rFonts w:hint="eastAsia" w:ascii="宋体" w:hAnsi="宋体" w:cs="宋体"/>
          <w:b/>
          <w:bCs/>
          <w:color w:val="auto"/>
          <w:sz w:val="28"/>
          <w:szCs w:val="40"/>
          <w:highlight w:val="none"/>
        </w:rPr>
        <w:t xml:space="preserve">  </w:t>
      </w:r>
      <w:r>
        <w:rPr>
          <w:rFonts w:hint="eastAsia" w:ascii="宋体" w:hAnsi="宋体" w:cs="宋体"/>
          <w:b/>
          <w:bCs/>
          <w:color w:val="auto"/>
          <w:sz w:val="28"/>
          <w:szCs w:val="40"/>
          <w:highlight w:val="none"/>
          <w:lang w:val="zh-CN"/>
        </w:rPr>
        <w:t>录</w:t>
      </w:r>
      <w:bookmarkEnd w:id="0"/>
      <w:r>
        <w:rPr>
          <w:rFonts w:hint="eastAsia"/>
          <w:color w:val="auto"/>
          <w:highlight w:val="none"/>
        </w:rPr>
        <w:fldChar w:fldCharType="begin"/>
      </w:r>
      <w:r>
        <w:rPr>
          <w:rFonts w:hint="eastAsia"/>
          <w:color w:val="auto"/>
          <w:highlight w:val="none"/>
        </w:rPr>
        <w:instrText xml:space="preserve"> TOC \o "1-2" \h \z \u </w:instrText>
      </w:r>
      <w:r>
        <w:rPr>
          <w:rFonts w:hint="eastAsia"/>
          <w:color w:val="auto"/>
          <w:highlight w:val="none"/>
        </w:rPr>
        <w:fldChar w:fldCharType="separate"/>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"_Toc4470" </w:instrText>
      </w:r>
      <w:r>
        <w:rPr>
          <w:color w:val="auto"/>
          <w:highlight w:val="none"/>
        </w:rPr>
        <w:fldChar w:fldCharType="separate"/>
      </w:r>
      <w:r>
        <w:rPr>
          <w:rFonts w:hint="eastAsia"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_Toc4470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"_Toc8514" </w:instrText>
      </w:r>
      <w:r>
        <w:rPr>
          <w:color w:val="auto"/>
          <w:highlight w:val="none"/>
        </w:rPr>
        <w:fldChar w:fldCharType="separate"/>
      </w:r>
      <w:r>
        <w:rPr>
          <w:rFonts w:hint="eastAsia" w:cs="宋体"/>
          <w:color w:val="auto"/>
          <w:sz w:val="28"/>
          <w:szCs w:val="28"/>
          <w:highlight w:val="none"/>
        </w:rPr>
        <w:t>第二章 项目需求说明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_Toc8514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"_Toc17984" </w:instrText>
      </w:r>
      <w:r>
        <w:rPr>
          <w:color w:val="auto"/>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_Toc17984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"_Toc20600" </w:instrText>
      </w:r>
      <w:r>
        <w:rPr>
          <w:color w:val="auto"/>
          <w:highlight w:val="none"/>
        </w:rPr>
        <w:fldChar w:fldCharType="separate"/>
      </w:r>
      <w:r>
        <w:rPr>
          <w:rFonts w:hint="eastAsia" w:cs="宋体"/>
          <w:color w:val="auto"/>
          <w:sz w:val="28"/>
          <w:szCs w:val="28"/>
          <w:highlight w:val="none"/>
        </w:rPr>
        <w:t>第四章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_Toc20600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"_Toc1503" </w:instrText>
      </w:r>
      <w:r>
        <w:rPr>
          <w:color w:val="auto"/>
          <w:highlight w:val="none"/>
        </w:rPr>
        <w:fldChar w:fldCharType="separate"/>
      </w:r>
      <w:r>
        <w:rPr>
          <w:rFonts w:hint="eastAsia" w:cs="宋体"/>
          <w:color w:val="auto"/>
          <w:sz w:val="28"/>
          <w:szCs w:val="36"/>
          <w:highlight w:val="none"/>
        </w:rPr>
        <w:t>第五章 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_Toc1503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color w:val="auto"/>
          <w:sz w:val="28"/>
          <w:szCs w:val="28"/>
          <w:highlight w:val="none"/>
        </w:rPr>
        <w:fldChar w:fldCharType="end"/>
      </w:r>
    </w:p>
    <w:p>
      <w:pPr>
        <w:pStyle w:val="27"/>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"_Toc27145" </w:instrText>
      </w:r>
      <w:r>
        <w:rPr>
          <w:color w:val="auto"/>
          <w:highlight w:val="none"/>
        </w:rPr>
        <w:fldChar w:fldCharType="separate"/>
      </w:r>
      <w:r>
        <w:rPr>
          <w:rFonts w:hint="eastAsia"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_Toc27145 </w:instrText>
      </w:r>
      <w:r>
        <w:rPr>
          <w:color w:val="auto"/>
          <w:sz w:val="28"/>
          <w:szCs w:val="28"/>
          <w:highlight w:val="none"/>
        </w:rPr>
        <w:fldChar w:fldCharType="separate"/>
      </w:r>
      <w:r>
        <w:rPr>
          <w:color w:val="auto"/>
          <w:sz w:val="28"/>
          <w:szCs w:val="28"/>
          <w:highlight w:val="none"/>
        </w:rPr>
        <w:t>36</w:t>
      </w:r>
      <w:r>
        <w:rPr>
          <w:color w:val="auto"/>
          <w:sz w:val="28"/>
          <w:szCs w:val="28"/>
          <w:highlight w:val="none"/>
        </w:rPr>
        <w:fldChar w:fldCharType="end"/>
      </w:r>
      <w:r>
        <w:rPr>
          <w:color w:val="auto"/>
          <w:sz w:val="28"/>
          <w:szCs w:val="28"/>
          <w:highlight w:val="none"/>
        </w:rPr>
        <w:fldChar w:fldCharType="end"/>
      </w:r>
    </w:p>
    <w:p>
      <w:pPr>
        <w:pStyle w:val="32"/>
        <w:tabs>
          <w:tab w:val="right" w:leader="dot" w:pos="8306"/>
          <w:tab w:val="clear" w:pos="8296"/>
        </w:tabs>
        <w:ind w:left="480"/>
        <w:jc w:val="center"/>
        <w:rPr>
          <w:color w:val="auto"/>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color w:val="auto"/>
          <w:highlight w:val="none"/>
        </w:rPr>
        <w:fldChar w:fldCharType="end"/>
      </w:r>
    </w:p>
    <w:p>
      <w:pPr>
        <w:pStyle w:val="4"/>
        <w:rPr>
          <w:color w:val="auto"/>
          <w:highlight w:val="none"/>
        </w:rPr>
      </w:pPr>
      <w:bookmarkStart w:id="1" w:name="_Toc12653"/>
      <w:bookmarkStart w:id="2" w:name="_Toc4470"/>
      <w:bookmarkStart w:id="3" w:name="_Toc452457411"/>
      <w:r>
        <w:rPr>
          <w:rFonts w:hint="eastAsia" w:cs="宋体"/>
          <w:color w:val="auto"/>
          <w:highlight w:val="none"/>
        </w:rPr>
        <w:t>第一章 招标公告</w:t>
      </w:r>
      <w:bookmarkEnd w:id="1"/>
      <w:bookmarkEnd w:id="2"/>
    </w:p>
    <w:p>
      <w:pPr>
        <w:ind w:firstLine="480"/>
        <w:rPr>
          <w:color w:val="auto"/>
          <w:highlight w:val="none"/>
        </w:rPr>
      </w:pPr>
      <w:r>
        <w:rPr>
          <w:rFonts w:hint="eastAsia"/>
          <w:color w:val="auto"/>
          <w:highlight w:val="none"/>
        </w:rPr>
        <w:t>根据《中华人民共和国政府采购法》、《中华人民共和国政府采购法实施条例》和财政部令第87号《政府采购货物和服务招标投标管理办法》等有关规定，经省本级政府采购计划文书号：</w:t>
      </w:r>
      <w:r>
        <w:rPr>
          <w:rFonts w:hint="eastAsia"/>
          <w:color w:val="auto"/>
          <w:highlight w:val="none"/>
          <w:lang w:eastAsia="zh-CN"/>
        </w:rPr>
        <w:t>[2019]39106号</w:t>
      </w:r>
      <w:r>
        <w:rPr>
          <w:rFonts w:hint="eastAsia"/>
          <w:color w:val="auto"/>
          <w:highlight w:val="none"/>
        </w:rPr>
        <w:t>的批准，浙江五石工程咨询有限公司受中国计量大学委托，就</w:t>
      </w:r>
      <w:r>
        <w:rPr>
          <w:rFonts w:hint="eastAsia"/>
          <w:color w:val="auto"/>
          <w:highlight w:val="none"/>
          <w:u w:val="single"/>
        </w:rPr>
        <w:t>超净室改造</w:t>
      </w:r>
      <w:r>
        <w:rPr>
          <w:rFonts w:hint="eastAsia"/>
          <w:color w:val="auto"/>
          <w:highlight w:val="none"/>
        </w:rPr>
        <w:t>进行公开招标采购，欢迎国内合格的供应商前来投标。具体如下：</w:t>
      </w:r>
    </w:p>
    <w:p>
      <w:pPr>
        <w:pStyle w:val="5"/>
        <w:rPr>
          <w:rFonts w:ascii="宋体" w:hAnsi="宋体" w:cs="宋体"/>
          <w:color w:val="auto"/>
          <w:sz w:val="24"/>
          <w:szCs w:val="24"/>
          <w:highlight w:val="none"/>
        </w:rPr>
      </w:pPr>
      <w:bookmarkStart w:id="4" w:name="_Toc29586"/>
      <w:r>
        <w:rPr>
          <w:rStyle w:val="42"/>
          <w:rFonts w:hint="eastAsia" w:ascii="宋体" w:hAnsi="宋体" w:cs="宋体"/>
          <w:b/>
          <w:color w:val="auto"/>
          <w:sz w:val="24"/>
          <w:szCs w:val="24"/>
          <w:highlight w:val="none"/>
        </w:rPr>
        <w:t>一、招标编号：</w:t>
      </w:r>
      <w:bookmarkEnd w:id="4"/>
      <w:r>
        <w:rPr>
          <w:rFonts w:hint="eastAsia" w:ascii="宋体" w:hAnsi="宋体" w:cs="宋体"/>
          <w:color w:val="auto"/>
          <w:sz w:val="24"/>
          <w:szCs w:val="24"/>
          <w:highlight w:val="none"/>
        </w:rPr>
        <w:t>ZJWSBJ-JL-201919G</w:t>
      </w:r>
    </w:p>
    <w:p>
      <w:pPr>
        <w:pStyle w:val="5"/>
        <w:rPr>
          <w:rFonts w:ascii="宋体" w:hAnsi="宋体" w:cs="宋体"/>
          <w:color w:val="auto"/>
          <w:sz w:val="24"/>
          <w:szCs w:val="24"/>
          <w:highlight w:val="none"/>
        </w:rPr>
      </w:pPr>
      <w:bookmarkStart w:id="5" w:name="_Toc11203"/>
      <w:r>
        <w:rPr>
          <w:rStyle w:val="42"/>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5"/>
    </w:p>
    <w:p>
      <w:pPr>
        <w:pStyle w:val="5"/>
        <w:rPr>
          <w:rFonts w:ascii="宋体" w:hAnsi="宋体" w:cs="宋体"/>
          <w:color w:val="auto"/>
          <w:sz w:val="24"/>
          <w:szCs w:val="24"/>
          <w:highlight w:val="none"/>
        </w:rPr>
      </w:pPr>
      <w:bookmarkStart w:id="6" w:name="_Toc5262"/>
      <w:r>
        <w:rPr>
          <w:rStyle w:val="42"/>
          <w:rFonts w:hint="eastAsia" w:ascii="宋体" w:hAnsi="宋体" w:cs="宋体"/>
          <w:b/>
          <w:color w:val="auto"/>
          <w:sz w:val="24"/>
          <w:szCs w:val="24"/>
          <w:highlight w:val="none"/>
        </w:rPr>
        <w:t>三、项目概况</w:t>
      </w:r>
      <w:bookmarkEnd w:id="6"/>
    </w:p>
    <w:tbl>
      <w:tblPr>
        <w:tblStyle w:val="39"/>
        <w:tblW w:w="9632" w:type="dxa"/>
        <w:tblInd w:w="0" w:type="dxa"/>
        <w:tblLayout w:type="fixed"/>
        <w:tblCellMar>
          <w:top w:w="15" w:type="dxa"/>
          <w:left w:w="15" w:type="dxa"/>
          <w:bottom w:w="15" w:type="dxa"/>
          <w:right w:w="15" w:type="dxa"/>
        </w:tblCellMar>
      </w:tblPr>
      <w:tblGrid>
        <w:gridCol w:w="679"/>
        <w:gridCol w:w="1695"/>
        <w:gridCol w:w="855"/>
        <w:gridCol w:w="825"/>
        <w:gridCol w:w="2167"/>
        <w:gridCol w:w="1350"/>
        <w:gridCol w:w="1260"/>
        <w:gridCol w:w="801"/>
      </w:tblGrid>
      <w:tr>
        <w:tblPrEx>
          <w:tblLayout w:type="fixed"/>
          <w:tblCellMar>
            <w:top w:w="15" w:type="dxa"/>
            <w:left w:w="15" w:type="dxa"/>
            <w:bottom w:w="15" w:type="dxa"/>
            <w:right w:w="15" w:type="dxa"/>
          </w:tblCellMar>
        </w:tblPrEx>
        <w:tc>
          <w:tcPr>
            <w:tcW w:w="67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序号</w:t>
            </w:r>
          </w:p>
        </w:tc>
        <w:tc>
          <w:tcPr>
            <w:tcW w:w="169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项目名称</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数量</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单位</w:t>
            </w:r>
          </w:p>
        </w:tc>
        <w:tc>
          <w:tcPr>
            <w:tcW w:w="216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采购需求</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color w:val="auto"/>
                <w:sz w:val="22"/>
                <w:szCs w:val="22"/>
                <w:highlight w:val="none"/>
              </w:rPr>
            </w:pPr>
            <w:r>
              <w:rPr>
                <w:rFonts w:hint="eastAsia" w:ascii="宋体" w:hAnsi="宋体" w:cs="宋体"/>
                <w:color w:val="auto"/>
                <w:kern w:val="0"/>
                <w:sz w:val="22"/>
                <w:szCs w:val="22"/>
                <w:highlight w:val="none"/>
              </w:rPr>
              <w:t>预算金额(万元)</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sz w:val="22"/>
                <w:szCs w:val="22"/>
                <w:highlight w:val="none"/>
              </w:rPr>
              <w:t>最高限价（万元）</w:t>
            </w:r>
          </w:p>
        </w:tc>
        <w:tc>
          <w:tcPr>
            <w:tcW w:w="80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c>
          <w:tcPr>
            <w:tcW w:w="67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169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超净室改造</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项</w:t>
            </w:r>
          </w:p>
        </w:tc>
        <w:tc>
          <w:tcPr>
            <w:tcW w:w="216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详见采购文件需求部分。</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eastAsia" w:eastAsia="宋体"/>
                <w:color w:val="auto"/>
                <w:highlight w:val="none"/>
                <w:lang w:eastAsia="zh-CN"/>
              </w:rPr>
            </w:pPr>
            <w:r>
              <w:rPr>
                <w:rFonts w:hint="eastAsia" w:ascii="宋体" w:hAnsi="宋体" w:cs="宋体"/>
                <w:color w:val="auto"/>
                <w:kern w:val="0"/>
                <w:highlight w:val="none"/>
                <w:lang w:eastAsia="zh-CN"/>
              </w:rPr>
              <w:t>150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150</w:t>
            </w:r>
          </w:p>
        </w:tc>
        <w:tc>
          <w:tcPr>
            <w:tcW w:w="80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p>
        </w:tc>
      </w:tr>
    </w:tbl>
    <w:p>
      <w:pPr>
        <w:pStyle w:val="5"/>
        <w:rPr>
          <w:rFonts w:ascii="宋体" w:hAnsi="宋体" w:cs="宋体"/>
          <w:color w:val="auto"/>
          <w:sz w:val="24"/>
          <w:szCs w:val="24"/>
          <w:highlight w:val="none"/>
        </w:rPr>
      </w:pPr>
      <w:bookmarkStart w:id="7" w:name="_Toc24393"/>
      <w:r>
        <w:rPr>
          <w:rStyle w:val="42"/>
          <w:rFonts w:hint="eastAsia" w:ascii="宋体" w:hAnsi="宋体" w:cs="宋体"/>
          <w:b/>
          <w:color w:val="auto"/>
          <w:sz w:val="24"/>
          <w:szCs w:val="24"/>
          <w:highlight w:val="none"/>
        </w:rPr>
        <w:t>四、投标人资格要求:</w:t>
      </w:r>
      <w:bookmarkEnd w:id="7"/>
    </w:p>
    <w:p>
      <w:pPr>
        <w:pStyle w:val="6"/>
        <w:ind w:firstLine="241" w:firstLineChars="100"/>
        <w:rPr>
          <w:rFonts w:ascii="宋体" w:hAnsi="宋体" w:cs="宋体"/>
          <w:b w:val="0"/>
          <w:color w:val="auto"/>
          <w:kern w:val="0"/>
          <w:highlight w:val="none"/>
        </w:rPr>
      </w:pPr>
      <w:r>
        <w:rPr>
          <w:rFonts w:hint="eastAsia" w:ascii="宋体" w:hAnsi="宋体" w:cs="宋体"/>
          <w:color w:val="auto"/>
          <w:highlight w:val="none"/>
        </w:rPr>
        <w:t xml:space="preserve">（一）基本资格要求 </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 xml:space="preserve">1.符合《中华人民共和国政府采购法》第二十二条第一款的规定。 </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6"/>
        <w:ind w:firstLine="241" w:firstLineChars="100"/>
        <w:rPr>
          <w:color w:val="auto"/>
          <w:highlight w:val="none"/>
        </w:rPr>
      </w:pPr>
      <w:r>
        <w:rPr>
          <w:rFonts w:hint="eastAsia" w:ascii="宋体" w:hAnsi="宋体" w:cs="宋体"/>
          <w:color w:val="auto"/>
          <w:highlight w:val="none"/>
        </w:rPr>
        <w:t>（二）特定资格要求：无。</w:t>
      </w:r>
    </w:p>
    <w:p>
      <w:pPr>
        <w:pStyle w:val="6"/>
        <w:ind w:firstLine="241" w:firstLineChars="100"/>
        <w:rPr>
          <w:rFonts w:ascii="Arial" w:hAnsi="Arial" w:cs="Arial"/>
          <w:color w:val="auto"/>
          <w:kern w:val="0"/>
          <w:szCs w:val="21"/>
          <w:highlight w:val="none"/>
        </w:rPr>
      </w:pPr>
      <w:r>
        <w:rPr>
          <w:rFonts w:hint="eastAsia" w:ascii="宋体" w:hAnsi="宋体" w:cs="宋体"/>
          <w:color w:val="auto"/>
          <w:highlight w:val="none"/>
        </w:rPr>
        <w:t>（三）本项目不接受联合体投标</w:t>
      </w:r>
      <w:r>
        <w:rPr>
          <w:rFonts w:hint="eastAsia" w:ascii="Arial" w:hAnsi="Arial" w:cs="Arial"/>
          <w:color w:val="auto"/>
          <w:kern w:val="0"/>
          <w:szCs w:val="21"/>
          <w:highlight w:val="none"/>
        </w:rPr>
        <w:t>。</w:t>
      </w:r>
    </w:p>
    <w:p>
      <w:pPr>
        <w:pStyle w:val="36"/>
        <w:spacing w:before="75" w:beforeAutospacing="0" w:after="75" w:afterAutospacing="0" w:line="360" w:lineRule="auto"/>
        <w:rPr>
          <w:rFonts w:cs="宋体"/>
          <w:color w:val="auto"/>
          <w:highlight w:val="none"/>
        </w:rPr>
      </w:pPr>
      <w:r>
        <w:rPr>
          <w:rStyle w:val="42"/>
          <w:rFonts w:hint="eastAsia" w:cs="宋体"/>
          <w:color w:val="auto"/>
          <w:highlight w:val="none"/>
        </w:rPr>
        <w:t>五、</w:t>
      </w:r>
      <w:r>
        <w:rPr>
          <w:rStyle w:val="42"/>
          <w:rFonts w:hint="eastAsia" w:cs="宋体"/>
          <w:bCs/>
          <w:color w:val="auto"/>
          <w:kern w:val="2"/>
          <w:highlight w:val="none"/>
        </w:rPr>
        <w:t>获取招标文件的时间期限、地点、方式及招标文件售价</w:t>
      </w:r>
    </w:p>
    <w:p>
      <w:pPr>
        <w:ind w:firstLine="482"/>
        <w:rPr>
          <w:rFonts w:ascii="宋体" w:hAnsi="宋体" w:cs="宋体"/>
          <w:color w:val="auto"/>
          <w:highlight w:val="none"/>
        </w:rPr>
      </w:pPr>
      <w:r>
        <w:rPr>
          <w:rStyle w:val="42"/>
          <w:rFonts w:hint="eastAsia" w:ascii="宋体" w:hAnsi="宋体" w:cs="宋体"/>
          <w:color w:val="auto"/>
          <w:highlight w:val="none"/>
        </w:rPr>
        <w:t>1.</w:t>
      </w:r>
      <w:r>
        <w:rPr>
          <w:rStyle w:val="42"/>
          <w:rFonts w:hint="eastAsia" w:ascii="宋体" w:hAnsi="宋体" w:cs="宋体"/>
          <w:bCs/>
          <w:color w:val="auto"/>
          <w:highlight w:val="none"/>
        </w:rPr>
        <w:t>时间期限：</w:t>
      </w:r>
      <w:r>
        <w:rPr>
          <w:rFonts w:hint="eastAsia" w:ascii="宋体" w:hAnsi="宋体" w:cs="宋体"/>
          <w:color w:val="auto"/>
          <w:highlight w:val="none"/>
        </w:rPr>
        <w:t>2019-0</w:t>
      </w: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highlight w:val="none"/>
          <w:lang w:val="en-US" w:eastAsia="zh-CN"/>
        </w:rPr>
        <w:t>23</w:t>
      </w:r>
      <w:r>
        <w:rPr>
          <w:rFonts w:hint="eastAsia" w:ascii="宋体" w:hAnsi="宋体" w:cs="宋体"/>
          <w:color w:val="auto"/>
          <w:highlight w:val="none"/>
        </w:rPr>
        <w:t>至2019-0</w:t>
      </w: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highlight w:val="none"/>
          <w:lang w:val="en-US" w:eastAsia="zh-CN"/>
        </w:rPr>
        <w:t>30</w:t>
      </w:r>
      <w:r>
        <w:rPr>
          <w:rFonts w:hint="eastAsia" w:ascii="宋体" w:hAnsi="宋体" w:cs="宋体"/>
          <w:color w:val="auto"/>
          <w:highlight w:val="none"/>
        </w:rPr>
        <w:t>（上午：09:00-11:30；下午：13:30-16:30）</w:t>
      </w:r>
    </w:p>
    <w:p>
      <w:pPr>
        <w:ind w:firstLine="482"/>
        <w:rPr>
          <w:rFonts w:ascii="宋体" w:hAnsi="宋体" w:cs="宋体"/>
          <w:color w:val="auto"/>
          <w:highlight w:val="none"/>
        </w:rPr>
      </w:pPr>
      <w:r>
        <w:rPr>
          <w:rStyle w:val="42"/>
          <w:rFonts w:hint="eastAsia" w:ascii="宋体" w:hAnsi="宋体" w:cs="宋体"/>
          <w:color w:val="auto"/>
          <w:highlight w:val="none"/>
        </w:rPr>
        <w:t>2．地点：</w:t>
      </w:r>
      <w:r>
        <w:rPr>
          <w:rFonts w:hint="eastAsia" w:ascii="宋体" w:hAnsi="宋体" w:cs="宋体"/>
          <w:color w:val="auto"/>
          <w:highlight w:val="none"/>
        </w:rPr>
        <w:t xml:space="preserve"> 浙江五石工程咨询有限公司（杭州市滨江区东方通信科技园启迪楼2楼1207室）</w:t>
      </w:r>
    </w:p>
    <w:p>
      <w:pPr>
        <w:ind w:firstLine="482"/>
        <w:rPr>
          <w:rFonts w:ascii="宋体" w:hAnsi="宋体" w:cs="宋体"/>
          <w:color w:val="auto"/>
          <w:highlight w:val="none"/>
        </w:rPr>
      </w:pPr>
      <w:r>
        <w:rPr>
          <w:rStyle w:val="42"/>
          <w:rFonts w:hint="eastAsia" w:ascii="宋体" w:hAnsi="宋体" w:cs="宋体"/>
          <w:color w:val="auto"/>
          <w:highlight w:val="none"/>
        </w:rPr>
        <w:t>3.方式：</w:t>
      </w:r>
      <w:r>
        <w:rPr>
          <w:rFonts w:hint="eastAsia" w:ascii="宋体" w:hAnsi="宋体" w:cs="宋体"/>
          <w:color w:val="auto"/>
          <w:highlight w:val="none"/>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pStyle w:val="36"/>
        <w:spacing w:before="0" w:beforeAutospacing="0" w:after="0" w:afterAutospacing="0" w:line="360" w:lineRule="auto"/>
        <w:ind w:firstLine="480" w:firstLineChars="200"/>
        <w:rPr>
          <w:rStyle w:val="42"/>
          <w:rFonts w:cs="宋体"/>
          <w:b w:val="0"/>
          <w:color w:val="auto"/>
          <w:highlight w:val="none"/>
        </w:rPr>
      </w:pPr>
      <w:r>
        <w:rPr>
          <w:rFonts w:hint="eastAsia" w:cs="宋体"/>
          <w:color w:val="auto"/>
          <w:highlight w:val="none"/>
        </w:rPr>
        <w:t>5）提示：</w:t>
      </w:r>
      <w:r>
        <w:rPr>
          <w:rStyle w:val="42"/>
          <w:rFonts w:hint="eastAsia" w:cs="宋体"/>
          <w:b w:val="0"/>
          <w:color w:val="auto"/>
          <w:highlight w:val="none"/>
        </w:rPr>
        <w:t>投标人未按上述方式获取的招标文件与采购代理机构发布的招标文件不一致的，由其自行承担由此产生的后果。</w:t>
      </w:r>
    </w:p>
    <w:p>
      <w:pPr>
        <w:pStyle w:val="36"/>
        <w:spacing w:before="0" w:beforeAutospacing="0" w:after="0" w:afterAutospacing="0" w:line="360" w:lineRule="auto"/>
        <w:ind w:firstLine="480" w:firstLineChars="200"/>
        <w:rPr>
          <w:rStyle w:val="42"/>
          <w:rFonts w:cs="宋体"/>
          <w:b w:val="0"/>
          <w:color w:val="auto"/>
          <w:highlight w:val="none"/>
        </w:rPr>
      </w:pPr>
      <w:r>
        <w:rPr>
          <w:rStyle w:val="42"/>
          <w:rFonts w:hint="eastAsia" w:cs="宋体"/>
          <w:b w:val="0"/>
          <w:color w:val="auto"/>
          <w:highlight w:val="none"/>
        </w:rPr>
        <w:t>6）</w:t>
      </w:r>
      <w:r>
        <w:rPr>
          <w:rFonts w:hint="eastAsia" w:cs="宋体"/>
          <w:color w:val="auto"/>
          <w:szCs w:val="32"/>
          <w:highlight w:val="none"/>
        </w:rPr>
        <w:t>招标文件发售截止之后有潜在投标人提出要求获取招标文件的允许其获取，如对招标文件有质疑的应在规定质疑期限内提出。</w:t>
      </w:r>
    </w:p>
    <w:p>
      <w:pPr>
        <w:ind w:firstLine="482"/>
        <w:rPr>
          <w:rStyle w:val="42"/>
          <w:rFonts w:ascii="宋体" w:hAnsi="宋体" w:cs="宋体"/>
          <w:bCs/>
          <w:color w:val="auto"/>
          <w:highlight w:val="none"/>
        </w:rPr>
      </w:pPr>
      <w:r>
        <w:rPr>
          <w:rStyle w:val="42"/>
          <w:rFonts w:hint="eastAsia" w:ascii="宋体" w:hAnsi="宋体" w:cs="宋体"/>
          <w:bCs/>
          <w:color w:val="auto"/>
          <w:highlight w:val="none"/>
        </w:rPr>
        <w:t xml:space="preserve">4.招标文件售价：每本300元（售后不退） </w:t>
      </w:r>
    </w:p>
    <w:p>
      <w:pPr>
        <w:pStyle w:val="36"/>
        <w:spacing w:before="75" w:beforeAutospacing="0" w:after="75" w:afterAutospacing="0" w:line="360" w:lineRule="auto"/>
        <w:rPr>
          <w:rStyle w:val="42"/>
          <w:rFonts w:cs="宋体"/>
          <w:color w:val="auto"/>
          <w:highlight w:val="none"/>
        </w:rPr>
      </w:pPr>
      <w:r>
        <w:rPr>
          <w:rStyle w:val="42"/>
          <w:rFonts w:hint="eastAsia" w:cs="宋体"/>
          <w:color w:val="auto"/>
          <w:highlight w:val="none"/>
        </w:rPr>
        <w:t>六、本项目招标文件公告期限为：</w:t>
      </w:r>
      <w:r>
        <w:rPr>
          <w:rStyle w:val="42"/>
          <w:rFonts w:hint="eastAsia" w:cs="宋体"/>
          <w:b w:val="0"/>
          <w:bCs/>
          <w:color w:val="auto"/>
          <w:highlight w:val="none"/>
        </w:rPr>
        <w:t>本公告发布之日起五个工作日。</w:t>
      </w:r>
    </w:p>
    <w:p>
      <w:pPr>
        <w:pStyle w:val="5"/>
        <w:rPr>
          <w:rFonts w:ascii="宋体" w:hAnsi="宋体" w:cs="宋体"/>
          <w:color w:val="auto"/>
          <w:kern w:val="0"/>
          <w:sz w:val="24"/>
          <w:szCs w:val="24"/>
          <w:highlight w:val="none"/>
          <w:shd w:val="clear" w:color="auto" w:fill="FFFFFF"/>
          <w:lang w:bidi="ar"/>
        </w:rPr>
      </w:pPr>
      <w:bookmarkStart w:id="8" w:name="_Toc1080"/>
      <w:r>
        <w:rPr>
          <w:rStyle w:val="42"/>
          <w:rFonts w:hint="eastAsia" w:ascii="宋体" w:hAnsi="宋体" w:cs="宋体"/>
          <w:b/>
          <w:color w:val="auto"/>
          <w:sz w:val="24"/>
          <w:szCs w:val="24"/>
          <w:highlight w:val="none"/>
        </w:rPr>
        <w:t>七、</w:t>
      </w:r>
      <w:r>
        <w:rPr>
          <w:rFonts w:hint="eastAsia" w:ascii="宋体" w:hAnsi="宋体" w:cs="宋体"/>
          <w:color w:val="auto"/>
          <w:kern w:val="0"/>
          <w:sz w:val="24"/>
          <w:szCs w:val="24"/>
          <w:highlight w:val="none"/>
          <w:shd w:val="clear" w:color="auto" w:fill="FFFFFF"/>
          <w:lang w:bidi="ar"/>
        </w:rPr>
        <w:t>投标截止时间、开标时间及地点</w:t>
      </w:r>
      <w:bookmarkEnd w:id="8"/>
    </w:p>
    <w:p>
      <w:pPr>
        <w:pStyle w:val="5"/>
        <w:ind w:firstLine="482" w:firstLineChars="200"/>
        <w:rPr>
          <w:rFonts w:ascii="宋体" w:hAnsi="宋体" w:cs="宋体"/>
          <w:b w:val="0"/>
          <w:bCs w:val="0"/>
          <w:color w:val="auto"/>
          <w:sz w:val="24"/>
          <w:szCs w:val="24"/>
          <w:highlight w:val="none"/>
        </w:rPr>
      </w:pPr>
      <w:bookmarkStart w:id="9" w:name="_Toc2231"/>
      <w:r>
        <w:rPr>
          <w:rStyle w:val="42"/>
          <w:rFonts w:hint="eastAsia" w:ascii="宋体" w:hAnsi="宋体" w:cs="宋体"/>
          <w:b/>
          <w:color w:val="auto"/>
          <w:sz w:val="24"/>
          <w:szCs w:val="24"/>
          <w:highlight w:val="none"/>
        </w:rPr>
        <w:t>1.投标截止时间：</w:t>
      </w:r>
      <w:r>
        <w:rPr>
          <w:rFonts w:hint="eastAsia" w:ascii="宋体" w:hAnsi="宋体" w:cs="宋体"/>
          <w:color w:val="auto"/>
          <w:sz w:val="24"/>
          <w:szCs w:val="24"/>
          <w:highlight w:val="none"/>
        </w:rPr>
        <w:t xml:space="preserve"> </w:t>
      </w:r>
      <w:r>
        <w:rPr>
          <w:rFonts w:hint="eastAsia" w:ascii="宋体" w:hAnsi="宋体" w:cs="宋体"/>
          <w:b w:val="0"/>
          <w:bCs w:val="0"/>
          <w:color w:val="auto"/>
          <w:sz w:val="24"/>
          <w:szCs w:val="24"/>
          <w:highlight w:val="none"/>
          <w:lang w:eastAsia="zh-CN"/>
        </w:rPr>
        <w:t>2019-10-14</w:t>
      </w:r>
      <w:r>
        <w:rPr>
          <w:rFonts w:hint="eastAsia" w:ascii="宋体" w:hAnsi="宋体" w:cs="宋体"/>
          <w:b w:val="0"/>
          <w:bCs w:val="0"/>
          <w:color w:val="auto"/>
          <w:sz w:val="24"/>
          <w:szCs w:val="24"/>
          <w:highlight w:val="none"/>
        </w:rPr>
        <w:t xml:space="preserve"> </w:t>
      </w:r>
      <w:bookmarkEnd w:id="9"/>
      <w:r>
        <w:rPr>
          <w:rFonts w:hint="eastAsia" w:ascii="宋体" w:hAnsi="宋体" w:cs="宋体"/>
          <w:b w:val="0"/>
          <w:bCs w:val="0"/>
          <w:color w:val="auto"/>
          <w:sz w:val="24"/>
          <w:szCs w:val="24"/>
          <w:highlight w:val="none"/>
        </w:rPr>
        <w:t xml:space="preserve">09:30:00 </w:t>
      </w:r>
    </w:p>
    <w:p>
      <w:pPr>
        <w:pStyle w:val="5"/>
        <w:ind w:firstLine="482" w:firstLineChars="200"/>
        <w:rPr>
          <w:rStyle w:val="42"/>
          <w:rFonts w:ascii="宋体" w:hAnsi="宋体" w:cs="宋体"/>
          <w:b w:val="0"/>
          <w:bCs w:val="0"/>
          <w:color w:val="auto"/>
          <w:sz w:val="24"/>
          <w:szCs w:val="24"/>
          <w:highlight w:val="none"/>
        </w:rPr>
      </w:pPr>
      <w:bookmarkStart w:id="10" w:name="_Toc22852"/>
      <w:r>
        <w:rPr>
          <w:rStyle w:val="42"/>
          <w:rFonts w:hint="eastAsia" w:ascii="宋体" w:hAnsi="宋体" w:cs="宋体"/>
          <w:b/>
          <w:color w:val="auto"/>
          <w:sz w:val="24"/>
          <w:szCs w:val="24"/>
          <w:highlight w:val="none"/>
        </w:rPr>
        <w:t>2.开标时间：</w:t>
      </w:r>
      <w:r>
        <w:rPr>
          <w:rStyle w:val="42"/>
          <w:rFonts w:hint="eastAsia" w:ascii="宋体" w:hAnsi="宋体" w:cs="宋体"/>
          <w:b w:val="0"/>
          <w:bCs w:val="0"/>
          <w:color w:val="auto"/>
          <w:sz w:val="24"/>
          <w:szCs w:val="24"/>
          <w:highlight w:val="none"/>
        </w:rPr>
        <w:t xml:space="preserve"> </w:t>
      </w:r>
      <w:r>
        <w:rPr>
          <w:rStyle w:val="42"/>
          <w:rFonts w:hint="eastAsia" w:ascii="宋体" w:hAnsi="宋体" w:cs="宋体"/>
          <w:b w:val="0"/>
          <w:bCs w:val="0"/>
          <w:color w:val="auto"/>
          <w:sz w:val="24"/>
          <w:szCs w:val="24"/>
          <w:highlight w:val="none"/>
          <w:lang w:eastAsia="zh-CN"/>
        </w:rPr>
        <w:t>2019-10-14</w:t>
      </w:r>
      <w:r>
        <w:rPr>
          <w:rStyle w:val="42"/>
          <w:rFonts w:hint="eastAsia" w:ascii="宋体" w:hAnsi="宋体" w:cs="宋体"/>
          <w:b w:val="0"/>
          <w:bCs w:val="0"/>
          <w:color w:val="auto"/>
          <w:sz w:val="24"/>
          <w:szCs w:val="24"/>
          <w:highlight w:val="none"/>
        </w:rPr>
        <w:t xml:space="preserve"> </w:t>
      </w:r>
      <w:bookmarkEnd w:id="10"/>
      <w:r>
        <w:rPr>
          <w:rStyle w:val="42"/>
          <w:rFonts w:hint="eastAsia" w:ascii="宋体" w:hAnsi="宋体" w:cs="宋体"/>
          <w:b w:val="0"/>
          <w:bCs w:val="0"/>
          <w:color w:val="auto"/>
          <w:sz w:val="24"/>
          <w:szCs w:val="24"/>
          <w:highlight w:val="none"/>
        </w:rPr>
        <w:t xml:space="preserve">09:30:00 </w:t>
      </w:r>
    </w:p>
    <w:p>
      <w:pPr>
        <w:pStyle w:val="5"/>
        <w:ind w:firstLine="482" w:firstLineChars="200"/>
        <w:rPr>
          <w:rStyle w:val="42"/>
          <w:rFonts w:ascii="宋体" w:hAnsi="宋体" w:cs="宋体"/>
          <w:b w:val="0"/>
          <w:bCs w:val="0"/>
          <w:color w:val="auto"/>
          <w:sz w:val="24"/>
          <w:szCs w:val="24"/>
          <w:highlight w:val="none"/>
        </w:rPr>
      </w:pPr>
      <w:bookmarkStart w:id="11" w:name="_Toc26036"/>
      <w:r>
        <w:rPr>
          <w:rStyle w:val="42"/>
          <w:rFonts w:hint="eastAsia" w:ascii="宋体" w:hAnsi="宋体" w:cs="宋体"/>
          <w:b/>
          <w:color w:val="auto"/>
          <w:sz w:val="24"/>
          <w:szCs w:val="24"/>
          <w:highlight w:val="none"/>
        </w:rPr>
        <w:t>3.开标地点：</w:t>
      </w:r>
      <w:bookmarkEnd w:id="11"/>
      <w:r>
        <w:rPr>
          <w:rStyle w:val="42"/>
          <w:rFonts w:hint="eastAsia" w:ascii="宋体" w:hAnsi="宋体" w:cs="宋体"/>
          <w:b w:val="0"/>
          <w:bCs w:val="0"/>
          <w:color w:val="auto"/>
          <w:sz w:val="24"/>
          <w:szCs w:val="24"/>
          <w:highlight w:val="none"/>
          <w:lang w:eastAsia="zh-CN"/>
        </w:rPr>
        <w:t>中国计量大学明德北楼B305</w:t>
      </w:r>
      <w:r>
        <w:rPr>
          <w:rStyle w:val="42"/>
          <w:rFonts w:hint="eastAsia" w:ascii="宋体" w:hAnsi="宋体" w:cs="宋体"/>
          <w:b w:val="0"/>
          <w:bCs w:val="0"/>
          <w:color w:val="auto"/>
          <w:sz w:val="24"/>
          <w:szCs w:val="24"/>
          <w:highlight w:val="none"/>
        </w:rPr>
        <w:t xml:space="preserve"> </w:t>
      </w:r>
    </w:p>
    <w:p>
      <w:pPr>
        <w:pStyle w:val="5"/>
        <w:rPr>
          <w:rFonts w:ascii="宋体" w:hAnsi="宋体" w:cs="宋体"/>
          <w:color w:val="auto"/>
          <w:sz w:val="24"/>
          <w:szCs w:val="24"/>
          <w:highlight w:val="none"/>
        </w:rPr>
      </w:pPr>
      <w:bookmarkStart w:id="12" w:name="_Toc15758"/>
      <w:r>
        <w:rPr>
          <w:rStyle w:val="42"/>
          <w:rFonts w:hint="eastAsia" w:ascii="宋体" w:hAnsi="宋体" w:cs="宋体"/>
          <w:b/>
          <w:color w:val="auto"/>
          <w:sz w:val="24"/>
          <w:szCs w:val="24"/>
          <w:highlight w:val="none"/>
        </w:rPr>
        <w:t>八、投标保证金：无</w:t>
      </w:r>
      <w:bookmarkEnd w:id="12"/>
    </w:p>
    <w:p>
      <w:pPr>
        <w:pStyle w:val="5"/>
        <w:rPr>
          <w:rFonts w:ascii="宋体" w:hAnsi="宋体" w:cs="宋体"/>
          <w:color w:val="auto"/>
          <w:sz w:val="24"/>
          <w:szCs w:val="24"/>
          <w:highlight w:val="none"/>
        </w:rPr>
      </w:pPr>
      <w:bookmarkStart w:id="13" w:name="_Toc6191"/>
      <w:r>
        <w:rPr>
          <w:rStyle w:val="42"/>
          <w:rFonts w:hint="eastAsia" w:ascii="宋体" w:hAnsi="宋体" w:cs="宋体"/>
          <w:b/>
          <w:color w:val="auto"/>
          <w:sz w:val="24"/>
          <w:szCs w:val="24"/>
          <w:highlight w:val="none"/>
        </w:rPr>
        <w:t>九、其他事项：</w:t>
      </w:r>
      <w:bookmarkEnd w:id="13"/>
    </w:p>
    <w:p>
      <w:pPr>
        <w:pStyle w:val="36"/>
        <w:spacing w:before="0" w:beforeAutospacing="0" w:after="0" w:afterAutospacing="0" w:line="360" w:lineRule="auto"/>
        <w:ind w:firstLine="334"/>
        <w:rPr>
          <w:rStyle w:val="42"/>
          <w:rFonts w:cs="宋体"/>
          <w:b w:val="0"/>
          <w:color w:val="auto"/>
          <w:kern w:val="2"/>
          <w:highlight w:val="none"/>
        </w:rPr>
      </w:pPr>
      <w:r>
        <w:rPr>
          <w:rStyle w:val="42"/>
          <w:rFonts w:hint="eastAsia" w:cs="宋体"/>
          <w:b w:val="0"/>
          <w:color w:val="auto"/>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6"/>
        <w:spacing w:before="0" w:beforeAutospacing="0" w:after="0" w:afterAutospacing="0" w:line="360" w:lineRule="auto"/>
        <w:ind w:firstLine="334"/>
        <w:rPr>
          <w:rStyle w:val="42"/>
          <w:rFonts w:cs="宋体"/>
          <w:b w:val="0"/>
          <w:color w:val="auto"/>
          <w:highlight w:val="none"/>
        </w:rPr>
      </w:pPr>
      <w:r>
        <w:rPr>
          <w:rStyle w:val="42"/>
          <w:rFonts w:hint="eastAsia" w:cs="宋体"/>
          <w:b w:val="0"/>
          <w:color w:val="auto"/>
          <w:highlight w:val="none"/>
        </w:rPr>
        <w:t>2.</w:t>
      </w:r>
      <w:r>
        <w:rPr>
          <w:rFonts w:hint="eastAsia" w:cs="宋体"/>
          <w:color w:val="auto"/>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2"/>
          <w:rFonts w:hint="eastAsia" w:cs="宋体"/>
          <w:b w:val="0"/>
          <w:color w:val="auto"/>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5"/>
        <w:rPr>
          <w:rFonts w:ascii="宋体" w:hAnsi="宋体" w:cs="宋体"/>
          <w:color w:val="auto"/>
          <w:sz w:val="24"/>
          <w:szCs w:val="24"/>
          <w:highlight w:val="none"/>
        </w:rPr>
      </w:pPr>
      <w:bookmarkStart w:id="14" w:name="_Toc5293"/>
      <w:r>
        <w:rPr>
          <w:rStyle w:val="42"/>
          <w:rFonts w:hint="eastAsia" w:ascii="宋体" w:hAnsi="宋体" w:cs="宋体"/>
          <w:b/>
          <w:color w:val="auto"/>
          <w:sz w:val="24"/>
          <w:szCs w:val="24"/>
          <w:highlight w:val="none"/>
        </w:rPr>
        <w:t>十、联系方式</w:t>
      </w:r>
      <w:bookmarkEnd w:id="14"/>
    </w:p>
    <w:p>
      <w:pPr>
        <w:ind w:firstLine="480"/>
        <w:rPr>
          <w:rFonts w:ascii="宋体" w:hAnsi="宋体" w:cs="宋体"/>
          <w:color w:val="auto"/>
          <w:highlight w:val="none"/>
        </w:rPr>
      </w:pPr>
      <w:r>
        <w:rPr>
          <w:rFonts w:hint="eastAsia" w:ascii="宋体" w:hAnsi="宋体" w:cs="宋体"/>
          <w:color w:val="auto"/>
          <w:highlight w:val="none"/>
        </w:rPr>
        <w:t>1.采购人名称：中国计量大学</w:t>
      </w:r>
    </w:p>
    <w:p>
      <w:pPr>
        <w:ind w:firstLine="480"/>
        <w:rPr>
          <w:rFonts w:ascii="宋体" w:hAnsi="宋体" w:cs="宋体"/>
          <w:color w:val="auto"/>
          <w:highlight w:val="none"/>
        </w:rPr>
      </w:pPr>
      <w:r>
        <w:rPr>
          <w:rFonts w:hint="eastAsia" w:ascii="宋体" w:hAnsi="宋体" w:cs="宋体"/>
          <w:color w:val="auto"/>
          <w:highlight w:val="none"/>
        </w:rPr>
        <w:t>联系人：王老师</w:t>
      </w:r>
    </w:p>
    <w:p>
      <w:pPr>
        <w:ind w:firstLine="480"/>
        <w:rPr>
          <w:rFonts w:ascii="宋体" w:hAnsi="宋体" w:cs="宋体"/>
          <w:color w:val="auto"/>
          <w:highlight w:val="none"/>
        </w:rPr>
      </w:pPr>
      <w:r>
        <w:rPr>
          <w:rFonts w:hint="eastAsia" w:ascii="宋体" w:hAnsi="宋体" w:cs="宋体"/>
          <w:color w:val="auto"/>
          <w:highlight w:val="none"/>
        </w:rPr>
        <w:t>联系电话：0571-86875640</w:t>
      </w:r>
    </w:p>
    <w:p>
      <w:pPr>
        <w:ind w:firstLine="480"/>
        <w:rPr>
          <w:rFonts w:ascii="宋体" w:hAnsi="宋体" w:cs="宋体"/>
          <w:color w:val="auto"/>
          <w:highlight w:val="none"/>
        </w:rPr>
      </w:pPr>
      <w:r>
        <w:rPr>
          <w:rFonts w:hint="eastAsia" w:ascii="宋体" w:hAnsi="宋体" w:cs="宋体"/>
          <w:color w:val="auto"/>
          <w:highlight w:val="none"/>
        </w:rPr>
        <w:t>地址：杭州市下沙高教园区学源街258号</w:t>
      </w:r>
    </w:p>
    <w:p>
      <w:pPr>
        <w:ind w:firstLine="480"/>
        <w:rPr>
          <w:rFonts w:ascii="宋体" w:hAnsi="宋体" w:cs="宋体"/>
          <w:color w:val="auto"/>
          <w:highlight w:val="none"/>
        </w:rPr>
      </w:pPr>
      <w:r>
        <w:rPr>
          <w:rFonts w:hint="eastAsia" w:ascii="宋体" w:hAnsi="宋体" w:cs="宋体"/>
          <w:color w:val="auto"/>
          <w:highlight w:val="none"/>
        </w:rPr>
        <w:t>采购项目联系人：李老师</w:t>
      </w:r>
    </w:p>
    <w:p>
      <w:pPr>
        <w:ind w:firstLine="480"/>
        <w:rPr>
          <w:rFonts w:ascii="宋体" w:hAnsi="宋体" w:cs="宋体"/>
          <w:color w:val="auto"/>
          <w:highlight w:val="none"/>
        </w:rPr>
      </w:pPr>
      <w:r>
        <w:rPr>
          <w:rFonts w:hint="eastAsia" w:ascii="宋体" w:hAnsi="宋体" w:cs="宋体"/>
          <w:color w:val="auto"/>
          <w:highlight w:val="none"/>
        </w:rPr>
        <w:t>联系电话：17826834669</w:t>
      </w:r>
    </w:p>
    <w:p>
      <w:pPr>
        <w:ind w:firstLine="480"/>
        <w:rPr>
          <w:rFonts w:ascii="宋体" w:hAnsi="宋体" w:cs="宋体"/>
          <w:color w:val="auto"/>
          <w:highlight w:val="none"/>
        </w:rPr>
      </w:pPr>
      <w:r>
        <w:rPr>
          <w:rFonts w:hint="eastAsia" w:ascii="宋体" w:hAnsi="宋体" w:cs="宋体"/>
          <w:color w:val="auto"/>
          <w:highlight w:val="none"/>
        </w:rPr>
        <w:t xml:space="preserve">2.采购代理机构名称：浙江五石工程咨询有限公司 </w:t>
      </w:r>
    </w:p>
    <w:p>
      <w:pPr>
        <w:ind w:firstLine="480"/>
        <w:rPr>
          <w:rFonts w:ascii="宋体" w:hAnsi="宋体" w:cs="宋体"/>
          <w:color w:val="auto"/>
          <w:highlight w:val="none"/>
        </w:rPr>
      </w:pPr>
      <w:r>
        <w:rPr>
          <w:rFonts w:hint="eastAsia" w:ascii="宋体" w:hAnsi="宋体" w:cs="宋体"/>
          <w:color w:val="auto"/>
          <w:highlight w:val="none"/>
        </w:rPr>
        <w:t>项目联系人：陈工</w:t>
      </w:r>
    </w:p>
    <w:p>
      <w:pPr>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联系电话：0571-86098397</w:t>
      </w:r>
      <w:r>
        <w:rPr>
          <w:rFonts w:hint="eastAsia" w:ascii="宋体" w:hAnsi="宋体" w:cs="宋体"/>
          <w:color w:val="auto"/>
          <w:highlight w:val="none"/>
          <w:lang w:val="en-US" w:eastAsia="zh-CN"/>
        </w:rPr>
        <w:t>-808</w:t>
      </w:r>
    </w:p>
    <w:p>
      <w:pPr>
        <w:ind w:firstLine="480"/>
        <w:rPr>
          <w:rFonts w:ascii="宋体" w:hAnsi="宋体" w:cs="宋体"/>
          <w:color w:val="auto"/>
          <w:highlight w:val="none"/>
        </w:rPr>
      </w:pPr>
      <w:r>
        <w:rPr>
          <w:rFonts w:hint="eastAsia" w:ascii="宋体" w:hAnsi="宋体" w:cs="宋体"/>
          <w:color w:val="auto"/>
          <w:highlight w:val="none"/>
        </w:rPr>
        <w:t>报名联系人：梁工</w:t>
      </w:r>
    </w:p>
    <w:p>
      <w:pPr>
        <w:ind w:firstLine="480"/>
        <w:rPr>
          <w:rFonts w:ascii="宋体" w:hAnsi="宋体" w:cs="宋体"/>
          <w:color w:val="auto"/>
          <w:highlight w:val="none"/>
        </w:rPr>
      </w:pPr>
      <w:r>
        <w:rPr>
          <w:rFonts w:hint="eastAsia" w:ascii="宋体" w:hAnsi="宋体" w:cs="宋体"/>
          <w:color w:val="auto"/>
          <w:highlight w:val="none"/>
        </w:rPr>
        <w:t>联系电话：17746806483</w:t>
      </w:r>
    </w:p>
    <w:p>
      <w:pPr>
        <w:ind w:firstLine="480"/>
        <w:rPr>
          <w:rFonts w:ascii="宋体" w:hAnsi="宋体" w:cs="宋体"/>
          <w:color w:val="auto"/>
          <w:highlight w:val="none"/>
        </w:rPr>
      </w:pPr>
      <w:r>
        <w:rPr>
          <w:rFonts w:hint="eastAsia" w:ascii="宋体" w:hAnsi="宋体" w:cs="宋体"/>
          <w:color w:val="auto"/>
          <w:highlight w:val="none"/>
        </w:rPr>
        <w:t>邮箱：2810140286@qq.com</w:t>
      </w:r>
    </w:p>
    <w:p>
      <w:pPr>
        <w:ind w:firstLine="480"/>
        <w:rPr>
          <w:rFonts w:ascii="宋体" w:hAnsi="宋体" w:cs="宋体"/>
          <w:color w:val="auto"/>
          <w:highlight w:val="none"/>
        </w:rPr>
      </w:pPr>
      <w:r>
        <w:rPr>
          <w:rFonts w:hint="eastAsia" w:ascii="宋体" w:hAnsi="宋体" w:cs="宋体"/>
          <w:color w:val="auto"/>
          <w:highlight w:val="none"/>
        </w:rPr>
        <w:t>质疑联系人及电话：毛工/0571-87805727</w:t>
      </w:r>
    </w:p>
    <w:p>
      <w:pPr>
        <w:ind w:firstLine="480"/>
        <w:rPr>
          <w:rFonts w:ascii="宋体" w:hAnsi="宋体" w:cs="宋体"/>
          <w:color w:val="auto"/>
          <w:highlight w:val="none"/>
        </w:rPr>
      </w:pPr>
      <w:r>
        <w:rPr>
          <w:rFonts w:hint="eastAsia" w:ascii="宋体" w:hAnsi="宋体" w:cs="宋体"/>
          <w:color w:val="auto"/>
          <w:highlight w:val="none"/>
        </w:rPr>
        <w:t>浙江五石工程咨询有限公司网址：：http://zjwsbidding.com/</w:t>
      </w:r>
    </w:p>
    <w:p>
      <w:pPr>
        <w:ind w:firstLine="48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3.同级政府采购监督管理部门名称：浙江省财政厅政府采购监管处</w:t>
      </w:r>
    </w:p>
    <w:p>
      <w:pPr>
        <w:ind w:firstLine="480"/>
        <w:rPr>
          <w:rFonts w:ascii="宋体" w:hAnsi="宋体" w:cs="宋体"/>
          <w:color w:val="auto"/>
          <w:highlight w:val="none"/>
        </w:rPr>
      </w:pPr>
      <w:r>
        <w:rPr>
          <w:rFonts w:hint="eastAsia" w:ascii="宋体" w:hAnsi="宋体" w:cs="宋体"/>
          <w:color w:val="auto"/>
          <w:highlight w:val="none"/>
        </w:rPr>
        <w:t>联系人：倪老师</w:t>
      </w:r>
    </w:p>
    <w:p>
      <w:pPr>
        <w:ind w:firstLine="480"/>
        <w:rPr>
          <w:rFonts w:ascii="宋体" w:hAnsi="宋体" w:cs="宋体"/>
          <w:color w:val="auto"/>
          <w:highlight w:val="none"/>
        </w:rPr>
      </w:pPr>
      <w:r>
        <w:rPr>
          <w:rFonts w:hint="eastAsia" w:ascii="宋体" w:hAnsi="宋体" w:cs="宋体"/>
          <w:color w:val="auto"/>
          <w:highlight w:val="none"/>
        </w:rPr>
        <w:t>监督投诉电话：0571-87057615</w:t>
      </w:r>
    </w:p>
    <w:p>
      <w:pPr>
        <w:ind w:firstLine="480"/>
        <w:rPr>
          <w:rFonts w:ascii="宋体" w:hAnsi="宋体" w:cs="宋体"/>
          <w:color w:val="auto"/>
          <w:highlight w:val="none"/>
        </w:rPr>
      </w:pPr>
      <w:r>
        <w:rPr>
          <w:rFonts w:hint="eastAsia" w:ascii="宋体" w:hAnsi="宋体" w:cs="宋体"/>
          <w:color w:val="auto"/>
          <w:highlight w:val="none"/>
        </w:rPr>
        <w:t>地址：杭州市西湖区环城西路37号</w:t>
      </w:r>
    </w:p>
    <w:p>
      <w:pPr>
        <w:snapToGrid w:val="0"/>
        <w:ind w:firstLine="602" w:firstLineChars="250"/>
        <w:rPr>
          <w:rFonts w:ascii="宋体" w:hAnsi="宋体" w:cs="宋体"/>
          <w:b/>
          <w:bCs/>
          <w:color w:val="auto"/>
          <w:highlight w:val="none"/>
        </w:rPr>
      </w:pPr>
      <w:r>
        <w:rPr>
          <w:rFonts w:hint="eastAsia" w:ascii="宋体" w:hAnsi="宋体" w:cs="宋体"/>
          <w:b/>
          <w:bCs/>
          <w:color w:val="auto"/>
          <w:highlight w:val="none"/>
        </w:rPr>
        <w:t>备注：请贵单位领取本次招标采购文件后，认真阅读各项内容，进行必要的准备工作，按文件的要求详细填写和编制投标文件，并按以上确定的时间、地点准时参加投标。</w:t>
      </w:r>
    </w:p>
    <w:p>
      <w:pPr>
        <w:pStyle w:val="2"/>
        <w:rPr>
          <w:rFonts w:ascii="宋体" w:hAnsi="宋体" w:eastAsia="宋体" w:cs="宋体"/>
          <w:color w:val="auto"/>
          <w:highlight w:val="none"/>
        </w:rPr>
      </w:pPr>
    </w:p>
    <w:p>
      <w:pPr>
        <w:ind w:firstLine="840" w:firstLineChars="350"/>
        <w:rPr>
          <w:rFonts w:ascii="宋体" w:hAnsi="宋体" w:cs="宋体"/>
          <w:color w:val="auto"/>
          <w:kern w:val="0"/>
          <w:szCs w:val="32"/>
          <w:highlight w:val="none"/>
        </w:rPr>
      </w:pPr>
      <w:r>
        <w:rPr>
          <w:rFonts w:hint="eastAsia" w:ascii="宋体" w:hAnsi="宋体" w:cs="宋体"/>
          <w:color w:val="auto"/>
          <w:highlight w:val="none"/>
        </w:rPr>
        <w:t xml:space="preserve">                                            </w:t>
      </w:r>
      <w:r>
        <w:rPr>
          <w:rFonts w:hint="eastAsia" w:ascii="宋体" w:hAnsi="宋体" w:cs="宋体"/>
          <w:color w:val="auto"/>
          <w:kern w:val="0"/>
          <w:szCs w:val="32"/>
          <w:highlight w:val="none"/>
        </w:rPr>
        <w:t>浙江五石工程咨询有限公司</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 xml:space="preserve">                                                          2019年</w:t>
      </w:r>
      <w:r>
        <w:rPr>
          <w:rFonts w:hint="eastAsia" w:ascii="宋体" w:hAnsi="宋体" w:cs="宋体"/>
          <w:color w:val="auto"/>
          <w:kern w:val="0"/>
          <w:szCs w:val="32"/>
          <w:highlight w:val="none"/>
          <w:lang w:val="en-US" w:eastAsia="zh-CN"/>
        </w:rPr>
        <w:t>9</w:t>
      </w:r>
      <w:r>
        <w:rPr>
          <w:rFonts w:hint="eastAsia" w:ascii="宋体" w:hAnsi="宋体" w:cs="宋体"/>
          <w:color w:val="auto"/>
          <w:kern w:val="0"/>
          <w:szCs w:val="32"/>
          <w:highlight w:val="none"/>
        </w:rPr>
        <w:t>月</w:t>
      </w:r>
    </w:p>
    <w:p>
      <w:pPr>
        <w:pStyle w:val="2"/>
        <w:rPr>
          <w:rFonts w:ascii="宋体" w:hAnsi="宋体" w:eastAsia="宋体" w:cs="宋体"/>
          <w:color w:val="auto"/>
          <w:highlight w:val="none"/>
        </w:rPr>
        <w:sectPr>
          <w:footerReference r:id="rId13" w:type="default"/>
          <w:pgSz w:w="11906" w:h="16838"/>
          <w:pgMar w:top="1247" w:right="1247" w:bottom="1247" w:left="1247" w:header="170" w:footer="567" w:gutter="0"/>
          <w:pgNumType w:start="1"/>
          <w:cols w:space="720" w:num="1"/>
          <w:docGrid w:linePitch="381" w:charSpace="0"/>
        </w:sectPr>
      </w:pPr>
    </w:p>
    <w:bookmarkEnd w:id="3"/>
    <w:p>
      <w:pPr>
        <w:pStyle w:val="4"/>
        <w:rPr>
          <w:color w:val="auto"/>
          <w:highlight w:val="none"/>
        </w:rPr>
      </w:pPr>
      <w:bookmarkStart w:id="15" w:name="_Toc8514"/>
      <w:r>
        <w:rPr>
          <w:rFonts w:hint="eastAsia" w:cs="宋体"/>
          <w:color w:val="auto"/>
          <w:highlight w:val="none"/>
        </w:rPr>
        <w:t>第二章 项目需求说明</w:t>
      </w:r>
      <w:bookmarkEnd w:id="15"/>
    </w:p>
    <w:p>
      <w:pPr>
        <w:pStyle w:val="5"/>
        <w:rPr>
          <w:rFonts w:ascii="宋体" w:hAnsi="宋体" w:cs="宋体"/>
          <w:color w:val="auto"/>
          <w:sz w:val="24"/>
          <w:szCs w:val="40"/>
          <w:highlight w:val="none"/>
        </w:rPr>
      </w:pPr>
      <w:bookmarkStart w:id="16" w:name="_Toc21112"/>
      <w:bookmarkStart w:id="17" w:name="_Toc18187"/>
      <w:bookmarkStart w:id="18" w:name="_Toc450840085"/>
      <w:r>
        <w:rPr>
          <w:rFonts w:hint="eastAsia" w:ascii="宋体" w:hAnsi="宋体" w:cs="宋体"/>
          <w:color w:val="auto"/>
          <w:sz w:val="24"/>
          <w:szCs w:val="40"/>
          <w:highlight w:val="none"/>
        </w:rPr>
        <w:t>一、货物或产品的说明和具体技术要求</w:t>
      </w:r>
      <w:bookmarkEnd w:id="16"/>
      <w:bookmarkEnd w:id="17"/>
    </w:p>
    <w:p>
      <w:pPr>
        <w:pStyle w:val="6"/>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pStyle w:val="6"/>
        <w:rPr>
          <w:color w:val="auto"/>
          <w:szCs w:val="40"/>
          <w:highlight w:val="none"/>
        </w:rPr>
      </w:pPr>
      <w:r>
        <w:rPr>
          <w:rFonts w:hint="eastAsia"/>
          <w:color w:val="auto"/>
          <w:szCs w:val="40"/>
          <w:highlight w:val="none"/>
        </w:rPr>
        <w:t>2、具体技术要求</w:t>
      </w:r>
    </w:p>
    <w:tbl>
      <w:tblPr>
        <w:tblStyle w:val="39"/>
        <w:tblW w:w="903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1275"/>
        <w:gridCol w:w="850"/>
        <w:gridCol w:w="6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818" w:type="dxa"/>
            <w:vAlign w:val="center"/>
          </w:tcPr>
          <w:p>
            <w:pPr>
              <w:adjustRightInd w:val="0"/>
              <w:snapToGrid w:val="0"/>
              <w:spacing w:before="156" w:after="156" w:line="240" w:lineRule="auto"/>
              <w:ind w:firstLine="0" w:firstLineChars="0"/>
              <w:jc w:val="left"/>
              <w:rPr>
                <w:rFonts w:ascii="宋体" w:hAnsi="宋体"/>
                <w:b/>
                <w:bCs/>
                <w:color w:val="auto"/>
                <w:highlight w:val="none"/>
              </w:rPr>
            </w:pPr>
            <w:r>
              <w:rPr>
                <w:rFonts w:hint="eastAsia" w:ascii="宋体" w:hAnsi="宋体" w:cs="宋体"/>
                <w:b/>
                <w:bCs/>
                <w:color w:val="auto"/>
                <w:highlight w:val="none"/>
              </w:rPr>
              <w:t>序号</w:t>
            </w:r>
          </w:p>
        </w:tc>
        <w:tc>
          <w:tcPr>
            <w:tcW w:w="1275" w:type="dxa"/>
            <w:vAlign w:val="center"/>
          </w:tcPr>
          <w:p>
            <w:pPr>
              <w:adjustRightInd w:val="0"/>
              <w:snapToGrid w:val="0"/>
              <w:spacing w:before="156" w:after="156" w:line="240" w:lineRule="auto"/>
              <w:ind w:firstLine="0" w:firstLineChars="0"/>
              <w:jc w:val="left"/>
              <w:rPr>
                <w:rFonts w:ascii="宋体" w:hAnsi="宋体"/>
                <w:b/>
                <w:bCs/>
                <w:color w:val="auto"/>
                <w:highlight w:val="none"/>
              </w:rPr>
            </w:pPr>
            <w:r>
              <w:rPr>
                <w:rFonts w:hint="eastAsia" w:ascii="宋体" w:hAnsi="宋体"/>
                <w:b/>
                <w:bCs/>
                <w:color w:val="auto"/>
                <w:highlight w:val="none"/>
              </w:rPr>
              <w:t>设备名称</w:t>
            </w:r>
          </w:p>
        </w:tc>
        <w:tc>
          <w:tcPr>
            <w:tcW w:w="850" w:type="dxa"/>
            <w:vAlign w:val="center"/>
          </w:tcPr>
          <w:p>
            <w:pPr>
              <w:adjustRightInd w:val="0"/>
              <w:snapToGrid w:val="0"/>
              <w:spacing w:before="156" w:after="156" w:line="240" w:lineRule="auto"/>
              <w:ind w:firstLine="0" w:firstLineChars="0"/>
              <w:jc w:val="left"/>
              <w:rPr>
                <w:rFonts w:ascii="宋体" w:hAnsi="宋体"/>
                <w:b/>
                <w:bCs/>
                <w:color w:val="auto"/>
                <w:highlight w:val="none"/>
              </w:rPr>
            </w:pPr>
            <w:r>
              <w:rPr>
                <w:rFonts w:hint="eastAsia" w:ascii="宋体" w:hAnsi="宋体"/>
                <w:b/>
                <w:bCs/>
                <w:color w:val="auto"/>
                <w:highlight w:val="none"/>
              </w:rPr>
              <w:t>数量</w:t>
            </w:r>
          </w:p>
        </w:tc>
        <w:tc>
          <w:tcPr>
            <w:tcW w:w="6096" w:type="dxa"/>
            <w:vAlign w:val="center"/>
          </w:tcPr>
          <w:p>
            <w:pPr>
              <w:adjustRightInd w:val="0"/>
              <w:snapToGrid w:val="0"/>
              <w:spacing w:before="156" w:after="156" w:line="240" w:lineRule="auto"/>
              <w:ind w:firstLine="0" w:firstLineChars="0"/>
              <w:jc w:val="left"/>
              <w:rPr>
                <w:rFonts w:ascii="宋体" w:hAnsi="宋体"/>
                <w:b/>
                <w:bCs/>
                <w:color w:val="auto"/>
                <w:highlight w:val="none"/>
              </w:rPr>
            </w:pPr>
            <w:r>
              <w:rPr>
                <w:rFonts w:hint="eastAsia" w:ascii="宋体" w:hAnsi="宋体"/>
                <w:b/>
                <w:bCs/>
                <w:color w:val="auto"/>
                <w:highlight w:val="none"/>
              </w:rPr>
              <w:t>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trPr>
        <w:tc>
          <w:tcPr>
            <w:tcW w:w="818" w:type="dxa"/>
            <w:vAlign w:val="center"/>
          </w:tcPr>
          <w:p>
            <w:pPr>
              <w:adjustRightInd w:val="0"/>
              <w:snapToGrid w:val="0"/>
              <w:spacing w:before="156" w:after="156" w:line="240" w:lineRule="auto"/>
              <w:ind w:left="34" w:firstLine="0" w:firstLineChars="0"/>
              <w:jc w:val="center"/>
              <w:rPr>
                <w:rFonts w:ascii="宋体" w:hAnsi="宋体"/>
                <w:color w:val="auto"/>
                <w:highlight w:val="none"/>
              </w:rPr>
            </w:pPr>
            <w:r>
              <w:rPr>
                <w:rFonts w:hint="eastAsia" w:ascii="宋体" w:hAnsi="宋体"/>
                <w:color w:val="auto"/>
                <w:highlight w:val="none"/>
              </w:rPr>
              <w:t>1</w:t>
            </w:r>
          </w:p>
        </w:tc>
        <w:tc>
          <w:tcPr>
            <w:tcW w:w="1275" w:type="dxa"/>
            <w:vAlign w:val="center"/>
          </w:tcPr>
          <w:p>
            <w:pPr>
              <w:adjustRightInd w:val="0"/>
              <w:snapToGrid w:val="0"/>
              <w:spacing w:before="156" w:after="156" w:line="240" w:lineRule="auto"/>
              <w:ind w:left="34" w:firstLine="0" w:firstLineChars="0"/>
              <w:jc w:val="center"/>
              <w:rPr>
                <w:rFonts w:ascii="宋体" w:hAnsi="宋体" w:cs="宋体"/>
                <w:color w:val="auto"/>
                <w:kern w:val="0"/>
                <w:highlight w:val="none"/>
              </w:rPr>
            </w:pPr>
            <w:r>
              <w:rPr>
                <w:rFonts w:hint="eastAsia" w:ascii="宋体" w:hAnsi="宋体" w:cs="宋体"/>
                <w:color w:val="auto"/>
                <w:kern w:val="0"/>
                <w:highlight w:val="none"/>
              </w:rPr>
              <w:t>洁净室</w:t>
            </w:r>
          </w:p>
        </w:tc>
        <w:tc>
          <w:tcPr>
            <w:tcW w:w="850" w:type="dxa"/>
            <w:vAlign w:val="center"/>
          </w:tcPr>
          <w:p>
            <w:pPr>
              <w:adjustRightInd w:val="0"/>
              <w:snapToGrid w:val="0"/>
              <w:spacing w:before="156" w:after="156" w:line="240" w:lineRule="auto"/>
              <w:ind w:left="34" w:firstLine="0" w:firstLineChars="0"/>
              <w:jc w:val="center"/>
              <w:rPr>
                <w:rFonts w:ascii="宋体" w:hAnsi="宋体" w:cs="宋体"/>
                <w:color w:val="auto"/>
                <w:kern w:val="0"/>
                <w:highlight w:val="none"/>
              </w:rPr>
            </w:pPr>
            <w:r>
              <w:rPr>
                <w:rFonts w:hint="eastAsia" w:ascii="宋体" w:hAnsi="宋体" w:cs="宋体"/>
                <w:color w:val="auto"/>
                <w:kern w:val="0"/>
                <w:highlight w:val="none"/>
              </w:rPr>
              <w:t>1 套</w:t>
            </w:r>
          </w:p>
        </w:tc>
        <w:tc>
          <w:tcPr>
            <w:tcW w:w="6096" w:type="dxa"/>
          </w:tcPr>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主要设计依据</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A.GB50073-2013 洁净厂房设计规范</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B.JGJ71-90洁净室施工及验收规范</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C.GB50243-2016通风与空调工程施工及验收规范</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一、基本配置要求：</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标准配置</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二、主要技术指标要求：</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1、洁净室</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1.1、</w:t>
            </w:r>
            <w:r>
              <w:rPr>
                <w:color w:val="auto"/>
                <w:szCs w:val="24"/>
                <w:highlight w:val="none"/>
              </w:rPr>
              <w:t>洁净室洁净度要求：</w:t>
            </w:r>
            <w:r>
              <w:rPr>
                <w:rFonts w:hint="eastAsia"/>
                <w:color w:val="auto"/>
                <w:szCs w:val="24"/>
                <w:highlight w:val="none"/>
              </w:rPr>
              <w:t>万级2间，1</w:t>
            </w:r>
            <w:r>
              <w:rPr>
                <w:color w:val="auto"/>
                <w:szCs w:val="24"/>
                <w:highlight w:val="none"/>
              </w:rPr>
              <w:t>80</w:t>
            </w:r>
            <w:r>
              <w:rPr>
                <w:rFonts w:hint="eastAsia"/>
                <w:color w:val="auto"/>
                <w:szCs w:val="24"/>
                <w:highlight w:val="none"/>
              </w:rPr>
              <w:t>平方，普通实验间1间，1</w:t>
            </w:r>
            <w:r>
              <w:rPr>
                <w:color w:val="auto"/>
                <w:szCs w:val="24"/>
                <w:highlight w:val="none"/>
              </w:rPr>
              <w:t>20</w:t>
            </w:r>
            <w:r>
              <w:rPr>
                <w:rFonts w:hint="eastAsia"/>
                <w:color w:val="auto"/>
                <w:szCs w:val="24"/>
                <w:highlight w:val="none"/>
              </w:rPr>
              <w:t>平方</w:t>
            </w:r>
            <w:r>
              <w:rPr>
                <w:color w:val="auto"/>
                <w:szCs w:val="24"/>
                <w:highlight w:val="none"/>
              </w:rPr>
              <w:t>；千级</w:t>
            </w:r>
            <w:r>
              <w:rPr>
                <w:rFonts w:hint="eastAsia"/>
                <w:color w:val="auto"/>
                <w:szCs w:val="24"/>
                <w:highlight w:val="none"/>
              </w:rPr>
              <w:t>1间</w:t>
            </w:r>
            <w:r>
              <w:rPr>
                <w:color w:val="auto"/>
                <w:szCs w:val="24"/>
                <w:highlight w:val="none"/>
              </w:rPr>
              <w:t>，</w:t>
            </w:r>
            <w:r>
              <w:rPr>
                <w:rFonts w:hint="eastAsia"/>
                <w:color w:val="auto"/>
                <w:szCs w:val="24"/>
                <w:highlight w:val="none"/>
              </w:rPr>
              <w:t>1</w:t>
            </w:r>
            <w:r>
              <w:rPr>
                <w:color w:val="auto"/>
                <w:szCs w:val="24"/>
                <w:highlight w:val="none"/>
              </w:rPr>
              <w:t>20</w:t>
            </w:r>
            <w:r>
              <w:rPr>
                <w:rFonts w:hint="eastAsia"/>
                <w:color w:val="auto"/>
                <w:szCs w:val="24"/>
                <w:highlight w:val="none"/>
              </w:rPr>
              <w:t>平方，</w:t>
            </w:r>
            <w:r>
              <w:rPr>
                <w:color w:val="auto"/>
                <w:szCs w:val="24"/>
                <w:highlight w:val="none"/>
              </w:rPr>
              <w:t>符合ISO14644标准；</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w:t>
            </w:r>
            <w:r>
              <w:rPr>
                <w:color w:val="auto"/>
                <w:szCs w:val="24"/>
                <w:highlight w:val="none"/>
              </w:rPr>
              <w:t>2</w:t>
            </w:r>
            <w:r>
              <w:rPr>
                <w:rFonts w:hint="eastAsia"/>
                <w:color w:val="auto"/>
                <w:szCs w:val="24"/>
                <w:highlight w:val="none"/>
              </w:rPr>
              <w:t>、</w:t>
            </w:r>
            <w:r>
              <w:rPr>
                <w:color w:val="auto"/>
                <w:szCs w:val="24"/>
                <w:highlight w:val="none"/>
              </w:rPr>
              <w:t>洁净室室内温湿度要求：温度：2</w:t>
            </w:r>
            <w:r>
              <w:rPr>
                <w:rFonts w:hint="eastAsia"/>
                <w:color w:val="auto"/>
                <w:szCs w:val="24"/>
                <w:highlight w:val="none"/>
              </w:rPr>
              <w:t>2</w:t>
            </w:r>
            <w:r>
              <w:rPr>
                <w:color w:val="auto"/>
                <w:szCs w:val="24"/>
                <w:highlight w:val="none"/>
              </w:rPr>
              <w:t>±</w:t>
            </w:r>
            <w:r>
              <w:rPr>
                <w:rFonts w:hint="eastAsia"/>
                <w:color w:val="auto"/>
                <w:szCs w:val="24"/>
                <w:highlight w:val="none"/>
              </w:rPr>
              <w:t>2</w:t>
            </w:r>
            <w:r>
              <w:rPr>
                <w:rFonts w:hint="eastAsia" w:ascii="微软雅黑" w:hAnsi="微软雅黑" w:eastAsia="微软雅黑" w:cs="微软雅黑"/>
                <w:color w:val="auto"/>
                <w:szCs w:val="24"/>
                <w:highlight w:val="none"/>
              </w:rPr>
              <w:t>℃</w:t>
            </w:r>
            <w:r>
              <w:rPr>
                <w:color w:val="auto"/>
                <w:szCs w:val="24"/>
                <w:highlight w:val="none"/>
              </w:rPr>
              <w:t>；湿度 50±5%RH；</w:t>
            </w:r>
          </w:p>
          <w:p>
            <w:pPr>
              <w:adjustRightInd w:val="0"/>
              <w:snapToGrid w:val="0"/>
              <w:spacing w:line="240" w:lineRule="auto"/>
              <w:ind w:firstLine="0" w:firstLineChars="0"/>
              <w:jc w:val="left"/>
              <w:rPr>
                <w:color w:val="auto"/>
                <w:sz w:val="21"/>
                <w:szCs w:val="20"/>
                <w:highlight w:val="none"/>
              </w:rPr>
            </w:pPr>
            <w:r>
              <w:rPr>
                <w:rFonts w:hint="eastAsia"/>
                <w:color w:val="auto"/>
                <w:highlight w:val="none"/>
              </w:rPr>
              <w:t>1.</w:t>
            </w:r>
            <w:r>
              <w:rPr>
                <w:color w:val="auto"/>
                <w:highlight w:val="none"/>
              </w:rPr>
              <w:t>3</w:t>
            </w:r>
            <w:r>
              <w:rPr>
                <w:rFonts w:hint="eastAsia"/>
                <w:color w:val="auto"/>
                <w:highlight w:val="none"/>
              </w:rPr>
              <w:t>、</w:t>
            </w:r>
            <w:r>
              <w:rPr>
                <w:color w:val="auto"/>
                <w:highlight w:val="none"/>
              </w:rPr>
              <w:t>洁净室千级净化区换气次数：≥50次/h；</w:t>
            </w:r>
            <w:r>
              <w:rPr>
                <w:rFonts w:hint="eastAsia"/>
                <w:color w:val="auto"/>
                <w:highlight w:val="none"/>
              </w:rPr>
              <w:t>万</w:t>
            </w:r>
            <w:r>
              <w:rPr>
                <w:color w:val="auto"/>
                <w:highlight w:val="none"/>
              </w:rPr>
              <w:t>级净化区换气次数：≥</w:t>
            </w:r>
            <w:r>
              <w:rPr>
                <w:rFonts w:hint="eastAsia"/>
                <w:color w:val="auto"/>
                <w:highlight w:val="none"/>
              </w:rPr>
              <w:t>20</w:t>
            </w:r>
            <w:r>
              <w:rPr>
                <w:color w:val="auto"/>
                <w:highlight w:val="none"/>
              </w:rPr>
              <w:t>次/h</w:t>
            </w:r>
            <w:r>
              <w:rPr>
                <w:rFonts w:hint="eastAsia"/>
                <w:color w:val="auto"/>
                <w:highlight w:val="none"/>
              </w:rPr>
              <w:t>，末端过滤效率</w:t>
            </w:r>
            <w:r>
              <w:rPr>
                <w:color w:val="auto"/>
                <w:highlight w:val="none"/>
              </w:rPr>
              <w:t>H13(</w:t>
            </w:r>
            <w:r>
              <w:rPr>
                <w:rFonts w:hint="eastAsia"/>
                <w:color w:val="auto"/>
                <w:highlight w:val="none"/>
              </w:rPr>
              <w:t>针对</w:t>
            </w:r>
            <w:r>
              <w:rPr>
                <w:color w:val="auto"/>
                <w:highlight w:val="none"/>
              </w:rPr>
              <w:t>d</w:t>
            </w:r>
            <w:r>
              <w:rPr>
                <w:rFonts w:hint="eastAsia"/>
                <w:color w:val="auto"/>
                <w:highlight w:val="none"/>
              </w:rPr>
              <w:t>大于</w:t>
            </w:r>
            <w:r>
              <w:rPr>
                <w:color w:val="auto"/>
                <w:highlight w:val="none"/>
              </w:rPr>
              <w:t>0.3</w:t>
            </w:r>
            <w:r>
              <w:rPr>
                <w:rFonts w:hint="eastAsia"/>
                <w:color w:val="auto"/>
                <w:highlight w:val="none"/>
              </w:rPr>
              <w:t>μ</w:t>
            </w:r>
            <w:r>
              <w:rPr>
                <w:color w:val="auto"/>
                <w:highlight w:val="none"/>
              </w:rPr>
              <w:t>m</w:t>
            </w:r>
            <w:r>
              <w:rPr>
                <w:rFonts w:hint="eastAsia"/>
                <w:color w:val="auto"/>
                <w:highlight w:val="none"/>
              </w:rPr>
              <w:t>颗粒，过滤效率不低于</w:t>
            </w:r>
            <w:r>
              <w:rPr>
                <w:color w:val="auto"/>
                <w:highlight w:val="none"/>
              </w:rPr>
              <w:t>99.99%)</w:t>
            </w:r>
            <w:r>
              <w:rPr>
                <w:rFonts w:hint="eastAsia"/>
                <w:color w:val="auto"/>
                <w:highlight w:val="none"/>
              </w:rPr>
              <w:t>，实现室内新风量≥</w:t>
            </w:r>
            <w:r>
              <w:rPr>
                <w:color w:val="auto"/>
                <w:highlight w:val="none"/>
              </w:rPr>
              <w:t>600M3/h</w:t>
            </w:r>
            <w:r>
              <w:rPr>
                <w:rFonts w:hint="eastAsia"/>
                <w:color w:val="auto"/>
                <w:highlight w:val="none"/>
              </w:rPr>
              <w:t>（</w:t>
            </w:r>
            <w:r>
              <w:rPr>
                <w:color w:val="auto"/>
                <w:highlight w:val="none"/>
              </w:rPr>
              <w:t>0-1000M3/h</w:t>
            </w:r>
            <w:r>
              <w:rPr>
                <w:rFonts w:hint="eastAsia"/>
                <w:color w:val="auto"/>
                <w:highlight w:val="none"/>
              </w:rPr>
              <w:t>，可调节）；</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w:t>
            </w:r>
            <w:r>
              <w:rPr>
                <w:color w:val="auto"/>
                <w:szCs w:val="24"/>
                <w:highlight w:val="none"/>
              </w:rPr>
              <w:t>4</w:t>
            </w:r>
            <w:r>
              <w:rPr>
                <w:rFonts w:hint="eastAsia"/>
                <w:color w:val="auto"/>
                <w:szCs w:val="24"/>
                <w:highlight w:val="none"/>
              </w:rPr>
              <w:t>、</w:t>
            </w:r>
            <w:r>
              <w:rPr>
                <w:color w:val="auto"/>
                <w:szCs w:val="24"/>
                <w:highlight w:val="none"/>
              </w:rPr>
              <w:t>洁净室室内噪音≤</w:t>
            </w:r>
            <w:r>
              <w:rPr>
                <w:rFonts w:hint="eastAsia"/>
                <w:color w:val="auto"/>
                <w:szCs w:val="24"/>
                <w:highlight w:val="none"/>
              </w:rPr>
              <w:t>6</w:t>
            </w:r>
            <w:r>
              <w:rPr>
                <w:color w:val="auto"/>
                <w:szCs w:val="24"/>
                <w:highlight w:val="none"/>
              </w:rPr>
              <w:t>5dB；</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w:t>
            </w:r>
            <w:r>
              <w:rPr>
                <w:color w:val="auto"/>
                <w:szCs w:val="24"/>
                <w:highlight w:val="none"/>
              </w:rPr>
              <w:t>5</w:t>
            </w:r>
            <w:r>
              <w:rPr>
                <w:rFonts w:hint="eastAsia"/>
                <w:color w:val="auto"/>
                <w:szCs w:val="24"/>
                <w:highlight w:val="none"/>
              </w:rPr>
              <w:t>、</w:t>
            </w:r>
            <w:r>
              <w:rPr>
                <w:color w:val="auto"/>
                <w:szCs w:val="24"/>
                <w:highlight w:val="none"/>
              </w:rPr>
              <w:t>洁净室室内照度要求：不低于300LX，应急照明不低于5LX；</w:t>
            </w:r>
            <w:r>
              <w:rPr>
                <w:rFonts w:hint="eastAsia"/>
                <w:color w:val="auto"/>
                <w:szCs w:val="24"/>
                <w:highlight w:val="none"/>
              </w:rPr>
              <w:t>灯具采用LED平板灯，LED平板灯厚度不超过2CM，超薄吸顶安装，斜边边框应能与天花板无缝贴合，真正做到不积尘、易清洁，LED 1200*300*10mm，推荐品牌：鼎佳、舒轩光电、晨峰。</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w:t>
            </w:r>
            <w:r>
              <w:rPr>
                <w:color w:val="auto"/>
                <w:szCs w:val="24"/>
                <w:highlight w:val="none"/>
              </w:rPr>
              <w:t>6</w:t>
            </w:r>
            <w:r>
              <w:rPr>
                <w:rFonts w:hint="eastAsia"/>
                <w:color w:val="auto"/>
                <w:szCs w:val="24"/>
                <w:highlight w:val="none"/>
              </w:rPr>
              <w:t>、</w:t>
            </w:r>
            <w:r>
              <w:rPr>
                <w:rFonts w:hint="eastAsia"/>
                <w:b/>
                <w:bCs/>
                <w:color w:val="auto"/>
                <w:szCs w:val="24"/>
                <w:highlight w:val="none"/>
              </w:rPr>
              <w:t>（核心产品）</w:t>
            </w:r>
            <w:r>
              <w:rPr>
                <w:color w:val="auto"/>
                <w:szCs w:val="24"/>
                <w:highlight w:val="none"/>
              </w:rPr>
              <w:t>洁净室配电箱</w:t>
            </w:r>
            <w:r>
              <w:rPr>
                <w:rFonts w:hint="eastAsia"/>
                <w:color w:val="auto"/>
                <w:szCs w:val="24"/>
                <w:highlight w:val="none"/>
              </w:rPr>
              <w:t>三间</w:t>
            </w:r>
            <w:r>
              <w:rPr>
                <w:color w:val="auto"/>
                <w:szCs w:val="24"/>
                <w:highlight w:val="none"/>
              </w:rPr>
              <w:t>总功率</w:t>
            </w:r>
            <w:r>
              <w:rPr>
                <w:rFonts w:hint="eastAsia"/>
                <w:color w:val="auto"/>
                <w:szCs w:val="24"/>
                <w:highlight w:val="none"/>
              </w:rPr>
              <w:t>分别</w:t>
            </w:r>
            <w:r>
              <w:rPr>
                <w:color w:val="auto"/>
                <w:szCs w:val="24"/>
                <w:highlight w:val="none"/>
              </w:rPr>
              <w:t>1</w:t>
            </w:r>
            <w:r>
              <w:rPr>
                <w:rFonts w:hint="eastAsia"/>
                <w:color w:val="auto"/>
                <w:szCs w:val="24"/>
                <w:highlight w:val="none"/>
              </w:rPr>
              <w:t>8</w:t>
            </w:r>
            <w:r>
              <w:rPr>
                <w:color w:val="auto"/>
                <w:szCs w:val="24"/>
                <w:highlight w:val="none"/>
              </w:rPr>
              <w:t>0KW</w:t>
            </w:r>
            <w:r>
              <w:rPr>
                <w:rFonts w:hint="eastAsia"/>
                <w:color w:val="auto"/>
                <w:szCs w:val="24"/>
                <w:highlight w:val="none"/>
              </w:rPr>
              <w:t>，</w:t>
            </w:r>
            <w:r>
              <w:rPr>
                <w:color w:val="auto"/>
                <w:szCs w:val="24"/>
                <w:highlight w:val="none"/>
              </w:rPr>
              <w:t>1</w:t>
            </w:r>
            <w:r>
              <w:rPr>
                <w:rFonts w:hint="eastAsia"/>
                <w:color w:val="auto"/>
                <w:szCs w:val="24"/>
                <w:highlight w:val="none"/>
              </w:rPr>
              <w:t>8</w:t>
            </w:r>
            <w:r>
              <w:rPr>
                <w:color w:val="auto"/>
                <w:szCs w:val="24"/>
                <w:highlight w:val="none"/>
              </w:rPr>
              <w:t>0KW</w:t>
            </w:r>
            <w:r>
              <w:rPr>
                <w:rFonts w:hint="eastAsia"/>
                <w:color w:val="auto"/>
                <w:szCs w:val="24"/>
                <w:highlight w:val="none"/>
              </w:rPr>
              <w:t>，8</w:t>
            </w:r>
            <w:r>
              <w:rPr>
                <w:color w:val="auto"/>
                <w:szCs w:val="24"/>
                <w:highlight w:val="none"/>
              </w:rPr>
              <w:t>0KW</w:t>
            </w:r>
            <w:r>
              <w:rPr>
                <w:rFonts w:hint="eastAsia"/>
                <w:color w:val="auto"/>
                <w:szCs w:val="24"/>
                <w:highlight w:val="none"/>
              </w:rPr>
              <w:t>，机柜碳钢，推荐品牌：施耐德、</w:t>
            </w:r>
            <w:r>
              <w:rPr>
                <w:rFonts w:hint="eastAsia"/>
                <w:color w:val="auto"/>
                <w:szCs w:val="24"/>
                <w:highlight w:val="none"/>
                <w:lang w:eastAsia="zh-CN"/>
              </w:rPr>
              <w:t>GE</w:t>
            </w:r>
            <w:r>
              <w:rPr>
                <w:rFonts w:hint="eastAsia"/>
                <w:color w:val="auto"/>
                <w:szCs w:val="24"/>
                <w:highlight w:val="none"/>
              </w:rPr>
              <w:t>、ABB</w:t>
            </w:r>
            <w:r>
              <w:rPr>
                <w:color w:val="auto"/>
                <w:szCs w:val="24"/>
                <w:highlight w:val="none"/>
              </w:rPr>
              <w:t>；</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w:t>
            </w:r>
            <w:r>
              <w:rPr>
                <w:color w:val="auto"/>
                <w:szCs w:val="24"/>
                <w:highlight w:val="none"/>
              </w:rPr>
              <w:t>7</w:t>
            </w:r>
            <w:r>
              <w:rPr>
                <w:rFonts w:hint="eastAsia"/>
                <w:color w:val="auto"/>
                <w:szCs w:val="24"/>
                <w:highlight w:val="none"/>
              </w:rPr>
              <w:t>、</w:t>
            </w:r>
            <w:r>
              <w:rPr>
                <w:color w:val="auto"/>
                <w:szCs w:val="24"/>
                <w:highlight w:val="none"/>
              </w:rPr>
              <w:t>洁净室要求设计有观察窗、安全门等</w:t>
            </w:r>
            <w:r>
              <w:rPr>
                <w:rFonts w:hint="eastAsia"/>
                <w:color w:val="auto"/>
                <w:szCs w:val="24"/>
                <w:highlight w:val="none"/>
              </w:rPr>
              <w:t>，观察窗有洁净室遮光窗帘</w:t>
            </w:r>
            <w:r>
              <w:rPr>
                <w:color w:val="auto"/>
                <w:szCs w:val="24"/>
                <w:highlight w:val="none"/>
              </w:rPr>
              <w:t>；</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w:t>
            </w:r>
            <w:r>
              <w:rPr>
                <w:color w:val="auto"/>
                <w:szCs w:val="24"/>
                <w:highlight w:val="none"/>
              </w:rPr>
              <w:t>8</w:t>
            </w:r>
            <w:r>
              <w:rPr>
                <w:rFonts w:hint="eastAsia"/>
                <w:color w:val="auto"/>
                <w:szCs w:val="24"/>
                <w:highlight w:val="none"/>
              </w:rPr>
              <w:t>、吊顶高度：完成面以上净高不低于2.</w:t>
            </w:r>
            <w:r>
              <w:rPr>
                <w:color w:val="auto"/>
                <w:szCs w:val="24"/>
                <w:highlight w:val="none"/>
              </w:rPr>
              <w:t>5</w:t>
            </w:r>
            <w:r>
              <w:rPr>
                <w:rFonts w:hint="eastAsia"/>
                <w:color w:val="auto"/>
                <w:szCs w:val="24"/>
                <w:highlight w:val="none"/>
              </w:rPr>
              <w:t>米</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w:t>
            </w:r>
            <w:r>
              <w:rPr>
                <w:color w:val="auto"/>
                <w:szCs w:val="24"/>
                <w:highlight w:val="none"/>
              </w:rPr>
              <w:t>9</w:t>
            </w:r>
            <w:r>
              <w:rPr>
                <w:rFonts w:hint="eastAsia"/>
                <w:color w:val="auto"/>
                <w:szCs w:val="24"/>
                <w:highlight w:val="none"/>
              </w:rPr>
              <w:t>、侧板采用手工岩棉保温彩钢夹芯板，顶板采用单面玻镁岩棉手工板，四周龙骨封边，并设加强筋，彩钢夹芯板中间夹芯材料为岩棉，容重≥</w:t>
            </w:r>
            <w:r>
              <w:rPr>
                <w:color w:val="auto"/>
                <w:szCs w:val="24"/>
                <w:highlight w:val="none"/>
              </w:rPr>
              <w:t>125K</w:t>
            </w:r>
            <w:r>
              <w:rPr>
                <w:rFonts w:hint="eastAsia"/>
                <w:color w:val="auto"/>
                <w:szCs w:val="24"/>
                <w:highlight w:val="none"/>
              </w:rPr>
              <w:t>，厚度为50mm，内外层钢板厚度为不0</w:t>
            </w:r>
            <w:r>
              <w:rPr>
                <w:color w:val="auto"/>
                <w:szCs w:val="24"/>
                <w:highlight w:val="none"/>
              </w:rPr>
              <w:t>.476mm(</w:t>
            </w:r>
            <w:r>
              <w:rPr>
                <w:rFonts w:hint="eastAsia"/>
                <w:color w:val="auto"/>
                <w:szCs w:val="24"/>
                <w:highlight w:val="none"/>
              </w:rPr>
              <w:t>不含图层厚度</w:t>
            </w:r>
            <w:r>
              <w:rPr>
                <w:color w:val="auto"/>
                <w:szCs w:val="24"/>
                <w:highlight w:val="none"/>
              </w:rPr>
              <w:t>)</w:t>
            </w:r>
            <w:r>
              <w:rPr>
                <w:rFonts w:hint="eastAsia"/>
                <w:color w:val="auto"/>
                <w:szCs w:val="24"/>
                <w:highlight w:val="none"/>
              </w:rPr>
              <w:t>；隔墙板内填充材料燃烧等级为A级，且为无毒材料，在受热时不产生有害气体，推荐品牌：万鑫、永邦、神州；产品岩棉板须出具相关CMA检测报告。</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顶棚采用手工玻镁岩棉保温彩钢板承受负载≥150kg/m2；能够适应顶棚走人的情况；</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无磕碰划伤等缺陷，双面复膜，施工工程中复膜层必须保持完好，安装后，不扭曲、不变形,表面平整一致；</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产品玻镁岩棉板须出具相关CMA检测报告。</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1.1</w:t>
            </w:r>
            <w:r>
              <w:rPr>
                <w:color w:val="auto"/>
                <w:szCs w:val="24"/>
                <w:highlight w:val="none"/>
              </w:rPr>
              <w:t>0</w:t>
            </w:r>
            <w:r>
              <w:rPr>
                <w:rFonts w:hint="eastAsia"/>
                <w:color w:val="auto"/>
                <w:szCs w:val="24"/>
                <w:highlight w:val="none"/>
              </w:rPr>
              <w:t>、在彩钢板上所镶观察窗均为成品双面钢化玻璃观察窗，窗与彩钢板平齐，加干燥剂处理，密封性能具有保障。</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1.1</w:t>
            </w:r>
            <w:r>
              <w:rPr>
                <w:color w:val="auto"/>
                <w:szCs w:val="24"/>
                <w:highlight w:val="none"/>
              </w:rPr>
              <w:t>1</w:t>
            </w:r>
            <w:r>
              <w:rPr>
                <w:rFonts w:hint="eastAsia"/>
                <w:color w:val="auto"/>
                <w:szCs w:val="24"/>
                <w:highlight w:val="none"/>
              </w:rPr>
              <w:t>、彩钢板门扇：钢板门,钢板厚度不得低于1.0mm（不含烤漆层），门下带自动升降式扫地条，门框与彩钢板平齐，铰链选用专用洁净铰链（升降式），易于清洁。门把手选用304不锈钢L型把手或其他能避免交叉污染的类型。门上配锁。门上窗采用钢化玻璃观察窗，窗与门平齐，加干燥剂处理；平开密闭门框带密封胶条；</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1.1</w:t>
            </w:r>
            <w:r>
              <w:rPr>
                <w:color w:val="auto"/>
                <w:szCs w:val="24"/>
                <w:highlight w:val="none"/>
              </w:rPr>
              <w:t>2</w:t>
            </w:r>
            <w:r>
              <w:rPr>
                <w:rFonts w:hint="eastAsia"/>
                <w:color w:val="auto"/>
                <w:szCs w:val="24"/>
                <w:highlight w:val="none"/>
              </w:rPr>
              <w:t>、空调箱需符合国家标准《组合式空调机组 GB/T14294-2008》的各项要求。并具备无冷桥、高绝热运行、运行成本低性能。1000Pa标准工况下机组漏风率小于5‰，须提供国家质量监督检验中心等的第三方权威检测报告，推荐品牌：天加、维克、约克。</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风机电机组件装有减震和软连接装置，降低噪声。采用加拿大狮王、日本三星、德国欧皮特或同等品牌皮带。电机选用电机安装于风机段内，绝缘等级为F级。空调箱箱体：1、面板采用彩钢板（表面钢板厚度≥0.5mm），内板采用镀锌板（钢板厚度≥0.5mm），内底板采用镀锌板（钢板厚度≥0.7mm），夹板内充注聚氨脂发泡（聚氨脂容重≥48㎏/m3），外贴塑料薄膜保护，可承受风压高达2000Pa。风管采用优质镀锌钢板，推荐品牌：武钢、马钢、鞍钢。高效送风口，高效过滤器采用无隔板滤纸，过滤等级99%，推荐品牌：苏州佳洁、佳运通、翔峰。</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 xml:space="preserve">2、面板采用机械扣板锁紧方式，不得采用自攻螺钉和拉钉连接方式，要拆卸灵活方便。3、箱体的内部空间设计应充分考虑便宜于日常维护、检修，设备内外表面易于清洁。4、框架材料采用厚度大于2毫米的铝合金材料， </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5、检修门设计正负压门、应气密性好、不变形、开启灵活，检修门采用高强度塑钢门。其位置及尺寸应便于取出过滤器扩更换操作，并为相应工位的维护、检修留有足够的空间。</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1.1</w:t>
            </w:r>
            <w:r>
              <w:rPr>
                <w:color w:val="auto"/>
                <w:szCs w:val="24"/>
                <w:highlight w:val="none"/>
              </w:rPr>
              <w:t>3</w:t>
            </w:r>
            <w:r>
              <w:rPr>
                <w:rFonts w:hint="eastAsia"/>
                <w:color w:val="auto"/>
                <w:szCs w:val="24"/>
                <w:highlight w:val="none"/>
              </w:rPr>
              <w:t>、镀锌板材采用武钢或同档次生产，其厚度按国家《通风与空调工程及验收规范》(GB50243-2002)要求，要求表面耐腐蚀、不生锈、不产尘、不积尘；橡塑保温需满足B1级防火要求</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1.1</w:t>
            </w:r>
            <w:r>
              <w:rPr>
                <w:color w:val="auto"/>
                <w:szCs w:val="24"/>
                <w:highlight w:val="none"/>
              </w:rPr>
              <w:t>4</w:t>
            </w:r>
            <w:r>
              <w:rPr>
                <w:rFonts w:hint="eastAsia"/>
                <w:color w:val="auto"/>
                <w:szCs w:val="24"/>
                <w:highlight w:val="none"/>
              </w:rPr>
              <w:t>、高效过滤器过滤效率要求:滤纸采用优质玻璃纤维棉；高效过滤器：其中C级以下区域（含C级）选用的过滤效果为99.997%，</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1.1</w:t>
            </w:r>
            <w:r>
              <w:rPr>
                <w:color w:val="auto"/>
                <w:szCs w:val="24"/>
                <w:highlight w:val="none"/>
              </w:rPr>
              <w:t>5</w:t>
            </w:r>
            <w:r>
              <w:rPr>
                <w:rFonts w:hint="eastAsia"/>
                <w:color w:val="auto"/>
                <w:szCs w:val="24"/>
                <w:highlight w:val="none"/>
              </w:rPr>
              <w:t>、地面采用环氧自流坪，地面并做防静电处理，原有地面需打磨，强度要求：:基层细石混凝土免除的抗压强度要达到25Mpa以上，与涂料的黏结强度应大于1.5MPa，平整度要求：基层的平整度用2M长度靠尺检查，最大间隙不得超过2MM</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含水率和PH值：基层的含水率应小于4%，PH值小于9</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，表面质量：基层表面应无空鼓，开裂，坑洞，起壳和油污防水处理：底层无底下室的基层需要做防水，防潮处理</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防裂处理：地坪设分割缝以防止面积过大产生温差开裂，应力开裂等，颜色 蓝色 灰色 绿色，常用蓝色。推荐品牌正欧、金韩、西卡</w:t>
            </w:r>
          </w:p>
          <w:p>
            <w:pPr>
              <w:pStyle w:val="167"/>
              <w:adjustRightInd w:val="0"/>
              <w:snapToGrid w:val="0"/>
              <w:spacing w:line="240" w:lineRule="auto"/>
              <w:ind w:firstLine="0" w:firstLineChars="0"/>
              <w:jc w:val="left"/>
              <w:rPr>
                <w:color w:val="auto"/>
                <w:szCs w:val="24"/>
                <w:highlight w:val="none"/>
              </w:rPr>
            </w:pPr>
            <w:r>
              <w:rPr>
                <w:rFonts w:hint="eastAsia"/>
                <w:color w:val="auto"/>
                <w:szCs w:val="24"/>
                <w:highlight w:val="none"/>
              </w:rPr>
              <w:t>1</w:t>
            </w:r>
            <w:r>
              <w:rPr>
                <w:color w:val="auto"/>
                <w:szCs w:val="24"/>
                <w:highlight w:val="none"/>
              </w:rPr>
              <w:t>.16</w:t>
            </w:r>
            <w:r>
              <w:rPr>
                <w:rFonts w:hint="eastAsia"/>
                <w:color w:val="auto"/>
                <w:szCs w:val="24"/>
                <w:highlight w:val="none"/>
              </w:rPr>
              <w:t>、风淋室，规格：1200x1100x1850mm，推荐品牌：苏州佳洁、佳运通、翔峰</w:t>
            </w:r>
          </w:p>
          <w:p>
            <w:pPr>
              <w:pStyle w:val="167"/>
              <w:adjustRightInd w:val="0"/>
              <w:snapToGrid w:val="0"/>
              <w:spacing w:line="240" w:lineRule="auto"/>
              <w:ind w:firstLine="0" w:firstLineChars="0"/>
              <w:jc w:val="left"/>
              <w:rPr>
                <w:color w:val="auto"/>
                <w:szCs w:val="24"/>
                <w:highlight w:val="none"/>
              </w:rPr>
            </w:pPr>
            <w:bookmarkStart w:id="105" w:name="_GoBack"/>
            <w:bookmarkEnd w:id="105"/>
          </w:p>
        </w:tc>
      </w:tr>
    </w:tbl>
    <w:p>
      <w:pPr>
        <w:pStyle w:val="9"/>
        <w:ind w:firstLine="0"/>
        <w:rPr>
          <w:rFonts w:ascii="Arial" w:hAnsi="宋体" w:cs="Arial"/>
          <w:color w:val="auto"/>
          <w:kern w:val="0"/>
          <w:szCs w:val="21"/>
          <w:highlight w:val="none"/>
        </w:rPr>
      </w:pPr>
    </w:p>
    <w:p>
      <w:pPr>
        <w:pStyle w:val="9"/>
        <w:ind w:firstLine="0"/>
        <w:rPr>
          <w:rFonts w:ascii="Arial" w:hAnsi="宋体" w:cs="Arial"/>
          <w:color w:val="auto"/>
          <w:kern w:val="0"/>
          <w:szCs w:val="21"/>
          <w:highlight w:val="none"/>
        </w:rPr>
      </w:pPr>
    </w:p>
    <w:p>
      <w:pPr>
        <w:pStyle w:val="9"/>
        <w:ind w:firstLine="0"/>
        <w:rPr>
          <w:rFonts w:ascii="Arial" w:hAnsi="宋体" w:cs="Arial"/>
          <w:color w:val="auto"/>
          <w:kern w:val="0"/>
          <w:szCs w:val="21"/>
          <w:highlight w:val="none"/>
        </w:rPr>
      </w:pPr>
    </w:p>
    <w:tbl>
      <w:tblPr>
        <w:tblStyle w:val="39"/>
        <w:tblW w:w="9324" w:type="dxa"/>
        <w:tblInd w:w="0" w:type="dxa"/>
        <w:tblLayout w:type="fixed"/>
        <w:tblCellMar>
          <w:top w:w="0" w:type="dxa"/>
          <w:left w:w="0" w:type="dxa"/>
          <w:bottom w:w="0" w:type="dxa"/>
          <w:right w:w="0" w:type="dxa"/>
        </w:tblCellMar>
      </w:tblPr>
      <w:tblGrid>
        <w:gridCol w:w="509"/>
        <w:gridCol w:w="2489"/>
        <w:gridCol w:w="3149"/>
        <w:gridCol w:w="564"/>
        <w:gridCol w:w="894"/>
        <w:gridCol w:w="1719"/>
      </w:tblGrid>
      <w:tr>
        <w:tblPrEx>
          <w:tblLayout w:type="fixed"/>
          <w:tblCellMar>
            <w:top w:w="0" w:type="dxa"/>
            <w:left w:w="0" w:type="dxa"/>
            <w:bottom w:w="0" w:type="dxa"/>
            <w:right w:w="0" w:type="dxa"/>
          </w:tblCellMar>
        </w:tblPrEx>
        <w:trPr>
          <w:trHeight w:val="460" w:hRule="atLeast"/>
        </w:trPr>
        <w:tc>
          <w:tcPr>
            <w:tcW w:w="932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36"/>
                <w:szCs w:val="36"/>
                <w:highlight w:val="none"/>
              </w:rPr>
            </w:pPr>
            <w:r>
              <w:rPr>
                <w:rFonts w:hint="eastAsia" w:ascii="宋体" w:hAnsi="宋体" w:cs="宋体"/>
                <w:b/>
                <w:color w:val="auto"/>
                <w:kern w:val="0"/>
                <w:sz w:val="36"/>
                <w:szCs w:val="36"/>
                <w:highlight w:val="none"/>
                <w:lang w:bidi="ar"/>
              </w:rPr>
              <w:t>超净室清单</w:t>
            </w:r>
          </w:p>
        </w:tc>
      </w:tr>
      <w:tr>
        <w:tblPrEx>
          <w:tblLayout w:type="fixed"/>
          <w:tblCellMar>
            <w:top w:w="0" w:type="dxa"/>
            <w:left w:w="0" w:type="dxa"/>
            <w:bottom w:w="0" w:type="dxa"/>
            <w:right w:w="0" w:type="dxa"/>
          </w:tblCellMar>
        </w:tblPrEx>
        <w:trPr>
          <w:trHeight w:val="285"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序号</w:t>
            </w:r>
          </w:p>
        </w:tc>
        <w:tc>
          <w:tcPr>
            <w:tcW w:w="24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项目名称</w:t>
            </w:r>
          </w:p>
        </w:tc>
        <w:tc>
          <w:tcPr>
            <w:tcW w:w="31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项目特征描述</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单位</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数量</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推荐品牌</w:t>
            </w:r>
          </w:p>
        </w:tc>
      </w:tr>
      <w:tr>
        <w:tblPrEx>
          <w:tblLayout w:type="fixed"/>
          <w:tblCellMar>
            <w:top w:w="0" w:type="dxa"/>
            <w:left w:w="0" w:type="dxa"/>
            <w:bottom w:w="0" w:type="dxa"/>
            <w:right w:w="0" w:type="dxa"/>
          </w:tblCellMar>
        </w:tblPrEx>
        <w:trPr>
          <w:trHeight w:val="285"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24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31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一</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地面工程</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r>
      <w:tr>
        <w:tblPrEx>
          <w:tblLayout w:type="fixed"/>
          <w:tblCellMar>
            <w:top w:w="0" w:type="dxa"/>
            <w:left w:w="0" w:type="dxa"/>
            <w:bottom w:w="0" w:type="dxa"/>
            <w:right w:w="0" w:type="dxa"/>
          </w:tblCellMar>
        </w:tblPrEx>
        <w:trPr>
          <w:trHeight w:val="7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地面打磨处理、清理</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1.名称：地面打磨处理、清理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359.00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p>
        </w:tc>
      </w:tr>
      <w:tr>
        <w:tblPrEx>
          <w:tblLayout w:type="fixed"/>
          <w:tblCellMar>
            <w:top w:w="0" w:type="dxa"/>
            <w:left w:w="0" w:type="dxa"/>
            <w:bottom w:w="0" w:type="dxa"/>
            <w:right w:w="0"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防静电环氧树脂底漆（滚涂）</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1.名称：防静电环氧树脂底漆（滚涂）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359.00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正欧、金韩、西卡</w:t>
            </w:r>
          </w:p>
        </w:tc>
      </w:tr>
      <w:tr>
        <w:tblPrEx>
          <w:tblLayout w:type="fixed"/>
          <w:tblCellMar>
            <w:top w:w="0" w:type="dxa"/>
            <w:left w:w="0" w:type="dxa"/>
            <w:bottom w:w="0" w:type="dxa"/>
            <w:right w:w="0" w:type="dxa"/>
          </w:tblCellMar>
        </w:tblPrEx>
        <w:trPr>
          <w:trHeight w:val="7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防静电砂浆中涂</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1.名称：防静电砂浆中涂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359.00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正欧、金韩、西卡</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防静电铜网层</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1.名称：防静电铜网层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359.00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防静电腻子层</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1.名称：防静电腻子层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359.00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环氧地坪漆</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1.名称：环氧地坪漆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359.00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正欧、金韩、西卡</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二</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墙、柱面工程</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r>
      <w:tr>
        <w:tblPrEx>
          <w:tblLayout w:type="fixed"/>
          <w:tblCellMar>
            <w:top w:w="0" w:type="dxa"/>
            <w:left w:w="0" w:type="dxa"/>
            <w:bottom w:w="0" w:type="dxa"/>
            <w:right w:w="0" w:type="dxa"/>
          </w:tblCellMar>
        </w:tblPrEx>
        <w:trPr>
          <w:trHeight w:val="8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高分子钢板保温墙面</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1.高分子钢板保温墙面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2.规格：50mm 手工岩棉板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605.00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万鑫、永邦、鑫源</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密封胶缝隙填充</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1.名称：密封胶缝隙填充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605.00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p>
        </w:tc>
      </w:tr>
      <w:tr>
        <w:tblPrEx>
          <w:tblLayout w:type="fixed"/>
          <w:tblCellMar>
            <w:top w:w="0" w:type="dxa"/>
            <w:left w:w="0" w:type="dxa"/>
            <w:bottom w:w="0" w:type="dxa"/>
            <w:right w:w="0"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铝合金槽铝</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1.名称：铝合金槽铝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2.规格：1.2mm厚  6m/根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605.00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华联、伟盛、吉顺</w:t>
            </w:r>
          </w:p>
        </w:tc>
      </w:tr>
      <w:tr>
        <w:tblPrEx>
          <w:tblLayout w:type="fixed"/>
          <w:tblCellMar>
            <w:top w:w="0" w:type="dxa"/>
            <w:left w:w="0" w:type="dxa"/>
            <w:bottom w:w="0" w:type="dxa"/>
            <w:right w:w="0"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铝合金阴圆角装饰</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1.名称：铝合金阴圆角装饰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2.规格：R50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680.00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华联、伟盛、吉顺</w:t>
            </w:r>
          </w:p>
        </w:tc>
      </w:tr>
      <w:tr>
        <w:tblPrEx>
          <w:tblLayout w:type="fixed"/>
          <w:tblCellMar>
            <w:top w:w="0" w:type="dxa"/>
            <w:left w:w="0" w:type="dxa"/>
            <w:bottom w:w="0" w:type="dxa"/>
            <w:right w:w="0"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铝合金阴圆角底座</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1.名称：铝合金阴圆角底座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2.规格：R50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680.00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外圆柱包角</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1.名称：外圆柱包角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2.规格：R50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78.00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华联、伟盛、吉顺</w:t>
            </w:r>
          </w:p>
        </w:tc>
      </w:tr>
      <w:tr>
        <w:tblPrEx>
          <w:tblLayout w:type="fixed"/>
          <w:tblCellMar>
            <w:top w:w="0" w:type="dxa"/>
            <w:left w:w="0" w:type="dxa"/>
            <w:bottom w:w="0" w:type="dxa"/>
            <w:right w:w="0" w:type="dxa"/>
          </w:tblCellMar>
        </w:tblPrEx>
        <w:trPr>
          <w:trHeight w:val="8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铝合金二通</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1.名称：铝合金二通</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2.规格：R50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片</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华联、伟盛、吉顺</w:t>
            </w:r>
          </w:p>
        </w:tc>
      </w:tr>
      <w:tr>
        <w:tblPrEx>
          <w:tblLayout w:type="fixed"/>
          <w:tblCellMar>
            <w:top w:w="0" w:type="dxa"/>
            <w:left w:w="0" w:type="dxa"/>
            <w:bottom w:w="0" w:type="dxa"/>
            <w:right w:w="0"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门封头</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1.名称：门封头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2.规格：R50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华联、伟盛、吉顺</w:t>
            </w:r>
          </w:p>
        </w:tc>
      </w:tr>
      <w:tr>
        <w:tblPrEx>
          <w:tblLayout w:type="fixed"/>
          <w:tblCellMar>
            <w:top w:w="0" w:type="dxa"/>
            <w:left w:w="0" w:type="dxa"/>
            <w:bottom w:w="0" w:type="dxa"/>
            <w:right w:w="0" w:type="dxa"/>
          </w:tblCellMar>
        </w:tblPrEx>
        <w:trPr>
          <w:trHeight w:val="4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墙面开洞</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墙面开洞通风口             </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墙面开洞</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墙面开洞回风口        </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p>
        </w:tc>
      </w:tr>
      <w:tr>
        <w:tblPrEx>
          <w:tblLayout w:type="fixed"/>
          <w:tblCellMar>
            <w:top w:w="0" w:type="dxa"/>
            <w:left w:w="0" w:type="dxa"/>
            <w:bottom w:w="0" w:type="dxa"/>
            <w:right w:w="0" w:type="dxa"/>
          </w:tblCellMar>
        </w:tblPrEx>
        <w:trPr>
          <w:trHeight w:val="4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地基底座</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1.5*2.0米，厚度不低于15cm.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三</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天棚工程</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r>
      <w:tr>
        <w:tblPrEx>
          <w:tblLayout w:type="fixed"/>
          <w:tblCellMar>
            <w:top w:w="0" w:type="dxa"/>
            <w:left w:w="0" w:type="dxa"/>
            <w:bottom w:w="0" w:type="dxa"/>
            <w:right w:w="0" w:type="dxa"/>
          </w:tblCellMar>
        </w:tblPrEx>
        <w:trPr>
          <w:trHeight w:val="11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高分子钢板保温层</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1.名称：高分子钢板保温层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2.规格、材质：50mm 手工单玻镁岩棉夹心彩钢板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246.00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万鑫、永邦、鑫源</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普通实验室吊顶</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1.名称：铝扣板吊顶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2.规格、材质：600x600x1.0mm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83.25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2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天棚吊筋</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1.名称：天棚吊筋       </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329.25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2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吊顶龙骨</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1.名称：天棚吊顶龙骨</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83.25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8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中字铝材</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1.名称：中字铝T梁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2.规格：6m/根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72.00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华联、伟盛、吉顺</w:t>
            </w:r>
          </w:p>
        </w:tc>
      </w:tr>
      <w:tr>
        <w:tblPrEx>
          <w:tblLayout w:type="fixed"/>
          <w:tblCellMar>
            <w:top w:w="0" w:type="dxa"/>
            <w:left w:w="0" w:type="dxa"/>
            <w:bottom w:w="0" w:type="dxa"/>
            <w:right w:w="0"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密封胶</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1.名称：密封胶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2.规格：中性耐候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3.洁净室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246.00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四</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门窗工程</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r>
      <w:tr>
        <w:tblPrEx>
          <w:tblLayout w:type="fixed"/>
          <w:tblCellMar>
            <w:top w:w="0" w:type="dxa"/>
            <w:left w:w="0" w:type="dxa"/>
            <w:bottom w:w="0" w:type="dxa"/>
            <w:right w:w="0" w:type="dxa"/>
          </w:tblCellMar>
        </w:tblPrEx>
        <w:trPr>
          <w:trHeight w:val="8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钢制净化成品门</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1.名称：钢制净化成品门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2.规格：900*2100mm 含门锁、门把手、铰链等</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樘</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龙峻、林森、、协多利</w:t>
            </w:r>
          </w:p>
        </w:tc>
      </w:tr>
      <w:tr>
        <w:tblPrEx>
          <w:tblLayout w:type="fixed"/>
          <w:tblCellMar>
            <w:top w:w="0" w:type="dxa"/>
            <w:left w:w="0" w:type="dxa"/>
            <w:bottom w:w="0" w:type="dxa"/>
            <w:right w:w="0"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钢制净化成品门</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1.名称：钢制净化成品门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2.规格：1500*2100mm 含门锁、门把手、铰链等</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樘</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龙峻、林森、、协多利</w:t>
            </w:r>
          </w:p>
        </w:tc>
      </w:tr>
      <w:tr>
        <w:tblPrEx>
          <w:tblLayout w:type="fixed"/>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成品洁净观察窗</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1.名称：成品洁净观察窗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2.规格：3000X900mm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定制</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成品洁净观察窗</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1.名称：成品洁净观察窗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2.规格：2800*900mm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定制</w:t>
            </w:r>
          </w:p>
        </w:tc>
      </w:tr>
      <w:tr>
        <w:tblPrEx>
          <w:tblLayout w:type="fixed"/>
          <w:tblCellMar>
            <w:top w:w="0" w:type="dxa"/>
            <w:left w:w="0" w:type="dxa"/>
            <w:bottom w:w="0" w:type="dxa"/>
            <w:right w:w="0" w:type="dxa"/>
          </w:tblCellMar>
        </w:tblPrEx>
        <w:trPr>
          <w:trHeight w:val="6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原有门拆除</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1.规格为1500*2100mm的原有门拆除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樘</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定制</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洁净观察窗</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1.规格为1500*900mm的</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定制</w:t>
            </w:r>
          </w:p>
        </w:tc>
      </w:tr>
      <w:tr>
        <w:tblPrEx>
          <w:tblLayout w:type="fixed"/>
          <w:tblCellMar>
            <w:top w:w="0" w:type="dxa"/>
            <w:left w:w="0" w:type="dxa"/>
            <w:bottom w:w="0" w:type="dxa"/>
            <w:right w:w="0" w:type="dxa"/>
          </w:tblCellMar>
        </w:tblPrEx>
        <w:trPr>
          <w:trHeight w:val="8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遮光窗帘</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1.名称：洁净室遮光窗帘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w:t>
            </w:r>
            <w:r>
              <w:rPr>
                <w:rFonts w:ascii="宋体" w:hAnsi="宋体" w:cs="宋体"/>
                <w:color w:val="auto"/>
                <w:kern w:val="0"/>
                <w:sz w:val="20"/>
                <w:szCs w:val="20"/>
                <w:highlight w:val="none"/>
                <w:lang w:bidi="ar"/>
              </w:rPr>
              <w:t>8</w:t>
            </w:r>
            <w:r>
              <w:rPr>
                <w:rFonts w:hint="eastAsia" w:ascii="宋体" w:hAnsi="宋体" w:cs="宋体"/>
                <w:color w:val="auto"/>
                <w:kern w:val="0"/>
                <w:sz w:val="20"/>
                <w:szCs w:val="20"/>
                <w:highlight w:val="none"/>
                <w:lang w:bidi="ar"/>
              </w:rPr>
              <w:t>00*</w:t>
            </w:r>
            <w:r>
              <w:rPr>
                <w:rFonts w:ascii="宋体" w:hAnsi="宋体" w:cs="宋体"/>
                <w:color w:val="auto"/>
                <w:kern w:val="0"/>
                <w:sz w:val="20"/>
                <w:szCs w:val="20"/>
                <w:highlight w:val="none"/>
                <w:lang w:bidi="ar"/>
              </w:rPr>
              <w:t>12</w:t>
            </w:r>
            <w:r>
              <w:rPr>
                <w:rFonts w:hint="eastAsia" w:ascii="宋体" w:hAnsi="宋体" w:cs="宋体"/>
                <w:color w:val="auto"/>
                <w:kern w:val="0"/>
                <w:sz w:val="20"/>
                <w:szCs w:val="20"/>
                <w:highlight w:val="none"/>
                <w:lang w:bidi="ar"/>
              </w:rPr>
              <w:t>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m2</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33.00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定制</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成品风淋室</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1.名称：不锈钢成品风淋室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2.规格：1200x1100x1850mm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苏州佳洁、佳运通、鑫源</w:t>
            </w:r>
          </w:p>
        </w:tc>
      </w:tr>
      <w:tr>
        <w:tblPrEx>
          <w:tblLayout w:type="fixed"/>
          <w:tblCellMar>
            <w:top w:w="0" w:type="dxa"/>
            <w:left w:w="0" w:type="dxa"/>
            <w:bottom w:w="0" w:type="dxa"/>
            <w:right w:w="0" w:type="dxa"/>
          </w:tblCellMar>
        </w:tblPrEx>
        <w:trPr>
          <w:trHeight w:val="5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压差计</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1.名称：压差计 含底盒</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2.规格：0-60Pa</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9.00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hint="default"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德威尔</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天恩</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鑫源</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五</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空调、新风工程</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r>
      <w:tr>
        <w:tblPrEx>
          <w:tblLayout w:type="fixed"/>
          <w:tblCellMar>
            <w:top w:w="0" w:type="dxa"/>
            <w:left w:w="0" w:type="dxa"/>
            <w:bottom w:w="0" w:type="dxa"/>
            <w:right w:w="0" w:type="dxa"/>
          </w:tblCellMar>
        </w:tblPrEx>
        <w:trPr>
          <w:trHeight w:val="13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实验室直膨机组一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吊顶式带初中效过滤风机箱（带冷源）制冷量12.1kW，风量2400m³/h，机外静压500Pa，加热量8kW，加湿量5kg/h,带初中效过滤F8</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天加、维克、约克</w:t>
            </w:r>
          </w:p>
        </w:tc>
      </w:tr>
      <w:tr>
        <w:tblPrEx>
          <w:tblLayout w:type="fixed"/>
          <w:tblCellMar>
            <w:top w:w="0" w:type="dxa"/>
            <w:left w:w="0" w:type="dxa"/>
            <w:bottom w:w="0" w:type="dxa"/>
            <w:right w:w="0" w:type="dxa"/>
          </w:tblCellMar>
        </w:tblPrEx>
        <w:trPr>
          <w:trHeight w:val="10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实验室直膨机组二</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落地式（带冷源）制冷量30kW，风量6000m³/h，机外静压700Pa，加热量24kW，加湿量15kg/h,带初中效过滤F8</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天加、维克、约克</w:t>
            </w:r>
          </w:p>
        </w:tc>
      </w:tr>
      <w:tr>
        <w:tblPrEx>
          <w:tblLayout w:type="fixed"/>
          <w:tblCellMar>
            <w:top w:w="0" w:type="dxa"/>
            <w:left w:w="0" w:type="dxa"/>
            <w:bottom w:w="0" w:type="dxa"/>
            <w:right w:w="0" w:type="dxa"/>
          </w:tblCellMar>
        </w:tblPrEx>
        <w:trPr>
          <w:trHeight w:val="13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实验室直膨机组三</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落地式（带冷源）制冷量52kW，风量15000m³/h，一次回风10000m³/h，二次回风5000m³/h，机外静压700Pa，加热量32kW，加湿量15kg/h,带初中效过滤F9</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天加、维克、约克</w:t>
            </w:r>
          </w:p>
        </w:tc>
      </w:tr>
      <w:tr>
        <w:tblPrEx>
          <w:tblLayout w:type="fixed"/>
          <w:tblCellMar>
            <w:top w:w="0" w:type="dxa"/>
            <w:left w:w="0" w:type="dxa"/>
            <w:bottom w:w="0" w:type="dxa"/>
            <w:right w:w="0" w:type="dxa"/>
          </w:tblCellMar>
        </w:tblPrEx>
        <w:trPr>
          <w:trHeight w:val="10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机组基础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1.名称：机组基础</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2.室外机混凝土基础高度150mm，室内机安装基础高度150mm,机组安装吊件</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天加、维克、约克</w:t>
            </w:r>
          </w:p>
        </w:tc>
      </w:tr>
      <w:tr>
        <w:tblPrEx>
          <w:tblLayout w:type="fixed"/>
          <w:tblCellMar>
            <w:top w:w="0" w:type="dxa"/>
            <w:left w:w="0" w:type="dxa"/>
            <w:bottom w:w="0" w:type="dxa"/>
            <w:right w:w="0" w:type="dxa"/>
          </w:tblCellMar>
        </w:tblPrEx>
        <w:trPr>
          <w:trHeight w:val="3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铜管及辅料、配件</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1.名称：铜管及辅料、配件</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7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机组减震</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1.名称：机组减震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2.机组减震器</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六</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风管及配件工程</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软连接</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1.名称：软连接</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6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送风静压箱</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1.名称：送风静压箱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2.规格：1500*1200*1000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回风静压箱</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1.名称：回风静压箱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2.规格：1400*1200*1000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7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送风静压箱</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1.名称：送风静压箱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2.规格：1000*1200*1000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回风静压箱</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1.名称：回风静压箱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2.规格：1000*1200*1000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6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防火阀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1.名称：70℃常开防火阀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2.规格：500mm*200mm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勇士、舒尔乐、盈达</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防火阀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1.名称：70℃常开防火阀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2.规格：1250mm*500mm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勇士、舒尔乐、盈达</w:t>
            </w:r>
          </w:p>
        </w:tc>
      </w:tr>
      <w:tr>
        <w:tblPrEx>
          <w:tblLayout w:type="fixed"/>
          <w:tblCellMar>
            <w:top w:w="0" w:type="dxa"/>
            <w:left w:w="0" w:type="dxa"/>
            <w:bottom w:w="0" w:type="dxa"/>
            <w:right w:w="0" w:type="dxa"/>
          </w:tblCellMar>
        </w:tblPrEx>
        <w:trPr>
          <w:trHeight w:val="7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防火阀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1.名称：70℃常开防火阀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2.规格：800mm*400mm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勇士、舒尔乐、盈达</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高效送风口</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1.名称：高效送风口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2.规格：1500m3*h</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16.00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苏州佳洁、佳运通、美维尔</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高效送风口</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1.名称：高效送风口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2.规格：1000m3/h</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13.00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苏州佳洁、佳运通、美维尔</w:t>
            </w:r>
          </w:p>
        </w:tc>
      </w:tr>
      <w:tr>
        <w:tblPrEx>
          <w:tblLayout w:type="fixed"/>
          <w:tblCellMar>
            <w:top w:w="0" w:type="dxa"/>
            <w:left w:w="0" w:type="dxa"/>
            <w:bottom w:w="0" w:type="dxa"/>
            <w:right w:w="0" w:type="dxa"/>
          </w:tblCellMar>
        </w:tblPrEx>
        <w:trPr>
          <w:trHeight w:val="6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高效送风口</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1.名称：高效送风口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2.规格：500m3/h</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苏州佳洁、佳运通、美维尔</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双层百叶回风口带初效可调节</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1.名称：百叶回风口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2.规格：150*200mm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7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双层百叶回风口带初效可调节</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1.名称：百叶回风口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2.规格：200*400mm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双层百叶回风口带初效可调节</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1.名称：百叶回风口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2.规格：200*400mm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7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双层百叶回风口 </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1.名称：百叶回风口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2.规格：100*100mm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双层百叶回风口带初效可调节</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1.名称：百叶回风口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2.规格：450*550mm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8.00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6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双层百叶回风口带初效可调节</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1.名称：百叶回风口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2.规格：300*500mm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新风防雨百叶带防虫网</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1.名称：防雨百叶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2.规格：600mm*350mm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7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新风防雨百叶带防虫网</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1.名称：防雨百叶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2.规格：200mm*200mm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手动调节阀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1.名称：手动对开多叶调节阀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2.规格：100mm*100mm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6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手动调节阀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1.名称：手动对开多叶调节阀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2.规格：120mm*120mm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手动调节阀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1.名称：手动对开多叶调节阀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 200mm*200mm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8.00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8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手动调节阀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1.名称：手动对开多叶调节阀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 250mm*250mm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21</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手动调节阀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1.名称：手动对开多叶调节阀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 320mm*200mm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16.00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手动调节阀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1.名称：手动对开多叶调节阀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 320mm*250mm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手动调节阀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1.名称：手动对开多叶调节阀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 500*200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8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手动调节阀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1.名称：手动对开多叶调节阀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 500*250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手动调节阀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1.名称：手动对开多叶调节阀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2.规格：100mm*100mm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9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手动调节阀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1.名称：手动对开多叶调节阀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2.规格：120mm*120mm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27</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手动调节阀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1.名称：手动对开多叶调节阀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2.规格：800mm*320mm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8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28</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手动调节阀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1.名称：手动对开多叶调节阀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2.规格：800mm*400mm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29</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手动调节阀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1.名称：手动对开多叶调节阀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2.规格：400mm*200mm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8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手动调节阀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1.名称：手动对开多叶调节阀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2.规格：1250mm*500mm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豪辉、舒尔乐、盈达</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31</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风管含法兰</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1.名称：镀锌钢板风道 板厚 1.0mm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165.00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32</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风管含法兰</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1.名称：镀锌钢板风道 板厚 0.75mm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18"/>
                <w:szCs w:val="18"/>
                <w:highlight w:val="none"/>
              </w:rPr>
            </w:pPr>
            <w:r>
              <w:rPr>
                <w:rStyle w:val="174"/>
                <w:rFonts w:hint="default"/>
                <w:color w:val="auto"/>
                <w:highlight w:val="none"/>
                <w:lang w:bidi="ar"/>
              </w:rPr>
              <w:t>m</w:t>
            </w:r>
            <w:r>
              <w:rPr>
                <w:rStyle w:val="175"/>
                <w:rFonts w:hint="default"/>
                <w:color w:val="auto"/>
                <w:highlight w:val="none"/>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220.00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国产优质</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33</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风管含法兰</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1.名称：镀锌钢板风道 板厚 0.6mm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r>
              <w:rPr>
                <w:rStyle w:val="173"/>
                <w:rFonts w:hint="default"/>
                <w:color w:val="auto"/>
                <w:highlight w:val="none"/>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136.00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34</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橡塑保温25mm厚</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橡塑保温25mm厚</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346.00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华美</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安装吊件</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1.名称：安装吊件</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1500.00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36</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除锈刷漆</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面漆两道/红丹防锈漆</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KG</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150.00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七</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电气工程</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r>
      <w:tr>
        <w:tblPrEx>
          <w:tblLayout w:type="fixed"/>
          <w:tblCellMar>
            <w:top w:w="0" w:type="dxa"/>
            <w:left w:w="0" w:type="dxa"/>
            <w:bottom w:w="0" w:type="dxa"/>
            <w:right w:w="0" w:type="dxa"/>
          </w:tblCellMar>
        </w:tblPrEx>
        <w:trPr>
          <w:trHeight w:val="6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实验室配电箱制作安装180kW</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1.名称：配电箱制作安装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2.明装，下沿距地1.5m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ascii="宋体" w:hAnsi="宋体" w:cs="宋体"/>
                <w:color w:val="auto"/>
                <w:kern w:val="0"/>
                <w:sz w:val="20"/>
                <w:szCs w:val="20"/>
                <w:highlight w:val="none"/>
                <w:lang w:bidi="ar"/>
              </w:rPr>
              <w:t>2</w:t>
            </w:r>
            <w:r>
              <w:rPr>
                <w:rFonts w:hint="eastAsia" w:ascii="宋体" w:hAnsi="宋体" w:cs="宋体"/>
                <w:color w:val="auto"/>
                <w:kern w:val="0"/>
                <w:sz w:val="20"/>
                <w:szCs w:val="20"/>
                <w:highlight w:val="none"/>
                <w:lang w:bidi="ar"/>
              </w:rPr>
              <w:t xml:space="preserve">.00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hint="default" w:ascii="宋体" w:hAnsi="宋体" w:eastAsia="宋体" w:cs="宋体"/>
                <w:color w:val="auto"/>
                <w:sz w:val="20"/>
                <w:szCs w:val="20"/>
                <w:highlight w:val="none"/>
                <w:lang w:val="en-US" w:eastAsia="zh-CN"/>
              </w:rPr>
            </w:pPr>
            <w:r>
              <w:rPr>
                <w:rFonts w:hint="eastAsia" w:ascii="宋体" w:hAnsi="宋体" w:cs="宋体"/>
                <w:color w:val="auto"/>
                <w:kern w:val="0"/>
                <w:sz w:val="20"/>
                <w:szCs w:val="20"/>
                <w:highlight w:val="none"/>
                <w:lang w:bidi="ar"/>
              </w:rPr>
              <w:t>施耐德、ABB</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GE</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实验室配电箱制作安装80kW</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1.名称：配电箱制作安装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2.明装，下沿距地1.6m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ascii="宋体" w:hAnsi="宋体" w:cs="宋体"/>
                <w:color w:val="auto"/>
                <w:kern w:val="0"/>
                <w:sz w:val="20"/>
                <w:szCs w:val="20"/>
                <w:highlight w:val="none"/>
                <w:lang w:bidi="ar"/>
              </w:rPr>
              <w:t>1</w:t>
            </w:r>
            <w:r>
              <w:rPr>
                <w:rFonts w:hint="eastAsia" w:ascii="宋体" w:hAnsi="宋体" w:cs="宋体"/>
                <w:color w:val="auto"/>
                <w:kern w:val="0"/>
                <w:sz w:val="20"/>
                <w:szCs w:val="20"/>
                <w:highlight w:val="none"/>
                <w:lang w:bidi="ar"/>
              </w:rPr>
              <w:t xml:space="preserve">.00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施耐德、ABB</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GE</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控制箱</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15kW；接线规格4*10+1*6</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施耐德、ABB</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val="en-US" w:eastAsia="zh-CN" w:bidi="ar"/>
              </w:rPr>
              <w:t>GE</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应急装置</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1.名称：应急装置40W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2.应急时间30min</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盏</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16.00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鼎佳、舒轩光电、晨峰</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LED平板灯</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1.名称：LED洁净平板灯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2.规格：1200x300 LED平板灯,40W</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盏</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鼎佳、舒轩光电、晨峰</w:t>
            </w:r>
          </w:p>
        </w:tc>
      </w:tr>
      <w:tr>
        <w:tblPrEx>
          <w:tblLayout w:type="fixed"/>
          <w:tblCellMar>
            <w:top w:w="0" w:type="dxa"/>
            <w:left w:w="0" w:type="dxa"/>
            <w:bottom w:w="0" w:type="dxa"/>
            <w:right w:w="0" w:type="dxa"/>
          </w:tblCellMar>
        </w:tblPrEx>
        <w:trPr>
          <w:trHeight w:val="5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LED平板灯</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1.名称：LED洁净平板灯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2.规格：600x300 LED平板灯,20W</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盏</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鼎佳、舒轩光电、晨峰</w:t>
            </w:r>
          </w:p>
        </w:tc>
      </w:tr>
      <w:tr>
        <w:tblPrEx>
          <w:tblLayout w:type="fixed"/>
          <w:tblCellMar>
            <w:top w:w="0" w:type="dxa"/>
            <w:left w:w="0" w:type="dxa"/>
            <w:bottom w:w="0" w:type="dxa"/>
            <w:right w:w="0" w:type="dxa"/>
          </w:tblCellMar>
        </w:tblPrEx>
        <w:trPr>
          <w:trHeight w:val="4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LED平板灯</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1.名称：LED洁净平板灯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2.规格：600x600 LED平板灯,40W</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盏</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欧普、佛山、晨峰</w:t>
            </w:r>
          </w:p>
        </w:tc>
      </w:tr>
      <w:tr>
        <w:tblPrEx>
          <w:tblLayout w:type="fixed"/>
          <w:tblCellMar>
            <w:top w:w="0" w:type="dxa"/>
            <w:left w:w="0" w:type="dxa"/>
            <w:bottom w:w="0" w:type="dxa"/>
            <w:right w:w="0" w:type="dxa"/>
          </w:tblCellMar>
        </w:tblPrEx>
        <w:trPr>
          <w:trHeight w:val="3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小电器开关单联单控</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1.名称：跷板式单联单控</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施耐德、</w:t>
            </w:r>
            <w:r>
              <w:rPr>
                <w:rFonts w:hint="eastAsia" w:ascii="宋体" w:hAnsi="宋体" w:cs="宋体"/>
                <w:color w:val="auto"/>
                <w:kern w:val="0"/>
                <w:sz w:val="20"/>
                <w:szCs w:val="20"/>
                <w:highlight w:val="none"/>
                <w:lang w:eastAsia="zh-CN" w:bidi="ar"/>
              </w:rPr>
              <w:t>GE</w:t>
            </w:r>
            <w:r>
              <w:rPr>
                <w:rFonts w:hint="eastAsia" w:ascii="宋体" w:hAnsi="宋体" w:cs="宋体"/>
                <w:color w:val="auto"/>
                <w:kern w:val="0"/>
                <w:sz w:val="20"/>
                <w:szCs w:val="20"/>
                <w:highlight w:val="none"/>
                <w:lang w:bidi="ar"/>
              </w:rPr>
              <w:t>、ABB</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小电器开关双联单控</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2.名称：跷板式双联单控</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施耐德、</w:t>
            </w:r>
            <w:r>
              <w:rPr>
                <w:rFonts w:hint="eastAsia" w:ascii="宋体" w:hAnsi="宋体" w:cs="宋体"/>
                <w:color w:val="auto"/>
                <w:kern w:val="0"/>
                <w:sz w:val="20"/>
                <w:szCs w:val="20"/>
                <w:highlight w:val="none"/>
                <w:lang w:eastAsia="zh-CN" w:bidi="ar"/>
              </w:rPr>
              <w:t>GE</w:t>
            </w:r>
            <w:r>
              <w:rPr>
                <w:rFonts w:hint="eastAsia" w:ascii="宋体" w:hAnsi="宋体" w:cs="宋体"/>
                <w:color w:val="auto"/>
                <w:kern w:val="0"/>
                <w:sz w:val="20"/>
                <w:szCs w:val="20"/>
                <w:highlight w:val="none"/>
                <w:lang w:bidi="ar"/>
              </w:rPr>
              <w:t>、ABB</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小电器开关三联单控</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3.名称：跷板式三联单控</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施耐德、</w:t>
            </w:r>
            <w:r>
              <w:rPr>
                <w:rFonts w:hint="eastAsia" w:ascii="宋体" w:hAnsi="宋体" w:cs="宋体"/>
                <w:color w:val="auto"/>
                <w:kern w:val="0"/>
                <w:sz w:val="20"/>
                <w:szCs w:val="20"/>
                <w:highlight w:val="none"/>
                <w:lang w:eastAsia="zh-CN" w:bidi="ar"/>
              </w:rPr>
              <w:t>GE</w:t>
            </w:r>
            <w:r>
              <w:rPr>
                <w:rFonts w:hint="eastAsia" w:ascii="宋体" w:hAnsi="宋体" w:cs="宋体"/>
                <w:color w:val="auto"/>
                <w:kern w:val="0"/>
                <w:sz w:val="20"/>
                <w:szCs w:val="20"/>
                <w:highlight w:val="none"/>
                <w:lang w:bidi="ar"/>
              </w:rPr>
              <w:t>、ABB</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小电器开关四联单控</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4.名称：跷板式四联单控</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施耐德、</w:t>
            </w:r>
            <w:r>
              <w:rPr>
                <w:rFonts w:hint="eastAsia" w:ascii="宋体" w:hAnsi="宋体" w:cs="宋体"/>
                <w:color w:val="auto"/>
                <w:kern w:val="0"/>
                <w:sz w:val="20"/>
                <w:szCs w:val="20"/>
                <w:highlight w:val="none"/>
                <w:lang w:eastAsia="zh-CN" w:bidi="ar"/>
              </w:rPr>
              <w:t>GE</w:t>
            </w:r>
            <w:r>
              <w:rPr>
                <w:rFonts w:hint="eastAsia" w:ascii="宋体" w:hAnsi="宋体" w:cs="宋体"/>
                <w:color w:val="auto"/>
                <w:kern w:val="0"/>
                <w:sz w:val="20"/>
                <w:szCs w:val="20"/>
                <w:highlight w:val="none"/>
                <w:lang w:bidi="ar"/>
              </w:rPr>
              <w:t>、ABB</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三相孔插座</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1.名称：16A</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施耐德、</w:t>
            </w:r>
            <w:r>
              <w:rPr>
                <w:rFonts w:hint="eastAsia" w:ascii="宋体" w:hAnsi="宋体" w:cs="宋体"/>
                <w:color w:val="auto"/>
                <w:kern w:val="0"/>
                <w:sz w:val="20"/>
                <w:szCs w:val="20"/>
                <w:highlight w:val="none"/>
                <w:lang w:eastAsia="zh-CN" w:bidi="ar"/>
              </w:rPr>
              <w:t>GE</w:t>
            </w:r>
            <w:r>
              <w:rPr>
                <w:rFonts w:hint="eastAsia" w:ascii="宋体" w:hAnsi="宋体" w:cs="宋体"/>
                <w:color w:val="auto"/>
                <w:kern w:val="0"/>
                <w:sz w:val="20"/>
                <w:szCs w:val="20"/>
                <w:highlight w:val="none"/>
                <w:lang w:bidi="ar"/>
              </w:rPr>
              <w:t>、ABB</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单相五孔插座</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1.名称：10A</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58.00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施耐德、</w:t>
            </w:r>
            <w:r>
              <w:rPr>
                <w:rFonts w:hint="eastAsia" w:ascii="宋体" w:hAnsi="宋体" w:cs="宋体"/>
                <w:color w:val="auto"/>
                <w:kern w:val="0"/>
                <w:sz w:val="20"/>
                <w:szCs w:val="20"/>
                <w:highlight w:val="none"/>
                <w:lang w:eastAsia="zh-CN" w:bidi="ar"/>
              </w:rPr>
              <w:t>GE</w:t>
            </w:r>
            <w:r>
              <w:rPr>
                <w:rFonts w:hint="eastAsia" w:ascii="宋体" w:hAnsi="宋体" w:cs="宋体"/>
                <w:color w:val="auto"/>
                <w:kern w:val="0"/>
                <w:sz w:val="20"/>
                <w:szCs w:val="20"/>
                <w:highlight w:val="none"/>
                <w:lang w:bidi="ar"/>
              </w:rPr>
              <w:t>、ABB</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86型接线盒</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1.名称：86型接线盒</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290.00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伟星、中财、联塑</w:t>
            </w:r>
          </w:p>
        </w:tc>
      </w:tr>
      <w:tr>
        <w:tblPrEx>
          <w:tblLayout w:type="fixed"/>
          <w:tblCellMar>
            <w:top w:w="0" w:type="dxa"/>
            <w:left w:w="0" w:type="dxa"/>
            <w:bottom w:w="0" w:type="dxa"/>
            <w:right w:w="0" w:type="dxa"/>
          </w:tblCellMar>
        </w:tblPrEx>
        <w:trPr>
          <w:trHeight w:val="3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电管支架</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1.名称：电管支架</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212.00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伟星、中财、联塑</w:t>
            </w:r>
          </w:p>
        </w:tc>
      </w:tr>
      <w:tr>
        <w:tblPrEx>
          <w:tblLayout w:type="fixed"/>
          <w:tblCellMar>
            <w:top w:w="0" w:type="dxa"/>
            <w:left w:w="0" w:type="dxa"/>
            <w:bottom w:w="0" w:type="dxa"/>
            <w:right w:w="0" w:type="dxa"/>
          </w:tblCellMar>
        </w:tblPrEx>
        <w:trPr>
          <w:trHeight w:val="6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电管敷设</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1.名称：电管敷设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2.规格：DN20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伟星、中财、联塑</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电管敷设</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1.名称：电管敷设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2.规格：DN32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54.00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伟星、中财、联塑</w:t>
            </w:r>
          </w:p>
        </w:tc>
      </w:tr>
      <w:tr>
        <w:tblPrEx>
          <w:tblLayout w:type="fixed"/>
          <w:tblCellMar>
            <w:top w:w="0" w:type="dxa"/>
            <w:left w:w="0" w:type="dxa"/>
            <w:bottom w:w="0" w:type="dxa"/>
            <w:right w:w="0" w:type="dxa"/>
          </w:tblCellMar>
        </w:tblPrEx>
        <w:trPr>
          <w:trHeight w:val="6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BV2.5mm</w:t>
            </w:r>
            <w:r>
              <w:rPr>
                <w:rStyle w:val="173"/>
                <w:rFonts w:hint="default"/>
                <w:color w:val="auto"/>
                <w:highlight w:val="none"/>
                <w:lang w:bidi="ar"/>
              </w:rPr>
              <w:t>2</w:t>
            </w:r>
            <w:r>
              <w:rPr>
                <w:rFonts w:hint="eastAsia" w:ascii="宋体" w:hAnsi="宋体" w:cs="宋体"/>
                <w:color w:val="auto"/>
                <w:kern w:val="0"/>
                <w:sz w:val="20"/>
                <w:szCs w:val="20"/>
                <w:highlight w:val="none"/>
                <w:lang w:bidi="ar"/>
              </w:rPr>
              <w:t>敷设(照明)</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1.名称：照明电线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2.规格：BV 2.5mm2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1200.00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江南 远东 中策</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BV4mm</w:t>
            </w:r>
            <w:r>
              <w:rPr>
                <w:rStyle w:val="173"/>
                <w:rFonts w:hint="default"/>
                <w:color w:val="auto"/>
                <w:highlight w:val="none"/>
                <w:lang w:bidi="ar"/>
              </w:rPr>
              <w:t>2</w:t>
            </w:r>
            <w:r>
              <w:rPr>
                <w:rFonts w:hint="eastAsia" w:ascii="宋体" w:hAnsi="宋体" w:cs="宋体"/>
                <w:color w:val="auto"/>
                <w:kern w:val="0"/>
                <w:sz w:val="20"/>
                <w:szCs w:val="20"/>
                <w:highlight w:val="none"/>
                <w:lang w:bidi="ar"/>
              </w:rPr>
              <w:t>敷设（插座）</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1.名称：插座电线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2.规格：BV 4.0mm2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2200.00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江南 远东 中策</w:t>
            </w:r>
          </w:p>
        </w:tc>
      </w:tr>
      <w:tr>
        <w:tblPrEx>
          <w:tblLayout w:type="fixed"/>
          <w:tblCellMar>
            <w:top w:w="0" w:type="dxa"/>
            <w:left w:w="0" w:type="dxa"/>
            <w:bottom w:w="0" w:type="dxa"/>
            <w:right w:w="0" w:type="dxa"/>
          </w:tblCellMar>
        </w:tblPrEx>
        <w:trPr>
          <w:trHeight w:val="7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电力电缆</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1.名称：电力电缆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2.规格：YJV 4*10+1*6mm2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95.00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江南 远东 中策</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21</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电力电缆</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1.名称：电力电缆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2.规格：YJV 5x2.5mm2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70.00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江南 远东 中策</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电力电缆</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1.名称：电力电缆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2.规格：YJV 5x4.0mm2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江南 远东 中策</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电力电缆</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1.名称：电力电缆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2.规格：YJV 5x6.0mm2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80.00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江南 远东 中策</w:t>
            </w:r>
          </w:p>
        </w:tc>
      </w:tr>
      <w:tr>
        <w:tblPrEx>
          <w:tblLayout w:type="fixed"/>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电力电缆</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1.名称：电力电缆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2.规格：YJV 3*35+2x16mm2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15.00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江南 远东 中策</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电力电缆</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1.名称：电力电缆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2.规格：YJV 3x50+2x25mm2</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15.00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江南 远东 中策</w:t>
            </w:r>
          </w:p>
        </w:tc>
      </w:tr>
      <w:tr>
        <w:tblPrEx>
          <w:tblLayout w:type="fixed"/>
          <w:tblCellMar>
            <w:top w:w="0" w:type="dxa"/>
            <w:left w:w="0" w:type="dxa"/>
            <w:bottom w:w="0" w:type="dxa"/>
            <w:right w:w="0" w:type="dxa"/>
          </w:tblCellMar>
        </w:tblPrEx>
        <w:trPr>
          <w:trHeight w:val="6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桥架</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1.名称：桥架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2.规格：200x100x1.0mm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武钢、马钢、鞍钢</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27</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等电位端子箱、 测试板 </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1.名称：等电位接线箱 LED</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28</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等电位端子箱、 测试板 </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1.名称：总等电位接线箱 MED</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p>
        </w:tc>
      </w:tr>
      <w:tr>
        <w:tblPrEx>
          <w:tblLayout w:type="fixed"/>
          <w:tblCellMar>
            <w:top w:w="0" w:type="dxa"/>
            <w:left w:w="0" w:type="dxa"/>
            <w:bottom w:w="0" w:type="dxa"/>
            <w:right w:w="0" w:type="dxa"/>
          </w:tblCellMar>
        </w:tblPrEx>
        <w:trPr>
          <w:trHeight w:val="8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29</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配管 </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1.名称：砖、混凝土结构暗配硬质聚氯乙烯管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2、规格：PVC50（含接地）</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配线 </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1.名称：管内穿线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2、规格：BV-10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江南 远东 中策</w:t>
            </w:r>
          </w:p>
        </w:tc>
      </w:tr>
      <w:tr>
        <w:tblPrEx>
          <w:tblLayout w:type="fixed"/>
          <w:tblCellMar>
            <w:top w:w="0" w:type="dxa"/>
            <w:left w:w="0" w:type="dxa"/>
            <w:bottom w:w="0" w:type="dxa"/>
            <w:right w:w="0" w:type="dxa"/>
          </w:tblCellMar>
        </w:tblPrEx>
        <w:trPr>
          <w:trHeight w:val="6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31</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接地母线 </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1.名称：接地线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2.规格：Φ10 含绝缘子安装</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15.00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接地极 </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1.名称：接地极镀锌圆钢 Φ20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2.规格：长度2.5米</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33</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接地装置 </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1.名称：接地网调试</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34</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室外接地装置土方开挖及回填</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1.名称：室外接地装置土方开挖及回填</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m3</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接地装置安装辅材</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1.名称：接地装置安装辅材</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7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36</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门禁系统</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1.名称：双门禁系统</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2.规格：含磁力锁、门禁开关、电源等</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中控、同方、科松</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八</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给排水工程</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r>
      <w:tr>
        <w:tblPrEx>
          <w:tblLayout w:type="fixed"/>
          <w:tblCellMar>
            <w:top w:w="0" w:type="dxa"/>
            <w:left w:w="0" w:type="dxa"/>
            <w:bottom w:w="0" w:type="dxa"/>
            <w:right w:w="0" w:type="dxa"/>
          </w:tblCellMar>
        </w:tblPrEx>
        <w:trPr>
          <w:trHeight w:val="6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冷凝水排水管</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1.名称：PPR排水管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2.规格：DN40，熔接连接</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伟星、中财、联塑</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排水管</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1.名称：PVC排水管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2.规格：DN50，粘接连接</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伟星、中财、联塑</w:t>
            </w:r>
          </w:p>
        </w:tc>
      </w:tr>
      <w:tr>
        <w:tblPrEx>
          <w:tblLayout w:type="fixed"/>
          <w:tblCellMar>
            <w:top w:w="0" w:type="dxa"/>
            <w:left w:w="0" w:type="dxa"/>
            <w:bottom w:w="0" w:type="dxa"/>
            <w:right w:w="0" w:type="dxa"/>
          </w:tblCellMar>
        </w:tblPrEx>
        <w:trPr>
          <w:trHeight w:val="7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给水管</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1.名称：PPR给水管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2.规格：DN20，熔接连接</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伟星、中财、联塑</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给水管</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1.名称：PPR给水管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2.规格：DN25，熔接连接</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伟星、中财、联塑</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开关单阀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1,20三角阀</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伟星、中财、联塑</w:t>
            </w:r>
          </w:p>
        </w:tc>
      </w:tr>
      <w:tr>
        <w:tblPrEx>
          <w:tblLayout w:type="fixed"/>
          <w:tblCellMar>
            <w:top w:w="0" w:type="dxa"/>
            <w:left w:w="0" w:type="dxa"/>
            <w:bottom w:w="0" w:type="dxa"/>
            <w:right w:w="0" w:type="dxa"/>
          </w:tblCellMar>
        </w:tblPrEx>
        <w:trPr>
          <w:trHeight w:val="6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闸阀</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1.名称：闸阀</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2.规格：DN25，熔接连接</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伟星、中财、联塑</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九</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lang w:bidi="ar"/>
              </w:rPr>
              <w:t>弱电工程</w:t>
            </w:r>
          </w:p>
        </w:tc>
        <w:tc>
          <w:tcPr>
            <w:tcW w:w="31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rPr>
                <w:rFonts w:ascii="宋体" w:hAnsi="宋体" w:cs="宋体"/>
                <w:b/>
                <w:color w:val="auto"/>
                <w:sz w:val="22"/>
                <w:szCs w:val="22"/>
                <w:highlight w:val="none"/>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rPr>
                <w:rFonts w:ascii="宋体" w:hAnsi="宋体" w:cs="宋体"/>
                <w:b/>
                <w:color w:val="auto"/>
                <w:sz w:val="22"/>
                <w:szCs w:val="22"/>
                <w:highlight w:val="none"/>
              </w:rPr>
            </w:pPr>
          </w:p>
        </w:tc>
      </w:tr>
      <w:tr>
        <w:tblPrEx>
          <w:tblLayout w:type="fixed"/>
          <w:tblCellMar>
            <w:top w:w="0" w:type="dxa"/>
            <w:left w:w="0" w:type="dxa"/>
            <w:bottom w:w="0" w:type="dxa"/>
            <w:right w:w="0"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信息插座面板</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1.名称：网络插座面板                                                           2.规格：双口</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施耐德、</w:t>
            </w:r>
            <w:r>
              <w:rPr>
                <w:rFonts w:hint="eastAsia" w:ascii="宋体" w:hAnsi="宋体" w:cs="宋体"/>
                <w:color w:val="auto"/>
                <w:kern w:val="0"/>
                <w:sz w:val="20"/>
                <w:szCs w:val="20"/>
                <w:highlight w:val="none"/>
                <w:lang w:eastAsia="zh-CN" w:bidi="ar"/>
              </w:rPr>
              <w:t>GE</w:t>
            </w:r>
            <w:r>
              <w:rPr>
                <w:rFonts w:hint="eastAsia" w:ascii="宋体" w:hAnsi="宋体" w:cs="宋体"/>
                <w:color w:val="auto"/>
                <w:kern w:val="0"/>
                <w:sz w:val="20"/>
                <w:szCs w:val="20"/>
                <w:highlight w:val="none"/>
                <w:lang w:bidi="ar"/>
              </w:rPr>
              <w:t>、ABB</w:t>
            </w:r>
          </w:p>
        </w:tc>
      </w:tr>
      <w:tr>
        <w:tblPrEx>
          <w:tblLayout w:type="fixed"/>
          <w:tblCellMar>
            <w:top w:w="0" w:type="dxa"/>
            <w:left w:w="0" w:type="dxa"/>
            <w:bottom w:w="0" w:type="dxa"/>
            <w:right w:w="0" w:type="dxa"/>
          </w:tblCellMar>
        </w:tblPrEx>
        <w:trPr>
          <w:trHeight w:val="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电气配管</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1名称材质:PVC管道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2规格:DN20</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150.00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伟星、中财、联塑</w:t>
            </w:r>
          </w:p>
        </w:tc>
      </w:tr>
      <w:tr>
        <w:tblPrEx>
          <w:tblLayout w:type="fixed"/>
          <w:tblCellMar>
            <w:top w:w="0" w:type="dxa"/>
            <w:left w:w="0" w:type="dxa"/>
            <w:bottom w:w="0" w:type="dxa"/>
            <w:right w:w="0" w:type="dxa"/>
          </w:tblCellMar>
        </w:tblPrEx>
        <w:trPr>
          <w:trHeight w:val="6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桥架</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1.名称：桥架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2.规格：100mm*50mm</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86型暗装底盒</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86H</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网络线</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超五类</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400.00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安普、康普、普天</w:t>
            </w:r>
          </w:p>
        </w:tc>
      </w:tr>
      <w:tr>
        <w:tblPrEx>
          <w:tblLayout w:type="fixed"/>
          <w:tblCellMar>
            <w:top w:w="0" w:type="dxa"/>
            <w:left w:w="0" w:type="dxa"/>
            <w:bottom w:w="0" w:type="dxa"/>
            <w:right w:w="0" w:type="dxa"/>
          </w:tblCellMar>
        </w:tblPrEx>
        <w:trPr>
          <w:trHeight w:val="2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标签及安装附件</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rPr>
                <w:rFonts w:ascii="宋体" w:hAnsi="宋体" w:cs="宋体"/>
                <w:color w:val="auto"/>
                <w:sz w:val="20"/>
                <w:szCs w:val="20"/>
                <w:highlight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40" w:lineRule="auto"/>
              <w:ind w:firstLine="0" w:firstLineChars="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1.00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240" w:lineRule="auto"/>
              <w:ind w:firstLine="0" w:firstLineChars="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安普、康普、普天</w:t>
            </w:r>
          </w:p>
        </w:tc>
      </w:tr>
    </w:tbl>
    <w:p>
      <w:pPr>
        <w:pStyle w:val="9"/>
        <w:ind w:firstLine="0"/>
        <w:rPr>
          <w:rFonts w:ascii="Arial" w:hAnsi="宋体" w:cs="Arial"/>
          <w:color w:val="auto"/>
          <w:kern w:val="0"/>
          <w:szCs w:val="21"/>
          <w:highlight w:val="none"/>
        </w:rPr>
      </w:pPr>
    </w:p>
    <w:p>
      <w:pPr>
        <w:pStyle w:val="9"/>
        <w:ind w:firstLine="0"/>
        <w:rPr>
          <w:rFonts w:hint="eastAsia"/>
          <w:bCs/>
          <w:color w:val="auto"/>
          <w:highlight w:val="none"/>
          <w:lang w:val="en-US" w:eastAsia="zh-CN"/>
        </w:rPr>
      </w:pPr>
      <w:r>
        <w:rPr>
          <w:rFonts w:hint="eastAsia"/>
          <w:bCs/>
          <w:color w:val="auto"/>
          <w:highlight w:val="none"/>
          <w:lang w:val="en-US" w:eastAsia="zh-CN"/>
        </w:rPr>
        <w:t>注：</w:t>
      </w:r>
    </w:p>
    <w:p>
      <w:pPr>
        <w:pStyle w:val="9"/>
        <w:ind w:firstLine="420" w:firstLineChars="200"/>
        <w:rPr>
          <w:rFonts w:hint="eastAsia" w:eastAsia="宋体"/>
          <w:bCs/>
          <w:color w:val="auto"/>
          <w:highlight w:val="none"/>
          <w:lang w:eastAsia="zh-CN"/>
        </w:rPr>
      </w:pPr>
      <w:r>
        <w:rPr>
          <w:rFonts w:hint="eastAsia"/>
          <w:bCs/>
          <w:color w:val="auto"/>
          <w:highlight w:val="none"/>
        </w:rPr>
        <w:t>除</w:t>
      </w:r>
      <w:r>
        <w:rPr>
          <w:bCs/>
          <w:color w:val="auto"/>
          <w:highlight w:val="none"/>
        </w:rPr>
        <w:t>采购文件</w:t>
      </w:r>
      <w:r>
        <w:rPr>
          <w:rFonts w:hint="eastAsia"/>
          <w:bCs/>
          <w:color w:val="auto"/>
          <w:highlight w:val="none"/>
          <w:lang w:val="en-US" w:eastAsia="zh-CN"/>
        </w:rPr>
        <w:t>推荐</w:t>
      </w:r>
      <w:r>
        <w:rPr>
          <w:bCs/>
          <w:color w:val="auto"/>
          <w:highlight w:val="none"/>
        </w:rPr>
        <w:t>的品牌外，欢迎其他能满足</w:t>
      </w:r>
      <w:r>
        <w:rPr>
          <w:rFonts w:hint="eastAsia"/>
          <w:bCs/>
          <w:color w:val="auto"/>
          <w:highlight w:val="none"/>
        </w:rPr>
        <w:t>本项目</w:t>
      </w:r>
      <w:r>
        <w:rPr>
          <w:bCs/>
          <w:color w:val="auto"/>
          <w:highlight w:val="none"/>
        </w:rPr>
        <w:t>技术需求且性能与</w:t>
      </w:r>
      <w:r>
        <w:rPr>
          <w:rFonts w:hint="eastAsia"/>
          <w:bCs/>
          <w:color w:val="auto"/>
          <w:highlight w:val="none"/>
          <w:lang w:val="en-US" w:eastAsia="zh-CN"/>
        </w:rPr>
        <w:t>推荐</w:t>
      </w:r>
      <w:r>
        <w:rPr>
          <w:bCs/>
          <w:color w:val="auto"/>
          <w:highlight w:val="none"/>
        </w:rPr>
        <w:t>品牌相当的</w:t>
      </w:r>
      <w:r>
        <w:rPr>
          <w:rFonts w:hint="eastAsia"/>
          <w:bCs/>
          <w:color w:val="auto"/>
          <w:highlight w:val="none"/>
          <w:lang w:val="en-US" w:eastAsia="zh-CN"/>
        </w:rPr>
        <w:t>同档次</w:t>
      </w:r>
      <w:r>
        <w:rPr>
          <w:bCs/>
          <w:color w:val="auto"/>
          <w:highlight w:val="none"/>
        </w:rPr>
        <w:t>产品</w:t>
      </w:r>
      <w:r>
        <w:rPr>
          <w:rFonts w:hint="eastAsia"/>
          <w:bCs/>
          <w:color w:val="auto"/>
          <w:highlight w:val="none"/>
        </w:rPr>
        <w:t>参加</w:t>
      </w:r>
      <w:r>
        <w:rPr>
          <w:rFonts w:hint="eastAsia"/>
          <w:bCs/>
          <w:color w:val="auto"/>
          <w:highlight w:val="none"/>
          <w:lang w:eastAsia="zh-CN"/>
        </w:rPr>
        <w:t>。</w:t>
      </w:r>
    </w:p>
    <w:p>
      <w:pPr>
        <w:pStyle w:val="9"/>
        <w:ind w:firstLine="420" w:firstLineChars="200"/>
        <w:rPr>
          <w:rFonts w:hint="eastAsia"/>
          <w:bCs/>
          <w:color w:val="auto"/>
          <w:highlight w:val="none"/>
        </w:rPr>
      </w:pPr>
    </w:p>
    <w:p>
      <w:pPr>
        <w:pStyle w:val="5"/>
        <w:rPr>
          <w:rFonts w:ascii="宋体" w:hAnsi="宋体" w:cs="宋体"/>
          <w:color w:val="auto"/>
          <w:sz w:val="24"/>
          <w:szCs w:val="40"/>
          <w:highlight w:val="none"/>
        </w:rPr>
      </w:pPr>
      <w:bookmarkStart w:id="19" w:name="_Toc4822"/>
      <w:bookmarkStart w:id="20" w:name="_Toc6282"/>
      <w:r>
        <w:rPr>
          <w:rFonts w:hint="eastAsia" w:ascii="宋体" w:hAnsi="宋体" w:cs="宋体"/>
          <w:color w:val="auto"/>
          <w:sz w:val="24"/>
          <w:szCs w:val="40"/>
          <w:highlight w:val="none"/>
        </w:rPr>
        <w:t>二、商务要求</w:t>
      </w:r>
    </w:p>
    <w:p>
      <w:pPr>
        <w:pStyle w:val="6"/>
        <w:rPr>
          <w:color w:val="auto"/>
          <w:highlight w:val="none"/>
        </w:rPr>
      </w:pPr>
      <w:r>
        <w:rPr>
          <w:rFonts w:hint="eastAsia"/>
          <w:color w:val="auto"/>
          <w:highlight w:val="none"/>
        </w:rPr>
        <w:t>（一）供货期</w:t>
      </w:r>
      <w:bookmarkEnd w:id="19"/>
      <w:bookmarkEnd w:id="20"/>
    </w:p>
    <w:p>
      <w:pPr>
        <w:ind w:firstLine="480"/>
        <w:rPr>
          <w:rFonts w:ascii="宋体" w:hAnsi="宋体" w:cs="宋体"/>
          <w:color w:val="auto"/>
          <w:szCs w:val="32"/>
          <w:highlight w:val="none"/>
        </w:rPr>
      </w:pPr>
      <w:bookmarkStart w:id="21" w:name="_Toc3146"/>
      <w:r>
        <w:rPr>
          <w:rFonts w:hint="eastAsia" w:ascii="宋体" w:hAnsi="宋体" w:cs="宋体"/>
          <w:color w:val="auto"/>
          <w:szCs w:val="32"/>
          <w:highlight w:val="none"/>
        </w:rPr>
        <w:t>合同签订之日起</w:t>
      </w:r>
      <w:r>
        <w:rPr>
          <w:rFonts w:ascii="宋体" w:hAnsi="宋体" w:cs="宋体"/>
          <w:color w:val="auto"/>
          <w:szCs w:val="32"/>
          <w:highlight w:val="none"/>
        </w:rPr>
        <w:t xml:space="preserve"> 90</w:t>
      </w:r>
      <w:r>
        <w:rPr>
          <w:rFonts w:hint="eastAsia" w:ascii="宋体" w:hAnsi="宋体" w:cs="宋体"/>
          <w:color w:val="auto"/>
          <w:szCs w:val="32"/>
          <w:highlight w:val="none"/>
        </w:rPr>
        <w:t>天内完成供货、安装、调试工作。</w:t>
      </w:r>
    </w:p>
    <w:p>
      <w:pPr>
        <w:pStyle w:val="6"/>
        <w:rPr>
          <w:color w:val="auto"/>
          <w:highlight w:val="none"/>
        </w:rPr>
      </w:pPr>
      <w:bookmarkStart w:id="22" w:name="_Toc14429"/>
      <w:r>
        <w:rPr>
          <w:rFonts w:hint="eastAsia"/>
          <w:color w:val="auto"/>
          <w:highlight w:val="none"/>
        </w:rPr>
        <w:t>（二）质保期</w:t>
      </w:r>
      <w:bookmarkEnd w:id="21"/>
      <w:bookmarkEnd w:id="22"/>
    </w:p>
    <w:p>
      <w:pPr>
        <w:ind w:firstLine="480"/>
        <w:rPr>
          <w:rFonts w:ascii="宋体" w:hAnsi="宋体" w:cs="宋体"/>
          <w:color w:val="auto"/>
          <w:szCs w:val="32"/>
          <w:highlight w:val="none"/>
        </w:rPr>
      </w:pPr>
      <w:r>
        <w:rPr>
          <w:rFonts w:hint="eastAsia" w:ascii="宋体" w:hAnsi="宋体" w:cs="宋体"/>
          <w:bCs/>
          <w:color w:val="auto"/>
          <w:kern w:val="0"/>
          <w:szCs w:val="21"/>
          <w:highlight w:val="none"/>
        </w:rPr>
        <w:t>★</w:t>
      </w:r>
      <w:r>
        <w:rPr>
          <w:rFonts w:hint="eastAsia" w:ascii="宋体" w:hAnsi="宋体" w:cs="宋体"/>
          <w:color w:val="auto"/>
          <w:szCs w:val="32"/>
          <w:highlight w:val="none"/>
        </w:rPr>
        <w:t>验收合格第二个月开始算起，提供</w:t>
      </w:r>
      <w:r>
        <w:rPr>
          <w:rFonts w:ascii="宋体" w:hAnsi="宋体" w:cs="宋体"/>
          <w:color w:val="auto"/>
          <w:szCs w:val="32"/>
          <w:highlight w:val="none"/>
        </w:rPr>
        <w:t>2</w:t>
      </w:r>
      <w:r>
        <w:rPr>
          <w:rFonts w:hint="eastAsia" w:ascii="宋体" w:hAnsi="宋体" w:cs="宋体"/>
          <w:color w:val="auto"/>
          <w:szCs w:val="32"/>
          <w:highlight w:val="none"/>
        </w:rPr>
        <w:t>年的质保期。</w:t>
      </w:r>
    </w:p>
    <w:p>
      <w:pPr>
        <w:pStyle w:val="6"/>
        <w:rPr>
          <w:color w:val="auto"/>
          <w:highlight w:val="none"/>
        </w:rPr>
      </w:pPr>
      <w:bookmarkStart w:id="23" w:name="_Toc10286"/>
      <w:bookmarkStart w:id="24" w:name="_Toc22183"/>
      <w:r>
        <w:rPr>
          <w:rFonts w:hint="eastAsia"/>
          <w:color w:val="auto"/>
          <w:highlight w:val="none"/>
        </w:rPr>
        <w:t>（三）保存和运输要求</w:t>
      </w:r>
      <w:bookmarkEnd w:id="23"/>
      <w:bookmarkEnd w:id="24"/>
    </w:p>
    <w:p>
      <w:pPr>
        <w:ind w:firstLine="480"/>
        <w:rPr>
          <w:rFonts w:ascii="宋体" w:hAnsi="宋体" w:cs="宋体"/>
          <w:color w:val="auto"/>
          <w:szCs w:val="32"/>
          <w:highlight w:val="none"/>
        </w:rPr>
      </w:pPr>
      <w:r>
        <w:rPr>
          <w:rFonts w:hint="eastAsia" w:ascii="宋体" w:hAnsi="宋体" w:cs="宋体"/>
          <w:color w:val="auto"/>
          <w:szCs w:val="32"/>
          <w:highlight w:val="none"/>
        </w:rPr>
        <w:t>送货至指定地点。</w:t>
      </w:r>
    </w:p>
    <w:p>
      <w:pPr>
        <w:pStyle w:val="6"/>
        <w:rPr>
          <w:color w:val="auto"/>
          <w:highlight w:val="none"/>
        </w:rPr>
      </w:pPr>
      <w:bookmarkStart w:id="25" w:name="_Toc3643"/>
      <w:bookmarkStart w:id="26" w:name="_Toc14375"/>
      <w:r>
        <w:rPr>
          <w:rFonts w:hint="eastAsia"/>
          <w:color w:val="auto"/>
          <w:highlight w:val="none"/>
        </w:rPr>
        <w:t>（四）验收标准</w:t>
      </w:r>
      <w:bookmarkEnd w:id="25"/>
      <w:bookmarkEnd w:id="26"/>
    </w:p>
    <w:p>
      <w:pPr>
        <w:ind w:firstLine="480"/>
        <w:rPr>
          <w:rFonts w:ascii="宋体" w:hAnsi="宋体" w:cs="宋体"/>
          <w:color w:val="auto"/>
          <w:szCs w:val="32"/>
          <w:highlight w:val="none"/>
        </w:rPr>
      </w:pPr>
      <w:r>
        <w:rPr>
          <w:rFonts w:hint="eastAsia" w:ascii="宋体" w:hAnsi="宋体" w:cs="宋体"/>
          <w:color w:val="auto"/>
          <w:szCs w:val="32"/>
          <w:highlight w:val="none"/>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按中国计量大学标准验收和确认。</w:t>
      </w:r>
    </w:p>
    <w:p>
      <w:pPr>
        <w:pStyle w:val="6"/>
        <w:rPr>
          <w:color w:val="auto"/>
          <w:highlight w:val="none"/>
        </w:rPr>
      </w:pPr>
      <w:bookmarkStart w:id="27" w:name="_Toc30601"/>
      <w:bookmarkStart w:id="28" w:name="_Toc32145"/>
      <w:r>
        <w:rPr>
          <w:rFonts w:hint="eastAsia"/>
          <w:color w:val="auto"/>
          <w:highlight w:val="none"/>
        </w:rPr>
        <w:t>（五）售后服务</w:t>
      </w:r>
      <w:bookmarkEnd w:id="27"/>
      <w:bookmarkEnd w:id="28"/>
    </w:p>
    <w:p>
      <w:pPr>
        <w:ind w:firstLine="480"/>
        <w:rPr>
          <w:rFonts w:ascii="宋体" w:hAnsi="宋体" w:cs="宋体"/>
          <w:color w:val="auto"/>
          <w:szCs w:val="32"/>
          <w:highlight w:val="none"/>
        </w:rPr>
      </w:pPr>
      <w:r>
        <w:rPr>
          <w:rFonts w:hint="eastAsia" w:ascii="宋体" w:hAnsi="宋体" w:cs="宋体"/>
          <w:color w:val="auto"/>
          <w:szCs w:val="32"/>
          <w:highlight w:val="none"/>
        </w:rPr>
        <w:t>5.1.质保期内因不能排除的故障而影响工作的情况每发生一次，其质保期相应延长60天，质保期内因货物本身缺陷造成各种故障应由中标人免费予以更换，否则将扣除质量保证金作为对采购人的补偿。</w:t>
      </w:r>
    </w:p>
    <w:p>
      <w:pPr>
        <w:ind w:firstLine="480"/>
        <w:rPr>
          <w:rFonts w:ascii="宋体" w:hAnsi="宋体" w:cs="宋体"/>
          <w:color w:val="auto"/>
          <w:szCs w:val="32"/>
          <w:highlight w:val="none"/>
        </w:rPr>
      </w:pPr>
      <w:r>
        <w:rPr>
          <w:rFonts w:hint="eastAsia" w:ascii="宋体" w:hAnsi="宋体" w:cs="宋体"/>
          <w:color w:val="auto"/>
          <w:szCs w:val="32"/>
          <w:highlight w:val="none"/>
        </w:rPr>
        <w:t>5.2质保期满后，仅收取零配件成本费用，免人工费。合同货物出现故障后，中标人接到采购人通知后，一周内免费上门服务，不超过2个工作日内解决故障。承诺质保期满后永久的跟踪服务。</w:t>
      </w:r>
    </w:p>
    <w:p>
      <w:pPr>
        <w:pStyle w:val="6"/>
        <w:rPr>
          <w:color w:val="auto"/>
          <w:highlight w:val="none"/>
        </w:rPr>
      </w:pPr>
      <w:bookmarkStart w:id="29" w:name="_Toc11395"/>
      <w:bookmarkStart w:id="30" w:name="_Toc30062"/>
      <w:r>
        <w:rPr>
          <w:rFonts w:hint="eastAsia"/>
          <w:color w:val="auto"/>
          <w:highlight w:val="none"/>
        </w:rPr>
        <w:t>（六）履约保证金及质量保证金</w:t>
      </w:r>
      <w:bookmarkEnd w:id="29"/>
      <w:bookmarkEnd w:id="30"/>
    </w:p>
    <w:p>
      <w:pPr>
        <w:ind w:firstLine="480"/>
        <w:rPr>
          <w:rFonts w:ascii="宋体" w:hAnsi="宋体" w:cs="宋体"/>
          <w:color w:val="auto"/>
          <w:szCs w:val="32"/>
          <w:highlight w:val="none"/>
        </w:rPr>
      </w:pPr>
      <w:r>
        <w:rPr>
          <w:rFonts w:hint="eastAsia" w:ascii="宋体" w:hAnsi="宋体" w:cs="宋体"/>
          <w:color w:val="auto"/>
          <w:szCs w:val="32"/>
          <w:highlight w:val="none"/>
          <w:lang w:val="en-US" w:eastAsia="zh-CN"/>
        </w:rPr>
        <w:t>中标单位</w:t>
      </w:r>
      <w:r>
        <w:rPr>
          <w:rFonts w:hint="eastAsia" w:ascii="宋体" w:hAnsi="宋体" w:cs="宋体"/>
          <w:color w:val="auto"/>
          <w:szCs w:val="32"/>
          <w:highlight w:val="none"/>
        </w:rPr>
        <w:t>须于合同签订后七个工作日内向</w:t>
      </w:r>
      <w:r>
        <w:rPr>
          <w:rFonts w:hint="eastAsia" w:ascii="宋体" w:hAnsi="宋体" w:cs="宋体"/>
          <w:color w:val="auto"/>
          <w:szCs w:val="32"/>
          <w:highlight w:val="none"/>
          <w:lang w:val="en-US" w:eastAsia="zh-CN"/>
        </w:rPr>
        <w:t>采购人</w:t>
      </w:r>
      <w:r>
        <w:rPr>
          <w:rFonts w:hint="eastAsia" w:ascii="宋体" w:hAnsi="宋体" w:cs="宋体"/>
          <w:color w:val="auto"/>
          <w:szCs w:val="32"/>
          <w:highlight w:val="none"/>
        </w:rPr>
        <w:t>支付合同总价 10% 的履约保证金，履约保证金在交货验收后自动转为质量保证金。质量保证金自货物交付验收合格后12个月内无质量问题索赔和售后服务问题，由甲方无息退回乙方。</w:t>
      </w:r>
    </w:p>
    <w:p>
      <w:pPr>
        <w:ind w:firstLine="480"/>
        <w:rPr>
          <w:rFonts w:ascii="宋体" w:hAnsi="宋体" w:cs="宋体"/>
          <w:color w:val="auto"/>
          <w:szCs w:val="32"/>
          <w:highlight w:val="none"/>
        </w:rPr>
      </w:pPr>
      <w:r>
        <w:rPr>
          <w:rFonts w:hint="eastAsia" w:ascii="宋体" w:hAnsi="宋体" w:cs="宋体"/>
          <w:color w:val="auto"/>
          <w:szCs w:val="32"/>
          <w:highlight w:val="none"/>
        </w:rPr>
        <w:t>履约保证金的交付方式：支票、汇票、保函等非现金方式。</w:t>
      </w:r>
    </w:p>
    <w:p>
      <w:pPr>
        <w:pStyle w:val="6"/>
        <w:rPr>
          <w:color w:val="auto"/>
          <w:highlight w:val="none"/>
        </w:rPr>
      </w:pPr>
      <w:bookmarkStart w:id="31" w:name="_Toc27073"/>
      <w:bookmarkStart w:id="32" w:name="_Toc11083"/>
      <w:r>
        <w:rPr>
          <w:rFonts w:hint="eastAsia"/>
          <w:color w:val="auto"/>
          <w:highlight w:val="none"/>
        </w:rPr>
        <w:t>（七）付款方式</w:t>
      </w:r>
      <w:bookmarkEnd w:id="31"/>
      <w:bookmarkEnd w:id="32"/>
    </w:p>
    <w:p>
      <w:pPr>
        <w:snapToGrid w:val="0"/>
        <w:ind w:firstLine="480"/>
        <w:rPr>
          <w:color w:val="auto"/>
          <w:szCs w:val="32"/>
          <w:highlight w:val="none"/>
        </w:rPr>
      </w:pPr>
      <w:bookmarkStart w:id="33" w:name="_Toc12425"/>
      <w:r>
        <w:rPr>
          <w:rFonts w:hint="eastAsia"/>
          <w:color w:val="auto"/>
          <w:szCs w:val="32"/>
          <w:highlight w:val="none"/>
        </w:rPr>
        <w:t>货到安装、调试验收合格后15个工作日内，由中标人提供中标人开具的全额发票后，采购人向中标人支付合同总价100%的货款。</w:t>
      </w:r>
    </w:p>
    <w:p>
      <w:pPr>
        <w:pStyle w:val="6"/>
        <w:rPr>
          <w:color w:val="auto"/>
          <w:highlight w:val="none"/>
        </w:rPr>
      </w:pPr>
      <w:bookmarkStart w:id="34" w:name="_Toc12409"/>
      <w:r>
        <w:rPr>
          <w:rFonts w:hint="eastAsia"/>
          <w:color w:val="auto"/>
          <w:highlight w:val="none"/>
        </w:rPr>
        <w:t>（八）合同履行</w:t>
      </w:r>
      <w:bookmarkEnd w:id="33"/>
      <w:bookmarkEnd w:id="34"/>
    </w:p>
    <w:p>
      <w:pPr>
        <w:ind w:firstLine="480"/>
        <w:rPr>
          <w:rFonts w:ascii="宋体" w:hAnsi="宋体" w:cs="宋体"/>
          <w:color w:val="auto"/>
          <w:szCs w:val="32"/>
          <w:highlight w:val="none"/>
        </w:rPr>
      </w:pPr>
      <w:r>
        <w:rPr>
          <w:rFonts w:hint="eastAsia" w:ascii="宋体" w:hAnsi="宋体" w:cs="宋体"/>
          <w:color w:val="auto"/>
          <w:szCs w:val="32"/>
          <w:highlight w:val="none"/>
        </w:rPr>
        <w:t>必须由投标主体履行合同。</w:t>
      </w:r>
    </w:p>
    <w:p>
      <w:pPr>
        <w:pStyle w:val="6"/>
        <w:rPr>
          <w:color w:val="auto"/>
          <w:highlight w:val="none"/>
        </w:rPr>
      </w:pPr>
      <w:bookmarkStart w:id="35" w:name="_Toc28352"/>
      <w:bookmarkStart w:id="36" w:name="_Toc26669"/>
      <w:r>
        <w:rPr>
          <w:rFonts w:hint="eastAsia"/>
          <w:color w:val="auto"/>
          <w:highlight w:val="none"/>
        </w:rPr>
        <w:t>（九）培训</w:t>
      </w:r>
      <w:bookmarkEnd w:id="35"/>
      <w:bookmarkEnd w:id="36"/>
    </w:p>
    <w:p>
      <w:pPr>
        <w:ind w:firstLine="480"/>
        <w:rPr>
          <w:color w:val="auto"/>
          <w:szCs w:val="32"/>
          <w:highlight w:val="none"/>
        </w:rPr>
      </w:pPr>
      <w:r>
        <w:rPr>
          <w:rFonts w:hint="eastAsia"/>
          <w:color w:val="auto"/>
          <w:szCs w:val="32"/>
          <w:highlight w:val="none"/>
        </w:rPr>
        <w:t>9.1中标人应对采购人的操作人员、维修人员免费进行培训。</w:t>
      </w:r>
    </w:p>
    <w:p>
      <w:pPr>
        <w:ind w:firstLine="480"/>
        <w:rPr>
          <w:color w:val="auto"/>
          <w:szCs w:val="32"/>
          <w:highlight w:val="none"/>
        </w:rPr>
      </w:pPr>
      <w:r>
        <w:rPr>
          <w:rFonts w:hint="eastAsia"/>
          <w:color w:val="auto"/>
          <w:szCs w:val="32"/>
          <w:highlight w:val="none"/>
        </w:rPr>
        <w:t>9.2中标人应提供相应的培训计划。</w:t>
      </w:r>
    </w:p>
    <w:p>
      <w:pPr>
        <w:ind w:firstLine="480"/>
        <w:rPr>
          <w:color w:val="auto"/>
          <w:szCs w:val="32"/>
          <w:highlight w:val="none"/>
        </w:rPr>
      </w:pPr>
      <w:r>
        <w:rPr>
          <w:rFonts w:hint="eastAsia"/>
          <w:color w:val="auto"/>
          <w:szCs w:val="32"/>
          <w:highlight w:val="none"/>
        </w:rPr>
        <w:t>9.3中标人应对上述内容的实现方式、地点、人数、时间在投标文件中详细说明。</w:t>
      </w:r>
    </w:p>
    <w:p>
      <w:pPr>
        <w:pStyle w:val="6"/>
        <w:rPr>
          <w:color w:val="auto"/>
          <w:highlight w:val="none"/>
        </w:rPr>
      </w:pPr>
      <w:bookmarkStart w:id="37" w:name="_Toc30890"/>
      <w:bookmarkStart w:id="38" w:name="_Toc4662"/>
      <w:r>
        <w:rPr>
          <w:rFonts w:hint="eastAsia"/>
          <w:color w:val="auto"/>
          <w:highlight w:val="none"/>
        </w:rPr>
        <w:t>（十）安装调试</w:t>
      </w:r>
      <w:bookmarkEnd w:id="37"/>
      <w:bookmarkEnd w:id="38"/>
    </w:p>
    <w:p>
      <w:pPr>
        <w:ind w:firstLine="480"/>
        <w:rPr>
          <w:color w:val="auto"/>
          <w:szCs w:val="32"/>
          <w:highlight w:val="none"/>
        </w:rPr>
      </w:pPr>
      <w:r>
        <w:rPr>
          <w:rFonts w:hint="eastAsia"/>
          <w:color w:val="auto"/>
          <w:szCs w:val="32"/>
          <w:highlight w:val="none"/>
        </w:rPr>
        <w:t>10.1安装地点：采购人指定地点。</w:t>
      </w:r>
    </w:p>
    <w:p>
      <w:pPr>
        <w:ind w:firstLine="480"/>
        <w:rPr>
          <w:color w:val="auto"/>
          <w:szCs w:val="32"/>
          <w:highlight w:val="none"/>
        </w:rPr>
      </w:pPr>
      <w:r>
        <w:rPr>
          <w:rFonts w:hint="eastAsia"/>
          <w:color w:val="auto"/>
          <w:szCs w:val="32"/>
          <w:highlight w:val="none"/>
        </w:rPr>
        <w:t>10.2安装完成时间：签订合同后60天内完成安装和调试（“投标人须知前附表”有规定的除外），如在规定的时间内由于中标人的原因不能完成安装和调试，中标人应承担由此给采购人造成的损失。</w:t>
      </w:r>
    </w:p>
    <w:p>
      <w:pPr>
        <w:ind w:firstLine="480"/>
        <w:rPr>
          <w:color w:val="auto"/>
          <w:szCs w:val="32"/>
          <w:highlight w:val="none"/>
        </w:rPr>
      </w:pPr>
      <w:r>
        <w:rPr>
          <w:rFonts w:hint="eastAsia"/>
          <w:color w:val="auto"/>
          <w:szCs w:val="32"/>
          <w:highlight w:val="none"/>
        </w:rPr>
        <w:t>10.3安装标准：符合我国国家有关技术规范要求和技术标准，所有的软件和硬件必须保证同时安装到位。</w:t>
      </w:r>
    </w:p>
    <w:p>
      <w:pPr>
        <w:ind w:firstLine="480"/>
        <w:rPr>
          <w:color w:val="auto"/>
          <w:szCs w:val="32"/>
          <w:highlight w:val="none"/>
        </w:rPr>
      </w:pPr>
      <w:r>
        <w:rPr>
          <w:rFonts w:hint="eastAsia"/>
          <w:color w:val="auto"/>
          <w:szCs w:val="32"/>
          <w:highlight w:val="none"/>
        </w:rPr>
        <w:t>10.4中标人应免费提供合同货物的安装服务。</w:t>
      </w:r>
    </w:p>
    <w:p>
      <w:pPr>
        <w:ind w:firstLine="480"/>
        <w:rPr>
          <w:color w:val="auto"/>
          <w:szCs w:val="32"/>
          <w:highlight w:val="none"/>
        </w:rPr>
      </w:pPr>
      <w:r>
        <w:rPr>
          <w:rFonts w:hint="eastAsia"/>
          <w:color w:val="auto"/>
          <w:szCs w:val="32"/>
          <w:highlight w:val="none"/>
        </w:rPr>
        <w:t>10.5中标人在投标文件中应提供安装调试计划、对安装场地和环境的要求。</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bookmarkEnd w:id="18"/>
    <w:p>
      <w:pPr>
        <w:pStyle w:val="4"/>
        <w:rPr>
          <w:color w:val="auto"/>
          <w:highlight w:val="none"/>
        </w:rPr>
      </w:pPr>
      <w:bookmarkStart w:id="39" w:name="_Toc17984"/>
      <w:r>
        <w:rPr>
          <w:rFonts w:hint="eastAsia" w:cs="宋体"/>
          <w:color w:val="auto"/>
          <w:highlight w:val="none"/>
        </w:rPr>
        <w:t>第三章 投标人须知</w:t>
      </w:r>
      <w:bookmarkEnd w:id="39"/>
    </w:p>
    <w:p>
      <w:pPr>
        <w:pStyle w:val="5"/>
        <w:jc w:val="center"/>
        <w:rPr>
          <w:rFonts w:ascii="宋体" w:hAnsi="宋体" w:cs="宋体"/>
          <w:color w:val="auto"/>
          <w:highlight w:val="none"/>
        </w:rPr>
      </w:pPr>
      <w:bookmarkStart w:id="40" w:name="_Toc21699"/>
      <w:bookmarkStart w:id="41" w:name="_Toc452457413"/>
      <w:bookmarkStart w:id="42" w:name="_Toc2290"/>
      <w:r>
        <w:rPr>
          <w:rFonts w:hint="eastAsia" w:ascii="宋体" w:hAnsi="宋体" w:cs="宋体"/>
          <w:color w:val="auto"/>
          <w:highlight w:val="none"/>
        </w:rPr>
        <w:t>前 附 表</w:t>
      </w:r>
      <w:bookmarkEnd w:id="40"/>
      <w:bookmarkEnd w:id="41"/>
      <w:bookmarkEnd w:id="42"/>
    </w:p>
    <w:tbl>
      <w:tblPr>
        <w:tblStyle w:val="39"/>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ind w:firstLine="0" w:firstLineChars="0"/>
              <w:jc w:val="center"/>
              <w:rPr>
                <w:color w:val="auto"/>
                <w:highlight w:val="none"/>
              </w:rPr>
            </w:pPr>
            <w:r>
              <w:rPr>
                <w:rFonts w:hint="eastAsia"/>
                <w:color w:val="auto"/>
                <w:highlight w:val="none"/>
              </w:rPr>
              <w:t>序号</w:t>
            </w:r>
          </w:p>
        </w:tc>
        <w:tc>
          <w:tcPr>
            <w:tcW w:w="1944" w:type="dxa"/>
            <w:vAlign w:val="center"/>
          </w:tcPr>
          <w:p>
            <w:pPr>
              <w:ind w:firstLine="0" w:firstLineChars="0"/>
              <w:jc w:val="center"/>
              <w:rPr>
                <w:color w:val="auto"/>
                <w:highlight w:val="none"/>
                <w:lang w:val="zh-CN"/>
              </w:rPr>
            </w:pPr>
            <w:r>
              <w:rPr>
                <w:rFonts w:hint="eastAsia"/>
                <w:color w:val="auto"/>
                <w:highlight w:val="none"/>
                <w:lang w:val="zh-CN"/>
              </w:rPr>
              <w:t>事项</w:t>
            </w:r>
          </w:p>
        </w:tc>
        <w:tc>
          <w:tcPr>
            <w:tcW w:w="6670" w:type="dxa"/>
            <w:vAlign w:val="center"/>
          </w:tcPr>
          <w:p>
            <w:pPr>
              <w:ind w:firstLine="0" w:firstLineChars="0"/>
              <w:jc w:val="center"/>
              <w:rPr>
                <w:color w:val="auto"/>
                <w:highlight w:val="none"/>
                <w:lang w:val="zh-CN"/>
              </w:rPr>
            </w:pPr>
            <w:r>
              <w:rPr>
                <w:rFonts w:hint="eastAsia"/>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highlight w:val="none"/>
              </w:rPr>
            </w:pPr>
          </w:p>
        </w:tc>
        <w:tc>
          <w:tcPr>
            <w:tcW w:w="1944" w:type="dxa"/>
          </w:tcPr>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r>
              <w:rPr>
                <w:rFonts w:hint="eastAsia"/>
                <w:color w:val="auto"/>
                <w:highlight w:val="none"/>
              </w:rPr>
              <w:t>报价要求</w:t>
            </w:r>
          </w:p>
          <w:p>
            <w:pPr>
              <w:pStyle w:val="2"/>
              <w:jc w:val="center"/>
              <w:rPr>
                <w:rFonts w:ascii="仿宋" w:hAnsi="仿宋" w:eastAsia="仿宋" w:cs="仿宋_GB2312"/>
                <w:b/>
                <w:color w:val="auto"/>
                <w:highlight w:val="none"/>
              </w:rPr>
            </w:pPr>
          </w:p>
        </w:tc>
        <w:tc>
          <w:tcPr>
            <w:tcW w:w="6670" w:type="dxa"/>
          </w:tcPr>
          <w:p>
            <w:pPr>
              <w:spacing w:line="348" w:lineRule="auto"/>
              <w:ind w:firstLine="480"/>
              <w:rPr>
                <w:rFonts w:ascii="宋体" w:hAnsi="宋体" w:cs="宋体"/>
                <w:color w:val="auto"/>
                <w:highlight w:val="none"/>
              </w:rPr>
            </w:pPr>
            <w:r>
              <w:rPr>
                <w:rFonts w:hint="eastAsia" w:ascii="宋体" w:hAnsi="宋体" w:cs="宋体"/>
                <w:color w:val="auto"/>
                <w:highlight w:val="none"/>
              </w:rPr>
              <w:t>1. 投标报价需包含设备（软件）费、安装费、调试费、验收费（通过验收直至交付用户使用，达到使用要求及质量标准）、培训费、合同包含的所有风险责任等各项费用及不可预见费、质保期内保修服务等所需的全部费用都包含在投标总价中。</w:t>
            </w:r>
          </w:p>
          <w:p>
            <w:pPr>
              <w:spacing w:line="348" w:lineRule="auto"/>
              <w:ind w:firstLine="480"/>
              <w:rPr>
                <w:rFonts w:ascii="宋体" w:hAnsi="宋体" w:cs="宋体"/>
                <w:color w:val="auto"/>
                <w:highlight w:val="none"/>
              </w:rPr>
            </w:pPr>
            <w:r>
              <w:rPr>
                <w:rFonts w:hint="eastAsia" w:ascii="宋体" w:hAnsi="宋体" w:cs="宋体"/>
                <w:color w:val="auto"/>
                <w:highlight w:val="none"/>
              </w:rPr>
              <w:t>2. 不论采购结果如何，投标人均应自行承担所有与此次投标有关的全部费用。</w:t>
            </w:r>
          </w:p>
          <w:p>
            <w:pPr>
              <w:spacing w:line="348" w:lineRule="auto"/>
              <w:ind w:firstLine="480"/>
              <w:rPr>
                <w:rFonts w:ascii="宋体" w:hAnsi="宋体" w:cs="宋体"/>
                <w:color w:val="auto"/>
                <w:highlight w:val="none"/>
              </w:rPr>
            </w:pPr>
            <w:r>
              <w:rPr>
                <w:rFonts w:hint="eastAsia" w:ascii="宋体" w:hAnsi="宋体" w:cs="宋体"/>
                <w:color w:val="auto"/>
                <w:highlight w:val="none"/>
              </w:rPr>
              <w:t>3. 投标报价是指一次性报出不得修改的价格，投标报价应按采购文件中相关附表格式填写。</w:t>
            </w:r>
          </w:p>
          <w:p>
            <w:pPr>
              <w:spacing w:line="348" w:lineRule="auto"/>
              <w:ind w:firstLine="480"/>
              <w:rPr>
                <w:rFonts w:ascii="宋体" w:hAnsi="宋体" w:cs="宋体"/>
                <w:color w:val="auto"/>
                <w:highlight w:val="none"/>
              </w:rPr>
            </w:pPr>
            <w:r>
              <w:rPr>
                <w:rFonts w:hint="eastAsia" w:ascii="宋体" w:hAnsi="宋体" w:cs="宋体"/>
                <w:color w:val="auto"/>
                <w:highlight w:val="none"/>
              </w:rPr>
              <w:t xml:space="preserve">4. 投标报价是履行合同的最终价格，应包括完成所有产品供货及履行所有规定服务所产生的全部费用。 </w:t>
            </w:r>
          </w:p>
          <w:p>
            <w:pPr>
              <w:ind w:firstLine="480"/>
              <w:rPr>
                <w:rFonts w:ascii="仿宋" w:hAnsi="仿宋" w:eastAsia="仿宋" w:cs="仿宋_GB2312"/>
                <w:b/>
                <w:color w:val="auto"/>
                <w:highlight w:val="none"/>
              </w:rPr>
            </w:pPr>
            <w:r>
              <w:rPr>
                <w:rFonts w:hint="eastAsia" w:ascii="宋体" w:hAnsi="宋体" w:cs="宋体"/>
                <w:color w:val="auto"/>
                <w:highlight w:val="none"/>
              </w:rPr>
              <w:t>5. 投标文件只允许有一个报价，有选择或有条件的报价将不予接受，其投标无效。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Pr>
          <w:p>
            <w:pPr>
              <w:ind w:firstLine="0" w:firstLineChars="0"/>
              <w:jc w:val="center"/>
              <w:rPr>
                <w:color w:val="auto"/>
                <w:highlight w:val="none"/>
              </w:rPr>
            </w:pPr>
            <w:r>
              <w:rPr>
                <w:rFonts w:hint="eastAsia"/>
                <w:color w:val="auto"/>
                <w:highlight w:val="none"/>
              </w:rPr>
              <w:t>经批准或确认的本次采购方式</w:t>
            </w:r>
          </w:p>
        </w:tc>
        <w:tc>
          <w:tcPr>
            <w:tcW w:w="6670" w:type="dxa"/>
          </w:tcPr>
          <w:p>
            <w:pPr>
              <w:pStyle w:val="2"/>
              <w:rPr>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color w:val="auto"/>
                <w:highlight w:val="none"/>
              </w:rPr>
            </w:pPr>
            <w:r>
              <w:rPr>
                <w:rFonts w:hint="eastAsia"/>
                <w:color w:val="auto"/>
                <w:highlight w:val="none"/>
              </w:rPr>
              <w:t>分包或转包</w:t>
            </w:r>
          </w:p>
        </w:tc>
        <w:tc>
          <w:tcPr>
            <w:tcW w:w="6670" w:type="dxa"/>
            <w:vAlign w:val="center"/>
          </w:tcPr>
          <w:p>
            <w:pPr>
              <w:numPr>
                <w:ilvl w:val="0"/>
                <w:numId w:val="5"/>
              </w:numPr>
              <w:ind w:firstLine="0" w:firstLineChars="0"/>
              <w:rPr>
                <w:color w:val="auto"/>
                <w:highlight w:val="none"/>
              </w:rPr>
            </w:pPr>
            <w:r>
              <w:rPr>
                <w:rFonts w:hint="eastAsia"/>
                <w:color w:val="auto"/>
                <w:highlight w:val="none"/>
              </w:rPr>
              <w:t>采购人不同意分包。</w:t>
            </w:r>
          </w:p>
          <w:p>
            <w:pPr>
              <w:pStyle w:val="9"/>
              <w:ind w:firstLine="0"/>
              <w:rPr>
                <w:color w:val="auto"/>
                <w:highlight w:val="none"/>
              </w:rPr>
            </w:pPr>
            <w:r>
              <w:rPr>
                <w:rFonts w:hint="eastAsia"/>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投标人应当提供的资格证明文件、报价文件和商务技术文件</w:t>
            </w:r>
          </w:p>
        </w:tc>
        <w:tc>
          <w:tcPr>
            <w:tcW w:w="6670" w:type="dxa"/>
            <w:vAlign w:val="center"/>
          </w:tcPr>
          <w:p>
            <w:pPr>
              <w:ind w:firstLine="0" w:firstLineChars="0"/>
              <w:rPr>
                <w:color w:val="auto"/>
                <w:highlight w:val="none"/>
              </w:rPr>
            </w:pPr>
            <w:r>
              <w:rPr>
                <w:rFonts w:hint="eastAsia"/>
                <w:color w:val="auto"/>
                <w:highlight w:val="none"/>
              </w:rPr>
              <w:t>（1）资格证明文件：见本章第三节。</w:t>
            </w:r>
          </w:p>
          <w:p>
            <w:pPr>
              <w:ind w:firstLine="0" w:firstLineChars="0"/>
              <w:rPr>
                <w:color w:val="auto"/>
                <w:highlight w:val="none"/>
              </w:rPr>
            </w:pPr>
            <w:r>
              <w:rPr>
                <w:rFonts w:hint="eastAsia"/>
                <w:color w:val="auto"/>
                <w:highlight w:val="none"/>
              </w:rPr>
              <w:t>（2）报价文件和商务技术文：见本章第三节。</w:t>
            </w:r>
          </w:p>
          <w:p>
            <w:pPr>
              <w:ind w:firstLine="0" w:firstLineChars="0"/>
              <w:rPr>
                <w:color w:val="auto"/>
                <w:highlight w:val="none"/>
              </w:rPr>
            </w:pPr>
            <w:r>
              <w:rPr>
                <w:rFonts w:hint="eastAsia"/>
                <w:color w:val="auto"/>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投标文件份数</w:t>
            </w:r>
          </w:p>
        </w:tc>
        <w:tc>
          <w:tcPr>
            <w:tcW w:w="6670" w:type="dxa"/>
            <w:vAlign w:val="center"/>
          </w:tcPr>
          <w:p>
            <w:pPr>
              <w:ind w:firstLine="0" w:firstLineChars="0"/>
              <w:rPr>
                <w:color w:val="auto"/>
                <w:highlight w:val="none"/>
              </w:rPr>
            </w:pPr>
            <w:r>
              <w:rPr>
                <w:rFonts w:hint="eastAsia"/>
                <w:color w:val="auto"/>
                <w:highlight w:val="none"/>
              </w:rPr>
              <w:t>（1）纸质版：资格证明文件正本一份，副本无需提供；报价文件正本一份，副本四份；商务技术文件正本一份，副本四份。</w:t>
            </w:r>
          </w:p>
          <w:p>
            <w:pPr>
              <w:ind w:firstLine="0" w:firstLineChars="0"/>
              <w:rPr>
                <w:color w:val="auto"/>
                <w:highlight w:val="none"/>
              </w:rPr>
            </w:pPr>
            <w:r>
              <w:rPr>
                <w:rFonts w:hint="eastAsia"/>
                <w:color w:val="auto"/>
                <w:highlight w:val="none"/>
              </w:rPr>
              <w:t>（2）电子版：一份，内容为已签字盖章的商务技术纸质响应文件正本的扫描件，PDF格式，U盘存储。</w:t>
            </w:r>
          </w:p>
          <w:p>
            <w:pPr>
              <w:ind w:firstLine="0" w:firstLineChars="0"/>
              <w:rPr>
                <w:color w:val="auto"/>
                <w:highlight w:val="none"/>
              </w:rPr>
            </w:pPr>
            <w:r>
              <w:rPr>
                <w:rFonts w:hint="eastAsia"/>
                <w:b/>
                <w:bCs/>
                <w:color w:val="auto"/>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Pr>
          <w:p>
            <w:pPr>
              <w:ind w:firstLine="0" w:firstLineChars="0"/>
              <w:jc w:val="center"/>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w:t>
            </w:r>
          </w:p>
        </w:tc>
        <w:tc>
          <w:tcPr>
            <w:tcW w:w="6670" w:type="dxa"/>
          </w:tcPr>
          <w:p>
            <w:pPr>
              <w:ind w:firstLine="0" w:firstLineChars="0"/>
              <w:rPr>
                <w:rFonts w:ascii="宋体" w:hAnsi="宋体" w:cs="宋体"/>
                <w:bCs/>
                <w:color w:val="auto"/>
                <w:kern w:val="0"/>
                <w:szCs w:val="21"/>
                <w:highlight w:val="none"/>
              </w:rPr>
            </w:pPr>
            <w:r>
              <w:rPr>
                <w:rFonts w:hint="eastAsia" w:ascii="宋体" w:hAnsi="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开标前答疑会或现场考察</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样品提供</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现场演示</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采购机构代理费用</w:t>
            </w:r>
          </w:p>
        </w:tc>
        <w:tc>
          <w:tcPr>
            <w:tcW w:w="6670" w:type="dxa"/>
            <w:vAlign w:val="center"/>
          </w:tcPr>
          <w:p>
            <w:pPr>
              <w:snapToGrid w:val="0"/>
              <w:spacing w:line="312" w:lineRule="auto"/>
              <w:ind w:firstLine="480"/>
              <w:rPr>
                <w:rFonts w:ascii="宋体" w:hAnsi="宋体"/>
                <w:color w:val="auto"/>
                <w:highlight w:val="none"/>
              </w:rPr>
            </w:pPr>
            <w:r>
              <w:rPr>
                <w:rFonts w:hint="eastAsia" w:ascii="宋体" w:hAnsi="宋体"/>
                <w:color w:val="auto"/>
                <w:highlight w:val="none"/>
              </w:rPr>
              <w:t>代理服务费收费标准为：按国家计委关于印发《招标代理服务收费管理暂行办法》(计价格[2002]1980号)文件规定收费标准的70%向中标(成交)供应商收取。即服务收费标准(费率)如下：</w:t>
            </w:r>
          </w:p>
          <w:tbl>
            <w:tblPr>
              <w:tblStyle w:val="39"/>
              <w:tblW w:w="6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02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服务类型中标金额（万元）</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货物招标</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100以下</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1.05%</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100-500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0.77%</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500-1000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0.56%</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1000-5000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0.35%</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5000-10000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0.18%</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0.07%</w:t>
                  </w:r>
                </w:p>
              </w:tc>
            </w:tr>
          </w:tbl>
          <w:p>
            <w:pPr>
              <w:spacing w:line="312" w:lineRule="auto"/>
              <w:ind w:firstLine="480"/>
              <w:rPr>
                <w:rFonts w:ascii="宋体" w:hAnsi="宋体" w:cs="宋体"/>
                <w:color w:val="auto"/>
                <w:highlight w:val="none"/>
              </w:rPr>
            </w:pPr>
            <w:r>
              <w:rPr>
                <w:rFonts w:hint="eastAsia" w:ascii="宋体" w:hAnsi="宋体" w:cs="宋体"/>
                <w:color w:val="auto"/>
                <w:highlight w:val="none"/>
              </w:rPr>
              <w:t>1.成交人在领取成交通知书前，应向招标代理机构交纳招标代理服务费。</w:t>
            </w:r>
          </w:p>
          <w:p>
            <w:pPr>
              <w:spacing w:line="312" w:lineRule="auto"/>
              <w:ind w:firstLine="480"/>
              <w:rPr>
                <w:rFonts w:ascii="宋体" w:hAnsi="宋体" w:cs="宋体"/>
                <w:color w:val="auto"/>
                <w:highlight w:val="none"/>
              </w:rPr>
            </w:pPr>
            <w:r>
              <w:rPr>
                <w:rFonts w:hint="eastAsia" w:ascii="宋体" w:hAnsi="宋体" w:cs="宋体"/>
                <w:color w:val="auto"/>
                <w:highlight w:val="none"/>
              </w:rPr>
              <w:t>2.招标代理服务费以电汇方式支付。</w:t>
            </w:r>
          </w:p>
          <w:p>
            <w:pPr>
              <w:spacing w:line="312" w:lineRule="auto"/>
              <w:ind w:firstLine="480"/>
              <w:rPr>
                <w:rFonts w:ascii="宋体" w:hAnsi="宋体" w:cs="宋体"/>
                <w:color w:val="auto"/>
                <w:highlight w:val="none"/>
              </w:rPr>
            </w:pPr>
            <w:r>
              <w:rPr>
                <w:rFonts w:hint="eastAsia" w:ascii="宋体" w:hAnsi="宋体" w:cs="宋体"/>
                <w:color w:val="auto"/>
                <w:highlight w:val="none"/>
              </w:rPr>
              <w:t>服务费汇入以下账户：</w:t>
            </w:r>
          </w:p>
          <w:p>
            <w:pPr>
              <w:spacing w:line="312" w:lineRule="auto"/>
              <w:ind w:firstLine="480"/>
              <w:rPr>
                <w:rFonts w:ascii="宋体" w:hAnsi="宋体" w:cs="宋体"/>
                <w:color w:val="auto"/>
                <w:highlight w:val="none"/>
              </w:rPr>
            </w:pPr>
            <w:r>
              <w:rPr>
                <w:rFonts w:hint="eastAsia" w:ascii="宋体" w:hAnsi="宋体" w:cs="宋体"/>
                <w:color w:val="auto"/>
                <w:highlight w:val="none"/>
              </w:rPr>
              <w:t>单位：浙江五石工程咨询有限公司萧山分公司</w:t>
            </w:r>
          </w:p>
          <w:p>
            <w:pPr>
              <w:spacing w:line="312" w:lineRule="auto"/>
              <w:ind w:firstLine="480"/>
              <w:rPr>
                <w:rFonts w:ascii="宋体" w:hAnsi="宋体" w:cs="宋体"/>
                <w:color w:val="auto"/>
                <w:highlight w:val="none"/>
              </w:rPr>
            </w:pPr>
            <w:r>
              <w:rPr>
                <w:rFonts w:hint="eastAsia" w:ascii="宋体" w:hAnsi="宋体" w:cs="宋体"/>
                <w:color w:val="auto"/>
                <w:highlight w:val="none"/>
              </w:rPr>
              <w:t>银行：浙江民泰商业银行杭州钱江新城支行</w:t>
            </w:r>
          </w:p>
          <w:p>
            <w:pPr>
              <w:ind w:firstLine="480"/>
              <w:rPr>
                <w:rFonts w:ascii="宋体" w:hAnsi="宋体" w:cs="宋体"/>
                <w:color w:val="auto"/>
                <w:highlight w:val="none"/>
              </w:rPr>
            </w:pPr>
            <w:r>
              <w:rPr>
                <w:rFonts w:hint="eastAsia" w:ascii="宋体" w:hAnsi="宋体" w:cs="宋体"/>
                <w:color w:val="auto"/>
                <w:highlight w:val="none"/>
              </w:rPr>
              <w:t>账号：583777806800015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rPr>
                <w:rFonts w:ascii="宋体" w:hAnsi="宋体" w:cs="宋体"/>
                <w:color w:val="auto"/>
                <w:highlight w:val="none"/>
              </w:rPr>
            </w:pPr>
            <w:r>
              <w:rPr>
                <w:rFonts w:hint="eastAsia" w:ascii="宋体" w:hAnsi="宋体"/>
                <w:color w:val="auto"/>
                <w:highlight w:val="none"/>
              </w:rPr>
              <w:t>中标后注意事项</w:t>
            </w:r>
          </w:p>
        </w:tc>
        <w:tc>
          <w:tcPr>
            <w:tcW w:w="6670" w:type="dxa"/>
            <w:vAlign w:val="center"/>
          </w:tcPr>
          <w:p>
            <w:pPr>
              <w:numPr>
                <w:ilvl w:val="0"/>
                <w:numId w:val="6"/>
              </w:numPr>
              <w:tabs>
                <w:tab w:val="left" w:pos="312"/>
              </w:tabs>
              <w:ind w:firstLine="0" w:firstLineChars="0"/>
              <w:rPr>
                <w:rFonts w:ascii="宋体" w:hAnsi="宋体"/>
                <w:color w:val="auto"/>
                <w:highlight w:val="none"/>
              </w:rPr>
            </w:pPr>
            <w:r>
              <w:rPr>
                <w:rFonts w:hint="eastAsia" w:ascii="宋体" w:hAnsi="宋体"/>
                <w:color w:val="auto"/>
                <w:highlight w:val="none"/>
              </w:rPr>
              <w:t>成交人在中标之后领取通知书之前，应向招标代理机构交纳招标代理服务费。</w:t>
            </w:r>
          </w:p>
          <w:p>
            <w:pPr>
              <w:numPr>
                <w:ilvl w:val="0"/>
                <w:numId w:val="6"/>
              </w:numPr>
              <w:tabs>
                <w:tab w:val="left" w:pos="312"/>
              </w:tabs>
              <w:ind w:firstLine="0" w:firstLineChars="0"/>
              <w:rPr>
                <w:rFonts w:ascii="宋体" w:hAnsi="宋体"/>
                <w:color w:val="auto"/>
                <w:highlight w:val="none"/>
              </w:rPr>
            </w:pPr>
            <w:r>
              <w:rPr>
                <w:rFonts w:hint="eastAsia" w:ascii="宋体" w:hAnsi="宋体"/>
                <w:color w:val="auto"/>
                <w:highlight w:val="none"/>
              </w:rPr>
              <w:t>若中标人未在约定时间内支付招标代理服务费，从逾期之日起按日利率千分之一承担违约金。</w:t>
            </w:r>
          </w:p>
          <w:p>
            <w:pPr>
              <w:numPr>
                <w:ilvl w:val="0"/>
                <w:numId w:val="6"/>
              </w:numPr>
              <w:ind w:firstLine="0" w:firstLineChars="0"/>
              <w:rPr>
                <w:rFonts w:ascii="宋体" w:hAnsi="宋体" w:cs="宋体"/>
                <w:color w:val="auto"/>
                <w:highlight w:val="none"/>
              </w:rPr>
            </w:pPr>
            <w:r>
              <w:rPr>
                <w:rFonts w:hint="eastAsia" w:ascii="宋体" w:hAnsi="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rFonts w:ascii="宋体" w:hAnsi="宋体" w:cs="宋体"/>
                <w:color w:val="auto"/>
                <w:highlight w:val="none"/>
              </w:rPr>
            </w:pPr>
            <w:r>
              <w:rPr>
                <w:rFonts w:hint="eastAsia" w:ascii="宋体" w:hAnsi="宋体" w:cs="宋体"/>
                <w:color w:val="auto"/>
                <w:highlight w:val="none"/>
              </w:rPr>
              <w:t>质疑与投诉</w:t>
            </w:r>
          </w:p>
          <w:p>
            <w:pPr>
              <w:ind w:firstLine="0" w:firstLineChars="0"/>
              <w:jc w:val="center"/>
              <w:rPr>
                <w:rFonts w:ascii="宋体" w:hAnsi="宋体" w:cs="宋体"/>
                <w:color w:val="auto"/>
                <w:szCs w:val="32"/>
                <w:highlight w:val="none"/>
              </w:rPr>
            </w:pP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color w:val="auto"/>
                <w:highlight w:val="none"/>
              </w:rPr>
            </w:pPr>
            <w:r>
              <w:rPr>
                <w:rFonts w:hint="eastAsia" w:ascii="宋体" w:hAnsi="宋体" w:cs="宋体"/>
                <w:color w:val="auto"/>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szCs w:val="32"/>
                <w:highlight w:val="none"/>
              </w:rPr>
            </w:pPr>
            <w:r>
              <w:rPr>
                <w:rFonts w:hint="eastAsia" w:ascii="宋体" w:hAnsi="宋体" w:cs="宋体"/>
                <w:color w:val="auto"/>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szCs w:val="32"/>
                <w:highlight w:val="none"/>
              </w:rPr>
            </w:pPr>
          </w:p>
        </w:tc>
        <w:tc>
          <w:tcPr>
            <w:tcW w:w="1944" w:type="dxa"/>
            <w:vAlign w:val="center"/>
          </w:tcPr>
          <w:p>
            <w:pPr>
              <w:ind w:firstLine="0" w:firstLineChars="0"/>
              <w:jc w:val="center"/>
              <w:rPr>
                <w:color w:val="auto"/>
                <w:highlight w:val="none"/>
              </w:rPr>
            </w:pPr>
            <w:r>
              <w:rPr>
                <w:rFonts w:hint="eastAsia"/>
                <w:color w:val="auto"/>
                <w:highlight w:val="none"/>
                <w:lang w:val="zh-CN"/>
              </w:rPr>
              <w:t>实质性条款</w:t>
            </w:r>
          </w:p>
        </w:tc>
        <w:tc>
          <w:tcPr>
            <w:tcW w:w="6670" w:type="dxa"/>
            <w:vAlign w:val="center"/>
          </w:tcPr>
          <w:p>
            <w:pPr>
              <w:ind w:firstLine="0" w:firstLineChars="0"/>
              <w:rPr>
                <w:rFonts w:ascii="宋体" w:hAnsi="宋体" w:cs="宋体"/>
                <w:color w:val="auto"/>
                <w:spacing w:val="-6"/>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4"/>
              </w:numPr>
              <w:ind w:firstLineChars="0"/>
              <w:jc w:val="center"/>
              <w:rPr>
                <w:rFonts w:ascii="宋体" w:hAnsi="宋体" w:cs="宋体"/>
                <w:color w:val="auto"/>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本招标文件解释权属于采购人和采购代理机构。</w:t>
            </w:r>
          </w:p>
        </w:tc>
      </w:tr>
    </w:tbl>
    <w:p>
      <w:pPr>
        <w:pStyle w:val="5"/>
        <w:jc w:val="center"/>
        <w:rPr>
          <w:rFonts w:ascii="宋体" w:hAnsi="宋体" w:cs="宋体"/>
          <w:color w:val="auto"/>
          <w:highlight w:val="none"/>
        </w:rPr>
      </w:pPr>
      <w:bookmarkStart w:id="43" w:name="_Toc452457414"/>
      <w:bookmarkStart w:id="44" w:name="_Toc247085689"/>
      <w:bookmarkStart w:id="45" w:name="_Toc152045529"/>
      <w:bookmarkStart w:id="46" w:name="_Toc152042305"/>
      <w:bookmarkStart w:id="47" w:name="_Toc179632546"/>
      <w:bookmarkStart w:id="48" w:name="_Toc246996175"/>
      <w:bookmarkStart w:id="49" w:name="_Toc246996918"/>
      <w:bookmarkStart w:id="50" w:name="_Toc296602420"/>
      <w:bookmarkStart w:id="51" w:name="_Toc144974497"/>
      <w:r>
        <w:rPr>
          <w:rFonts w:hint="eastAsia" w:ascii="宋体" w:hAnsi="宋体" w:cs="宋体"/>
          <w:color w:val="auto"/>
          <w:highlight w:val="none"/>
        </w:rPr>
        <w:br w:type="page"/>
      </w:r>
      <w:bookmarkEnd w:id="43"/>
      <w:bookmarkEnd w:id="44"/>
      <w:bookmarkEnd w:id="45"/>
      <w:bookmarkEnd w:id="46"/>
      <w:bookmarkEnd w:id="47"/>
      <w:bookmarkEnd w:id="48"/>
      <w:bookmarkEnd w:id="49"/>
      <w:bookmarkEnd w:id="50"/>
      <w:bookmarkEnd w:id="51"/>
      <w:bookmarkStart w:id="52" w:name="_Toc22147"/>
      <w:bookmarkStart w:id="53" w:name="_Toc2440"/>
      <w:bookmarkStart w:id="54" w:name="_Toc246996176"/>
      <w:bookmarkStart w:id="55" w:name="_Toc247085690"/>
      <w:bookmarkStart w:id="56" w:name="_Toc144974498"/>
      <w:bookmarkStart w:id="57" w:name="_Toc152045530"/>
      <w:bookmarkStart w:id="58" w:name="_Toc152042306"/>
      <w:bookmarkStart w:id="59" w:name="_Toc296602421"/>
      <w:bookmarkStart w:id="60" w:name="_Toc179632547"/>
      <w:bookmarkStart w:id="61" w:name="_Toc246996919"/>
      <w:r>
        <w:rPr>
          <w:rFonts w:hint="eastAsia" w:ascii="宋体" w:hAnsi="宋体" w:cs="宋体"/>
          <w:color w:val="auto"/>
          <w:highlight w:val="none"/>
        </w:rPr>
        <w:t>第一节 总 则</w:t>
      </w:r>
      <w:bookmarkEnd w:id="52"/>
      <w:bookmarkEnd w:id="53"/>
    </w:p>
    <w:p>
      <w:pPr>
        <w:pStyle w:val="6"/>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pStyle w:val="6"/>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1.“采购人”系指中国计量大学。</w:t>
      </w:r>
    </w:p>
    <w:p>
      <w:pPr>
        <w:ind w:firstLine="480"/>
        <w:rPr>
          <w:rFonts w:ascii="宋体" w:hAnsi="宋体" w:cs="宋体"/>
          <w:color w:val="auto"/>
          <w:highlight w:val="none"/>
        </w:rPr>
      </w:pPr>
      <w:r>
        <w:rPr>
          <w:rFonts w:hint="eastAsia" w:ascii="宋体" w:hAnsi="宋体" w:cs="宋体"/>
          <w:color w:val="auto"/>
          <w:highlight w:val="none"/>
        </w:rPr>
        <w:t>2.“采购代理机构”系组织本次招标的浙江五石工程咨询有限公司。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3.“投标人”和“投标人”系指参加本次招标活动符合资格条件的供应商。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ind w:firstLine="456"/>
        <w:jc w:val="left"/>
        <w:rPr>
          <w:rFonts w:ascii="宋体" w:hAnsi="宋体"/>
          <w:color w:val="auto"/>
          <w:spacing w:val="-6"/>
          <w:highlight w:val="none"/>
        </w:rPr>
      </w:pPr>
      <w:r>
        <w:rPr>
          <w:rFonts w:hint="eastAsia" w:ascii="宋体" w:hAnsi="宋体"/>
          <w:color w:val="auto"/>
          <w:spacing w:val="-6"/>
          <w:highlight w:val="none"/>
        </w:rPr>
        <w:t>6.联合体：</w:t>
      </w:r>
    </w:p>
    <w:p>
      <w:pPr>
        <w:ind w:firstLine="456"/>
        <w:jc w:val="left"/>
        <w:rPr>
          <w:rFonts w:ascii="宋体" w:hAnsi="宋体"/>
          <w:color w:val="auto"/>
          <w:spacing w:val="-6"/>
          <w:highlight w:val="none"/>
        </w:rPr>
      </w:pPr>
      <w:r>
        <w:rPr>
          <w:rFonts w:hint="eastAsia" w:ascii="宋体" w:hAnsi="宋体"/>
          <w:color w:val="auto"/>
          <w:spacing w:val="-6"/>
          <w:highlight w:val="none"/>
        </w:rPr>
        <w:t>联合体投标的，应遵守以下规定：</w:t>
      </w:r>
    </w:p>
    <w:p>
      <w:pPr>
        <w:ind w:firstLine="456"/>
        <w:jc w:val="left"/>
        <w:rPr>
          <w:rFonts w:ascii="宋体" w:hAnsi="宋体"/>
          <w:color w:val="auto"/>
          <w:spacing w:val="-6"/>
          <w:highlight w:val="none"/>
        </w:rPr>
      </w:pPr>
      <w:r>
        <w:rPr>
          <w:rFonts w:hint="eastAsia" w:ascii="宋体" w:hAnsi="宋体"/>
          <w:color w:val="auto"/>
          <w:spacing w:val="-6"/>
          <w:highlight w:val="none"/>
        </w:rPr>
        <w:t>1）两个以上供应商可以组成一个联合体，以一个供应商的身份共同参加政府采购；</w:t>
      </w:r>
    </w:p>
    <w:p>
      <w:pPr>
        <w:ind w:firstLine="456"/>
        <w:jc w:val="left"/>
        <w:rPr>
          <w:rFonts w:ascii="宋体" w:hAnsi="宋体"/>
          <w:color w:val="auto"/>
          <w:spacing w:val="-6"/>
          <w:highlight w:val="none"/>
        </w:rPr>
      </w:pPr>
      <w:r>
        <w:rPr>
          <w:rFonts w:hint="eastAsia" w:ascii="宋体" w:hAnsi="宋体"/>
          <w:color w:val="auto"/>
          <w:spacing w:val="-6"/>
          <w:highlight w:val="none"/>
        </w:rPr>
        <w:t>2）组成联合体参加本项目的，须在购买招标文件时做出相关声明，否则不予接受。</w:t>
      </w:r>
    </w:p>
    <w:p>
      <w:pPr>
        <w:ind w:firstLine="456"/>
        <w:jc w:val="left"/>
        <w:rPr>
          <w:rFonts w:ascii="宋体" w:hAnsi="宋体"/>
          <w:color w:val="auto"/>
          <w:spacing w:val="-6"/>
          <w:highlight w:val="none"/>
        </w:rPr>
      </w:pPr>
      <w:r>
        <w:rPr>
          <w:rFonts w:hint="eastAsia" w:ascii="宋体" w:hAnsi="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color w:val="auto"/>
          <w:spacing w:val="-6"/>
          <w:highlight w:val="none"/>
        </w:rPr>
      </w:pPr>
      <w:r>
        <w:rPr>
          <w:rFonts w:hint="eastAsia" w:ascii="宋体" w:hAnsi="宋体"/>
          <w:color w:val="auto"/>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color w:val="auto"/>
          <w:spacing w:val="-6"/>
          <w:highlight w:val="none"/>
        </w:rPr>
      </w:pPr>
      <w:r>
        <w:rPr>
          <w:rFonts w:hint="eastAsia" w:ascii="宋体" w:hAnsi="宋体"/>
          <w:color w:val="auto"/>
          <w:spacing w:val="-6"/>
          <w:highlight w:val="none"/>
        </w:rPr>
        <w:t>5）联合体各方签订联合协议后，不得再以自己名义单独在同一项目中参加投标，也不得组成新的联合体参加同一项目投标；</w:t>
      </w:r>
    </w:p>
    <w:p>
      <w:pPr>
        <w:ind w:firstLine="456"/>
        <w:jc w:val="left"/>
        <w:rPr>
          <w:rFonts w:ascii="宋体" w:hAnsi="宋体"/>
          <w:color w:val="auto"/>
          <w:spacing w:val="-6"/>
          <w:highlight w:val="none"/>
        </w:rPr>
      </w:pPr>
      <w:r>
        <w:rPr>
          <w:rFonts w:hint="eastAsia" w:ascii="宋体" w:hAnsi="宋体"/>
          <w:color w:val="auto"/>
          <w:spacing w:val="-6"/>
          <w:highlight w:val="none"/>
        </w:rPr>
        <w:t>6）联合体各方应当共同与采购人签订采购合同，就采购合同约定的事项对采购人承担连带责任；</w:t>
      </w:r>
    </w:p>
    <w:p>
      <w:pPr>
        <w:ind w:firstLine="456"/>
        <w:jc w:val="left"/>
        <w:rPr>
          <w:rFonts w:ascii="宋体" w:hAnsi="宋体"/>
          <w:color w:val="auto"/>
          <w:spacing w:val="-6"/>
          <w:highlight w:val="none"/>
        </w:rPr>
      </w:pPr>
      <w:r>
        <w:rPr>
          <w:rFonts w:hint="eastAsia" w:ascii="宋体" w:hAnsi="宋体"/>
          <w:color w:val="auto"/>
          <w:spacing w:val="-6"/>
          <w:highlight w:val="none"/>
        </w:rPr>
        <w:t>7）投标文件须由主办人盖章及其代表签署。</w:t>
      </w:r>
    </w:p>
    <w:p>
      <w:pPr>
        <w:ind w:firstLine="456"/>
        <w:jc w:val="left"/>
        <w:rPr>
          <w:color w:val="auto"/>
          <w:highlight w:val="none"/>
        </w:rPr>
      </w:pPr>
      <w:r>
        <w:rPr>
          <w:rFonts w:hint="eastAsia" w:ascii="宋体" w:hAnsi="宋体"/>
          <w:color w:val="auto"/>
          <w:spacing w:val="-6"/>
          <w:highlight w:val="none"/>
        </w:rPr>
        <w:t>8）联合体投标，投标文件中供应商名称应注明“成员单位名称1和成员单位名称2的联合体”。</w:t>
      </w:r>
    </w:p>
    <w:p>
      <w:pPr>
        <w:pStyle w:val="6"/>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6"/>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1.无论投标结果如何，投标人自行承担所有与参加投标有关的全部费用。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2.中标人在领取中标通知书前，应向采购代理机构交纳招标代理服务费，收费标准见“第一章投标人须知前附表-11”。</w:t>
      </w:r>
    </w:p>
    <w:p>
      <w:pPr>
        <w:pStyle w:val="6"/>
        <w:rPr>
          <w:rFonts w:ascii="宋体" w:hAnsi="宋体" w:cs="宋体"/>
          <w:color w:val="auto"/>
          <w:highlight w:val="none"/>
        </w:rPr>
      </w:pPr>
      <w:r>
        <w:rPr>
          <w:rFonts w:hint="eastAsia" w:ascii="宋体" w:hAnsi="宋体" w:cs="宋体"/>
          <w:color w:val="auto"/>
          <w:highlight w:val="none"/>
        </w:rPr>
        <w:t>五、采购项目需要落实的政府采购政策</w:t>
      </w:r>
    </w:p>
    <w:p>
      <w:pPr>
        <w:ind w:firstLine="480"/>
        <w:rPr>
          <w:rFonts w:ascii="宋体" w:hAnsi="宋体" w:cs="宋体"/>
          <w:color w:val="auto"/>
          <w:highlight w:val="none"/>
        </w:rPr>
      </w:pPr>
      <w:r>
        <w:rPr>
          <w:rFonts w:hint="eastAsia" w:ascii="宋体" w:hAnsi="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highlight w:val="none"/>
        </w:rPr>
        <w:t>小型、微型</w:t>
      </w:r>
      <w:r>
        <w:rPr>
          <w:rFonts w:hint="eastAsia" w:ascii="宋体" w:hAnsi="宋体" w:cs="宋体"/>
          <w:color w:val="auto"/>
          <w:highlight w:val="none"/>
        </w:rPr>
        <w:t>企业价格扣除。</w:t>
      </w:r>
    </w:p>
    <w:p>
      <w:pPr>
        <w:ind w:firstLine="480"/>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小型、微型企业应当同时符合以下条件：</w:t>
      </w:r>
    </w:p>
    <w:p>
      <w:pPr>
        <w:ind w:firstLine="720" w:firstLineChars="300"/>
        <w:rPr>
          <w:rFonts w:ascii="宋体" w:hAnsi="宋体" w:cs="宋体"/>
          <w:bCs/>
          <w:color w:val="auto"/>
          <w:highlight w:val="none"/>
        </w:rPr>
      </w:pPr>
      <w:r>
        <w:rPr>
          <w:rFonts w:hint="eastAsia" w:ascii="宋体" w:hAnsi="宋体" w:cs="宋体"/>
          <w:bCs/>
          <w:color w:val="auto"/>
          <w:highlight w:val="none"/>
        </w:rPr>
        <w:t>1）符合中小企业划分标准；</w:t>
      </w:r>
    </w:p>
    <w:p>
      <w:pPr>
        <w:ind w:firstLine="720" w:firstLineChars="3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color w:val="auto"/>
          <w:highlight w:val="none"/>
        </w:rPr>
      </w:pPr>
      <w:r>
        <w:rPr>
          <w:rFonts w:hint="eastAsia" w:ascii="宋体" w:hAnsi="宋体" w:cs="宋体"/>
          <w:color w:val="auto"/>
          <w:highlight w:val="none"/>
        </w:rPr>
        <w:t>（2）小型、微型企业应按照招标文件格式要求提供《中小企业声明函》。</w:t>
      </w:r>
    </w:p>
    <w:p>
      <w:pPr>
        <w:ind w:firstLine="480"/>
        <w:rPr>
          <w:rFonts w:ascii="宋体" w:hAnsi="宋体" w:cs="宋体"/>
          <w:color w:val="auto"/>
          <w:highlight w:val="none"/>
        </w:rPr>
      </w:pPr>
      <w:r>
        <w:rPr>
          <w:rFonts w:hint="eastAsia" w:ascii="宋体" w:hAnsi="宋体" w:cs="宋体"/>
          <w:color w:val="auto"/>
          <w:highlight w:val="none"/>
        </w:rPr>
        <w:t>（3）对于非专门面向此类企业的项目，对小型和微型企业产品的投标价格给予6 %的扣除，用扣除后的价格参与评审。</w:t>
      </w:r>
    </w:p>
    <w:p>
      <w:pPr>
        <w:ind w:firstLine="480"/>
        <w:rPr>
          <w:rFonts w:ascii="宋体" w:hAnsi="宋体" w:cs="宋体"/>
          <w:color w:val="auto"/>
          <w:highlight w:val="none"/>
        </w:rPr>
      </w:pPr>
      <w:r>
        <w:rPr>
          <w:rFonts w:hint="eastAsia" w:ascii="宋体" w:hAnsi="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80"/>
        <w:rPr>
          <w:rFonts w:ascii="宋体" w:hAnsi="宋体" w:cs="宋体"/>
          <w:color w:val="auto"/>
          <w:highlight w:val="none"/>
        </w:rPr>
      </w:pPr>
      <w:r>
        <w:rPr>
          <w:rFonts w:hint="eastAsia" w:ascii="宋体" w:hAnsi="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color w:val="auto"/>
          <w:highlight w:val="none"/>
        </w:rPr>
      </w:pPr>
      <w:r>
        <w:rPr>
          <w:rFonts w:hint="eastAsia" w:ascii="宋体" w:hAnsi="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6"/>
        <w:rPr>
          <w:rFonts w:ascii="宋体" w:hAnsi="宋体" w:cs="宋体"/>
          <w:color w:val="auto"/>
          <w:highlight w:val="none"/>
        </w:rPr>
      </w:pPr>
      <w:r>
        <w:rPr>
          <w:rFonts w:hint="eastAsia" w:ascii="宋体" w:hAnsi="宋体" w:cs="宋体"/>
          <w:color w:val="auto"/>
          <w:highlight w:val="none"/>
        </w:rPr>
        <w:t>六、询问、质疑、投诉</w:t>
      </w:r>
    </w:p>
    <w:p>
      <w:pPr>
        <w:autoSpaceDE w:val="0"/>
        <w:autoSpaceDN w:val="0"/>
        <w:ind w:firstLine="48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供应商询问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0"/>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rPr>
        <w:t>2.</w:t>
      </w:r>
      <w:r>
        <w:rPr>
          <w:rFonts w:hint="eastAsia" w:hAnsi="宋体" w:cs="宋体"/>
          <w:color w:val="auto"/>
          <w:sz w:val="24"/>
          <w:szCs w:val="24"/>
          <w:highlight w:val="none"/>
          <w:lang w:val="zh-CN"/>
        </w:rPr>
        <w:t>供应商质疑（</w:t>
      </w:r>
      <w:r>
        <w:rPr>
          <w:rFonts w:hint="eastAsia" w:hAnsi="宋体" w:cs="宋体"/>
          <w:color w:val="auto"/>
          <w:sz w:val="24"/>
          <w:szCs w:val="24"/>
          <w:highlight w:val="none"/>
        </w:rPr>
        <w:t>根据财政部第94号《政府采购质疑和投诉办法》规定）</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1</w:t>
      </w:r>
      <w:r>
        <w:rPr>
          <w:rFonts w:hint="eastAsia" w:hAnsi="宋体" w:cs="宋体"/>
          <w:color w:val="auto"/>
          <w:sz w:val="24"/>
          <w:szCs w:val="24"/>
          <w:highlight w:val="none"/>
          <w:lang w:val="zh-CN"/>
        </w:rPr>
        <w:t>）</w:t>
      </w:r>
      <w:r>
        <w:rPr>
          <w:rFonts w:hint="eastAsia" w:hAnsi="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2</w:t>
      </w:r>
      <w:r>
        <w:rPr>
          <w:rFonts w:hint="eastAsia" w:hAnsi="宋体" w:cs="宋体"/>
          <w:color w:val="auto"/>
          <w:sz w:val="24"/>
          <w:szCs w:val="24"/>
          <w:highlight w:val="none"/>
          <w:lang w:val="zh-CN"/>
        </w:rPr>
        <w:t>）</w:t>
      </w:r>
      <w:r>
        <w:rPr>
          <w:rFonts w:hint="eastAsia" w:hAnsi="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1）对招标公告信息（含投标人资格条件）提出质疑的，质疑期限自采购公告发布之日起计算。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3）对招标过程提出质疑的，为各招标程序环节结束之日。否则，被质疑人可不予接受。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4）对采购结果提出质疑的，质疑期限自采购结果公告（包括公示、预公告、结果变更公告等）之日起计算。</w:t>
      </w:r>
    </w:p>
    <w:p>
      <w:pPr>
        <w:pStyle w:val="20"/>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3）供应商提出质疑应当提交质疑函和必要的证明材料。质疑函应当包括下列内容：</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2）质疑项目的名称、编号；</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6）提出质疑的日期。</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质疑函范本及制作说明详见附件2。</w:t>
      </w:r>
    </w:p>
    <w:p>
      <w:pPr>
        <w:pStyle w:val="20"/>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0"/>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询问或者质疑事项可能影响采购结果的，采购人应当暂停签订合同，已经签订合同的，应当中止履行合同。</w:t>
      </w:r>
    </w:p>
    <w:p>
      <w:pPr>
        <w:pStyle w:val="20"/>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质疑接收人：毛先生；联系电话：0571-87805727，</w:t>
      </w:r>
    </w:p>
    <w:p>
      <w:pPr>
        <w:pStyle w:val="20"/>
        <w:spacing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地  址：杭州市东信大道66号启迪楼1207室。</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供应商投诉（</w:t>
      </w:r>
      <w:r>
        <w:rPr>
          <w:rFonts w:hint="eastAsia" w:hAnsi="宋体" w:cs="宋体"/>
          <w:color w:val="auto"/>
          <w:sz w:val="24"/>
          <w:szCs w:val="24"/>
          <w:highlight w:val="none"/>
        </w:rPr>
        <w:t>根据财政部第94号《政府采购质疑和投诉办法》规定）</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供应商投诉的事项不得超出已质疑事项的范围，基于质疑答复内容提出的投诉事项除外。</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供应商投诉应当有明确的请求和必要的证明材料。</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以联合体形式参加政府采购活动的，其投诉应当由组成联合体的所有供应商共同提出。</w:t>
      </w:r>
    </w:p>
    <w:p>
      <w:pPr>
        <w:ind w:firstLine="480"/>
        <w:rPr>
          <w:rFonts w:ascii="宋体" w:hAnsi="宋体" w:cs="宋体"/>
          <w:color w:val="auto"/>
          <w:highlight w:val="none"/>
        </w:rPr>
      </w:pPr>
      <w:r>
        <w:rPr>
          <w:rFonts w:hint="eastAsia" w:ascii="宋体" w:hAnsi="宋体" w:cs="宋体"/>
          <w:color w:val="auto"/>
          <w:highlight w:val="none"/>
        </w:rPr>
        <w:t>投诉书范本及制作说明详见附件3。</w:t>
      </w:r>
    </w:p>
    <w:p>
      <w:pPr>
        <w:pStyle w:val="6"/>
        <w:rPr>
          <w:rFonts w:ascii="宋体" w:hAnsi="宋体" w:cs="宋体"/>
          <w:color w:val="auto"/>
          <w:highlight w:val="none"/>
        </w:rPr>
      </w:pPr>
      <w:r>
        <w:rPr>
          <w:rFonts w:hint="eastAsia" w:ascii="宋体" w:hAnsi="宋体" w:cs="宋体"/>
          <w:color w:val="auto"/>
          <w:highlight w:val="none"/>
        </w:rPr>
        <w:t>七、特别说明</w:t>
      </w:r>
    </w:p>
    <w:p>
      <w:pPr>
        <w:ind w:firstLine="480"/>
        <w:rPr>
          <w:rFonts w:ascii="宋体" w:hAnsi="宋体" w:cs="宋体"/>
          <w:color w:val="auto"/>
          <w:highlight w:val="none"/>
        </w:rPr>
      </w:pPr>
      <w:r>
        <w:rPr>
          <w:rFonts w:hint="eastAsia" w:ascii="宋体" w:hAnsi="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auto"/>
          <w:highlight w:val="none"/>
        </w:rPr>
      </w:pPr>
      <w:r>
        <w:rPr>
          <w:rFonts w:hint="eastAsia" w:ascii="宋体" w:hAnsi="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highlight w:val="none"/>
        </w:rPr>
        <w:tab/>
      </w:r>
    </w:p>
    <w:p>
      <w:pPr>
        <w:ind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auto"/>
          <w:highlight w:val="none"/>
        </w:rPr>
      </w:pPr>
      <w:r>
        <w:rPr>
          <w:rFonts w:hint="eastAsia" w:ascii="宋体" w:hAnsi="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6.为采购项目提供整体设计、规范编制或者项目管理、监理、检测等服务的供应商，不得再参加该采购项目的其他采购活动。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7.关于要求原厂商授权的说明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highlight w:val="none"/>
        </w:rPr>
      </w:pPr>
      <w:r>
        <w:rPr>
          <w:rFonts w:hint="eastAsia" w:ascii="宋体" w:hAnsi="宋体" w:cs="宋体"/>
          <w:color w:val="auto"/>
          <w:highlight w:val="none"/>
        </w:rPr>
        <w:t>8.提供同品牌同型号产品且通过资格审查、符合性审查的不同投标人参加同一合同项下投标的，按一家投标人计算，评审后得分最高的同品牌同型号投标人获得中标人推荐资格；评审得分相同的，由采购人或者采购人委托评标委员会按照招标文件规定的方式确定一个投标人获得中标人推荐资格，招标文件未规定的采取随机抽取方式确定，其他同品牌同型号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非单一产品采购项目，多家投标人提供的核心产品品牌型号相同的，按前款规定处理。</w:t>
      </w:r>
    </w:p>
    <w:p>
      <w:pPr>
        <w:numPr>
          <w:ilvl w:val="0"/>
          <w:numId w:val="9"/>
        </w:numPr>
        <w:ind w:firstLine="480"/>
        <w:rPr>
          <w:rFonts w:ascii="宋体" w:hAnsi="宋体" w:cs="宋体"/>
          <w:color w:val="auto"/>
          <w:highlight w:val="none"/>
        </w:rPr>
      </w:pPr>
      <w:r>
        <w:rPr>
          <w:rFonts w:hint="eastAsia" w:ascii="宋体" w:hAnsi="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color w:val="auto"/>
          <w:sz w:val="28"/>
          <w:szCs w:val="32"/>
          <w:highlight w:val="none"/>
        </w:rPr>
      </w:pPr>
      <w:bookmarkStart w:id="62" w:name="_Toc91899879"/>
      <w:bookmarkStart w:id="63" w:name="_Toc16985"/>
      <w:r>
        <w:rPr>
          <w:rFonts w:hint="eastAsia" w:ascii="宋体" w:hAnsi="宋体" w:cs="宋体"/>
          <w:b/>
          <w:bCs/>
          <w:color w:val="auto"/>
          <w:sz w:val="28"/>
          <w:szCs w:val="32"/>
          <w:highlight w:val="none"/>
        </w:rPr>
        <w:t>第二节 招标文件</w:t>
      </w:r>
      <w:bookmarkEnd w:id="62"/>
      <w:r>
        <w:rPr>
          <w:rFonts w:hint="eastAsia" w:ascii="宋体" w:hAnsi="宋体" w:cs="宋体"/>
          <w:b/>
          <w:bCs/>
          <w:color w:val="auto"/>
          <w:sz w:val="28"/>
          <w:szCs w:val="32"/>
          <w:highlight w:val="none"/>
        </w:rPr>
        <w:t>的构成、澄清、修改</w:t>
      </w:r>
      <w:bookmarkEnd w:id="63"/>
    </w:p>
    <w:p>
      <w:pPr>
        <w:pStyle w:val="6"/>
        <w:rPr>
          <w:rFonts w:ascii="宋体" w:hAnsi="宋体" w:cs="宋体"/>
          <w:color w:val="auto"/>
          <w:highlight w:val="none"/>
        </w:rPr>
      </w:pPr>
      <w:bookmarkStart w:id="64" w:name="_Toc91899880"/>
      <w:bookmarkStart w:id="65" w:name="_Hlt74730307"/>
      <w:r>
        <w:rPr>
          <w:rFonts w:hint="eastAsia" w:ascii="宋体" w:hAnsi="宋体" w:cs="宋体"/>
          <w:color w:val="auto"/>
          <w:highlight w:val="none"/>
        </w:rPr>
        <w:t>一、招标文件的构成</w:t>
      </w:r>
      <w:bookmarkEnd w:id="64"/>
    </w:p>
    <w:bookmarkEnd w:id="65"/>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项目需求说明</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pPr>
        <w:ind w:firstLine="480"/>
        <w:rPr>
          <w:rFonts w:ascii="宋体" w:hAnsi="宋体" w:cs="宋体"/>
          <w:color w:val="auto"/>
          <w:highlight w:val="none"/>
        </w:rPr>
      </w:pPr>
      <w:r>
        <w:rPr>
          <w:rFonts w:hint="eastAsia" w:ascii="宋体" w:hAnsi="宋体" w:cs="宋体"/>
          <w:color w:val="auto"/>
          <w:highlight w:val="none"/>
        </w:rPr>
        <w:t>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pPr>
        <w:pStyle w:val="20"/>
        <w:spacing w:line="360" w:lineRule="auto"/>
        <w:rPr>
          <w:rFonts w:hAnsi="宋体" w:cs="宋体"/>
          <w:b/>
          <w:color w:val="auto"/>
          <w:sz w:val="24"/>
          <w:szCs w:val="24"/>
          <w:highlight w:val="none"/>
        </w:rPr>
      </w:pPr>
      <w:r>
        <w:rPr>
          <w:rFonts w:hint="eastAsia" w:hAnsi="宋体" w:cs="宋体"/>
          <w:b/>
          <w:color w:val="auto"/>
          <w:sz w:val="24"/>
          <w:szCs w:val="24"/>
          <w:highlight w:val="none"/>
        </w:rPr>
        <w:t>二、招标文件的澄清、修改</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auto"/>
          <w:szCs w:val="21"/>
          <w:highlight w:val="none"/>
        </w:rPr>
      </w:pPr>
      <w:r>
        <w:rPr>
          <w:rFonts w:hint="eastAsia" w:ascii="宋体" w:hAnsi="宋体" w:cs="宋体"/>
          <w:bCs/>
          <w:color w:val="auto"/>
          <w:kern w:val="0"/>
          <w:szCs w:val="21"/>
          <w:highlight w:val="none"/>
        </w:rPr>
        <w:t>★</w:t>
      </w:r>
      <w:r>
        <w:rPr>
          <w:rFonts w:hint="eastAsia" w:ascii="宋体" w:hAnsi="宋体" w:cs="宋体"/>
          <w:b/>
          <w:color w:val="auto"/>
          <w:szCs w:val="21"/>
          <w:highlight w:val="none"/>
        </w:rPr>
        <w:t>投标文件未按招标文件的澄清、修改的内容编制，又不符合实质性要求的，投标无效。</w:t>
      </w:r>
    </w:p>
    <w:p>
      <w:pPr>
        <w:pStyle w:val="2"/>
        <w:rPr>
          <w:color w:val="auto"/>
          <w:highlight w:val="none"/>
        </w:rPr>
      </w:pPr>
    </w:p>
    <w:p>
      <w:pPr>
        <w:pStyle w:val="5"/>
        <w:jc w:val="center"/>
        <w:rPr>
          <w:rFonts w:ascii="宋体" w:hAnsi="宋体" w:cs="宋体"/>
          <w:color w:val="auto"/>
          <w:highlight w:val="none"/>
        </w:rPr>
      </w:pPr>
      <w:bookmarkStart w:id="66" w:name="_Toc204"/>
      <w:bookmarkStart w:id="67" w:name="_Toc1096"/>
      <w:bookmarkStart w:id="68" w:name="_Toc82338241"/>
      <w:bookmarkStart w:id="69" w:name="_Toc82873324"/>
      <w:bookmarkStart w:id="70" w:name="_Toc450840075"/>
      <w:r>
        <w:rPr>
          <w:rFonts w:hint="eastAsia" w:ascii="宋体" w:hAnsi="宋体" w:cs="宋体"/>
          <w:color w:val="auto"/>
          <w:highlight w:val="none"/>
        </w:rPr>
        <w:t>第三节 投标文件</w:t>
      </w:r>
      <w:bookmarkEnd w:id="66"/>
      <w:bookmarkEnd w:id="67"/>
      <w:bookmarkEnd w:id="68"/>
      <w:bookmarkEnd w:id="69"/>
      <w:bookmarkEnd w:id="70"/>
    </w:p>
    <w:p>
      <w:pPr>
        <w:pStyle w:val="6"/>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6"/>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二、投标文件的组成（资格证明文件、报价文件和商务技术文件三部分组成并单独密封包装）：</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w:t>
      </w:r>
      <w:r>
        <w:rPr>
          <w:rFonts w:hint="eastAsia" w:ascii="宋体" w:hAnsi="宋体" w:cs="宋体"/>
          <w:color w:val="auto"/>
          <w:szCs w:val="32"/>
          <w:highlight w:val="none"/>
        </w:rPr>
        <w:t>按A4幅面，统一格式填写、编码、装订成册，包括：</w:t>
      </w:r>
    </w:p>
    <w:p>
      <w:pPr>
        <w:ind w:firstLine="480"/>
        <w:rPr>
          <w:rFonts w:ascii="宋体" w:hAnsi="宋体"/>
          <w:b/>
          <w:bCs/>
          <w:color w:val="auto"/>
          <w:highlight w:val="none"/>
        </w:rPr>
      </w:pPr>
      <w:r>
        <w:rPr>
          <w:rFonts w:hint="eastAsia" w:ascii="宋体" w:hAnsi="宋体"/>
          <w:color w:val="auto"/>
          <w:highlight w:val="none"/>
        </w:rPr>
        <w:t>1.资格审查材料（详见招标文件“第六章</w:t>
      </w:r>
      <w:r>
        <w:rPr>
          <w:rFonts w:hint="eastAsia" w:cs="宋体"/>
          <w:color w:val="auto"/>
          <w:highlight w:val="none"/>
        </w:rPr>
        <w:t>投标文件格式</w:t>
      </w:r>
      <w:r>
        <w:rPr>
          <w:rFonts w:hint="eastAsia" w:ascii="宋体" w:hAnsi="宋体"/>
          <w:color w:val="auto"/>
          <w:highlight w:val="none"/>
        </w:rPr>
        <w:t>”中的“格式一：资格审查材料 ”）</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4.《中小企业声明函》及相关证明材料（非小微企业不需要提供）；（附件四）</w:t>
      </w:r>
    </w:p>
    <w:p>
      <w:pPr>
        <w:ind w:firstLine="480"/>
        <w:rPr>
          <w:rFonts w:ascii="宋体" w:hAnsi="宋体" w:cs="宋体"/>
          <w:color w:val="auto"/>
          <w:highlight w:val="none"/>
        </w:rPr>
      </w:pPr>
      <w:r>
        <w:rPr>
          <w:rFonts w:hint="eastAsia" w:ascii="宋体" w:hAnsi="宋体" w:cs="宋体"/>
          <w:color w:val="auto"/>
          <w:highlight w:val="none"/>
        </w:rPr>
        <w:t>5.投标人认为需要的其他文件资料。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r>
        <w:rPr>
          <w:rFonts w:hint="eastAsia" w:ascii="宋体" w:hAnsi="宋体" w:cs="宋体"/>
          <w:color w:val="auto"/>
          <w:szCs w:val="32"/>
          <w:highlight w:val="none"/>
        </w:rPr>
        <w:t>按A4幅面，统一格式填写、编码、装订成册，包括：</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lang w:val="en-US" w:eastAsia="zh-CN"/>
        </w:rPr>
        <w:t>资格证明书</w:t>
      </w:r>
      <w:r>
        <w:rPr>
          <w:rFonts w:hint="eastAsia" w:ascii="宋体" w:hAnsi="宋体" w:cs="宋体"/>
          <w:color w:val="auto"/>
          <w:highlight w:val="none"/>
        </w:rPr>
        <w:t>和法定代表人授权委托书（投标人的代表若为非法定代表人的，必须提交法定代表人授权书；身份证复印件、授权委托人社保证明（至少开标前三个月任1个月的社保证明）；（附件五）</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投标声明书（附件六）</w:t>
      </w:r>
    </w:p>
    <w:p>
      <w:pPr>
        <w:numPr>
          <w:ilvl w:val="0"/>
          <w:numId w:val="11"/>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廉政承诺书；（附件七）</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商务条款偏离表（附件八）</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投标人情况表（附件九）</w:t>
      </w:r>
    </w:p>
    <w:p>
      <w:pPr>
        <w:numPr>
          <w:ilvl w:val="0"/>
          <w:numId w:val="11"/>
        </w:numPr>
        <w:ind w:firstLineChars="0"/>
        <w:rPr>
          <w:rFonts w:ascii="宋体" w:hAnsi="宋体" w:cs="宋体"/>
          <w:color w:val="auto"/>
          <w:highlight w:val="none"/>
        </w:rPr>
      </w:pPr>
      <w:r>
        <w:rPr>
          <w:rFonts w:ascii="宋体" w:hAnsi="宋体" w:cs="宋体"/>
          <w:color w:val="auto"/>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（附件十）</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技术服务方案</w:t>
      </w:r>
    </w:p>
    <w:p>
      <w:pPr>
        <w:numPr>
          <w:ilvl w:val="0"/>
          <w:numId w:val="11"/>
        </w:numPr>
        <w:ind w:firstLineChars="0"/>
        <w:rPr>
          <w:rFonts w:ascii="宋体" w:hAnsi="宋体" w:cs="宋体"/>
          <w:color w:val="auto"/>
          <w:highlight w:val="none"/>
        </w:rPr>
      </w:pPr>
      <w:r>
        <w:rPr>
          <w:rFonts w:hint="eastAsia" w:ascii="宋体" w:hAnsi="宋体" w:cs="宋体"/>
          <w:color w:val="auto"/>
          <w:highlight w:val="none"/>
          <w:lang w:val="en-US" w:eastAsia="zh-CN"/>
        </w:rPr>
        <w:t>装修图纸和方案</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实施技术人员一览表</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培训方案</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售后服务方案，包括机构介绍、优惠承诺、各项服务承诺、合理化建议等；</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三）</w:t>
      </w:r>
    </w:p>
    <w:p>
      <w:pPr>
        <w:numPr>
          <w:ilvl w:val="0"/>
          <w:numId w:val="11"/>
        </w:numPr>
        <w:ind w:firstLineChars="0"/>
        <w:rPr>
          <w:rFonts w:ascii="宋体" w:hAnsi="宋体" w:cs="宋体"/>
          <w:color w:val="auto"/>
          <w:highlight w:val="none"/>
        </w:rPr>
      </w:pPr>
      <w:r>
        <w:rPr>
          <w:rFonts w:hint="eastAsia" w:ascii="宋体" w:hAnsi="宋体" w:cs="宋体"/>
          <w:color w:val="auto"/>
          <w:highlight w:val="none"/>
        </w:rPr>
        <w:t>其它本招标文件评分表要求提供的材料或投标人认为需要的其他技术文件资料或说明。（格式自拟）</w:t>
      </w: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2.投标报价是履行合同的最终价格，将人工费、材料费、机械费、管理费、税金、利润、直至达到使用要求及质量标准、质保期服务所需的全部费用及招标代理服务费均包含在总价之中。</w:t>
      </w:r>
    </w:p>
    <w:p>
      <w:pPr>
        <w:pStyle w:val="6"/>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、投标人名称、投标人地址、投标人授权代表签字及日期。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5"/>
        <w:jc w:val="center"/>
        <w:rPr>
          <w:rFonts w:ascii="宋体" w:hAnsi="宋体" w:cs="宋体"/>
          <w:color w:val="auto"/>
          <w:highlight w:val="none"/>
        </w:rPr>
      </w:pPr>
      <w:bookmarkStart w:id="71" w:name="_Toc1"/>
      <w:bookmarkStart w:id="72" w:name="_Toc12521"/>
      <w:r>
        <w:rPr>
          <w:rFonts w:hint="eastAsia" w:ascii="宋体" w:hAnsi="宋体" w:cs="宋体"/>
          <w:color w:val="auto"/>
          <w:highlight w:val="none"/>
        </w:rPr>
        <w:t>第四节 投标文件的递交</w:t>
      </w:r>
      <w:bookmarkEnd w:id="71"/>
      <w:bookmarkEnd w:id="72"/>
    </w:p>
    <w:p>
      <w:pPr>
        <w:pStyle w:val="6"/>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2.投标文件（资格证明文件、商务技术文件、报价文件）应按以下办法分别装袋密封：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、投标人名称、投标人地址、投标人授权代表签字及日期并注明“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4.如果投标人未按上述要求密封及加写标记，招标方对投标文件的误投和提前启封概不负责。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6"/>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2.投标人修改投标文件的书面村料，须密封送达招标方，同时应在封套上标明“修改投标文件（并注明招标编号）”和“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3.开标后投标人不得撤回投标，投标文件不予退还。</w:t>
      </w:r>
    </w:p>
    <w:p>
      <w:pPr>
        <w:pStyle w:val="5"/>
        <w:jc w:val="center"/>
        <w:rPr>
          <w:rFonts w:ascii="宋体" w:hAnsi="宋体" w:cs="宋体"/>
          <w:color w:val="auto"/>
          <w:highlight w:val="none"/>
        </w:rPr>
      </w:pPr>
      <w:bookmarkStart w:id="73" w:name="_Toc20835"/>
      <w:bookmarkStart w:id="74" w:name="_Toc27893"/>
      <w:r>
        <w:rPr>
          <w:rFonts w:hint="eastAsia" w:ascii="宋体" w:hAnsi="宋体" w:cs="宋体"/>
          <w:color w:val="auto"/>
          <w:highlight w:val="none"/>
        </w:rPr>
        <w:t>第五节 开标</w:t>
      </w:r>
      <w:bookmarkEnd w:id="73"/>
      <w:bookmarkEnd w:id="74"/>
    </w:p>
    <w:p>
      <w:pPr>
        <w:pStyle w:val="6"/>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6"/>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5"/>
        <w:jc w:val="center"/>
        <w:rPr>
          <w:rFonts w:ascii="宋体" w:hAnsi="宋体" w:cs="宋体"/>
          <w:color w:val="auto"/>
          <w:highlight w:val="none"/>
        </w:rPr>
      </w:pPr>
      <w:bookmarkStart w:id="75" w:name="_Toc13687"/>
      <w:bookmarkStart w:id="76" w:name="_Toc13357"/>
      <w:r>
        <w:rPr>
          <w:rFonts w:hint="eastAsia" w:ascii="宋体" w:hAnsi="宋体" w:cs="宋体"/>
          <w:color w:val="auto"/>
          <w:highlight w:val="none"/>
        </w:rPr>
        <w:t>第六节 评标</w:t>
      </w:r>
      <w:bookmarkEnd w:id="75"/>
      <w:bookmarkEnd w:id="76"/>
    </w:p>
    <w:p>
      <w:pPr>
        <w:pStyle w:val="6"/>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本项目采用不公开方式评标，评标的依据为招标文件和投标文件。不考虑投标人在开标后提交的任何的补充声明、修正方案。</w:t>
      </w:r>
    </w:p>
    <w:p>
      <w:pPr>
        <w:pStyle w:val="6"/>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6"/>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6"/>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6"/>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（7）投标技术方案不明确，存在一个或一个以上备选（替代）投标人案的；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6"/>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3.投标人对投标文件的澄清不得超出投标文件的范围或改变投标价格等投标文件的实质性内容。否则，不予接受。</w:t>
      </w:r>
    </w:p>
    <w:p>
      <w:pPr>
        <w:pStyle w:val="6"/>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5"/>
        <w:jc w:val="center"/>
        <w:rPr>
          <w:rFonts w:ascii="宋体" w:hAnsi="宋体" w:cs="宋体"/>
          <w:color w:val="auto"/>
          <w:highlight w:val="none"/>
        </w:rPr>
      </w:pPr>
      <w:bookmarkStart w:id="77" w:name="_Toc31535"/>
      <w:bookmarkStart w:id="78" w:name="_Toc24239"/>
      <w:r>
        <w:rPr>
          <w:rFonts w:hint="eastAsia" w:ascii="宋体" w:hAnsi="宋体" w:cs="宋体"/>
          <w:color w:val="auto"/>
          <w:highlight w:val="none"/>
        </w:rPr>
        <w:t>第七节 授予合同</w:t>
      </w:r>
      <w:bookmarkEnd w:id="77"/>
      <w:bookmarkEnd w:id="78"/>
    </w:p>
    <w:p>
      <w:pPr>
        <w:pStyle w:val="6"/>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2.采购代理机构自中标供应商确定之日起2个工作日内，发出中标通知书，并在中国计量大学采购网等相关网站或媒体上公告中标结果。中标公告期限为1个工作日。</w:t>
      </w:r>
    </w:p>
    <w:p>
      <w:pPr>
        <w:pStyle w:val="6"/>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20"/>
        <w:spacing w:line="288" w:lineRule="auto"/>
        <w:ind w:firstLine="420" w:firstLineChars="200"/>
        <w:rPr>
          <w:rFonts w:hAnsi="宋体"/>
          <w:color w:val="auto"/>
          <w:szCs w:val="21"/>
          <w:highlight w:val="none"/>
        </w:rPr>
      </w:pPr>
    </w:p>
    <w:p>
      <w:pPr>
        <w:pStyle w:val="2"/>
        <w:rPr>
          <w:rFonts w:ascii="宋体" w:hAnsi="宋体" w:cs="宋体"/>
          <w:color w:val="auto"/>
          <w:highlight w:val="none"/>
        </w:rPr>
      </w:pPr>
    </w:p>
    <w:p>
      <w:pPr>
        <w:pStyle w:val="5"/>
        <w:jc w:val="center"/>
        <w:rPr>
          <w:rFonts w:ascii="宋体" w:hAnsi="宋体" w:cs="宋体"/>
          <w:color w:val="auto"/>
          <w:highlight w:val="none"/>
        </w:rPr>
      </w:pPr>
      <w:bookmarkStart w:id="79" w:name="_Toc12481"/>
      <w:bookmarkStart w:id="80" w:name="_Toc15220"/>
      <w:r>
        <w:rPr>
          <w:rFonts w:hint="eastAsia" w:ascii="宋体" w:hAnsi="宋体" w:cs="宋体"/>
          <w:color w:val="auto"/>
          <w:highlight w:val="none"/>
        </w:rPr>
        <w:t>第八节 例外处理</w:t>
      </w:r>
      <w:bookmarkEnd w:id="79"/>
      <w:bookmarkEnd w:id="80"/>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4"/>
        <w:rPr>
          <w:color w:val="auto"/>
          <w:highlight w:val="none"/>
        </w:rPr>
      </w:pPr>
      <w:bookmarkStart w:id="81" w:name="_Toc82338233"/>
      <w:bookmarkStart w:id="82" w:name="_Toc450840079"/>
      <w:bookmarkStart w:id="83" w:name="_Toc82873316"/>
      <w:bookmarkStart w:id="84" w:name="_Toc20600"/>
      <w:r>
        <w:rPr>
          <w:rFonts w:hint="eastAsia" w:cs="宋体"/>
          <w:color w:val="auto"/>
          <w:highlight w:val="none"/>
        </w:rPr>
        <w:t xml:space="preserve">第四章 </w:t>
      </w:r>
      <w:bookmarkEnd w:id="81"/>
      <w:bookmarkEnd w:id="82"/>
      <w:bookmarkEnd w:id="83"/>
      <w:r>
        <w:rPr>
          <w:rFonts w:hint="eastAsia" w:cs="宋体"/>
          <w:color w:val="auto"/>
          <w:highlight w:val="none"/>
        </w:rPr>
        <w:t>评标办法及评分标准</w:t>
      </w:r>
      <w:bookmarkEnd w:id="84"/>
    </w:p>
    <w:p>
      <w:pPr>
        <w:pStyle w:val="5"/>
        <w:rPr>
          <w:rFonts w:ascii="宋体" w:hAnsi="宋体" w:cs="宋体"/>
          <w:color w:val="auto"/>
          <w:highlight w:val="none"/>
        </w:rPr>
      </w:pPr>
      <w:bookmarkStart w:id="85" w:name="_Toc11391"/>
      <w:bookmarkStart w:id="86" w:name="_Toc3811"/>
      <w:bookmarkStart w:id="87" w:name="_Toc3110"/>
      <w:bookmarkStart w:id="88" w:name="OLE_LINK3"/>
      <w:r>
        <w:rPr>
          <w:rFonts w:hint="eastAsia" w:ascii="宋体" w:hAnsi="宋体" w:cs="宋体"/>
          <w:color w:val="auto"/>
          <w:highlight w:val="none"/>
        </w:rPr>
        <w:t>一、评分总则</w:t>
      </w:r>
      <w:bookmarkEnd w:id="85"/>
      <w:bookmarkEnd w:id="86"/>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以招标文件要求为基础，考虑各项相关因素的影响，将相关因素以定量计算的办法转换成分数表示形式，以最高“评标分数”确定评标结果顺序。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投标人评标综合得分=商务资信分+技术分+价格分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5"/>
        <w:rPr>
          <w:rFonts w:ascii="宋体" w:hAnsi="宋体" w:cs="宋体"/>
          <w:color w:val="auto"/>
          <w:highlight w:val="none"/>
        </w:rPr>
      </w:pPr>
      <w:bookmarkStart w:id="89" w:name="_Toc7789"/>
      <w:r>
        <w:rPr>
          <w:rFonts w:hint="eastAsia" w:ascii="宋体" w:hAnsi="宋体" w:cs="宋体"/>
          <w:color w:val="auto"/>
          <w:highlight w:val="none"/>
        </w:rPr>
        <w:t>二、评分内容及标准</w:t>
      </w:r>
      <w:bookmarkEnd w:id="87"/>
      <w:bookmarkEnd w:id="89"/>
    </w:p>
    <w:bookmarkEnd w:id="88"/>
    <w:p>
      <w:pPr>
        <w:ind w:firstLine="480"/>
        <w:rPr>
          <w:rFonts w:ascii="宋体" w:hAnsi="宋体" w:cs="宋体"/>
          <w:color w:val="auto"/>
          <w:szCs w:val="32"/>
          <w:highlight w:val="none"/>
        </w:rPr>
      </w:pPr>
      <w:bookmarkStart w:id="90" w:name="_Toc82338234"/>
      <w:bookmarkStart w:id="91" w:name="_Toc82873317"/>
      <w:r>
        <w:rPr>
          <w:rFonts w:hint="eastAsia" w:ascii="宋体" w:hAnsi="宋体" w:cs="宋体"/>
          <w:color w:val="auto"/>
          <w:szCs w:val="32"/>
          <w:highlight w:val="none"/>
        </w:rPr>
        <w:t>本评标标准是对 “投标人须知”中”“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tbl>
      <w:tblPr>
        <w:tblStyle w:val="3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88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bookmarkStart w:id="92" w:name="_Toc450840083"/>
            <w:r>
              <w:rPr>
                <w:rFonts w:hint="eastAsia" w:ascii="宋体" w:hAnsi="宋体" w:cs="宋体"/>
                <w:color w:val="auto"/>
                <w:highlight w:val="none"/>
              </w:rPr>
              <w:t>内容</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评分标准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价格分</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5</w:t>
            </w:r>
            <w:r>
              <w:rPr>
                <w:rFonts w:hint="eastAsia" w:ascii="宋体" w:hAnsi="宋体" w:cs="宋体"/>
                <w:color w:val="auto"/>
                <w:highlight w:val="none"/>
              </w:rPr>
              <w:t>分）</w:t>
            </w:r>
          </w:p>
        </w:tc>
        <w:tc>
          <w:tcPr>
            <w:tcW w:w="6888" w:type="dxa"/>
            <w:tcBorders>
              <w:top w:val="single" w:color="auto" w:sz="4" w:space="0"/>
              <w:left w:val="single" w:color="auto" w:sz="4" w:space="0"/>
              <w:bottom w:val="single" w:color="auto" w:sz="4" w:space="0"/>
              <w:right w:val="single" w:color="auto" w:sz="4" w:space="0"/>
            </w:tcBorders>
            <w:vAlign w:val="center"/>
          </w:tcPr>
          <w:p>
            <w:pPr>
              <w:pStyle w:val="15"/>
              <w:widowControl w:val="0"/>
              <w:autoSpaceDE/>
              <w:autoSpaceDN/>
              <w:snapToGrid/>
              <w:spacing w:line="240" w:lineRule="auto"/>
              <w:ind w:firstLine="0"/>
              <w:rPr>
                <w:rFonts w:hAnsi="宋体" w:cs="宋体"/>
                <w:color w:val="auto"/>
                <w:szCs w:val="24"/>
                <w:highlight w:val="none"/>
              </w:rPr>
            </w:pPr>
            <w:r>
              <w:rPr>
                <w:rFonts w:hint="eastAsia" w:hAnsi="宋体" w:cs="宋体"/>
                <w:color w:val="auto"/>
                <w:szCs w:val="24"/>
                <w:highlight w:val="none"/>
              </w:rPr>
              <w:t>价格分计算，满足招标文件要求且投标价格最低的投标报价为评标基准价，其他投标单位的价格分按照下列公式计算：</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价格分=（评标基准价/投标报价）×35%×100</w:t>
            </w:r>
          </w:p>
          <w:p>
            <w:pPr>
              <w:pStyle w:val="169"/>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注：投标人的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w:t>
            </w:r>
            <w:r>
              <w:rPr>
                <w:rFonts w:hint="eastAsia" w:ascii="宋体" w:hAnsi="宋体" w:eastAsia="宋体" w:cs="宋体"/>
                <w:color w:val="auto"/>
                <w:sz w:val="24"/>
                <w:szCs w:val="24"/>
                <w:highlight w:val="none"/>
              </w:rPr>
              <w:t>预算金额或</w:t>
            </w:r>
            <w:r>
              <w:rPr>
                <w:rFonts w:hint="eastAsia" w:ascii="宋体" w:hAnsi="宋体" w:eastAsia="宋体" w:cs="宋体"/>
                <w:color w:val="auto"/>
                <w:sz w:val="24"/>
                <w:szCs w:val="24"/>
                <w:highlight w:val="none"/>
                <w:lang w:val="zh-CN"/>
              </w:rPr>
              <w:t>最高限价（不含</w:t>
            </w:r>
            <w:r>
              <w:rPr>
                <w:rFonts w:hint="eastAsia" w:ascii="宋体" w:hAnsi="宋体" w:eastAsia="宋体" w:cs="宋体"/>
                <w:color w:val="auto"/>
                <w:sz w:val="24"/>
                <w:szCs w:val="24"/>
                <w:highlight w:val="none"/>
              </w:rPr>
              <w:t>本数</w:t>
            </w:r>
            <w:r>
              <w:rPr>
                <w:rFonts w:hint="eastAsia" w:ascii="宋体" w:hAnsi="宋体" w:eastAsia="宋体" w:cs="宋体"/>
                <w:color w:val="auto"/>
                <w:sz w:val="24"/>
                <w:szCs w:val="24"/>
                <w:highlight w:val="none"/>
                <w:lang w:val="zh-CN"/>
              </w:rPr>
              <w:t>）的为无效报价。</w:t>
            </w:r>
          </w:p>
          <w:p>
            <w:pPr>
              <w:spacing w:line="240" w:lineRule="auto"/>
              <w:ind w:firstLine="0" w:firstLineChars="0"/>
              <w:rPr>
                <w:rFonts w:ascii="宋体" w:hAnsi="宋体" w:cs="宋体"/>
                <w:color w:val="auto"/>
                <w:highlight w:val="none"/>
              </w:rPr>
            </w:pPr>
            <w:r>
              <w:rPr>
                <w:rFonts w:hint="eastAsia" w:ascii="宋体" w:hAnsi="宋体" w:cs="宋体"/>
                <w:b/>
                <w:bCs/>
                <w:color w:val="auto"/>
                <w:sz w:val="22"/>
                <w:szCs w:val="22"/>
                <w:highlight w:val="none"/>
              </w:rPr>
              <w:t>本项目根据《政府采购促进中小企业发展暂行办法》（财库【2011】181号）规定，对小型和微型企业的价格给予6%的扣除，用扣除后的价格参与评审。监狱企业视同小型、微型企业。投标报价得分=(评标基准价／投标报价*94%)×35。</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商务资信</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7</w:t>
            </w:r>
            <w:r>
              <w:rPr>
                <w:rFonts w:hint="eastAsia" w:ascii="宋体" w:hAnsi="宋体" w:cs="宋体"/>
                <w:color w:val="auto"/>
                <w:highlight w:val="none"/>
              </w:rPr>
              <w:t>分）</w:t>
            </w:r>
          </w:p>
        </w:tc>
        <w:tc>
          <w:tcPr>
            <w:tcW w:w="6888" w:type="dxa"/>
            <w:tcBorders>
              <w:top w:val="single" w:color="auto" w:sz="4" w:space="0"/>
              <w:left w:val="single" w:color="auto" w:sz="4" w:space="0"/>
              <w:bottom w:val="single" w:color="auto" w:sz="4" w:space="0"/>
              <w:right w:val="single" w:color="auto" w:sz="4" w:space="0"/>
            </w:tcBorders>
            <w:vAlign w:val="center"/>
          </w:tcPr>
          <w:p>
            <w:pPr>
              <w:pStyle w:val="15"/>
              <w:spacing w:line="240" w:lineRule="auto"/>
              <w:ind w:firstLine="0"/>
              <w:rPr>
                <w:rFonts w:hint="eastAsia" w:hAnsi="宋体" w:cs="宋体"/>
                <w:color w:val="auto"/>
                <w:highlight w:val="none"/>
                <w:lang w:eastAsia="zh-CN"/>
              </w:rPr>
            </w:pPr>
            <w:r>
              <w:rPr>
                <w:rFonts w:hint="eastAsia" w:hAnsi="宋体" w:cs="宋体"/>
                <w:color w:val="auto"/>
                <w:highlight w:val="none"/>
              </w:rPr>
              <w:t>投标人具有质量管理体系认证证书</w:t>
            </w:r>
            <w:r>
              <w:rPr>
                <w:rFonts w:hint="eastAsia" w:hAnsi="宋体" w:cs="宋体"/>
                <w:color w:val="auto"/>
                <w:highlight w:val="none"/>
                <w:lang w:eastAsia="zh-CN"/>
              </w:rPr>
              <w:t>，</w:t>
            </w:r>
            <w:r>
              <w:rPr>
                <w:rFonts w:hint="eastAsia" w:hAnsi="宋体" w:cs="宋体"/>
                <w:color w:val="auto"/>
                <w:highlight w:val="none"/>
              </w:rPr>
              <w:t>得1分</w:t>
            </w:r>
            <w:r>
              <w:rPr>
                <w:rFonts w:hint="eastAsia" w:hAnsi="宋体" w:cs="宋体"/>
                <w:color w:val="auto"/>
                <w:highlight w:val="none"/>
                <w:lang w:eastAsia="zh-CN"/>
              </w:rPr>
              <w:t>；</w:t>
            </w:r>
          </w:p>
          <w:p>
            <w:pPr>
              <w:pStyle w:val="15"/>
              <w:spacing w:line="240" w:lineRule="auto"/>
              <w:ind w:firstLine="0"/>
              <w:rPr>
                <w:rFonts w:hint="eastAsia" w:hAnsi="宋体" w:eastAsia="宋体" w:cs="宋体"/>
                <w:color w:val="auto"/>
                <w:highlight w:val="none"/>
                <w:lang w:eastAsia="zh-CN"/>
              </w:rPr>
            </w:pPr>
            <w:r>
              <w:rPr>
                <w:rFonts w:hint="eastAsia" w:hAnsi="宋体" w:cs="宋体"/>
                <w:color w:val="auto"/>
                <w:highlight w:val="none"/>
              </w:rPr>
              <w:t>具有环境管理体系认证证书</w:t>
            </w:r>
            <w:r>
              <w:rPr>
                <w:rFonts w:hint="eastAsia" w:hAnsi="宋体" w:cs="宋体"/>
                <w:color w:val="auto"/>
                <w:highlight w:val="none"/>
                <w:lang w:eastAsia="zh-CN"/>
              </w:rPr>
              <w:t>，</w:t>
            </w:r>
            <w:r>
              <w:rPr>
                <w:rFonts w:hint="eastAsia" w:hAnsi="宋体" w:cs="宋体"/>
                <w:color w:val="auto"/>
                <w:highlight w:val="none"/>
              </w:rPr>
              <w:t>得1分</w:t>
            </w:r>
            <w:r>
              <w:rPr>
                <w:rFonts w:hint="eastAsia" w:hAnsi="宋体" w:cs="宋体"/>
                <w:color w:val="auto"/>
                <w:highlight w:val="none"/>
                <w:lang w:eastAsia="zh-CN"/>
              </w:rPr>
              <w:t>；</w:t>
            </w:r>
          </w:p>
          <w:p>
            <w:pPr>
              <w:pStyle w:val="15"/>
              <w:spacing w:line="240" w:lineRule="auto"/>
              <w:ind w:firstLine="0"/>
              <w:rPr>
                <w:rFonts w:hint="eastAsia" w:hAnsi="宋体" w:eastAsia="宋体" w:cs="宋体"/>
                <w:color w:val="auto"/>
                <w:highlight w:val="none"/>
                <w:lang w:eastAsia="zh-CN"/>
              </w:rPr>
            </w:pPr>
            <w:r>
              <w:rPr>
                <w:rFonts w:hint="eastAsia" w:hAnsi="宋体" w:cs="宋体"/>
                <w:color w:val="auto"/>
                <w:highlight w:val="none"/>
              </w:rPr>
              <w:t>具有防腐防水保温工程专业承包贰级及以上资质证书</w:t>
            </w:r>
            <w:r>
              <w:rPr>
                <w:rFonts w:hint="eastAsia" w:hAnsi="宋体" w:cs="宋体"/>
                <w:color w:val="auto"/>
                <w:highlight w:val="none"/>
                <w:lang w:eastAsia="zh-CN"/>
              </w:rPr>
              <w:t>，</w:t>
            </w:r>
            <w:r>
              <w:rPr>
                <w:rFonts w:hint="eastAsia" w:hAnsi="宋体" w:cs="宋体"/>
                <w:color w:val="auto"/>
                <w:highlight w:val="none"/>
              </w:rPr>
              <w:t>得</w:t>
            </w:r>
            <w:r>
              <w:rPr>
                <w:rFonts w:hAnsi="宋体" w:cs="宋体"/>
                <w:color w:val="auto"/>
                <w:highlight w:val="none"/>
              </w:rPr>
              <w:t>1</w:t>
            </w:r>
            <w:r>
              <w:rPr>
                <w:rFonts w:hint="eastAsia" w:hAnsi="宋体" w:cs="宋体"/>
                <w:color w:val="auto"/>
                <w:highlight w:val="none"/>
              </w:rPr>
              <w:t>分</w:t>
            </w:r>
            <w:r>
              <w:rPr>
                <w:rFonts w:hint="eastAsia" w:hAnsi="宋体" w:cs="宋体"/>
                <w:color w:val="auto"/>
                <w:highlight w:val="none"/>
                <w:lang w:eastAsia="zh-CN"/>
              </w:rPr>
              <w:t>；</w:t>
            </w:r>
          </w:p>
          <w:p>
            <w:pPr>
              <w:pStyle w:val="15"/>
              <w:spacing w:line="240" w:lineRule="auto"/>
              <w:ind w:firstLine="0"/>
              <w:rPr>
                <w:rFonts w:hint="eastAsia" w:hAnsi="宋体" w:eastAsia="宋体" w:cs="宋体"/>
                <w:color w:val="auto"/>
                <w:highlight w:val="none"/>
                <w:lang w:eastAsia="zh-CN"/>
              </w:rPr>
            </w:pPr>
            <w:r>
              <w:rPr>
                <w:rFonts w:hint="eastAsia" w:hAnsi="宋体" w:cs="宋体"/>
                <w:color w:val="auto"/>
                <w:highlight w:val="none"/>
              </w:rPr>
              <w:t>具有建筑机电安装工程专业承包叁级及以上资质证书</w:t>
            </w:r>
            <w:r>
              <w:rPr>
                <w:rFonts w:hint="eastAsia" w:hAnsi="宋体" w:cs="宋体"/>
                <w:color w:val="auto"/>
                <w:highlight w:val="none"/>
                <w:lang w:eastAsia="zh-CN"/>
              </w:rPr>
              <w:t>，</w:t>
            </w:r>
            <w:r>
              <w:rPr>
                <w:rFonts w:hint="eastAsia" w:hAnsi="宋体" w:cs="宋体"/>
                <w:color w:val="auto"/>
                <w:highlight w:val="none"/>
              </w:rPr>
              <w:t>得1分</w:t>
            </w:r>
            <w:r>
              <w:rPr>
                <w:rFonts w:hint="eastAsia" w:hAnsi="宋体" w:cs="宋体"/>
                <w:color w:val="auto"/>
                <w:highlight w:val="none"/>
                <w:lang w:eastAsia="zh-CN"/>
              </w:rPr>
              <w:t>；</w:t>
            </w:r>
          </w:p>
          <w:p>
            <w:pPr>
              <w:pStyle w:val="15"/>
              <w:spacing w:line="240" w:lineRule="auto"/>
              <w:ind w:firstLine="0"/>
              <w:rPr>
                <w:rFonts w:hint="eastAsia" w:hAnsi="宋体" w:eastAsia="宋体" w:cs="宋体"/>
                <w:color w:val="auto"/>
                <w:highlight w:val="none"/>
                <w:lang w:eastAsia="zh-CN"/>
              </w:rPr>
            </w:pPr>
            <w:r>
              <w:rPr>
                <w:rFonts w:hint="eastAsia" w:hAnsi="宋体" w:cs="宋体"/>
                <w:color w:val="auto"/>
                <w:highlight w:val="none"/>
              </w:rPr>
              <w:t>具有环保工程专业承包叁级及以上资质证书</w:t>
            </w:r>
            <w:r>
              <w:rPr>
                <w:rFonts w:hint="eastAsia" w:hAnsi="宋体" w:cs="宋体"/>
                <w:color w:val="auto"/>
                <w:highlight w:val="none"/>
                <w:lang w:eastAsia="zh-CN"/>
              </w:rPr>
              <w:t>，</w:t>
            </w:r>
            <w:r>
              <w:rPr>
                <w:rFonts w:hint="eastAsia" w:hAnsi="宋体" w:cs="宋体"/>
                <w:color w:val="auto"/>
                <w:highlight w:val="none"/>
              </w:rPr>
              <w:t>得1分</w:t>
            </w:r>
            <w:r>
              <w:rPr>
                <w:rFonts w:hint="eastAsia" w:hAnsi="宋体" w:cs="宋体"/>
                <w:color w:val="auto"/>
                <w:highlight w:val="none"/>
                <w:lang w:eastAsia="zh-CN"/>
              </w:rPr>
              <w:t>；</w:t>
            </w:r>
          </w:p>
          <w:p>
            <w:pPr>
              <w:pStyle w:val="15"/>
              <w:spacing w:line="240" w:lineRule="auto"/>
              <w:ind w:firstLine="0"/>
              <w:rPr>
                <w:rFonts w:hAnsi="宋体" w:cs="宋体"/>
                <w:color w:val="auto"/>
                <w:highlight w:val="none"/>
              </w:rPr>
            </w:pPr>
            <w:r>
              <w:rPr>
                <w:rFonts w:hint="eastAsia" w:hAnsi="宋体" w:cs="宋体"/>
                <w:color w:val="auto"/>
                <w:highlight w:val="none"/>
                <w:lang w:val="en-US" w:eastAsia="zh-CN"/>
              </w:rPr>
              <w:t>投标文件中提供复印件并加盖公章，原件备查。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投标人自2016年1月份以来（以合同签订时间为准）同类洁净室改造业绩，每提供一个有效业绩得2分，最高得10分；（以合同签订时间为准，需提供完整合同复印件件及第三方检测报告并加盖公章，缺一不得分，原件备查）；未提供的得0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9"/>
              <w:ind w:firstLine="0"/>
              <w:rPr>
                <w:rFonts w:ascii="宋体" w:hAnsi="宋体" w:cs="宋体"/>
                <w:color w:val="auto"/>
                <w:sz w:val="24"/>
                <w:szCs w:val="21"/>
                <w:highlight w:val="none"/>
              </w:rPr>
            </w:pPr>
            <w:r>
              <w:rPr>
                <w:rFonts w:hint="eastAsia" w:ascii="宋体" w:hAnsi="宋体" w:cs="宋体"/>
                <w:color w:val="auto"/>
                <w:sz w:val="24"/>
                <w:szCs w:val="21"/>
                <w:highlight w:val="none"/>
              </w:rPr>
              <w:t>质保期满足招标文件，且每增加十二个月加1分，增加不足十二个月的不加分；本项最高得</w:t>
            </w:r>
            <w:r>
              <w:rPr>
                <w:rFonts w:ascii="宋体" w:hAnsi="宋体" w:cs="宋体"/>
                <w:color w:val="auto"/>
                <w:sz w:val="24"/>
                <w:szCs w:val="21"/>
                <w:highlight w:val="none"/>
              </w:rPr>
              <w:t>2</w:t>
            </w:r>
            <w:r>
              <w:rPr>
                <w:rFonts w:hint="eastAsia" w:ascii="宋体" w:hAnsi="宋体" w:cs="宋体"/>
                <w:color w:val="auto"/>
                <w:sz w:val="24"/>
                <w:szCs w:val="21"/>
                <w:highlight w:val="none"/>
              </w:rPr>
              <w:t>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技术方案</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48</w:t>
            </w:r>
            <w:r>
              <w:rPr>
                <w:rFonts w:hint="eastAsia" w:ascii="宋体" w:hAnsi="宋体" w:cs="宋体"/>
                <w:color w:val="auto"/>
                <w:highlight w:val="none"/>
              </w:rPr>
              <w:t>分）</w:t>
            </w: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rFonts w:ascii="宋体" w:hAnsi="宋体" w:cs="宋体"/>
                <w:color w:val="auto"/>
                <w:highlight w:val="none"/>
              </w:rPr>
            </w:pPr>
            <w:r>
              <w:rPr>
                <w:rFonts w:hint="eastAsia" w:ascii="宋体" w:hAnsi="宋体" w:cs="宋体"/>
                <w:color w:val="auto"/>
                <w:highlight w:val="none"/>
              </w:rPr>
              <w:t>投标产品的基本功能、技术指标与需求的吻合程度和偏差情况（除★以外）（包括所投标产品的详细配置、主要技术参数、随机软件等，是否能够满足投标文件要求。全部满足15分；技术指标负偏离每一项扣</w:t>
            </w:r>
            <w:r>
              <w:rPr>
                <w:rFonts w:hint="eastAsia" w:ascii="宋体" w:hAnsi="宋体" w:cs="宋体"/>
                <w:color w:val="auto"/>
                <w:highlight w:val="none"/>
                <w:lang w:val="en-US" w:eastAsia="zh-CN"/>
              </w:rPr>
              <w:t>3</w:t>
            </w:r>
            <w:r>
              <w:rPr>
                <w:rFonts w:hint="eastAsia" w:ascii="宋体" w:hAnsi="宋体" w:cs="宋体"/>
                <w:color w:val="auto"/>
                <w:highlight w:val="none"/>
              </w:rPr>
              <w:t>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highlight w:val="none"/>
              </w:rPr>
            </w:pPr>
            <w:r>
              <w:rPr>
                <w:rFonts w:hint="eastAsia"/>
                <w:color w:val="auto"/>
                <w:highlight w:val="none"/>
              </w:rPr>
              <w:t>技术支持资料完整性及对投标产品技术偏离程度的证明。</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highlight w:val="none"/>
              </w:rPr>
            </w:pPr>
            <w:r>
              <w:rPr>
                <w:rFonts w:hint="eastAsia"/>
                <w:color w:val="auto"/>
                <w:highlight w:val="none"/>
              </w:rPr>
              <w:t>所投标产品的品质、质量、环保情况等。</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宋体" w:hAnsi="宋体" w:eastAsia="宋体" w:cs="宋体"/>
                <w:color w:val="auto"/>
                <w:highlight w:val="none"/>
                <w:lang w:eastAsia="zh-CN"/>
              </w:rPr>
            </w:pPr>
            <w:r>
              <w:rPr>
                <w:rFonts w:hint="eastAsia"/>
                <w:color w:val="auto"/>
                <w:szCs w:val="21"/>
                <w:highlight w:val="none"/>
              </w:rPr>
              <w:t>对投标人提供针对超净室的装修设计图纸和方案进行打分。根据图纸的全面性合理综合性</w:t>
            </w:r>
            <w:r>
              <w:rPr>
                <w:rFonts w:hint="eastAsia"/>
                <w:color w:val="auto"/>
                <w:szCs w:val="21"/>
                <w:highlight w:val="none"/>
                <w:lang w:eastAsia="zh-CN"/>
              </w:rPr>
              <w:t>，</w:t>
            </w:r>
            <w:r>
              <w:rPr>
                <w:rFonts w:hint="eastAsia"/>
                <w:color w:val="auto"/>
                <w:szCs w:val="21"/>
                <w:highlight w:val="none"/>
              </w:rPr>
              <w:t>施工方案的全面合理综合性评分</w:t>
            </w:r>
            <w:r>
              <w:rPr>
                <w:rFonts w:hint="eastAsia"/>
                <w:color w:val="auto"/>
                <w:szCs w:val="21"/>
                <w:highlight w:val="none"/>
                <w:lang w:eastAsia="zh-CN"/>
              </w:rPr>
              <w:t>。</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技术服务方案：投标人资金安排、货物供货、验货、关键步骤的思路和要点以及组织机构、工作时间进度表、工作程序和步骤等综合打分。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pStyle w:val="15"/>
              <w:widowControl w:val="0"/>
              <w:spacing w:line="312" w:lineRule="auto"/>
              <w:ind w:firstLine="0"/>
              <w:rPr>
                <w:rFonts w:hAnsi="宋体" w:cs="宋体"/>
                <w:color w:val="auto"/>
                <w:szCs w:val="24"/>
                <w:highlight w:val="none"/>
              </w:rPr>
            </w:pPr>
            <w:r>
              <w:rPr>
                <w:rFonts w:hint="eastAsia" w:hAnsi="宋体" w:cs="宋体"/>
                <w:bCs/>
                <w:color w:val="auto"/>
                <w:spacing w:val="-6"/>
                <w:szCs w:val="24"/>
                <w:highlight w:val="none"/>
              </w:rPr>
              <w:t>完整合理的有针对性的售后服务方案、</w:t>
            </w:r>
            <w:r>
              <w:rPr>
                <w:rFonts w:hint="eastAsia" w:hAnsi="宋体" w:cs="宋体"/>
                <w:color w:val="auto"/>
                <w:szCs w:val="24"/>
                <w:highlight w:val="none"/>
              </w:rPr>
              <w:t>专业服务力量和服务保障</w:t>
            </w:r>
            <w:r>
              <w:rPr>
                <w:rFonts w:hint="eastAsia" w:hAnsi="宋体" w:cs="宋体"/>
                <w:bCs/>
                <w:color w:val="auto"/>
                <w:spacing w:val="-6"/>
                <w:szCs w:val="24"/>
                <w:highlight w:val="none"/>
              </w:rPr>
              <w:t>（除商务偏离表要求外）。</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投标人对本项目的合理化建议和</w:t>
            </w:r>
            <w:r>
              <w:rPr>
                <w:rFonts w:hint="eastAsia" w:hAnsi="宋体" w:cs="宋体"/>
                <w:bCs/>
                <w:color w:val="auto"/>
                <w:spacing w:val="-6"/>
                <w:szCs w:val="24"/>
                <w:highlight w:val="none"/>
              </w:rPr>
              <w:t>承诺给予采购人的各种优惠</w:t>
            </w:r>
            <w:r>
              <w:rPr>
                <w:rFonts w:hint="eastAsia" w:hAnsi="宋体" w:cs="宋体"/>
                <w:bCs/>
                <w:color w:val="auto"/>
                <w:spacing w:val="-6"/>
                <w:szCs w:val="24"/>
                <w:highlight w:val="none"/>
                <w:lang w:val="en-US" w:eastAsia="zh-CN"/>
              </w:rPr>
              <w:t>承诺的</w:t>
            </w:r>
            <w:r>
              <w:rPr>
                <w:rFonts w:hint="eastAsia" w:ascii="宋体" w:hAnsi="宋体" w:cs="宋体"/>
                <w:bCs/>
                <w:color w:val="auto"/>
                <w:highlight w:val="none"/>
              </w:rPr>
              <w:t>合理</w:t>
            </w:r>
            <w:r>
              <w:rPr>
                <w:rFonts w:hint="eastAsia" w:ascii="宋体" w:hAnsi="宋体" w:cs="宋体"/>
                <w:bCs/>
                <w:color w:val="auto"/>
                <w:highlight w:val="none"/>
                <w:lang w:val="en-US" w:eastAsia="zh-CN"/>
              </w:rPr>
              <w:t>性</w:t>
            </w:r>
            <w:r>
              <w:rPr>
                <w:rFonts w:hint="eastAsia" w:ascii="宋体" w:hAnsi="宋体" w:cs="宋体"/>
                <w:bCs/>
                <w:color w:val="auto"/>
                <w:highlight w:val="none"/>
              </w:rPr>
              <w:t>、可行性。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3分</w:t>
            </w:r>
          </w:p>
        </w:tc>
      </w:tr>
    </w:tbl>
    <w:p>
      <w:pPr>
        <w:ind w:firstLine="0" w:firstLineChars="0"/>
        <w:rPr>
          <w:rFonts w:ascii="宋体" w:hAnsi="宋体"/>
          <w:color w:val="auto"/>
          <w:highlight w:val="none"/>
        </w:rPr>
      </w:pPr>
    </w:p>
    <w:p>
      <w:pPr>
        <w:ind w:firstLine="0" w:firstLineChars="0"/>
        <w:rPr>
          <w:color w:val="auto"/>
          <w:highlight w:val="none"/>
        </w:rPr>
      </w:pPr>
    </w:p>
    <w:p>
      <w:pPr>
        <w:pStyle w:val="2"/>
        <w:rPr>
          <w:rFonts w:ascii="宋体" w:hAnsi="宋体" w:eastAsia="宋体" w:cs="宋体"/>
          <w:color w:val="auto"/>
          <w:highlight w:val="none"/>
        </w:rPr>
        <w:sectPr>
          <w:footerReference r:id="rId18" w:type="default"/>
          <w:pgSz w:w="11907" w:h="16840"/>
          <w:pgMar w:top="1247" w:right="1304" w:bottom="1021" w:left="1304" w:header="720" w:footer="720" w:gutter="0"/>
          <w:cols w:space="720" w:num="1"/>
          <w:docGrid w:linePitch="286" w:charSpace="0"/>
        </w:sectPr>
      </w:pPr>
    </w:p>
    <w:bookmarkEnd w:id="90"/>
    <w:bookmarkEnd w:id="91"/>
    <w:bookmarkEnd w:id="92"/>
    <w:p>
      <w:pPr>
        <w:pStyle w:val="4"/>
        <w:ind w:firstLine="643"/>
        <w:rPr>
          <w:color w:val="auto"/>
          <w:szCs w:val="24"/>
          <w:highlight w:val="none"/>
        </w:rPr>
      </w:pPr>
      <w:bookmarkStart w:id="93" w:name="_Toc1503"/>
      <w:r>
        <w:rPr>
          <w:rFonts w:hint="eastAsia" w:cs="宋体"/>
          <w:color w:val="auto"/>
          <w:szCs w:val="32"/>
          <w:highlight w:val="none"/>
        </w:rPr>
        <w:t>第五章 合同格式</w:t>
      </w:r>
      <w:bookmarkEnd w:id="93"/>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after="312"/>
        <w:ind w:firstLine="602"/>
        <w:jc w:val="center"/>
        <w:rPr>
          <w:b/>
          <w:color w:val="auto"/>
          <w:sz w:val="44"/>
          <w:highlight w:val="none"/>
        </w:rPr>
      </w:pPr>
      <w:bookmarkStart w:id="94" w:name="_Toc450840088"/>
      <w:r>
        <w:rPr>
          <w:rFonts w:hint="eastAsia"/>
          <w:b/>
          <w:color w:val="auto"/>
          <w:sz w:val="30"/>
          <w:szCs w:val="30"/>
          <w:highlight w:val="none"/>
        </w:rPr>
        <w:t>中国计量大学采购合同</w:t>
      </w:r>
    </w:p>
    <w:p>
      <w:pPr>
        <w:snapToGrid w:val="0"/>
        <w:spacing w:line="240" w:lineRule="auto"/>
        <w:ind w:firstLine="480"/>
        <w:contextualSpacing/>
        <w:jc w:val="center"/>
        <w:rPr>
          <w:color w:val="auto"/>
          <w:szCs w:val="21"/>
          <w:highlight w:val="none"/>
        </w:rPr>
      </w:pPr>
      <w:r>
        <w:rPr>
          <w:rFonts w:hint="eastAsia"/>
          <w:color w:val="auto"/>
          <w:szCs w:val="21"/>
          <w:highlight w:val="none"/>
        </w:rPr>
        <w:t xml:space="preserve">                                          合同编号：</w:t>
      </w:r>
    </w:p>
    <w:p>
      <w:pPr>
        <w:snapToGrid w:val="0"/>
        <w:spacing w:line="240" w:lineRule="auto"/>
        <w:ind w:firstLine="480"/>
        <w:contextualSpacing/>
        <w:jc w:val="center"/>
        <w:rPr>
          <w:color w:val="auto"/>
          <w:szCs w:val="21"/>
          <w:highlight w:val="none"/>
        </w:rPr>
      </w:pPr>
      <w:r>
        <w:rPr>
          <w:rFonts w:hint="eastAsia"/>
          <w:color w:val="auto"/>
          <w:szCs w:val="21"/>
          <w:highlight w:val="none"/>
        </w:rPr>
        <w:t xml:space="preserve">                                            确认书编号：</w:t>
      </w:r>
    </w:p>
    <w:p>
      <w:pPr>
        <w:pStyle w:val="15"/>
        <w:spacing w:line="240" w:lineRule="auto"/>
        <w:ind w:left="315" w:firstLine="482"/>
        <w:contextualSpacing/>
        <w:rPr>
          <w:b/>
          <w:color w:val="auto"/>
          <w:szCs w:val="24"/>
          <w:highlight w:val="none"/>
        </w:rPr>
      </w:pPr>
      <w:r>
        <w:rPr>
          <w:rFonts w:hint="eastAsia"/>
          <w:b/>
          <w:color w:val="auto"/>
          <w:szCs w:val="24"/>
          <w:highlight w:val="none"/>
        </w:rPr>
        <w:t>甲方（需方）：</w:t>
      </w:r>
      <w:r>
        <w:rPr>
          <w:rFonts w:hint="eastAsia"/>
          <w:b/>
          <w:color w:val="auto"/>
          <w:szCs w:val="24"/>
          <w:highlight w:val="none"/>
          <w:u w:val="single"/>
        </w:rPr>
        <w:t xml:space="preserve">     中国计量大学                 </w:t>
      </w:r>
    </w:p>
    <w:p>
      <w:pPr>
        <w:pStyle w:val="15"/>
        <w:spacing w:line="240" w:lineRule="auto"/>
        <w:ind w:left="315" w:firstLine="482"/>
        <w:contextualSpacing/>
        <w:rPr>
          <w:b/>
          <w:color w:val="auto"/>
          <w:szCs w:val="24"/>
          <w:highlight w:val="none"/>
        </w:rPr>
      </w:pPr>
      <w:r>
        <w:rPr>
          <w:rFonts w:hint="eastAsia"/>
          <w:b/>
          <w:color w:val="auto"/>
          <w:szCs w:val="24"/>
          <w:highlight w:val="none"/>
        </w:rPr>
        <w:t>乙方（供方）：</w:t>
      </w:r>
      <w:r>
        <w:rPr>
          <w:rFonts w:hint="eastAsia"/>
          <w:b/>
          <w:color w:val="auto"/>
          <w:szCs w:val="24"/>
          <w:highlight w:val="none"/>
          <w:u w:val="single"/>
        </w:rPr>
        <w:t xml:space="preserve">                                  </w:t>
      </w:r>
    </w:p>
    <w:p>
      <w:pPr>
        <w:pStyle w:val="15"/>
        <w:tabs>
          <w:tab w:val="left" w:pos="6240"/>
        </w:tabs>
        <w:spacing w:after="312"/>
        <w:ind w:firstLine="0"/>
        <w:contextualSpacing/>
        <w:jc w:val="left"/>
        <w:rPr>
          <w:color w:val="auto"/>
          <w:sz w:val="21"/>
          <w:szCs w:val="21"/>
          <w:highlight w:val="none"/>
        </w:rPr>
      </w:pPr>
    </w:p>
    <w:p>
      <w:pPr>
        <w:pStyle w:val="15"/>
        <w:spacing w:line="240" w:lineRule="auto"/>
        <w:ind w:left="315"/>
        <w:contextualSpacing/>
        <w:rPr>
          <w:rFonts w:hAnsi="宋体"/>
          <w:snapToGrid w:val="0"/>
          <w:color w:val="auto"/>
          <w:sz w:val="22"/>
          <w:szCs w:val="22"/>
          <w:highlight w:val="none"/>
        </w:rPr>
      </w:pPr>
      <w:r>
        <w:rPr>
          <w:rFonts w:hint="eastAsia"/>
          <w:color w:val="auto"/>
          <w:sz w:val="22"/>
          <w:szCs w:val="22"/>
          <w:highlight w:val="none"/>
        </w:rPr>
        <w:t>依照《中华人民共和国合同法》及其他有关法律、行政法规，遵循平等、自愿、公平和诚实信用的原则，双方</w:t>
      </w:r>
      <w:r>
        <w:rPr>
          <w:rFonts w:hint="eastAsia" w:hAnsi="宋体"/>
          <w:snapToGrid w:val="0"/>
          <w:color w:val="auto"/>
          <w:sz w:val="22"/>
          <w:szCs w:val="22"/>
          <w:highlight w:val="none"/>
        </w:rPr>
        <w:t>根据对</w:t>
      </w:r>
      <w:r>
        <w:rPr>
          <w:rFonts w:hint="eastAsia" w:hAnsi="宋体"/>
          <w:snapToGrid w:val="0"/>
          <w:color w:val="auto"/>
          <w:sz w:val="22"/>
          <w:szCs w:val="22"/>
          <w:highlight w:val="none"/>
          <w:u w:val="single"/>
        </w:rPr>
        <w:t xml:space="preserve">                           </w:t>
      </w:r>
      <w:r>
        <w:rPr>
          <w:rFonts w:hint="eastAsia" w:hAnsi="宋体"/>
          <w:snapToGrid w:val="0"/>
          <w:color w:val="auto"/>
          <w:sz w:val="22"/>
          <w:szCs w:val="22"/>
          <w:highlight w:val="none"/>
        </w:rPr>
        <w:t xml:space="preserve">  （项目名称和编号）的公开招标的结果,签署本合同。</w:t>
      </w:r>
    </w:p>
    <w:p>
      <w:pPr>
        <w:snapToGrid w:val="0"/>
        <w:spacing w:after="312"/>
        <w:ind w:firstLine="442"/>
        <w:contextualSpacing/>
        <w:rPr>
          <w:b/>
          <w:color w:val="auto"/>
          <w:sz w:val="22"/>
          <w:szCs w:val="22"/>
          <w:highlight w:val="none"/>
        </w:rPr>
      </w:pPr>
      <w:r>
        <w:rPr>
          <w:rFonts w:hint="eastAsia"/>
          <w:b/>
          <w:color w:val="auto"/>
          <w:sz w:val="22"/>
          <w:szCs w:val="22"/>
          <w:highlight w:val="none"/>
        </w:rPr>
        <w:t xml:space="preserve">   </w:t>
      </w:r>
    </w:p>
    <w:p>
      <w:pPr>
        <w:snapToGrid w:val="0"/>
        <w:spacing w:line="240" w:lineRule="auto"/>
        <w:ind w:firstLine="418"/>
        <w:contextualSpacing/>
        <w:rPr>
          <w:rFonts w:cs="宋体"/>
          <w:b/>
          <w:bCs/>
          <w:color w:val="auto"/>
          <w:spacing w:val="-6"/>
          <w:sz w:val="22"/>
          <w:szCs w:val="22"/>
          <w:highlight w:val="none"/>
        </w:rPr>
      </w:pPr>
      <w:r>
        <w:rPr>
          <w:rFonts w:hint="eastAsia" w:cs="宋体"/>
          <w:b/>
          <w:bCs/>
          <w:color w:val="auto"/>
          <w:spacing w:val="-6"/>
          <w:sz w:val="22"/>
          <w:szCs w:val="22"/>
          <w:highlight w:val="none"/>
        </w:rPr>
        <w:t>一、采购商品清单及合同价格</w:t>
      </w:r>
    </w:p>
    <w:tbl>
      <w:tblPr>
        <w:tblStyle w:val="39"/>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827"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序号</w:t>
            </w:r>
          </w:p>
        </w:tc>
        <w:tc>
          <w:tcPr>
            <w:tcW w:w="1068"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货物名称</w:t>
            </w:r>
          </w:p>
        </w:tc>
        <w:tc>
          <w:tcPr>
            <w:tcW w:w="1364" w:type="dxa"/>
            <w:vAlign w:val="center"/>
          </w:tcPr>
          <w:p>
            <w:pPr>
              <w:adjustRightInd w:val="0"/>
              <w:snapToGrid w:val="0"/>
              <w:spacing w:line="240" w:lineRule="auto"/>
              <w:ind w:right="-36" w:firstLine="0" w:firstLineChars="0"/>
              <w:jc w:val="center"/>
              <w:rPr>
                <w:color w:val="auto"/>
                <w:sz w:val="22"/>
                <w:szCs w:val="22"/>
                <w:highlight w:val="none"/>
              </w:rPr>
            </w:pPr>
            <w:r>
              <w:rPr>
                <w:rFonts w:hint="eastAsia"/>
                <w:color w:val="auto"/>
                <w:sz w:val="22"/>
                <w:szCs w:val="22"/>
                <w:highlight w:val="none"/>
              </w:rPr>
              <w:t>规格型号</w:t>
            </w:r>
          </w:p>
        </w:tc>
        <w:tc>
          <w:tcPr>
            <w:tcW w:w="149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品牌/厂家/</w:t>
            </w:r>
          </w:p>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原产地</w:t>
            </w:r>
          </w:p>
        </w:tc>
        <w:tc>
          <w:tcPr>
            <w:tcW w:w="856" w:type="dxa"/>
            <w:vAlign w:val="center"/>
          </w:tcPr>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计量</w:t>
            </w:r>
          </w:p>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单位</w:t>
            </w:r>
          </w:p>
        </w:tc>
        <w:tc>
          <w:tcPr>
            <w:tcW w:w="850" w:type="dxa"/>
            <w:vAlign w:val="center"/>
          </w:tcPr>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数量</w:t>
            </w:r>
          </w:p>
        </w:tc>
        <w:tc>
          <w:tcPr>
            <w:tcW w:w="99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单价(元)</w:t>
            </w:r>
          </w:p>
        </w:tc>
        <w:tc>
          <w:tcPr>
            <w:tcW w:w="155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color w:val="auto"/>
                <w:sz w:val="22"/>
                <w:szCs w:val="22"/>
                <w:highlight w:val="none"/>
              </w:rPr>
            </w:pPr>
            <w:r>
              <w:rPr>
                <w:rFonts w:hint="eastAsia"/>
                <w:color w:val="auto"/>
                <w:sz w:val="22"/>
                <w:szCs w:val="22"/>
                <w:highlight w:val="none"/>
              </w:rPr>
              <w:t>1</w:t>
            </w:r>
          </w:p>
        </w:tc>
        <w:tc>
          <w:tcPr>
            <w:tcW w:w="1068"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364"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4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6"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0"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9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55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color w:val="auto"/>
                <w:sz w:val="22"/>
                <w:szCs w:val="22"/>
                <w:highlight w:val="none"/>
              </w:rPr>
            </w:pPr>
            <w:r>
              <w:rPr>
                <w:rFonts w:hint="eastAsia"/>
                <w:color w:val="auto"/>
                <w:sz w:val="22"/>
                <w:szCs w:val="22"/>
                <w:highlight w:val="none"/>
              </w:rPr>
              <w:t>2</w:t>
            </w:r>
          </w:p>
        </w:tc>
        <w:tc>
          <w:tcPr>
            <w:tcW w:w="1068"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364"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4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6"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0"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9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55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9001" w:type="dxa"/>
            <w:gridSpan w:val="8"/>
            <w:vAlign w:val="center"/>
          </w:tcPr>
          <w:p>
            <w:pPr>
              <w:pStyle w:val="22"/>
              <w:adjustRightInd w:val="0"/>
              <w:snapToGrid w:val="0"/>
              <w:spacing w:before="120" w:beforeLines="50" w:after="120" w:afterLines="50" w:line="300" w:lineRule="auto"/>
              <w:ind w:left="0" w:leftChars="0"/>
              <w:jc w:val="left"/>
              <w:rPr>
                <w:rFonts w:ascii="Calibri" w:hAnsi="Calibri"/>
                <w:color w:val="auto"/>
                <w:sz w:val="22"/>
                <w:szCs w:val="22"/>
                <w:highlight w:val="none"/>
              </w:rPr>
            </w:pPr>
            <w:r>
              <w:rPr>
                <w:rFonts w:hint="eastAsia" w:ascii="Calibri" w:hAnsi="宋体"/>
                <w:color w:val="auto"/>
                <w:sz w:val="22"/>
                <w:szCs w:val="22"/>
                <w:highlight w:val="none"/>
              </w:rPr>
              <w:t>合同总价：人</w:t>
            </w:r>
            <w:r>
              <w:rPr>
                <w:rFonts w:ascii="Calibri" w:hAnsi="宋体"/>
                <w:color w:val="auto"/>
                <w:sz w:val="22"/>
                <w:szCs w:val="22"/>
                <w:highlight w:val="none"/>
              </w:rPr>
              <w:t>民币金额（大写）：</w:t>
            </w:r>
            <w:r>
              <w:rPr>
                <w:rFonts w:hint="eastAsia" w:ascii="Calibri" w:hAnsi="宋体"/>
                <w:color w:val="auto"/>
                <w:sz w:val="22"/>
                <w:szCs w:val="22"/>
                <w:highlight w:val="none"/>
              </w:rPr>
              <w:t xml:space="preserve">         </w:t>
            </w:r>
            <w:r>
              <w:rPr>
                <w:rFonts w:ascii="Calibri" w:hAnsi="Calibri"/>
                <w:color w:val="auto"/>
                <w:sz w:val="22"/>
                <w:szCs w:val="22"/>
                <w:highlight w:val="none"/>
              </w:rPr>
              <w:t xml:space="preserve">  </w:t>
            </w:r>
            <w:r>
              <w:rPr>
                <w:rFonts w:hint="eastAsia" w:ascii="Calibri" w:hAnsi="Calibri"/>
                <w:color w:val="auto"/>
                <w:sz w:val="22"/>
                <w:szCs w:val="22"/>
                <w:highlight w:val="none"/>
              </w:rPr>
              <w:t xml:space="preserve">                       </w:t>
            </w:r>
          </w:p>
          <w:p>
            <w:pPr>
              <w:pStyle w:val="22"/>
              <w:adjustRightInd w:val="0"/>
              <w:snapToGrid w:val="0"/>
              <w:spacing w:before="120" w:beforeLines="50" w:after="120" w:afterLines="50" w:line="300" w:lineRule="auto"/>
              <w:ind w:left="0" w:leftChars="0"/>
              <w:jc w:val="left"/>
              <w:rPr>
                <w:rFonts w:ascii="Calibri" w:hAnsi="Calibri"/>
                <w:color w:val="auto"/>
                <w:sz w:val="22"/>
                <w:szCs w:val="22"/>
                <w:highlight w:val="none"/>
              </w:rPr>
            </w:pPr>
            <w:r>
              <w:rPr>
                <w:rFonts w:hint="eastAsia" w:ascii="Calibri" w:hAnsi="Calibri"/>
                <w:color w:val="auto"/>
                <w:sz w:val="22"/>
                <w:szCs w:val="22"/>
                <w:highlight w:val="none"/>
              </w:rPr>
              <w:t xml:space="preserve"> </w:t>
            </w:r>
            <w:r>
              <w:rPr>
                <w:rFonts w:ascii="Calibri" w:hAnsi="Calibri"/>
                <w:color w:val="auto"/>
                <w:sz w:val="22"/>
                <w:szCs w:val="22"/>
                <w:highlight w:val="none"/>
              </w:rPr>
              <w:t>¥</w:t>
            </w:r>
            <w:r>
              <w:rPr>
                <w:rFonts w:hint="eastAsia" w:ascii="Calibri" w:hAnsi="Calibri"/>
                <w:color w:val="auto"/>
                <w:sz w:val="22"/>
                <w:szCs w:val="22"/>
                <w:highlight w:val="none"/>
              </w:rPr>
              <w:t>：</w:t>
            </w:r>
          </w:p>
        </w:tc>
      </w:tr>
    </w:tbl>
    <w:p>
      <w:pPr>
        <w:spacing w:line="240" w:lineRule="auto"/>
        <w:ind w:firstLine="936" w:firstLineChars="450"/>
        <w:rPr>
          <w:color w:val="auto"/>
          <w:spacing w:val="-6"/>
          <w:sz w:val="22"/>
          <w:szCs w:val="22"/>
          <w:highlight w:val="none"/>
        </w:rPr>
      </w:pPr>
      <w:r>
        <w:rPr>
          <w:rFonts w:hint="eastAsia"/>
          <w:color w:val="auto"/>
          <w:spacing w:val="-6"/>
          <w:sz w:val="22"/>
          <w:szCs w:val="22"/>
          <w:highlight w:val="none"/>
        </w:rPr>
        <w:t>注：以上合同总价包括运抵使用单位的运输、安装、调试、验收、税金等费用。</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二、技术资料</w:t>
      </w:r>
    </w:p>
    <w:p>
      <w:pPr>
        <w:spacing w:line="240" w:lineRule="auto"/>
        <w:ind w:firstLine="416"/>
        <w:contextualSpacing/>
        <w:rPr>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、乙方应按招标文件规定的时间向甲方提供合同货物的有关技术资料。</w:t>
      </w:r>
    </w:p>
    <w:p>
      <w:pPr>
        <w:spacing w:line="240" w:lineRule="auto"/>
        <w:ind w:firstLine="416"/>
        <w:contextualSpacing/>
        <w:rPr>
          <w:color w:val="auto"/>
          <w:spacing w:val="-6"/>
          <w:sz w:val="22"/>
          <w:szCs w:val="22"/>
          <w:highlight w:val="none"/>
        </w:rPr>
      </w:pPr>
      <w:r>
        <w:rPr>
          <w:color w:val="auto"/>
          <w:spacing w:val="-6"/>
          <w:sz w:val="22"/>
          <w:szCs w:val="22"/>
          <w:highlight w:val="none"/>
        </w:rPr>
        <w:t>2</w:t>
      </w:r>
      <w:r>
        <w:rPr>
          <w:rFonts w:hint="eastAsia"/>
          <w:color w:val="auto"/>
          <w:spacing w:val="-6"/>
          <w:sz w:val="22"/>
          <w:szCs w:val="22"/>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20"/>
        <w:ind w:firstLine="424" w:firstLineChars="192"/>
        <w:contextualSpacing/>
        <w:rPr>
          <w:rFonts w:hAnsi="宋体"/>
          <w:b/>
          <w:color w:val="auto"/>
          <w:sz w:val="22"/>
          <w:szCs w:val="22"/>
          <w:highlight w:val="none"/>
        </w:rPr>
      </w:pPr>
      <w:r>
        <w:rPr>
          <w:rFonts w:hint="eastAsia" w:hAnsi="宋体"/>
          <w:b/>
          <w:color w:val="auto"/>
          <w:sz w:val="22"/>
          <w:szCs w:val="22"/>
          <w:highlight w:val="none"/>
        </w:rPr>
        <w:t>三、知识产权</w:t>
      </w:r>
    </w:p>
    <w:p>
      <w:pPr>
        <w:pStyle w:val="20"/>
        <w:ind w:firstLine="447" w:firstLineChars="215"/>
        <w:contextualSpacing/>
        <w:rPr>
          <w:rFonts w:cs="宋体"/>
          <w:color w:val="auto"/>
          <w:spacing w:val="-6"/>
          <w:sz w:val="22"/>
          <w:szCs w:val="22"/>
          <w:highlight w:val="none"/>
        </w:rPr>
      </w:pPr>
      <w:r>
        <w:rPr>
          <w:rFonts w:hint="eastAsia" w:cs="宋体"/>
          <w:color w:val="auto"/>
          <w:spacing w:val="-6"/>
          <w:sz w:val="22"/>
          <w:szCs w:val="22"/>
          <w:highlight w:val="none"/>
        </w:rPr>
        <w:t>乙方应保证所提供的货物或其任何一部分均不会侵犯任何第三方的知识产权，由此产生的知识产权纠纷由乙方承担全部责任。</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四、履约保证金：</w:t>
      </w:r>
    </w:p>
    <w:p>
      <w:pPr>
        <w:pStyle w:val="20"/>
        <w:ind w:firstLine="420"/>
        <w:contextualSpacing/>
        <w:rPr>
          <w:rFonts w:hAnsi="宋体"/>
          <w:color w:val="auto"/>
          <w:sz w:val="22"/>
          <w:szCs w:val="22"/>
          <w:highlight w:val="none"/>
        </w:rPr>
      </w:pPr>
      <w:r>
        <w:rPr>
          <w:rFonts w:hint="eastAsia" w:hAnsi="宋体"/>
          <w:color w:val="auto"/>
          <w:sz w:val="22"/>
          <w:szCs w:val="22"/>
          <w:highlight w:val="none"/>
        </w:rPr>
        <w:t>乙方须于合同签订后七个工作日内向甲方支付合同总价</w:t>
      </w:r>
      <w:r>
        <w:rPr>
          <w:rFonts w:hint="eastAsia" w:hAnsi="宋体"/>
          <w:color w:val="auto"/>
          <w:sz w:val="22"/>
          <w:szCs w:val="22"/>
          <w:highlight w:val="none"/>
          <w:u w:val="single"/>
        </w:rPr>
        <w:t xml:space="preserve"> 10% </w:t>
      </w:r>
      <w:r>
        <w:rPr>
          <w:rFonts w:hint="eastAsia" w:hAnsi="宋体"/>
          <w:color w:val="auto"/>
          <w:sz w:val="22"/>
          <w:szCs w:val="22"/>
          <w:highlight w:val="none"/>
        </w:rPr>
        <w:t>的履约保证金，共计人民币¥</w:t>
      </w:r>
      <w:r>
        <w:rPr>
          <w:rFonts w:hint="eastAsia" w:hAnsi="宋体"/>
          <w:color w:val="auto"/>
          <w:sz w:val="22"/>
          <w:szCs w:val="22"/>
          <w:highlight w:val="none"/>
          <w:u w:val="single"/>
        </w:rPr>
        <w:t xml:space="preserve">         </w:t>
      </w:r>
      <w:r>
        <w:rPr>
          <w:rFonts w:hint="eastAsia" w:hAnsi="宋体"/>
          <w:color w:val="auto"/>
          <w:sz w:val="22"/>
          <w:szCs w:val="22"/>
          <w:highlight w:val="none"/>
        </w:rPr>
        <w:t>元 ，履约保证金在交货验收后自动转为质量保证金。质量保证金自</w:t>
      </w:r>
      <w:r>
        <w:rPr>
          <w:rFonts w:hint="eastAsia" w:hAnsi="宋体" w:cs="宋体"/>
          <w:color w:val="auto"/>
          <w:spacing w:val="-6"/>
          <w:sz w:val="22"/>
          <w:szCs w:val="22"/>
          <w:highlight w:val="none"/>
        </w:rPr>
        <w:t>货物交付验收合格后</w:t>
      </w:r>
      <w:r>
        <w:rPr>
          <w:rFonts w:hint="eastAsia" w:hAnsi="宋体" w:cs="宋体"/>
          <w:color w:val="auto"/>
          <w:spacing w:val="-6"/>
          <w:sz w:val="22"/>
          <w:szCs w:val="22"/>
          <w:highlight w:val="none"/>
          <w:u w:val="single"/>
        </w:rPr>
        <w:t xml:space="preserve"> </w:t>
      </w:r>
      <w:r>
        <w:rPr>
          <w:rFonts w:hAnsi="宋体"/>
          <w:color w:val="auto"/>
          <w:spacing w:val="-6"/>
          <w:sz w:val="22"/>
          <w:szCs w:val="22"/>
          <w:highlight w:val="none"/>
          <w:u w:val="single"/>
        </w:rPr>
        <w:t>12</w:t>
      </w:r>
      <w:r>
        <w:rPr>
          <w:rFonts w:hint="eastAsia" w:hAnsi="宋体" w:cs="宋体"/>
          <w:color w:val="auto"/>
          <w:spacing w:val="-6"/>
          <w:sz w:val="22"/>
          <w:szCs w:val="22"/>
          <w:highlight w:val="none"/>
        </w:rPr>
        <w:t>个月内无质量问题索赔和售后服务问题，由甲方无息退回乙方。</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 xml:space="preserve">五、交货时间、地点 </w:t>
      </w:r>
    </w:p>
    <w:p>
      <w:pPr>
        <w:pStyle w:val="20"/>
        <w:ind w:firstLine="420"/>
        <w:contextualSpacing/>
        <w:rPr>
          <w:color w:val="auto"/>
          <w:sz w:val="22"/>
          <w:szCs w:val="22"/>
          <w:highlight w:val="none"/>
        </w:rPr>
      </w:pPr>
      <w:r>
        <w:rPr>
          <w:rFonts w:hint="eastAsia"/>
          <w:color w:val="auto"/>
          <w:sz w:val="22"/>
          <w:szCs w:val="22"/>
          <w:highlight w:val="none"/>
        </w:rPr>
        <w:t>乙方应于</w:t>
      </w:r>
      <w:r>
        <w:rPr>
          <w:rFonts w:hint="eastAsia"/>
          <w:color w:val="auto"/>
          <w:spacing w:val="-6"/>
          <w:sz w:val="22"/>
          <w:szCs w:val="22"/>
          <w:highlight w:val="none"/>
        </w:rPr>
        <w:t>合同签订以后</w:t>
      </w:r>
      <w:r>
        <w:rPr>
          <w:rFonts w:hint="eastAsia"/>
          <w:color w:val="auto"/>
          <w:sz w:val="22"/>
          <w:szCs w:val="22"/>
          <w:highlight w:val="none"/>
          <w:u w:val="single"/>
        </w:rPr>
        <w:t xml:space="preserve">      </w:t>
      </w:r>
      <w:r>
        <w:rPr>
          <w:rFonts w:hint="eastAsia"/>
          <w:color w:val="auto"/>
          <w:sz w:val="22"/>
          <w:szCs w:val="22"/>
          <w:highlight w:val="none"/>
        </w:rPr>
        <w:t>天内将所供商品按时、安全运至甲方指定地点，安装调试完毕后交甲方验收。</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六、调试与验收</w:t>
      </w:r>
    </w:p>
    <w:p>
      <w:pPr>
        <w:spacing w:after="312" w:line="288" w:lineRule="auto"/>
        <w:ind w:firstLine="416"/>
        <w:contextualSpacing/>
        <w:rPr>
          <w:rFonts w:ascii="宋体" w:hAnsi="宋体" w:cs="宋体"/>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、乙方交货前应对产品做出全面检查和对验收文件进行整理，并列出清单，作为甲方收货验收和使用的技术条件依据，检验的结果和相关文件、资料等应随货物交甲方。国内直接供货的进口设备需提供报关单。</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2、到货验收：到货后，甲方对乙方提交的货物依据招标文件上的技术规格要求和国家有关质量标准进行现场到货验收，主要</w:t>
      </w:r>
      <w:r>
        <w:rPr>
          <w:rFonts w:hint="eastAsia"/>
          <w:color w:val="auto"/>
          <w:sz w:val="22"/>
          <w:szCs w:val="22"/>
          <w:highlight w:val="none"/>
        </w:rPr>
        <w:t>检查货物原产地、规格、型号、配置是否符合要求。</w:t>
      </w:r>
      <w:r>
        <w:rPr>
          <w:rFonts w:hint="eastAsia"/>
          <w:color w:val="auto"/>
          <w:spacing w:val="-6"/>
          <w:sz w:val="22"/>
          <w:szCs w:val="22"/>
          <w:highlight w:val="none"/>
        </w:rPr>
        <w:t>符合招投标文件技术要求的给予签收，初步验收不合格的不予签收。</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4、对技术复杂的货物，甲方可请国家认可的专业检测机构参与到货验收及交付验收，并由其出具质量检测报告。验收费用由乙方承担。</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5、如发现有重大的质量问题：</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（1）甲乙双方可协商，</w:t>
      </w:r>
      <w:r>
        <w:rPr>
          <w:rFonts w:hint="eastAsia"/>
          <w:color w:val="auto"/>
          <w:sz w:val="22"/>
          <w:szCs w:val="22"/>
          <w:highlight w:val="none"/>
        </w:rPr>
        <w:t>应在合理的期限内负责更换直至符合质量要求；</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color w:val="auto"/>
          <w:spacing w:val="-6"/>
          <w:sz w:val="22"/>
          <w:szCs w:val="22"/>
          <w:highlight w:val="none"/>
          <w:u w:val="single"/>
        </w:rPr>
        <w:t xml:space="preserve"> </w:t>
      </w:r>
      <w:r>
        <w:rPr>
          <w:color w:val="auto"/>
          <w:spacing w:val="-6"/>
          <w:sz w:val="22"/>
          <w:szCs w:val="22"/>
          <w:highlight w:val="none"/>
          <w:u w:val="single"/>
        </w:rPr>
        <w:t>10</w:t>
      </w:r>
      <w:r>
        <w:rPr>
          <w:rFonts w:hint="eastAsia"/>
          <w:color w:val="auto"/>
          <w:spacing w:val="-6"/>
          <w:sz w:val="22"/>
          <w:szCs w:val="22"/>
          <w:highlight w:val="none"/>
          <w:u w:val="single"/>
        </w:rPr>
        <w:t xml:space="preserve">％ </w:t>
      </w:r>
      <w:r>
        <w:rPr>
          <w:rFonts w:hint="eastAsia"/>
          <w:color w:val="auto"/>
          <w:spacing w:val="-6"/>
          <w:sz w:val="22"/>
          <w:szCs w:val="22"/>
          <w:highlight w:val="none"/>
        </w:rPr>
        <w:t>的赔偿金。</w:t>
      </w:r>
    </w:p>
    <w:p>
      <w:pPr>
        <w:spacing w:line="240" w:lineRule="auto"/>
        <w:ind w:firstLine="442"/>
        <w:contextualSpacing/>
        <w:rPr>
          <w:color w:val="auto"/>
          <w:spacing w:val="-6"/>
          <w:sz w:val="22"/>
          <w:szCs w:val="22"/>
          <w:highlight w:val="none"/>
        </w:rPr>
      </w:pPr>
      <w:r>
        <w:rPr>
          <w:rFonts w:hint="eastAsia"/>
          <w:b/>
          <w:color w:val="auto"/>
          <w:sz w:val="22"/>
          <w:szCs w:val="22"/>
          <w:highlight w:val="none"/>
        </w:rPr>
        <w:t>七、货款的支付</w:t>
      </w:r>
    </w:p>
    <w:p>
      <w:pPr>
        <w:pStyle w:val="20"/>
        <w:ind w:firstLine="420"/>
        <w:contextualSpacing/>
        <w:rPr>
          <w:color w:val="auto"/>
          <w:sz w:val="22"/>
          <w:szCs w:val="22"/>
          <w:highlight w:val="none"/>
        </w:rPr>
      </w:pPr>
      <w:r>
        <w:rPr>
          <w:rFonts w:hint="eastAsia" w:hAnsi="宋体"/>
          <w:color w:val="auto"/>
          <w:sz w:val="22"/>
          <w:szCs w:val="22"/>
          <w:highlight w:val="none"/>
        </w:rPr>
        <w:t>货物验收合格之日起</w:t>
      </w:r>
      <w:r>
        <w:rPr>
          <w:rFonts w:hint="eastAsia" w:hAnsi="宋体"/>
          <w:color w:val="auto"/>
          <w:sz w:val="22"/>
          <w:szCs w:val="22"/>
          <w:highlight w:val="none"/>
          <w:u w:val="single"/>
        </w:rPr>
        <w:t xml:space="preserve"> 15</w:t>
      </w:r>
      <w:r>
        <w:rPr>
          <w:rFonts w:hint="eastAsia" w:hAnsi="宋体"/>
          <w:color w:val="auto"/>
          <w:sz w:val="22"/>
          <w:szCs w:val="22"/>
          <w:highlight w:val="none"/>
        </w:rPr>
        <w:t>个工作日，甲方向乙方全额支付合同总额，即¥</w:t>
      </w:r>
      <w:r>
        <w:rPr>
          <w:rFonts w:hint="eastAsia" w:hAnsi="宋体"/>
          <w:color w:val="auto"/>
          <w:sz w:val="22"/>
          <w:szCs w:val="22"/>
          <w:highlight w:val="none"/>
          <w:u w:val="single"/>
        </w:rPr>
        <w:t xml:space="preserve">       </w:t>
      </w:r>
      <w:r>
        <w:rPr>
          <w:rFonts w:hint="eastAsia" w:hAnsi="宋体"/>
          <w:color w:val="auto"/>
          <w:sz w:val="22"/>
          <w:szCs w:val="22"/>
          <w:highlight w:val="none"/>
        </w:rPr>
        <w:t>元（大写：</w:t>
      </w:r>
      <w:r>
        <w:rPr>
          <w:rFonts w:hint="eastAsia" w:hAnsi="宋体"/>
          <w:color w:val="auto"/>
          <w:sz w:val="22"/>
          <w:szCs w:val="22"/>
          <w:highlight w:val="none"/>
          <w:u w:val="single"/>
        </w:rPr>
        <w:t xml:space="preserve">          </w:t>
      </w:r>
      <w:r>
        <w:rPr>
          <w:rFonts w:hint="eastAsia" w:hAnsi="宋体"/>
          <w:b/>
          <w:color w:val="auto"/>
          <w:sz w:val="22"/>
          <w:szCs w:val="22"/>
          <w:highlight w:val="none"/>
        </w:rPr>
        <w:t>）。</w:t>
      </w:r>
      <w:r>
        <w:rPr>
          <w:rFonts w:hint="eastAsia"/>
          <w:color w:val="auto"/>
          <w:sz w:val="22"/>
          <w:szCs w:val="22"/>
          <w:highlight w:val="none"/>
        </w:rPr>
        <w:t xml:space="preserve"> </w:t>
      </w:r>
    </w:p>
    <w:p>
      <w:pPr>
        <w:spacing w:line="240" w:lineRule="auto"/>
        <w:ind w:firstLine="442"/>
        <w:contextualSpacing/>
        <w:rPr>
          <w:color w:val="auto"/>
          <w:spacing w:val="-6"/>
          <w:sz w:val="22"/>
          <w:szCs w:val="22"/>
          <w:highlight w:val="none"/>
        </w:rPr>
      </w:pPr>
      <w:r>
        <w:rPr>
          <w:rFonts w:hint="eastAsia"/>
          <w:b/>
          <w:color w:val="auto"/>
          <w:sz w:val="22"/>
          <w:szCs w:val="22"/>
          <w:highlight w:val="none"/>
        </w:rPr>
        <w:t>八、质量保证与售后服务</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1、乙方应按招标文件规定的货物性能、技术要求、质量标准向甲方提供未经使用的全新产品。</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 xml:space="preserve">2、产品质量保修期为 </w:t>
      </w:r>
      <w:r>
        <w:rPr>
          <w:rFonts w:hint="eastAsia"/>
          <w:color w:val="auto"/>
          <w:spacing w:val="-6"/>
          <w:sz w:val="22"/>
          <w:szCs w:val="22"/>
          <w:highlight w:val="none"/>
          <w:u w:val="single"/>
        </w:rPr>
        <w:t xml:space="preserve">     </w:t>
      </w:r>
      <w:r>
        <w:rPr>
          <w:rFonts w:hint="eastAsia"/>
          <w:color w:val="auto"/>
          <w:spacing w:val="-6"/>
          <w:sz w:val="22"/>
          <w:szCs w:val="22"/>
          <w:highlight w:val="none"/>
        </w:rPr>
        <w:t>年，质保期从验收合格后开始计算。</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3、在质保期内，乙方应对货物出现的质量及安全问题负责处理解决并承担一切费用。保修期后，乙方需继续为甲方服务，仅收取零配件成本费，免人工费和差旅费，所涉及软件终身免费升级。</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4、如在使用过程中发生故障，无法正常使用时，乙方在接到甲方通知后，保修响应时间2小时以内，电话技术支持4小时内解决问题；若需上门维修，则</w:t>
      </w:r>
      <w:r>
        <w:rPr>
          <w:color w:val="auto"/>
          <w:spacing w:val="-6"/>
          <w:sz w:val="22"/>
          <w:szCs w:val="22"/>
          <w:highlight w:val="none"/>
        </w:rPr>
        <w:t>8</w:t>
      </w:r>
      <w:r>
        <w:rPr>
          <w:rFonts w:hint="eastAsia"/>
          <w:color w:val="auto"/>
          <w:spacing w:val="-6"/>
          <w:sz w:val="22"/>
          <w:szCs w:val="22"/>
          <w:highlight w:val="none"/>
        </w:rPr>
        <w:t>小时内到达现场并进行维修，最迟在</w:t>
      </w:r>
      <w:r>
        <w:rPr>
          <w:color w:val="auto"/>
          <w:spacing w:val="-6"/>
          <w:sz w:val="22"/>
          <w:szCs w:val="22"/>
          <w:highlight w:val="none"/>
        </w:rPr>
        <w:t>2</w:t>
      </w:r>
      <w:r>
        <w:rPr>
          <w:rFonts w:hint="eastAsia"/>
          <w:color w:val="auto"/>
          <w:spacing w:val="-6"/>
          <w:sz w:val="22"/>
          <w:szCs w:val="22"/>
          <w:highlight w:val="none"/>
        </w:rPr>
        <w:t>个工作日内修复。保修期内出现无法排除的故障，乙方需无条件为甲方更换同型号产品，以确保甲方的正常使用。</w:t>
      </w:r>
    </w:p>
    <w:p>
      <w:pPr>
        <w:pStyle w:val="20"/>
        <w:ind w:firstLine="482"/>
        <w:contextualSpacing/>
        <w:rPr>
          <w:color w:val="auto"/>
          <w:sz w:val="22"/>
          <w:szCs w:val="22"/>
          <w:highlight w:val="none"/>
        </w:rPr>
      </w:pPr>
      <w:r>
        <w:rPr>
          <w:rFonts w:hint="eastAsia"/>
          <w:b/>
          <w:color w:val="auto"/>
          <w:sz w:val="22"/>
          <w:szCs w:val="22"/>
          <w:highlight w:val="none"/>
        </w:rPr>
        <w:t>九、违约责任</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1、乙方逾期履行合同的，甲方有权没收履约保证金，并自逾期之日起，乙方每天按合同总金额0.2%向甲方偿付违约金。</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2、乙方逾期交货超过</w:t>
      </w:r>
      <w:r>
        <w:rPr>
          <w:rFonts w:hint="eastAsia"/>
          <w:color w:val="auto"/>
          <w:spacing w:val="-6"/>
          <w:sz w:val="22"/>
          <w:szCs w:val="22"/>
          <w:highlight w:val="none"/>
          <w:u w:val="single"/>
        </w:rPr>
        <w:t>30</w:t>
      </w:r>
      <w:r>
        <w:rPr>
          <w:rFonts w:hint="eastAsia"/>
          <w:color w:val="auto"/>
          <w:spacing w:val="-6"/>
          <w:sz w:val="22"/>
          <w:szCs w:val="22"/>
          <w:highlight w:val="none"/>
        </w:rPr>
        <w:t>天，甲方有权终止合同，且乙方仍须支付相应的违约金；如造成甲方损失超过违约金的，超出部分由乙方继续承担赔偿责任。</w:t>
      </w:r>
    </w:p>
    <w:p>
      <w:pPr>
        <w:spacing w:line="240" w:lineRule="auto"/>
        <w:ind w:firstLine="418"/>
        <w:contextualSpacing/>
        <w:rPr>
          <w:color w:val="auto"/>
          <w:spacing w:val="-6"/>
          <w:sz w:val="22"/>
          <w:szCs w:val="22"/>
          <w:highlight w:val="none"/>
        </w:rPr>
      </w:pPr>
      <w:r>
        <w:rPr>
          <w:rFonts w:hint="eastAsia"/>
          <w:b/>
          <w:bCs/>
          <w:color w:val="auto"/>
          <w:spacing w:val="-6"/>
          <w:sz w:val="22"/>
          <w:szCs w:val="22"/>
          <w:highlight w:val="none"/>
        </w:rPr>
        <w:t>十、不可抗力事件处理</w:t>
      </w:r>
    </w:p>
    <w:p>
      <w:pPr>
        <w:spacing w:line="240" w:lineRule="auto"/>
        <w:ind w:firstLine="416"/>
        <w:contextualSpacing/>
        <w:rPr>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w:t>
      </w:r>
      <w:r>
        <w:rPr>
          <w:color w:val="auto"/>
          <w:spacing w:val="-6"/>
          <w:sz w:val="22"/>
          <w:szCs w:val="22"/>
          <w:highlight w:val="none"/>
        </w:rPr>
        <w:t xml:space="preserve"> </w:t>
      </w:r>
      <w:r>
        <w:rPr>
          <w:rFonts w:hint="eastAsia"/>
          <w:color w:val="auto"/>
          <w:spacing w:val="-6"/>
          <w:sz w:val="22"/>
          <w:szCs w:val="22"/>
          <w:highlight w:val="none"/>
        </w:rPr>
        <w:t>在合同有效期内，任何一方因不可抗力事件导致不能履行合同，则合同履行期可延长，其延长期与不可抗力影响期相同。</w:t>
      </w:r>
    </w:p>
    <w:p>
      <w:pPr>
        <w:spacing w:line="240" w:lineRule="auto"/>
        <w:ind w:firstLine="416"/>
        <w:contextualSpacing/>
        <w:rPr>
          <w:color w:val="auto"/>
          <w:spacing w:val="-6"/>
          <w:sz w:val="22"/>
          <w:szCs w:val="22"/>
          <w:highlight w:val="none"/>
        </w:rPr>
      </w:pPr>
      <w:r>
        <w:rPr>
          <w:color w:val="auto"/>
          <w:spacing w:val="-6"/>
          <w:sz w:val="22"/>
          <w:szCs w:val="22"/>
          <w:highlight w:val="none"/>
        </w:rPr>
        <w:t>2</w:t>
      </w:r>
      <w:r>
        <w:rPr>
          <w:rFonts w:hint="eastAsia"/>
          <w:color w:val="auto"/>
          <w:spacing w:val="-6"/>
          <w:sz w:val="22"/>
          <w:szCs w:val="22"/>
          <w:highlight w:val="none"/>
        </w:rPr>
        <w:t>、不可抗力事件发生后，应立即通知对方，并寄送有关权威机构出具的证明。</w:t>
      </w:r>
    </w:p>
    <w:p>
      <w:pPr>
        <w:spacing w:line="240" w:lineRule="auto"/>
        <w:ind w:firstLine="416"/>
        <w:contextualSpacing/>
        <w:rPr>
          <w:color w:val="auto"/>
          <w:spacing w:val="-6"/>
          <w:sz w:val="22"/>
          <w:szCs w:val="22"/>
          <w:highlight w:val="none"/>
        </w:rPr>
      </w:pPr>
      <w:r>
        <w:rPr>
          <w:color w:val="auto"/>
          <w:spacing w:val="-6"/>
          <w:sz w:val="22"/>
          <w:szCs w:val="22"/>
          <w:highlight w:val="none"/>
        </w:rPr>
        <w:t>3</w:t>
      </w:r>
      <w:r>
        <w:rPr>
          <w:rFonts w:hint="eastAsia"/>
          <w:color w:val="auto"/>
          <w:spacing w:val="-6"/>
          <w:sz w:val="22"/>
          <w:szCs w:val="22"/>
          <w:highlight w:val="none"/>
        </w:rPr>
        <w:t>、不可抗力事件延续</w:t>
      </w:r>
      <w:r>
        <w:rPr>
          <w:color w:val="auto"/>
          <w:spacing w:val="-6"/>
          <w:sz w:val="22"/>
          <w:szCs w:val="22"/>
          <w:highlight w:val="none"/>
        </w:rPr>
        <w:t>120</w:t>
      </w:r>
      <w:r>
        <w:rPr>
          <w:rFonts w:hint="eastAsia"/>
          <w:color w:val="auto"/>
          <w:spacing w:val="-6"/>
          <w:sz w:val="22"/>
          <w:szCs w:val="22"/>
          <w:highlight w:val="none"/>
        </w:rPr>
        <w:t>天以上，双方应通过友好协商，确定是否继续履行合同。</w:t>
      </w:r>
    </w:p>
    <w:p>
      <w:pPr>
        <w:spacing w:line="240" w:lineRule="auto"/>
        <w:ind w:firstLine="442"/>
        <w:contextualSpacing/>
        <w:rPr>
          <w:color w:val="auto"/>
          <w:spacing w:val="-6"/>
          <w:sz w:val="22"/>
          <w:szCs w:val="22"/>
          <w:highlight w:val="none"/>
        </w:rPr>
      </w:pPr>
      <w:r>
        <w:rPr>
          <w:rFonts w:hint="eastAsia"/>
          <w:b/>
          <w:color w:val="auto"/>
          <w:sz w:val="22"/>
          <w:szCs w:val="22"/>
          <w:highlight w:val="none"/>
        </w:rPr>
        <w:t>十一、争议解决</w:t>
      </w:r>
    </w:p>
    <w:p>
      <w:pPr>
        <w:spacing w:line="240" w:lineRule="auto"/>
        <w:ind w:left="485" w:leftChars="202" w:firstLine="0" w:firstLineChars="0"/>
        <w:contextualSpacing/>
        <w:rPr>
          <w:b/>
          <w:color w:val="auto"/>
          <w:sz w:val="22"/>
          <w:szCs w:val="22"/>
          <w:highlight w:val="none"/>
        </w:rPr>
      </w:pPr>
      <w:r>
        <w:rPr>
          <w:rFonts w:hint="eastAsia"/>
          <w:color w:val="auto"/>
          <w:spacing w:val="-6"/>
          <w:sz w:val="22"/>
          <w:szCs w:val="22"/>
          <w:highlight w:val="none"/>
        </w:rPr>
        <w:t>双方在执行合同过程中所发生的一切争议，应首先通过协商解决，协商不成，应向甲方所在地人民法院起诉。</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十二、合同生效</w:t>
      </w:r>
    </w:p>
    <w:p>
      <w:pPr>
        <w:numPr>
          <w:ilvl w:val="0"/>
          <w:numId w:val="12"/>
        </w:numPr>
        <w:spacing w:line="240" w:lineRule="auto"/>
        <w:ind w:firstLineChars="0"/>
        <w:contextualSpacing/>
        <w:rPr>
          <w:color w:val="auto"/>
          <w:sz w:val="22"/>
          <w:szCs w:val="28"/>
          <w:highlight w:val="none"/>
        </w:rPr>
      </w:pPr>
      <w:r>
        <w:rPr>
          <w:rFonts w:hint="eastAsia"/>
          <w:color w:val="auto"/>
          <w:sz w:val="22"/>
          <w:szCs w:val="28"/>
          <w:highlight w:val="none"/>
        </w:rPr>
        <w:t>本合同经甲、乙双方法定代表人或授权代表签字并加盖单位公章后生效。</w:t>
      </w:r>
    </w:p>
    <w:p>
      <w:pPr>
        <w:spacing w:line="240" w:lineRule="auto"/>
        <w:ind w:left="315" w:firstLine="0" w:firstLineChars="0"/>
        <w:contextualSpacing/>
        <w:rPr>
          <w:color w:val="auto"/>
          <w:sz w:val="22"/>
          <w:szCs w:val="28"/>
          <w:highlight w:val="none"/>
        </w:rPr>
      </w:pPr>
      <w:r>
        <w:rPr>
          <w:rFonts w:hint="eastAsia"/>
          <w:color w:val="auto"/>
          <w:sz w:val="22"/>
          <w:szCs w:val="28"/>
          <w:highlight w:val="none"/>
        </w:rPr>
        <w:t>2、本合同未尽事宜，遵照《中华人民共和国合同法》的有关规定执行。</w:t>
      </w:r>
    </w:p>
    <w:p>
      <w:pPr>
        <w:spacing w:line="240" w:lineRule="auto"/>
        <w:ind w:firstLine="312" w:firstLineChars="150"/>
        <w:contextualSpacing/>
        <w:rPr>
          <w:color w:val="auto"/>
          <w:spacing w:val="-6"/>
          <w:sz w:val="22"/>
          <w:szCs w:val="22"/>
          <w:highlight w:val="none"/>
        </w:rPr>
      </w:pPr>
      <w:r>
        <w:rPr>
          <w:rFonts w:hint="eastAsia"/>
          <w:color w:val="auto"/>
          <w:spacing w:val="-6"/>
          <w:sz w:val="22"/>
          <w:szCs w:val="22"/>
          <w:highlight w:val="none"/>
        </w:rPr>
        <w:t>3、本合同一式陆份，甲方执伍份，乙方执壹份。</w:t>
      </w:r>
    </w:p>
    <w:p>
      <w:pPr>
        <w:spacing w:line="240" w:lineRule="auto"/>
        <w:ind w:firstLine="312" w:firstLineChars="150"/>
        <w:contextualSpacing/>
        <w:rPr>
          <w:color w:val="auto"/>
          <w:spacing w:val="-6"/>
          <w:sz w:val="22"/>
          <w:szCs w:val="22"/>
          <w:highlight w:val="none"/>
        </w:rPr>
      </w:pPr>
      <w:r>
        <w:rPr>
          <w:rFonts w:hint="eastAsia"/>
          <w:color w:val="auto"/>
          <w:spacing w:val="-6"/>
          <w:sz w:val="22"/>
          <w:szCs w:val="22"/>
          <w:highlight w:val="none"/>
        </w:rPr>
        <w:t>4、与本合同有关的招投标文件及相关承诺系本合同的组成部分。</w:t>
      </w:r>
    </w:p>
    <w:tbl>
      <w:tblPr>
        <w:tblStyle w:val="39"/>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甲  方（需方）</w:t>
            </w:r>
          </w:p>
        </w:tc>
        <w:tc>
          <w:tcPr>
            <w:tcW w:w="4644"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单位名称（章）：中国计量大学</w:t>
            </w:r>
          </w:p>
        </w:tc>
        <w:tc>
          <w:tcPr>
            <w:tcW w:w="4644"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单位地址：杭州市下沙高教园区学源街258号</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电话：0571-            传真：0571-86875640</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开户银行：工行高新支行</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  1202026209008932114</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 xml:space="preserve">邮政编号：310018                                                                                                                                                                                                                                         </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color w:val="auto"/>
                <w:sz w:val="22"/>
                <w:szCs w:val="22"/>
                <w:highlight w:val="none"/>
              </w:rPr>
            </w:pPr>
            <w:r>
              <w:rPr>
                <w:rFonts w:hint="eastAsia"/>
                <w:color w:val="auto"/>
                <w:sz w:val="22"/>
                <w:szCs w:val="22"/>
                <w:highlight w:val="none"/>
              </w:rPr>
              <w:t>签约地点：杭州</w:t>
            </w:r>
          </w:p>
        </w:tc>
      </w:tr>
    </w:tbl>
    <w:p>
      <w:pPr>
        <w:tabs>
          <w:tab w:val="left" w:pos="525"/>
        </w:tabs>
        <w:spacing w:after="312" w:line="240" w:lineRule="auto"/>
        <w:ind w:firstLine="0" w:firstLineChars="0"/>
        <w:rPr>
          <w:rFonts w:hAnsi="宋体"/>
          <w:b/>
          <w:bCs/>
          <w:color w:val="auto"/>
          <w:sz w:val="22"/>
          <w:szCs w:val="22"/>
          <w:highlight w:val="none"/>
        </w:rPr>
      </w:pPr>
    </w:p>
    <w:p>
      <w:pPr>
        <w:tabs>
          <w:tab w:val="left" w:pos="525"/>
        </w:tabs>
        <w:spacing w:after="312" w:line="240" w:lineRule="auto"/>
        <w:ind w:firstLine="442"/>
        <w:rPr>
          <w:rFonts w:hAnsi="宋体"/>
          <w:b/>
          <w:bCs/>
          <w:color w:val="auto"/>
          <w:sz w:val="22"/>
          <w:szCs w:val="22"/>
          <w:highlight w:val="none"/>
        </w:rPr>
      </w:pPr>
      <w:r>
        <w:rPr>
          <w:rFonts w:hint="eastAsia" w:hAnsi="宋体"/>
          <w:b/>
          <w:bCs/>
          <w:color w:val="auto"/>
          <w:sz w:val="22"/>
          <w:szCs w:val="22"/>
          <w:highlight w:val="none"/>
        </w:rPr>
        <w:t>合同附件：</w:t>
      </w:r>
    </w:p>
    <w:p>
      <w:pPr>
        <w:tabs>
          <w:tab w:val="left" w:pos="525"/>
        </w:tabs>
        <w:spacing w:after="312" w:line="240" w:lineRule="auto"/>
        <w:ind w:firstLine="482"/>
        <w:rPr>
          <w:rFonts w:hAnsi="宋体"/>
          <w:b/>
          <w:bCs/>
          <w:color w:val="auto"/>
          <w:szCs w:val="21"/>
          <w:highlight w:val="none"/>
        </w:rPr>
      </w:pPr>
      <w:r>
        <w:rPr>
          <w:rFonts w:hAnsi="宋体"/>
          <w:b/>
          <w:bCs/>
          <w:color w:val="auto"/>
          <w:szCs w:val="21"/>
          <w:highlight w:val="none"/>
        </w:rPr>
        <w:t>配置清单：</w:t>
      </w:r>
    </w:p>
    <w:tbl>
      <w:tblPr>
        <w:tblStyle w:val="39"/>
        <w:tblW w:w="10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b/>
                <w:color w:val="auto"/>
                <w:szCs w:val="21"/>
                <w:highlight w:val="none"/>
              </w:rPr>
            </w:pPr>
            <w:r>
              <w:rPr>
                <w:rFonts w:hAnsi="宋体"/>
                <w:b/>
                <w:color w:val="auto"/>
                <w:szCs w:val="21"/>
                <w:highlight w:val="none"/>
              </w:rPr>
              <w:t>序号</w:t>
            </w:r>
          </w:p>
        </w:tc>
        <w:tc>
          <w:tcPr>
            <w:tcW w:w="979" w:type="dxa"/>
            <w:vAlign w:val="center"/>
          </w:tcPr>
          <w:p>
            <w:pPr>
              <w:spacing w:line="300" w:lineRule="exact"/>
              <w:ind w:firstLine="0" w:firstLineChars="0"/>
              <w:jc w:val="center"/>
              <w:rPr>
                <w:b/>
                <w:color w:val="auto"/>
                <w:szCs w:val="21"/>
                <w:highlight w:val="none"/>
              </w:rPr>
            </w:pPr>
            <w:r>
              <w:rPr>
                <w:rFonts w:hAnsi="宋体"/>
                <w:b/>
                <w:color w:val="auto"/>
                <w:szCs w:val="21"/>
                <w:highlight w:val="none"/>
              </w:rPr>
              <w:t>名称</w:t>
            </w:r>
          </w:p>
        </w:tc>
        <w:tc>
          <w:tcPr>
            <w:tcW w:w="2329" w:type="dxa"/>
            <w:vAlign w:val="center"/>
          </w:tcPr>
          <w:p>
            <w:pPr>
              <w:spacing w:line="300" w:lineRule="exact"/>
              <w:ind w:left="102" w:right="-36" w:hanging="102" w:firstLineChars="0"/>
              <w:jc w:val="center"/>
              <w:rPr>
                <w:b/>
                <w:color w:val="auto"/>
                <w:szCs w:val="21"/>
                <w:highlight w:val="none"/>
              </w:rPr>
            </w:pPr>
            <w:r>
              <w:rPr>
                <w:rFonts w:hAnsi="宋体"/>
                <w:b/>
                <w:color w:val="auto"/>
                <w:szCs w:val="21"/>
                <w:highlight w:val="none"/>
              </w:rPr>
              <w:t>规格</w:t>
            </w:r>
            <w:r>
              <w:rPr>
                <w:b/>
                <w:color w:val="auto"/>
                <w:szCs w:val="21"/>
                <w:highlight w:val="none"/>
              </w:rPr>
              <w:t>/</w:t>
            </w:r>
            <w:r>
              <w:rPr>
                <w:rFonts w:hAnsi="宋体"/>
                <w:b/>
                <w:color w:val="auto"/>
                <w:szCs w:val="21"/>
                <w:highlight w:val="none"/>
              </w:rPr>
              <w:t>型号</w:t>
            </w:r>
          </w:p>
        </w:tc>
        <w:tc>
          <w:tcPr>
            <w:tcW w:w="1985" w:type="dxa"/>
          </w:tcPr>
          <w:p>
            <w:pPr>
              <w:spacing w:line="300" w:lineRule="exact"/>
              <w:ind w:left="102" w:right="-36" w:hanging="102" w:firstLineChars="0"/>
              <w:jc w:val="center"/>
              <w:rPr>
                <w:rFonts w:hAnsi="宋体"/>
                <w:b/>
                <w:color w:val="auto"/>
                <w:szCs w:val="21"/>
                <w:highlight w:val="none"/>
              </w:rPr>
            </w:pPr>
            <w:r>
              <w:rPr>
                <w:rFonts w:hint="eastAsia" w:hAnsi="宋体"/>
                <w:b/>
                <w:color w:val="auto"/>
                <w:szCs w:val="21"/>
                <w:highlight w:val="none"/>
              </w:rPr>
              <w:t>品牌/厂家/</w:t>
            </w:r>
          </w:p>
          <w:p>
            <w:pPr>
              <w:spacing w:line="300" w:lineRule="exact"/>
              <w:ind w:left="102" w:right="-36" w:hanging="102" w:firstLineChars="0"/>
              <w:jc w:val="center"/>
              <w:rPr>
                <w:rFonts w:hAnsi="宋体"/>
                <w:b/>
                <w:color w:val="auto"/>
                <w:szCs w:val="21"/>
                <w:highlight w:val="none"/>
              </w:rPr>
            </w:pPr>
            <w:r>
              <w:rPr>
                <w:rFonts w:hint="eastAsia" w:hAnsi="宋体"/>
                <w:b/>
                <w:color w:val="auto"/>
                <w:szCs w:val="21"/>
                <w:highlight w:val="none"/>
              </w:rPr>
              <w:t>原产地</w:t>
            </w:r>
          </w:p>
        </w:tc>
        <w:tc>
          <w:tcPr>
            <w:tcW w:w="1417" w:type="dxa"/>
            <w:vAlign w:val="center"/>
          </w:tcPr>
          <w:p>
            <w:pPr>
              <w:spacing w:line="300" w:lineRule="exact"/>
              <w:ind w:right="-3" w:firstLine="0" w:firstLineChars="0"/>
              <w:jc w:val="center"/>
              <w:rPr>
                <w:rFonts w:hAnsi="宋体"/>
                <w:b/>
                <w:color w:val="auto"/>
                <w:szCs w:val="21"/>
                <w:highlight w:val="none"/>
              </w:rPr>
            </w:pPr>
            <w:r>
              <w:rPr>
                <w:rFonts w:hAnsi="宋体"/>
                <w:b/>
                <w:color w:val="auto"/>
                <w:szCs w:val="21"/>
                <w:highlight w:val="none"/>
              </w:rPr>
              <w:t>数量</w:t>
            </w:r>
          </w:p>
        </w:tc>
        <w:tc>
          <w:tcPr>
            <w:tcW w:w="1073" w:type="dxa"/>
            <w:vAlign w:val="center"/>
          </w:tcPr>
          <w:p>
            <w:pPr>
              <w:spacing w:line="300" w:lineRule="exact"/>
              <w:ind w:right="-3" w:firstLine="0" w:firstLineChars="0"/>
              <w:jc w:val="center"/>
              <w:rPr>
                <w:b/>
                <w:color w:val="auto"/>
                <w:szCs w:val="21"/>
                <w:highlight w:val="none"/>
              </w:rPr>
            </w:pPr>
            <w:r>
              <w:rPr>
                <w:rFonts w:hint="eastAsia"/>
                <w:b/>
                <w:color w:val="auto"/>
                <w:szCs w:val="21"/>
                <w:highlight w:val="none"/>
              </w:rPr>
              <w:t>单价（元）</w:t>
            </w:r>
          </w:p>
        </w:tc>
        <w:tc>
          <w:tcPr>
            <w:tcW w:w="1418" w:type="dxa"/>
            <w:vAlign w:val="center"/>
          </w:tcPr>
          <w:p>
            <w:pPr>
              <w:spacing w:line="300" w:lineRule="exact"/>
              <w:ind w:right="-3" w:firstLine="0" w:firstLineChars="0"/>
              <w:jc w:val="center"/>
              <w:rPr>
                <w:b/>
                <w:color w:val="auto"/>
                <w:szCs w:val="21"/>
                <w:highlight w:val="none"/>
              </w:rPr>
            </w:pPr>
            <w:r>
              <w:rPr>
                <w:rFonts w:hint="eastAsia"/>
                <w:b/>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1</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2</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3</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left="120" w:hanging="120" w:hangingChars="5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4</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5</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6</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bl>
    <w:p>
      <w:pPr>
        <w:spacing w:after="312" w:line="240" w:lineRule="auto"/>
        <w:ind w:firstLine="0" w:firstLineChars="0"/>
        <w:rPr>
          <w:color w:val="auto"/>
          <w:szCs w:val="21"/>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4"/>
        <w:rPr>
          <w:color w:val="auto"/>
          <w:highlight w:val="none"/>
        </w:rPr>
      </w:pPr>
      <w:bookmarkStart w:id="95" w:name="_Toc27145"/>
      <w:r>
        <w:rPr>
          <w:rFonts w:hint="eastAsia" w:cs="宋体"/>
          <w:color w:val="auto"/>
          <w:highlight w:val="none"/>
        </w:rPr>
        <w:t>第六章 投标文件格式</w:t>
      </w:r>
      <w:bookmarkEnd w:id="94"/>
      <w:bookmarkEnd w:id="95"/>
    </w:p>
    <w:p>
      <w:pPr>
        <w:pStyle w:val="20"/>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6"/>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20"/>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6"/>
        <w:rPr>
          <w:rFonts w:ascii="宋体" w:hAnsi="宋体" w:cs="宋体"/>
          <w:color w:val="auto"/>
          <w:highlight w:val="none"/>
        </w:rPr>
      </w:pPr>
      <w:r>
        <w:rPr>
          <w:rFonts w:hint="eastAsia" w:ascii="宋体" w:hAnsi="宋体" w:cs="宋体"/>
          <w:color w:val="auto"/>
          <w:highlight w:val="none"/>
        </w:rPr>
        <w:t>资格证明文件封面</w:t>
      </w:r>
    </w:p>
    <w:p>
      <w:pPr>
        <w:ind w:firstLine="880"/>
        <w:rPr>
          <w:rFonts w:ascii="宋体" w:hAnsi="宋体" w:cs="宋体"/>
          <w:color w:val="auto"/>
          <w:sz w:val="44"/>
          <w:szCs w:val="32"/>
          <w:highlight w:val="none"/>
        </w:rPr>
      </w:pPr>
    </w:p>
    <w:p>
      <w:pPr>
        <w:ind w:firstLine="3614" w:firstLineChars="1200"/>
        <w:rPr>
          <w:rFonts w:ascii="宋体" w:hAnsi="宋体" w:cs="宋体"/>
          <w:color w:val="auto"/>
          <w:sz w:val="30"/>
          <w:szCs w:val="30"/>
          <w:highlight w:val="none"/>
        </w:rPr>
      </w:pPr>
      <w:r>
        <w:rPr>
          <w:rFonts w:hint="eastAsia" w:ascii="宋体" w:hAnsi="宋体" w:cs="宋体"/>
          <w:b/>
          <w:bCs/>
          <w:color w:val="auto"/>
          <w:sz w:val="30"/>
          <w:szCs w:val="30"/>
          <w:highlight w:val="none"/>
        </w:rPr>
        <w:t>资格证明文件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6"/>
        <w:ind w:firstLine="2982" w:firstLineChars="900"/>
        <w:rPr>
          <w:b/>
          <w:color w:val="auto"/>
          <w:sz w:val="33"/>
          <w:szCs w:val="33"/>
          <w:highlight w:val="none"/>
        </w:rPr>
      </w:pPr>
      <w:r>
        <w:rPr>
          <w:b/>
          <w:color w:val="auto"/>
          <w:sz w:val="33"/>
          <w:szCs w:val="33"/>
          <w:highlight w:val="none"/>
        </w:rPr>
        <w:t xml:space="preserve">格式一：资格审查材料 </w:t>
      </w:r>
    </w:p>
    <w:tbl>
      <w:tblPr>
        <w:tblStyle w:val="39"/>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序号</w:t>
            </w:r>
          </w:p>
        </w:tc>
        <w:tc>
          <w:tcPr>
            <w:tcW w:w="2740"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资格条件要求</w:t>
            </w:r>
          </w:p>
        </w:tc>
        <w:tc>
          <w:tcPr>
            <w:tcW w:w="5955"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1</w:t>
            </w:r>
          </w:p>
        </w:tc>
        <w:tc>
          <w:tcPr>
            <w:tcW w:w="2740" w:type="dxa"/>
          </w:tcPr>
          <w:p>
            <w:pPr>
              <w:spacing w:line="400" w:lineRule="exact"/>
              <w:ind w:firstLine="0" w:firstLineChars="0"/>
              <w:rPr>
                <w:rFonts w:ascii="宋体" w:hAnsi="宋体"/>
                <w:b/>
                <w:color w:val="auto"/>
                <w:highlight w:val="none"/>
              </w:rPr>
            </w:pPr>
            <w:r>
              <w:rPr>
                <w:rFonts w:hint="eastAsia" w:ascii="宋体" w:hAnsi="宋体"/>
                <w:color w:val="auto"/>
                <w:highlight w:val="none"/>
              </w:rPr>
              <w:t>具有独立承担民事责任的能力</w:t>
            </w:r>
          </w:p>
        </w:tc>
        <w:tc>
          <w:tcPr>
            <w:tcW w:w="5955" w:type="dxa"/>
          </w:tcPr>
          <w:p>
            <w:pPr>
              <w:pStyle w:val="36"/>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是企业（包括合伙企业），提供在工商部门注册的有效“企业法人营业执照”或“营业执照”；</w:t>
            </w:r>
          </w:p>
          <w:p>
            <w:pPr>
              <w:pStyle w:val="36"/>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是事业单位，提供有效的“事业单位法人证书”；</w:t>
            </w:r>
          </w:p>
          <w:p>
            <w:pPr>
              <w:pStyle w:val="36"/>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是非企业专业服务机构的，提供执业许可证等证明文件；</w:t>
            </w:r>
          </w:p>
          <w:p>
            <w:pPr>
              <w:pStyle w:val="36"/>
              <w:numPr>
                <w:ilvl w:val="0"/>
                <w:numId w:val="13"/>
              </w:numPr>
              <w:rPr>
                <w:color w:val="auto"/>
                <w:highlight w:val="none"/>
              </w:rPr>
            </w:pPr>
            <w:r>
              <w:rPr>
                <w:color w:val="auto"/>
                <w:highlight w:val="none"/>
              </w:rPr>
              <w:t>如</w:t>
            </w:r>
            <w:r>
              <w:rPr>
                <w:rFonts w:hint="eastAsia"/>
                <w:color w:val="auto"/>
                <w:highlight w:val="none"/>
              </w:rPr>
              <w:t>投标人</w:t>
            </w:r>
            <w:r>
              <w:rPr>
                <w:color w:val="auto"/>
                <w:highlight w:val="none"/>
              </w:rPr>
              <w:t>是个体工商户，提供有效的“个体工商户营业执照”；</w:t>
            </w:r>
          </w:p>
          <w:p>
            <w:pPr>
              <w:pStyle w:val="36"/>
              <w:numPr>
                <w:ilvl w:val="0"/>
                <w:numId w:val="13"/>
              </w:numPr>
              <w:rPr>
                <w:color w:val="auto"/>
                <w:highlight w:val="none"/>
              </w:rPr>
            </w:pPr>
            <w:r>
              <w:rPr>
                <w:color w:val="auto"/>
                <w:highlight w:val="none"/>
              </w:rPr>
              <w:t>如投标人是自然人，提供有效的自然人身份证明。</w:t>
            </w:r>
          </w:p>
          <w:p>
            <w:pPr>
              <w:pStyle w:val="36"/>
              <w:rPr>
                <w:b/>
                <w:color w:val="auto"/>
                <w:highlight w:val="none"/>
              </w:rPr>
            </w:pPr>
            <w:r>
              <w:rPr>
                <w:rFonts w:hint="eastAsia"/>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2</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具有良好的商业信誉和健全的财务会计制度</w:t>
            </w:r>
          </w:p>
        </w:tc>
        <w:tc>
          <w:tcPr>
            <w:tcW w:w="5955" w:type="dxa"/>
          </w:tcPr>
          <w:p>
            <w:pPr>
              <w:pStyle w:val="36"/>
              <w:numPr>
                <w:ilvl w:val="0"/>
                <w:numId w:val="14"/>
              </w:numPr>
              <w:rPr>
                <w:color w:val="auto"/>
                <w:highlight w:val="none"/>
              </w:rPr>
            </w:pPr>
            <w:r>
              <w:rPr>
                <w:rFonts w:hint="eastAsia"/>
                <w:color w:val="auto"/>
                <w:highlight w:val="none"/>
              </w:rPr>
              <w:t>投标人</w:t>
            </w:r>
            <w:r>
              <w:rPr>
                <w:color w:val="auto"/>
                <w:highlight w:val="none"/>
              </w:rPr>
              <w:t>是法人的，应</w:t>
            </w:r>
            <w:r>
              <w:rPr>
                <w:b/>
                <w:bCs/>
                <w:color w:val="auto"/>
                <w:highlight w:val="none"/>
              </w:rPr>
              <w:t>提供上一年度经第三方审计的财务报告</w:t>
            </w:r>
            <w:r>
              <w:rPr>
                <w:color w:val="auto"/>
                <w:highlight w:val="none"/>
              </w:rPr>
              <w:t>（若投标时间为 1-6 月，上一年度财务审计报告还未完成的，须提供再上一年度的财务审计报告），即资产负债表、利润表、现金流量表、所有者权益变动表等相关内容；</w:t>
            </w:r>
            <w:r>
              <w:rPr>
                <w:b/>
                <w:bCs/>
                <w:color w:val="auto"/>
                <w:highlight w:val="none"/>
              </w:rPr>
              <w:t>未经审计的，提供近 6 个月任意一月财务报表（资产负债表、利润表）或开标前三个月内其基本开户银行出具的资信证明</w:t>
            </w:r>
            <w:r>
              <w:rPr>
                <w:b/>
                <w:color w:val="auto"/>
                <w:highlight w:val="none"/>
              </w:rPr>
              <w:t>（若资信证明中注明复</w:t>
            </w:r>
            <w:r>
              <w:rPr>
                <w:b/>
                <w:bCs/>
                <w:color w:val="auto"/>
                <w:highlight w:val="none"/>
              </w:rPr>
              <w:t>印无效，需提交正本</w:t>
            </w:r>
            <w:r>
              <w:rPr>
                <w:color w:val="auto"/>
                <w:highlight w:val="none"/>
              </w:rPr>
              <w:t>），并加盖公章或财政部门认可的采购专业担保机构出具的投标担保函；</w:t>
            </w:r>
          </w:p>
          <w:p>
            <w:pPr>
              <w:pStyle w:val="36"/>
              <w:numPr>
                <w:ilvl w:val="0"/>
                <w:numId w:val="14"/>
              </w:numPr>
              <w:rPr>
                <w:color w:val="auto"/>
                <w:highlight w:val="none"/>
              </w:rPr>
            </w:pPr>
            <w:r>
              <w:rPr>
                <w:color w:val="auto"/>
                <w:highlight w:val="none"/>
              </w:rPr>
              <w:t>部分其他组织和自然人没有财务状况报告的，可以提供银行出具的资信证明(若资信证明中注明复印无效，需提交正本),并加盖公章；</w:t>
            </w:r>
          </w:p>
          <w:p>
            <w:pPr>
              <w:pStyle w:val="36"/>
              <w:numPr>
                <w:ilvl w:val="0"/>
                <w:numId w:val="14"/>
              </w:numPr>
              <w:rPr>
                <w:color w:val="auto"/>
                <w:highlight w:val="none"/>
              </w:rPr>
            </w:pPr>
            <w:r>
              <w:rPr>
                <w:color w:val="auto"/>
                <w:highlight w:val="none"/>
              </w:rPr>
              <w:t>银行资信证明应能说明投标人与银行之间业务往来正常，企业信誉良好等，银行出具的存款证明不能替代</w:t>
            </w:r>
            <w:r>
              <w:rPr>
                <w:b/>
                <w:color w:val="auto"/>
                <w:highlight w:val="none"/>
              </w:rPr>
              <w:t>银行资信证明。</w:t>
            </w:r>
          </w:p>
          <w:p>
            <w:pPr>
              <w:pStyle w:val="36"/>
              <w:numPr>
                <w:ilvl w:val="0"/>
                <w:numId w:val="14"/>
              </w:numPr>
              <w:rPr>
                <w:color w:val="auto"/>
                <w:highlight w:val="none"/>
              </w:rPr>
            </w:pPr>
            <w:r>
              <w:rPr>
                <w:rFonts w:hint="eastAsia"/>
                <w:color w:val="auto"/>
                <w:highlight w:val="none"/>
              </w:rPr>
              <w:t>投标人</w:t>
            </w:r>
            <w:r>
              <w:rPr>
                <w:color w:val="auto"/>
                <w:highlight w:val="none"/>
              </w:rPr>
              <w:t>因新注册成立等原因无法提供相关材料的，应在投标文件中提交如实的情况说明</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3</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w:t>
            </w:r>
          </w:p>
        </w:tc>
        <w:tc>
          <w:tcPr>
            <w:tcW w:w="5955" w:type="dxa"/>
          </w:tcPr>
          <w:p>
            <w:pPr>
              <w:snapToGrid w:val="0"/>
              <w:ind w:firstLine="480"/>
              <w:rPr>
                <w:color w:val="auto"/>
                <w:highlight w:val="none"/>
              </w:rPr>
            </w:pPr>
            <w:r>
              <w:rPr>
                <w:rFonts w:hint="eastAsia" w:ascii="宋体" w:hAnsi="宋体"/>
                <w:color w:val="auto"/>
                <w:highlight w:val="none"/>
              </w:rPr>
              <w:t>具有良好商业信誉特别声明</w:t>
            </w:r>
            <w:r>
              <w:rPr>
                <w:rFonts w:hint="eastAsia"/>
                <w:color w:val="auto"/>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4</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具有履行合同所必需的设备和专业技术能力</w:t>
            </w:r>
          </w:p>
        </w:tc>
        <w:tc>
          <w:tcPr>
            <w:tcW w:w="5955" w:type="dxa"/>
          </w:tcPr>
          <w:p>
            <w:pPr>
              <w:pStyle w:val="36"/>
              <w:rPr>
                <w:color w:val="auto"/>
                <w:highlight w:val="none"/>
              </w:rPr>
            </w:pPr>
            <w:r>
              <w:rPr>
                <w:color w:val="auto"/>
                <w:highlight w:val="none"/>
              </w:rPr>
              <w:t>具有履行合同所必需的设备和专业技术能力的承诺函</w:t>
            </w:r>
            <w:r>
              <w:rPr>
                <w:rFonts w:hint="eastAsia"/>
                <w:color w:val="auto"/>
                <w:highlight w:val="none"/>
              </w:rPr>
              <w:t>--</w:t>
            </w:r>
            <w:r>
              <w:rPr>
                <w:color w:val="auto"/>
                <w:highlight w:val="none"/>
              </w:rPr>
              <w:t>详见附件</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5</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有依法缴纳税收和社会保障资金的良好记录</w:t>
            </w:r>
          </w:p>
        </w:tc>
        <w:tc>
          <w:tcPr>
            <w:tcW w:w="5955" w:type="dxa"/>
          </w:tcPr>
          <w:p>
            <w:pPr>
              <w:pStyle w:val="36"/>
              <w:numPr>
                <w:ilvl w:val="0"/>
                <w:numId w:val="15"/>
              </w:numPr>
              <w:rPr>
                <w:color w:val="auto"/>
                <w:highlight w:val="none"/>
              </w:rPr>
            </w:pPr>
            <w:r>
              <w:rPr>
                <w:color w:val="auto"/>
                <w:highlight w:val="none"/>
              </w:rPr>
              <w:t>最近六个月任意一月依法缴纳税收的证明材料指</w:t>
            </w:r>
            <w:r>
              <w:rPr>
                <w:rFonts w:hint="eastAsia"/>
                <w:color w:val="auto"/>
                <w:highlight w:val="none"/>
              </w:rPr>
              <w:t>投标人</w:t>
            </w:r>
            <w:r>
              <w:rPr>
                <w:color w:val="auto"/>
                <w:highlight w:val="none"/>
              </w:rPr>
              <w:t>参加政府采购活动前最近六个月任意一月内依法缴纳税收的凭据（完税证明或纳税证明或银行电子缴税付款凭证等）；</w:t>
            </w:r>
          </w:p>
          <w:p>
            <w:pPr>
              <w:pStyle w:val="36"/>
              <w:numPr>
                <w:ilvl w:val="0"/>
                <w:numId w:val="15"/>
              </w:numPr>
              <w:rPr>
                <w:color w:val="auto"/>
                <w:highlight w:val="none"/>
              </w:rPr>
            </w:pPr>
            <w:r>
              <w:rPr>
                <w:color w:val="auto"/>
                <w:highlight w:val="none"/>
              </w:rPr>
              <w:t>依法免税的</w:t>
            </w:r>
            <w:r>
              <w:rPr>
                <w:rFonts w:hint="eastAsia"/>
                <w:color w:val="auto"/>
                <w:highlight w:val="none"/>
              </w:rPr>
              <w:t>投标人</w:t>
            </w:r>
            <w:r>
              <w:rPr>
                <w:color w:val="auto"/>
                <w:highlight w:val="none"/>
              </w:rPr>
              <w:t>，应提供相应文件证明其依法免税；</w:t>
            </w:r>
          </w:p>
          <w:p>
            <w:pPr>
              <w:pStyle w:val="36"/>
              <w:numPr>
                <w:ilvl w:val="0"/>
                <w:numId w:val="15"/>
              </w:numPr>
              <w:rPr>
                <w:color w:val="auto"/>
                <w:highlight w:val="none"/>
              </w:rPr>
            </w:pPr>
            <w:r>
              <w:rPr>
                <w:color w:val="auto"/>
                <w:highlight w:val="none"/>
              </w:rPr>
              <w:t>最近六个月任意一月依法缴纳社会保障资金的证明</w:t>
            </w:r>
            <w:r>
              <w:rPr>
                <w:b/>
                <w:color w:val="auto"/>
                <w:highlight w:val="none"/>
              </w:rPr>
              <w:t>材料指</w:t>
            </w:r>
            <w:r>
              <w:rPr>
                <w:rFonts w:hint="eastAsia"/>
                <w:b/>
                <w:color w:val="auto"/>
                <w:highlight w:val="none"/>
              </w:rPr>
              <w:t>投标人</w:t>
            </w:r>
            <w:r>
              <w:rPr>
                <w:b/>
                <w:color w:val="auto"/>
                <w:highlight w:val="none"/>
              </w:rPr>
              <w:t>参加政府采购活动前最近六个月任意一月内依法缴纳社会保险的凭</w:t>
            </w:r>
            <w:r>
              <w:rPr>
                <w:color w:val="auto"/>
                <w:highlight w:val="none"/>
              </w:rPr>
              <w:t>据（社保缴费专用收据或银行电子缴税付款凭证或社会保险缴纳清单等）；</w:t>
            </w:r>
          </w:p>
          <w:p>
            <w:pPr>
              <w:pStyle w:val="36"/>
              <w:numPr>
                <w:ilvl w:val="0"/>
                <w:numId w:val="15"/>
              </w:numPr>
              <w:rPr>
                <w:color w:val="auto"/>
                <w:highlight w:val="none"/>
              </w:rPr>
            </w:pPr>
            <w:r>
              <w:rPr>
                <w:color w:val="auto"/>
                <w:highlight w:val="none"/>
              </w:rPr>
              <w:t>依法不需要缴纳社会保障资金的投标人，应提供相应文件证明其依法不需要缴纳社会保障资金；</w:t>
            </w:r>
          </w:p>
          <w:p>
            <w:pPr>
              <w:pStyle w:val="36"/>
              <w:numPr>
                <w:ilvl w:val="0"/>
                <w:numId w:val="15"/>
              </w:numPr>
              <w:rPr>
                <w:color w:val="auto"/>
                <w:highlight w:val="none"/>
              </w:rPr>
            </w:pPr>
            <w:r>
              <w:rPr>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6</w:t>
            </w:r>
          </w:p>
        </w:tc>
        <w:tc>
          <w:tcPr>
            <w:tcW w:w="2740" w:type="dxa"/>
          </w:tcPr>
          <w:p>
            <w:pPr>
              <w:pStyle w:val="36"/>
              <w:rPr>
                <w:color w:val="auto"/>
                <w:kern w:val="2"/>
                <w:highlight w:val="none"/>
              </w:rPr>
            </w:pPr>
            <w:r>
              <w:rPr>
                <w:rFonts w:hint="eastAsia"/>
                <w:color w:val="auto"/>
                <w:kern w:val="2"/>
                <w:highlight w:val="none"/>
              </w:rPr>
              <w:t>参加政府采购活动前三年内（新成立不满三年的公司自成立之日起算）在经营活动中没有重大违法记录</w:t>
            </w:r>
          </w:p>
        </w:tc>
        <w:tc>
          <w:tcPr>
            <w:tcW w:w="5955" w:type="dxa"/>
          </w:tcPr>
          <w:p>
            <w:pPr>
              <w:pStyle w:val="36"/>
              <w:rPr>
                <w:color w:val="auto"/>
                <w:kern w:val="2"/>
                <w:highlight w:val="none"/>
              </w:rPr>
            </w:pPr>
            <w:r>
              <w:rPr>
                <w:rFonts w:hint="eastAsia"/>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7</w:t>
            </w:r>
          </w:p>
        </w:tc>
        <w:tc>
          <w:tcPr>
            <w:tcW w:w="2740" w:type="dxa"/>
          </w:tcPr>
          <w:p>
            <w:pPr>
              <w:spacing w:line="240" w:lineRule="auto"/>
              <w:ind w:firstLine="0" w:firstLineChars="0"/>
              <w:rPr>
                <w:rFonts w:ascii="宋体" w:hAnsi="宋体"/>
                <w:color w:val="auto"/>
                <w:kern w:val="0"/>
                <w:highlight w:val="none"/>
              </w:rPr>
            </w:pPr>
            <w:r>
              <w:rPr>
                <w:rFonts w:hint="eastAsia" w:ascii="宋体" w:hAnsi="宋体"/>
                <w:color w:val="auto"/>
                <w:kern w:val="0"/>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0"/>
                <w:highlight w:val="none"/>
              </w:rPr>
              <w:t>www.creditchina.gov.cn</w:t>
            </w:r>
            <w:r>
              <w:rPr>
                <w:rFonts w:hint="eastAsia" w:ascii="宋体" w:hAnsi="宋体"/>
                <w:color w:val="auto"/>
                <w:kern w:val="0"/>
                <w:highlight w:val="none"/>
              </w:rPr>
              <w:fldChar w:fldCharType="end"/>
            </w:r>
            <w:r>
              <w:rPr>
                <w:rFonts w:hint="eastAsia" w:ascii="宋体" w:hAnsi="宋体"/>
                <w:color w:val="auto"/>
                <w:kern w:val="0"/>
                <w:highlight w:val="none"/>
              </w:rPr>
              <w:t>）列入失信被执行人、重大税收违法案件当事人名单，未被中国政府采购网（www.ccgp.gov.cn）列入政府采购严重违法失信行为记录名单。</w:t>
            </w:r>
          </w:p>
        </w:tc>
        <w:tc>
          <w:tcPr>
            <w:tcW w:w="5955" w:type="dxa"/>
          </w:tcPr>
          <w:p>
            <w:pPr>
              <w:pStyle w:val="36"/>
              <w:rPr>
                <w:color w:val="auto"/>
                <w:highlight w:val="none"/>
              </w:rPr>
            </w:pPr>
            <w:r>
              <w:rPr>
                <w:rFonts w:hint="eastAsia"/>
                <w:color w:val="auto"/>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8</w:t>
            </w:r>
          </w:p>
        </w:tc>
        <w:tc>
          <w:tcPr>
            <w:tcW w:w="2740" w:type="dxa"/>
          </w:tcPr>
          <w:p>
            <w:pPr>
              <w:pStyle w:val="36"/>
              <w:spacing w:before="75" w:beforeAutospacing="0" w:after="75" w:afterAutospacing="0"/>
              <w:rPr>
                <w:color w:val="auto"/>
                <w:highlight w:val="none"/>
              </w:rPr>
            </w:pPr>
            <w:r>
              <w:rPr>
                <w:rFonts w:hint="eastAsia"/>
                <w:color w:val="auto"/>
                <w:highlight w:val="none"/>
              </w:rPr>
              <w:t>单位负责人为同一人或者存在直接控股、管理关系的不同供应商，不得参加同一合同项下的政府采购活动。</w:t>
            </w:r>
          </w:p>
        </w:tc>
        <w:tc>
          <w:tcPr>
            <w:tcW w:w="5955" w:type="dxa"/>
          </w:tcPr>
          <w:p>
            <w:pPr>
              <w:ind w:firstLine="0" w:firstLineChars="0"/>
              <w:rPr>
                <w:color w:val="auto"/>
                <w:highlight w:val="none"/>
              </w:rPr>
            </w:pPr>
            <w:r>
              <w:rPr>
                <w:rFonts w:hint="eastAsia" w:ascii="宋体" w:hAnsi="宋体"/>
                <w:color w:val="auto"/>
                <w:kern w:val="0"/>
                <w:highlight w:val="none"/>
              </w:rPr>
              <w:t>提供响应文件递交截止日前1日历天17:00（北京时间）的查询信息网站截图，查询渠道：“</w:t>
            </w:r>
            <w:r>
              <w:rPr>
                <w:rFonts w:hint="eastAsia"/>
                <w:color w:val="auto"/>
                <w:highlight w:val="none"/>
              </w:rPr>
              <w:t>国家企业信用信息公示系统”（w</w:t>
            </w:r>
            <w:r>
              <w:rPr>
                <w:color w:val="auto"/>
                <w:highlight w:val="none"/>
              </w:rPr>
              <w:fldChar w:fldCharType="begin"/>
            </w:r>
            <w:r>
              <w:rPr>
                <w:color w:val="auto"/>
                <w:highlight w:val="none"/>
              </w:rPr>
              <w:instrText xml:space="preserve"> HYPERLINK "http://www.gsxt.gov.cn/corp-query-homepage.html" </w:instrText>
            </w:r>
            <w:r>
              <w:rPr>
                <w:color w:val="auto"/>
                <w:highlight w:val="none"/>
              </w:rPr>
              <w:fldChar w:fldCharType="separate"/>
            </w:r>
            <w:r>
              <w:rPr>
                <w:rStyle w:val="45"/>
                <w:rFonts w:hint="eastAsia"/>
                <w:color w:val="auto"/>
                <w:highlight w:val="none"/>
              </w:rPr>
              <w:t>ww.gsxt.gov.cn/corp-query-homepage.html</w:t>
            </w:r>
            <w:r>
              <w:rPr>
                <w:rStyle w:val="45"/>
                <w:rFonts w:hint="eastAsia"/>
                <w:color w:val="auto"/>
                <w:highlight w:val="none"/>
              </w:rPr>
              <w:fldChar w:fldCharType="end"/>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6"/>
              <w:rPr>
                <w:color w:val="auto"/>
                <w:highlight w:val="none"/>
              </w:rPr>
            </w:pPr>
            <w:r>
              <w:rPr>
                <w:color w:val="auto"/>
                <w:highlight w:val="none"/>
              </w:rPr>
              <w:t xml:space="preserve"> 特定资格</w:t>
            </w:r>
            <w:r>
              <w:rPr>
                <w:rFonts w:hint="eastAsia"/>
                <w:color w:val="auto"/>
                <w:highlight w:val="none"/>
              </w:rPr>
              <w:t>要求</w:t>
            </w:r>
          </w:p>
        </w:tc>
        <w:tc>
          <w:tcPr>
            <w:tcW w:w="5955" w:type="dxa"/>
            <w:vAlign w:val="center"/>
          </w:tcPr>
          <w:p>
            <w:pPr>
              <w:pStyle w:val="36"/>
              <w:rPr>
                <w:color w:val="auto"/>
                <w:highlight w:val="none"/>
              </w:rPr>
            </w:pPr>
            <w:r>
              <w:rPr>
                <w:color w:val="auto"/>
                <w:highlight w:val="none"/>
              </w:rPr>
              <w:t>须提供符合“第一</w:t>
            </w:r>
            <w:r>
              <w:rPr>
                <w:rFonts w:hint="eastAsia"/>
                <w:color w:val="auto"/>
                <w:highlight w:val="none"/>
              </w:rPr>
              <w:t>章</w:t>
            </w:r>
            <w:r>
              <w:rPr>
                <w:color w:val="auto"/>
                <w:highlight w:val="none"/>
              </w:rPr>
              <w:t xml:space="preserve"> </w:t>
            </w:r>
            <w:r>
              <w:rPr>
                <w:rFonts w:hint="eastAsia"/>
                <w:color w:val="auto"/>
                <w:highlight w:val="none"/>
              </w:rPr>
              <w:t>招标</w:t>
            </w:r>
            <w:r>
              <w:rPr>
                <w:color w:val="auto"/>
                <w:highlight w:val="none"/>
              </w:rPr>
              <w:t>公告”中“四</w:t>
            </w:r>
            <w:r>
              <w:rPr>
                <w:rFonts w:hint="eastAsia"/>
                <w:color w:val="auto"/>
                <w:highlight w:val="none"/>
              </w:rPr>
              <w:t>、投标人资格</w:t>
            </w:r>
            <w:r>
              <w:rPr>
                <w:color w:val="auto"/>
                <w:highlight w:val="none"/>
              </w:rPr>
              <w:t>要求”上列明的</w:t>
            </w:r>
            <w:r>
              <w:rPr>
                <w:rFonts w:hint="eastAsia"/>
                <w:color w:val="auto"/>
                <w:highlight w:val="none"/>
              </w:rPr>
              <w:t>“</w:t>
            </w:r>
            <w:r>
              <w:rPr>
                <w:color w:val="auto"/>
                <w:highlight w:val="none"/>
              </w:rPr>
              <w:t>特定资格</w:t>
            </w:r>
            <w:r>
              <w:rPr>
                <w:rFonts w:hint="eastAsia"/>
                <w:color w:val="auto"/>
                <w:highlight w:val="none"/>
              </w:rPr>
              <w:t>要求”</w:t>
            </w:r>
            <w:r>
              <w:rPr>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10</w:t>
            </w:r>
          </w:p>
        </w:tc>
        <w:tc>
          <w:tcPr>
            <w:tcW w:w="2740" w:type="dxa"/>
            <w:vAlign w:val="center"/>
          </w:tcPr>
          <w:p>
            <w:pPr>
              <w:spacing w:line="400" w:lineRule="exact"/>
              <w:ind w:firstLine="0" w:firstLineChars="0"/>
              <w:rPr>
                <w:color w:val="auto"/>
                <w:highlight w:val="none"/>
              </w:rPr>
            </w:pPr>
            <w:r>
              <w:rPr>
                <w:rFonts w:hint="eastAsia" w:ascii="宋体" w:hAnsi="宋体"/>
                <w:color w:val="auto"/>
                <w:highlight w:val="none"/>
              </w:rPr>
              <w:t>供应商是否为联合体</w:t>
            </w:r>
          </w:p>
        </w:tc>
        <w:tc>
          <w:tcPr>
            <w:tcW w:w="5955"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本项目</w:t>
            </w:r>
            <w:r>
              <w:rPr>
                <w:rFonts w:hint="eastAsia" w:ascii="宋体" w:hAnsi="宋体"/>
                <w:color w:val="auto"/>
                <w:highlight w:val="none"/>
                <w:lang w:val="en-US" w:eastAsia="zh-CN"/>
              </w:rPr>
              <w:t>不</w:t>
            </w:r>
            <w:r>
              <w:rPr>
                <w:rFonts w:hint="eastAsia" w:ascii="宋体" w:hAnsi="宋体"/>
                <w:color w:val="auto"/>
                <w:highlight w:val="none"/>
              </w:rPr>
              <w:t>接受联合体投标。</w:t>
            </w:r>
          </w:p>
        </w:tc>
      </w:tr>
    </w:tbl>
    <w:p>
      <w:pPr>
        <w:pStyle w:val="36"/>
        <w:rPr>
          <w:b/>
          <w:color w:val="auto"/>
          <w:sz w:val="28"/>
          <w:szCs w:val="28"/>
          <w:highlight w:val="none"/>
        </w:rPr>
      </w:pPr>
      <w:r>
        <w:rPr>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rPr>
          <w:rFonts w:hint="eastAsia" w:ascii="宋体" w:hAnsi="宋体"/>
          <w:b/>
          <w:color w:val="auto"/>
          <w:kern w:val="0"/>
          <w:sz w:val="32"/>
          <w:szCs w:val="32"/>
          <w:highlight w:val="none"/>
        </w:rPr>
      </w:pPr>
      <w:r>
        <w:rPr>
          <w:rFonts w:hint="eastAsia" w:ascii="宋体" w:hAnsi="宋体"/>
          <w:b/>
          <w:color w:val="auto"/>
          <w:kern w:val="0"/>
          <w:sz w:val="32"/>
          <w:szCs w:val="32"/>
          <w:highlight w:val="none"/>
        </w:rPr>
        <w:br w:type="page"/>
      </w: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附件1：</w:t>
      </w:r>
    </w:p>
    <w:p>
      <w:pPr>
        <w:snapToGrid w:val="0"/>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具有良好商业信誉特别声明</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rPr>
        <w:t>截至投标截止时间，我方具有良好的商业信誉，不存在下列情形（包括但不限于）。否则，我方将承担在资格审查时不被通过的后果。</w:t>
      </w:r>
    </w:p>
    <w:p>
      <w:pPr>
        <w:snapToGrid w:val="0"/>
        <w:ind w:firstLine="480"/>
        <w:rPr>
          <w:rFonts w:ascii="宋体" w:hAnsi="宋体"/>
          <w:color w:val="auto"/>
          <w:highlight w:val="none"/>
        </w:rPr>
      </w:pPr>
      <w:r>
        <w:rPr>
          <w:rFonts w:hint="eastAsia" w:ascii="宋体" w:hAnsi="宋体"/>
          <w:color w:val="auto"/>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olor w:val="auto"/>
          <w:highlight w:val="none"/>
        </w:rPr>
      </w:pPr>
      <w:r>
        <w:rPr>
          <w:rFonts w:hint="eastAsia" w:ascii="宋体" w:hAnsi="宋体"/>
          <w:color w:val="auto"/>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color w:val="auto"/>
          <w:spacing w:val="-6"/>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附件2：</w:t>
      </w:r>
    </w:p>
    <w:p>
      <w:pPr>
        <w:snapToGrid w:val="0"/>
        <w:ind w:right="480"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具有履行合同所必需的设备和专业技术能力的承诺函</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ind w:firstLine="480"/>
        <w:rPr>
          <w:rFonts w:ascii="宋体" w:hAnsi="宋体"/>
          <w:color w:val="auto"/>
          <w:highlight w:val="none"/>
        </w:rPr>
      </w:pPr>
      <w:r>
        <w:rPr>
          <w:rFonts w:hint="eastAsia" w:ascii="宋体" w:hAnsi="宋体"/>
          <w:color w:val="auto"/>
          <w:highlight w:val="none"/>
        </w:rPr>
        <w:t>我方郑重承诺，我方具有履行</w:t>
      </w:r>
      <w:r>
        <w:rPr>
          <w:rFonts w:hint="eastAsia" w:ascii="宋体" w:hAnsi="宋体"/>
          <w:color w:val="auto"/>
          <w:highlight w:val="none"/>
          <w:u w:val="single"/>
        </w:rPr>
        <w:t>（项目名称：）（项目编号：）</w:t>
      </w:r>
      <w:r>
        <w:rPr>
          <w:rFonts w:hint="eastAsia" w:ascii="宋体" w:hAnsi="宋体"/>
          <w:color w:val="auto"/>
          <w:highlight w:val="none"/>
        </w:rPr>
        <w:t>合同所必需的设备和专业技术能力。如中标，我方将保证合同顺利履行。</w:t>
      </w:r>
    </w:p>
    <w:p>
      <w:pPr>
        <w:ind w:firstLine="480"/>
        <w:rPr>
          <w:rFonts w:ascii="宋体" w:hAnsi="宋体"/>
          <w:color w:val="auto"/>
          <w:highlight w:val="none"/>
          <w:lang w:val="zh-CN"/>
        </w:rPr>
      </w:pPr>
      <w:r>
        <w:rPr>
          <w:rFonts w:hint="eastAsia" w:ascii="宋体" w:hAnsi="宋体"/>
          <w:color w:val="auto"/>
          <w:highlight w:val="none"/>
          <w:lang w:val="zh-CN"/>
        </w:rPr>
        <w:t xml:space="preserve"> </w:t>
      </w: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b/>
          <w:color w:val="auto"/>
          <w:kern w:val="0"/>
          <w:sz w:val="32"/>
          <w:szCs w:val="32"/>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480"/>
        <w:rPr>
          <w:color w:val="auto"/>
          <w:highlight w:val="none"/>
        </w:rPr>
      </w:pPr>
      <w:r>
        <w:rPr>
          <w:rFonts w:hint="eastAsia"/>
          <w:color w:val="auto"/>
          <w:highlight w:val="none"/>
        </w:rPr>
        <w:br w:type="page"/>
      </w:r>
    </w:p>
    <w:p>
      <w:pPr>
        <w:pStyle w:val="9"/>
        <w:rPr>
          <w:color w:val="auto"/>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附件3：</w:t>
      </w:r>
    </w:p>
    <w:p>
      <w:pPr>
        <w:pStyle w:val="36"/>
        <w:jc w:val="center"/>
        <w:rPr>
          <w:b/>
          <w:color w:val="auto"/>
          <w:sz w:val="32"/>
          <w:szCs w:val="32"/>
          <w:highlight w:val="none"/>
        </w:rPr>
      </w:pPr>
      <w:r>
        <w:rPr>
          <w:rFonts w:hint="eastAsia"/>
          <w:b/>
          <w:color w:val="auto"/>
          <w:sz w:val="32"/>
          <w:szCs w:val="32"/>
          <w:highlight w:val="none"/>
        </w:rPr>
        <w:t>没有重大违法记录承诺函</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lang w:val="zh-CN"/>
        </w:rPr>
        <w:t>我公司</w:t>
      </w:r>
      <w:r>
        <w:rPr>
          <w:rFonts w:hint="eastAsia" w:ascii="宋体" w:hAnsi="宋体"/>
          <w:color w:val="auto"/>
          <w:highlight w:val="none"/>
        </w:rPr>
        <w:t>声明截止投标时间近三年以来，在政府采购领域中，在项目招标、投标和合同履约期间无任何不良行为记录和违法、违规行为</w:t>
      </w:r>
      <w:r>
        <w:rPr>
          <w:rFonts w:hint="eastAsia" w:ascii="宋体" w:hAnsi="宋体"/>
          <w:color w:val="auto"/>
          <w:highlight w:val="none"/>
          <w:lang w:val="zh-CN"/>
        </w:rPr>
        <w:t>。</w:t>
      </w:r>
    </w:p>
    <w:p>
      <w:pPr>
        <w:snapToGrid w:val="0"/>
        <w:ind w:firstLine="480"/>
        <w:rPr>
          <w:rFonts w:ascii="宋体" w:hAnsi="宋体"/>
          <w:color w:val="auto"/>
          <w:highlight w:val="none"/>
          <w:lang w:val="zh-CN"/>
        </w:rPr>
      </w:pPr>
      <w:r>
        <w:rPr>
          <w:rFonts w:hint="eastAsia" w:ascii="宋体" w:hAnsi="宋体"/>
          <w:color w:val="auto"/>
          <w:highlight w:val="none"/>
          <w:lang w:val="zh-CN"/>
        </w:rPr>
        <w:t>我公司自愿参加（</w:t>
      </w:r>
      <w:r>
        <w:rPr>
          <w:rFonts w:hint="eastAsia" w:ascii="宋体" w:hAnsi="宋体"/>
          <w:color w:val="auto"/>
          <w:highlight w:val="none"/>
        </w:rPr>
        <w:t>项目名称）（项目编号）</w:t>
      </w:r>
      <w:r>
        <w:rPr>
          <w:rFonts w:hint="eastAsia" w:ascii="宋体" w:hAnsi="宋体"/>
          <w:color w:val="auto"/>
          <w:highlight w:val="none"/>
          <w:lang w:val="zh-CN"/>
        </w:rPr>
        <w:t>的投标，并保证投标文件中所列举的投标报价文件及相关资料和公司基本情况资料是真实的、合法的。</w:t>
      </w:r>
    </w:p>
    <w:p>
      <w:pPr>
        <w:snapToGrid w:val="0"/>
        <w:ind w:firstLine="480"/>
        <w:rPr>
          <w:rFonts w:ascii="宋体" w:hAnsi="宋体"/>
          <w:color w:val="auto"/>
          <w:highlight w:val="none"/>
          <w:lang w:val="zh-CN"/>
        </w:rPr>
      </w:pPr>
      <w:r>
        <w:rPr>
          <w:rFonts w:hint="eastAsia" w:ascii="宋体" w:hAnsi="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olor w:val="auto"/>
          <w:highlight w:val="none"/>
        </w:rPr>
      </w:pPr>
      <w:r>
        <w:rPr>
          <w:rFonts w:hint="eastAsia" w:ascii="宋体" w:hAnsi="宋体"/>
          <w:color w:val="auto"/>
          <w:highlight w:val="none"/>
          <w:lang w:val="zh-CN"/>
        </w:rPr>
        <w:t>我公司理解并接受招标文件的各项规定和要求，同意此次招标文件中的各项内容，</w:t>
      </w:r>
      <w:r>
        <w:rPr>
          <w:rFonts w:hint="eastAsia" w:ascii="宋体" w:hAnsi="宋体"/>
          <w:color w:val="auto"/>
          <w:highlight w:val="none"/>
        </w:rPr>
        <w:t>并</w:t>
      </w:r>
      <w:r>
        <w:rPr>
          <w:rFonts w:hint="eastAsia" w:ascii="宋体" w:hAnsi="宋体"/>
          <w:color w:val="auto"/>
          <w:highlight w:val="none"/>
          <w:lang w:val="zh-CN"/>
        </w:rPr>
        <w:t>同意提供按照贵方可能要求的与投标有关的一切数据或资料等。</w:t>
      </w:r>
    </w:p>
    <w:p>
      <w:pPr>
        <w:snapToGrid w:val="0"/>
        <w:ind w:firstLine="480"/>
        <w:rPr>
          <w:rFonts w:ascii="宋体" w:hAnsi="宋体"/>
          <w:color w:val="auto"/>
          <w:highlight w:val="none"/>
          <w:lang w:val="zh-CN"/>
        </w:rPr>
      </w:pPr>
      <w:r>
        <w:rPr>
          <w:rFonts w:hint="eastAsia" w:ascii="宋体" w:hAnsi="宋体"/>
          <w:color w:val="auto"/>
          <w:highlight w:val="none"/>
          <w:lang w:val="zh-CN"/>
        </w:rPr>
        <w:t>本公司如中标，保证按照投标文件的承诺与贵方签订合同，保证履行合同条款并缴纳履约保证金。</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643"/>
        <w:jc w:val="center"/>
        <w:rPr>
          <w:rFonts w:ascii="宋体" w:hAnsi="宋体"/>
          <w:b/>
          <w:color w:val="auto"/>
          <w:kern w:val="0"/>
          <w:sz w:val="32"/>
          <w:szCs w:val="32"/>
          <w:highlight w:val="none"/>
        </w:rPr>
      </w:pPr>
    </w:p>
    <w:p>
      <w:pPr>
        <w:ind w:firstLine="643"/>
        <w:jc w:val="center"/>
        <w:rPr>
          <w:rFonts w:ascii="宋体" w:hAnsi="宋体"/>
          <w:b/>
          <w:color w:val="auto"/>
          <w:kern w:val="0"/>
          <w:sz w:val="32"/>
          <w:szCs w:val="32"/>
          <w:highlight w:val="none"/>
        </w:rPr>
      </w:pPr>
    </w:p>
    <w:p>
      <w:pPr>
        <w:pStyle w:val="2"/>
        <w:rPr>
          <w:rFonts w:ascii="宋体" w:hAnsi="宋体" w:eastAsia="宋体" w:cs="宋体"/>
          <w:b/>
          <w:color w:val="auto"/>
          <w:sz w:val="32"/>
          <w:szCs w:val="32"/>
          <w:highlight w:val="none"/>
        </w:rPr>
      </w:pPr>
    </w:p>
    <w:p>
      <w:pPr>
        <w:pStyle w:val="2"/>
        <w:rPr>
          <w:rFonts w:ascii="宋体" w:hAnsi="宋体" w:eastAsia="宋体" w:cs="宋体"/>
          <w:b/>
          <w:color w:val="auto"/>
          <w:sz w:val="32"/>
          <w:szCs w:val="32"/>
          <w:highlight w:val="none"/>
        </w:rPr>
      </w:pPr>
    </w:p>
    <w:p>
      <w:pPr>
        <w:ind w:firstLine="643"/>
        <w:rPr>
          <w:rFonts w:ascii="宋体" w:hAnsi="宋体" w:cs="宋体"/>
          <w:b/>
          <w:color w:val="auto"/>
          <w:sz w:val="32"/>
          <w:szCs w:val="32"/>
          <w:highlight w:val="none"/>
        </w:rPr>
      </w:pPr>
      <w:r>
        <w:rPr>
          <w:rFonts w:ascii="宋体" w:hAnsi="宋体" w:cs="宋体"/>
          <w:b/>
          <w:color w:val="auto"/>
          <w:sz w:val="32"/>
          <w:szCs w:val="32"/>
          <w:highlight w:val="none"/>
        </w:rPr>
        <w:br w:type="page"/>
      </w: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7216"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5721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报价</w:t>
      </w:r>
      <w:r>
        <w:rPr>
          <w:rFonts w:hint="eastAsia" w:ascii="宋体" w:hAnsi="宋体" w:cs="宋体"/>
          <w:color w:val="auto"/>
          <w:highlight w:val="none"/>
        </w:rPr>
        <w:t>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报价文件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ind w:firstLine="723"/>
        <w:jc w:val="center"/>
        <w:outlineLvl w:val="0"/>
        <w:rPr>
          <w:rFonts w:ascii="宋体" w:hAnsi="宋体" w:cs="宋体"/>
          <w:b/>
          <w:color w:val="auto"/>
          <w:kern w:val="0"/>
          <w:sz w:val="36"/>
          <w:highlight w:val="none"/>
        </w:rPr>
      </w:pPr>
      <w:bookmarkStart w:id="96" w:name="_Toc6136"/>
      <w:r>
        <w:rPr>
          <w:rFonts w:hint="eastAsia" w:ascii="宋体" w:hAnsi="宋体" w:cs="宋体"/>
          <w:b/>
          <w:color w:val="auto"/>
          <w:kern w:val="0"/>
          <w:sz w:val="36"/>
          <w:highlight w:val="none"/>
        </w:rPr>
        <w:t>报价文件目录</w:t>
      </w:r>
      <w:bookmarkEnd w:id="96"/>
    </w:p>
    <w:p>
      <w:pPr>
        <w:ind w:firstLine="480"/>
        <w:outlineLvl w:val="0"/>
        <w:rPr>
          <w:rFonts w:ascii="宋体" w:hAnsi="宋体" w:cs="宋体"/>
          <w:color w:val="auto"/>
          <w:kern w:val="0"/>
          <w:highlight w:val="none"/>
        </w:rPr>
      </w:pPr>
      <w:bookmarkStart w:id="97" w:name="_Toc16666"/>
      <w:r>
        <w:rPr>
          <w:rFonts w:hint="eastAsia" w:ascii="宋体" w:hAnsi="宋体" w:cs="宋体"/>
          <w:color w:val="auto"/>
          <w:kern w:val="0"/>
          <w:highlight w:val="none"/>
        </w:rPr>
        <w:t>（1）投标响应函………………………………………………………………（页码）</w:t>
      </w:r>
      <w:bookmarkEnd w:id="97"/>
    </w:p>
    <w:p>
      <w:pPr>
        <w:ind w:firstLine="480"/>
        <w:outlineLvl w:val="0"/>
        <w:rPr>
          <w:rFonts w:ascii="宋体" w:hAnsi="宋体" w:cs="宋体"/>
          <w:color w:val="auto"/>
          <w:kern w:val="0"/>
          <w:highlight w:val="none"/>
        </w:rPr>
      </w:pPr>
      <w:bookmarkStart w:id="98" w:name="_Toc9814"/>
      <w:r>
        <w:rPr>
          <w:rFonts w:hint="eastAsia" w:ascii="宋体" w:hAnsi="宋体" w:cs="宋体"/>
          <w:color w:val="auto"/>
          <w:kern w:val="0"/>
          <w:highlight w:val="none"/>
        </w:rPr>
        <w:t>（2）开标一览表………………………………………………………………（页码）</w:t>
      </w:r>
      <w:bookmarkEnd w:id="98"/>
    </w:p>
    <w:p>
      <w:pPr>
        <w:ind w:firstLine="480"/>
        <w:outlineLvl w:val="0"/>
        <w:rPr>
          <w:rFonts w:ascii="宋体" w:hAnsi="宋体" w:cs="宋体"/>
          <w:color w:val="auto"/>
          <w:kern w:val="0"/>
          <w:highlight w:val="none"/>
        </w:rPr>
      </w:pPr>
      <w:bookmarkStart w:id="99" w:name="_Toc10349"/>
      <w:r>
        <w:rPr>
          <w:rFonts w:hint="eastAsia" w:ascii="宋体" w:hAnsi="宋体" w:cs="宋体"/>
          <w:color w:val="auto"/>
          <w:kern w:val="0"/>
          <w:highlight w:val="none"/>
        </w:rPr>
        <w:t>（3）投标报价明细表…………………………………………………………（页码）</w:t>
      </w:r>
      <w:bookmarkEnd w:id="99"/>
    </w:p>
    <w:p>
      <w:pPr>
        <w:ind w:firstLine="480"/>
        <w:outlineLvl w:val="0"/>
        <w:rPr>
          <w:rFonts w:ascii="宋体" w:hAnsi="宋体" w:cs="宋体"/>
          <w:color w:val="auto"/>
          <w:highlight w:val="none"/>
        </w:rPr>
      </w:pPr>
      <w:bookmarkStart w:id="100" w:name="_Toc20916"/>
      <w:r>
        <w:rPr>
          <w:rFonts w:hint="eastAsia" w:ascii="宋体" w:hAnsi="宋体" w:cs="宋体"/>
          <w:color w:val="auto"/>
          <w:highlight w:val="none"/>
        </w:rPr>
        <w:t>（4）《中小企业声明函》、（中、小微企业资格证明材料）、监狱企业资格证明材料、《残疾人福利性单位声明函》（如果有）………………</w:t>
      </w:r>
      <w:r>
        <w:rPr>
          <w:rFonts w:hint="eastAsia" w:ascii="宋体" w:hAnsi="宋体" w:cs="宋体"/>
          <w:color w:val="auto"/>
          <w:kern w:val="0"/>
          <w:highlight w:val="none"/>
        </w:rPr>
        <w:t>…</w:t>
      </w:r>
      <w:r>
        <w:rPr>
          <w:rFonts w:hint="eastAsia" w:ascii="宋体" w:hAnsi="宋体" w:cs="宋体"/>
          <w:color w:val="auto"/>
          <w:highlight w:val="none"/>
        </w:rPr>
        <w:t>…………………（页码）</w:t>
      </w:r>
      <w:bookmarkEnd w:id="100"/>
    </w:p>
    <w:p>
      <w:pPr>
        <w:pStyle w:val="6"/>
        <w:rPr>
          <w:rFonts w:ascii="宋体" w:hAnsi="宋体" w:cs="宋体"/>
          <w:color w:val="auto"/>
          <w:highlight w:val="none"/>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6"/>
        <w:rPr>
          <w:rFonts w:ascii="仿宋_GB2312" w:eastAsia="仿宋_GB2312"/>
          <w:color w:val="auto"/>
          <w:sz w:val="32"/>
          <w:highlight w:val="none"/>
        </w:rPr>
      </w:pPr>
      <w:r>
        <w:rPr>
          <w:rFonts w:hint="eastAsia" w:ascii="宋体" w:hAnsi="宋体" w:cs="宋体"/>
          <w:color w:val="auto"/>
          <w:highlight w:val="none"/>
        </w:rPr>
        <w:t xml:space="preserve">附件一 投标响应函   </w:t>
      </w:r>
    </w:p>
    <w:p>
      <w:pPr>
        <w:snapToGrid w:val="0"/>
        <w:ind w:firstLine="643"/>
        <w:jc w:val="center"/>
        <w:rPr>
          <w:rFonts w:ascii="仿宋_GB2312" w:hAnsi="仿宋_GB2312" w:eastAsia="仿宋_GB2312" w:cs="仿宋_GB2312"/>
          <w:color w:val="auto"/>
          <w:highlight w:val="none"/>
        </w:rPr>
      </w:pPr>
      <w:r>
        <w:rPr>
          <w:rFonts w:hint="eastAsia" w:ascii="仿宋_GB2312" w:hAnsi="宋体" w:eastAsia="仿宋_GB2312"/>
          <w:b/>
          <w:color w:val="auto"/>
          <w:kern w:val="0"/>
          <w:sz w:val="32"/>
          <w:highlight w:val="none"/>
        </w:rPr>
        <w:t>投标响应</w:t>
      </w:r>
      <w:r>
        <w:rPr>
          <w:rFonts w:hint="eastAsia" w:ascii="仿宋_GB2312" w:hAnsi="宋体" w:eastAsia="仿宋_GB2312"/>
          <w:b/>
          <w:color w:val="auto"/>
          <w:sz w:val="32"/>
          <w:highlight w:val="none"/>
        </w:rPr>
        <w:t>函</w:t>
      </w: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中国计量大学、浙江五石工程咨询有限公司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snapToGrid w:val="0"/>
        <w:ind w:firstLine="480"/>
        <w:rPr>
          <w:rFonts w:ascii="宋体" w:hAnsi="宋体" w:cs="宋体"/>
          <w:color w:val="auto"/>
          <w:highlight w:val="none"/>
        </w:rPr>
      </w:pP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(投标人全称)授权</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(全权代表姓名)</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2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规定的全部投标文件，包括</w:t>
      </w:r>
      <w:r>
        <w:rPr>
          <w:rFonts w:hint="eastAsia" w:hAnsi="宋体" w:cs="宋体"/>
          <w:b/>
          <w:color w:val="auto"/>
          <w:sz w:val="24"/>
          <w:szCs w:val="24"/>
          <w:highlight w:val="none"/>
        </w:rPr>
        <w:t>资格文件正本1份；报价文件正本1份，副本</w:t>
      </w:r>
      <w:r>
        <w:rPr>
          <w:rFonts w:hint="eastAsia" w:hAnsi="宋体" w:cs="宋体"/>
          <w:color w:val="auto"/>
          <w:kern w:val="0"/>
          <w:sz w:val="24"/>
          <w:highlight w:val="none"/>
          <w:u w:val="single"/>
          <w:lang w:val="zh-CN"/>
        </w:rPr>
        <w:t>5</w:t>
      </w:r>
      <w:r>
        <w:rPr>
          <w:rFonts w:hint="eastAsia" w:hAnsi="宋体" w:cs="宋体"/>
          <w:b/>
          <w:color w:val="auto"/>
          <w:sz w:val="24"/>
          <w:szCs w:val="24"/>
          <w:highlight w:val="none"/>
        </w:rPr>
        <w:t>份；商务技术文件正本1份，副本</w:t>
      </w:r>
      <w:r>
        <w:rPr>
          <w:rFonts w:hint="eastAsia" w:hAnsi="宋体" w:cs="宋体"/>
          <w:color w:val="auto"/>
          <w:kern w:val="0"/>
          <w:sz w:val="24"/>
          <w:highlight w:val="none"/>
          <w:u w:val="single"/>
          <w:lang w:val="zh-CN"/>
        </w:rPr>
        <w:t xml:space="preserve"> </w:t>
      </w:r>
      <w:r>
        <w:rPr>
          <w:rFonts w:hint="eastAsia" w:hAnsi="宋体" w:cs="宋体"/>
          <w:color w:val="auto"/>
          <w:kern w:val="0"/>
          <w:sz w:val="24"/>
          <w:highlight w:val="none"/>
          <w:u w:val="single"/>
        </w:rPr>
        <w:t xml:space="preserve">4 </w:t>
      </w:r>
      <w:r>
        <w:rPr>
          <w:rFonts w:hint="eastAsia" w:hAnsi="宋体" w:cs="宋体"/>
          <w:b/>
          <w:color w:val="auto"/>
          <w:sz w:val="24"/>
          <w:szCs w:val="24"/>
          <w:highlight w:val="none"/>
        </w:rPr>
        <w:t>份；电子版</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 xml:space="preserve">联系人：                           联系电话：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6"/>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01" w:name="_Toc14446"/>
      <w:r>
        <w:rPr>
          <w:rFonts w:hint="eastAsia" w:ascii="宋体" w:hAnsi="宋体" w:eastAsia="宋体" w:cs="宋体"/>
          <w:bCs/>
          <w:color w:val="auto"/>
          <w:kern w:val="2"/>
          <w:sz w:val="24"/>
          <w:szCs w:val="32"/>
          <w:highlight w:val="none"/>
        </w:rPr>
        <w:t>开标一览表</w:t>
      </w:r>
      <w:bookmarkEnd w:id="101"/>
    </w:p>
    <w:p>
      <w:pPr>
        <w:pStyle w:val="170"/>
        <w:keepNext w:val="0"/>
        <w:pageBreakBefore w:val="0"/>
        <w:tabs>
          <w:tab w:val="clear" w:pos="720"/>
        </w:tabs>
        <w:spacing w:line="460" w:lineRule="exact"/>
        <w:ind w:firstLine="482"/>
        <w:outlineLvl w:val="9"/>
        <w:rPr>
          <w:rFonts w:ascii="宋体" w:hAnsi="宋体" w:eastAsia="宋体" w:cs="宋体"/>
          <w:color w:val="auto"/>
          <w:kern w:val="2"/>
          <w:sz w:val="2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中国计量大学、浙江五石工程咨询有限公司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pStyle w:val="170"/>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bookmarkStart w:id="102" w:name="_Toc18686"/>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]项目名称：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102"/>
    </w:p>
    <w:p>
      <w:pPr>
        <w:ind w:firstLine="482"/>
        <w:jc w:val="center"/>
        <w:rPr>
          <w:rFonts w:ascii="宋体" w:hAnsi="宋体" w:cs="宋体"/>
          <w:b/>
          <w:color w:val="auto"/>
          <w:kern w:val="0"/>
          <w:highlight w:val="none"/>
          <w:lang w:val="zh-CN"/>
        </w:rPr>
      </w:pPr>
      <w:r>
        <w:rPr>
          <w:rFonts w:hint="eastAsia" w:ascii="宋体" w:hAnsi="宋体" w:cs="宋体"/>
          <w:b/>
          <w:color w:val="auto"/>
          <w:kern w:val="0"/>
          <w:highlight w:val="none"/>
          <w:lang w:val="zh-CN"/>
        </w:rPr>
        <w:t>开标一览表</w:t>
      </w:r>
    </w:p>
    <w:p>
      <w:pPr>
        <w:pStyle w:val="20"/>
        <w:wordWrap w:val="0"/>
        <w:snapToGrid w:val="0"/>
        <w:spacing w:line="360" w:lineRule="auto"/>
        <w:ind w:firstLine="480"/>
        <w:jc w:val="center"/>
        <w:rPr>
          <w:color w:val="auto"/>
          <w:highlight w:val="none"/>
          <w:lang w:val="zh-CN"/>
        </w:rPr>
      </w:pPr>
      <w:r>
        <w:rPr>
          <w:rFonts w:hint="eastAsia" w:hAnsi="宋体" w:cs="宋体"/>
          <w:b/>
          <w:bCs/>
          <w:color w:val="auto"/>
          <w:sz w:val="24"/>
          <w:szCs w:val="24"/>
          <w:highlight w:val="none"/>
        </w:rPr>
        <w:t xml:space="preserve">                                                   金额单位：          </w:t>
      </w:r>
      <w:r>
        <w:rPr>
          <w:rFonts w:hint="eastAsia" w:hAnsi="宋体" w:cs="宋体"/>
          <w:color w:val="auto"/>
          <w:sz w:val="24"/>
          <w:szCs w:val="24"/>
          <w:highlight w:val="none"/>
        </w:rPr>
        <w:t xml:space="preserve"> </w:t>
      </w:r>
    </w:p>
    <w:tbl>
      <w:tblPr>
        <w:tblStyle w:val="39"/>
        <w:tblW w:w="103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64"/>
        <w:gridCol w:w="1528"/>
        <w:gridCol w:w="1671"/>
        <w:gridCol w:w="750"/>
        <w:gridCol w:w="788"/>
        <w:gridCol w:w="712"/>
        <w:gridCol w:w="177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694"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764" w:type="dxa"/>
            <w:vAlign w:val="center"/>
          </w:tcPr>
          <w:p>
            <w:pPr>
              <w:spacing w:line="240" w:lineRule="auto"/>
              <w:ind w:firstLine="0" w:firstLineChars="0"/>
              <w:rPr>
                <w:rFonts w:ascii="宋体" w:hAnsi="宋体" w:cs="宋体"/>
                <w:b/>
                <w:color w:val="auto"/>
                <w:highlight w:val="none"/>
              </w:rPr>
            </w:pPr>
            <w:r>
              <w:rPr>
                <w:rFonts w:hint="eastAsia" w:ascii="宋体" w:hAnsi="宋体" w:cs="宋体"/>
                <w:b/>
                <w:color w:val="auto"/>
                <w:highlight w:val="none"/>
              </w:rPr>
              <w:t>名称</w:t>
            </w:r>
          </w:p>
        </w:tc>
        <w:tc>
          <w:tcPr>
            <w:tcW w:w="1528"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品牌</w:t>
            </w:r>
          </w:p>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（如果有）</w:t>
            </w:r>
          </w:p>
        </w:tc>
        <w:tc>
          <w:tcPr>
            <w:tcW w:w="1671"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规格型号</w:t>
            </w:r>
          </w:p>
        </w:tc>
        <w:tc>
          <w:tcPr>
            <w:tcW w:w="750"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数量</w:t>
            </w:r>
          </w:p>
        </w:tc>
        <w:tc>
          <w:tcPr>
            <w:tcW w:w="788"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单价</w:t>
            </w:r>
          </w:p>
        </w:tc>
        <w:tc>
          <w:tcPr>
            <w:tcW w:w="712"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总价</w:t>
            </w:r>
          </w:p>
        </w:tc>
        <w:tc>
          <w:tcPr>
            <w:tcW w:w="1770"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质保期</w:t>
            </w:r>
          </w:p>
        </w:tc>
        <w:tc>
          <w:tcPr>
            <w:tcW w:w="1643"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货物的制造商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2</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3</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4</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5</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4657" w:type="dxa"/>
            <w:gridSpan w:val="4"/>
            <w:vAlign w:val="center"/>
          </w:tcPr>
          <w:p>
            <w:pPr>
              <w:ind w:firstLine="482"/>
              <w:rPr>
                <w:rFonts w:ascii="宋体" w:hAnsi="宋体" w:cs="宋体"/>
                <w:b/>
                <w:color w:val="auto"/>
                <w:highlight w:val="none"/>
              </w:rPr>
            </w:pPr>
            <w:r>
              <w:rPr>
                <w:rFonts w:hint="eastAsia" w:ascii="宋体" w:hAnsi="宋体" w:cs="宋体"/>
                <w:b/>
                <w:color w:val="auto"/>
                <w:highlight w:val="none"/>
              </w:rPr>
              <w:t>投标报价（小写）</w:t>
            </w:r>
          </w:p>
        </w:tc>
        <w:tc>
          <w:tcPr>
            <w:tcW w:w="5663" w:type="dxa"/>
            <w:gridSpan w:val="5"/>
            <w:vAlign w:val="center"/>
          </w:tcPr>
          <w:p>
            <w:pPr>
              <w:ind w:firstLine="48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4657" w:type="dxa"/>
            <w:gridSpan w:val="4"/>
            <w:vAlign w:val="center"/>
          </w:tcPr>
          <w:p>
            <w:pPr>
              <w:ind w:firstLine="482"/>
              <w:rPr>
                <w:rFonts w:ascii="宋体" w:hAnsi="宋体" w:cs="宋体"/>
                <w:b/>
                <w:color w:val="auto"/>
                <w:highlight w:val="none"/>
              </w:rPr>
            </w:pPr>
            <w:r>
              <w:rPr>
                <w:rFonts w:hint="eastAsia" w:ascii="宋体" w:hAnsi="宋体" w:cs="宋体"/>
                <w:b/>
                <w:color w:val="auto"/>
                <w:highlight w:val="none"/>
              </w:rPr>
              <w:t>投标报价（大写）</w:t>
            </w:r>
          </w:p>
        </w:tc>
        <w:tc>
          <w:tcPr>
            <w:tcW w:w="5663" w:type="dxa"/>
            <w:gridSpan w:val="5"/>
            <w:vAlign w:val="center"/>
          </w:tcPr>
          <w:p>
            <w:pPr>
              <w:ind w:firstLine="480"/>
              <w:jc w:val="center"/>
              <w:rPr>
                <w:rFonts w:ascii="宋体" w:hAnsi="宋体" w:cs="宋体"/>
                <w:color w:val="auto"/>
                <w:highlight w:val="none"/>
              </w:rPr>
            </w:pPr>
          </w:p>
        </w:tc>
      </w:tr>
    </w:tbl>
    <w:p>
      <w:pPr>
        <w:snapToGrid w:val="0"/>
        <w:ind w:firstLine="0" w:firstLineChars="0"/>
        <w:rPr>
          <w:rFonts w:ascii="宋体" w:hAnsi="宋体" w:cs="宋体"/>
          <w:b/>
          <w:color w:val="auto"/>
          <w:kern w:val="0"/>
          <w:highlight w:val="none"/>
          <w:lang w:val="zh-CN"/>
        </w:rPr>
      </w:pPr>
    </w:p>
    <w:p>
      <w:pPr>
        <w:snapToGrid w:val="0"/>
        <w:ind w:firstLine="0" w:firstLineChars="0"/>
        <w:rPr>
          <w:rFonts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1、投标人需按本表格式填写，不得自行更改。</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2、有关本项目实施所涉及的一切费用（详见前附表）均计入报价。</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3、以上表格要求细分项目及报价。</w:t>
      </w:r>
    </w:p>
    <w:p>
      <w:pPr>
        <w:snapToGrid w:val="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4、特别提示：采购机构将对</w:t>
      </w:r>
      <w:r>
        <w:rPr>
          <w:rFonts w:hint="eastAsia" w:ascii="宋体" w:hAnsi="宋体" w:cs="宋体"/>
          <w:b/>
          <w:color w:val="auto"/>
          <w:kern w:val="0"/>
          <w:highlight w:val="none"/>
        </w:rPr>
        <w:t>项目名称和项目编号，中标供应商名称、地址和中标金额，主要中标标的的名称、规格型号、数量、单价、服务要求等</w:t>
      </w:r>
      <w:r>
        <w:rPr>
          <w:rFonts w:hint="eastAsia" w:ascii="宋体" w:hAnsi="宋体" w:cs="宋体"/>
          <w:b/>
          <w:color w:val="auto"/>
          <w:kern w:val="0"/>
          <w:highlight w:val="none"/>
          <w:lang w:val="zh-CN"/>
        </w:rPr>
        <w:t>予以公示。</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仿宋_GB2312" w:hAnsi="仿宋_GB2312" w:eastAsia="仿宋_GB2312" w:cs="仿宋_GB2312"/>
          <w:color w:val="auto"/>
          <w:highlight w:val="none"/>
          <w:lang w:val="zh-CN"/>
        </w:rPr>
      </w:pP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footerReference r:id="rId21" w:type="default"/>
          <w:pgSz w:w="11907" w:h="16840"/>
          <w:pgMar w:top="1247" w:right="1304" w:bottom="1021" w:left="1304" w:header="720" w:footer="720" w:gutter="0"/>
          <w:cols w:space="720" w:num="1"/>
          <w:docGrid w:linePitch="286" w:charSpace="0"/>
        </w:sectPr>
      </w:pPr>
    </w:p>
    <w:p>
      <w:pPr>
        <w:pStyle w:val="6"/>
        <w:rPr>
          <w:rFonts w:ascii="宋体" w:hAnsi="宋体" w:cs="宋体"/>
          <w:b w:val="0"/>
          <w:bCs w:val="0"/>
          <w:color w:val="auto"/>
          <w:highlight w:val="none"/>
        </w:rPr>
      </w:pPr>
      <w:r>
        <w:rPr>
          <w:rFonts w:hint="eastAsia" w:ascii="宋体" w:hAnsi="宋体" w:cs="宋体"/>
          <w:color w:val="auto"/>
          <w:highlight w:val="none"/>
        </w:rPr>
        <w:t>附件三 投标报价明细表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03" w:name="_Toc17346"/>
      <w:r>
        <w:rPr>
          <w:rFonts w:hint="eastAsia" w:ascii="宋体" w:hAnsi="宋体" w:eastAsia="宋体" w:cs="宋体"/>
          <w:bCs/>
          <w:color w:val="auto"/>
          <w:kern w:val="2"/>
          <w:sz w:val="24"/>
          <w:szCs w:val="32"/>
          <w:highlight w:val="none"/>
        </w:rPr>
        <w:t>投标报价明细表</w:t>
      </w:r>
      <w:bookmarkEnd w:id="103"/>
    </w:p>
    <w:p>
      <w:pPr>
        <w:pStyle w:val="20"/>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项目编号：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20"/>
        <w:wordWrap w:val="0"/>
        <w:snapToGrid w:val="0"/>
        <w:spacing w:line="360" w:lineRule="auto"/>
        <w:ind w:firstLine="480"/>
        <w:jc w:val="right"/>
        <w:rPr>
          <w:rFonts w:hAnsi="宋体" w:cs="宋体"/>
          <w:color w:val="auto"/>
          <w:sz w:val="24"/>
          <w:szCs w:val="24"/>
          <w:highlight w:val="none"/>
        </w:rPr>
      </w:pPr>
      <w:r>
        <w:rPr>
          <w:rFonts w:hint="eastAsia" w:hAnsi="宋体" w:cs="宋体"/>
          <w:b/>
          <w:bCs/>
          <w:color w:val="auto"/>
          <w:sz w:val="24"/>
          <w:szCs w:val="24"/>
          <w:highlight w:val="none"/>
        </w:rPr>
        <w:t xml:space="preserve">金额单位：     </w:t>
      </w:r>
      <w:r>
        <w:rPr>
          <w:rFonts w:hint="eastAsia" w:hAnsi="宋体" w:cs="宋体"/>
          <w:color w:val="auto"/>
          <w:sz w:val="24"/>
          <w:szCs w:val="24"/>
          <w:highlight w:val="none"/>
        </w:rPr>
        <w:t xml:space="preserve"> </w:t>
      </w:r>
    </w:p>
    <w:tbl>
      <w:tblPr>
        <w:tblStyle w:val="39"/>
        <w:tblW w:w="85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095"/>
        <w:gridCol w:w="1260"/>
        <w:gridCol w:w="1158"/>
        <w:gridCol w:w="717"/>
        <w:gridCol w:w="938"/>
        <w:gridCol w:w="938"/>
        <w:gridCol w:w="938"/>
        <w:gridCol w:w="71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767" w:type="dxa"/>
            <w:tcBorders>
              <w:top w:val="double" w:color="auto" w:sz="4" w:space="0"/>
              <w:left w:val="doub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序号</w:t>
            </w:r>
          </w:p>
        </w:tc>
        <w:tc>
          <w:tcPr>
            <w:tcW w:w="1095"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名   称</w:t>
            </w:r>
          </w:p>
        </w:tc>
        <w:tc>
          <w:tcPr>
            <w:tcW w:w="1260"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投标报价</w:t>
            </w:r>
          </w:p>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   )</w:t>
            </w:r>
          </w:p>
        </w:tc>
        <w:tc>
          <w:tcPr>
            <w:tcW w:w="115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规格型号</w:t>
            </w:r>
          </w:p>
        </w:tc>
        <w:tc>
          <w:tcPr>
            <w:tcW w:w="717"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品牌</w:t>
            </w:r>
          </w:p>
        </w:tc>
        <w:tc>
          <w:tcPr>
            <w:tcW w:w="93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原产地</w:t>
            </w:r>
          </w:p>
        </w:tc>
        <w:tc>
          <w:tcPr>
            <w:tcW w:w="93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供货期</w:t>
            </w:r>
          </w:p>
        </w:tc>
        <w:tc>
          <w:tcPr>
            <w:tcW w:w="93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质保期</w:t>
            </w:r>
          </w:p>
        </w:tc>
        <w:tc>
          <w:tcPr>
            <w:tcW w:w="717" w:type="dxa"/>
            <w:tcBorders>
              <w:top w:val="double" w:color="auto" w:sz="4" w:space="0"/>
              <w:left w:val="single" w:color="auto" w:sz="4" w:space="0"/>
              <w:bottom w:val="single" w:color="auto" w:sz="4" w:space="0"/>
              <w:right w:val="doub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1</w:t>
            </w:r>
          </w:p>
        </w:tc>
        <w:tc>
          <w:tcPr>
            <w:tcW w:w="1095"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6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5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2</w:t>
            </w:r>
          </w:p>
        </w:tc>
        <w:tc>
          <w:tcPr>
            <w:tcW w:w="1095"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6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5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7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3</w:t>
            </w:r>
          </w:p>
        </w:tc>
        <w:tc>
          <w:tcPr>
            <w:tcW w:w="1095"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6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5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7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ascii="宋体" w:hAnsi="宋体"/>
                <w:color w:val="auto"/>
                <w:spacing w:val="20"/>
                <w:highlight w:val="none"/>
              </w:rPr>
              <w:t>……</w:t>
            </w:r>
          </w:p>
        </w:tc>
        <w:tc>
          <w:tcPr>
            <w:tcW w:w="1095"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6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5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合计</w:t>
            </w:r>
          </w:p>
        </w:tc>
        <w:tc>
          <w:tcPr>
            <w:tcW w:w="1095"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60"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5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38"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717"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bl>
    <w:p>
      <w:pPr>
        <w:pStyle w:val="20"/>
        <w:adjustRightInd w:val="0"/>
        <w:snapToGrid w:val="0"/>
        <w:spacing w:line="360" w:lineRule="auto"/>
        <w:jc w:val="left"/>
        <w:rPr>
          <w:rFonts w:ascii="Arial" w:hAnsi="宋体" w:cs="Arial"/>
          <w:b/>
          <w:bCs/>
          <w:color w:val="auto"/>
          <w:kern w:val="0"/>
          <w:szCs w:val="21"/>
          <w:highlight w:val="none"/>
        </w:rPr>
      </w:pPr>
    </w:p>
    <w:p>
      <w:pPr>
        <w:pStyle w:val="20"/>
        <w:adjustRightInd w:val="0"/>
        <w:snapToGrid w:val="0"/>
        <w:spacing w:line="360" w:lineRule="auto"/>
        <w:jc w:val="left"/>
        <w:rPr>
          <w:rFonts w:hAnsi="宋体" w:cs="宋体"/>
          <w:b/>
          <w:bCs/>
          <w:color w:val="auto"/>
          <w:szCs w:val="21"/>
          <w:highlight w:val="none"/>
        </w:rPr>
      </w:pPr>
    </w:p>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投标人名称（盖章）：</w:t>
      </w: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22" w:type="default"/>
          <w:pgSz w:w="11906" w:h="16838"/>
          <w:pgMar w:top="1440" w:right="1797" w:bottom="1440" w:left="1797" w:header="851" w:footer="851" w:gutter="0"/>
          <w:cols w:space="720" w:num="1"/>
          <w:docGrid w:linePitch="312" w:charSpace="0"/>
        </w:sectPr>
      </w:pPr>
    </w:p>
    <w:p>
      <w:pPr>
        <w:pStyle w:val="6"/>
        <w:rPr>
          <w:rFonts w:ascii="仿宋_GB2312" w:hAnsi="微软雅黑" w:eastAsia="仿宋_GB2312"/>
          <w:color w:val="auto"/>
          <w:highlight w:val="none"/>
        </w:rPr>
      </w:pPr>
      <w:r>
        <w:rPr>
          <w:rFonts w:hint="eastAsia" w:ascii="仿宋_GB2312" w:eastAsia="仿宋_GB2312"/>
          <w:color w:val="auto"/>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color w:val="auto"/>
          <w:highlight w:val="none"/>
        </w:rPr>
      </w:pPr>
    </w:p>
    <w:p>
      <w:pPr>
        <w:ind w:firstLine="480"/>
        <w:rPr>
          <w:rFonts w:ascii="仿宋_GB2312" w:hAnsi="仿宋_GB2312" w:eastAsia="仿宋_GB2312" w:cs="仿宋_GB2312"/>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中小企业声明函</w:t>
      </w:r>
    </w:p>
    <w:p>
      <w:pPr>
        <w:pStyle w:val="29"/>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2.本公司参加中国计量大学</w:t>
      </w:r>
      <w:r>
        <w:rPr>
          <w:rFonts w:hint="eastAsia" w:ascii="宋体" w:hAnsi="宋体" w:cs="宋体"/>
          <w:color w:val="auto"/>
          <w:highlight w:val="none"/>
          <w:u w:val="single"/>
        </w:rPr>
        <w:t xml:space="preserve">           </w:t>
      </w:r>
      <w:r>
        <w:rPr>
          <w:rFonts w:hint="eastAsia" w:ascii="宋体" w:hAnsi="宋体" w:cs="宋体"/>
          <w:color w:val="auto"/>
          <w:highlight w:val="none"/>
        </w:rPr>
        <w:t>（项目名称）采购活动（按投标形式选择填写）：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（1）□本公司为直接投标人提供本企业提供的货物。</w:t>
      </w:r>
    </w:p>
    <w:p>
      <w:pPr>
        <w:ind w:firstLine="480"/>
        <w:rPr>
          <w:rFonts w:ascii="宋体" w:hAnsi="宋体"/>
          <w:color w:val="auto"/>
          <w:highlight w:val="none"/>
        </w:rPr>
      </w:pPr>
      <w:r>
        <w:rPr>
          <w:rFonts w:hint="eastAsia" w:ascii="宋体" w:hAnsi="宋体"/>
          <w:color w:val="auto"/>
          <w:highlight w:val="none"/>
        </w:rPr>
        <w:t>（2）□本公司为代理商，提供其他______（请填写：中型、小型、微型）企业制造的货物。本条所称货物不包括使用大型企业注册商标的货物。</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本公司对上述声明的真实性负责。如有虚假，将依法承担相应责任。</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企业名称（盖章）：                                 </w:t>
      </w:r>
    </w:p>
    <w:p>
      <w:pPr>
        <w:ind w:firstLine="480"/>
        <w:rPr>
          <w:rFonts w:ascii="宋体" w:hAnsi="宋体" w:cs="宋体"/>
          <w:color w:val="auto"/>
          <w:highlight w:val="none"/>
        </w:rPr>
      </w:pPr>
      <w:r>
        <w:rPr>
          <w:rFonts w:hint="eastAsia" w:ascii="宋体" w:hAnsi="宋体" w:cs="宋体"/>
          <w:color w:val="auto"/>
          <w:highlight w:val="none"/>
        </w:rPr>
        <w:t xml:space="preserve">日期：     年     月   日 </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ascii="宋体" w:hAnsi="宋体"/>
          <w:color w:val="auto"/>
          <w:highlight w:val="none"/>
        </w:rPr>
      </w:pPr>
      <w:r>
        <w:rPr>
          <w:rFonts w:hint="eastAsia" w:ascii="宋体" w:hAnsi="宋体"/>
          <w:color w:val="auto"/>
          <w:highlight w:val="none"/>
        </w:rPr>
        <w:t>（1）供应商和报价产品生产企业在当地中小企业行政主管部门的确认意见书或《中小企业申明函》。</w:t>
      </w:r>
    </w:p>
    <w:p>
      <w:pPr>
        <w:ind w:firstLine="480"/>
        <w:rPr>
          <w:rFonts w:ascii="宋体" w:hAnsi="宋体"/>
          <w:color w:val="auto"/>
          <w:highlight w:val="none"/>
        </w:rPr>
      </w:pPr>
      <w:r>
        <w:rPr>
          <w:rFonts w:hint="eastAsia" w:ascii="宋体" w:hAnsi="宋体"/>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color w:val="auto"/>
          <w:highlight w:val="none"/>
        </w:rPr>
      </w:pPr>
      <w:r>
        <w:rPr>
          <w:rFonts w:hint="eastAsia" w:ascii="宋体" w:hAnsi="宋体"/>
          <w:color w:val="auto"/>
          <w:highlight w:val="none"/>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2"/>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color w:val="auto"/>
          <w:highlight w:val="none"/>
          <w:u w:val="single"/>
        </w:rPr>
        <w:t xml:space="preserve">    </w:t>
      </w:r>
      <w:r>
        <w:rPr>
          <w:rFonts w:hint="eastAsia" w:ascii="宋体" w:hAnsi="宋体"/>
          <w:color w:val="auto"/>
          <w:highlight w:val="none"/>
        </w:rPr>
        <w:t>公司为</w:t>
      </w:r>
      <w:r>
        <w:rPr>
          <w:rFonts w:hint="eastAsia" w:ascii="宋体" w:hAnsi="宋体"/>
          <w:color w:val="auto"/>
          <w:highlight w:val="none"/>
          <w:u w:val="single"/>
        </w:rPr>
        <w:t xml:space="preserve">     </w:t>
      </w:r>
      <w:r>
        <w:rPr>
          <w:rFonts w:hint="eastAsia" w:ascii="宋体" w:hAnsi="宋体"/>
          <w:color w:val="auto"/>
          <w:highlight w:val="none"/>
        </w:rPr>
        <w:t>行业的</w:t>
      </w:r>
      <w:r>
        <w:rPr>
          <w:rFonts w:hint="eastAsia" w:ascii="宋体" w:hAnsi="宋体"/>
          <w:color w:val="auto"/>
          <w:highlight w:val="none"/>
          <w:u w:val="single"/>
        </w:rPr>
        <w:t xml:space="preserve">   </w:t>
      </w:r>
      <w:r>
        <w:rPr>
          <w:rFonts w:hint="eastAsia" w:ascii="宋体" w:hAnsi="宋体"/>
          <w:color w:val="auto"/>
          <w:highlight w:val="none"/>
        </w:rPr>
        <w:t>（请填写：中型、小型、微型）企业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5520" w:firstLineChars="2300"/>
        <w:rPr>
          <w:rFonts w:ascii="宋体" w:hAnsi="宋体"/>
          <w:color w:val="auto"/>
          <w:highlight w:val="none"/>
        </w:rPr>
      </w:pPr>
      <w:r>
        <w:rPr>
          <w:rFonts w:hint="eastAsia" w:ascii="宋体" w:hAnsi="宋体"/>
          <w:color w:val="auto"/>
          <w:highlight w:val="none"/>
        </w:rPr>
        <w:t>年     月     日</w:t>
      </w:r>
    </w:p>
    <w:p>
      <w:pPr>
        <w:ind w:firstLine="480"/>
        <w:rPr>
          <w:rFonts w:ascii="宋体" w:hAnsi="宋体"/>
          <w:color w:val="auto"/>
          <w:highlight w:val="none"/>
        </w:rPr>
        <w:sectPr>
          <w:headerReference r:id="rId23" w:type="default"/>
          <w:footerReference r:id="rId24" w:type="default"/>
          <w:pgSz w:w="11907" w:h="16840"/>
          <w:pgMar w:top="1247" w:right="1304" w:bottom="1021" w:left="1304" w:header="720" w:footer="720" w:gutter="0"/>
          <w:cols w:space="720" w:num="1"/>
          <w:docGrid w:linePitch="286" w:charSpace="0"/>
        </w:sectPr>
      </w:pPr>
    </w:p>
    <w:p>
      <w:pPr>
        <w:pStyle w:val="6"/>
        <w:jc w:val="center"/>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中国计量大学</w:t>
      </w:r>
      <w:r>
        <w:rPr>
          <w:rFonts w:hint="eastAsia" w:ascii="宋体" w:hAnsi="宋体" w:cs="宋体"/>
          <w:color w:val="auto"/>
          <w:spacing w:val="6"/>
          <w:highlight w:val="none"/>
        </w:rPr>
        <w:t>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pStyle w:val="2"/>
        <w:rPr>
          <w:color w:val="auto"/>
          <w:highlight w:val="none"/>
        </w:rPr>
      </w:pP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824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5824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商务技术文件</w:t>
      </w:r>
      <w:r>
        <w:rPr>
          <w:rFonts w:hint="eastAsia" w:ascii="宋体" w:hAnsi="宋体" w:cs="宋体"/>
          <w:color w:val="auto"/>
          <w:highlight w:val="none"/>
        </w:rPr>
        <w:t>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商务技术文件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6"/>
        <w:rPr>
          <w:rFonts w:ascii="宋体" w:hAnsi="宋体" w:cs="宋体"/>
          <w:color w:val="auto"/>
          <w:highlight w:val="none"/>
        </w:rPr>
      </w:pPr>
      <w:bookmarkStart w:id="104" w:name="_Toc7692"/>
      <w:r>
        <w:rPr>
          <w:rFonts w:hint="eastAsia" w:ascii="宋体" w:hAnsi="宋体" w:cs="宋体"/>
          <w:color w:val="auto"/>
          <w:highlight w:val="none"/>
        </w:rPr>
        <w:t>资信技术评分索引表（请放在目录前页）</w:t>
      </w:r>
    </w:p>
    <w:tbl>
      <w:tblPr>
        <w:tblStyle w:val="39"/>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bl>
    <w:p>
      <w:pPr>
        <w:ind w:firstLine="482"/>
        <w:rPr>
          <w:rFonts w:ascii="宋体" w:hAnsi="宋体" w:cs="宋体"/>
          <w:b/>
          <w:color w:val="auto"/>
          <w:kern w:val="0"/>
          <w:szCs w:val="20"/>
          <w:highlight w:val="none"/>
        </w:rPr>
      </w:pPr>
      <w:r>
        <w:rPr>
          <w:rFonts w:hint="eastAsia" w:ascii="宋体" w:hAnsi="宋体" w:cs="宋体"/>
          <w:b/>
          <w:color w:val="auto"/>
          <w:kern w:val="0"/>
          <w:szCs w:val="20"/>
          <w:highlight w:val="none"/>
        </w:rPr>
        <w:t>根据评分标准自行调整。</w:t>
      </w:r>
    </w:p>
    <w:p>
      <w:pPr>
        <w:ind w:firstLine="723"/>
        <w:rPr>
          <w:rFonts w:ascii="宋体" w:hAnsi="宋体" w:cs="宋体"/>
          <w:b/>
          <w:color w:val="auto"/>
          <w:kern w:val="0"/>
          <w:sz w:val="36"/>
          <w:highlight w:val="none"/>
        </w:rPr>
      </w:pPr>
      <w:r>
        <w:rPr>
          <w:rFonts w:hint="eastAsia" w:ascii="宋体" w:hAnsi="宋体" w:cs="宋体"/>
          <w:b/>
          <w:color w:val="auto"/>
          <w:kern w:val="0"/>
          <w:sz w:val="36"/>
          <w:highlight w:val="none"/>
        </w:rPr>
        <w:br w:type="page"/>
      </w:r>
    </w:p>
    <w:p>
      <w:pPr>
        <w:ind w:firstLine="723"/>
        <w:jc w:val="center"/>
        <w:outlineLvl w:val="0"/>
        <w:rPr>
          <w:rFonts w:ascii="宋体" w:hAnsi="宋体" w:cs="宋体"/>
          <w:b/>
          <w:color w:val="auto"/>
          <w:kern w:val="0"/>
          <w:sz w:val="36"/>
          <w:highlight w:val="none"/>
        </w:rPr>
      </w:pPr>
      <w:r>
        <w:rPr>
          <w:rFonts w:hint="eastAsia" w:ascii="宋体" w:hAnsi="宋体" w:cs="宋体"/>
          <w:b/>
          <w:color w:val="auto"/>
          <w:kern w:val="0"/>
          <w:sz w:val="36"/>
          <w:highlight w:val="none"/>
        </w:rPr>
        <w:t>商务技术文件目录</w:t>
      </w:r>
      <w:bookmarkEnd w:id="104"/>
      <w:r>
        <w:rPr>
          <w:rFonts w:hint="eastAsia" w:ascii="宋体" w:hAnsi="宋体" w:cs="宋体"/>
          <w:b/>
          <w:color w:val="auto"/>
          <w:kern w:val="0"/>
          <w:sz w:val="36"/>
          <w:highlight w:val="none"/>
        </w:rPr>
        <w:t xml:space="preserve"> </w:t>
      </w:r>
    </w:p>
    <w:p>
      <w:pPr>
        <w:numPr>
          <w:ilvl w:val="0"/>
          <w:numId w:val="16"/>
        </w:numPr>
        <w:tabs>
          <w:tab w:val="left" w:pos="312"/>
        </w:tabs>
        <w:ind w:firstLineChars="0"/>
        <w:rPr>
          <w:rFonts w:ascii="宋体" w:hAnsi="宋体" w:cs="宋体"/>
          <w:color w:val="auto"/>
          <w:highlight w:val="none"/>
        </w:rPr>
      </w:pPr>
      <w:r>
        <w:rPr>
          <w:rFonts w:hint="eastAsia" w:ascii="宋体" w:hAnsi="宋体" w:cs="宋体"/>
          <w:color w:val="auto"/>
          <w:highlight w:val="none"/>
        </w:rPr>
        <w:t>法定代表人的身份证和法定代表人授权委托书</w:t>
      </w:r>
      <w:r>
        <w:rPr>
          <w:rFonts w:hint="eastAsia" w:ascii="宋体" w:hAnsi="宋体" w:cs="宋体"/>
          <w:color w:val="auto"/>
          <w:kern w:val="0"/>
          <w:highlight w:val="none"/>
        </w:rPr>
        <w:t>……………   ………………（页码）</w:t>
      </w:r>
    </w:p>
    <w:p>
      <w:pPr>
        <w:numPr>
          <w:ilvl w:val="0"/>
          <w:numId w:val="16"/>
        </w:numPr>
        <w:tabs>
          <w:tab w:val="left" w:pos="312"/>
        </w:tabs>
        <w:ind w:firstLineChars="0"/>
        <w:rPr>
          <w:rFonts w:ascii="宋体" w:hAnsi="宋体" w:cs="宋体"/>
          <w:color w:val="auto"/>
          <w:highlight w:val="none"/>
        </w:rPr>
      </w:pPr>
      <w:r>
        <w:rPr>
          <w:rFonts w:hint="eastAsia" w:ascii="宋体" w:hAnsi="宋体" w:cs="宋体"/>
          <w:color w:val="auto"/>
          <w:highlight w:val="none"/>
        </w:rPr>
        <w:t>投标声明书</w:t>
      </w:r>
      <w:r>
        <w:rPr>
          <w:rFonts w:hint="eastAsia" w:ascii="宋体" w:hAnsi="宋体" w:cs="宋体"/>
          <w:color w:val="auto"/>
          <w:kern w:val="0"/>
          <w:highlight w:val="none"/>
        </w:rPr>
        <w:t>……………………………………………………   ………………（页码）</w:t>
      </w:r>
    </w:p>
    <w:p>
      <w:pPr>
        <w:numPr>
          <w:ilvl w:val="0"/>
          <w:numId w:val="16"/>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廉政承诺书</w:t>
      </w:r>
      <w:r>
        <w:rPr>
          <w:rFonts w:hint="eastAsia" w:ascii="宋体" w:hAnsi="宋体" w:cs="宋体"/>
          <w:color w:val="auto"/>
          <w:kern w:val="0"/>
          <w:highlight w:val="none"/>
        </w:rPr>
        <w:t>…………………………………………… ………………… ……（页码）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商务条款偏离表</w:t>
      </w:r>
      <w:r>
        <w:rPr>
          <w:rFonts w:hint="eastAsia" w:ascii="宋体" w:hAnsi="宋体" w:cs="宋体"/>
          <w:color w:val="auto"/>
          <w:kern w:val="0"/>
          <w:highlight w:val="none"/>
        </w:rPr>
        <w:t>……………………………………… …………………………（页码）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投标人情况表</w:t>
      </w:r>
      <w:r>
        <w:rPr>
          <w:rFonts w:hint="eastAsia" w:ascii="宋体" w:hAnsi="宋体" w:cs="宋体"/>
          <w:color w:val="auto"/>
          <w:kern w:val="0"/>
          <w:highlight w:val="none"/>
        </w:rPr>
        <w:t>……………………………………… ……………………………（页码）</w:t>
      </w:r>
    </w:p>
    <w:p>
      <w:pPr>
        <w:numPr>
          <w:ilvl w:val="0"/>
          <w:numId w:val="16"/>
        </w:numPr>
        <w:ind w:firstLineChars="0"/>
        <w:rPr>
          <w:color w:val="auto"/>
          <w:highlight w:val="none"/>
        </w:rPr>
      </w:pPr>
      <w:r>
        <w:rPr>
          <w:rFonts w:ascii="宋体" w:hAnsi="宋体" w:cs="宋体"/>
          <w:color w:val="auto"/>
          <w:highlight w:val="none"/>
        </w:rPr>
        <w:t>技术规范偏离表</w:t>
      </w:r>
      <w:r>
        <w:rPr>
          <w:rFonts w:hint="eastAsia" w:ascii="宋体" w:hAnsi="宋体" w:cs="宋体"/>
          <w:color w:val="auto"/>
          <w:kern w:val="0"/>
          <w:highlight w:val="none"/>
        </w:rPr>
        <w:t>……………………………………………………………   …（页码）</w:t>
      </w:r>
    </w:p>
    <w:p>
      <w:pPr>
        <w:numPr>
          <w:ilvl w:val="0"/>
          <w:numId w:val="16"/>
        </w:numPr>
        <w:ind w:firstLineChars="0"/>
        <w:rPr>
          <w:color w:val="auto"/>
          <w:highlight w:val="none"/>
        </w:rPr>
      </w:pPr>
      <w:r>
        <w:rPr>
          <w:rFonts w:hint="eastAsia" w:ascii="宋体" w:hAnsi="宋体" w:cs="宋体"/>
          <w:color w:val="auto"/>
          <w:kern w:val="0"/>
          <w:highlight w:val="none"/>
        </w:rPr>
        <w:t>技术服务方案………………………………………    …………………  ……（页码）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实施技术人员一览表</w:t>
      </w:r>
      <w:r>
        <w:rPr>
          <w:rFonts w:hint="eastAsia" w:ascii="宋体" w:hAnsi="宋体" w:cs="宋体"/>
          <w:color w:val="auto"/>
          <w:kern w:val="0"/>
          <w:highlight w:val="none"/>
        </w:rPr>
        <w:t>……………………………………………………   ……（页码）</w:t>
      </w:r>
    </w:p>
    <w:p>
      <w:pPr>
        <w:numPr>
          <w:ilvl w:val="0"/>
          <w:numId w:val="16"/>
        </w:numPr>
        <w:ind w:firstLineChars="0"/>
        <w:rPr>
          <w:rFonts w:ascii="宋体" w:hAnsi="宋体" w:cs="宋体"/>
          <w:color w:val="auto"/>
          <w:highlight w:val="none"/>
        </w:rPr>
      </w:pPr>
      <w:r>
        <w:rPr>
          <w:rFonts w:hint="eastAsia" w:ascii="宋体" w:hAnsi="宋体" w:cs="宋体"/>
          <w:color w:val="auto"/>
          <w:kern w:val="0"/>
          <w:highlight w:val="none"/>
        </w:rPr>
        <w:t>培训方案…………………………………………………………………………（页码）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售后服务方案</w:t>
      </w:r>
      <w:r>
        <w:rPr>
          <w:rFonts w:hint="eastAsia" w:ascii="宋体" w:hAnsi="宋体" w:cs="宋体"/>
          <w:color w:val="auto"/>
          <w:kern w:val="0"/>
          <w:highlight w:val="none"/>
        </w:rPr>
        <w:t>……………………………………………………………  ………（页码）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同类项目实施情况一览表</w:t>
      </w:r>
      <w:r>
        <w:rPr>
          <w:rFonts w:hint="eastAsia" w:ascii="宋体" w:hAnsi="宋体" w:cs="宋体"/>
          <w:color w:val="auto"/>
          <w:kern w:val="0"/>
          <w:highlight w:val="none"/>
        </w:rPr>
        <w:t>………………………………………………………  （页码）</w:t>
      </w:r>
    </w:p>
    <w:p>
      <w:pPr>
        <w:numPr>
          <w:ilvl w:val="0"/>
          <w:numId w:val="16"/>
        </w:numPr>
        <w:ind w:firstLineChars="0"/>
        <w:rPr>
          <w:rFonts w:ascii="宋体" w:hAnsi="宋体" w:cs="宋体"/>
          <w:color w:val="auto"/>
          <w:kern w:val="0"/>
          <w:highlight w:val="none"/>
        </w:rPr>
      </w:pPr>
      <w:r>
        <w:rPr>
          <w:rFonts w:hint="eastAsia" w:ascii="宋体" w:hAnsi="宋体" w:cs="宋体"/>
          <w:color w:val="auto"/>
          <w:kern w:val="0"/>
          <w:highlight w:val="none"/>
        </w:rPr>
        <w:t>其他……</w:t>
      </w:r>
    </w:p>
    <w:p>
      <w:pPr>
        <w:pStyle w:val="9"/>
        <w:rPr>
          <w:color w:val="auto"/>
          <w:highlight w:val="none"/>
        </w:rPr>
      </w:pPr>
      <w:r>
        <w:rPr>
          <w:rFonts w:hint="eastAsia" w:ascii="宋体" w:hAnsi="宋体" w:cs="宋体"/>
          <w:color w:val="auto"/>
          <w:kern w:val="0"/>
          <w:highlight w:val="none"/>
        </w:rPr>
        <w:t>……</w:t>
      </w:r>
    </w:p>
    <w:p>
      <w:pPr>
        <w:pStyle w:val="2"/>
        <w:rPr>
          <w:rFonts w:ascii="宋体" w:hAnsi="宋体" w:eastAsia="宋体" w:cs="宋体"/>
          <w:color w:val="auto"/>
          <w:highlight w:val="none"/>
        </w:rPr>
      </w:pPr>
    </w:p>
    <w:p>
      <w:pPr>
        <w:ind w:firstLine="480"/>
        <w:rPr>
          <w:rFonts w:ascii="宋体" w:hAnsi="宋体" w:cs="宋体"/>
          <w:iCs/>
          <w:color w:val="auto"/>
          <w:highlight w:val="none"/>
        </w:rPr>
      </w:pPr>
      <w:r>
        <w:rPr>
          <w:rFonts w:hint="eastAsia" w:ascii="宋体" w:hAnsi="宋体" w:cs="宋体"/>
          <w:iCs/>
          <w:color w:val="auto"/>
          <w:highlight w:val="none"/>
        </w:rPr>
        <w:br w:type="page"/>
      </w:r>
    </w:p>
    <w:p>
      <w:pPr>
        <w:pStyle w:val="6"/>
        <w:rPr>
          <w:rFonts w:ascii="宋体" w:hAnsi="宋体" w:cs="宋体"/>
          <w:color w:val="auto"/>
          <w:highlight w:val="none"/>
        </w:rPr>
      </w:pPr>
      <w:r>
        <w:rPr>
          <w:rFonts w:hint="eastAsia" w:ascii="宋体" w:hAnsi="宋体" w:cs="宋体"/>
          <w:iCs/>
          <w:color w:val="auto"/>
          <w:highlight w:val="none"/>
        </w:rPr>
        <w:t>附件五：法定代表人资格证明书、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rPr>
        <w:t>中国计量大学、浙江五石工程咨询有限公司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rPr>
        <w:t>中国计量大学、浙江五石工程咨询有限公司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附件六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snapToGrid w:val="0"/>
        <w:ind w:firstLine="0" w:firstLineChars="0"/>
        <w:rPr>
          <w:rFonts w:ascii="宋体" w:hAnsi="宋体" w:cs="宋体"/>
          <w:color w:val="auto"/>
          <w:highlight w:val="none"/>
        </w:rPr>
      </w:pPr>
      <w:r>
        <w:rPr>
          <w:rFonts w:hint="eastAsia" w:ascii="宋体" w:hAnsi="宋体" w:cs="宋体"/>
          <w:color w:val="auto"/>
          <w:highlight w:val="none"/>
        </w:rPr>
        <w:t>中国计量大学、浙江五石工程咨询有限公司：</w:t>
      </w:r>
    </w:p>
    <w:p>
      <w:pPr>
        <w:ind w:firstLine="480"/>
        <w:rPr>
          <w:rFonts w:ascii="宋体" w:hAnsi="宋体" w:cs="宋体"/>
          <w:color w:val="auto"/>
          <w:highlight w:val="none"/>
        </w:rPr>
      </w:pPr>
      <w:r>
        <w:rPr>
          <w:rFonts w:hint="eastAsia" w:ascii="宋体" w:hAnsi="宋体" w:cs="宋体"/>
          <w:color w:val="auto"/>
          <w:kern w:val="0"/>
          <w:highlight w:val="none"/>
          <w:lang w:val="zh-CN"/>
        </w:rPr>
        <w:t>我公司</w:t>
      </w:r>
      <w:r>
        <w:rPr>
          <w:rFonts w:hint="eastAsia" w:ascii="宋体" w:hAnsi="宋体" w:cs="宋体"/>
          <w:color w:val="auto"/>
          <w:highlight w:val="none"/>
        </w:rPr>
        <w:t>声明截止投标时间近三年以来，在</w:t>
      </w:r>
      <w:r>
        <w:rPr>
          <w:rFonts w:hint="eastAsia" w:ascii="宋体" w:hAnsi="宋体" w:cs="宋体"/>
          <w:color w:val="auto"/>
          <w:kern w:val="0"/>
          <w:highlight w:val="none"/>
        </w:rPr>
        <w:t>政府采购领域中</w:t>
      </w:r>
      <w:r>
        <w:rPr>
          <w:rFonts w:hint="eastAsia" w:ascii="宋体" w:hAnsi="宋体" w:cs="宋体"/>
          <w:color w:val="auto"/>
          <w:highlight w:val="none"/>
        </w:rPr>
        <w:t>，在项目招标、投标和合同履约期间无任何不良行为记录和违法、违规行为</w:t>
      </w:r>
      <w:r>
        <w:rPr>
          <w:rFonts w:hint="eastAsia" w:ascii="宋体" w:hAnsi="宋体" w:cs="宋体"/>
          <w:color w:val="auto"/>
          <w:kern w:val="0"/>
          <w:highlight w:val="none"/>
          <w:lang w:val="zh-CN"/>
        </w:rPr>
        <w:t>。</w:t>
      </w:r>
    </w:p>
    <w:p>
      <w:pPr>
        <w:ind w:firstLine="480"/>
        <w:rPr>
          <w:rFonts w:ascii="宋体" w:hAnsi="宋体" w:cs="宋体"/>
          <w:color w:val="auto"/>
          <w:highlight w:val="none"/>
        </w:rPr>
      </w:pPr>
      <w:r>
        <w:rPr>
          <w:rFonts w:hint="eastAsia" w:ascii="宋体" w:hAnsi="宋体" w:cs="宋体"/>
          <w:color w:val="auto"/>
          <w:highlight w:val="none"/>
        </w:rPr>
        <w:t>我公司自愿参加</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项目[招标编号：</w:t>
      </w:r>
      <w:r>
        <w:rPr>
          <w:rFonts w:hint="eastAsia" w:ascii="宋体" w:hAnsi="宋体" w:cs="宋体"/>
          <w:color w:val="auto"/>
          <w:highlight w:val="none"/>
          <w:lang w:val="en-US" w:eastAsia="zh-CN"/>
        </w:rPr>
        <w:t xml:space="preserve">               </w:t>
      </w:r>
      <w:r>
        <w:rPr>
          <w:rFonts w:hint="eastAsia" w:ascii="宋体" w:hAnsi="宋体" w:cs="宋体"/>
          <w:color w:val="auto"/>
          <w:highlight w:val="none"/>
        </w:rPr>
        <w:t>的投标，并保证投标文件中所列举的投标报价文件及相关资料和公司基本情况资料是真实的、合法的。</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color w:val="auto"/>
          <w:highlight w:val="none"/>
        </w:rPr>
      </w:pPr>
      <w:r>
        <w:rPr>
          <w:rFonts w:hint="eastAsia" w:ascii="宋体" w:hAnsi="宋体" w:cs="宋体"/>
          <w:color w:val="auto"/>
          <w:kern w:val="0"/>
          <w:highlight w:val="none"/>
          <w:lang w:val="zh-CN"/>
        </w:rPr>
        <w:t>我公司理解并接受招标文件的各项规定和要求，同意此次招标文件中的各项内容，</w:t>
      </w:r>
      <w:r>
        <w:rPr>
          <w:rFonts w:hint="eastAsia" w:ascii="宋体" w:hAnsi="宋体" w:cs="宋体"/>
          <w:color w:val="auto"/>
          <w:kern w:val="0"/>
          <w:highlight w:val="none"/>
        </w:rPr>
        <w:t>并</w:t>
      </w:r>
      <w:r>
        <w:rPr>
          <w:rFonts w:hint="eastAsia" w:ascii="宋体" w:hAnsi="宋体" w:cs="宋体"/>
          <w:color w:val="auto"/>
          <w:kern w:val="0"/>
          <w:highlight w:val="none"/>
          <w:lang w:val="zh-CN"/>
        </w:rPr>
        <w:t>同意提供按照贵方可能要求的与投标有关的一切数据或资料等。</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2"/>
        <w:rPr>
          <w:rFonts w:ascii="宋体" w:hAnsi="宋体" w:eastAsia="宋体" w:cs="宋体"/>
          <w:color w:val="auto"/>
          <w:highlight w:val="none"/>
        </w:rPr>
      </w:pPr>
    </w:p>
    <w:p>
      <w:pPr>
        <w:rPr>
          <w:rFonts w:ascii="宋体" w:hAnsi="宋体" w:eastAsia="宋体" w:cs="宋体"/>
          <w:color w:val="auto"/>
          <w:highlight w:val="none"/>
        </w:rPr>
      </w:pPr>
      <w:r>
        <w:rPr>
          <w:rFonts w:ascii="宋体" w:hAnsi="宋体" w:eastAsia="宋体" w:cs="宋体"/>
          <w:color w:val="auto"/>
          <w:highlight w:val="none"/>
        </w:rPr>
        <w:br w:type="page"/>
      </w:r>
    </w:p>
    <w:p>
      <w:pPr>
        <w:pStyle w:val="3"/>
      </w:pPr>
    </w:p>
    <w:p>
      <w:pPr>
        <w:pStyle w:val="6"/>
        <w:rPr>
          <w:rFonts w:ascii="宋体" w:hAnsi="宋体" w:cs="宋体"/>
          <w:color w:val="auto"/>
          <w:highlight w:val="none"/>
        </w:rPr>
      </w:pPr>
      <w:r>
        <w:rPr>
          <w:rFonts w:hint="eastAsia" w:ascii="宋体" w:hAnsi="宋体" w:cs="宋体"/>
          <w:color w:val="auto"/>
          <w:highlight w:val="none"/>
        </w:rPr>
        <w:t>附件七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中国计量大学：</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228" w:firstLineChars="95"/>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附件八 商务条款偏离表</w:t>
      </w:r>
    </w:p>
    <w:p>
      <w:pPr>
        <w:ind w:firstLine="480"/>
        <w:rPr>
          <w:color w:val="auto"/>
          <w:highlight w:val="none"/>
        </w:rPr>
      </w:pPr>
      <w:r>
        <w:rPr>
          <w:rFonts w:hint="eastAsia" w:ascii="宋体" w:hAnsi="宋体" w:cs="宋体"/>
          <w:color w:val="auto"/>
          <w:highlight w:val="none"/>
        </w:rPr>
        <w:t xml:space="preserve">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附件九 投标人情况表</w:t>
      </w:r>
    </w:p>
    <w:p>
      <w:pPr>
        <w:spacing w:line="240" w:lineRule="auto"/>
        <w:ind w:firstLine="0" w:firstLineChars="0"/>
        <w:jc w:val="right"/>
        <w:rPr>
          <w:rFonts w:ascii="宋体" w:hAnsi="宋体" w:cs="宋体"/>
          <w:color w:val="auto"/>
          <w:sz w:val="28"/>
          <w:highlight w:val="none"/>
        </w:rPr>
      </w:pPr>
    </w:p>
    <w:p>
      <w:pPr>
        <w:spacing w:line="240" w:lineRule="auto"/>
        <w:ind w:firstLine="0" w:firstLineChars="0"/>
        <w:jc w:val="right"/>
        <w:rPr>
          <w:rFonts w:ascii="宋体" w:hAnsi="宋体" w:cs="宋体"/>
          <w:b/>
          <w:bCs/>
          <w:color w:val="auto"/>
          <w:sz w:val="28"/>
          <w:highlight w:val="none"/>
        </w:rPr>
      </w:pPr>
    </w:p>
    <w:p>
      <w:pPr>
        <w:spacing w:line="240" w:lineRule="auto"/>
        <w:ind w:firstLine="0" w:firstLineChars="0"/>
        <w:jc w:val="center"/>
        <w:rPr>
          <w:rFonts w:ascii="宋体" w:hAnsi="宋体" w:cs="宋体"/>
          <w:b/>
          <w:bCs/>
          <w:color w:val="auto"/>
          <w:sz w:val="28"/>
          <w:highlight w:val="none"/>
        </w:rPr>
      </w:pPr>
      <w:r>
        <w:rPr>
          <w:rFonts w:hint="eastAsia" w:ascii="宋体" w:hAnsi="宋体" w:cs="宋体"/>
          <w:b/>
          <w:bCs/>
          <w:color w:val="auto"/>
          <w:highlight w:val="none"/>
        </w:rPr>
        <w:t>投标人情况表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 技术规范偏离表</w:t>
      </w:r>
    </w:p>
    <w:p>
      <w:pPr>
        <w:ind w:firstLine="482"/>
        <w:jc w:val="center"/>
        <w:rPr>
          <w:rFonts w:ascii="宋体" w:hAnsi="宋体" w:cs="宋体"/>
          <w:b/>
          <w:bCs/>
          <w:color w:val="auto"/>
          <w:szCs w:val="32"/>
          <w:highlight w:val="none"/>
        </w:rPr>
      </w:pPr>
      <w:r>
        <w:rPr>
          <w:rFonts w:hint="eastAsia" w:ascii="宋体" w:hAnsi="宋体" w:cs="宋体"/>
          <w:b/>
          <w:bCs/>
          <w:color w:val="auto"/>
          <w:highlight w:val="none"/>
        </w:rPr>
        <w:t>技术规范偏离表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00"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2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29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备注</w:t>
            </w:r>
          </w:p>
          <w:p>
            <w:pPr>
              <w:ind w:firstLine="0" w:firstLineChars="0"/>
              <w:jc w:val="center"/>
              <w:rPr>
                <w:rFonts w:ascii="宋体" w:hAnsi="宋体" w:cs="宋体"/>
                <w:color w:val="auto"/>
                <w:highlight w:val="none"/>
              </w:rPr>
            </w:pPr>
            <w:r>
              <w:rPr>
                <w:rFonts w:hint="eastAsia" w:ascii="宋体" w:hAnsi="宋体" w:cs="宋体"/>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附件十一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项目负责人情况表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bl>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w:t>
            </w:r>
            <w:r>
              <w:rPr>
                <w:rFonts w:ascii="宋体" w:hAnsi="宋体"/>
                <w:color w:val="auto"/>
                <w:highlight w:val="none"/>
                <w:lang w:val="zh-CN"/>
              </w:rPr>
              <w:t xml:space="preserve"> </w:t>
            </w:r>
            <w:r>
              <w:rPr>
                <w:rFonts w:hint="eastAsia" w:ascii="宋体" w:hAnsi="宋体"/>
                <w:color w:val="auto"/>
                <w:highlight w:val="none"/>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附件十二 售后服务方案</w:t>
      </w:r>
    </w:p>
    <w:p>
      <w:pPr>
        <w:spacing w:line="200" w:lineRule="atLeast"/>
        <w:ind w:left="-720" w:right="-965" w:firstLine="602"/>
        <w:jc w:val="center"/>
        <w:rPr>
          <w:rFonts w:ascii="宋体" w:hAnsi="宋体" w:cs="宋体"/>
          <w:b/>
          <w:bCs/>
          <w:color w:val="auto"/>
          <w:spacing w:val="30"/>
          <w:highlight w:val="none"/>
        </w:rPr>
      </w:pPr>
      <w:r>
        <w:rPr>
          <w:rFonts w:hint="eastAsia" w:ascii="宋体" w:hAnsi="宋体" w:cs="宋体"/>
          <w:b/>
          <w:bCs/>
          <w:color w:val="auto"/>
          <w:spacing w:val="30"/>
          <w:highlight w:val="none"/>
        </w:rPr>
        <w:t>售后服务方案</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（若不够填写可附页，格式可自拟）</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color w:val="auto"/>
          <w:highlight w:val="none"/>
        </w:rPr>
      </w:pPr>
    </w:p>
    <w:p>
      <w:pPr>
        <w:ind w:left="-720" w:right="-958" w:firstLine="0" w:firstLineChars="0"/>
        <w:rPr>
          <w:rFonts w:ascii="宋体" w:hAnsi="宋体" w:cs="宋体"/>
          <w:color w:val="auto"/>
          <w:szCs w:val="32"/>
          <w:highlight w:val="none"/>
        </w:rPr>
      </w:pPr>
      <w:r>
        <w:rPr>
          <w:rFonts w:hint="eastAsia" w:ascii="宋体" w:hAnsi="宋体" w:cs="宋体"/>
          <w:color w:val="auto"/>
          <w:szCs w:val="32"/>
          <w:highlight w:val="none"/>
        </w:rPr>
        <w:t xml:space="preserve"> </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附件十三 同类项目实施情况一览表</w:t>
      </w:r>
    </w:p>
    <w:p>
      <w:pPr>
        <w:ind w:firstLine="0" w:firstLineChars="0"/>
        <w:jc w:val="center"/>
        <w:rPr>
          <w:rFonts w:ascii="宋体" w:hAnsi="宋体" w:cs="宋体"/>
          <w:b/>
          <w:bCs/>
          <w:color w:val="auto"/>
          <w:highlight w:val="none"/>
        </w:rPr>
      </w:pPr>
      <w:r>
        <w:rPr>
          <w:rFonts w:hint="eastAsia" w:ascii="宋体" w:hAnsi="宋体" w:cs="宋体"/>
          <w:b/>
          <w:bCs/>
          <w:color w:val="auto"/>
          <w:highlight w:val="none"/>
        </w:rPr>
        <w:t>同类项目实施情况一览表</w:t>
      </w: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color w:val="auto"/>
          <w:highlight w:val="none"/>
        </w:rPr>
      </w:pPr>
      <w:r>
        <w:rPr>
          <w:rFonts w:hint="eastAsia"/>
          <w:color w:val="auto"/>
          <w:highlight w:val="none"/>
        </w:rPr>
        <w:br w:type="page"/>
      </w:r>
    </w:p>
    <w:bookmarkEnd w:id="54"/>
    <w:bookmarkEnd w:id="55"/>
    <w:bookmarkEnd w:id="56"/>
    <w:bookmarkEnd w:id="57"/>
    <w:bookmarkEnd w:id="58"/>
    <w:bookmarkEnd w:id="59"/>
    <w:bookmarkEnd w:id="60"/>
    <w:bookmarkEnd w:id="61"/>
    <w:p>
      <w:pPr>
        <w:pStyle w:val="6"/>
        <w:jc w:val="center"/>
        <w:rPr>
          <w:color w:val="auto"/>
          <w:highlight w:val="none"/>
        </w:rPr>
      </w:pPr>
      <w:r>
        <w:rPr>
          <w:rFonts w:hint="eastAsia"/>
          <w:color w:val="auto"/>
          <w:sz w:val="32"/>
          <w:highlight w:val="none"/>
        </w:rPr>
        <w:t>弃标函</w:t>
      </w:r>
    </w:p>
    <w:p>
      <w:pPr>
        <w:ind w:firstLine="480"/>
        <w:rPr>
          <w:color w:val="auto"/>
          <w:highlight w:val="none"/>
        </w:rPr>
      </w:pPr>
    </w:p>
    <w:p>
      <w:pPr>
        <w:ind w:firstLine="480"/>
        <w:rPr>
          <w:rFonts w:ascii="宋体" w:hAnsi="宋体"/>
          <w:b/>
          <w:color w:val="auto"/>
          <w:highlight w:val="none"/>
        </w:rPr>
      </w:pPr>
      <w:r>
        <w:rPr>
          <w:rFonts w:hint="eastAsia" w:ascii="宋体" w:hAnsi="宋体"/>
          <w:color w:val="auto"/>
          <w:highlight w:val="none"/>
        </w:rPr>
        <w:t>浙江五石工程咨询有限公司：</w:t>
      </w:r>
    </w:p>
    <w:p>
      <w:pPr>
        <w:ind w:firstLine="480"/>
        <w:rPr>
          <w:rFonts w:ascii="宋体" w:hAnsi="宋体"/>
          <w:color w:val="auto"/>
          <w:szCs w:val="32"/>
          <w:highlight w:val="none"/>
        </w:rPr>
      </w:pPr>
    </w:p>
    <w:p>
      <w:pPr>
        <w:pStyle w:val="35"/>
        <w:shd w:val="clear" w:color="auto" w:fill="FFFFFF"/>
        <w:spacing w:after="270" w:line="360" w:lineRule="auto"/>
        <w:ind w:firstLine="720" w:firstLineChars="300"/>
        <w:jc w:val="both"/>
        <w:rPr>
          <w:rFonts w:ascii="Arial" w:hAnsi="Arial" w:cs="Arial"/>
          <w:color w:val="auto"/>
          <w:sz w:val="24"/>
          <w:szCs w:val="24"/>
          <w:highlight w:val="none"/>
        </w:rPr>
      </w:pPr>
      <w:r>
        <w:rPr>
          <w:rFonts w:ascii="Arial" w:hAnsi="Arial" w:cs="Arial"/>
          <w:color w:val="auto"/>
          <w:sz w:val="24"/>
          <w:szCs w:val="24"/>
          <w:highlight w:val="none"/>
          <w:shd w:val="clear" w:color="auto" w:fill="FFFFFF"/>
        </w:rPr>
        <w:t>我公司</w:t>
      </w:r>
      <w:r>
        <w:rPr>
          <w:rFonts w:hint="eastAsia" w:ascii="Arial" w:hAnsi="Arial" w:cs="Arial"/>
          <w:color w:val="auto"/>
          <w:sz w:val="24"/>
          <w:szCs w:val="24"/>
          <w:highlight w:val="none"/>
          <w:u w:val="single"/>
          <w:shd w:val="clear" w:color="auto" w:fill="FFFFFF"/>
        </w:rPr>
        <w:t xml:space="preserve">           </w:t>
      </w:r>
      <w:r>
        <w:rPr>
          <w:rFonts w:ascii="Arial" w:hAnsi="Arial" w:cs="Arial"/>
          <w:color w:val="auto"/>
          <w:sz w:val="24"/>
          <w:szCs w:val="24"/>
          <w:highlight w:val="none"/>
          <w:shd w:val="clear" w:color="auto" w:fill="FFFFFF"/>
        </w:rPr>
        <w:t>，</w:t>
      </w:r>
      <w:r>
        <w:rPr>
          <w:rFonts w:hint="eastAsia" w:ascii="Arial" w:hAnsi="Arial" w:cs="Arial"/>
          <w:color w:val="auto"/>
          <w:sz w:val="24"/>
          <w:szCs w:val="24"/>
          <w:highlight w:val="none"/>
          <w:shd w:val="clear" w:color="auto" w:fill="FFFFFF"/>
        </w:rPr>
        <w:t>于</w:t>
      </w:r>
      <w:r>
        <w:rPr>
          <w:rFonts w:hint="eastAsia" w:ascii="Arial" w:hAnsi="Arial" w:cs="Arial"/>
          <w:color w:val="auto"/>
          <w:sz w:val="24"/>
          <w:szCs w:val="24"/>
          <w:highlight w:val="none"/>
          <w:u w:val="single"/>
          <w:shd w:val="clear" w:color="auto" w:fill="FFFFFF"/>
        </w:rPr>
        <w:t xml:space="preserve">  2019</w:t>
      </w:r>
      <w:r>
        <w:rPr>
          <w:rFonts w:hint="eastAsia" w:ascii="Arial" w:hAnsi="Arial" w:cs="Arial"/>
          <w:color w:val="auto"/>
          <w:sz w:val="24"/>
          <w:szCs w:val="24"/>
          <w:highlight w:val="none"/>
          <w:shd w:val="clear" w:color="auto" w:fill="FFFFFF"/>
        </w:rPr>
        <w:t>年</w:t>
      </w:r>
      <w:r>
        <w:rPr>
          <w:rFonts w:hint="eastAsia" w:ascii="Arial" w:hAnsi="Arial" w:cs="Arial"/>
          <w:color w:val="auto"/>
          <w:sz w:val="24"/>
          <w:szCs w:val="24"/>
          <w:highlight w:val="none"/>
          <w:u w:val="single"/>
          <w:shd w:val="clear" w:color="auto" w:fill="FFFFFF"/>
        </w:rPr>
        <w:t xml:space="preserve">    </w:t>
      </w:r>
      <w:r>
        <w:rPr>
          <w:rFonts w:hint="eastAsia" w:ascii="Arial" w:hAnsi="Arial" w:cs="Arial"/>
          <w:color w:val="auto"/>
          <w:sz w:val="24"/>
          <w:szCs w:val="24"/>
          <w:highlight w:val="none"/>
          <w:shd w:val="clear" w:color="auto" w:fill="FFFFFF"/>
        </w:rPr>
        <w:t>月</w:t>
      </w:r>
      <w:r>
        <w:rPr>
          <w:rFonts w:hint="eastAsia" w:ascii="Arial" w:hAnsi="Arial" w:cs="Arial"/>
          <w:color w:val="auto"/>
          <w:sz w:val="24"/>
          <w:szCs w:val="24"/>
          <w:highlight w:val="none"/>
          <w:u w:val="single"/>
          <w:shd w:val="clear" w:color="auto" w:fill="FFFFFF"/>
        </w:rPr>
        <w:t xml:space="preserve">    </w:t>
      </w:r>
      <w:r>
        <w:rPr>
          <w:rFonts w:hint="eastAsia" w:ascii="Arial" w:hAnsi="Arial" w:cs="Arial"/>
          <w:color w:val="auto"/>
          <w:sz w:val="24"/>
          <w:szCs w:val="24"/>
          <w:highlight w:val="none"/>
          <w:shd w:val="clear" w:color="auto" w:fill="FFFFFF"/>
        </w:rPr>
        <w:t>日报名</w:t>
      </w:r>
      <w:r>
        <w:rPr>
          <w:rFonts w:ascii="Arial" w:hAnsi="Arial" w:cs="Arial"/>
          <w:color w:val="auto"/>
          <w:sz w:val="24"/>
          <w:szCs w:val="24"/>
          <w:highlight w:val="none"/>
          <w:shd w:val="clear" w:color="auto" w:fill="FFFFFF"/>
        </w:rPr>
        <w:t>参与</w:t>
      </w:r>
      <w:r>
        <w:rPr>
          <w:rFonts w:hint="eastAsia" w:ascii="Arial" w:hAnsi="Arial" w:cs="Arial"/>
          <w:color w:val="auto"/>
          <w:sz w:val="24"/>
          <w:szCs w:val="24"/>
          <w:highlight w:val="none"/>
          <w:u w:val="single"/>
          <w:shd w:val="clear" w:color="auto" w:fill="FFFFFF"/>
        </w:rPr>
        <w:t xml:space="preserve">  （项目名称）     </w:t>
      </w:r>
      <w:r>
        <w:rPr>
          <w:rFonts w:ascii="Arial" w:hAnsi="Arial" w:cs="Arial"/>
          <w:color w:val="auto"/>
          <w:sz w:val="24"/>
          <w:szCs w:val="24"/>
          <w:highlight w:val="none"/>
          <w:shd w:val="clear" w:color="auto" w:fill="FFFFFF"/>
        </w:rPr>
        <w:t>项目，由于</w:t>
      </w:r>
      <w:r>
        <w:rPr>
          <w:rFonts w:hint="eastAsia" w:ascii="Arial" w:hAnsi="Arial" w:cs="Arial"/>
          <w:color w:val="auto"/>
          <w:sz w:val="24"/>
          <w:szCs w:val="24"/>
          <w:highlight w:val="none"/>
          <w:u w:val="single"/>
          <w:shd w:val="clear" w:color="auto" w:fill="FFFFFF"/>
        </w:rPr>
        <w:t xml:space="preserve">                    </w:t>
      </w:r>
      <w:r>
        <w:rPr>
          <w:rFonts w:ascii="Arial" w:hAnsi="Arial" w:cs="Arial"/>
          <w:color w:val="auto"/>
          <w:sz w:val="24"/>
          <w:szCs w:val="24"/>
          <w:highlight w:val="none"/>
          <w:shd w:val="clear" w:color="auto" w:fill="FFFFFF"/>
        </w:rPr>
        <w:t>原因，经研究决定放弃投标。特此声明。</w:t>
      </w:r>
    </w:p>
    <w:p>
      <w:pPr>
        <w:ind w:firstLine="480"/>
        <w:rPr>
          <w:color w:val="auto"/>
          <w:szCs w:val="40"/>
          <w:highlight w:val="none"/>
        </w:rPr>
      </w:pPr>
    </w:p>
    <w:p>
      <w:pPr>
        <w:ind w:firstLine="480"/>
        <w:rPr>
          <w:color w:val="auto"/>
          <w:szCs w:val="40"/>
          <w:highlight w:val="none"/>
        </w:rPr>
      </w:pPr>
    </w:p>
    <w:p>
      <w:pPr>
        <w:ind w:firstLine="480"/>
        <w:rPr>
          <w:color w:val="auto"/>
          <w:szCs w:val="40"/>
          <w:highlight w:val="none"/>
        </w:rPr>
      </w:pPr>
    </w:p>
    <w:p>
      <w:pPr>
        <w:ind w:firstLine="480"/>
        <w:rPr>
          <w:color w:val="auto"/>
          <w:szCs w:val="40"/>
          <w:highlight w:val="none"/>
        </w:rPr>
      </w:pPr>
    </w:p>
    <w:p>
      <w:pPr>
        <w:ind w:firstLine="480"/>
        <w:rPr>
          <w:color w:val="auto"/>
          <w:szCs w:val="40"/>
          <w:highlight w:val="none"/>
        </w:rPr>
      </w:pPr>
    </w:p>
    <w:p>
      <w:pPr>
        <w:ind w:firstLine="216" w:firstLineChars="95"/>
        <w:jc w:val="left"/>
        <w:rPr>
          <w:rFonts w:ascii="宋体" w:hAnsi="宋体"/>
          <w:color w:val="auto"/>
          <w:highlight w:val="none"/>
        </w:rPr>
      </w:pPr>
      <w:r>
        <w:rPr>
          <w:rFonts w:hint="eastAsia" w:ascii="宋体" w:hAnsi="宋体"/>
          <w:color w:val="auto"/>
          <w:spacing w:val="-6"/>
          <w:highlight w:val="none"/>
        </w:rPr>
        <w:t>供应商名称（盖章）</w:t>
      </w:r>
      <w:r>
        <w:rPr>
          <w:rFonts w:hint="eastAsia" w:ascii="宋体" w:hAnsi="宋体"/>
          <w:color w:val="auto"/>
          <w:highlight w:val="none"/>
        </w:rPr>
        <w:t>：</w:t>
      </w:r>
    </w:p>
    <w:p>
      <w:pPr>
        <w:ind w:firstLine="228" w:firstLineChars="95"/>
        <w:jc w:val="left"/>
        <w:rPr>
          <w:rFonts w:ascii="宋体" w:hAnsi="宋体"/>
          <w:color w:val="auto"/>
          <w:highlight w:val="none"/>
        </w:rPr>
      </w:pPr>
      <w:r>
        <w:rPr>
          <w:rFonts w:hint="eastAsia" w:ascii="宋体" w:hAnsi="宋体"/>
          <w:color w:val="auto"/>
          <w:highlight w:val="none"/>
        </w:rPr>
        <w:t>日期：2019年  月  日</w:t>
      </w:r>
    </w:p>
    <w:p>
      <w:pPr>
        <w:ind w:firstLine="480"/>
        <w:rPr>
          <w:color w:val="auto"/>
          <w:szCs w:val="40"/>
          <w:highlight w:val="none"/>
        </w:rPr>
      </w:pPr>
    </w:p>
    <w:p>
      <w:pPr>
        <w:ind w:firstLine="480"/>
        <w:rPr>
          <w:color w:val="auto"/>
          <w:szCs w:val="40"/>
          <w:highlight w:val="none"/>
        </w:rPr>
      </w:pPr>
    </w:p>
    <w:p>
      <w:pPr>
        <w:ind w:firstLine="480"/>
        <w:rPr>
          <w:rStyle w:val="45"/>
          <w:color w:val="auto"/>
          <w:szCs w:val="40"/>
          <w:highlight w:val="none"/>
        </w:rPr>
      </w:pPr>
      <w:r>
        <w:rPr>
          <w:rFonts w:hint="eastAsia"/>
          <w:color w:val="auto"/>
          <w:highlight w:val="none"/>
        </w:rPr>
        <w:t>注：报名单位若不参与该项目的投标，请于开标截止前3个工作日将弃标函盖章发送至我公司邮箱，邮箱：</w:t>
      </w:r>
      <w:r>
        <w:rPr>
          <w:rFonts w:hint="eastAsia"/>
          <w:color w:val="auto"/>
          <w:highlight w:val="none"/>
        </w:rPr>
        <w:fldChar w:fldCharType="begin"/>
      </w:r>
      <w:r>
        <w:rPr>
          <w:rFonts w:hint="eastAsia"/>
          <w:color w:val="auto"/>
          <w:highlight w:val="none"/>
        </w:rPr>
        <w:instrText xml:space="preserve"> HYPERLINK "mailto:2810140286@qq.com。" </w:instrText>
      </w:r>
      <w:r>
        <w:rPr>
          <w:rFonts w:hint="eastAsia"/>
          <w:color w:val="auto"/>
          <w:highlight w:val="none"/>
        </w:rPr>
        <w:fldChar w:fldCharType="separate"/>
      </w:r>
      <w:r>
        <w:rPr>
          <w:rStyle w:val="45"/>
          <w:rFonts w:hint="eastAsia"/>
          <w:color w:val="auto"/>
          <w:szCs w:val="40"/>
          <w:highlight w:val="none"/>
        </w:rPr>
        <w:t>2810140286@qq.com。谢谢配合。</w:t>
      </w:r>
    </w:p>
    <w:p>
      <w:pPr>
        <w:ind w:firstLine="480"/>
        <w:rPr>
          <w:rStyle w:val="45"/>
          <w:color w:val="auto"/>
          <w:szCs w:val="40"/>
          <w:highlight w:val="none"/>
        </w:rPr>
      </w:pPr>
    </w:p>
    <w:p>
      <w:pPr>
        <w:ind w:firstLine="480"/>
        <w:rPr>
          <w:rStyle w:val="45"/>
          <w:color w:val="auto"/>
          <w:szCs w:val="40"/>
          <w:highlight w:val="none"/>
        </w:rPr>
      </w:pPr>
    </w:p>
    <w:p>
      <w:pPr>
        <w:ind w:firstLine="480"/>
        <w:rPr>
          <w:rFonts w:ascii="宋体" w:hAnsi="宋体" w:cs="宋体"/>
          <w:color w:val="auto"/>
          <w:highlight w:val="none"/>
        </w:rPr>
      </w:pPr>
      <w:r>
        <w:rPr>
          <w:rStyle w:val="45"/>
          <w:rFonts w:hint="eastAsia"/>
          <w:color w:val="auto"/>
          <w:szCs w:val="40"/>
          <w:highlight w:val="none"/>
        </w:rPr>
        <w:br w:type="page"/>
      </w:r>
      <w:r>
        <w:rPr>
          <w:rFonts w:hint="eastAsia"/>
          <w:color w:val="auto"/>
          <w:highlight w:val="none"/>
        </w:rPr>
        <w:fldChar w:fldCharType="end"/>
      </w:r>
    </w:p>
    <w:p>
      <w:pPr>
        <w:pStyle w:val="6"/>
        <w:rPr>
          <w:rFonts w:ascii="宋体" w:hAnsi="宋体" w:cs="宋体"/>
          <w:color w:val="auto"/>
          <w:highlight w:val="none"/>
        </w:rPr>
      </w:pPr>
      <w:r>
        <w:rPr>
          <w:rFonts w:hint="eastAsia" w:ascii="宋体" w:hAnsi="宋体" w:cs="宋体"/>
          <w:color w:val="auto"/>
          <w:highlight w:val="none"/>
        </w:rPr>
        <w:t>附件十五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25"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0"/>
    <w:family w:val="decorative"/>
    <w:pitch w:val="default"/>
    <w:sig w:usb0="8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312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a4D4gbABAABMAwAADgAAAGRycy9lMm9Eb2MueG1srVPB&#10;btswDL0P2D8Iui9yDGw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GuA+IGwAQAATAMAAA4AAAAAAAAAAQAgAAAAJwEAAGRycy9lMm9Eb2MueG1sUEsFBgAAAAAGAAYA&#10;WQEAAEkFA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sz w:val="24"/>
        <w:szCs w:val="24"/>
      </w:rPr>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rPr>
      <w:t>中国计量大学</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i/>
        <w:iCs/>
        <w:sz w:val="24"/>
        <w:szCs w:val="24"/>
      </w:rPr>
    </w:pPr>
  </w:p>
  <w:p>
    <w:pPr>
      <w:pStyle w:val="25"/>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B9FECD7A"/>
    <w:multiLevelType w:val="singleLevel"/>
    <w:tmpl w:val="B9FECD7A"/>
    <w:lvl w:ilvl="0" w:tentative="0">
      <w:start w:val="1"/>
      <w:numFmt w:val="decimal"/>
      <w:lvlText w:val="(%1)"/>
      <w:lvlJc w:val="left"/>
      <w:pPr>
        <w:ind w:left="425" w:hanging="425"/>
      </w:pPr>
      <w:rPr>
        <w:rFonts w:hint="default"/>
      </w:rPr>
    </w:lvl>
  </w:abstractNum>
  <w:abstractNum w:abstractNumId="3">
    <w:nsid w:val="C9753911"/>
    <w:multiLevelType w:val="singleLevel"/>
    <w:tmpl w:val="C9753911"/>
    <w:lvl w:ilvl="0" w:tentative="0">
      <w:start w:val="1"/>
      <w:numFmt w:val="decimal"/>
      <w:suff w:val="nothing"/>
      <w:lvlText w:val="（%1）"/>
      <w:lvlJc w:val="left"/>
    </w:lvl>
  </w:abstractNum>
  <w:abstractNum w:abstractNumId="4">
    <w:nsid w:val="F56FB2D7"/>
    <w:multiLevelType w:val="singleLevel"/>
    <w:tmpl w:val="F56FB2D7"/>
    <w:lvl w:ilvl="0" w:tentative="0">
      <w:start w:val="4"/>
      <w:numFmt w:val="decimal"/>
      <w:suff w:val="nothing"/>
      <w:lvlText w:val="（%1）"/>
      <w:lvlJc w:val="left"/>
    </w:lvl>
  </w:abstractNum>
  <w:abstractNum w:abstractNumId="5">
    <w:nsid w:val="F6D5FE6C"/>
    <w:multiLevelType w:val="singleLevel"/>
    <w:tmpl w:val="F6D5FE6C"/>
    <w:lvl w:ilvl="0" w:tentative="0">
      <w:start w:val="1"/>
      <w:numFmt w:val="decimal"/>
      <w:lvlText w:val="%1."/>
      <w:lvlJc w:val="left"/>
      <w:pPr>
        <w:ind w:left="425" w:hanging="425"/>
      </w:pPr>
      <w:rPr>
        <w:rFonts w:hint="default"/>
      </w:rPr>
    </w:lvl>
  </w:abstractNum>
  <w:abstractNum w:abstractNumId="6">
    <w:nsid w:val="F81965CD"/>
    <w:multiLevelType w:val="singleLevel"/>
    <w:tmpl w:val="F81965CD"/>
    <w:lvl w:ilvl="0" w:tentative="0">
      <w:start w:val="1"/>
      <w:numFmt w:val="decimal"/>
      <w:suff w:val="nothing"/>
      <w:lvlText w:val="（%1）"/>
      <w:lvlJc w:val="left"/>
    </w:lvl>
  </w:abstractNum>
  <w:abstractNum w:abstractNumId="7">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68A08C"/>
    <w:multiLevelType w:val="singleLevel"/>
    <w:tmpl w:val="4068A08C"/>
    <w:lvl w:ilvl="0" w:tentative="0">
      <w:start w:val="1"/>
      <w:numFmt w:val="decimal"/>
      <w:lvlText w:val="%1."/>
      <w:lvlJc w:val="left"/>
      <w:pPr>
        <w:ind w:left="425" w:hanging="425"/>
      </w:pPr>
      <w:rPr>
        <w:rFonts w:hint="default"/>
      </w:rPr>
    </w:lvl>
  </w:abstractNum>
  <w:abstractNum w:abstractNumId="10">
    <w:nsid w:val="41C5F5BA"/>
    <w:multiLevelType w:val="singleLevel"/>
    <w:tmpl w:val="41C5F5BA"/>
    <w:lvl w:ilvl="0" w:tentative="0">
      <w:start w:val="1"/>
      <w:numFmt w:val="decimal"/>
      <w:lvlText w:val="%1."/>
      <w:lvlJc w:val="left"/>
      <w:pPr>
        <w:ind w:left="425" w:hanging="425"/>
      </w:pPr>
      <w:rPr>
        <w:rFonts w:hint="default"/>
      </w:rPr>
    </w:lvl>
  </w:abstractNum>
  <w:abstractNum w:abstractNumId="11">
    <w:nsid w:val="4BFDDBFF"/>
    <w:multiLevelType w:val="singleLevel"/>
    <w:tmpl w:val="4BFDDBFF"/>
    <w:lvl w:ilvl="0" w:tentative="0">
      <w:start w:val="1"/>
      <w:numFmt w:val="decimal"/>
      <w:suff w:val="nothing"/>
      <w:lvlText w:val="（%1）"/>
      <w:lvlJc w:val="left"/>
    </w:lvl>
  </w:abstractNum>
  <w:abstractNum w:abstractNumId="12">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6853D46"/>
    <w:multiLevelType w:val="multilevel"/>
    <w:tmpl w:val="66853D46"/>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4">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E76112D"/>
    <w:multiLevelType w:val="singleLevel"/>
    <w:tmpl w:val="7E76112D"/>
    <w:lvl w:ilvl="0" w:tentative="0">
      <w:start w:val="9"/>
      <w:numFmt w:val="decimal"/>
      <w:lvlText w:val="%1."/>
      <w:lvlJc w:val="left"/>
      <w:pPr>
        <w:tabs>
          <w:tab w:val="left" w:pos="312"/>
        </w:tabs>
      </w:pPr>
    </w:lvl>
  </w:abstractNum>
  <w:num w:numId="1">
    <w:abstractNumId w:val="12"/>
  </w:num>
  <w:num w:numId="2">
    <w:abstractNumId w:val="14"/>
  </w:num>
  <w:num w:numId="3">
    <w:abstractNumId w:val="8"/>
  </w:num>
  <w:num w:numId="4">
    <w:abstractNumId w:val="10"/>
  </w:num>
  <w:num w:numId="5">
    <w:abstractNumId w:val="11"/>
  </w:num>
  <w:num w:numId="6">
    <w:abstractNumId w:val="2"/>
  </w:num>
  <w:num w:numId="7">
    <w:abstractNumId w:val="4"/>
  </w:num>
  <w:num w:numId="8">
    <w:abstractNumId w:val="1"/>
  </w:num>
  <w:num w:numId="9">
    <w:abstractNumId w:val="15"/>
  </w:num>
  <w:num w:numId="10">
    <w:abstractNumId w:val="7"/>
  </w:num>
  <w:num w:numId="11">
    <w:abstractNumId w:val="5"/>
  </w:num>
  <w:num w:numId="12">
    <w:abstractNumId w:val="13"/>
  </w:num>
  <w:num w:numId="13">
    <w:abstractNumId w:val="6"/>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14E9"/>
    <w:rsid w:val="0003254D"/>
    <w:rsid w:val="00032E39"/>
    <w:rsid w:val="00034AF2"/>
    <w:rsid w:val="00036D69"/>
    <w:rsid w:val="000404A4"/>
    <w:rsid w:val="00041C10"/>
    <w:rsid w:val="00042B4E"/>
    <w:rsid w:val="00042EB3"/>
    <w:rsid w:val="00045487"/>
    <w:rsid w:val="00046321"/>
    <w:rsid w:val="000501FA"/>
    <w:rsid w:val="00050C78"/>
    <w:rsid w:val="000522E6"/>
    <w:rsid w:val="0005297E"/>
    <w:rsid w:val="000536EF"/>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20F"/>
    <w:rsid w:val="0010080A"/>
    <w:rsid w:val="0010157A"/>
    <w:rsid w:val="00103871"/>
    <w:rsid w:val="0011181B"/>
    <w:rsid w:val="0011211A"/>
    <w:rsid w:val="00112B47"/>
    <w:rsid w:val="001148C6"/>
    <w:rsid w:val="00115094"/>
    <w:rsid w:val="001200F0"/>
    <w:rsid w:val="0012516A"/>
    <w:rsid w:val="001266F7"/>
    <w:rsid w:val="00127E3B"/>
    <w:rsid w:val="00134E45"/>
    <w:rsid w:val="0013792B"/>
    <w:rsid w:val="00140519"/>
    <w:rsid w:val="0014224B"/>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533"/>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1968"/>
    <w:rsid w:val="001D25B6"/>
    <w:rsid w:val="001D2793"/>
    <w:rsid w:val="001D6435"/>
    <w:rsid w:val="001D67D5"/>
    <w:rsid w:val="001E4700"/>
    <w:rsid w:val="001E6BA1"/>
    <w:rsid w:val="001F1D58"/>
    <w:rsid w:val="001F2B86"/>
    <w:rsid w:val="001F4CF7"/>
    <w:rsid w:val="001F6B29"/>
    <w:rsid w:val="001F72A2"/>
    <w:rsid w:val="001F7AB6"/>
    <w:rsid w:val="00200224"/>
    <w:rsid w:val="00201004"/>
    <w:rsid w:val="00202DB8"/>
    <w:rsid w:val="00204B71"/>
    <w:rsid w:val="00207178"/>
    <w:rsid w:val="0021124A"/>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87B"/>
    <w:rsid w:val="002539A2"/>
    <w:rsid w:val="00254E25"/>
    <w:rsid w:val="0026022B"/>
    <w:rsid w:val="0026685D"/>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820"/>
    <w:rsid w:val="002E3D90"/>
    <w:rsid w:val="002E41DB"/>
    <w:rsid w:val="002E5D7F"/>
    <w:rsid w:val="002F3D28"/>
    <w:rsid w:val="002F603A"/>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0DA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16CC2"/>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1C39"/>
    <w:rsid w:val="006D3640"/>
    <w:rsid w:val="006D64A1"/>
    <w:rsid w:val="006D73CA"/>
    <w:rsid w:val="006E086A"/>
    <w:rsid w:val="006E2A3C"/>
    <w:rsid w:val="006E4E59"/>
    <w:rsid w:val="006E5367"/>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65F89"/>
    <w:rsid w:val="00770034"/>
    <w:rsid w:val="00771DDD"/>
    <w:rsid w:val="0077232D"/>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6E95"/>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3E5A"/>
    <w:rsid w:val="009550F2"/>
    <w:rsid w:val="0095737E"/>
    <w:rsid w:val="00957BA4"/>
    <w:rsid w:val="00957F04"/>
    <w:rsid w:val="00960D9D"/>
    <w:rsid w:val="00962F90"/>
    <w:rsid w:val="00965393"/>
    <w:rsid w:val="00965885"/>
    <w:rsid w:val="00965F40"/>
    <w:rsid w:val="00966CEF"/>
    <w:rsid w:val="00971572"/>
    <w:rsid w:val="00973266"/>
    <w:rsid w:val="0097386F"/>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3503"/>
    <w:rsid w:val="00A15FDB"/>
    <w:rsid w:val="00A208F6"/>
    <w:rsid w:val="00A20DE3"/>
    <w:rsid w:val="00A26FA5"/>
    <w:rsid w:val="00A27D3E"/>
    <w:rsid w:val="00A27F2E"/>
    <w:rsid w:val="00A31392"/>
    <w:rsid w:val="00A35E28"/>
    <w:rsid w:val="00A416A5"/>
    <w:rsid w:val="00A41CDC"/>
    <w:rsid w:val="00A4648E"/>
    <w:rsid w:val="00A4744B"/>
    <w:rsid w:val="00A47B0E"/>
    <w:rsid w:val="00A5024B"/>
    <w:rsid w:val="00A52FA5"/>
    <w:rsid w:val="00A558DC"/>
    <w:rsid w:val="00A6086B"/>
    <w:rsid w:val="00A61171"/>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B7054"/>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4B9"/>
    <w:rsid w:val="00B06906"/>
    <w:rsid w:val="00B06B5E"/>
    <w:rsid w:val="00B06F67"/>
    <w:rsid w:val="00B07230"/>
    <w:rsid w:val="00B076F8"/>
    <w:rsid w:val="00B10FCB"/>
    <w:rsid w:val="00B11F97"/>
    <w:rsid w:val="00B16BAF"/>
    <w:rsid w:val="00B2091D"/>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3682"/>
    <w:rsid w:val="00B56F8E"/>
    <w:rsid w:val="00B57506"/>
    <w:rsid w:val="00B613C7"/>
    <w:rsid w:val="00B627FD"/>
    <w:rsid w:val="00B64670"/>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2CD7"/>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17F3"/>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65B"/>
    <w:rsid w:val="00DE2D30"/>
    <w:rsid w:val="00DE3012"/>
    <w:rsid w:val="00DE338A"/>
    <w:rsid w:val="00DE3636"/>
    <w:rsid w:val="00DE49AD"/>
    <w:rsid w:val="00DE4CFC"/>
    <w:rsid w:val="00DE5E1C"/>
    <w:rsid w:val="00DE6680"/>
    <w:rsid w:val="00DE7EBE"/>
    <w:rsid w:val="00DF2D86"/>
    <w:rsid w:val="00DF4044"/>
    <w:rsid w:val="00DF51E8"/>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6F3A"/>
    <w:rsid w:val="00F47735"/>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B7D3C"/>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69067C"/>
    <w:rsid w:val="02F01C71"/>
    <w:rsid w:val="04415EE3"/>
    <w:rsid w:val="05273450"/>
    <w:rsid w:val="05B01605"/>
    <w:rsid w:val="06F32C4C"/>
    <w:rsid w:val="07221759"/>
    <w:rsid w:val="07845EBA"/>
    <w:rsid w:val="07996EB4"/>
    <w:rsid w:val="079E733B"/>
    <w:rsid w:val="07D945DC"/>
    <w:rsid w:val="082D669C"/>
    <w:rsid w:val="092D4ADB"/>
    <w:rsid w:val="094B0040"/>
    <w:rsid w:val="096D0679"/>
    <w:rsid w:val="09A13A7B"/>
    <w:rsid w:val="09D51869"/>
    <w:rsid w:val="0A676977"/>
    <w:rsid w:val="0AED0116"/>
    <w:rsid w:val="0B5673B8"/>
    <w:rsid w:val="0BA33880"/>
    <w:rsid w:val="0CA8083B"/>
    <w:rsid w:val="0CD26A47"/>
    <w:rsid w:val="0DDE177A"/>
    <w:rsid w:val="0E3777BE"/>
    <w:rsid w:val="0EE43718"/>
    <w:rsid w:val="0EE90B68"/>
    <w:rsid w:val="0F333C8A"/>
    <w:rsid w:val="0F6D01FB"/>
    <w:rsid w:val="0FBC0D1A"/>
    <w:rsid w:val="102927A5"/>
    <w:rsid w:val="10331649"/>
    <w:rsid w:val="10475F34"/>
    <w:rsid w:val="104C58A2"/>
    <w:rsid w:val="11A842FF"/>
    <w:rsid w:val="120E0E48"/>
    <w:rsid w:val="123F4C14"/>
    <w:rsid w:val="12B1627A"/>
    <w:rsid w:val="12CB1F54"/>
    <w:rsid w:val="12F12AA5"/>
    <w:rsid w:val="141A42B8"/>
    <w:rsid w:val="147A2410"/>
    <w:rsid w:val="14852C6F"/>
    <w:rsid w:val="14ED6414"/>
    <w:rsid w:val="14FC6CC9"/>
    <w:rsid w:val="15871E93"/>
    <w:rsid w:val="15F003C1"/>
    <w:rsid w:val="15F61009"/>
    <w:rsid w:val="15FC3115"/>
    <w:rsid w:val="1738482D"/>
    <w:rsid w:val="17445402"/>
    <w:rsid w:val="174C094B"/>
    <w:rsid w:val="18E00489"/>
    <w:rsid w:val="19282791"/>
    <w:rsid w:val="192C2D7A"/>
    <w:rsid w:val="19810432"/>
    <w:rsid w:val="19F45009"/>
    <w:rsid w:val="1A5E1863"/>
    <w:rsid w:val="1AB83062"/>
    <w:rsid w:val="1D7C153E"/>
    <w:rsid w:val="1E055C9E"/>
    <w:rsid w:val="1E646060"/>
    <w:rsid w:val="1E8D072E"/>
    <w:rsid w:val="1F0136F8"/>
    <w:rsid w:val="1F0E0119"/>
    <w:rsid w:val="1F8A0112"/>
    <w:rsid w:val="20015A6D"/>
    <w:rsid w:val="200C3AA1"/>
    <w:rsid w:val="20CB3924"/>
    <w:rsid w:val="21220D3E"/>
    <w:rsid w:val="214A3DCF"/>
    <w:rsid w:val="216C5F20"/>
    <w:rsid w:val="21BF72A1"/>
    <w:rsid w:val="21C3592D"/>
    <w:rsid w:val="21C55F53"/>
    <w:rsid w:val="21FC530F"/>
    <w:rsid w:val="225A2932"/>
    <w:rsid w:val="22A84E37"/>
    <w:rsid w:val="233A2E59"/>
    <w:rsid w:val="23594B35"/>
    <w:rsid w:val="23EA5690"/>
    <w:rsid w:val="244157BB"/>
    <w:rsid w:val="247240E4"/>
    <w:rsid w:val="24D54DB0"/>
    <w:rsid w:val="24F82B87"/>
    <w:rsid w:val="25D27E7B"/>
    <w:rsid w:val="26700C16"/>
    <w:rsid w:val="274F2171"/>
    <w:rsid w:val="275E0F3C"/>
    <w:rsid w:val="27797DE0"/>
    <w:rsid w:val="27965B8B"/>
    <w:rsid w:val="282657F7"/>
    <w:rsid w:val="28FC2B68"/>
    <w:rsid w:val="29172B11"/>
    <w:rsid w:val="29223179"/>
    <w:rsid w:val="29523F82"/>
    <w:rsid w:val="297F63E2"/>
    <w:rsid w:val="29AA4023"/>
    <w:rsid w:val="29FF498C"/>
    <w:rsid w:val="2A3B1864"/>
    <w:rsid w:val="2A456589"/>
    <w:rsid w:val="2A5B4807"/>
    <w:rsid w:val="2A8A2072"/>
    <w:rsid w:val="2AC46B39"/>
    <w:rsid w:val="2ADE0C2E"/>
    <w:rsid w:val="2AE255D9"/>
    <w:rsid w:val="2B16314B"/>
    <w:rsid w:val="2B53670E"/>
    <w:rsid w:val="2C0E274C"/>
    <w:rsid w:val="2C1864B9"/>
    <w:rsid w:val="2C3042EA"/>
    <w:rsid w:val="2C5466FC"/>
    <w:rsid w:val="2D4477EE"/>
    <w:rsid w:val="2DC41DAC"/>
    <w:rsid w:val="2DD4300E"/>
    <w:rsid w:val="2E413F38"/>
    <w:rsid w:val="2EC14611"/>
    <w:rsid w:val="30300320"/>
    <w:rsid w:val="305E4CC4"/>
    <w:rsid w:val="31EE4BAA"/>
    <w:rsid w:val="31F5436E"/>
    <w:rsid w:val="32243194"/>
    <w:rsid w:val="32504448"/>
    <w:rsid w:val="3263631F"/>
    <w:rsid w:val="32C00D78"/>
    <w:rsid w:val="33222A9A"/>
    <w:rsid w:val="332D1CBE"/>
    <w:rsid w:val="33477C2B"/>
    <w:rsid w:val="33480719"/>
    <w:rsid w:val="339D5261"/>
    <w:rsid w:val="33D50FF7"/>
    <w:rsid w:val="345F23BB"/>
    <w:rsid w:val="34955EDA"/>
    <w:rsid w:val="349A334C"/>
    <w:rsid w:val="34B75CF3"/>
    <w:rsid w:val="34CA78C0"/>
    <w:rsid w:val="35586223"/>
    <w:rsid w:val="35A418C4"/>
    <w:rsid w:val="36253B84"/>
    <w:rsid w:val="368920CF"/>
    <w:rsid w:val="369E6117"/>
    <w:rsid w:val="376747BE"/>
    <w:rsid w:val="37D078F7"/>
    <w:rsid w:val="37F76452"/>
    <w:rsid w:val="38CE707C"/>
    <w:rsid w:val="39104B12"/>
    <w:rsid w:val="3A1B760C"/>
    <w:rsid w:val="3B216441"/>
    <w:rsid w:val="3BFB42C7"/>
    <w:rsid w:val="3CAA46F7"/>
    <w:rsid w:val="3CE57D2D"/>
    <w:rsid w:val="3CE77BA9"/>
    <w:rsid w:val="3E217459"/>
    <w:rsid w:val="3EBB54BA"/>
    <w:rsid w:val="3ED20793"/>
    <w:rsid w:val="3F255D56"/>
    <w:rsid w:val="3F416A26"/>
    <w:rsid w:val="4082593F"/>
    <w:rsid w:val="40BE42C2"/>
    <w:rsid w:val="41681941"/>
    <w:rsid w:val="41CF2AB7"/>
    <w:rsid w:val="41E47D60"/>
    <w:rsid w:val="423D6569"/>
    <w:rsid w:val="44560F40"/>
    <w:rsid w:val="44720E16"/>
    <w:rsid w:val="44B40707"/>
    <w:rsid w:val="44C41913"/>
    <w:rsid w:val="44D619FA"/>
    <w:rsid w:val="45E54860"/>
    <w:rsid w:val="466C6EAA"/>
    <w:rsid w:val="482B2304"/>
    <w:rsid w:val="4853715D"/>
    <w:rsid w:val="48857FBF"/>
    <w:rsid w:val="48DE11B8"/>
    <w:rsid w:val="49205619"/>
    <w:rsid w:val="4922547B"/>
    <w:rsid w:val="49D54F3C"/>
    <w:rsid w:val="4A1F67CA"/>
    <w:rsid w:val="4AB7573A"/>
    <w:rsid w:val="4AC63524"/>
    <w:rsid w:val="4B382419"/>
    <w:rsid w:val="4B8A72CF"/>
    <w:rsid w:val="4B972445"/>
    <w:rsid w:val="4C1065B5"/>
    <w:rsid w:val="4C70027F"/>
    <w:rsid w:val="4D943011"/>
    <w:rsid w:val="4DDF3F73"/>
    <w:rsid w:val="4F8119B1"/>
    <w:rsid w:val="4F92238A"/>
    <w:rsid w:val="4FE062A3"/>
    <w:rsid w:val="5043798C"/>
    <w:rsid w:val="50731BAF"/>
    <w:rsid w:val="510E0E2A"/>
    <w:rsid w:val="515B5BAE"/>
    <w:rsid w:val="51C25525"/>
    <w:rsid w:val="5298489A"/>
    <w:rsid w:val="52E223AA"/>
    <w:rsid w:val="53FD089E"/>
    <w:rsid w:val="54321EEE"/>
    <w:rsid w:val="54453B17"/>
    <w:rsid w:val="54963849"/>
    <w:rsid w:val="55323649"/>
    <w:rsid w:val="556A2FD5"/>
    <w:rsid w:val="55D634ED"/>
    <w:rsid w:val="56B332E9"/>
    <w:rsid w:val="571826D1"/>
    <w:rsid w:val="57C62622"/>
    <w:rsid w:val="585D5FB5"/>
    <w:rsid w:val="593B0594"/>
    <w:rsid w:val="59BF3C49"/>
    <w:rsid w:val="5ABA3CD0"/>
    <w:rsid w:val="5C0B789C"/>
    <w:rsid w:val="5C372F37"/>
    <w:rsid w:val="5C9157BD"/>
    <w:rsid w:val="5CC441E1"/>
    <w:rsid w:val="5CE760ED"/>
    <w:rsid w:val="5D673A5A"/>
    <w:rsid w:val="5D8D5661"/>
    <w:rsid w:val="5E2E3D6F"/>
    <w:rsid w:val="5EA62EF7"/>
    <w:rsid w:val="5EBA517D"/>
    <w:rsid w:val="5EEC4DA1"/>
    <w:rsid w:val="5F281498"/>
    <w:rsid w:val="600960AF"/>
    <w:rsid w:val="611F2B48"/>
    <w:rsid w:val="612B6A85"/>
    <w:rsid w:val="62CE0974"/>
    <w:rsid w:val="62E0024A"/>
    <w:rsid w:val="63463232"/>
    <w:rsid w:val="63BF1B0D"/>
    <w:rsid w:val="641724DD"/>
    <w:rsid w:val="648D4DC3"/>
    <w:rsid w:val="64937B40"/>
    <w:rsid w:val="64E414E0"/>
    <w:rsid w:val="656B25DE"/>
    <w:rsid w:val="65991807"/>
    <w:rsid w:val="66571D55"/>
    <w:rsid w:val="665F1C74"/>
    <w:rsid w:val="66730C34"/>
    <w:rsid w:val="66A43656"/>
    <w:rsid w:val="66EF7312"/>
    <w:rsid w:val="67822F4A"/>
    <w:rsid w:val="67A04650"/>
    <w:rsid w:val="67B24AD5"/>
    <w:rsid w:val="680F0D3C"/>
    <w:rsid w:val="68922124"/>
    <w:rsid w:val="68F63773"/>
    <w:rsid w:val="6AAC6B9E"/>
    <w:rsid w:val="6B865118"/>
    <w:rsid w:val="6BA33D7F"/>
    <w:rsid w:val="6BF32268"/>
    <w:rsid w:val="6BFC2786"/>
    <w:rsid w:val="6C0D5A20"/>
    <w:rsid w:val="6C1E03F6"/>
    <w:rsid w:val="6C2C2459"/>
    <w:rsid w:val="6C887360"/>
    <w:rsid w:val="6CAD779B"/>
    <w:rsid w:val="6D476454"/>
    <w:rsid w:val="6E39307B"/>
    <w:rsid w:val="6E875598"/>
    <w:rsid w:val="6F0247A4"/>
    <w:rsid w:val="6F2C13F5"/>
    <w:rsid w:val="6FDF0283"/>
    <w:rsid w:val="70730315"/>
    <w:rsid w:val="709A551D"/>
    <w:rsid w:val="71E963C9"/>
    <w:rsid w:val="72B566B1"/>
    <w:rsid w:val="72BC0BF9"/>
    <w:rsid w:val="72D14842"/>
    <w:rsid w:val="74425093"/>
    <w:rsid w:val="757C7A9C"/>
    <w:rsid w:val="758461E8"/>
    <w:rsid w:val="75DC2DB7"/>
    <w:rsid w:val="75E0666F"/>
    <w:rsid w:val="766E3BB5"/>
    <w:rsid w:val="76C84CCD"/>
    <w:rsid w:val="76F01E2B"/>
    <w:rsid w:val="76F22868"/>
    <w:rsid w:val="77672932"/>
    <w:rsid w:val="78E131DA"/>
    <w:rsid w:val="7A6D1DDC"/>
    <w:rsid w:val="7AA01F48"/>
    <w:rsid w:val="7B0A05EE"/>
    <w:rsid w:val="7C4D5033"/>
    <w:rsid w:val="7C660A57"/>
    <w:rsid w:val="7C8B5068"/>
    <w:rsid w:val="7DC42AC1"/>
    <w:rsid w:val="7F753532"/>
    <w:rsid w:val="7FB47DF1"/>
    <w:rsid w:val="7FC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2"/>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171"/>
    <w:qFormat/>
    <w:uiPriority w:val="0"/>
    <w:pPr>
      <w:keepNext/>
      <w:keepLines/>
      <w:ind w:firstLine="0" w:firstLineChars="0"/>
      <w:outlineLvl w:val="2"/>
    </w:pPr>
    <w:rPr>
      <w:b/>
      <w:bCs/>
      <w:szCs w:val="32"/>
    </w:rPr>
  </w:style>
  <w:style w:type="paragraph" w:styleId="7">
    <w:name w:val="heading 4"/>
    <w:basedOn w:val="1"/>
    <w:next w:val="1"/>
    <w:link w:val="97"/>
    <w:qFormat/>
    <w:uiPriority w:val="9"/>
    <w:pPr>
      <w:keepNext/>
      <w:keepLines/>
      <w:outlineLvl w:val="3"/>
    </w:pPr>
    <w:rPr>
      <w:rFonts w:ascii="Cambria" w:hAnsi="Cambria"/>
      <w:b/>
      <w:bCs/>
      <w:sz w:val="21"/>
      <w:szCs w:val="28"/>
    </w:rPr>
  </w:style>
  <w:style w:type="character" w:default="1" w:styleId="41">
    <w:name w:val="Default Paragraph Font"/>
    <w:semiHidden/>
    <w:unhideWhenUsed/>
    <w:qFormat/>
    <w:uiPriority w:val="1"/>
  </w:style>
  <w:style w:type="table" w:default="1" w:styleId="39">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1"/>
    <w:unhideWhenUsed/>
    <w:qFormat/>
    <w:uiPriority w:val="0"/>
    <w:pPr>
      <w:spacing w:line="240" w:lineRule="auto"/>
      <w:ind w:firstLine="420" w:firstLineChars="0"/>
    </w:pPr>
    <w:rPr>
      <w:sz w:val="21"/>
    </w:rPr>
  </w:style>
  <w:style w:type="paragraph" w:styleId="10">
    <w:name w:val="Document Map"/>
    <w:basedOn w:val="1"/>
    <w:link w:val="65"/>
    <w:unhideWhenUsed/>
    <w:qFormat/>
    <w:uiPriority w:val="0"/>
    <w:rPr>
      <w:rFonts w:ascii="宋体" w:hAnsi="Times New Roman"/>
      <w:kern w:val="0"/>
      <w:sz w:val="18"/>
      <w:szCs w:val="18"/>
    </w:rPr>
  </w:style>
  <w:style w:type="paragraph" w:styleId="11">
    <w:name w:val="annotation text"/>
    <w:basedOn w:val="1"/>
    <w:link w:val="80"/>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3"/>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7"/>
    <w:unhideWhenUsed/>
    <w:qFormat/>
    <w:uiPriority w:val="0"/>
    <w:rPr>
      <w:rFonts w:ascii="Times New Roman" w:hAnsi="Times New Roman"/>
      <w:kern w:val="0"/>
      <w:sz w:val="18"/>
      <w:szCs w:val="18"/>
    </w:rPr>
  </w:style>
  <w:style w:type="paragraph" w:styleId="25">
    <w:name w:val="footer"/>
    <w:basedOn w:val="1"/>
    <w:link w:val="67"/>
    <w:unhideWhenUsed/>
    <w:qFormat/>
    <w:uiPriority w:val="99"/>
    <w:pPr>
      <w:tabs>
        <w:tab w:val="center" w:pos="4153"/>
        <w:tab w:val="right" w:pos="8306"/>
      </w:tabs>
      <w:snapToGrid w:val="0"/>
      <w:jc w:val="left"/>
    </w:pPr>
    <w:rPr>
      <w:kern w:val="0"/>
      <w:sz w:val="18"/>
      <w:szCs w:val="18"/>
    </w:rPr>
  </w:style>
  <w:style w:type="paragraph" w:styleId="2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96"/>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4"/>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字符"/>
    <w:link w:val="35"/>
    <w:semiHidden/>
    <w:qFormat/>
    <w:uiPriority w:val="0"/>
    <w:rPr>
      <w:rFonts w:ascii="Arial Unicode MS" w:hAnsi="Arial Unicode MS" w:eastAsia="Arial Unicode MS" w:cs="Arial Unicode MS"/>
    </w:rPr>
  </w:style>
  <w:style w:type="character" w:customStyle="1" w:styleId="49">
    <w:name w:val="正文文本缩进 2 字符"/>
    <w:link w:val="23"/>
    <w:semiHidden/>
    <w:qFormat/>
    <w:uiPriority w:val="0"/>
    <w:rPr>
      <w:rFonts w:ascii="宋体" w:hAnsi="Times New Roman"/>
      <w:sz w:val="24"/>
    </w:rPr>
  </w:style>
  <w:style w:type="character" w:customStyle="1" w:styleId="50">
    <w:name w:val="wz1"/>
    <w:basedOn w:val="41"/>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字符"/>
    <w:qFormat/>
    <w:uiPriority w:val="0"/>
    <w:rPr>
      <w:b/>
      <w:bCs/>
      <w:kern w:val="2"/>
      <w:sz w:val="24"/>
      <w:szCs w:val="32"/>
    </w:rPr>
  </w:style>
  <w:style w:type="character" w:customStyle="1" w:styleId="54">
    <w:name w:val="批注主题 字符"/>
    <w:link w:val="38"/>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41"/>
    <w:qFormat/>
    <w:uiPriority w:val="0"/>
  </w:style>
  <w:style w:type="character" w:customStyle="1" w:styleId="58">
    <w:name w:val="s"/>
    <w:basedOn w:val="41"/>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字符"/>
    <w:link w:val="9"/>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14"/>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字符"/>
    <w:link w:val="10"/>
    <w:semiHidden/>
    <w:qFormat/>
    <w:uiPriority w:val="0"/>
    <w:rPr>
      <w:rFonts w:ascii="宋体" w:hAnsi="Times New Roman" w:eastAsia="宋体" w:cs="Times New Roman"/>
      <w:sz w:val="18"/>
      <w:szCs w:val="18"/>
    </w:rPr>
  </w:style>
  <w:style w:type="character" w:customStyle="1" w:styleId="66">
    <w:name w:val="content"/>
    <w:basedOn w:val="41"/>
    <w:qFormat/>
    <w:uiPriority w:val="0"/>
  </w:style>
  <w:style w:type="character" w:customStyle="1" w:styleId="67">
    <w:name w:val="页脚 字符1"/>
    <w:link w:val="25"/>
    <w:qFormat/>
    <w:uiPriority w:val="99"/>
    <w:rPr>
      <w:sz w:val="18"/>
      <w:szCs w:val="18"/>
    </w:rPr>
  </w:style>
  <w:style w:type="character" w:customStyle="1" w:styleId="68">
    <w:name w:val="标题 2 字符"/>
    <w:link w:val="5"/>
    <w:qFormat/>
    <w:uiPriority w:val="0"/>
    <w:rPr>
      <w:rFonts w:ascii="Cambria" w:hAnsi="Cambria" w:eastAsia="宋体"/>
      <w:b/>
      <w:bCs/>
      <w:kern w:val="2"/>
      <w:sz w:val="28"/>
      <w:szCs w:val="32"/>
    </w:rPr>
  </w:style>
  <w:style w:type="character" w:customStyle="1" w:styleId="69">
    <w:name w:val="正文文本 字符"/>
    <w:link w:val="14"/>
    <w:semiHidden/>
    <w:qFormat/>
    <w:uiPriority w:val="0"/>
    <w:rPr>
      <w:rFonts w:ascii="仿宋_GB2312" w:hAnsi="Times New Roman" w:eastAsia="仿宋_GB2312"/>
      <w:sz w:val="28"/>
    </w:rPr>
  </w:style>
  <w:style w:type="character" w:customStyle="1" w:styleId="70">
    <w:name w:val="style8"/>
    <w:basedOn w:val="41"/>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字符"/>
    <w:link w:val="4"/>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字符"/>
    <w:link w:val="34"/>
    <w:semiHidden/>
    <w:qFormat/>
    <w:uiPriority w:val="0"/>
    <w:rPr>
      <w:rFonts w:ascii="Times New Roman" w:hAnsi="Times New Roman"/>
      <w:b/>
      <w:bCs/>
      <w:color w:val="000000"/>
      <w:kern w:val="2"/>
      <w:sz w:val="28"/>
      <w:szCs w:val="24"/>
    </w:rPr>
  </w:style>
  <w:style w:type="character" w:customStyle="1" w:styleId="78">
    <w:name w:val="正文文本缩进 字符1"/>
    <w:link w:val="15"/>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字符"/>
    <w:link w:val="11"/>
    <w:semiHidden/>
    <w:qFormat/>
    <w:uiPriority w:val="0"/>
    <w:rPr>
      <w:rFonts w:ascii="Times New Roman" w:hAnsi="Times New Roman"/>
      <w:kern w:val="2"/>
      <w:sz w:val="21"/>
      <w:szCs w:val="24"/>
    </w:rPr>
  </w:style>
  <w:style w:type="character" w:customStyle="1" w:styleId="81">
    <w:name w:val="正文文本缩进 3 字符"/>
    <w:link w:val="31"/>
    <w:semiHidden/>
    <w:qFormat/>
    <w:uiPriority w:val="0"/>
    <w:rPr>
      <w:rFonts w:ascii="Times New Roman" w:hAnsi="Times New Roman" w:eastAsia="黑体"/>
      <w:color w:val="000000"/>
      <w:kern w:val="2"/>
      <w:sz w:val="24"/>
      <w:szCs w:val="24"/>
    </w:rPr>
  </w:style>
  <w:style w:type="character" w:customStyle="1" w:styleId="82">
    <w:name w:val="无间隔 字符"/>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41"/>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字符"/>
    <w:link w:val="24"/>
    <w:semiHidden/>
    <w:qFormat/>
    <w:uiPriority w:val="0"/>
    <w:rPr>
      <w:rFonts w:ascii="Times New Roman" w:hAnsi="Times New Roman" w:eastAsia="宋体" w:cs="Times New Roman"/>
      <w:sz w:val="18"/>
      <w:szCs w:val="18"/>
    </w:rPr>
  </w:style>
  <w:style w:type="character" w:customStyle="1" w:styleId="88">
    <w:name w:val="页眉 字符1"/>
    <w:link w:val="26"/>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41"/>
    <w:qFormat/>
    <w:uiPriority w:val="0"/>
  </w:style>
  <w:style w:type="character" w:customStyle="1" w:styleId="92">
    <w:name w:val="style1"/>
    <w:basedOn w:val="41"/>
    <w:qFormat/>
    <w:uiPriority w:val="0"/>
  </w:style>
  <w:style w:type="character" w:customStyle="1" w:styleId="93">
    <w:name w:val="纯文本 字符1"/>
    <w:link w:val="20"/>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字符"/>
    <w:link w:val="12"/>
    <w:semiHidden/>
    <w:qFormat/>
    <w:uiPriority w:val="0"/>
    <w:rPr>
      <w:rFonts w:ascii="楷体_GB2312" w:hAnsi="Times New Roman" w:eastAsia="楷体_GB2312"/>
      <w:b/>
      <w:color w:val="000000"/>
      <w:kern w:val="2"/>
      <w:sz w:val="30"/>
      <w:szCs w:val="24"/>
    </w:rPr>
  </w:style>
  <w:style w:type="character" w:customStyle="1" w:styleId="96">
    <w:name w:val="标题 字符"/>
    <w:link w:val="37"/>
    <w:qFormat/>
    <w:locked/>
    <w:uiPriority w:val="0"/>
    <w:rPr>
      <w:rFonts w:ascii="Times New Roman" w:hAnsi="Times New Roman"/>
      <w:kern w:val="2"/>
      <w:sz w:val="30"/>
      <w:szCs w:val="24"/>
    </w:rPr>
  </w:style>
  <w:style w:type="character" w:customStyle="1" w:styleId="97">
    <w:name w:val="标题 4 字符"/>
    <w:link w:val="7"/>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字符"/>
    <w:link w:val="22"/>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6"/>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5"/>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9"/>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 w:type="paragraph" w:customStyle="1" w:styleId="166">
    <w:name w:val="trs_editor"/>
    <w:basedOn w:val="1"/>
    <w:qFormat/>
    <w:uiPriority w:val="0"/>
    <w:pPr>
      <w:widowControl/>
      <w:spacing w:before="100" w:beforeAutospacing="1" w:after="100" w:afterAutospacing="1"/>
      <w:jc w:val="left"/>
    </w:pPr>
    <w:rPr>
      <w:rFonts w:ascii="宋体" w:hAnsi="宋体" w:cs="宋体"/>
      <w:kern w:val="0"/>
    </w:rPr>
  </w:style>
  <w:style w:type="paragraph" w:styleId="167">
    <w:name w:val="List Paragraph"/>
    <w:basedOn w:val="1"/>
    <w:qFormat/>
    <w:uiPriority w:val="34"/>
    <w:pPr>
      <w:ind w:firstLine="420"/>
    </w:pPr>
    <w:rPr>
      <w:szCs w:val="22"/>
    </w:rPr>
  </w:style>
  <w:style w:type="paragraph" w:customStyle="1" w:styleId="168">
    <w:name w:val="正文2"/>
    <w:basedOn w:val="1"/>
    <w:qFormat/>
    <w:uiPriority w:val="0"/>
    <w:pPr>
      <w:spacing w:before="156"/>
      <w:ind w:firstLine="510"/>
    </w:pPr>
    <w:rPr>
      <w:rFonts w:ascii="MT Extra" w:hAnsi="MT Extra" w:cs="MT Extra"/>
    </w:rPr>
  </w:style>
  <w:style w:type="paragraph" w:customStyle="1" w:styleId="169">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70">
    <w:name w:val="部分1"/>
    <w:basedOn w:val="1"/>
    <w:qFormat/>
    <w:uiPriority w:val="99"/>
    <w:pPr>
      <w:keepNext/>
      <w:pageBreakBefore/>
      <w:tabs>
        <w:tab w:val="left" w:pos="720"/>
      </w:tabs>
      <w:jc w:val="center"/>
      <w:outlineLvl w:val="0"/>
    </w:pPr>
    <w:rPr>
      <w:rFonts w:eastAsia="黑体"/>
      <w:b/>
      <w:kern w:val="44"/>
      <w:sz w:val="36"/>
    </w:rPr>
  </w:style>
  <w:style w:type="character" w:customStyle="1" w:styleId="171">
    <w:name w:val="标题 3 字符1"/>
    <w:link w:val="6"/>
    <w:qFormat/>
    <w:uiPriority w:val="0"/>
    <w:rPr>
      <w:rFonts w:ascii="Times New Roman" w:hAnsi="Times New Roman"/>
      <w:b/>
      <w:bCs/>
      <w:kern w:val="2"/>
      <w:sz w:val="21"/>
      <w:szCs w:val="32"/>
    </w:rPr>
  </w:style>
  <w:style w:type="paragraph" w:customStyle="1" w:styleId="172">
    <w:name w:val="修订1"/>
    <w:hidden/>
    <w:semiHidden/>
    <w:qFormat/>
    <w:uiPriority w:val="99"/>
    <w:rPr>
      <w:rFonts w:ascii="Calibri" w:hAnsi="Calibri" w:eastAsia="宋体" w:cs="Times New Roman"/>
      <w:kern w:val="2"/>
      <w:sz w:val="24"/>
      <w:szCs w:val="24"/>
      <w:lang w:val="en-US" w:eastAsia="zh-CN" w:bidi="ar-SA"/>
    </w:rPr>
  </w:style>
  <w:style w:type="character" w:customStyle="1" w:styleId="173">
    <w:name w:val="font21"/>
    <w:basedOn w:val="41"/>
    <w:qFormat/>
    <w:uiPriority w:val="0"/>
    <w:rPr>
      <w:rFonts w:hint="eastAsia" w:ascii="宋体" w:hAnsi="宋体" w:eastAsia="宋体" w:cs="宋体"/>
      <w:color w:val="000000"/>
      <w:sz w:val="20"/>
      <w:szCs w:val="20"/>
      <w:u w:val="none"/>
      <w:vertAlign w:val="superscript"/>
    </w:rPr>
  </w:style>
  <w:style w:type="character" w:customStyle="1" w:styleId="174">
    <w:name w:val="font91"/>
    <w:basedOn w:val="41"/>
    <w:qFormat/>
    <w:uiPriority w:val="0"/>
    <w:rPr>
      <w:rFonts w:hint="eastAsia" w:ascii="宋体" w:hAnsi="宋体" w:eastAsia="宋体" w:cs="宋体"/>
      <w:color w:val="000000"/>
      <w:sz w:val="18"/>
      <w:szCs w:val="18"/>
      <w:u w:val="none"/>
    </w:rPr>
  </w:style>
  <w:style w:type="character" w:customStyle="1" w:styleId="175">
    <w:name w:val="font31"/>
    <w:basedOn w:val="41"/>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A0235-5F0B-4D5A-933E-E96EB2C5136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6733</Words>
  <Characters>38381</Characters>
  <Lines>319</Lines>
  <Paragraphs>90</Paragraphs>
  <TotalTime>48</TotalTime>
  <ScaleCrop>false</ScaleCrop>
  <LinksUpToDate>false</LinksUpToDate>
  <CharactersWithSpaces>45024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2019-09-17T01:36:00Z</dcterms:created>
  <dc:creator>Administrator</dc:creator>
  <cp:lastModifiedBy>dell</cp:lastModifiedBy>
  <cp:lastPrinted>2018-11-09T06:35:00Z</cp:lastPrinted>
  <dcterms:modified xsi:type="dcterms:W3CDTF">2019-09-26T10:13:47Z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