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color w:val="auto"/>
          <w:sz w:val="48"/>
          <w:szCs w:val="48"/>
          <w:highlight w:val="none"/>
        </w:rPr>
      </w:pPr>
    </w:p>
    <w:p>
      <w:pPr>
        <w:spacing w:line="600" w:lineRule="auto"/>
        <w:ind w:firstLine="0" w:firstLineChars="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浙江中医药大学</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ascii="宋体" w:hAnsi="宋体" w:cs="宋体"/>
          <w:b/>
          <w:bCs/>
          <w:color w:val="auto"/>
          <w:sz w:val="28"/>
          <w:szCs w:val="28"/>
          <w:highlight w:val="none"/>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rPr>
        <w:t>：</w:t>
      </w:r>
      <w:r>
        <w:rPr>
          <w:rFonts w:hint="eastAsia" w:ascii="宋体" w:hAnsi="宋体" w:cs="宋体"/>
          <w:b/>
          <w:bCs/>
          <w:color w:val="auto"/>
          <w:sz w:val="28"/>
          <w:szCs w:val="28"/>
          <w:highlight w:val="none"/>
        </w:rPr>
        <w:t>医学科研中心仪器设备采购</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确认书号</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lang w:eastAsia="zh-CN"/>
        </w:rPr>
        <w:t>[2019]48761号、[2019]49787号</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eastAsia="zh-CN"/>
        </w:rPr>
        <w:t>ZJWSBJ-ZYY-201934G</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招 标 人：浙江中医药大学</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时    间：二〇一九年九月</w:t>
      </w:r>
    </w:p>
    <w:p>
      <w:pPr>
        <w:ind w:firstLine="480"/>
        <w:rPr>
          <w:color w:val="auto"/>
          <w:highlight w:val="none"/>
        </w:rPr>
      </w:pPr>
      <w:r>
        <w:rPr>
          <w:color w:val="auto"/>
          <w:highlight w:val="none"/>
        </w:rPr>
        <w:br w:type="page"/>
      </w:r>
    </w:p>
    <w:p>
      <w:pPr>
        <w:pStyle w:val="2"/>
        <w:rPr>
          <w:color w:val="auto"/>
          <w:highlight w:val="none"/>
        </w:rPr>
      </w:pPr>
    </w:p>
    <w:p>
      <w:pPr>
        <w:pStyle w:val="32"/>
        <w:tabs>
          <w:tab w:val="right" w:leader="dot" w:pos="8306"/>
          <w:tab w:val="clear" w:pos="8296"/>
        </w:tabs>
        <w:ind w:left="480"/>
        <w:jc w:val="center"/>
        <w:rPr>
          <w:rFonts w:hint="eastAsia" w:ascii="Calibri" w:hAnsi="Calibri" w:eastAsia="宋体" w:cs="Times New Roman"/>
          <w:color w:val="auto"/>
          <w:kern w:val="2"/>
          <w:sz w:val="24"/>
          <w:szCs w:val="24"/>
          <w:highlight w:val="none"/>
          <w:lang w:val="en-US" w:eastAsia="zh-CN" w:bidi="ar-SA"/>
        </w:rPr>
      </w:pPr>
      <w:bookmarkStart w:id="0" w:name="_Toc32639"/>
      <w:r>
        <w:rPr>
          <w:rFonts w:hint="eastAsia" w:ascii="宋体" w:hAnsi="宋体" w:cs="宋体"/>
          <w:b/>
          <w:bCs/>
          <w:color w:val="auto"/>
          <w:sz w:val="32"/>
          <w:szCs w:val="44"/>
          <w:highlight w:val="none"/>
          <w:lang w:val="zh-CN"/>
        </w:rPr>
        <w:t>目</w:t>
      </w:r>
      <w:r>
        <w:rPr>
          <w:rFonts w:hint="eastAsia" w:ascii="宋体" w:hAnsi="宋体" w:cs="宋体"/>
          <w:b/>
          <w:bCs/>
          <w:color w:val="auto"/>
          <w:sz w:val="32"/>
          <w:szCs w:val="44"/>
          <w:highlight w:val="none"/>
        </w:rPr>
        <w:t xml:space="preserve">  </w:t>
      </w:r>
      <w:r>
        <w:rPr>
          <w:rFonts w:hint="eastAsia" w:ascii="宋体" w:hAnsi="宋体" w:cs="宋体"/>
          <w:b/>
          <w:bCs/>
          <w:color w:val="auto"/>
          <w:sz w:val="32"/>
          <w:szCs w:val="44"/>
          <w:highlight w:val="none"/>
          <w:lang w:val="zh-CN"/>
        </w:rPr>
        <w:t>录</w:t>
      </w:r>
      <w:bookmarkEnd w:id="0"/>
      <w:r>
        <w:rPr>
          <w:rFonts w:hint="eastAsia"/>
          <w:color w:val="auto"/>
          <w:highlight w:val="none"/>
        </w:rPr>
        <w:fldChar w:fldCharType="begin"/>
      </w:r>
      <w:r>
        <w:rPr>
          <w:rFonts w:hint="eastAsia"/>
          <w:color w:val="auto"/>
          <w:highlight w:val="none"/>
        </w:rPr>
        <w:instrText xml:space="preserve"> TOC \o "1-2" \h \z \u </w:instrText>
      </w:r>
      <w:r>
        <w:rPr>
          <w:rFonts w:hint="eastAsia"/>
          <w:color w:val="auto"/>
          <w:highlight w:val="none"/>
        </w:rPr>
        <w:fldChar w:fldCharType="separate"/>
      </w:r>
    </w:p>
    <w:p>
      <w:pPr>
        <w:pStyle w:val="27"/>
        <w:tabs>
          <w:tab w:val="right" w:leader="dot" w:pos="8306"/>
          <w:tab w:val="clear" w:pos="8296"/>
        </w:tabs>
        <w:rPr>
          <w:color w:val="auto"/>
          <w:sz w:val="32"/>
          <w:szCs w:val="32"/>
        </w:rPr>
      </w:pPr>
      <w:r>
        <w:rPr>
          <w:rFonts w:hint="eastAsia"/>
          <w:color w:val="auto"/>
          <w:sz w:val="32"/>
          <w:szCs w:val="32"/>
          <w:highlight w:val="none"/>
        </w:rPr>
        <w:fldChar w:fldCharType="begin"/>
      </w:r>
      <w:r>
        <w:rPr>
          <w:rFonts w:hint="eastAsia"/>
          <w:color w:val="auto"/>
          <w:sz w:val="32"/>
          <w:szCs w:val="32"/>
          <w:highlight w:val="none"/>
        </w:rPr>
        <w:instrText xml:space="preserve"> HYPERLINK \l _Toc14931 </w:instrText>
      </w:r>
      <w:r>
        <w:rPr>
          <w:rFonts w:hint="eastAsia"/>
          <w:color w:val="auto"/>
          <w:sz w:val="32"/>
          <w:szCs w:val="32"/>
          <w:highlight w:val="none"/>
        </w:rPr>
        <w:fldChar w:fldCharType="separate"/>
      </w:r>
      <w:r>
        <w:rPr>
          <w:rFonts w:hint="eastAsia" w:cs="宋体"/>
          <w:color w:val="auto"/>
          <w:sz w:val="32"/>
          <w:szCs w:val="32"/>
          <w:highlight w:val="none"/>
        </w:rPr>
        <w:t>第一章 招标公告</w:t>
      </w:r>
      <w:r>
        <w:rPr>
          <w:color w:val="auto"/>
          <w:sz w:val="32"/>
          <w:szCs w:val="32"/>
        </w:rPr>
        <w:tab/>
      </w:r>
      <w:r>
        <w:rPr>
          <w:color w:val="auto"/>
          <w:sz w:val="32"/>
          <w:szCs w:val="32"/>
        </w:rPr>
        <w:fldChar w:fldCharType="begin"/>
      </w:r>
      <w:r>
        <w:rPr>
          <w:color w:val="auto"/>
          <w:sz w:val="32"/>
          <w:szCs w:val="32"/>
        </w:rPr>
        <w:instrText xml:space="preserve"> PAGEREF _Toc14931 </w:instrText>
      </w:r>
      <w:r>
        <w:rPr>
          <w:color w:val="auto"/>
          <w:sz w:val="32"/>
          <w:szCs w:val="32"/>
        </w:rPr>
        <w:fldChar w:fldCharType="separate"/>
      </w:r>
      <w:r>
        <w:rPr>
          <w:color w:val="auto"/>
          <w:sz w:val="32"/>
          <w:szCs w:val="32"/>
        </w:rPr>
        <w:t>1</w:t>
      </w:r>
      <w:r>
        <w:rPr>
          <w:color w:val="auto"/>
          <w:sz w:val="32"/>
          <w:szCs w:val="32"/>
        </w:rPr>
        <w:fldChar w:fldCharType="end"/>
      </w:r>
      <w:r>
        <w:rPr>
          <w:rFonts w:hint="eastAsia"/>
          <w:color w:val="auto"/>
          <w:sz w:val="32"/>
          <w:szCs w:val="32"/>
          <w:highlight w:val="none"/>
        </w:rPr>
        <w:fldChar w:fldCharType="end"/>
      </w:r>
    </w:p>
    <w:p>
      <w:pPr>
        <w:pStyle w:val="27"/>
        <w:tabs>
          <w:tab w:val="right" w:leader="dot" w:pos="8306"/>
          <w:tab w:val="clear" w:pos="8296"/>
        </w:tabs>
        <w:rPr>
          <w:color w:val="auto"/>
          <w:sz w:val="32"/>
          <w:szCs w:val="32"/>
        </w:rPr>
      </w:pPr>
      <w:r>
        <w:rPr>
          <w:rFonts w:hint="eastAsia"/>
          <w:color w:val="auto"/>
          <w:sz w:val="32"/>
          <w:szCs w:val="32"/>
          <w:highlight w:val="none"/>
        </w:rPr>
        <w:fldChar w:fldCharType="begin"/>
      </w:r>
      <w:r>
        <w:rPr>
          <w:rFonts w:hint="eastAsia"/>
          <w:color w:val="auto"/>
          <w:sz w:val="32"/>
          <w:szCs w:val="32"/>
          <w:highlight w:val="none"/>
        </w:rPr>
        <w:instrText xml:space="preserve"> HYPERLINK \l _Toc22967 </w:instrText>
      </w:r>
      <w:r>
        <w:rPr>
          <w:rFonts w:hint="eastAsia"/>
          <w:color w:val="auto"/>
          <w:sz w:val="32"/>
          <w:szCs w:val="32"/>
          <w:highlight w:val="none"/>
        </w:rPr>
        <w:fldChar w:fldCharType="separate"/>
      </w:r>
      <w:r>
        <w:rPr>
          <w:rFonts w:hint="eastAsia" w:cs="宋体"/>
          <w:color w:val="auto"/>
          <w:sz w:val="32"/>
          <w:szCs w:val="32"/>
          <w:highlight w:val="none"/>
        </w:rPr>
        <w:t>第二章 项目需求说明</w:t>
      </w:r>
      <w:r>
        <w:rPr>
          <w:color w:val="auto"/>
          <w:sz w:val="32"/>
          <w:szCs w:val="32"/>
        </w:rPr>
        <w:tab/>
      </w:r>
      <w:r>
        <w:rPr>
          <w:color w:val="auto"/>
          <w:sz w:val="32"/>
          <w:szCs w:val="32"/>
        </w:rPr>
        <w:fldChar w:fldCharType="begin"/>
      </w:r>
      <w:r>
        <w:rPr>
          <w:color w:val="auto"/>
          <w:sz w:val="32"/>
          <w:szCs w:val="32"/>
        </w:rPr>
        <w:instrText xml:space="preserve"> PAGEREF _Toc22967 </w:instrText>
      </w:r>
      <w:r>
        <w:rPr>
          <w:color w:val="auto"/>
          <w:sz w:val="32"/>
          <w:szCs w:val="32"/>
        </w:rPr>
        <w:fldChar w:fldCharType="separate"/>
      </w:r>
      <w:r>
        <w:rPr>
          <w:color w:val="auto"/>
          <w:sz w:val="32"/>
          <w:szCs w:val="32"/>
        </w:rPr>
        <w:t>4</w:t>
      </w:r>
      <w:r>
        <w:rPr>
          <w:color w:val="auto"/>
          <w:sz w:val="32"/>
          <w:szCs w:val="32"/>
        </w:rPr>
        <w:fldChar w:fldCharType="end"/>
      </w:r>
      <w:r>
        <w:rPr>
          <w:rFonts w:hint="eastAsia"/>
          <w:color w:val="auto"/>
          <w:sz w:val="32"/>
          <w:szCs w:val="32"/>
          <w:highlight w:val="none"/>
        </w:rPr>
        <w:fldChar w:fldCharType="end"/>
      </w:r>
    </w:p>
    <w:p>
      <w:pPr>
        <w:pStyle w:val="27"/>
        <w:tabs>
          <w:tab w:val="right" w:leader="dot" w:pos="8306"/>
          <w:tab w:val="clear" w:pos="8296"/>
        </w:tabs>
        <w:rPr>
          <w:color w:val="auto"/>
          <w:sz w:val="32"/>
          <w:szCs w:val="32"/>
        </w:rPr>
      </w:pPr>
      <w:r>
        <w:rPr>
          <w:rFonts w:hint="eastAsia"/>
          <w:color w:val="auto"/>
          <w:sz w:val="32"/>
          <w:szCs w:val="32"/>
          <w:highlight w:val="none"/>
        </w:rPr>
        <w:fldChar w:fldCharType="begin"/>
      </w:r>
      <w:r>
        <w:rPr>
          <w:rFonts w:hint="eastAsia"/>
          <w:color w:val="auto"/>
          <w:sz w:val="32"/>
          <w:szCs w:val="32"/>
          <w:highlight w:val="none"/>
        </w:rPr>
        <w:instrText xml:space="preserve"> HYPERLINK \l _Toc25392 </w:instrText>
      </w:r>
      <w:r>
        <w:rPr>
          <w:rFonts w:hint="eastAsia"/>
          <w:color w:val="auto"/>
          <w:sz w:val="32"/>
          <w:szCs w:val="32"/>
          <w:highlight w:val="none"/>
        </w:rPr>
        <w:fldChar w:fldCharType="separate"/>
      </w:r>
      <w:r>
        <w:rPr>
          <w:rFonts w:hint="eastAsia" w:cs="宋体"/>
          <w:color w:val="auto"/>
          <w:sz w:val="32"/>
          <w:szCs w:val="32"/>
          <w:highlight w:val="none"/>
        </w:rPr>
        <w:t>第三章 投标人须知</w:t>
      </w:r>
      <w:r>
        <w:rPr>
          <w:color w:val="auto"/>
          <w:sz w:val="32"/>
          <w:szCs w:val="32"/>
        </w:rPr>
        <w:tab/>
      </w:r>
      <w:r>
        <w:rPr>
          <w:color w:val="auto"/>
          <w:sz w:val="32"/>
          <w:szCs w:val="32"/>
        </w:rPr>
        <w:fldChar w:fldCharType="begin"/>
      </w:r>
      <w:r>
        <w:rPr>
          <w:color w:val="auto"/>
          <w:sz w:val="32"/>
          <w:szCs w:val="32"/>
        </w:rPr>
        <w:instrText xml:space="preserve"> PAGEREF _Toc25392 </w:instrText>
      </w:r>
      <w:r>
        <w:rPr>
          <w:color w:val="auto"/>
          <w:sz w:val="32"/>
          <w:szCs w:val="32"/>
        </w:rPr>
        <w:fldChar w:fldCharType="separate"/>
      </w:r>
      <w:r>
        <w:rPr>
          <w:color w:val="auto"/>
          <w:sz w:val="32"/>
          <w:szCs w:val="32"/>
        </w:rPr>
        <w:t>36</w:t>
      </w:r>
      <w:r>
        <w:rPr>
          <w:color w:val="auto"/>
          <w:sz w:val="32"/>
          <w:szCs w:val="32"/>
        </w:rPr>
        <w:fldChar w:fldCharType="end"/>
      </w:r>
      <w:r>
        <w:rPr>
          <w:rFonts w:hint="eastAsia"/>
          <w:color w:val="auto"/>
          <w:sz w:val="32"/>
          <w:szCs w:val="32"/>
          <w:highlight w:val="none"/>
        </w:rPr>
        <w:fldChar w:fldCharType="end"/>
      </w:r>
    </w:p>
    <w:p>
      <w:pPr>
        <w:pStyle w:val="27"/>
        <w:tabs>
          <w:tab w:val="right" w:leader="dot" w:pos="8306"/>
          <w:tab w:val="clear" w:pos="8296"/>
        </w:tabs>
        <w:rPr>
          <w:color w:val="auto"/>
          <w:sz w:val="32"/>
          <w:szCs w:val="32"/>
        </w:rPr>
      </w:pPr>
      <w:r>
        <w:rPr>
          <w:rFonts w:hint="eastAsia"/>
          <w:color w:val="auto"/>
          <w:sz w:val="32"/>
          <w:szCs w:val="32"/>
          <w:highlight w:val="none"/>
        </w:rPr>
        <w:fldChar w:fldCharType="begin"/>
      </w:r>
      <w:r>
        <w:rPr>
          <w:rFonts w:hint="eastAsia"/>
          <w:color w:val="auto"/>
          <w:sz w:val="32"/>
          <w:szCs w:val="32"/>
          <w:highlight w:val="none"/>
        </w:rPr>
        <w:instrText xml:space="preserve"> HYPERLINK \l _Toc22886 </w:instrText>
      </w:r>
      <w:r>
        <w:rPr>
          <w:rFonts w:hint="eastAsia"/>
          <w:color w:val="auto"/>
          <w:sz w:val="32"/>
          <w:szCs w:val="32"/>
          <w:highlight w:val="none"/>
        </w:rPr>
        <w:fldChar w:fldCharType="separate"/>
      </w:r>
      <w:r>
        <w:rPr>
          <w:rFonts w:hint="eastAsia" w:cs="宋体"/>
          <w:color w:val="auto"/>
          <w:sz w:val="32"/>
          <w:szCs w:val="32"/>
          <w:highlight w:val="none"/>
        </w:rPr>
        <w:t>第四章 评标办法及评分标准</w:t>
      </w:r>
      <w:r>
        <w:rPr>
          <w:color w:val="auto"/>
          <w:sz w:val="32"/>
          <w:szCs w:val="32"/>
        </w:rPr>
        <w:tab/>
      </w:r>
      <w:r>
        <w:rPr>
          <w:color w:val="auto"/>
          <w:sz w:val="32"/>
          <w:szCs w:val="32"/>
        </w:rPr>
        <w:fldChar w:fldCharType="begin"/>
      </w:r>
      <w:r>
        <w:rPr>
          <w:color w:val="auto"/>
          <w:sz w:val="32"/>
          <w:szCs w:val="32"/>
        </w:rPr>
        <w:instrText xml:space="preserve"> PAGEREF _Toc22886 </w:instrText>
      </w:r>
      <w:r>
        <w:rPr>
          <w:color w:val="auto"/>
          <w:sz w:val="32"/>
          <w:szCs w:val="32"/>
        </w:rPr>
        <w:fldChar w:fldCharType="separate"/>
      </w:r>
      <w:r>
        <w:rPr>
          <w:color w:val="auto"/>
          <w:sz w:val="32"/>
          <w:szCs w:val="32"/>
        </w:rPr>
        <w:t>54</w:t>
      </w:r>
      <w:r>
        <w:rPr>
          <w:color w:val="auto"/>
          <w:sz w:val="32"/>
          <w:szCs w:val="32"/>
        </w:rPr>
        <w:fldChar w:fldCharType="end"/>
      </w:r>
      <w:r>
        <w:rPr>
          <w:rFonts w:hint="eastAsia"/>
          <w:color w:val="auto"/>
          <w:sz w:val="32"/>
          <w:szCs w:val="32"/>
          <w:highlight w:val="none"/>
        </w:rPr>
        <w:fldChar w:fldCharType="end"/>
      </w:r>
    </w:p>
    <w:p>
      <w:pPr>
        <w:pStyle w:val="27"/>
        <w:tabs>
          <w:tab w:val="right" w:leader="dot" w:pos="8306"/>
          <w:tab w:val="clear" w:pos="8296"/>
        </w:tabs>
        <w:rPr>
          <w:color w:val="auto"/>
          <w:sz w:val="32"/>
          <w:szCs w:val="32"/>
        </w:rPr>
      </w:pPr>
      <w:r>
        <w:rPr>
          <w:rFonts w:hint="eastAsia"/>
          <w:color w:val="auto"/>
          <w:sz w:val="32"/>
          <w:szCs w:val="32"/>
          <w:highlight w:val="none"/>
        </w:rPr>
        <w:fldChar w:fldCharType="begin"/>
      </w:r>
      <w:r>
        <w:rPr>
          <w:rFonts w:hint="eastAsia"/>
          <w:color w:val="auto"/>
          <w:sz w:val="32"/>
          <w:szCs w:val="32"/>
          <w:highlight w:val="none"/>
        </w:rPr>
        <w:instrText xml:space="preserve"> HYPERLINK \l _Toc9368 </w:instrText>
      </w:r>
      <w:r>
        <w:rPr>
          <w:rFonts w:hint="eastAsia"/>
          <w:color w:val="auto"/>
          <w:sz w:val="32"/>
          <w:szCs w:val="32"/>
          <w:highlight w:val="none"/>
        </w:rPr>
        <w:fldChar w:fldCharType="separate"/>
      </w:r>
      <w:r>
        <w:rPr>
          <w:rFonts w:hint="eastAsia" w:cs="宋体"/>
          <w:color w:val="auto"/>
          <w:sz w:val="32"/>
          <w:szCs w:val="40"/>
          <w:highlight w:val="none"/>
        </w:rPr>
        <w:t>第五章 合同格式</w:t>
      </w:r>
      <w:r>
        <w:rPr>
          <w:color w:val="auto"/>
          <w:sz w:val="32"/>
          <w:szCs w:val="32"/>
        </w:rPr>
        <w:tab/>
      </w:r>
      <w:r>
        <w:rPr>
          <w:color w:val="auto"/>
          <w:sz w:val="32"/>
          <w:szCs w:val="32"/>
        </w:rPr>
        <w:fldChar w:fldCharType="begin"/>
      </w:r>
      <w:r>
        <w:rPr>
          <w:color w:val="auto"/>
          <w:sz w:val="32"/>
          <w:szCs w:val="32"/>
        </w:rPr>
        <w:instrText xml:space="preserve"> PAGEREF _Toc9368 </w:instrText>
      </w:r>
      <w:r>
        <w:rPr>
          <w:color w:val="auto"/>
          <w:sz w:val="32"/>
          <w:szCs w:val="32"/>
        </w:rPr>
        <w:fldChar w:fldCharType="separate"/>
      </w:r>
      <w:r>
        <w:rPr>
          <w:color w:val="auto"/>
          <w:sz w:val="32"/>
          <w:szCs w:val="32"/>
        </w:rPr>
        <w:t>56</w:t>
      </w:r>
      <w:r>
        <w:rPr>
          <w:color w:val="auto"/>
          <w:sz w:val="32"/>
          <w:szCs w:val="32"/>
        </w:rPr>
        <w:fldChar w:fldCharType="end"/>
      </w:r>
      <w:r>
        <w:rPr>
          <w:rFonts w:hint="eastAsia"/>
          <w:color w:val="auto"/>
          <w:sz w:val="32"/>
          <w:szCs w:val="32"/>
          <w:highlight w:val="none"/>
        </w:rPr>
        <w:fldChar w:fldCharType="end"/>
      </w:r>
    </w:p>
    <w:p>
      <w:pPr>
        <w:pStyle w:val="27"/>
        <w:tabs>
          <w:tab w:val="right" w:leader="dot" w:pos="8306"/>
          <w:tab w:val="clear" w:pos="8296"/>
        </w:tabs>
        <w:rPr>
          <w:color w:val="auto"/>
          <w:sz w:val="32"/>
          <w:szCs w:val="32"/>
        </w:rPr>
      </w:pPr>
      <w:r>
        <w:rPr>
          <w:rFonts w:hint="eastAsia"/>
          <w:color w:val="auto"/>
          <w:sz w:val="32"/>
          <w:szCs w:val="32"/>
          <w:highlight w:val="none"/>
        </w:rPr>
        <w:fldChar w:fldCharType="begin"/>
      </w:r>
      <w:r>
        <w:rPr>
          <w:rFonts w:hint="eastAsia"/>
          <w:color w:val="auto"/>
          <w:sz w:val="32"/>
          <w:szCs w:val="32"/>
          <w:highlight w:val="none"/>
        </w:rPr>
        <w:instrText xml:space="preserve"> HYPERLINK \l _Toc17612 </w:instrText>
      </w:r>
      <w:r>
        <w:rPr>
          <w:rFonts w:hint="eastAsia"/>
          <w:color w:val="auto"/>
          <w:sz w:val="32"/>
          <w:szCs w:val="32"/>
          <w:highlight w:val="none"/>
        </w:rPr>
        <w:fldChar w:fldCharType="separate"/>
      </w:r>
      <w:r>
        <w:rPr>
          <w:rFonts w:hint="eastAsia" w:cs="宋体"/>
          <w:color w:val="auto"/>
          <w:sz w:val="32"/>
          <w:szCs w:val="32"/>
          <w:highlight w:val="none"/>
        </w:rPr>
        <w:t>第六章 投标文件格式</w:t>
      </w:r>
      <w:r>
        <w:rPr>
          <w:color w:val="auto"/>
          <w:sz w:val="32"/>
          <w:szCs w:val="32"/>
        </w:rPr>
        <w:tab/>
      </w:r>
      <w:r>
        <w:rPr>
          <w:color w:val="auto"/>
          <w:sz w:val="32"/>
          <w:szCs w:val="32"/>
        </w:rPr>
        <w:fldChar w:fldCharType="begin"/>
      </w:r>
      <w:r>
        <w:rPr>
          <w:color w:val="auto"/>
          <w:sz w:val="32"/>
          <w:szCs w:val="32"/>
        </w:rPr>
        <w:instrText xml:space="preserve"> PAGEREF _Toc17612 </w:instrText>
      </w:r>
      <w:r>
        <w:rPr>
          <w:color w:val="auto"/>
          <w:sz w:val="32"/>
          <w:szCs w:val="32"/>
        </w:rPr>
        <w:fldChar w:fldCharType="separate"/>
      </w:r>
      <w:r>
        <w:rPr>
          <w:color w:val="auto"/>
          <w:sz w:val="32"/>
          <w:szCs w:val="32"/>
        </w:rPr>
        <w:t>62</w:t>
      </w:r>
      <w:r>
        <w:rPr>
          <w:color w:val="auto"/>
          <w:sz w:val="32"/>
          <w:szCs w:val="32"/>
        </w:rPr>
        <w:fldChar w:fldCharType="end"/>
      </w:r>
      <w:r>
        <w:rPr>
          <w:rFonts w:hint="eastAsia"/>
          <w:color w:val="auto"/>
          <w:sz w:val="32"/>
          <w:szCs w:val="32"/>
          <w:highlight w:val="none"/>
        </w:rPr>
        <w:fldChar w:fldCharType="end"/>
      </w:r>
    </w:p>
    <w:p>
      <w:pPr>
        <w:pStyle w:val="32"/>
        <w:tabs>
          <w:tab w:val="right" w:leader="dot" w:pos="8306"/>
          <w:tab w:val="clear" w:pos="8296"/>
        </w:tabs>
        <w:ind w:left="480"/>
        <w:jc w:val="center"/>
        <w:rPr>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hint="eastAsia"/>
          <w:color w:val="auto"/>
          <w:highlight w:val="none"/>
        </w:rPr>
        <w:fldChar w:fldCharType="end"/>
      </w:r>
    </w:p>
    <w:p>
      <w:pPr>
        <w:pStyle w:val="4"/>
        <w:rPr>
          <w:color w:val="auto"/>
          <w:highlight w:val="none"/>
        </w:rPr>
      </w:pPr>
      <w:bookmarkStart w:id="1" w:name="_Toc12653"/>
      <w:bookmarkStart w:id="2" w:name="_Toc14931"/>
      <w:bookmarkStart w:id="3" w:name="_Toc452457411"/>
      <w:r>
        <w:rPr>
          <w:rFonts w:hint="eastAsia" w:cs="宋体"/>
          <w:color w:val="auto"/>
          <w:highlight w:val="none"/>
        </w:rPr>
        <w:t>第一章 招标公告</w:t>
      </w:r>
      <w:bookmarkEnd w:id="1"/>
      <w:bookmarkEnd w:id="2"/>
    </w:p>
    <w:p>
      <w:pPr>
        <w:ind w:firstLine="480"/>
        <w:rPr>
          <w:color w:val="auto"/>
          <w:highlight w:val="none"/>
        </w:rPr>
      </w:pPr>
      <w:r>
        <w:rPr>
          <w:rFonts w:hint="eastAsia"/>
          <w:color w:val="auto"/>
          <w:highlight w:val="none"/>
        </w:rPr>
        <w:t>根据《中华人民共和国政府采购法》、《中华人民共和国政府采购法实施条例》和财政部令第87号《政府采购货物和服务招标投标管理办法》等有关规定，经省本级政府采购计划文书号：</w:t>
      </w:r>
      <w:r>
        <w:rPr>
          <w:rFonts w:hint="eastAsia"/>
          <w:color w:val="auto"/>
          <w:highlight w:val="none"/>
          <w:lang w:eastAsia="zh-CN"/>
        </w:rPr>
        <w:t>[2019]48761号、[2019]49787号</w:t>
      </w:r>
      <w:r>
        <w:rPr>
          <w:rFonts w:hint="eastAsia"/>
          <w:color w:val="auto"/>
          <w:highlight w:val="none"/>
        </w:rPr>
        <w:t>的批准</w:t>
      </w:r>
      <w:r>
        <w:rPr>
          <w:rFonts w:hint="eastAsia"/>
          <w:color w:val="auto"/>
          <w:highlight w:val="none"/>
        </w:rPr>
        <w:t>，浙江五石工程咨询有限公司受浙江中医药大学委托，就</w:t>
      </w:r>
      <w:r>
        <w:rPr>
          <w:rFonts w:hint="eastAsia"/>
          <w:color w:val="auto"/>
          <w:highlight w:val="none"/>
          <w:u w:val="single"/>
        </w:rPr>
        <w:t>医学科研中心仪器设备采购</w:t>
      </w:r>
      <w:r>
        <w:rPr>
          <w:rFonts w:hint="eastAsia"/>
          <w:color w:val="auto"/>
          <w:highlight w:val="none"/>
        </w:rPr>
        <w:t>进行公开招标采购，欢迎国内合格的供应商前来投标。具体如下：</w:t>
      </w:r>
    </w:p>
    <w:p>
      <w:pPr>
        <w:pStyle w:val="5"/>
        <w:rPr>
          <w:rFonts w:hint="eastAsia" w:ascii="宋体" w:hAnsi="宋体" w:eastAsia="宋体" w:cs="宋体"/>
          <w:color w:val="auto"/>
          <w:sz w:val="24"/>
          <w:szCs w:val="24"/>
          <w:highlight w:val="none"/>
          <w:lang w:eastAsia="zh-CN"/>
        </w:rPr>
      </w:pPr>
      <w:bookmarkStart w:id="4" w:name="_Toc29586"/>
      <w:bookmarkStart w:id="5" w:name="_Toc5584"/>
      <w:r>
        <w:rPr>
          <w:rStyle w:val="42"/>
          <w:rFonts w:hint="eastAsia" w:ascii="宋体" w:hAnsi="宋体" w:cs="宋体"/>
          <w:b/>
          <w:color w:val="auto"/>
          <w:sz w:val="24"/>
          <w:szCs w:val="24"/>
          <w:highlight w:val="none"/>
        </w:rPr>
        <w:t>一、招标编号：</w:t>
      </w:r>
      <w:bookmarkEnd w:id="4"/>
      <w:r>
        <w:rPr>
          <w:rFonts w:hint="eastAsia" w:ascii="宋体" w:hAnsi="宋体" w:cs="宋体"/>
          <w:color w:val="auto"/>
          <w:sz w:val="24"/>
          <w:szCs w:val="24"/>
          <w:highlight w:val="none"/>
          <w:lang w:eastAsia="zh-CN"/>
        </w:rPr>
        <w:t>ZJWSBJ-ZYY-201934G</w:t>
      </w:r>
      <w:bookmarkEnd w:id="5"/>
    </w:p>
    <w:p>
      <w:pPr>
        <w:pStyle w:val="5"/>
        <w:rPr>
          <w:rFonts w:ascii="宋体" w:hAnsi="宋体" w:cs="宋体"/>
          <w:color w:val="auto"/>
          <w:sz w:val="24"/>
          <w:szCs w:val="24"/>
          <w:highlight w:val="none"/>
        </w:rPr>
      </w:pPr>
      <w:bookmarkStart w:id="6" w:name="_Toc11203"/>
      <w:bookmarkStart w:id="7" w:name="_Toc21401"/>
      <w:r>
        <w:rPr>
          <w:rStyle w:val="42"/>
          <w:rFonts w:hint="eastAsia" w:ascii="宋体" w:hAnsi="宋体" w:cs="宋体"/>
          <w:b/>
          <w:color w:val="auto"/>
          <w:sz w:val="24"/>
          <w:szCs w:val="24"/>
          <w:highlight w:val="none"/>
        </w:rPr>
        <w:t>二、采购组织类型：</w:t>
      </w:r>
      <w:r>
        <w:rPr>
          <w:rFonts w:hint="eastAsia" w:ascii="宋体" w:hAnsi="宋体" w:cs="宋体"/>
          <w:color w:val="auto"/>
          <w:sz w:val="24"/>
          <w:szCs w:val="24"/>
          <w:highlight w:val="none"/>
        </w:rPr>
        <w:t>分散采购</w:t>
      </w:r>
      <w:bookmarkEnd w:id="6"/>
      <w:bookmarkEnd w:id="7"/>
    </w:p>
    <w:p>
      <w:pPr>
        <w:pStyle w:val="5"/>
        <w:rPr>
          <w:rFonts w:ascii="宋体" w:hAnsi="宋体" w:cs="宋体"/>
          <w:color w:val="auto"/>
          <w:sz w:val="24"/>
          <w:szCs w:val="24"/>
          <w:highlight w:val="none"/>
        </w:rPr>
      </w:pPr>
      <w:bookmarkStart w:id="8" w:name="_Toc5262"/>
      <w:bookmarkStart w:id="9" w:name="_Toc561"/>
      <w:r>
        <w:rPr>
          <w:rStyle w:val="42"/>
          <w:rFonts w:hint="eastAsia" w:ascii="宋体" w:hAnsi="宋体" w:cs="宋体"/>
          <w:b/>
          <w:color w:val="auto"/>
          <w:sz w:val="24"/>
          <w:szCs w:val="24"/>
          <w:highlight w:val="none"/>
        </w:rPr>
        <w:t>三、项目概况</w:t>
      </w:r>
      <w:bookmarkEnd w:id="8"/>
      <w:bookmarkEnd w:id="9"/>
    </w:p>
    <w:tbl>
      <w:tblPr>
        <w:tblStyle w:val="39"/>
        <w:tblW w:w="9712" w:type="dxa"/>
        <w:tblInd w:w="0" w:type="dxa"/>
        <w:tblLayout w:type="fixed"/>
        <w:tblCellMar>
          <w:top w:w="15" w:type="dxa"/>
          <w:left w:w="15" w:type="dxa"/>
          <w:bottom w:w="15" w:type="dxa"/>
          <w:right w:w="15" w:type="dxa"/>
        </w:tblCellMar>
      </w:tblPr>
      <w:tblGrid>
        <w:gridCol w:w="681"/>
        <w:gridCol w:w="1798"/>
        <w:gridCol w:w="1920"/>
        <w:gridCol w:w="1274"/>
        <w:gridCol w:w="1534"/>
        <w:gridCol w:w="1539"/>
        <w:gridCol w:w="966"/>
      </w:tblGrid>
      <w:tr>
        <w:tblPrEx>
          <w:tblLayout w:type="fixed"/>
          <w:tblCellMar>
            <w:top w:w="15" w:type="dxa"/>
            <w:left w:w="15" w:type="dxa"/>
            <w:bottom w:w="15" w:type="dxa"/>
            <w:right w:w="15"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标项</w:t>
            </w:r>
          </w:p>
        </w:tc>
        <w:tc>
          <w:tcPr>
            <w:tcW w:w="17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标项名称</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项目编号</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数量</w:t>
            </w:r>
          </w:p>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sz w:val="22"/>
                <w:szCs w:val="22"/>
                <w:highlight w:val="none"/>
              </w:rPr>
              <w:t>（单位</w:t>
            </w:r>
            <w:r>
              <w:rPr>
                <w:rFonts w:hint="eastAsia" w:ascii="宋体" w:hAnsi="宋体" w:cs="宋体"/>
                <w:color w:val="auto"/>
                <w:kern w:val="0"/>
                <w:highlight w:val="none"/>
              </w:rPr>
              <w:t>）</w:t>
            </w:r>
          </w:p>
        </w:tc>
        <w:tc>
          <w:tcPr>
            <w:tcW w:w="153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采购需求</w:t>
            </w:r>
          </w:p>
        </w:tc>
        <w:tc>
          <w:tcPr>
            <w:tcW w:w="15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color w:val="auto"/>
                <w:highlight w:val="none"/>
              </w:rPr>
            </w:pPr>
            <w:r>
              <w:rPr>
                <w:rFonts w:hint="eastAsia" w:ascii="宋体" w:hAnsi="宋体" w:cs="宋体"/>
                <w:color w:val="auto"/>
                <w:kern w:val="0"/>
                <w:highlight w:val="none"/>
              </w:rPr>
              <w:t>预算金额(万元)</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备注</w:t>
            </w:r>
          </w:p>
        </w:tc>
      </w:tr>
      <w:tr>
        <w:tblPrEx>
          <w:tblLayout w:type="fixed"/>
          <w:tblCellMar>
            <w:top w:w="15" w:type="dxa"/>
            <w:left w:w="15" w:type="dxa"/>
            <w:bottom w:w="15" w:type="dxa"/>
            <w:right w:w="15" w:type="dxa"/>
          </w:tblCellMar>
        </w:tblPrEx>
        <w:trPr>
          <w:trHeight w:val="1053" w:hRule="atLeast"/>
        </w:trPr>
        <w:tc>
          <w:tcPr>
            <w:tcW w:w="6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rPr>
              <w:t>1</w:t>
            </w:r>
          </w:p>
        </w:tc>
        <w:tc>
          <w:tcPr>
            <w:tcW w:w="17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超高效液相色谱仪等</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lang w:eastAsia="zh-CN"/>
              </w:rPr>
              <w:t>ZJWSBJ-ZYY-201934G</w:t>
            </w:r>
            <w:r>
              <w:rPr>
                <w:rFonts w:hint="eastAsia" w:ascii="宋体" w:hAnsi="宋体" w:cs="宋体"/>
                <w:color w:val="auto"/>
                <w:kern w:val="0"/>
                <w:highlight w:val="none"/>
              </w:rPr>
              <w:t>-1</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1批</w:t>
            </w:r>
          </w:p>
        </w:tc>
        <w:tc>
          <w:tcPr>
            <w:tcW w:w="1534" w:type="dxa"/>
            <w:vMerge w:val="restart"/>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color w:val="auto"/>
                <w:highlight w:val="none"/>
              </w:rPr>
            </w:pPr>
            <w:r>
              <w:rPr>
                <w:rFonts w:hint="eastAsia" w:ascii="宋体" w:hAnsi="宋体" w:cs="宋体"/>
                <w:color w:val="auto"/>
                <w:highlight w:val="none"/>
              </w:rPr>
              <w:t>详见采购文件需求部分</w:t>
            </w:r>
          </w:p>
        </w:tc>
        <w:tc>
          <w:tcPr>
            <w:tcW w:w="15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110</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允许进口</w:t>
            </w:r>
          </w:p>
        </w:tc>
      </w:tr>
      <w:tr>
        <w:tblPrEx>
          <w:tblLayout w:type="fixed"/>
          <w:tblCellMar>
            <w:top w:w="15" w:type="dxa"/>
            <w:left w:w="15" w:type="dxa"/>
            <w:bottom w:w="15" w:type="dxa"/>
            <w:right w:w="15"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17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电镜COMS等</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lang w:eastAsia="zh-CN"/>
              </w:rPr>
              <w:t>ZJWSBJ-ZYY-201934G</w:t>
            </w:r>
            <w:r>
              <w:rPr>
                <w:rFonts w:hint="eastAsia" w:ascii="宋体" w:hAnsi="宋体" w:cs="宋体"/>
                <w:color w:val="auto"/>
                <w:kern w:val="0"/>
                <w:highlight w:val="none"/>
              </w:rPr>
              <w:t>-2</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1批</w:t>
            </w:r>
          </w:p>
        </w:tc>
        <w:tc>
          <w:tcPr>
            <w:tcW w:w="1534" w:type="dxa"/>
            <w:vMerge w:val="continue"/>
            <w:tcBorders>
              <w:left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color w:val="auto"/>
                <w:highlight w:val="none"/>
              </w:rPr>
            </w:pPr>
          </w:p>
        </w:tc>
        <w:tc>
          <w:tcPr>
            <w:tcW w:w="15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123.6</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允许进口</w:t>
            </w:r>
          </w:p>
        </w:tc>
      </w:tr>
      <w:tr>
        <w:tblPrEx>
          <w:tblLayout w:type="fixed"/>
          <w:tblCellMar>
            <w:top w:w="15" w:type="dxa"/>
            <w:left w:w="15" w:type="dxa"/>
            <w:bottom w:w="15" w:type="dxa"/>
            <w:right w:w="15"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3</w:t>
            </w:r>
          </w:p>
        </w:tc>
        <w:tc>
          <w:tcPr>
            <w:tcW w:w="17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激光共聚焦拉曼</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lang w:eastAsia="zh-CN"/>
              </w:rPr>
              <w:t>ZJWSBJ-ZYY-201934G</w:t>
            </w:r>
            <w:r>
              <w:rPr>
                <w:rFonts w:hint="eastAsia" w:ascii="宋体" w:hAnsi="宋体" w:cs="宋体"/>
                <w:color w:val="auto"/>
                <w:kern w:val="0"/>
                <w:highlight w:val="none"/>
              </w:rPr>
              <w:t>-3</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1套</w:t>
            </w:r>
          </w:p>
        </w:tc>
        <w:tc>
          <w:tcPr>
            <w:tcW w:w="1534" w:type="dxa"/>
            <w:vMerge w:val="continue"/>
            <w:tcBorders>
              <w:left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color w:val="auto"/>
                <w:highlight w:val="none"/>
              </w:rPr>
            </w:pPr>
          </w:p>
        </w:tc>
        <w:tc>
          <w:tcPr>
            <w:tcW w:w="15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150</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允许进口</w:t>
            </w:r>
          </w:p>
        </w:tc>
      </w:tr>
      <w:tr>
        <w:tblPrEx>
          <w:tblLayout w:type="fixed"/>
          <w:tblCellMar>
            <w:top w:w="15" w:type="dxa"/>
            <w:left w:w="15" w:type="dxa"/>
            <w:bottom w:w="15" w:type="dxa"/>
            <w:right w:w="15"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4</w:t>
            </w:r>
          </w:p>
        </w:tc>
        <w:tc>
          <w:tcPr>
            <w:tcW w:w="17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人工智能病理辅助诊断系统等</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lang w:eastAsia="zh-CN"/>
              </w:rPr>
              <w:t>ZJWSBJ-ZYY-201934G</w:t>
            </w:r>
            <w:r>
              <w:rPr>
                <w:rFonts w:hint="eastAsia" w:ascii="宋体" w:hAnsi="宋体" w:cs="宋体"/>
                <w:color w:val="auto"/>
                <w:kern w:val="0"/>
                <w:highlight w:val="none"/>
              </w:rPr>
              <w:t>-4</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1批</w:t>
            </w:r>
          </w:p>
        </w:tc>
        <w:tc>
          <w:tcPr>
            <w:tcW w:w="1534" w:type="dxa"/>
            <w:vMerge w:val="continue"/>
            <w:tcBorders>
              <w:left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color w:val="auto"/>
                <w:highlight w:val="none"/>
              </w:rPr>
            </w:pPr>
          </w:p>
        </w:tc>
        <w:tc>
          <w:tcPr>
            <w:tcW w:w="15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108.76</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进口+国产</w:t>
            </w:r>
          </w:p>
        </w:tc>
      </w:tr>
      <w:tr>
        <w:tblPrEx>
          <w:tblLayout w:type="fixed"/>
          <w:tblCellMar>
            <w:top w:w="15" w:type="dxa"/>
            <w:left w:w="15" w:type="dxa"/>
            <w:bottom w:w="15" w:type="dxa"/>
            <w:right w:w="15"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5</w:t>
            </w:r>
          </w:p>
        </w:tc>
        <w:tc>
          <w:tcPr>
            <w:tcW w:w="17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色散型X射线荧光分析仪等</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lang w:eastAsia="zh-CN"/>
              </w:rPr>
              <w:t>ZJWSBJ-ZYY-201934G</w:t>
            </w:r>
            <w:r>
              <w:rPr>
                <w:rFonts w:hint="eastAsia" w:ascii="宋体" w:hAnsi="宋体" w:cs="宋体"/>
                <w:color w:val="auto"/>
                <w:kern w:val="0"/>
                <w:highlight w:val="none"/>
              </w:rPr>
              <w:t>-5</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1批</w:t>
            </w:r>
          </w:p>
        </w:tc>
        <w:tc>
          <w:tcPr>
            <w:tcW w:w="1534" w:type="dxa"/>
            <w:vMerge w:val="continue"/>
            <w:tcBorders>
              <w:left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color w:val="auto"/>
                <w:highlight w:val="none"/>
              </w:rPr>
            </w:pPr>
          </w:p>
        </w:tc>
        <w:tc>
          <w:tcPr>
            <w:tcW w:w="15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99.8</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进口+国产</w:t>
            </w:r>
          </w:p>
        </w:tc>
      </w:tr>
      <w:tr>
        <w:tblPrEx>
          <w:tblLayout w:type="fixed"/>
          <w:tblCellMar>
            <w:top w:w="15" w:type="dxa"/>
            <w:left w:w="15" w:type="dxa"/>
            <w:bottom w:w="15" w:type="dxa"/>
            <w:right w:w="15"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6</w:t>
            </w:r>
          </w:p>
        </w:tc>
        <w:tc>
          <w:tcPr>
            <w:tcW w:w="17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原子吸收光谱仪</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lang w:eastAsia="zh-CN"/>
              </w:rPr>
              <w:t>ZJWSBJ-ZYY-201934G</w:t>
            </w:r>
            <w:r>
              <w:rPr>
                <w:rFonts w:hint="eastAsia" w:ascii="宋体" w:hAnsi="宋体" w:cs="宋体"/>
                <w:color w:val="auto"/>
                <w:kern w:val="0"/>
                <w:highlight w:val="none"/>
              </w:rPr>
              <w:t>-6</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1套</w:t>
            </w:r>
          </w:p>
        </w:tc>
        <w:tc>
          <w:tcPr>
            <w:tcW w:w="1534" w:type="dxa"/>
            <w:vMerge w:val="continue"/>
            <w:tcBorders>
              <w:left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color w:val="auto"/>
                <w:highlight w:val="none"/>
              </w:rPr>
            </w:pPr>
          </w:p>
        </w:tc>
        <w:tc>
          <w:tcPr>
            <w:tcW w:w="15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41</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允许进口</w:t>
            </w:r>
          </w:p>
        </w:tc>
      </w:tr>
      <w:tr>
        <w:tblPrEx>
          <w:tblLayout w:type="fixed"/>
          <w:tblCellMar>
            <w:top w:w="15" w:type="dxa"/>
            <w:left w:w="15" w:type="dxa"/>
            <w:bottom w:w="15" w:type="dxa"/>
            <w:right w:w="15"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7</w:t>
            </w:r>
          </w:p>
        </w:tc>
        <w:tc>
          <w:tcPr>
            <w:tcW w:w="179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半薄全自动切片机等</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kern w:val="0"/>
                <w:highlight w:val="none"/>
                <w:lang w:eastAsia="zh-CN"/>
              </w:rPr>
              <w:t>ZJWSBJ-ZYY-201934G</w:t>
            </w:r>
            <w:r>
              <w:rPr>
                <w:rFonts w:hint="eastAsia" w:ascii="宋体" w:hAnsi="宋体" w:cs="宋体"/>
                <w:color w:val="auto"/>
                <w:kern w:val="0"/>
                <w:highlight w:val="none"/>
              </w:rPr>
              <w:t>-7</w:t>
            </w:r>
          </w:p>
        </w:tc>
        <w:tc>
          <w:tcPr>
            <w:tcW w:w="12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1批</w:t>
            </w:r>
          </w:p>
        </w:tc>
        <w:tc>
          <w:tcPr>
            <w:tcW w:w="1534" w:type="dxa"/>
            <w:vMerge w:val="continue"/>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rPr>
                <w:rFonts w:ascii="宋体" w:hAnsi="宋体" w:cs="宋体"/>
                <w:color w:val="auto"/>
                <w:highlight w:val="none"/>
              </w:rPr>
            </w:pPr>
          </w:p>
        </w:tc>
        <w:tc>
          <w:tcPr>
            <w:tcW w:w="153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kern w:val="0"/>
                <w:highlight w:val="none"/>
              </w:rPr>
            </w:pPr>
            <w:r>
              <w:rPr>
                <w:rFonts w:hint="eastAsia" w:ascii="宋体" w:hAnsi="宋体" w:cs="宋体"/>
                <w:color w:val="auto"/>
                <w:kern w:val="0"/>
                <w:highlight w:val="none"/>
              </w:rPr>
              <w:t>115.41</w:t>
            </w:r>
          </w:p>
        </w:tc>
        <w:tc>
          <w:tcPr>
            <w:tcW w:w="966"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允许进口</w:t>
            </w:r>
          </w:p>
        </w:tc>
      </w:tr>
    </w:tbl>
    <w:p>
      <w:pPr>
        <w:pStyle w:val="5"/>
        <w:rPr>
          <w:rFonts w:ascii="宋体" w:hAnsi="宋体" w:cs="宋体"/>
          <w:color w:val="auto"/>
          <w:sz w:val="24"/>
          <w:szCs w:val="24"/>
          <w:highlight w:val="none"/>
        </w:rPr>
      </w:pPr>
      <w:bookmarkStart w:id="10" w:name="_Toc24393"/>
      <w:bookmarkStart w:id="11" w:name="_Toc29819"/>
      <w:r>
        <w:rPr>
          <w:rStyle w:val="42"/>
          <w:rFonts w:hint="eastAsia" w:ascii="宋体" w:hAnsi="宋体" w:cs="宋体"/>
          <w:b/>
          <w:color w:val="auto"/>
          <w:sz w:val="24"/>
          <w:szCs w:val="24"/>
          <w:highlight w:val="none"/>
        </w:rPr>
        <w:t>四、投标人资格要求:</w:t>
      </w:r>
      <w:bookmarkEnd w:id="10"/>
      <w:bookmarkEnd w:id="11"/>
    </w:p>
    <w:p>
      <w:pPr>
        <w:pStyle w:val="6"/>
        <w:ind w:firstLine="241" w:firstLineChars="100"/>
        <w:rPr>
          <w:rFonts w:ascii="宋体" w:hAnsi="宋体" w:cs="宋体"/>
          <w:b w:val="0"/>
          <w:color w:val="auto"/>
          <w:kern w:val="0"/>
          <w:highlight w:val="none"/>
        </w:rPr>
      </w:pPr>
      <w:r>
        <w:rPr>
          <w:rFonts w:hint="eastAsia" w:ascii="宋体" w:hAnsi="宋体" w:cs="宋体"/>
          <w:color w:val="auto"/>
          <w:highlight w:val="none"/>
        </w:rPr>
        <w:t xml:space="preserve">（一）基本资格要求 </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1.符合《中华人民共和国政府采购法》第二十二条第一款的规定。</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3.单位负责人为同一人或者存在直接控股、管理关系的不同供应商，不得参加同一合同项下的政府采购活动。</w:t>
      </w:r>
    </w:p>
    <w:p>
      <w:pPr>
        <w:pStyle w:val="6"/>
        <w:ind w:firstLine="241" w:firstLineChars="100"/>
        <w:rPr>
          <w:color w:val="auto"/>
          <w:highlight w:val="none"/>
        </w:rPr>
      </w:pPr>
      <w:r>
        <w:rPr>
          <w:rFonts w:hint="eastAsia" w:ascii="宋体" w:hAnsi="宋体" w:cs="宋体"/>
          <w:color w:val="auto"/>
          <w:highlight w:val="none"/>
        </w:rPr>
        <w:t>（二）特定资格要求：无。</w:t>
      </w:r>
    </w:p>
    <w:p>
      <w:pPr>
        <w:pStyle w:val="6"/>
        <w:ind w:firstLine="241" w:firstLineChars="100"/>
        <w:rPr>
          <w:rFonts w:ascii="Arial" w:hAnsi="Arial" w:cs="Arial"/>
          <w:color w:val="auto"/>
          <w:kern w:val="0"/>
          <w:szCs w:val="21"/>
          <w:highlight w:val="none"/>
        </w:rPr>
      </w:pPr>
      <w:r>
        <w:rPr>
          <w:rFonts w:hint="eastAsia" w:ascii="宋体" w:hAnsi="宋体" w:cs="宋体"/>
          <w:color w:val="auto"/>
          <w:highlight w:val="none"/>
        </w:rPr>
        <w:t>（三）本项目不接受联合体投标</w:t>
      </w:r>
      <w:r>
        <w:rPr>
          <w:rFonts w:hint="eastAsia" w:ascii="Arial" w:hAnsi="Arial" w:cs="Arial"/>
          <w:color w:val="auto"/>
          <w:kern w:val="0"/>
          <w:szCs w:val="21"/>
          <w:highlight w:val="none"/>
        </w:rPr>
        <w:t>。</w:t>
      </w:r>
    </w:p>
    <w:p>
      <w:pPr>
        <w:pStyle w:val="36"/>
        <w:spacing w:before="75" w:beforeAutospacing="0" w:after="75" w:afterAutospacing="0" w:line="360" w:lineRule="auto"/>
        <w:rPr>
          <w:rFonts w:cs="宋体"/>
          <w:color w:val="auto"/>
          <w:highlight w:val="none"/>
        </w:rPr>
      </w:pPr>
      <w:r>
        <w:rPr>
          <w:rStyle w:val="42"/>
          <w:rFonts w:hint="eastAsia" w:cs="宋体"/>
          <w:color w:val="auto"/>
          <w:highlight w:val="none"/>
        </w:rPr>
        <w:t>五、</w:t>
      </w:r>
      <w:r>
        <w:rPr>
          <w:rStyle w:val="42"/>
          <w:rFonts w:hint="eastAsia" w:cs="宋体"/>
          <w:bCs/>
          <w:color w:val="auto"/>
          <w:kern w:val="2"/>
          <w:highlight w:val="none"/>
        </w:rPr>
        <w:t>获取招标文件的时间期限、地点、方式及招标文件售价</w:t>
      </w:r>
    </w:p>
    <w:p>
      <w:pPr>
        <w:ind w:firstLine="482"/>
        <w:rPr>
          <w:rFonts w:ascii="宋体" w:hAnsi="宋体" w:cs="宋体"/>
          <w:color w:val="auto"/>
          <w:highlight w:val="none"/>
        </w:rPr>
      </w:pPr>
      <w:r>
        <w:rPr>
          <w:rStyle w:val="42"/>
          <w:rFonts w:hint="eastAsia" w:ascii="宋体" w:hAnsi="宋体" w:cs="宋体"/>
          <w:color w:val="auto"/>
          <w:highlight w:val="none"/>
        </w:rPr>
        <w:t>1.</w:t>
      </w:r>
      <w:r>
        <w:rPr>
          <w:rStyle w:val="42"/>
          <w:rFonts w:hint="eastAsia" w:ascii="宋体" w:hAnsi="宋体" w:cs="宋体"/>
          <w:bCs/>
          <w:color w:val="auto"/>
          <w:highlight w:val="none"/>
        </w:rPr>
        <w:t>时间期限：</w:t>
      </w:r>
      <w:r>
        <w:rPr>
          <w:rFonts w:hint="eastAsia" w:ascii="宋体" w:hAnsi="宋体" w:cs="宋体"/>
          <w:color w:val="auto"/>
          <w:highlight w:val="none"/>
        </w:rPr>
        <w:t>2019-</w:t>
      </w:r>
      <w:r>
        <w:rPr>
          <w:rFonts w:hint="eastAsia" w:ascii="宋体" w:hAnsi="宋体" w:cs="宋体"/>
          <w:color w:val="auto"/>
          <w:highlight w:val="none"/>
          <w:lang w:val="en-US" w:eastAsia="zh-CN"/>
        </w:rPr>
        <w:t>09</w:t>
      </w:r>
      <w:r>
        <w:rPr>
          <w:rFonts w:hint="eastAsia" w:ascii="宋体" w:hAnsi="宋体" w:cs="宋体"/>
          <w:color w:val="auto"/>
          <w:highlight w:val="none"/>
        </w:rPr>
        <w:t>-</w:t>
      </w:r>
      <w:r>
        <w:rPr>
          <w:rFonts w:hint="eastAsia" w:ascii="宋体" w:hAnsi="宋体" w:cs="宋体"/>
          <w:color w:val="auto"/>
          <w:highlight w:val="none"/>
          <w:lang w:val="en-US" w:eastAsia="zh-CN"/>
        </w:rPr>
        <w:t>30</w:t>
      </w:r>
      <w:r>
        <w:rPr>
          <w:rFonts w:hint="eastAsia" w:ascii="宋体" w:hAnsi="宋体" w:cs="宋体"/>
          <w:color w:val="auto"/>
          <w:highlight w:val="none"/>
        </w:rPr>
        <w:t>至2019-</w:t>
      </w:r>
      <w:r>
        <w:rPr>
          <w:rFonts w:hint="eastAsia" w:ascii="宋体" w:hAnsi="宋体" w:cs="宋体"/>
          <w:color w:val="auto"/>
          <w:highlight w:val="none"/>
          <w:lang w:val="en-US" w:eastAsia="zh-CN"/>
        </w:rPr>
        <w:t>10</w:t>
      </w:r>
      <w:r>
        <w:rPr>
          <w:rFonts w:hint="eastAsia" w:ascii="宋体" w:hAnsi="宋体" w:cs="宋体"/>
          <w:color w:val="auto"/>
          <w:highlight w:val="none"/>
        </w:rPr>
        <w:t>-</w:t>
      </w:r>
      <w:r>
        <w:rPr>
          <w:rFonts w:hint="eastAsia" w:ascii="宋体" w:hAnsi="宋体" w:cs="宋体"/>
          <w:color w:val="auto"/>
          <w:highlight w:val="none"/>
          <w:lang w:val="en-US" w:eastAsia="zh-CN"/>
        </w:rPr>
        <w:t>12</w:t>
      </w:r>
      <w:r>
        <w:rPr>
          <w:rFonts w:hint="eastAsia" w:ascii="宋体" w:hAnsi="宋体" w:cs="宋体"/>
          <w:color w:val="auto"/>
          <w:highlight w:val="none"/>
        </w:rPr>
        <w:t>（上午：09:00-11:30；下午：13:30-16:30）</w:t>
      </w:r>
    </w:p>
    <w:p>
      <w:pPr>
        <w:ind w:firstLine="482"/>
        <w:rPr>
          <w:rFonts w:ascii="宋体" w:hAnsi="宋体" w:cs="宋体"/>
          <w:color w:val="auto"/>
          <w:highlight w:val="none"/>
        </w:rPr>
      </w:pPr>
      <w:r>
        <w:rPr>
          <w:rStyle w:val="42"/>
          <w:rFonts w:hint="eastAsia" w:ascii="宋体" w:hAnsi="宋体" w:cs="宋体"/>
          <w:color w:val="auto"/>
          <w:highlight w:val="none"/>
        </w:rPr>
        <w:t>2．地点：</w:t>
      </w:r>
      <w:r>
        <w:rPr>
          <w:rFonts w:hint="eastAsia" w:ascii="宋体" w:hAnsi="宋体" w:cs="宋体"/>
          <w:color w:val="auto"/>
          <w:highlight w:val="none"/>
        </w:rPr>
        <w:t xml:space="preserve"> 浙江五石工程咨询有限公司（杭州市滨江区东方通信科技园启迪楼1207室）</w:t>
      </w:r>
    </w:p>
    <w:p>
      <w:pPr>
        <w:ind w:firstLine="482"/>
        <w:rPr>
          <w:rFonts w:ascii="宋体" w:hAnsi="宋体" w:cs="宋体"/>
          <w:color w:val="auto"/>
          <w:highlight w:val="none"/>
        </w:rPr>
      </w:pPr>
      <w:r>
        <w:rPr>
          <w:rStyle w:val="42"/>
          <w:rFonts w:hint="eastAsia" w:ascii="宋体" w:hAnsi="宋体" w:cs="宋体"/>
          <w:color w:val="auto"/>
          <w:highlight w:val="none"/>
        </w:rPr>
        <w:t>3.方式：</w:t>
      </w:r>
      <w:r>
        <w:rPr>
          <w:rFonts w:hint="eastAsia" w:ascii="宋体" w:hAnsi="宋体" w:cs="宋体"/>
          <w:color w:val="auto"/>
          <w:highlight w:val="none"/>
        </w:rPr>
        <w:t>（1）现场报名：现场报名需携带报名资料，并现场交纳报名费。（2）网上报名：前往浙江五石工程咨询有限公司官网：</w:t>
      </w:r>
      <w:bookmarkStart w:id="154" w:name="_GoBack"/>
      <w:bookmarkEnd w:id="154"/>
      <w:r>
        <w:rPr>
          <w:rFonts w:hint="eastAsia" w:ascii="宋体" w:hAnsi="宋体" w:cs="宋体"/>
          <w:color w:val="auto"/>
          <w:highlight w:val="none"/>
        </w:rPr>
        <w:t>http://zjwsbidding.com/招投标专区进行报名（3）投标人报名时应提交的资料：</w:t>
      </w:r>
    </w:p>
    <w:p>
      <w:pPr>
        <w:ind w:firstLine="480"/>
        <w:rPr>
          <w:rFonts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ascii="宋体" w:hAnsi="宋体" w:cs="宋体"/>
          <w:color w:val="auto"/>
          <w:highlight w:val="none"/>
        </w:rPr>
      </w:pPr>
      <w:r>
        <w:rPr>
          <w:rFonts w:hint="eastAsia" w:ascii="宋体" w:hAnsi="宋体" w:cs="宋体"/>
          <w:color w:val="auto"/>
          <w:highlight w:val="none"/>
        </w:rPr>
        <w:t>2）受委托代理人身份证原件及复印件（加盖单位公章）；</w:t>
      </w:r>
    </w:p>
    <w:p>
      <w:pPr>
        <w:ind w:firstLine="480"/>
        <w:rPr>
          <w:rFonts w:ascii="宋体" w:hAnsi="宋体" w:cs="宋体"/>
          <w:color w:val="auto"/>
          <w:highlight w:val="none"/>
        </w:rPr>
      </w:pPr>
      <w:r>
        <w:rPr>
          <w:rFonts w:hint="eastAsia" w:ascii="宋体" w:hAnsi="宋体" w:cs="宋体"/>
          <w:color w:val="auto"/>
          <w:highlight w:val="none"/>
        </w:rPr>
        <w:t>3）法定代表人授权委托书原件；</w:t>
      </w:r>
    </w:p>
    <w:p>
      <w:pPr>
        <w:ind w:firstLine="480"/>
        <w:rPr>
          <w:rFonts w:ascii="宋体" w:hAnsi="宋体" w:cs="宋体"/>
          <w:color w:val="auto"/>
          <w:highlight w:val="none"/>
        </w:rPr>
      </w:pPr>
      <w:r>
        <w:rPr>
          <w:rFonts w:hint="eastAsia" w:ascii="宋体" w:hAnsi="宋体" w:cs="宋体"/>
          <w:color w:val="auto"/>
          <w:highlight w:val="none"/>
        </w:rPr>
        <w:t>4）供应商报名登记表；</w:t>
      </w:r>
    </w:p>
    <w:p>
      <w:pPr>
        <w:pStyle w:val="36"/>
        <w:spacing w:before="0" w:beforeAutospacing="0" w:after="0" w:afterAutospacing="0" w:line="360" w:lineRule="auto"/>
        <w:ind w:firstLine="480" w:firstLineChars="200"/>
        <w:rPr>
          <w:rStyle w:val="42"/>
          <w:rFonts w:cs="宋体"/>
          <w:b w:val="0"/>
          <w:color w:val="auto"/>
          <w:highlight w:val="none"/>
        </w:rPr>
      </w:pPr>
      <w:r>
        <w:rPr>
          <w:rFonts w:hint="eastAsia" w:cs="宋体"/>
          <w:color w:val="auto"/>
          <w:highlight w:val="none"/>
        </w:rPr>
        <w:t>5）提示：</w:t>
      </w:r>
      <w:r>
        <w:rPr>
          <w:rStyle w:val="42"/>
          <w:rFonts w:hint="eastAsia" w:cs="宋体"/>
          <w:b w:val="0"/>
          <w:color w:val="auto"/>
          <w:highlight w:val="none"/>
        </w:rPr>
        <w:t>投标人未按上述方式获取的招标文件与采购代理机构发布的招标文件不一致的，由其自行承担由此产生的后果。</w:t>
      </w:r>
    </w:p>
    <w:p>
      <w:pPr>
        <w:pStyle w:val="36"/>
        <w:spacing w:before="0" w:beforeAutospacing="0" w:after="0" w:afterAutospacing="0" w:line="360" w:lineRule="auto"/>
        <w:ind w:firstLine="480" w:firstLineChars="200"/>
        <w:rPr>
          <w:rStyle w:val="42"/>
          <w:rFonts w:cs="宋体"/>
          <w:b w:val="0"/>
          <w:color w:val="auto"/>
          <w:highlight w:val="none"/>
        </w:rPr>
      </w:pPr>
      <w:r>
        <w:rPr>
          <w:rStyle w:val="42"/>
          <w:rFonts w:hint="eastAsia" w:cs="宋体"/>
          <w:b w:val="0"/>
          <w:color w:val="auto"/>
          <w:highlight w:val="none"/>
        </w:rPr>
        <w:t>6）</w:t>
      </w:r>
      <w:r>
        <w:rPr>
          <w:rFonts w:hint="eastAsia" w:cs="宋体"/>
          <w:color w:val="auto"/>
          <w:szCs w:val="32"/>
          <w:highlight w:val="none"/>
        </w:rPr>
        <w:t>招标文件发售截止之后有潜在投标人提出要求获取招标文件的允许其获取，如对招标文件有质疑的应在规定质疑期限内提出。</w:t>
      </w:r>
    </w:p>
    <w:p>
      <w:pPr>
        <w:ind w:firstLine="482"/>
        <w:rPr>
          <w:rStyle w:val="42"/>
          <w:rFonts w:ascii="宋体" w:hAnsi="宋体" w:cs="宋体"/>
          <w:bCs/>
          <w:color w:val="auto"/>
          <w:highlight w:val="none"/>
        </w:rPr>
      </w:pPr>
      <w:r>
        <w:rPr>
          <w:rStyle w:val="42"/>
          <w:rFonts w:hint="eastAsia" w:ascii="宋体" w:hAnsi="宋体" w:cs="宋体"/>
          <w:bCs/>
          <w:color w:val="auto"/>
          <w:highlight w:val="none"/>
        </w:rPr>
        <w:t xml:space="preserve">4.招标文件售价：500元/标项（售后不退） </w:t>
      </w:r>
    </w:p>
    <w:p>
      <w:pPr>
        <w:pStyle w:val="36"/>
        <w:spacing w:before="75" w:beforeAutospacing="0" w:after="75" w:afterAutospacing="0" w:line="360" w:lineRule="auto"/>
        <w:rPr>
          <w:rStyle w:val="42"/>
          <w:rFonts w:cs="宋体"/>
          <w:color w:val="auto"/>
          <w:highlight w:val="none"/>
        </w:rPr>
      </w:pPr>
      <w:r>
        <w:rPr>
          <w:rStyle w:val="42"/>
          <w:rFonts w:hint="eastAsia" w:cs="宋体"/>
          <w:color w:val="auto"/>
          <w:highlight w:val="none"/>
        </w:rPr>
        <w:t>六、本项目招标文件公告期限为：</w:t>
      </w:r>
      <w:r>
        <w:rPr>
          <w:rStyle w:val="42"/>
          <w:rFonts w:hint="eastAsia" w:cs="宋体"/>
          <w:b w:val="0"/>
          <w:bCs/>
          <w:color w:val="auto"/>
          <w:highlight w:val="none"/>
        </w:rPr>
        <w:t>本公告发布之日起五个工作日。</w:t>
      </w:r>
    </w:p>
    <w:p>
      <w:pPr>
        <w:pStyle w:val="5"/>
        <w:rPr>
          <w:rFonts w:ascii="宋体" w:hAnsi="宋体" w:cs="宋体"/>
          <w:color w:val="auto"/>
          <w:kern w:val="0"/>
          <w:sz w:val="24"/>
          <w:szCs w:val="24"/>
          <w:highlight w:val="none"/>
          <w:shd w:val="clear" w:color="auto" w:fill="FFFFFF"/>
          <w:lang w:bidi="ar"/>
        </w:rPr>
      </w:pPr>
      <w:bookmarkStart w:id="12" w:name="_Toc1080"/>
      <w:bookmarkStart w:id="13" w:name="_Toc16792"/>
      <w:r>
        <w:rPr>
          <w:rStyle w:val="42"/>
          <w:rFonts w:hint="eastAsia" w:ascii="宋体" w:hAnsi="宋体" w:cs="宋体"/>
          <w:b/>
          <w:color w:val="auto"/>
          <w:sz w:val="24"/>
          <w:szCs w:val="24"/>
          <w:highlight w:val="none"/>
        </w:rPr>
        <w:t>七、</w:t>
      </w:r>
      <w:r>
        <w:rPr>
          <w:rFonts w:hint="eastAsia" w:ascii="宋体" w:hAnsi="宋体" w:cs="宋体"/>
          <w:color w:val="auto"/>
          <w:kern w:val="0"/>
          <w:sz w:val="24"/>
          <w:szCs w:val="24"/>
          <w:highlight w:val="none"/>
          <w:shd w:val="clear" w:color="auto" w:fill="FFFFFF"/>
          <w:lang w:bidi="ar"/>
        </w:rPr>
        <w:t>投标截止时间、开标时间及地点</w:t>
      </w:r>
      <w:bookmarkEnd w:id="12"/>
      <w:bookmarkEnd w:id="13"/>
    </w:p>
    <w:p>
      <w:pPr>
        <w:pStyle w:val="5"/>
        <w:ind w:firstLine="482" w:firstLineChars="200"/>
        <w:rPr>
          <w:rFonts w:ascii="宋体" w:hAnsi="宋体" w:cs="宋体"/>
          <w:b w:val="0"/>
          <w:bCs w:val="0"/>
          <w:color w:val="auto"/>
          <w:sz w:val="24"/>
          <w:szCs w:val="24"/>
          <w:highlight w:val="none"/>
        </w:rPr>
      </w:pPr>
      <w:bookmarkStart w:id="14" w:name="_Toc2231"/>
      <w:bookmarkStart w:id="15" w:name="_Toc21443"/>
      <w:r>
        <w:rPr>
          <w:rStyle w:val="42"/>
          <w:rFonts w:hint="eastAsia" w:ascii="宋体" w:hAnsi="宋体" w:cs="宋体"/>
          <w:b/>
          <w:color w:val="auto"/>
          <w:sz w:val="24"/>
          <w:szCs w:val="24"/>
          <w:highlight w:val="none"/>
        </w:rPr>
        <w:t>1.投标截止时间：</w:t>
      </w:r>
      <w:r>
        <w:rPr>
          <w:rFonts w:hint="eastAsia" w:ascii="宋体" w:hAnsi="宋体" w:cs="宋体"/>
          <w:color w:val="auto"/>
          <w:sz w:val="24"/>
          <w:szCs w:val="24"/>
          <w:highlight w:val="none"/>
        </w:rPr>
        <w:t xml:space="preserve"> </w:t>
      </w:r>
      <w:bookmarkEnd w:id="14"/>
      <w:r>
        <w:rPr>
          <w:rFonts w:hint="eastAsia" w:ascii="宋体" w:hAnsi="宋体" w:cs="宋体"/>
          <w:b w:val="0"/>
          <w:bCs w:val="0"/>
          <w:color w:val="auto"/>
          <w:sz w:val="24"/>
          <w:szCs w:val="24"/>
          <w:highlight w:val="none"/>
          <w:lang w:eastAsia="zh-CN"/>
        </w:rPr>
        <w:t>2019-10-22</w:t>
      </w:r>
      <w:r>
        <w:rPr>
          <w:rFonts w:hint="eastAsia" w:ascii="宋体" w:hAnsi="宋体" w:cs="宋体"/>
          <w:b w:val="0"/>
          <w:bCs w:val="0"/>
          <w:color w:val="auto"/>
          <w:sz w:val="24"/>
          <w:szCs w:val="24"/>
          <w:highlight w:val="none"/>
        </w:rPr>
        <w:t xml:space="preserve">  09:30:00</w:t>
      </w:r>
      <w:bookmarkEnd w:id="15"/>
    </w:p>
    <w:p>
      <w:pPr>
        <w:pStyle w:val="5"/>
        <w:ind w:firstLine="482" w:firstLineChars="200"/>
        <w:rPr>
          <w:rStyle w:val="42"/>
          <w:rFonts w:ascii="宋体" w:hAnsi="宋体" w:cs="宋体"/>
          <w:b w:val="0"/>
          <w:bCs w:val="0"/>
          <w:color w:val="auto"/>
          <w:sz w:val="24"/>
          <w:szCs w:val="24"/>
          <w:highlight w:val="none"/>
        </w:rPr>
      </w:pPr>
      <w:bookmarkStart w:id="16" w:name="_Toc22852"/>
      <w:bookmarkStart w:id="17" w:name="_Toc16496"/>
      <w:r>
        <w:rPr>
          <w:rStyle w:val="42"/>
          <w:rFonts w:hint="eastAsia" w:ascii="宋体" w:hAnsi="宋体" w:cs="宋体"/>
          <w:b/>
          <w:color w:val="auto"/>
          <w:sz w:val="24"/>
          <w:szCs w:val="24"/>
          <w:highlight w:val="none"/>
        </w:rPr>
        <w:t>2.开标时间：</w:t>
      </w:r>
      <w:r>
        <w:rPr>
          <w:rStyle w:val="42"/>
          <w:rFonts w:hint="eastAsia" w:ascii="宋体" w:hAnsi="宋体" w:cs="宋体"/>
          <w:b w:val="0"/>
          <w:bCs w:val="0"/>
          <w:color w:val="auto"/>
          <w:sz w:val="24"/>
          <w:szCs w:val="24"/>
          <w:highlight w:val="none"/>
        </w:rPr>
        <w:t xml:space="preserve"> </w:t>
      </w:r>
      <w:bookmarkEnd w:id="16"/>
      <w:r>
        <w:rPr>
          <w:rStyle w:val="42"/>
          <w:rFonts w:hint="eastAsia" w:ascii="宋体" w:hAnsi="宋体" w:cs="宋体"/>
          <w:b w:val="0"/>
          <w:bCs w:val="0"/>
          <w:color w:val="auto"/>
          <w:sz w:val="24"/>
          <w:szCs w:val="24"/>
          <w:highlight w:val="none"/>
          <w:lang w:eastAsia="zh-CN"/>
        </w:rPr>
        <w:t>2019-10-22</w:t>
      </w:r>
      <w:r>
        <w:rPr>
          <w:rStyle w:val="42"/>
          <w:rFonts w:hint="eastAsia" w:ascii="宋体" w:hAnsi="宋体" w:cs="宋体"/>
          <w:b w:val="0"/>
          <w:bCs w:val="0"/>
          <w:color w:val="auto"/>
          <w:sz w:val="24"/>
          <w:szCs w:val="24"/>
          <w:highlight w:val="none"/>
        </w:rPr>
        <w:t xml:space="preserve">  09:30:00</w:t>
      </w:r>
      <w:bookmarkEnd w:id="17"/>
    </w:p>
    <w:p>
      <w:pPr>
        <w:pStyle w:val="5"/>
        <w:ind w:firstLine="482" w:firstLineChars="200"/>
        <w:rPr>
          <w:rStyle w:val="42"/>
          <w:rFonts w:ascii="宋体" w:hAnsi="宋体" w:cs="宋体"/>
          <w:b w:val="0"/>
          <w:bCs w:val="0"/>
          <w:color w:val="auto"/>
          <w:sz w:val="24"/>
          <w:szCs w:val="24"/>
          <w:highlight w:val="none"/>
        </w:rPr>
      </w:pPr>
      <w:bookmarkStart w:id="18" w:name="_Toc26036"/>
      <w:bookmarkStart w:id="19" w:name="_Toc8652"/>
      <w:r>
        <w:rPr>
          <w:rStyle w:val="42"/>
          <w:rFonts w:hint="eastAsia" w:ascii="宋体" w:hAnsi="宋体" w:cs="宋体"/>
          <w:b/>
          <w:color w:val="auto"/>
          <w:sz w:val="24"/>
          <w:szCs w:val="24"/>
          <w:highlight w:val="none"/>
        </w:rPr>
        <w:t>3.开标地点：</w:t>
      </w:r>
      <w:bookmarkEnd w:id="18"/>
      <w:r>
        <w:rPr>
          <w:rStyle w:val="42"/>
          <w:rFonts w:hint="eastAsia" w:ascii="宋体" w:hAnsi="宋体" w:cs="宋体"/>
          <w:b/>
          <w:color w:val="auto"/>
          <w:sz w:val="24"/>
          <w:szCs w:val="24"/>
          <w:highlight w:val="none"/>
        </w:rPr>
        <w:t>杭州市滨江区</w:t>
      </w:r>
      <w:r>
        <w:rPr>
          <w:rStyle w:val="42"/>
          <w:rFonts w:hint="eastAsia" w:ascii="宋体" w:hAnsi="宋体" w:cs="宋体"/>
          <w:b/>
          <w:color w:val="auto"/>
          <w:sz w:val="24"/>
          <w:szCs w:val="24"/>
          <w:highlight w:val="none"/>
          <w:lang w:val="en-US" w:eastAsia="zh-CN"/>
        </w:rPr>
        <w:t>东信大道66号</w:t>
      </w:r>
      <w:r>
        <w:rPr>
          <w:rStyle w:val="42"/>
          <w:rFonts w:hint="eastAsia" w:ascii="宋体" w:hAnsi="宋体" w:cs="宋体"/>
          <w:b/>
          <w:color w:val="auto"/>
          <w:sz w:val="24"/>
          <w:szCs w:val="24"/>
          <w:highlight w:val="none"/>
        </w:rPr>
        <w:t>东方通信科技园启迪楼2楼会议室（2）</w:t>
      </w:r>
      <w:bookmarkEnd w:id="19"/>
    </w:p>
    <w:p>
      <w:pPr>
        <w:pStyle w:val="5"/>
        <w:rPr>
          <w:rFonts w:ascii="宋体" w:hAnsi="宋体" w:cs="宋体"/>
          <w:color w:val="auto"/>
          <w:sz w:val="24"/>
          <w:szCs w:val="24"/>
          <w:highlight w:val="none"/>
        </w:rPr>
      </w:pPr>
      <w:bookmarkStart w:id="20" w:name="_Toc15758"/>
      <w:bookmarkStart w:id="21" w:name="_Toc5315"/>
      <w:r>
        <w:rPr>
          <w:rStyle w:val="42"/>
          <w:rFonts w:hint="eastAsia" w:ascii="宋体" w:hAnsi="宋体" w:cs="宋体"/>
          <w:b/>
          <w:color w:val="auto"/>
          <w:sz w:val="24"/>
          <w:szCs w:val="24"/>
          <w:highlight w:val="none"/>
        </w:rPr>
        <w:t>八、投标保证金：无</w:t>
      </w:r>
      <w:bookmarkEnd w:id="20"/>
      <w:bookmarkEnd w:id="21"/>
    </w:p>
    <w:p>
      <w:pPr>
        <w:pStyle w:val="5"/>
        <w:rPr>
          <w:rFonts w:ascii="宋体" w:hAnsi="宋体" w:cs="宋体"/>
          <w:color w:val="auto"/>
          <w:sz w:val="24"/>
          <w:szCs w:val="24"/>
          <w:highlight w:val="none"/>
        </w:rPr>
      </w:pPr>
      <w:bookmarkStart w:id="22" w:name="_Toc6191"/>
      <w:bookmarkStart w:id="23" w:name="_Toc3884"/>
      <w:r>
        <w:rPr>
          <w:rStyle w:val="42"/>
          <w:rFonts w:hint="eastAsia" w:ascii="宋体" w:hAnsi="宋体" w:cs="宋体"/>
          <w:b/>
          <w:color w:val="auto"/>
          <w:sz w:val="24"/>
          <w:szCs w:val="24"/>
          <w:highlight w:val="none"/>
        </w:rPr>
        <w:t>九、其他事项：</w:t>
      </w:r>
      <w:bookmarkEnd w:id="22"/>
      <w:bookmarkEnd w:id="23"/>
    </w:p>
    <w:p>
      <w:pPr>
        <w:pStyle w:val="36"/>
        <w:spacing w:before="0" w:beforeAutospacing="0" w:after="0" w:afterAutospacing="0" w:line="360" w:lineRule="auto"/>
        <w:ind w:firstLine="334"/>
        <w:rPr>
          <w:rStyle w:val="42"/>
          <w:rFonts w:cs="宋体"/>
          <w:b w:val="0"/>
          <w:color w:val="auto"/>
          <w:kern w:val="2"/>
          <w:highlight w:val="none"/>
        </w:rPr>
      </w:pPr>
      <w:r>
        <w:rPr>
          <w:rStyle w:val="42"/>
          <w:rFonts w:hint="eastAsia" w:cs="宋体"/>
          <w:b w:val="0"/>
          <w:color w:val="auto"/>
          <w:kern w:val="2"/>
          <w:highlight w:val="none"/>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pStyle w:val="36"/>
        <w:spacing w:before="0" w:beforeAutospacing="0" w:after="0" w:afterAutospacing="0" w:line="360" w:lineRule="auto"/>
        <w:ind w:firstLine="334"/>
        <w:rPr>
          <w:rStyle w:val="42"/>
          <w:rFonts w:cs="宋体"/>
          <w:b w:val="0"/>
          <w:color w:val="auto"/>
          <w:highlight w:val="none"/>
        </w:rPr>
      </w:pPr>
      <w:r>
        <w:rPr>
          <w:rStyle w:val="42"/>
          <w:rFonts w:hint="eastAsia" w:cs="宋体"/>
          <w:b w:val="0"/>
          <w:color w:val="auto"/>
          <w:highlight w:val="none"/>
        </w:rPr>
        <w:t>2.</w:t>
      </w:r>
      <w:r>
        <w:rPr>
          <w:rFonts w:hint="eastAsia" w:cs="宋体"/>
          <w:color w:val="auto"/>
          <w:highlight w:val="none"/>
        </w:rPr>
        <w:t>供应商认为采购文件使自己的权益受到损害的，可以自收到采购文件之日（时间期限截止日之后收到采购文件的，以时间期限截止日为准）起7个工作日内且应当在投标截止时间之前，以书面形式一次性向采购人和采购代理机构提出同一环节的质疑。否则，被质疑人可不予接受。</w:t>
      </w:r>
      <w:r>
        <w:rPr>
          <w:rStyle w:val="42"/>
          <w:rFonts w:hint="eastAsia" w:cs="宋体"/>
          <w:b w:val="0"/>
          <w:color w:val="auto"/>
          <w:highlight w:val="none"/>
        </w:rPr>
        <w:t>质疑供应商对采购人、采购代理机构的答复不满意或者采购人、采购代理机构未在规定的时间内作出答复的，可以在答复期满后十五个工作日内向同级政府采购监督管理部门投诉。</w:t>
      </w:r>
    </w:p>
    <w:p>
      <w:pPr>
        <w:pStyle w:val="5"/>
        <w:rPr>
          <w:rFonts w:ascii="宋体" w:hAnsi="宋体" w:cs="宋体"/>
          <w:color w:val="auto"/>
          <w:sz w:val="24"/>
          <w:szCs w:val="24"/>
          <w:highlight w:val="none"/>
        </w:rPr>
      </w:pPr>
      <w:bookmarkStart w:id="24" w:name="_Toc5293"/>
      <w:bookmarkStart w:id="25" w:name="_Toc7350"/>
      <w:r>
        <w:rPr>
          <w:rStyle w:val="42"/>
          <w:rFonts w:hint="eastAsia" w:ascii="宋体" w:hAnsi="宋体" w:cs="宋体"/>
          <w:b/>
          <w:color w:val="auto"/>
          <w:sz w:val="24"/>
          <w:szCs w:val="24"/>
          <w:highlight w:val="none"/>
        </w:rPr>
        <w:t>十、联系方式</w:t>
      </w:r>
      <w:bookmarkEnd w:id="24"/>
      <w:bookmarkEnd w:id="25"/>
    </w:p>
    <w:p>
      <w:pPr>
        <w:ind w:firstLine="480"/>
        <w:rPr>
          <w:rFonts w:ascii="宋体" w:hAnsi="宋体"/>
          <w:color w:val="auto"/>
          <w:highlight w:val="none"/>
        </w:rPr>
      </w:pPr>
      <w:r>
        <w:rPr>
          <w:rFonts w:hint="eastAsia" w:ascii="宋体" w:hAnsi="宋体"/>
          <w:color w:val="auto"/>
          <w:kern w:val="0"/>
          <w:highlight w:val="none"/>
        </w:rPr>
        <w:t>1.采购人名称：</w:t>
      </w:r>
      <w:r>
        <w:rPr>
          <w:rFonts w:hint="eastAsia" w:ascii="宋体" w:hAnsi="宋体"/>
          <w:color w:val="auto"/>
          <w:highlight w:val="none"/>
        </w:rPr>
        <w:t>浙江中医药大学</w:t>
      </w:r>
    </w:p>
    <w:p>
      <w:pPr>
        <w:ind w:firstLine="480"/>
        <w:rPr>
          <w:rFonts w:ascii="宋体" w:hAnsi="宋体"/>
          <w:color w:val="auto"/>
          <w:kern w:val="0"/>
          <w:highlight w:val="none"/>
        </w:rPr>
      </w:pPr>
      <w:r>
        <w:rPr>
          <w:rFonts w:hint="eastAsia" w:ascii="宋体" w:hAnsi="宋体"/>
          <w:color w:val="auto"/>
          <w:kern w:val="0"/>
          <w:highlight w:val="none"/>
        </w:rPr>
        <w:t>联系人：汪佳丽</w:t>
      </w:r>
    </w:p>
    <w:p>
      <w:pPr>
        <w:ind w:firstLine="480"/>
        <w:rPr>
          <w:rFonts w:ascii="宋体" w:hAnsi="宋体"/>
          <w:color w:val="auto"/>
          <w:kern w:val="0"/>
          <w:highlight w:val="none"/>
        </w:rPr>
      </w:pPr>
      <w:r>
        <w:rPr>
          <w:rFonts w:hint="eastAsia" w:ascii="宋体" w:hAnsi="宋体"/>
          <w:color w:val="auto"/>
          <w:kern w:val="0"/>
          <w:highlight w:val="none"/>
        </w:rPr>
        <w:t>联系电话：</w:t>
      </w:r>
      <w:r>
        <w:rPr>
          <w:rFonts w:hint="eastAsia" w:ascii="宋体" w:hAnsi="宋体"/>
          <w:color w:val="auto"/>
          <w:highlight w:val="none"/>
        </w:rPr>
        <w:t>0571-86633113</w:t>
      </w:r>
    </w:p>
    <w:p>
      <w:pPr>
        <w:ind w:firstLine="480"/>
        <w:rPr>
          <w:rFonts w:ascii="宋体" w:hAnsi="宋体"/>
          <w:color w:val="auto"/>
          <w:kern w:val="0"/>
          <w:highlight w:val="none"/>
        </w:rPr>
      </w:pPr>
      <w:r>
        <w:rPr>
          <w:rFonts w:hint="eastAsia" w:ascii="宋体" w:hAnsi="宋体"/>
          <w:color w:val="auto"/>
          <w:kern w:val="0"/>
          <w:highlight w:val="none"/>
        </w:rPr>
        <w:t>地址：杭州市滨江区滨文路548号</w:t>
      </w:r>
    </w:p>
    <w:p>
      <w:pPr>
        <w:ind w:firstLine="480"/>
        <w:rPr>
          <w:rFonts w:ascii="宋体" w:hAnsi="宋体"/>
          <w:color w:val="auto"/>
          <w:kern w:val="0"/>
          <w:highlight w:val="none"/>
        </w:rPr>
      </w:pPr>
      <w:r>
        <w:rPr>
          <w:rFonts w:hint="eastAsia" w:ascii="宋体" w:hAnsi="宋体"/>
          <w:color w:val="auto"/>
          <w:kern w:val="0"/>
          <w:highlight w:val="none"/>
        </w:rPr>
        <w:t>采购项目联系人：盛老师</w:t>
      </w:r>
    </w:p>
    <w:p>
      <w:pPr>
        <w:ind w:firstLine="480"/>
        <w:rPr>
          <w:rFonts w:ascii="宋体" w:hAnsi="宋体"/>
          <w:color w:val="auto"/>
          <w:kern w:val="0"/>
          <w:highlight w:val="none"/>
        </w:rPr>
      </w:pPr>
      <w:r>
        <w:rPr>
          <w:rFonts w:hint="eastAsia" w:ascii="宋体" w:hAnsi="宋体"/>
          <w:color w:val="auto"/>
          <w:kern w:val="0"/>
          <w:highlight w:val="none"/>
        </w:rPr>
        <w:t>联系电话：15356673652</w:t>
      </w:r>
    </w:p>
    <w:p>
      <w:pPr>
        <w:ind w:firstLine="480"/>
        <w:rPr>
          <w:rFonts w:ascii="宋体" w:hAnsi="宋体"/>
          <w:color w:val="auto"/>
          <w:kern w:val="0"/>
          <w:highlight w:val="none"/>
        </w:rPr>
      </w:pPr>
      <w:r>
        <w:rPr>
          <w:rFonts w:hint="eastAsia" w:ascii="宋体" w:hAnsi="宋体"/>
          <w:color w:val="auto"/>
          <w:kern w:val="0"/>
          <w:highlight w:val="none"/>
        </w:rPr>
        <w:t>地址：杭州市滨江区滨文路548号</w:t>
      </w:r>
    </w:p>
    <w:p>
      <w:pPr>
        <w:ind w:firstLine="480"/>
        <w:rPr>
          <w:rFonts w:ascii="宋体" w:hAnsi="宋体"/>
          <w:color w:val="auto"/>
          <w:kern w:val="0"/>
          <w:highlight w:val="none"/>
        </w:rPr>
      </w:pPr>
      <w:r>
        <w:rPr>
          <w:rFonts w:hint="eastAsia" w:ascii="宋体" w:hAnsi="宋体"/>
          <w:color w:val="auto"/>
          <w:kern w:val="0"/>
          <w:highlight w:val="none"/>
        </w:rPr>
        <w:t xml:space="preserve">2.代理机构名称：浙江五石工程咨询有限公司 </w:t>
      </w:r>
      <w:r>
        <w:rPr>
          <w:rFonts w:ascii="宋体" w:hAnsi="宋体"/>
          <w:color w:val="auto"/>
          <w:kern w:val="0"/>
          <w:highlight w:val="none"/>
        </w:rPr>
        <w:t xml:space="preserve"> </w:t>
      </w:r>
    </w:p>
    <w:p>
      <w:pPr>
        <w:ind w:firstLine="480"/>
        <w:rPr>
          <w:rFonts w:ascii="宋体" w:hAnsi="宋体"/>
          <w:color w:val="auto"/>
          <w:kern w:val="0"/>
          <w:highlight w:val="none"/>
        </w:rPr>
      </w:pPr>
      <w:r>
        <w:rPr>
          <w:rFonts w:hint="eastAsia" w:ascii="宋体" w:hAnsi="宋体"/>
          <w:color w:val="auto"/>
          <w:kern w:val="0"/>
          <w:highlight w:val="none"/>
        </w:rPr>
        <w:t>项目联系人：陈工</w:t>
      </w:r>
    </w:p>
    <w:p>
      <w:pPr>
        <w:ind w:firstLine="480"/>
        <w:rPr>
          <w:rFonts w:ascii="宋体" w:hAnsi="宋体"/>
          <w:color w:val="auto"/>
          <w:kern w:val="0"/>
          <w:highlight w:val="none"/>
        </w:rPr>
      </w:pPr>
      <w:r>
        <w:rPr>
          <w:rFonts w:hint="eastAsia" w:ascii="宋体" w:hAnsi="宋体"/>
          <w:color w:val="auto"/>
          <w:kern w:val="0"/>
          <w:highlight w:val="none"/>
        </w:rPr>
        <w:t>联系电话：0571-86098397</w:t>
      </w:r>
    </w:p>
    <w:p>
      <w:pPr>
        <w:ind w:firstLine="480"/>
        <w:rPr>
          <w:rFonts w:ascii="宋体" w:hAnsi="宋体"/>
          <w:color w:val="auto"/>
          <w:kern w:val="0"/>
          <w:highlight w:val="none"/>
        </w:rPr>
      </w:pPr>
      <w:r>
        <w:rPr>
          <w:rFonts w:hint="eastAsia" w:ascii="宋体" w:hAnsi="宋体"/>
          <w:color w:val="auto"/>
          <w:kern w:val="0"/>
          <w:highlight w:val="none"/>
        </w:rPr>
        <w:t>报名联系人：梁工</w:t>
      </w:r>
    </w:p>
    <w:p>
      <w:pPr>
        <w:ind w:firstLine="480"/>
        <w:rPr>
          <w:rFonts w:ascii="宋体" w:hAnsi="宋体"/>
          <w:color w:val="auto"/>
          <w:kern w:val="0"/>
          <w:highlight w:val="none"/>
        </w:rPr>
      </w:pPr>
      <w:r>
        <w:rPr>
          <w:rFonts w:hint="eastAsia" w:ascii="宋体" w:hAnsi="宋体"/>
          <w:color w:val="auto"/>
          <w:kern w:val="0"/>
          <w:highlight w:val="none"/>
        </w:rPr>
        <w:t>联系电话：17746806483</w:t>
      </w:r>
    </w:p>
    <w:p>
      <w:pPr>
        <w:ind w:firstLine="480"/>
        <w:rPr>
          <w:rFonts w:ascii="宋体" w:hAnsi="宋体"/>
          <w:color w:val="auto"/>
          <w:kern w:val="0"/>
          <w:highlight w:val="none"/>
        </w:rPr>
      </w:pPr>
      <w:r>
        <w:rPr>
          <w:rFonts w:hint="eastAsia" w:ascii="宋体" w:hAnsi="宋体"/>
          <w:color w:val="auto"/>
          <w:kern w:val="0"/>
          <w:highlight w:val="none"/>
        </w:rPr>
        <w:t>邮箱：2810140286@qq.com</w:t>
      </w:r>
    </w:p>
    <w:p>
      <w:pPr>
        <w:ind w:firstLine="480"/>
        <w:rPr>
          <w:rFonts w:ascii="宋体" w:hAnsi="宋体"/>
          <w:color w:val="auto"/>
          <w:kern w:val="0"/>
          <w:highlight w:val="none"/>
        </w:rPr>
      </w:pPr>
      <w:r>
        <w:rPr>
          <w:rFonts w:hint="eastAsia" w:ascii="宋体" w:hAnsi="宋体"/>
          <w:color w:val="auto"/>
          <w:kern w:val="0"/>
          <w:highlight w:val="none"/>
        </w:rPr>
        <w:t>质疑联系人及电话：毛工/0571-87805727</w:t>
      </w:r>
    </w:p>
    <w:p>
      <w:pPr>
        <w:ind w:firstLine="480"/>
        <w:rPr>
          <w:rFonts w:ascii="宋体" w:hAnsi="宋体"/>
          <w:color w:val="auto"/>
          <w:kern w:val="0"/>
          <w:highlight w:val="none"/>
        </w:rPr>
      </w:pPr>
      <w:r>
        <w:rPr>
          <w:rFonts w:hint="eastAsia" w:ascii="宋体" w:hAnsi="宋体"/>
          <w:color w:val="auto"/>
          <w:kern w:val="0"/>
          <w:highlight w:val="none"/>
        </w:rPr>
        <w:t>浙江五石工程咨询有限公司官网：http://zjwsbidding.com/</w:t>
      </w:r>
    </w:p>
    <w:p>
      <w:pPr>
        <w:ind w:firstLine="480"/>
        <w:rPr>
          <w:rFonts w:ascii="宋体" w:hAnsi="宋体"/>
          <w:color w:val="auto"/>
          <w:kern w:val="0"/>
          <w:highlight w:val="none"/>
        </w:rPr>
      </w:pPr>
      <w:r>
        <w:rPr>
          <w:rFonts w:hint="eastAsia" w:ascii="宋体" w:hAnsi="宋体"/>
          <w:color w:val="auto"/>
          <w:kern w:val="0"/>
          <w:highlight w:val="none"/>
        </w:rPr>
        <w:t>地址：杭州市滨江区东方通信科技园启迪楼2楼1207室</w:t>
      </w:r>
    </w:p>
    <w:p>
      <w:pPr>
        <w:ind w:firstLine="480"/>
        <w:rPr>
          <w:rFonts w:ascii="宋体" w:hAnsi="宋体"/>
          <w:color w:val="auto"/>
          <w:kern w:val="0"/>
          <w:highlight w:val="none"/>
        </w:rPr>
      </w:pPr>
      <w:r>
        <w:rPr>
          <w:rFonts w:hint="eastAsia" w:ascii="宋体" w:hAnsi="宋体"/>
          <w:color w:val="auto"/>
          <w:kern w:val="0"/>
          <w:highlight w:val="none"/>
        </w:rPr>
        <w:t>3.同级政府采购监督管理部门名称：浙江省财政厅政府采购监管处</w:t>
      </w:r>
    </w:p>
    <w:p>
      <w:pPr>
        <w:ind w:firstLine="480"/>
        <w:rPr>
          <w:rFonts w:ascii="宋体" w:hAnsi="宋体"/>
          <w:color w:val="auto"/>
          <w:kern w:val="0"/>
          <w:highlight w:val="none"/>
        </w:rPr>
      </w:pPr>
      <w:r>
        <w:rPr>
          <w:rFonts w:hint="eastAsia" w:ascii="宋体" w:hAnsi="宋体"/>
          <w:color w:val="auto"/>
          <w:kern w:val="0"/>
          <w:highlight w:val="none"/>
        </w:rPr>
        <w:t>联系人：倪老师</w:t>
      </w:r>
    </w:p>
    <w:p>
      <w:pPr>
        <w:ind w:firstLine="480"/>
        <w:rPr>
          <w:rFonts w:ascii="宋体" w:hAnsi="宋体"/>
          <w:color w:val="auto"/>
          <w:kern w:val="0"/>
          <w:highlight w:val="none"/>
        </w:rPr>
      </w:pPr>
      <w:r>
        <w:rPr>
          <w:rFonts w:hint="eastAsia" w:ascii="宋体" w:hAnsi="宋体"/>
          <w:color w:val="auto"/>
          <w:kern w:val="0"/>
          <w:highlight w:val="none"/>
        </w:rPr>
        <w:t>监督投诉电话：0571-87057615</w:t>
      </w:r>
    </w:p>
    <w:p>
      <w:pPr>
        <w:ind w:firstLine="480"/>
        <w:rPr>
          <w:color w:val="auto"/>
          <w:highlight w:val="none"/>
        </w:rPr>
      </w:pPr>
      <w:r>
        <w:rPr>
          <w:rFonts w:hint="eastAsia" w:ascii="宋体" w:hAnsi="宋体"/>
          <w:color w:val="auto"/>
          <w:kern w:val="0"/>
          <w:highlight w:val="none"/>
        </w:rPr>
        <w:t>地址：杭州市西湖区环城西路37号</w:t>
      </w:r>
    </w:p>
    <w:p>
      <w:pPr>
        <w:snapToGrid w:val="0"/>
        <w:ind w:firstLine="602" w:firstLineChars="250"/>
        <w:rPr>
          <w:rFonts w:ascii="宋体" w:hAnsi="宋体" w:cs="宋体"/>
          <w:b/>
          <w:bCs/>
          <w:color w:val="auto"/>
          <w:highlight w:val="none"/>
        </w:rPr>
      </w:pPr>
      <w:r>
        <w:rPr>
          <w:rFonts w:hint="eastAsia" w:ascii="宋体" w:hAnsi="宋体" w:cs="宋体"/>
          <w:b/>
          <w:bCs/>
          <w:color w:val="auto"/>
          <w:highlight w:val="none"/>
        </w:rPr>
        <w:t>备注：请贵单位领取本次招标采购文件后，认真阅读各项内容，进行必要的准备工作，按文件的要求详细填写和编制投标文件，并按以上确定的时间、地点准时参加投标。</w:t>
      </w:r>
    </w:p>
    <w:p>
      <w:pPr>
        <w:ind w:firstLine="840" w:firstLineChars="350"/>
        <w:rPr>
          <w:rFonts w:ascii="宋体" w:hAnsi="宋体" w:cs="宋体"/>
          <w:color w:val="auto"/>
          <w:kern w:val="0"/>
          <w:szCs w:val="32"/>
          <w:highlight w:val="none"/>
        </w:rPr>
      </w:pPr>
      <w:r>
        <w:rPr>
          <w:rFonts w:hint="eastAsia" w:ascii="宋体" w:hAnsi="宋体" w:cs="宋体"/>
          <w:color w:val="auto"/>
          <w:highlight w:val="none"/>
        </w:rPr>
        <w:t xml:space="preserve">                                            </w:t>
      </w:r>
      <w:r>
        <w:rPr>
          <w:rFonts w:hint="eastAsia" w:ascii="宋体" w:hAnsi="宋体" w:cs="宋体"/>
          <w:color w:val="auto"/>
          <w:kern w:val="0"/>
          <w:szCs w:val="32"/>
          <w:highlight w:val="none"/>
        </w:rPr>
        <w:t>浙江五石工程咨询有限公司</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 xml:space="preserve">                                                          2019年9月</w:t>
      </w:r>
    </w:p>
    <w:p>
      <w:pPr>
        <w:pStyle w:val="2"/>
        <w:rPr>
          <w:rFonts w:ascii="宋体" w:hAnsi="宋体" w:eastAsia="宋体" w:cs="宋体"/>
          <w:color w:val="auto"/>
          <w:highlight w:val="none"/>
        </w:rPr>
        <w:sectPr>
          <w:footerReference r:id="rId9" w:type="default"/>
          <w:pgSz w:w="11906" w:h="16838"/>
          <w:pgMar w:top="1247" w:right="1247" w:bottom="1247" w:left="1247" w:header="170" w:footer="567" w:gutter="0"/>
          <w:pgNumType w:start="1"/>
          <w:cols w:space="720" w:num="1"/>
          <w:docGrid w:linePitch="381" w:charSpace="0"/>
        </w:sectPr>
      </w:pPr>
    </w:p>
    <w:bookmarkEnd w:id="3"/>
    <w:p>
      <w:pPr>
        <w:pStyle w:val="4"/>
        <w:rPr>
          <w:color w:val="auto"/>
          <w:highlight w:val="none"/>
        </w:rPr>
      </w:pPr>
      <w:bookmarkStart w:id="26" w:name="_Toc22967"/>
      <w:r>
        <w:rPr>
          <w:rFonts w:hint="eastAsia" w:cs="宋体"/>
          <w:color w:val="auto"/>
          <w:highlight w:val="none"/>
        </w:rPr>
        <w:t>第二章 项目需求说明</w:t>
      </w:r>
      <w:bookmarkEnd w:id="26"/>
    </w:p>
    <w:p>
      <w:pPr>
        <w:pStyle w:val="5"/>
        <w:rPr>
          <w:rFonts w:ascii="宋体" w:hAnsi="宋体" w:cs="宋体"/>
          <w:color w:val="auto"/>
          <w:sz w:val="24"/>
          <w:szCs w:val="40"/>
          <w:highlight w:val="none"/>
        </w:rPr>
      </w:pPr>
      <w:bookmarkStart w:id="27" w:name="_Toc21112"/>
      <w:bookmarkStart w:id="28" w:name="_Toc18187"/>
      <w:bookmarkStart w:id="29" w:name="_Toc7691"/>
      <w:bookmarkStart w:id="30" w:name="_Toc450840085"/>
      <w:r>
        <w:rPr>
          <w:rFonts w:hint="eastAsia" w:ascii="宋体" w:hAnsi="宋体" w:cs="宋体"/>
          <w:color w:val="auto"/>
          <w:sz w:val="24"/>
          <w:szCs w:val="40"/>
          <w:highlight w:val="none"/>
        </w:rPr>
        <w:t>一、货物或产品的说明和具体技术要求</w:t>
      </w:r>
      <w:bookmarkEnd w:id="27"/>
      <w:bookmarkEnd w:id="28"/>
      <w:bookmarkEnd w:id="29"/>
    </w:p>
    <w:p>
      <w:pPr>
        <w:pStyle w:val="6"/>
        <w:rPr>
          <w:color w:val="auto"/>
          <w:szCs w:val="40"/>
          <w:highlight w:val="none"/>
        </w:rPr>
      </w:pPr>
      <w:r>
        <w:rPr>
          <w:rFonts w:hint="eastAsia"/>
          <w:color w:val="auto"/>
          <w:szCs w:val="40"/>
          <w:highlight w:val="none"/>
        </w:rPr>
        <w:t>1、说明</w:t>
      </w:r>
    </w:p>
    <w:p>
      <w:pPr>
        <w:ind w:firstLine="480"/>
        <w:rPr>
          <w:rFonts w:ascii="宋体" w:hAnsi="宋体" w:cs="宋体"/>
          <w:color w:val="auto"/>
          <w:szCs w:val="32"/>
          <w:highlight w:val="none"/>
        </w:rPr>
      </w:pPr>
      <w:r>
        <w:rPr>
          <w:rFonts w:hint="eastAsia" w:ascii="宋体" w:hAnsi="宋体" w:cs="宋体"/>
          <w:color w:val="auto"/>
          <w:szCs w:val="32"/>
          <w:highlight w:val="none"/>
        </w:rPr>
        <w:t>1.1、本《招标文件》所提出的货物技术标准是基本的技术标准和使用功能，并未规定所有的技术要求和适用标准，供应商应提供一套满足所列标准要求的高质量的产品及相应服务。</w:t>
      </w:r>
    </w:p>
    <w:p>
      <w:pPr>
        <w:ind w:firstLine="480"/>
        <w:rPr>
          <w:rFonts w:ascii="宋体" w:hAnsi="宋体" w:cs="宋体"/>
          <w:color w:val="auto"/>
          <w:szCs w:val="32"/>
          <w:highlight w:val="none"/>
        </w:rPr>
      </w:pPr>
      <w:r>
        <w:rPr>
          <w:rFonts w:hint="eastAsia" w:ascii="宋体" w:hAnsi="宋体" w:cs="宋体"/>
          <w:color w:val="auto"/>
          <w:szCs w:val="32"/>
          <w:highlight w:val="none"/>
        </w:rPr>
        <w:t>1.2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ind w:firstLine="480"/>
        <w:rPr>
          <w:rFonts w:ascii="宋体" w:hAnsi="宋体" w:cs="宋体"/>
          <w:color w:val="auto"/>
          <w:szCs w:val="32"/>
          <w:highlight w:val="none"/>
        </w:rPr>
      </w:pPr>
      <w:r>
        <w:rPr>
          <w:rFonts w:hint="eastAsia" w:ascii="宋体" w:hAnsi="宋体" w:cs="宋体"/>
          <w:color w:val="auto"/>
          <w:szCs w:val="32"/>
          <w:highlight w:val="none"/>
        </w:rPr>
        <w:t>1.3、所有货物、零部件均由具有生产制造资格的企业提供，并由成交供应商承担总责任。</w:t>
      </w:r>
    </w:p>
    <w:p>
      <w:pPr>
        <w:pStyle w:val="6"/>
        <w:rPr>
          <w:color w:val="auto"/>
          <w:szCs w:val="40"/>
          <w:highlight w:val="none"/>
        </w:rPr>
      </w:pPr>
      <w:r>
        <w:rPr>
          <w:rFonts w:hint="eastAsia"/>
          <w:color w:val="auto"/>
          <w:szCs w:val="40"/>
          <w:highlight w:val="none"/>
        </w:rPr>
        <w:t>2、具体技术要求</w:t>
      </w:r>
    </w:p>
    <w:p>
      <w:pPr>
        <w:pStyle w:val="7"/>
        <w:ind w:firstLine="422"/>
        <w:rPr>
          <w:color w:val="auto"/>
          <w:highlight w:val="none"/>
        </w:rPr>
      </w:pPr>
      <w:r>
        <w:rPr>
          <w:rFonts w:hint="eastAsia"/>
          <w:color w:val="auto"/>
          <w:highlight w:val="none"/>
        </w:rPr>
        <w:t>标项一：超高效液相色谱仪等</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09"/>
        <w:gridCol w:w="5862"/>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序号</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名称</w:t>
            </w:r>
          </w:p>
        </w:tc>
        <w:tc>
          <w:tcPr>
            <w:tcW w:w="5862"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功能及技术参数等</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1409" w:type="dxa"/>
            <w:shd w:val="clear" w:color="auto" w:fill="auto"/>
            <w:vAlign w:val="center"/>
          </w:tcPr>
          <w:p>
            <w:pPr>
              <w:ind w:firstLine="0" w:firstLineChars="0"/>
              <w:jc w:val="center"/>
              <w:rPr>
                <w:rFonts w:ascii="Agilent TT Cond" w:hAnsi="Agilent TT Cond" w:cs="宋体"/>
                <w:color w:val="auto"/>
                <w:sz w:val="22"/>
                <w:szCs w:val="22"/>
                <w:highlight w:val="none"/>
              </w:rPr>
            </w:pPr>
            <w:r>
              <w:rPr>
                <w:rFonts w:hint="eastAsia" w:ascii="Agilent TT Cond" w:hAnsi="Agilent TT Cond" w:cs="宋体"/>
                <w:color w:val="auto"/>
                <w:sz w:val="22"/>
                <w:szCs w:val="22"/>
                <w:highlight w:val="none"/>
              </w:rPr>
              <w:t>超高效液相色谱仪</w:t>
            </w:r>
          </w:p>
        </w:tc>
        <w:tc>
          <w:tcPr>
            <w:tcW w:w="5862" w:type="dxa"/>
            <w:shd w:val="clear" w:color="auto" w:fill="auto"/>
            <w:vAlign w:val="center"/>
          </w:tcPr>
          <w:p>
            <w:pPr>
              <w:pStyle w:val="167"/>
              <w:spacing w:line="240" w:lineRule="auto"/>
              <w:ind w:firstLine="0" w:firstLineChars="0"/>
              <w:rPr>
                <w:rFonts w:ascii="Times New Roman" w:hAnsi="Times New Roman"/>
                <w:b/>
                <w:color w:val="auto"/>
                <w:szCs w:val="21"/>
                <w:highlight w:val="none"/>
              </w:rPr>
            </w:pPr>
            <w:r>
              <w:rPr>
                <w:rFonts w:hint="eastAsia" w:ascii="Times New Roman" w:hAnsi="宋体"/>
                <w:b/>
                <w:color w:val="auto"/>
                <w:szCs w:val="21"/>
                <w:highlight w:val="none"/>
              </w:rPr>
              <w:t>1、</w:t>
            </w:r>
            <w:r>
              <w:rPr>
                <w:rFonts w:ascii="Times New Roman" w:hAnsi="宋体"/>
                <w:b/>
                <w:color w:val="auto"/>
                <w:szCs w:val="21"/>
                <w:highlight w:val="none"/>
              </w:rPr>
              <w:t>工作条件：</w:t>
            </w:r>
          </w:p>
          <w:p>
            <w:pPr>
              <w:pStyle w:val="167"/>
              <w:spacing w:line="240" w:lineRule="auto"/>
              <w:ind w:firstLine="0" w:firstLineChars="0"/>
              <w:rPr>
                <w:rFonts w:ascii="Times New Roman" w:hAnsi="Times New Roman"/>
                <w:bCs/>
                <w:color w:val="auto"/>
                <w:szCs w:val="21"/>
                <w:highlight w:val="none"/>
              </w:rPr>
            </w:pPr>
            <w:r>
              <w:rPr>
                <w:rFonts w:hint="eastAsia" w:ascii="Times New Roman" w:hAnsi="宋体"/>
                <w:bCs/>
                <w:color w:val="auto"/>
                <w:szCs w:val="21"/>
                <w:highlight w:val="none"/>
              </w:rPr>
              <w:t>1.1</w:t>
            </w:r>
            <w:r>
              <w:rPr>
                <w:rFonts w:ascii="Times New Roman" w:hAnsi="宋体"/>
                <w:bCs/>
                <w:color w:val="auto"/>
                <w:szCs w:val="21"/>
                <w:highlight w:val="none"/>
              </w:rPr>
              <w:t>工作电压：</w:t>
            </w:r>
            <w:r>
              <w:rPr>
                <w:rFonts w:ascii="Times New Roman" w:hAnsi="Times New Roman"/>
                <w:bCs/>
                <w:color w:val="auto"/>
                <w:szCs w:val="21"/>
                <w:highlight w:val="none"/>
              </w:rPr>
              <w:t>220V±10%</w:t>
            </w:r>
            <w:r>
              <w:rPr>
                <w:rFonts w:ascii="Times New Roman" w:hAnsi="宋体"/>
                <w:bCs/>
                <w:color w:val="auto"/>
                <w:szCs w:val="21"/>
                <w:highlight w:val="none"/>
              </w:rPr>
              <w:t>，</w:t>
            </w:r>
            <w:r>
              <w:rPr>
                <w:rFonts w:ascii="Times New Roman" w:hAnsi="Times New Roman"/>
                <w:bCs/>
                <w:color w:val="auto"/>
                <w:szCs w:val="21"/>
                <w:highlight w:val="none"/>
              </w:rPr>
              <w:t>50 Hz</w:t>
            </w:r>
            <w:r>
              <w:rPr>
                <w:rFonts w:hint="eastAsia" w:ascii="Times New Roman" w:hAnsi="Times New Roman"/>
                <w:bCs/>
                <w:color w:val="auto"/>
                <w:szCs w:val="21"/>
                <w:highlight w:val="none"/>
              </w:rPr>
              <w:t>；</w:t>
            </w:r>
          </w:p>
          <w:p>
            <w:pPr>
              <w:pStyle w:val="167"/>
              <w:spacing w:line="240" w:lineRule="auto"/>
              <w:ind w:firstLine="0" w:firstLineChars="0"/>
              <w:jc w:val="left"/>
              <w:rPr>
                <w:rFonts w:ascii="Times New Roman" w:hAnsi="Times New Roman"/>
                <w:bCs/>
                <w:color w:val="auto"/>
                <w:szCs w:val="21"/>
                <w:highlight w:val="none"/>
              </w:rPr>
            </w:pPr>
            <w:r>
              <w:rPr>
                <w:rFonts w:hint="eastAsia" w:ascii="Times New Roman" w:hAnsi="宋体"/>
                <w:bCs/>
                <w:color w:val="auto"/>
                <w:szCs w:val="21"/>
                <w:highlight w:val="none"/>
              </w:rPr>
              <w:t>1.2</w:t>
            </w:r>
            <w:r>
              <w:rPr>
                <w:rFonts w:ascii="Times New Roman" w:hAnsi="宋体"/>
                <w:bCs/>
                <w:color w:val="auto"/>
                <w:szCs w:val="21"/>
                <w:highlight w:val="none"/>
              </w:rPr>
              <w:t>温度：</w:t>
            </w:r>
            <w:r>
              <w:rPr>
                <w:rFonts w:ascii="Times New Roman" w:hAnsi="Times New Roman"/>
                <w:bCs/>
                <w:color w:val="auto"/>
                <w:szCs w:val="21"/>
                <w:highlight w:val="none"/>
              </w:rPr>
              <w:t>4.0~40.0 °C (39.2~104.0 °F)</w:t>
            </w:r>
            <w:r>
              <w:rPr>
                <w:rFonts w:hint="eastAsia" w:ascii="Times New Roman" w:hAnsi="Times New Roman"/>
                <w:bCs/>
                <w:color w:val="auto"/>
                <w:szCs w:val="21"/>
                <w:highlight w:val="none"/>
              </w:rPr>
              <w:t>；</w:t>
            </w:r>
          </w:p>
          <w:p>
            <w:pPr>
              <w:pStyle w:val="167"/>
              <w:spacing w:line="240" w:lineRule="auto"/>
              <w:ind w:firstLine="0" w:firstLineChars="0"/>
              <w:rPr>
                <w:rFonts w:ascii="Times New Roman" w:hAnsi="Times New Roman"/>
                <w:bCs/>
                <w:color w:val="auto"/>
                <w:szCs w:val="21"/>
                <w:highlight w:val="none"/>
              </w:rPr>
            </w:pPr>
            <w:r>
              <w:rPr>
                <w:rFonts w:hint="eastAsia" w:ascii="Times New Roman" w:hAnsi="宋体"/>
                <w:bCs/>
                <w:color w:val="auto"/>
                <w:kern w:val="0"/>
                <w:szCs w:val="21"/>
                <w:highlight w:val="none"/>
              </w:rPr>
              <w:t>1.3</w:t>
            </w:r>
            <w:r>
              <w:rPr>
                <w:rFonts w:ascii="Times New Roman" w:hAnsi="宋体"/>
                <w:bCs/>
                <w:color w:val="auto"/>
                <w:kern w:val="0"/>
                <w:szCs w:val="21"/>
                <w:highlight w:val="none"/>
              </w:rPr>
              <w:t>湿度：</w:t>
            </w:r>
            <w:r>
              <w:rPr>
                <w:rFonts w:ascii="Times New Roman" w:hAnsi="Times New Roman"/>
                <w:bCs/>
                <w:color w:val="auto"/>
                <w:kern w:val="0"/>
                <w:szCs w:val="21"/>
                <w:highlight w:val="none"/>
              </w:rPr>
              <w:t>20%~80%</w:t>
            </w:r>
            <w:r>
              <w:rPr>
                <w:rFonts w:ascii="Times New Roman" w:hAnsi="宋体"/>
                <w:bCs/>
                <w:color w:val="auto"/>
                <w:kern w:val="0"/>
                <w:szCs w:val="21"/>
                <w:highlight w:val="none"/>
              </w:rPr>
              <w:t>，无冷凝</w:t>
            </w:r>
            <w:r>
              <w:rPr>
                <w:rFonts w:hint="eastAsia" w:ascii="Times New Roman" w:hAnsi="宋体"/>
                <w:bCs/>
                <w:color w:val="auto"/>
                <w:kern w:val="0"/>
                <w:szCs w:val="21"/>
                <w:highlight w:val="none"/>
              </w:rPr>
              <w:t>。</w:t>
            </w:r>
          </w:p>
          <w:p>
            <w:pPr>
              <w:pStyle w:val="167"/>
              <w:numPr>
                <w:ilvl w:val="0"/>
                <w:numId w:val="4"/>
              </w:numPr>
              <w:spacing w:line="240" w:lineRule="auto"/>
              <w:ind w:firstLineChars="0"/>
              <w:rPr>
                <w:rFonts w:ascii="Times New Roman" w:hAnsi="Times New Roman"/>
                <w:b/>
                <w:color w:val="auto"/>
                <w:szCs w:val="21"/>
                <w:highlight w:val="none"/>
              </w:rPr>
            </w:pPr>
            <w:r>
              <w:rPr>
                <w:rFonts w:ascii="Times New Roman" w:hAnsi="宋体"/>
                <w:b/>
                <w:color w:val="auto"/>
                <w:szCs w:val="21"/>
                <w:highlight w:val="none"/>
              </w:rPr>
              <w:t>技术</w:t>
            </w:r>
            <w:r>
              <w:rPr>
                <w:rFonts w:hint="eastAsia" w:ascii="Times New Roman" w:hAnsi="宋体"/>
                <w:b/>
                <w:color w:val="auto"/>
                <w:szCs w:val="21"/>
                <w:highlight w:val="none"/>
              </w:rPr>
              <w:t>性能要求</w:t>
            </w:r>
            <w:r>
              <w:rPr>
                <w:rFonts w:ascii="Times New Roman" w:hAnsi="宋体"/>
                <w:b/>
                <w:color w:val="auto"/>
                <w:szCs w:val="21"/>
                <w:highlight w:val="none"/>
              </w:rPr>
              <w:t>：</w:t>
            </w:r>
          </w:p>
          <w:p>
            <w:pPr>
              <w:pStyle w:val="167"/>
              <w:spacing w:line="240" w:lineRule="auto"/>
              <w:ind w:firstLine="0" w:firstLineChars="0"/>
              <w:jc w:val="left"/>
              <w:rPr>
                <w:rFonts w:ascii="Times New Roman" w:hAnsi="Times New Roman"/>
                <w:b/>
                <w:vanish/>
                <w:color w:val="auto"/>
                <w:szCs w:val="21"/>
                <w:highlight w:val="none"/>
              </w:rPr>
            </w:pPr>
            <w:r>
              <w:rPr>
                <w:rFonts w:hint="eastAsia" w:ascii="Times New Roman" w:hAnsi="Times New Roman"/>
                <w:b/>
                <w:color w:val="auto"/>
                <w:szCs w:val="21"/>
                <w:highlight w:val="none"/>
              </w:rPr>
              <w:t>2.1</w:t>
            </w:r>
          </w:p>
          <w:p>
            <w:pPr>
              <w:pStyle w:val="167"/>
              <w:numPr>
                <w:ilvl w:val="0"/>
                <w:numId w:val="5"/>
              </w:numPr>
              <w:spacing w:line="240" w:lineRule="auto"/>
              <w:ind w:firstLineChars="0"/>
              <w:jc w:val="left"/>
              <w:rPr>
                <w:rFonts w:ascii="Times New Roman" w:hAnsi="Times New Roman"/>
                <w:b/>
                <w:vanish/>
                <w:color w:val="auto"/>
                <w:szCs w:val="21"/>
                <w:highlight w:val="none"/>
              </w:rPr>
            </w:pPr>
          </w:p>
          <w:p>
            <w:pPr>
              <w:pStyle w:val="167"/>
              <w:numPr>
                <w:ilvl w:val="1"/>
                <w:numId w:val="5"/>
              </w:numPr>
              <w:spacing w:line="240" w:lineRule="auto"/>
              <w:ind w:firstLineChars="0"/>
              <w:jc w:val="left"/>
              <w:rPr>
                <w:rFonts w:ascii="Times New Roman" w:hAnsi="Times New Roman"/>
                <w:b/>
                <w:color w:val="auto"/>
                <w:szCs w:val="21"/>
                <w:highlight w:val="none"/>
              </w:rPr>
            </w:pPr>
            <w:r>
              <w:rPr>
                <w:rFonts w:ascii="Times New Roman" w:hAnsi="宋体"/>
                <w:b/>
                <w:color w:val="auto"/>
                <w:szCs w:val="21"/>
                <w:highlight w:val="none"/>
              </w:rPr>
              <w:t>四元溶剂管理系统</w:t>
            </w:r>
          </w:p>
          <w:p>
            <w:pPr>
              <w:pStyle w:val="167"/>
              <w:spacing w:line="240" w:lineRule="auto"/>
              <w:ind w:firstLine="0" w:firstLineChars="0"/>
              <w:rPr>
                <w:rFonts w:ascii="Times New Roman" w:hAnsi="Times New Roman"/>
                <w:color w:val="auto"/>
                <w:szCs w:val="21"/>
                <w:highlight w:val="none"/>
              </w:rPr>
            </w:pPr>
            <w:r>
              <w:rPr>
                <w:rFonts w:hint="eastAsia" w:asciiTheme="minorEastAsia" w:hAnsiTheme="minorEastAsia"/>
                <w:color w:val="auto"/>
                <w:spacing w:val="-6"/>
                <w:highlight w:val="none"/>
              </w:rPr>
              <w:t xml:space="preserve">▲ </w:t>
            </w:r>
            <w:r>
              <w:rPr>
                <w:rFonts w:hint="eastAsia" w:ascii="宋体" w:hAnsi="宋体" w:cs="宋体"/>
                <w:color w:val="auto"/>
                <w:szCs w:val="21"/>
                <w:highlight w:val="none"/>
              </w:rPr>
              <w:t>2</w:t>
            </w:r>
            <w:r>
              <w:rPr>
                <w:rFonts w:hint="eastAsia" w:ascii="Times New Roman" w:hAnsi="Times New Roman"/>
                <w:color w:val="auto"/>
                <w:szCs w:val="21"/>
                <w:highlight w:val="none"/>
              </w:rPr>
              <w:t>.1.1</w:t>
            </w:r>
            <w:r>
              <w:rPr>
                <w:rFonts w:ascii="Times New Roman" w:hAnsi="宋体"/>
                <w:color w:val="auto"/>
                <w:szCs w:val="21"/>
                <w:highlight w:val="none"/>
              </w:rPr>
              <w:t>色谱泵：一体式独立柱塞，数控直线驱动色谱泵技术，双压力传感器反馈回路，无需阻尼器</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Times New Roman"/>
                <w:color w:val="auto"/>
                <w:szCs w:val="21"/>
                <w:highlight w:val="none"/>
              </w:rPr>
              <w:t>2.1.2</w:t>
            </w:r>
            <w:r>
              <w:rPr>
                <w:rFonts w:ascii="Times New Roman" w:hAnsi="宋体"/>
                <w:color w:val="auto"/>
                <w:szCs w:val="21"/>
                <w:highlight w:val="none"/>
              </w:rPr>
              <w:t>集成式漏液管理：漏液传感器与安全漏液处理</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Times New Roman"/>
                <w:color w:val="auto"/>
                <w:szCs w:val="21"/>
                <w:highlight w:val="none"/>
              </w:rPr>
              <w:t>2.1.3</w:t>
            </w:r>
            <w:r>
              <w:rPr>
                <w:rFonts w:ascii="Times New Roman" w:hAnsi="Times New Roman"/>
                <w:color w:val="auto"/>
                <w:szCs w:val="21"/>
                <w:highlight w:val="none"/>
              </w:rPr>
              <w:t xml:space="preserve"> pH</w:t>
            </w:r>
            <w:r>
              <w:rPr>
                <w:rFonts w:ascii="Times New Roman" w:hAnsi="宋体"/>
                <w:color w:val="auto"/>
                <w:szCs w:val="21"/>
                <w:highlight w:val="none"/>
              </w:rPr>
              <w:t>范围：</w:t>
            </w:r>
            <w:r>
              <w:rPr>
                <w:rFonts w:ascii="Times New Roman" w:hAnsi="Times New Roman"/>
                <w:color w:val="auto"/>
                <w:szCs w:val="21"/>
                <w:highlight w:val="none"/>
              </w:rPr>
              <w:t>1~12.5</w:t>
            </w:r>
            <w:r>
              <w:rPr>
                <w:rFonts w:hint="eastAsia" w:ascii="Times New Roman" w:hAnsi="Times New Roman"/>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Times New Roman"/>
                <w:color w:val="auto"/>
                <w:szCs w:val="21"/>
                <w:highlight w:val="none"/>
              </w:rPr>
              <w:t>2.1.4</w:t>
            </w:r>
            <w:r>
              <w:rPr>
                <w:rFonts w:ascii="Times New Roman" w:hAnsi="宋体"/>
                <w:color w:val="auto"/>
                <w:szCs w:val="21"/>
                <w:highlight w:val="none"/>
              </w:rPr>
              <w:t>泵压力传感器反馈回路：</w:t>
            </w:r>
            <w:r>
              <w:rPr>
                <w:rFonts w:ascii="Times New Roman" w:hAnsi="Times New Roman"/>
                <w:color w:val="auto"/>
                <w:szCs w:val="21"/>
                <w:highlight w:val="none"/>
              </w:rPr>
              <w:t>2</w:t>
            </w:r>
            <w:r>
              <w:rPr>
                <w:rFonts w:ascii="Times New Roman" w:hAnsi="宋体"/>
                <w:color w:val="auto"/>
                <w:szCs w:val="21"/>
                <w:highlight w:val="none"/>
              </w:rPr>
              <w:t>路</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Times New Roman"/>
                <w:color w:val="auto"/>
                <w:szCs w:val="21"/>
                <w:highlight w:val="none"/>
              </w:rPr>
              <w:t>2.1.5</w:t>
            </w:r>
            <w:r>
              <w:rPr>
                <w:rFonts w:ascii="Times New Roman" w:hAnsi="宋体"/>
                <w:color w:val="auto"/>
                <w:szCs w:val="21"/>
                <w:highlight w:val="none"/>
              </w:rPr>
              <w:t>压缩补偿：自动、连续</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Times New Roman"/>
                <w:color w:val="auto"/>
                <w:szCs w:val="21"/>
                <w:highlight w:val="none"/>
              </w:rPr>
              <w:t>2.1.6</w:t>
            </w:r>
            <w:r>
              <w:rPr>
                <w:rFonts w:ascii="Times New Roman" w:hAnsi="宋体"/>
                <w:color w:val="auto"/>
                <w:szCs w:val="21"/>
                <w:highlight w:val="none"/>
              </w:rPr>
              <w:t>梯度模式：低压混合，四元梯度，</w:t>
            </w:r>
            <w:r>
              <w:rPr>
                <w:rFonts w:ascii="Times New Roman" w:hAnsi="Times New Roman"/>
                <w:color w:val="auto"/>
                <w:szCs w:val="21"/>
                <w:highlight w:val="none"/>
              </w:rPr>
              <w:t>1~4</w:t>
            </w:r>
            <w:r>
              <w:rPr>
                <w:rFonts w:ascii="Times New Roman" w:hAnsi="宋体"/>
                <w:color w:val="auto"/>
                <w:szCs w:val="21"/>
                <w:highlight w:val="none"/>
              </w:rPr>
              <w:t>路溶剂任意混合</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2.1.7</w:t>
            </w:r>
            <w:r>
              <w:rPr>
                <w:rFonts w:ascii="Times New Roman" w:hAnsi="宋体"/>
                <w:color w:val="auto"/>
                <w:szCs w:val="21"/>
                <w:highlight w:val="none"/>
              </w:rPr>
              <w:t>溶剂脱气：</w:t>
            </w:r>
            <w:r>
              <w:rPr>
                <w:rFonts w:ascii="Times New Roman" w:hAnsi="Times New Roman"/>
                <w:color w:val="auto"/>
                <w:szCs w:val="21"/>
                <w:highlight w:val="none"/>
              </w:rPr>
              <w:t>5</w:t>
            </w:r>
            <w:r>
              <w:rPr>
                <w:rFonts w:ascii="Times New Roman" w:hAnsi="宋体"/>
                <w:color w:val="auto"/>
                <w:szCs w:val="21"/>
                <w:highlight w:val="none"/>
              </w:rPr>
              <w:t>路真空脱气，</w:t>
            </w:r>
            <w:r>
              <w:rPr>
                <w:rFonts w:ascii="Times New Roman" w:hAnsi="Times New Roman"/>
                <w:color w:val="auto"/>
                <w:szCs w:val="21"/>
                <w:highlight w:val="none"/>
              </w:rPr>
              <w:t>4</w:t>
            </w:r>
            <w:r>
              <w:rPr>
                <w:rFonts w:ascii="Times New Roman" w:hAnsi="宋体"/>
                <w:color w:val="auto"/>
                <w:szCs w:val="21"/>
                <w:highlight w:val="none"/>
              </w:rPr>
              <w:t>个排气仓；另有</w:t>
            </w:r>
            <w:r>
              <w:rPr>
                <w:rFonts w:ascii="Times New Roman" w:hAnsi="Times New Roman"/>
                <w:color w:val="auto"/>
                <w:szCs w:val="21"/>
                <w:highlight w:val="none"/>
              </w:rPr>
              <w:t>1</w:t>
            </w:r>
            <w:r>
              <w:rPr>
                <w:rFonts w:ascii="Times New Roman" w:hAnsi="宋体"/>
                <w:color w:val="auto"/>
                <w:szCs w:val="21"/>
                <w:highlight w:val="none"/>
              </w:rPr>
              <w:t>个排气仓专供清除溶剂使用</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2.1.8</w:t>
            </w:r>
            <w:r>
              <w:rPr>
                <w:rFonts w:ascii="Times New Roman" w:hAnsi="宋体"/>
                <w:color w:val="auto"/>
                <w:szCs w:val="21"/>
                <w:highlight w:val="none"/>
              </w:rPr>
              <w:t>溶剂混合：采用自动缓冲盐配置功能技术自动在线混合溶剂，得到不同</w:t>
            </w:r>
            <w:r>
              <w:rPr>
                <w:rFonts w:ascii="Times New Roman" w:hAnsi="Times New Roman"/>
                <w:color w:val="auto"/>
                <w:szCs w:val="21"/>
                <w:highlight w:val="none"/>
              </w:rPr>
              <w:t>pH</w:t>
            </w:r>
            <w:r>
              <w:rPr>
                <w:rFonts w:ascii="Times New Roman" w:hAnsi="宋体"/>
                <w:color w:val="auto"/>
                <w:szCs w:val="21"/>
                <w:highlight w:val="none"/>
              </w:rPr>
              <w:t>、离子强度以及含不同有机改性剂的流动相</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2.1.9</w:t>
            </w:r>
            <w:r>
              <w:rPr>
                <w:rFonts w:ascii="Times New Roman" w:hAnsi="宋体"/>
                <w:color w:val="auto"/>
                <w:szCs w:val="21"/>
                <w:highlight w:val="none"/>
              </w:rPr>
              <w:t>可设置的流速范围：</w:t>
            </w:r>
            <w:r>
              <w:rPr>
                <w:rFonts w:ascii="Times New Roman" w:hAnsi="Times New Roman"/>
                <w:color w:val="auto"/>
                <w:szCs w:val="21"/>
                <w:highlight w:val="none"/>
              </w:rPr>
              <w:t xml:space="preserve"> 0.001~2.000 mL/min</w:t>
            </w:r>
            <w:r>
              <w:rPr>
                <w:rFonts w:ascii="Times New Roman" w:hAnsi="宋体"/>
                <w:color w:val="auto"/>
                <w:szCs w:val="21"/>
                <w:highlight w:val="none"/>
              </w:rPr>
              <w:t>，增量为</w:t>
            </w:r>
            <w:r>
              <w:rPr>
                <w:rFonts w:ascii="Times New Roman" w:hAnsi="Times New Roman"/>
                <w:color w:val="auto"/>
                <w:szCs w:val="21"/>
                <w:highlight w:val="none"/>
              </w:rPr>
              <w:t>0.001 mL</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2.1.10</w:t>
            </w:r>
            <w:r>
              <w:rPr>
                <w:rFonts w:ascii="Times New Roman" w:hAnsi="宋体"/>
                <w:color w:val="auto"/>
                <w:szCs w:val="21"/>
                <w:highlight w:val="none"/>
              </w:rPr>
              <w:t>最大操作压力：</w:t>
            </w:r>
            <w:r>
              <w:rPr>
                <w:rFonts w:ascii="Times New Roman" w:hAnsi="Times New Roman"/>
                <w:color w:val="auto"/>
                <w:szCs w:val="21"/>
                <w:highlight w:val="none"/>
              </w:rPr>
              <w:t>15,000 psi</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2.1.11</w:t>
            </w:r>
            <w:r>
              <w:rPr>
                <w:rFonts w:ascii="Times New Roman" w:hAnsi="宋体"/>
                <w:color w:val="auto"/>
                <w:szCs w:val="21"/>
                <w:highlight w:val="none"/>
              </w:rPr>
              <w:t>系统总延迟体积：</w:t>
            </w:r>
            <w:r>
              <w:rPr>
                <w:rFonts w:ascii="Times New Roman" w:hAnsi="Times New Roman"/>
                <w:color w:val="auto"/>
                <w:szCs w:val="21"/>
                <w:highlight w:val="none"/>
              </w:rPr>
              <w:t>≤400 μL</w:t>
            </w:r>
            <w:r>
              <w:rPr>
                <w:rFonts w:ascii="Times New Roman" w:hAnsi="宋体"/>
                <w:color w:val="auto"/>
                <w:szCs w:val="21"/>
                <w:highlight w:val="none"/>
              </w:rPr>
              <w:t>（含混和器），不随反压变化</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2.1.12</w:t>
            </w:r>
            <w:r>
              <w:rPr>
                <w:rFonts w:ascii="Times New Roman" w:hAnsi="宋体"/>
                <w:color w:val="auto"/>
                <w:szCs w:val="21"/>
                <w:highlight w:val="none"/>
              </w:rPr>
              <w:t>梯度延迟体积：</w:t>
            </w:r>
            <w:r>
              <w:rPr>
                <w:rFonts w:ascii="Times New Roman" w:hAnsi="Times New Roman"/>
                <w:color w:val="auto"/>
                <w:szCs w:val="21"/>
                <w:highlight w:val="none"/>
              </w:rPr>
              <w:t>≤300 μL</w:t>
            </w:r>
            <w:r>
              <w:rPr>
                <w:rFonts w:ascii="Times New Roman" w:hAnsi="宋体"/>
                <w:color w:val="auto"/>
                <w:szCs w:val="21"/>
                <w:highlight w:val="none"/>
              </w:rPr>
              <w:t>（含混合器）</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2.1.13</w:t>
            </w:r>
            <w:r>
              <w:rPr>
                <w:rFonts w:ascii="Times New Roman" w:hAnsi="宋体"/>
                <w:color w:val="auto"/>
                <w:szCs w:val="21"/>
                <w:highlight w:val="none"/>
              </w:rPr>
              <w:t>流速精度：</w:t>
            </w:r>
            <w:r>
              <w:rPr>
                <w:rFonts w:ascii="Times New Roman" w:hAnsi="Times New Roman"/>
                <w:color w:val="auto"/>
                <w:szCs w:val="21"/>
                <w:highlight w:val="none"/>
              </w:rPr>
              <w:t>≤0.075% RSD</w:t>
            </w:r>
            <w:r>
              <w:rPr>
                <w:rFonts w:ascii="Times New Roman" w:hAnsi="宋体"/>
                <w:color w:val="auto"/>
                <w:szCs w:val="21"/>
                <w:highlight w:val="none"/>
              </w:rPr>
              <w:t>或</w:t>
            </w:r>
            <w:r>
              <w:rPr>
                <w:rFonts w:ascii="Times New Roman" w:hAnsi="Times New Roman"/>
                <w:color w:val="auto"/>
                <w:szCs w:val="21"/>
                <w:highlight w:val="none"/>
              </w:rPr>
              <w:t>±0.01 min SD</w:t>
            </w:r>
            <w:r>
              <w:rPr>
                <w:rFonts w:ascii="Times New Roman" w:hAnsi="宋体"/>
                <w:color w:val="auto"/>
                <w:szCs w:val="21"/>
                <w:highlight w:val="none"/>
              </w:rPr>
              <w:t>（取较大者），基于</w:t>
            </w:r>
            <w:r>
              <w:rPr>
                <w:rFonts w:ascii="Times New Roman" w:hAnsi="Times New Roman"/>
                <w:color w:val="auto"/>
                <w:szCs w:val="21"/>
                <w:highlight w:val="none"/>
              </w:rPr>
              <w:t>6</w:t>
            </w:r>
            <w:r>
              <w:rPr>
                <w:rFonts w:ascii="Times New Roman" w:hAnsi="宋体"/>
                <w:color w:val="auto"/>
                <w:szCs w:val="21"/>
                <w:highlight w:val="none"/>
              </w:rPr>
              <w:t>次重复进样的结果</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2.1.14</w:t>
            </w:r>
            <w:r>
              <w:rPr>
                <w:rFonts w:ascii="Times New Roman" w:hAnsi="宋体"/>
                <w:color w:val="auto"/>
                <w:szCs w:val="21"/>
                <w:highlight w:val="none"/>
              </w:rPr>
              <w:t>流速准确度：流速为</w:t>
            </w:r>
            <w:r>
              <w:rPr>
                <w:rFonts w:ascii="Times New Roman" w:hAnsi="Times New Roman"/>
                <w:color w:val="auto"/>
                <w:szCs w:val="21"/>
                <w:highlight w:val="none"/>
              </w:rPr>
              <w:t>0.5~2.0 mL/min</w:t>
            </w:r>
            <w:r>
              <w:rPr>
                <w:rFonts w:ascii="Times New Roman" w:hAnsi="宋体"/>
                <w:color w:val="auto"/>
                <w:szCs w:val="21"/>
                <w:highlight w:val="none"/>
              </w:rPr>
              <w:t>，流动相为</w:t>
            </w:r>
            <w:r>
              <w:rPr>
                <w:rFonts w:ascii="Times New Roman" w:hAnsi="Times New Roman"/>
                <w:color w:val="auto"/>
                <w:szCs w:val="21"/>
                <w:highlight w:val="none"/>
              </w:rPr>
              <w:t>100% A</w:t>
            </w:r>
            <w:r>
              <w:rPr>
                <w:rFonts w:ascii="Times New Roman" w:hAnsi="宋体"/>
                <w:color w:val="auto"/>
                <w:szCs w:val="21"/>
                <w:highlight w:val="none"/>
              </w:rPr>
              <w:t>时，准确度为</w:t>
            </w:r>
            <w:r>
              <w:rPr>
                <w:rFonts w:ascii="Times New Roman" w:hAnsi="Times New Roman"/>
                <w:color w:val="auto"/>
                <w:szCs w:val="21"/>
                <w:highlight w:val="none"/>
              </w:rPr>
              <w:t>±1.0%</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2.1.15</w:t>
            </w:r>
            <w:r>
              <w:rPr>
                <w:rFonts w:ascii="Times New Roman" w:hAnsi="宋体"/>
                <w:color w:val="auto"/>
                <w:szCs w:val="21"/>
                <w:highlight w:val="none"/>
              </w:rPr>
              <w:t>梯度准确度：</w:t>
            </w:r>
            <w:r>
              <w:rPr>
                <w:rFonts w:ascii="Times New Roman" w:hAnsi="Times New Roman"/>
                <w:color w:val="auto"/>
                <w:szCs w:val="21"/>
                <w:highlight w:val="none"/>
              </w:rPr>
              <w:t>±0.5%</w:t>
            </w:r>
            <w:r>
              <w:rPr>
                <w:rFonts w:ascii="Times New Roman" w:hAnsi="宋体"/>
                <w:color w:val="auto"/>
                <w:szCs w:val="21"/>
                <w:highlight w:val="none"/>
              </w:rPr>
              <w:t>，不随反压变化</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2.1.16</w:t>
            </w:r>
            <w:r>
              <w:rPr>
                <w:rFonts w:ascii="Times New Roman" w:hAnsi="宋体"/>
                <w:color w:val="auto"/>
                <w:szCs w:val="21"/>
                <w:highlight w:val="none"/>
              </w:rPr>
              <w:t>梯度精度：</w:t>
            </w:r>
            <w:r>
              <w:rPr>
                <w:rFonts w:ascii="Times New Roman" w:hAnsi="Times New Roman"/>
                <w:color w:val="auto"/>
                <w:szCs w:val="21"/>
                <w:highlight w:val="none"/>
              </w:rPr>
              <w:t>±0.15% RSD</w:t>
            </w:r>
            <w:r>
              <w:rPr>
                <w:rFonts w:ascii="Times New Roman" w:hAnsi="宋体"/>
                <w:color w:val="auto"/>
                <w:szCs w:val="21"/>
                <w:highlight w:val="none"/>
              </w:rPr>
              <w:t>，不随反压变化</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2.1.17</w:t>
            </w:r>
            <w:r>
              <w:rPr>
                <w:rFonts w:ascii="Times New Roman" w:hAnsi="宋体"/>
                <w:color w:val="auto"/>
                <w:szCs w:val="21"/>
                <w:highlight w:val="none"/>
              </w:rPr>
              <w:t>混合准确度：</w:t>
            </w:r>
            <w:r>
              <w:rPr>
                <w:rFonts w:ascii="Times New Roman" w:hAnsi="Times New Roman"/>
                <w:color w:val="auto"/>
                <w:szCs w:val="21"/>
                <w:highlight w:val="none"/>
              </w:rPr>
              <w:t>±0.5%</w:t>
            </w:r>
            <w:r>
              <w:rPr>
                <w:rFonts w:ascii="Times New Roman" w:hAnsi="宋体"/>
                <w:color w:val="auto"/>
                <w:szCs w:val="21"/>
                <w:highlight w:val="none"/>
              </w:rPr>
              <w:t>绝对值（满量程），</w:t>
            </w:r>
            <w:r>
              <w:rPr>
                <w:rFonts w:ascii="Times New Roman" w:hAnsi="Times New Roman"/>
                <w:color w:val="auto"/>
                <w:szCs w:val="21"/>
                <w:highlight w:val="none"/>
              </w:rPr>
              <w:t>0.5~2.0 mL/min</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2.1.18</w:t>
            </w:r>
            <w:r>
              <w:rPr>
                <w:rFonts w:ascii="Times New Roman" w:hAnsi="宋体"/>
                <w:color w:val="auto"/>
                <w:szCs w:val="21"/>
                <w:highlight w:val="none"/>
              </w:rPr>
              <w:t>混合精度：</w:t>
            </w:r>
            <w:r>
              <w:rPr>
                <w:rFonts w:ascii="Times New Roman" w:hAnsi="Times New Roman"/>
                <w:color w:val="auto"/>
                <w:szCs w:val="21"/>
                <w:highlight w:val="none"/>
              </w:rPr>
              <w:t>≤0.15% RSD</w:t>
            </w:r>
            <w:r>
              <w:rPr>
                <w:rFonts w:ascii="Times New Roman" w:hAnsi="宋体"/>
                <w:color w:val="auto"/>
                <w:szCs w:val="21"/>
                <w:highlight w:val="none"/>
              </w:rPr>
              <w:t>或</w:t>
            </w:r>
            <w:r>
              <w:rPr>
                <w:rFonts w:ascii="Times New Roman" w:hAnsi="Times New Roman"/>
                <w:color w:val="auto"/>
                <w:szCs w:val="21"/>
                <w:highlight w:val="none"/>
              </w:rPr>
              <w:t>±0.02 min SD</w:t>
            </w:r>
            <w:r>
              <w:rPr>
                <w:rFonts w:ascii="Times New Roman" w:hAnsi="宋体"/>
                <w:color w:val="auto"/>
                <w:szCs w:val="21"/>
                <w:highlight w:val="none"/>
              </w:rPr>
              <w:t>（取较大者），基于</w:t>
            </w:r>
            <w:r>
              <w:rPr>
                <w:rFonts w:ascii="Times New Roman" w:hAnsi="Times New Roman"/>
                <w:color w:val="auto"/>
                <w:szCs w:val="21"/>
                <w:highlight w:val="none"/>
              </w:rPr>
              <w:t>6</w:t>
            </w:r>
            <w:r>
              <w:rPr>
                <w:rFonts w:ascii="Times New Roman" w:hAnsi="宋体"/>
                <w:color w:val="auto"/>
                <w:szCs w:val="21"/>
                <w:highlight w:val="none"/>
              </w:rPr>
              <w:t>次重复进样的结果</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2.1.19</w:t>
            </w:r>
            <w:r>
              <w:rPr>
                <w:rFonts w:ascii="Times New Roman" w:hAnsi="宋体"/>
                <w:color w:val="auto"/>
                <w:szCs w:val="21"/>
                <w:highlight w:val="none"/>
              </w:rPr>
              <w:t>自动缓冲盐配置功能：可实现自动配置缓冲盐浓度和</w:t>
            </w:r>
            <w:r>
              <w:rPr>
                <w:rFonts w:ascii="Times New Roman" w:hAnsi="Times New Roman"/>
                <w:color w:val="auto"/>
                <w:szCs w:val="21"/>
                <w:highlight w:val="none"/>
              </w:rPr>
              <w:t>pH</w:t>
            </w:r>
            <w:r>
              <w:rPr>
                <w:rFonts w:ascii="Times New Roman" w:hAnsi="宋体"/>
                <w:color w:val="auto"/>
                <w:szCs w:val="21"/>
                <w:highlight w:val="none"/>
              </w:rPr>
              <w:t>值梯度</w:t>
            </w:r>
            <w:r>
              <w:rPr>
                <w:rFonts w:hint="eastAsia" w:ascii="Times New Roman" w:hAnsi="宋体"/>
                <w:color w:val="auto"/>
                <w:szCs w:val="21"/>
                <w:highlight w:val="none"/>
              </w:rPr>
              <w:t>，</w:t>
            </w:r>
            <w:r>
              <w:rPr>
                <w:rFonts w:ascii="Times New Roman" w:hAnsi="Times New Roman"/>
                <w:color w:val="auto"/>
                <w:szCs w:val="21"/>
                <w:highlight w:val="none"/>
              </w:rPr>
              <w:t>pH</w:t>
            </w:r>
            <w:r>
              <w:rPr>
                <w:rFonts w:ascii="Times New Roman" w:hAnsi="宋体"/>
                <w:color w:val="auto"/>
                <w:szCs w:val="21"/>
                <w:highlight w:val="none"/>
              </w:rPr>
              <w:t>值配置准确度：</w:t>
            </w:r>
            <w:r>
              <w:rPr>
                <w:rFonts w:ascii="Times New Roman" w:hAnsi="Times New Roman"/>
                <w:color w:val="auto"/>
                <w:szCs w:val="21"/>
                <w:highlight w:val="none"/>
              </w:rPr>
              <w:t>±0.1</w:t>
            </w:r>
            <w:r>
              <w:rPr>
                <w:rFonts w:ascii="Times New Roman" w:hAnsi="宋体"/>
                <w:color w:val="auto"/>
                <w:szCs w:val="21"/>
                <w:highlight w:val="none"/>
              </w:rPr>
              <w:t>（</w:t>
            </w:r>
            <w:r>
              <w:rPr>
                <w:rFonts w:ascii="Times New Roman" w:hAnsi="Times New Roman"/>
                <w:color w:val="auto"/>
                <w:szCs w:val="21"/>
                <w:highlight w:val="none"/>
              </w:rPr>
              <w:t>pH 3~10</w:t>
            </w:r>
            <w:r>
              <w:rPr>
                <w:rFonts w:ascii="Times New Roman" w:hAnsi="宋体"/>
                <w:color w:val="auto"/>
                <w:szCs w:val="21"/>
                <w:highlight w:val="none"/>
              </w:rPr>
              <w:t>）</w:t>
            </w:r>
            <w:r>
              <w:rPr>
                <w:rFonts w:hint="eastAsia" w:ascii="Times New Roman" w:hAnsi="宋体"/>
                <w:color w:val="auto"/>
                <w:szCs w:val="21"/>
                <w:highlight w:val="none"/>
              </w:rPr>
              <w:t>，</w:t>
            </w:r>
            <w:r>
              <w:rPr>
                <w:rFonts w:ascii="Times New Roman" w:hAnsi="Times New Roman"/>
                <w:color w:val="auto"/>
                <w:szCs w:val="21"/>
                <w:highlight w:val="none"/>
              </w:rPr>
              <w:t>pH</w:t>
            </w:r>
            <w:r>
              <w:rPr>
                <w:rFonts w:ascii="Times New Roman" w:hAnsi="宋体"/>
                <w:color w:val="auto"/>
                <w:szCs w:val="21"/>
                <w:highlight w:val="none"/>
              </w:rPr>
              <w:t>值配置精度：</w:t>
            </w:r>
            <w:r>
              <w:rPr>
                <w:rFonts w:ascii="Times New Roman" w:hAnsi="Times New Roman"/>
                <w:color w:val="auto"/>
                <w:szCs w:val="21"/>
                <w:highlight w:val="none"/>
              </w:rPr>
              <w:t>&lt;1.8% RSD</w:t>
            </w:r>
            <w:r>
              <w:rPr>
                <w:rFonts w:ascii="Times New Roman" w:hAnsi="宋体"/>
                <w:color w:val="auto"/>
                <w:szCs w:val="21"/>
                <w:highlight w:val="none"/>
              </w:rPr>
              <w:t>（</w:t>
            </w:r>
            <w:r>
              <w:rPr>
                <w:rFonts w:ascii="Times New Roman" w:hAnsi="Times New Roman"/>
                <w:color w:val="auto"/>
                <w:szCs w:val="21"/>
                <w:highlight w:val="none"/>
              </w:rPr>
              <w:t>pH 3~10</w:t>
            </w:r>
            <w:r>
              <w:rPr>
                <w:rFonts w:ascii="Times New Roman" w:hAnsi="宋体"/>
                <w:color w:val="auto"/>
                <w:szCs w:val="21"/>
                <w:highlight w:val="none"/>
              </w:rPr>
              <w:t>）</w:t>
            </w:r>
            <w:r>
              <w:rPr>
                <w:rFonts w:hint="eastAsia" w:ascii="Times New Roman" w:hAnsi="宋体"/>
                <w:color w:val="auto"/>
                <w:szCs w:val="21"/>
                <w:highlight w:val="none"/>
              </w:rPr>
              <w:t>，</w:t>
            </w:r>
            <w:r>
              <w:rPr>
                <w:rFonts w:ascii="Times New Roman" w:hAnsi="宋体"/>
                <w:color w:val="auto"/>
                <w:szCs w:val="21"/>
                <w:highlight w:val="none"/>
              </w:rPr>
              <w:t>内置缓冲盐配置体系数量：</w:t>
            </w:r>
            <w:r>
              <w:rPr>
                <w:rFonts w:ascii="Times New Roman" w:hAnsi="Times New Roman"/>
                <w:color w:val="auto"/>
                <w:szCs w:val="21"/>
                <w:highlight w:val="none"/>
              </w:rPr>
              <w:t>≥8</w:t>
            </w:r>
            <w:r>
              <w:rPr>
                <w:rFonts w:hint="eastAsia" w:ascii="Times New Roman" w:hAnsi="Times New Roman"/>
                <w:color w:val="auto"/>
                <w:szCs w:val="21"/>
                <w:highlight w:val="none"/>
              </w:rPr>
              <w:t>；</w:t>
            </w:r>
            <w:r>
              <w:rPr>
                <w:rFonts w:ascii="Times New Roman" w:hAnsi="宋体"/>
                <w:color w:val="auto"/>
                <w:szCs w:val="21"/>
                <w:highlight w:val="none"/>
              </w:rPr>
              <w:t>梯度种类：</w:t>
            </w:r>
            <w:r>
              <w:rPr>
                <w:rFonts w:ascii="Times New Roman" w:hAnsi="Times New Roman"/>
                <w:color w:val="auto"/>
                <w:szCs w:val="21"/>
                <w:highlight w:val="none"/>
              </w:rPr>
              <w:t>3</w:t>
            </w:r>
            <w:r>
              <w:rPr>
                <w:rFonts w:ascii="Times New Roman" w:hAnsi="宋体"/>
                <w:color w:val="auto"/>
                <w:szCs w:val="21"/>
                <w:highlight w:val="none"/>
              </w:rPr>
              <w:t>种（流动相组成变化，流速变化，</w:t>
            </w:r>
            <w:r>
              <w:rPr>
                <w:rFonts w:ascii="Times New Roman" w:hAnsi="Times New Roman"/>
                <w:color w:val="auto"/>
                <w:szCs w:val="21"/>
                <w:highlight w:val="none"/>
              </w:rPr>
              <w:t>pH</w:t>
            </w:r>
            <w:r>
              <w:rPr>
                <w:rFonts w:ascii="Times New Roman" w:hAnsi="宋体"/>
                <w:color w:val="auto"/>
                <w:szCs w:val="21"/>
                <w:highlight w:val="none"/>
              </w:rPr>
              <w:t>值变化）</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heme="minorEastAsia" w:hAnsiTheme="minorEastAsia"/>
                <w:color w:val="auto"/>
                <w:spacing w:val="-6"/>
                <w:highlight w:val="none"/>
              </w:rPr>
              <w:t>▲</w:t>
            </w:r>
            <w:r>
              <w:rPr>
                <w:rFonts w:hint="eastAsia" w:ascii="Times New Roman" w:hAnsi="Times New Roman"/>
                <w:color w:val="auto"/>
                <w:szCs w:val="21"/>
                <w:highlight w:val="none"/>
              </w:rPr>
              <w:t>2.1.20</w:t>
            </w:r>
            <w:r>
              <w:rPr>
                <w:rFonts w:ascii="Times New Roman" w:hAnsi="宋体"/>
                <w:color w:val="auto"/>
                <w:szCs w:val="21"/>
                <w:highlight w:val="none"/>
              </w:rPr>
              <w:t>梯度变化模式：预编</w:t>
            </w:r>
            <w:r>
              <w:rPr>
                <w:rFonts w:ascii="Times New Roman" w:hAnsi="Times New Roman"/>
                <w:color w:val="auto"/>
                <w:szCs w:val="21"/>
                <w:highlight w:val="none"/>
              </w:rPr>
              <w:t>11</w:t>
            </w:r>
            <w:r>
              <w:rPr>
                <w:rFonts w:ascii="Times New Roman" w:hAnsi="宋体"/>
                <w:color w:val="auto"/>
                <w:szCs w:val="21"/>
                <w:highlight w:val="none"/>
              </w:rPr>
              <w:t>种梯度曲线，分为</w:t>
            </w:r>
            <w:r>
              <w:rPr>
                <w:rFonts w:ascii="Times New Roman" w:hAnsi="Times New Roman"/>
                <w:color w:val="auto"/>
                <w:szCs w:val="21"/>
                <w:highlight w:val="none"/>
              </w:rPr>
              <w:t>1</w:t>
            </w:r>
            <w:r>
              <w:rPr>
                <w:rFonts w:ascii="Times New Roman" w:hAnsi="宋体"/>
                <w:color w:val="auto"/>
                <w:szCs w:val="21"/>
                <w:highlight w:val="none"/>
              </w:rPr>
              <w:t>线性、</w:t>
            </w:r>
            <w:r>
              <w:rPr>
                <w:rFonts w:ascii="Times New Roman" w:hAnsi="Times New Roman"/>
                <w:color w:val="auto"/>
                <w:szCs w:val="21"/>
                <w:highlight w:val="none"/>
              </w:rPr>
              <w:t>2</w:t>
            </w:r>
            <w:r>
              <w:rPr>
                <w:rFonts w:ascii="Times New Roman" w:hAnsi="宋体"/>
                <w:color w:val="auto"/>
                <w:szCs w:val="21"/>
                <w:highlight w:val="none"/>
              </w:rPr>
              <w:t>步进、</w:t>
            </w:r>
            <w:r>
              <w:rPr>
                <w:rFonts w:ascii="Times New Roman" w:hAnsi="Times New Roman"/>
                <w:color w:val="auto"/>
                <w:szCs w:val="21"/>
                <w:highlight w:val="none"/>
              </w:rPr>
              <w:t>4</w:t>
            </w:r>
            <w:r>
              <w:rPr>
                <w:rFonts w:ascii="Times New Roman" w:hAnsi="宋体"/>
                <w:color w:val="auto"/>
                <w:szCs w:val="21"/>
                <w:highlight w:val="none"/>
              </w:rPr>
              <w:t>凹线、</w:t>
            </w:r>
            <w:r>
              <w:rPr>
                <w:rFonts w:ascii="Times New Roman" w:hAnsi="Times New Roman"/>
                <w:color w:val="auto"/>
                <w:szCs w:val="21"/>
                <w:highlight w:val="none"/>
              </w:rPr>
              <w:t>4</w:t>
            </w:r>
            <w:r>
              <w:rPr>
                <w:rFonts w:ascii="Times New Roman" w:hAnsi="宋体"/>
                <w:color w:val="auto"/>
                <w:szCs w:val="21"/>
                <w:highlight w:val="none"/>
              </w:rPr>
              <w:t>凸线四种类型</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2.1.21</w:t>
            </w:r>
            <w:r>
              <w:rPr>
                <w:rFonts w:ascii="Times New Roman" w:hAnsi="宋体"/>
                <w:color w:val="auto"/>
                <w:szCs w:val="21"/>
                <w:highlight w:val="none"/>
              </w:rPr>
              <w:t>可压缩性补偿：自动、持续</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2.1.22</w:t>
            </w:r>
            <w:r>
              <w:rPr>
                <w:rFonts w:ascii="Times New Roman" w:hAnsi="宋体"/>
                <w:color w:val="auto"/>
                <w:szCs w:val="21"/>
                <w:highlight w:val="none"/>
              </w:rPr>
              <w:t>泵密封清洗：配备自动清洗系统，用于冲洗高压密封件的后部和柱塞杆</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b/>
                <w:color w:val="auto"/>
                <w:szCs w:val="21"/>
                <w:highlight w:val="none"/>
              </w:rPr>
              <w:t>2.2</w:t>
            </w:r>
            <w:r>
              <w:rPr>
                <w:rFonts w:ascii="Times New Roman" w:hAnsi="宋体"/>
                <w:b/>
                <w:color w:val="auto"/>
                <w:szCs w:val="21"/>
                <w:highlight w:val="none"/>
              </w:rPr>
              <w:t>自动进样器管理系统</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2.2.1</w:t>
            </w:r>
            <w:r>
              <w:rPr>
                <w:rFonts w:ascii="Times New Roman" w:hAnsi="宋体"/>
                <w:color w:val="auto"/>
                <w:szCs w:val="21"/>
                <w:highlight w:val="none"/>
              </w:rPr>
              <w:t>流通针式进样模式</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2.2.2</w:t>
            </w:r>
            <w:r>
              <w:rPr>
                <w:rFonts w:ascii="Times New Roman" w:hAnsi="宋体"/>
                <w:color w:val="auto"/>
                <w:szCs w:val="21"/>
                <w:highlight w:val="none"/>
              </w:rPr>
              <w:t>定量同步：泵和进样器之间可实现进样同步，提高保留时间重现性</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2.2.3</w:t>
            </w:r>
            <w:r>
              <w:rPr>
                <w:rFonts w:ascii="Times New Roman" w:hAnsi="宋体"/>
                <w:color w:val="auto"/>
                <w:szCs w:val="21"/>
                <w:highlight w:val="none"/>
              </w:rPr>
              <w:t>最大样品容量：在</w:t>
            </w:r>
            <w:r>
              <w:rPr>
                <w:rFonts w:ascii="Times New Roman" w:hAnsi="Times New Roman"/>
                <w:color w:val="auto"/>
                <w:szCs w:val="21"/>
                <w:highlight w:val="none"/>
              </w:rPr>
              <w:t>2</w:t>
            </w:r>
            <w:r>
              <w:rPr>
                <w:rFonts w:ascii="Times New Roman" w:hAnsi="宋体"/>
                <w:color w:val="auto"/>
                <w:szCs w:val="21"/>
                <w:highlight w:val="none"/>
              </w:rPr>
              <w:t>个</w:t>
            </w:r>
            <w:r>
              <w:rPr>
                <w:rFonts w:ascii="Times New Roman" w:hAnsi="Times New Roman"/>
                <w:color w:val="auto"/>
                <w:szCs w:val="21"/>
                <w:highlight w:val="none"/>
              </w:rPr>
              <w:t>384</w:t>
            </w:r>
            <w:r>
              <w:rPr>
                <w:rFonts w:ascii="Times New Roman" w:hAnsi="宋体"/>
                <w:color w:val="auto"/>
                <w:szCs w:val="21"/>
                <w:highlight w:val="none"/>
              </w:rPr>
              <w:t>孔板中最多可容纳</w:t>
            </w:r>
            <w:r>
              <w:rPr>
                <w:rFonts w:ascii="Times New Roman" w:hAnsi="Times New Roman"/>
                <w:color w:val="auto"/>
                <w:szCs w:val="21"/>
                <w:highlight w:val="none"/>
              </w:rPr>
              <w:t>768</w:t>
            </w:r>
            <w:r>
              <w:rPr>
                <w:rFonts w:ascii="Times New Roman" w:hAnsi="宋体"/>
                <w:color w:val="auto"/>
                <w:szCs w:val="21"/>
                <w:highlight w:val="none"/>
              </w:rPr>
              <w:t>个样品，也可以使用</w:t>
            </w:r>
            <w:r>
              <w:rPr>
                <w:rFonts w:ascii="Times New Roman" w:hAnsi="Times New Roman"/>
                <w:color w:val="auto"/>
                <w:szCs w:val="21"/>
                <w:highlight w:val="none"/>
              </w:rPr>
              <w:t>2 mL</w:t>
            </w:r>
            <w:r>
              <w:rPr>
                <w:rFonts w:ascii="Times New Roman" w:hAnsi="宋体"/>
                <w:color w:val="auto"/>
                <w:szCs w:val="21"/>
                <w:highlight w:val="none"/>
              </w:rPr>
              <w:t>样品瓶架容纳</w:t>
            </w:r>
            <w:r>
              <w:rPr>
                <w:rFonts w:ascii="Times New Roman" w:hAnsi="Times New Roman"/>
                <w:color w:val="auto"/>
                <w:szCs w:val="21"/>
                <w:highlight w:val="none"/>
              </w:rPr>
              <w:t>96</w:t>
            </w:r>
            <w:r>
              <w:rPr>
                <w:rFonts w:ascii="Times New Roman" w:hAnsi="宋体"/>
                <w:color w:val="auto"/>
                <w:szCs w:val="21"/>
                <w:highlight w:val="none"/>
              </w:rPr>
              <w:t>个样品，另设有</w:t>
            </w:r>
            <w:r>
              <w:rPr>
                <w:rFonts w:ascii="Times New Roman" w:hAnsi="Times New Roman"/>
                <w:color w:val="auto"/>
                <w:szCs w:val="21"/>
                <w:highlight w:val="none"/>
              </w:rPr>
              <w:t>4</w:t>
            </w:r>
            <w:r>
              <w:rPr>
                <w:rFonts w:ascii="Times New Roman" w:hAnsi="宋体"/>
                <w:color w:val="auto"/>
                <w:szCs w:val="21"/>
                <w:highlight w:val="none"/>
              </w:rPr>
              <w:t>个位置用于稀释</w:t>
            </w:r>
            <w:r>
              <w:rPr>
                <w:rFonts w:ascii="Times New Roman" w:hAnsi="Times New Roman"/>
                <w:color w:val="auto"/>
                <w:szCs w:val="21"/>
                <w:highlight w:val="none"/>
              </w:rPr>
              <w:t xml:space="preserve"> </w:t>
            </w:r>
            <w:r>
              <w:rPr>
                <w:rFonts w:hint="eastAsia" w:ascii="Times New Roman" w:hAnsi="Times New Roman"/>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2.2.4</w:t>
            </w:r>
            <w:r>
              <w:rPr>
                <w:rFonts w:ascii="Times New Roman" w:hAnsi="宋体"/>
                <w:color w:val="auto"/>
                <w:szCs w:val="21"/>
                <w:highlight w:val="none"/>
              </w:rPr>
              <w:t>样品板数量：</w:t>
            </w:r>
            <w:r>
              <w:rPr>
                <w:rFonts w:ascii="Times New Roman" w:hAnsi="Times New Roman"/>
                <w:color w:val="auto"/>
                <w:szCs w:val="21"/>
                <w:highlight w:val="none"/>
              </w:rPr>
              <w:t>≥190</w:t>
            </w:r>
            <w:r>
              <w:rPr>
                <w:rFonts w:ascii="Times New Roman" w:hAnsi="宋体"/>
                <w:color w:val="auto"/>
                <w:szCs w:val="21"/>
                <w:highlight w:val="none"/>
              </w:rPr>
              <w:t>孔微孔板</w:t>
            </w:r>
            <w:r>
              <w:rPr>
                <w:rFonts w:hint="eastAsia" w:ascii="Times New Roman" w:hAnsi="宋体"/>
                <w:color w:val="auto"/>
                <w:szCs w:val="21"/>
                <w:highlight w:val="none"/>
              </w:rPr>
              <w:t>，</w:t>
            </w:r>
            <w:r>
              <w:rPr>
                <w:rFonts w:ascii="Times New Roman" w:hAnsi="Times New Roman"/>
                <w:color w:val="auto"/>
                <w:szCs w:val="21"/>
                <w:highlight w:val="none"/>
              </w:rPr>
              <w:t>≥96</w:t>
            </w:r>
            <w:r>
              <w:rPr>
                <w:rFonts w:ascii="Times New Roman" w:hAnsi="宋体"/>
                <w:color w:val="auto"/>
                <w:szCs w:val="21"/>
                <w:highlight w:val="none"/>
              </w:rPr>
              <w:t>位</w:t>
            </w:r>
            <w:r>
              <w:rPr>
                <w:rFonts w:ascii="Times New Roman" w:hAnsi="Times New Roman"/>
                <w:color w:val="auto"/>
                <w:szCs w:val="21"/>
                <w:highlight w:val="none"/>
              </w:rPr>
              <w:t>2.00 mL</w:t>
            </w:r>
            <w:r>
              <w:rPr>
                <w:rFonts w:ascii="Times New Roman" w:hAnsi="宋体"/>
                <w:color w:val="auto"/>
                <w:szCs w:val="21"/>
                <w:highlight w:val="none"/>
              </w:rPr>
              <w:t>样品瓶板</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2.2.5</w:t>
            </w:r>
            <w:r>
              <w:rPr>
                <w:rFonts w:ascii="Times New Roman" w:hAnsi="宋体"/>
                <w:color w:val="auto"/>
                <w:szCs w:val="21"/>
                <w:highlight w:val="none"/>
              </w:rPr>
              <w:t>准确度（吸样）：</w:t>
            </w:r>
            <w:r>
              <w:rPr>
                <w:rFonts w:ascii="Times New Roman" w:hAnsi="Times New Roman"/>
                <w:color w:val="auto"/>
                <w:szCs w:val="21"/>
                <w:highlight w:val="none"/>
              </w:rPr>
              <w:t>± 0.2 μL</w:t>
            </w:r>
            <w:r>
              <w:rPr>
                <w:rFonts w:hint="eastAsia" w:ascii="Times New Roman" w:hAnsi="Times New Roman"/>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2.2.6</w:t>
            </w:r>
            <w:r>
              <w:rPr>
                <w:rFonts w:ascii="Times New Roman" w:hAnsi="宋体"/>
                <w:color w:val="auto"/>
                <w:szCs w:val="21"/>
                <w:highlight w:val="none"/>
              </w:rPr>
              <w:t>进样线性度：</w:t>
            </w:r>
            <w:r>
              <w:rPr>
                <w:rFonts w:ascii="Times New Roman" w:hAnsi="Times New Roman"/>
                <w:color w:val="auto"/>
                <w:szCs w:val="21"/>
                <w:highlight w:val="none"/>
              </w:rPr>
              <w:t>&gt;0.999</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2.2.7</w:t>
            </w:r>
            <w:r>
              <w:rPr>
                <w:rFonts w:ascii="Times New Roman" w:hAnsi="宋体"/>
                <w:color w:val="auto"/>
                <w:szCs w:val="21"/>
                <w:highlight w:val="none"/>
              </w:rPr>
              <w:t>进样精度：</w:t>
            </w:r>
            <w:r>
              <w:rPr>
                <w:rFonts w:ascii="Times New Roman" w:hAnsi="Times New Roman"/>
                <w:color w:val="auto"/>
                <w:szCs w:val="21"/>
                <w:highlight w:val="none"/>
              </w:rPr>
              <w:t>≤0.25% RSD</w:t>
            </w:r>
            <w:r>
              <w:rPr>
                <w:rFonts w:ascii="Times New Roman" w:hAnsi="宋体"/>
                <w:color w:val="auto"/>
                <w:szCs w:val="21"/>
                <w:highlight w:val="none"/>
              </w:rPr>
              <w:t>，</w:t>
            </w:r>
            <w:r>
              <w:rPr>
                <w:rFonts w:ascii="Times New Roman" w:hAnsi="Times New Roman"/>
                <w:color w:val="auto"/>
                <w:szCs w:val="21"/>
                <w:highlight w:val="none"/>
              </w:rPr>
              <w:t>5~100 μL</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2.2.8</w:t>
            </w:r>
            <w:r>
              <w:rPr>
                <w:rFonts w:ascii="Times New Roman" w:hAnsi="宋体"/>
                <w:color w:val="auto"/>
                <w:szCs w:val="21"/>
                <w:highlight w:val="none"/>
              </w:rPr>
              <w:t>进样针清洗：集成、主动、程序化</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2.2.9</w:t>
            </w:r>
            <w:r>
              <w:rPr>
                <w:rFonts w:ascii="Times New Roman" w:hAnsi="宋体"/>
                <w:color w:val="auto"/>
                <w:szCs w:val="21"/>
                <w:highlight w:val="none"/>
              </w:rPr>
              <w:t>样品交叉污染度：对于咖啡因，</w:t>
            </w:r>
            <w:r>
              <w:rPr>
                <w:rFonts w:ascii="Times New Roman" w:hAnsi="Times New Roman"/>
                <w:color w:val="auto"/>
                <w:szCs w:val="21"/>
                <w:highlight w:val="none"/>
              </w:rPr>
              <w:t>≤0.002% (UV)</w:t>
            </w:r>
            <w:r>
              <w:rPr>
                <w:rFonts w:ascii="Times New Roman" w:hAnsi="宋体"/>
                <w:color w:val="auto"/>
                <w:szCs w:val="21"/>
                <w:highlight w:val="none"/>
              </w:rPr>
              <w:t>；对于磺胺二甲氧嘧啶，</w:t>
            </w:r>
            <w:r>
              <w:rPr>
                <w:rFonts w:ascii="Times New Roman" w:hAnsi="Times New Roman"/>
                <w:color w:val="auto"/>
                <w:szCs w:val="21"/>
                <w:highlight w:val="none"/>
              </w:rPr>
              <w:t>≤0.002% (MS)</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2.2.10</w:t>
            </w:r>
            <w:r>
              <w:rPr>
                <w:rFonts w:ascii="Times New Roman" w:hAnsi="宋体"/>
                <w:color w:val="auto"/>
                <w:szCs w:val="21"/>
                <w:highlight w:val="none"/>
              </w:rPr>
              <w:t>进样体积：</w:t>
            </w:r>
            <w:r>
              <w:rPr>
                <w:rFonts w:ascii="Times New Roman" w:hAnsi="Times New Roman"/>
                <w:color w:val="auto"/>
                <w:szCs w:val="21"/>
                <w:highlight w:val="none"/>
              </w:rPr>
              <w:t>0.1~10μL</w:t>
            </w:r>
            <w:r>
              <w:rPr>
                <w:rFonts w:ascii="Times New Roman" w:hAnsi="宋体"/>
                <w:color w:val="auto"/>
                <w:szCs w:val="21"/>
                <w:highlight w:val="none"/>
              </w:rPr>
              <w:t>，增量：</w:t>
            </w:r>
            <w:r>
              <w:rPr>
                <w:rFonts w:ascii="Times New Roman" w:hAnsi="Times New Roman"/>
                <w:color w:val="auto"/>
                <w:szCs w:val="21"/>
                <w:highlight w:val="none"/>
              </w:rPr>
              <w:t>0.1μL</w:t>
            </w:r>
            <w:r>
              <w:rPr>
                <w:rFonts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2.2.11</w:t>
            </w:r>
            <w:r>
              <w:rPr>
                <w:rFonts w:ascii="Times New Roman" w:hAnsi="宋体"/>
                <w:color w:val="auto"/>
                <w:szCs w:val="21"/>
                <w:highlight w:val="none"/>
              </w:rPr>
              <w:t>进样次数：每个样品</w:t>
            </w:r>
            <w:r>
              <w:rPr>
                <w:rFonts w:ascii="Times New Roman" w:hAnsi="Times New Roman"/>
                <w:color w:val="auto"/>
                <w:szCs w:val="21"/>
                <w:highlight w:val="none"/>
              </w:rPr>
              <w:t>1</w:t>
            </w:r>
            <w:r>
              <w:rPr>
                <w:rFonts w:ascii="Times New Roman" w:hAnsi="宋体"/>
                <w:color w:val="auto"/>
                <w:szCs w:val="21"/>
                <w:highlight w:val="none"/>
              </w:rPr>
              <w:t>～</w:t>
            </w:r>
            <w:r>
              <w:rPr>
                <w:rFonts w:ascii="Times New Roman" w:hAnsi="Times New Roman"/>
                <w:color w:val="auto"/>
                <w:szCs w:val="21"/>
                <w:highlight w:val="none"/>
              </w:rPr>
              <w:t>99</w:t>
            </w:r>
            <w:r>
              <w:rPr>
                <w:rFonts w:ascii="Times New Roman" w:hAnsi="宋体"/>
                <w:color w:val="auto"/>
                <w:szCs w:val="21"/>
                <w:highlight w:val="none"/>
              </w:rPr>
              <w:t>次进样</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2.2.12</w:t>
            </w:r>
            <w:r>
              <w:rPr>
                <w:rFonts w:ascii="Times New Roman" w:hAnsi="宋体"/>
                <w:color w:val="auto"/>
                <w:szCs w:val="21"/>
                <w:highlight w:val="none"/>
              </w:rPr>
              <w:t>自动进样循环时间：</w:t>
            </w:r>
            <w:r>
              <w:rPr>
                <w:rFonts w:ascii="Times New Roman" w:hAnsi="Times New Roman"/>
                <w:color w:val="auto"/>
                <w:szCs w:val="21"/>
                <w:highlight w:val="none"/>
              </w:rPr>
              <w:t>&lt;30 s</w:t>
            </w:r>
            <w:r>
              <w:rPr>
                <w:rFonts w:ascii="Times New Roman" w:hAnsi="宋体"/>
                <w:color w:val="auto"/>
                <w:szCs w:val="21"/>
                <w:highlight w:val="none"/>
              </w:rPr>
              <w:t>（进样之间</w:t>
            </w:r>
            <w:r>
              <w:rPr>
                <w:rFonts w:hint="eastAsia" w:ascii="Times New Roman" w:hAnsi="Times New Roman"/>
                <w:color w:val="auto"/>
                <w:szCs w:val="21"/>
                <w:highlight w:val="none"/>
              </w:rPr>
              <w:t>，</w:t>
            </w:r>
            <w:r>
              <w:rPr>
                <w:rFonts w:ascii="Times New Roman" w:hAnsi="宋体"/>
                <w:color w:val="auto"/>
                <w:szCs w:val="21"/>
                <w:highlight w:val="none"/>
              </w:rPr>
              <w:t>带针外壁进样前后各</w:t>
            </w:r>
            <w:r>
              <w:rPr>
                <w:rFonts w:ascii="Times New Roman" w:hAnsi="Times New Roman"/>
                <w:color w:val="auto"/>
                <w:szCs w:val="21"/>
                <w:highlight w:val="none"/>
              </w:rPr>
              <w:t>6s</w:t>
            </w:r>
            <w:r>
              <w:rPr>
                <w:rFonts w:ascii="Times New Roman" w:hAnsi="宋体"/>
                <w:color w:val="auto"/>
                <w:szCs w:val="21"/>
                <w:highlight w:val="none"/>
              </w:rPr>
              <w:t>清洗）</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2.2.13</w:t>
            </w:r>
            <w:r>
              <w:rPr>
                <w:rFonts w:ascii="Times New Roman" w:hAnsi="宋体"/>
                <w:color w:val="auto"/>
                <w:szCs w:val="21"/>
                <w:highlight w:val="none"/>
              </w:rPr>
              <w:t>样品室温度范围：</w:t>
            </w:r>
            <w:r>
              <w:rPr>
                <w:rFonts w:ascii="Times New Roman" w:hAnsi="Times New Roman"/>
                <w:color w:val="auto"/>
                <w:szCs w:val="21"/>
                <w:highlight w:val="none"/>
              </w:rPr>
              <w:t>4</w:t>
            </w:r>
            <w:r>
              <w:rPr>
                <w:rFonts w:ascii="宋体" w:hAnsi="宋体"/>
                <w:color w:val="auto"/>
                <w:szCs w:val="21"/>
                <w:highlight w:val="none"/>
              </w:rPr>
              <w:t>℃</w:t>
            </w:r>
            <w:r>
              <w:rPr>
                <w:rFonts w:ascii="Times New Roman" w:hAnsi="Times New Roman"/>
                <w:color w:val="auto"/>
                <w:szCs w:val="21"/>
                <w:highlight w:val="none"/>
              </w:rPr>
              <w:t>~40</w:t>
            </w:r>
            <w:r>
              <w:rPr>
                <w:rFonts w:ascii="宋体" w:hAnsi="宋体"/>
                <w:color w:val="auto"/>
                <w:szCs w:val="21"/>
                <w:highlight w:val="none"/>
              </w:rPr>
              <w:t>℃</w:t>
            </w:r>
            <w:r>
              <w:rPr>
                <w:rFonts w:ascii="Times New Roman" w:hAnsi="宋体"/>
                <w:color w:val="auto"/>
                <w:szCs w:val="21"/>
                <w:highlight w:val="none"/>
              </w:rPr>
              <w:t>，温度准确度：传感器处为</w:t>
            </w:r>
            <w:r>
              <w:rPr>
                <w:rFonts w:ascii="Times New Roman" w:hAnsi="Times New Roman"/>
                <w:color w:val="auto"/>
                <w:szCs w:val="21"/>
                <w:highlight w:val="none"/>
              </w:rPr>
              <w:t>+/- 0.5</w:t>
            </w:r>
            <w:r>
              <w:rPr>
                <w:rFonts w:ascii="宋体" w:hAnsi="宋体"/>
                <w:color w:val="auto"/>
                <w:szCs w:val="21"/>
                <w:highlight w:val="none"/>
              </w:rPr>
              <w:t>℃</w:t>
            </w:r>
            <w:r>
              <w:rPr>
                <w:rFonts w:hint="eastAsia" w:ascii="宋体" w:hAnsi="宋体"/>
                <w:color w:val="auto"/>
                <w:szCs w:val="21"/>
                <w:highlight w:val="none"/>
              </w:rPr>
              <w:t>，</w:t>
            </w:r>
            <w:r>
              <w:rPr>
                <w:rFonts w:ascii="Times New Roman" w:hAnsi="宋体"/>
                <w:color w:val="auto"/>
                <w:szCs w:val="21"/>
                <w:highlight w:val="none"/>
              </w:rPr>
              <w:t>温度稳定性：传感器处为</w:t>
            </w:r>
            <w:r>
              <w:rPr>
                <w:rFonts w:ascii="Times New Roman" w:hAnsi="Times New Roman"/>
                <w:color w:val="auto"/>
                <w:szCs w:val="21"/>
                <w:highlight w:val="none"/>
              </w:rPr>
              <w:t>+/- 1.0</w:t>
            </w:r>
            <w:r>
              <w:rPr>
                <w:rFonts w:ascii="宋体" w:hAnsi="宋体"/>
                <w:color w:val="auto"/>
                <w:szCs w:val="21"/>
                <w:highlight w:val="none"/>
              </w:rPr>
              <w:t>℃</w:t>
            </w:r>
            <w:r>
              <w:rPr>
                <w:rFonts w:hint="eastAsia" w:ascii="宋体"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2.2.14</w:t>
            </w:r>
            <w:r>
              <w:rPr>
                <w:rFonts w:ascii="Times New Roman" w:hAnsi="宋体"/>
                <w:color w:val="auto"/>
                <w:szCs w:val="21"/>
                <w:highlight w:val="none"/>
              </w:rPr>
              <w:t>样品管理器加热时间：</w:t>
            </w:r>
            <w:r>
              <w:rPr>
                <w:rFonts w:ascii="Times New Roman" w:hAnsi="Times New Roman"/>
                <w:color w:val="auto"/>
                <w:szCs w:val="21"/>
                <w:highlight w:val="none"/>
              </w:rPr>
              <w:t>≤30 min</w:t>
            </w:r>
            <w:r>
              <w:rPr>
                <w:rFonts w:ascii="Times New Roman" w:hAnsi="宋体"/>
                <w:color w:val="auto"/>
                <w:szCs w:val="21"/>
                <w:highlight w:val="none"/>
              </w:rPr>
              <w:t>，环境温度</w:t>
            </w:r>
            <w:r>
              <w:rPr>
                <w:rFonts w:ascii="Times New Roman" w:hAnsi="Times New Roman"/>
                <w:color w:val="auto"/>
                <w:szCs w:val="21"/>
                <w:highlight w:val="none"/>
              </w:rPr>
              <w:t>-40 °C</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2.2.15</w:t>
            </w:r>
            <w:r>
              <w:rPr>
                <w:rFonts w:ascii="Times New Roman" w:hAnsi="宋体"/>
                <w:color w:val="auto"/>
                <w:szCs w:val="21"/>
                <w:highlight w:val="none"/>
              </w:rPr>
              <w:t>样品管理器冷却时间：</w:t>
            </w:r>
            <w:r>
              <w:rPr>
                <w:rFonts w:ascii="Times New Roman" w:hAnsi="Times New Roman"/>
                <w:color w:val="auto"/>
                <w:szCs w:val="21"/>
                <w:highlight w:val="none"/>
              </w:rPr>
              <w:t>≤60 min</w:t>
            </w:r>
            <w:r>
              <w:rPr>
                <w:rFonts w:ascii="Times New Roman" w:hAnsi="宋体"/>
                <w:color w:val="auto"/>
                <w:szCs w:val="21"/>
                <w:highlight w:val="none"/>
              </w:rPr>
              <w:t>，环境温度</w:t>
            </w:r>
            <w:r>
              <w:rPr>
                <w:rFonts w:ascii="Times New Roman" w:hAnsi="Times New Roman"/>
                <w:color w:val="auto"/>
                <w:szCs w:val="21"/>
                <w:highlight w:val="none"/>
              </w:rPr>
              <w:t>-4 °C</w:t>
            </w:r>
            <w:r>
              <w:rPr>
                <w:rFonts w:hint="eastAsia" w:ascii="Times New Roman" w:hAnsi="Times New Roman"/>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2.2.16</w:t>
            </w:r>
            <w:r>
              <w:rPr>
                <w:rFonts w:ascii="Times New Roman" w:hAnsi="宋体"/>
                <w:color w:val="auto"/>
                <w:szCs w:val="21"/>
                <w:highlight w:val="none"/>
              </w:rPr>
              <w:t>样品管理器高级功能：自动稀释、自动添加和预加载</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b/>
                <w:color w:val="auto"/>
                <w:szCs w:val="21"/>
                <w:highlight w:val="none"/>
              </w:rPr>
            </w:pPr>
            <w:r>
              <w:rPr>
                <w:rFonts w:hint="eastAsia" w:ascii="Times New Roman" w:hAnsi="宋体"/>
                <w:b/>
                <w:color w:val="auto"/>
                <w:szCs w:val="21"/>
                <w:highlight w:val="none"/>
              </w:rPr>
              <w:t>2.3</w:t>
            </w:r>
            <w:r>
              <w:rPr>
                <w:rFonts w:ascii="Times New Roman" w:hAnsi="宋体"/>
                <w:b/>
                <w:color w:val="auto"/>
                <w:szCs w:val="21"/>
                <w:highlight w:val="none"/>
              </w:rPr>
              <w:t>柱温箱</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2.3.1</w:t>
            </w:r>
            <w:r>
              <w:rPr>
                <w:rFonts w:ascii="Times New Roman" w:hAnsi="宋体"/>
                <w:color w:val="auto"/>
                <w:szCs w:val="21"/>
                <w:highlight w:val="none"/>
              </w:rPr>
              <w:t>色谱柱容量：可容纳单根色谱柱，最大内径</w:t>
            </w:r>
            <w:r>
              <w:rPr>
                <w:rFonts w:ascii="Times New Roman" w:hAnsi="Times New Roman"/>
                <w:color w:val="auto"/>
                <w:szCs w:val="21"/>
                <w:highlight w:val="none"/>
              </w:rPr>
              <w:t>(I.D.) 4.6 mm</w:t>
            </w:r>
            <w:r>
              <w:rPr>
                <w:rFonts w:ascii="Times New Roman" w:hAnsi="宋体"/>
                <w:color w:val="auto"/>
                <w:szCs w:val="21"/>
                <w:highlight w:val="none"/>
              </w:rPr>
              <w:t>，最长</w:t>
            </w:r>
            <w:r>
              <w:rPr>
                <w:rFonts w:ascii="Times New Roman" w:hAnsi="Times New Roman"/>
                <w:color w:val="auto"/>
                <w:szCs w:val="21"/>
                <w:highlight w:val="none"/>
              </w:rPr>
              <w:t>150 mm</w:t>
            </w:r>
            <w:r>
              <w:rPr>
                <w:rFonts w:ascii="Times New Roman" w:hAnsi="宋体"/>
                <w:color w:val="auto"/>
                <w:szCs w:val="21"/>
                <w:highlight w:val="none"/>
              </w:rPr>
              <w:t>（带在线过滤器或保护柱）；</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2.3.2</w:t>
            </w:r>
            <w:r>
              <w:rPr>
                <w:rFonts w:ascii="Times New Roman" w:hAnsi="宋体"/>
                <w:color w:val="auto"/>
                <w:szCs w:val="21"/>
                <w:highlight w:val="none"/>
              </w:rPr>
              <w:t>温度范围：</w:t>
            </w:r>
            <w:r>
              <w:rPr>
                <w:rFonts w:ascii="Times New Roman" w:hAnsi="Times New Roman"/>
                <w:color w:val="auto"/>
                <w:szCs w:val="21"/>
                <w:highlight w:val="none"/>
              </w:rPr>
              <w:t>20.0</w:t>
            </w:r>
            <w:r>
              <w:rPr>
                <w:rFonts w:ascii="Times New Roman" w:hAnsi="宋体"/>
                <w:color w:val="auto"/>
                <w:szCs w:val="21"/>
                <w:highlight w:val="none"/>
              </w:rPr>
              <w:t>（或高于环境温度</w:t>
            </w:r>
            <w:r>
              <w:rPr>
                <w:rFonts w:ascii="Times New Roman" w:hAnsi="Times New Roman"/>
                <w:color w:val="auto"/>
                <w:szCs w:val="21"/>
                <w:highlight w:val="none"/>
              </w:rPr>
              <w:t>5.0</w:t>
            </w:r>
            <w:r>
              <w:rPr>
                <w:rFonts w:ascii="宋体" w:hAnsi="宋体"/>
                <w:color w:val="auto"/>
                <w:szCs w:val="21"/>
                <w:highlight w:val="none"/>
              </w:rPr>
              <w:t>℃</w:t>
            </w:r>
            <w:r>
              <w:rPr>
                <w:rFonts w:ascii="Times New Roman" w:hAnsi="宋体"/>
                <w:color w:val="auto"/>
                <w:szCs w:val="21"/>
                <w:highlight w:val="none"/>
              </w:rPr>
              <w:t>）</w:t>
            </w:r>
            <w:r>
              <w:rPr>
                <w:rFonts w:ascii="Times New Roman" w:hAnsi="Times New Roman"/>
                <w:color w:val="auto"/>
                <w:szCs w:val="21"/>
                <w:highlight w:val="none"/>
              </w:rPr>
              <w:t>~90.0</w:t>
            </w:r>
            <w:r>
              <w:rPr>
                <w:rFonts w:ascii="宋体" w:hAnsi="宋体"/>
                <w:color w:val="auto"/>
                <w:szCs w:val="21"/>
                <w:highlight w:val="none"/>
              </w:rPr>
              <w:t>℃</w:t>
            </w:r>
            <w:r>
              <w:rPr>
                <w:rFonts w:ascii="Times New Roman" w:hAnsi="宋体"/>
                <w:color w:val="auto"/>
                <w:szCs w:val="21"/>
                <w:highlight w:val="none"/>
              </w:rPr>
              <w:t>，增量：</w:t>
            </w:r>
            <w:r>
              <w:rPr>
                <w:rFonts w:ascii="Times New Roman" w:hAnsi="Times New Roman"/>
                <w:color w:val="auto"/>
                <w:szCs w:val="21"/>
                <w:highlight w:val="none"/>
              </w:rPr>
              <w:t>0.1</w:t>
            </w:r>
            <w:r>
              <w:rPr>
                <w:rFonts w:ascii="宋体" w:hAnsi="宋体"/>
                <w:color w:val="auto"/>
                <w:szCs w:val="21"/>
                <w:highlight w:val="none"/>
              </w:rPr>
              <w:t>℃</w:t>
            </w:r>
            <w:r>
              <w:rPr>
                <w:rFonts w:hint="eastAsia" w:ascii="宋体" w:hAnsi="宋体"/>
                <w:color w:val="auto"/>
                <w:szCs w:val="21"/>
                <w:highlight w:val="none"/>
              </w:rPr>
              <w:t>，</w:t>
            </w:r>
            <w:r>
              <w:rPr>
                <w:rFonts w:ascii="Times New Roman" w:hAnsi="宋体"/>
                <w:color w:val="auto"/>
                <w:szCs w:val="21"/>
                <w:highlight w:val="none"/>
              </w:rPr>
              <w:t>温度准确度</w:t>
            </w:r>
            <w:r>
              <w:rPr>
                <w:rFonts w:ascii="Times New Roman" w:hAnsi="Times New Roman"/>
                <w:color w:val="auto"/>
                <w:szCs w:val="21"/>
                <w:highlight w:val="none"/>
              </w:rPr>
              <w:t xml:space="preserve"> ± 0.5 °C</w:t>
            </w:r>
            <w:r>
              <w:rPr>
                <w:rFonts w:hint="eastAsia" w:ascii="Times New Roman" w:hAnsi="Times New Roman"/>
                <w:color w:val="auto"/>
                <w:szCs w:val="21"/>
                <w:highlight w:val="none"/>
              </w:rPr>
              <w:t>，</w:t>
            </w:r>
            <w:r>
              <w:rPr>
                <w:rFonts w:ascii="Times New Roman" w:hAnsi="宋体"/>
                <w:color w:val="auto"/>
                <w:szCs w:val="21"/>
                <w:highlight w:val="none"/>
              </w:rPr>
              <w:t>温度稳定度</w:t>
            </w:r>
            <w:r>
              <w:rPr>
                <w:rFonts w:ascii="Times New Roman" w:hAnsi="Times New Roman"/>
                <w:color w:val="auto"/>
                <w:szCs w:val="21"/>
                <w:highlight w:val="none"/>
              </w:rPr>
              <w:t xml:space="preserve"> ± 0.3 °C</w:t>
            </w:r>
            <w:r>
              <w:rPr>
                <w:rFonts w:hint="eastAsia" w:ascii="Times New Roman" w:hAnsi="Times New Roman"/>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2.3.3</w:t>
            </w:r>
            <w:r>
              <w:rPr>
                <w:rFonts w:ascii="Times New Roman" w:hAnsi="宋体"/>
                <w:color w:val="auto"/>
                <w:szCs w:val="21"/>
                <w:highlight w:val="none"/>
              </w:rPr>
              <w:t>色谱柱室加热时间：</w:t>
            </w:r>
            <w:r>
              <w:rPr>
                <w:rFonts w:ascii="Times New Roman" w:hAnsi="Times New Roman"/>
                <w:color w:val="auto"/>
                <w:szCs w:val="21"/>
                <w:highlight w:val="none"/>
              </w:rPr>
              <w:t>≤15 min</w:t>
            </w:r>
            <w:r>
              <w:rPr>
                <w:rFonts w:ascii="Times New Roman" w:hAnsi="宋体"/>
                <w:color w:val="auto"/>
                <w:szCs w:val="21"/>
                <w:highlight w:val="none"/>
              </w:rPr>
              <w:t>，环境温度</w:t>
            </w:r>
            <w:r>
              <w:rPr>
                <w:rFonts w:ascii="Times New Roman" w:hAnsi="Times New Roman"/>
                <w:color w:val="auto"/>
                <w:szCs w:val="21"/>
                <w:highlight w:val="none"/>
              </w:rPr>
              <w:t>-60 °C</w:t>
            </w:r>
            <w:r>
              <w:rPr>
                <w:rFonts w:hint="eastAsia" w:ascii="Times New Roman" w:hAnsi="Times New Roman"/>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2.3.4</w:t>
            </w:r>
            <w:r>
              <w:rPr>
                <w:rFonts w:ascii="Times New Roman" w:hAnsi="宋体"/>
                <w:color w:val="auto"/>
                <w:szCs w:val="21"/>
                <w:highlight w:val="none"/>
              </w:rPr>
              <w:t>即插主动式溶剂预热器</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2.3.5</w:t>
            </w:r>
            <w:r>
              <w:rPr>
                <w:rFonts w:ascii="Times New Roman" w:hAnsi="宋体"/>
                <w:color w:val="auto"/>
                <w:szCs w:val="21"/>
                <w:highlight w:val="none"/>
              </w:rPr>
              <w:t>溶剂平衡：主动预加热</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heme="minorEastAsia" w:hAnsiTheme="minorEastAsia"/>
                <w:color w:val="auto"/>
                <w:spacing w:val="-6"/>
                <w:highlight w:val="none"/>
              </w:rPr>
              <w:t>▲</w:t>
            </w:r>
            <w:r>
              <w:rPr>
                <w:rFonts w:hint="eastAsia" w:ascii="Times New Roman" w:hAnsi="宋体"/>
                <w:color w:val="auto"/>
                <w:szCs w:val="21"/>
                <w:highlight w:val="none"/>
              </w:rPr>
              <w:t>2.3.6</w:t>
            </w:r>
            <w:r>
              <w:rPr>
                <w:rFonts w:ascii="Times New Roman" w:hAnsi="宋体"/>
                <w:color w:val="auto"/>
                <w:szCs w:val="21"/>
                <w:highlight w:val="none"/>
              </w:rPr>
              <w:t>色谱柱追踪：智能芯片技术利用色谱柱信息管理功能追踪并存档色谱柱的使用历史。信息类型为</w:t>
            </w:r>
            <w:r>
              <w:rPr>
                <w:rFonts w:ascii="Times New Roman" w:hAnsi="Times New Roman"/>
                <w:color w:val="auto"/>
                <w:szCs w:val="21"/>
                <w:highlight w:val="none"/>
              </w:rPr>
              <w:t>18</w:t>
            </w:r>
            <w:r>
              <w:rPr>
                <w:rFonts w:ascii="Times New Roman" w:hAnsi="宋体"/>
                <w:color w:val="auto"/>
                <w:szCs w:val="21"/>
                <w:highlight w:val="none"/>
              </w:rPr>
              <w:t>项（内容包括色谱柱测试报告及填料特性、</w:t>
            </w:r>
            <w:r>
              <w:rPr>
                <w:rFonts w:ascii="Times New Roman" w:hAnsi="Times New Roman"/>
                <w:color w:val="auto"/>
                <w:szCs w:val="21"/>
                <w:highlight w:val="none"/>
              </w:rPr>
              <w:t>50</w:t>
            </w:r>
            <w:r>
              <w:rPr>
                <w:rFonts w:ascii="Times New Roman" w:hAnsi="宋体"/>
                <w:color w:val="auto"/>
                <w:szCs w:val="21"/>
                <w:highlight w:val="none"/>
              </w:rPr>
              <w:t>个样品组、使用过程中最小最大柱压力、温度、操作者、进样次数等信息）</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b/>
                <w:color w:val="auto"/>
                <w:szCs w:val="21"/>
                <w:highlight w:val="none"/>
              </w:rPr>
            </w:pPr>
            <w:r>
              <w:rPr>
                <w:rFonts w:hint="eastAsia" w:ascii="Times New Roman" w:hAnsi="宋体"/>
                <w:b/>
                <w:color w:val="auto"/>
                <w:szCs w:val="21"/>
                <w:highlight w:val="none"/>
              </w:rPr>
              <w:t>2.4</w:t>
            </w:r>
            <w:r>
              <w:rPr>
                <w:rFonts w:ascii="Times New Roman" w:hAnsi="宋体"/>
                <w:b/>
                <w:color w:val="auto"/>
                <w:szCs w:val="21"/>
                <w:highlight w:val="none"/>
              </w:rPr>
              <w:t>二极管阵列检测器</w:t>
            </w:r>
            <w:r>
              <w:rPr>
                <w:rFonts w:ascii="Times New Roman" w:hAnsi="Times New Roman"/>
                <w:b/>
                <w:color w:val="auto"/>
                <w:szCs w:val="21"/>
                <w:highlight w:val="none"/>
              </w:rPr>
              <w:t xml:space="preserve"> </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2.4.1</w:t>
            </w:r>
            <w:r>
              <w:rPr>
                <w:rFonts w:ascii="Times New Roman" w:hAnsi="宋体"/>
                <w:color w:val="auto"/>
                <w:szCs w:val="21"/>
                <w:highlight w:val="none"/>
              </w:rPr>
              <w:t>波长范围：</w:t>
            </w:r>
            <w:r>
              <w:rPr>
                <w:rFonts w:ascii="Times New Roman" w:hAnsi="Times New Roman"/>
                <w:color w:val="auto"/>
                <w:szCs w:val="21"/>
                <w:highlight w:val="none"/>
              </w:rPr>
              <w:t xml:space="preserve">190~500nm </w:t>
            </w:r>
            <w:r>
              <w:rPr>
                <w:rFonts w:hint="eastAsia" w:ascii="Times New Roman" w:hAnsi="Times New Roman"/>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2.4.2</w:t>
            </w:r>
            <w:r>
              <w:rPr>
                <w:rFonts w:ascii="Times New Roman" w:hAnsi="宋体"/>
                <w:color w:val="auto"/>
                <w:szCs w:val="21"/>
                <w:highlight w:val="none"/>
              </w:rPr>
              <w:t>波长准确度：</w:t>
            </w:r>
            <w:r>
              <w:rPr>
                <w:rFonts w:ascii="Times New Roman" w:hAnsi="Times New Roman"/>
                <w:color w:val="auto"/>
                <w:szCs w:val="21"/>
                <w:highlight w:val="none"/>
              </w:rPr>
              <w:t>±1 nm</w:t>
            </w:r>
            <w:r>
              <w:rPr>
                <w:rFonts w:hint="eastAsia" w:ascii="Times New Roman" w:hAnsi="Times New Roman"/>
                <w:color w:val="auto"/>
                <w:szCs w:val="21"/>
                <w:highlight w:val="none"/>
              </w:rPr>
              <w:t>；</w:t>
            </w:r>
            <w:r>
              <w:rPr>
                <w:rFonts w:ascii="Times New Roman" w:hAnsi="Times New Roman"/>
                <w:color w:val="auto"/>
                <w:szCs w:val="21"/>
                <w:highlight w:val="none"/>
              </w:rPr>
              <w:t xml:space="preserve"> </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2.4.3</w:t>
            </w:r>
            <w:r>
              <w:rPr>
                <w:rFonts w:ascii="Times New Roman" w:hAnsi="宋体"/>
                <w:color w:val="auto"/>
                <w:szCs w:val="21"/>
                <w:highlight w:val="none"/>
              </w:rPr>
              <w:t>带宽：</w:t>
            </w:r>
            <w:r>
              <w:rPr>
                <w:rFonts w:ascii="Times New Roman" w:hAnsi="Times New Roman"/>
                <w:color w:val="auto"/>
                <w:szCs w:val="21"/>
                <w:highlight w:val="none"/>
              </w:rPr>
              <w:t>1.2 nm</w:t>
            </w:r>
            <w:r>
              <w:rPr>
                <w:rFonts w:hint="eastAsia" w:ascii="Times New Roman" w:hAnsi="Times New Roman"/>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2.4.4</w:t>
            </w:r>
            <w:r>
              <w:rPr>
                <w:rFonts w:ascii="Times New Roman" w:hAnsi="宋体"/>
                <w:color w:val="auto"/>
                <w:szCs w:val="21"/>
                <w:highlight w:val="none"/>
              </w:rPr>
              <w:t>二极管数：</w:t>
            </w:r>
            <w:r>
              <w:rPr>
                <w:rFonts w:ascii="Times New Roman" w:hAnsi="Times New Roman"/>
                <w:color w:val="auto"/>
                <w:szCs w:val="21"/>
                <w:highlight w:val="none"/>
              </w:rPr>
              <w:t>≤512</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2.4.5</w:t>
            </w:r>
            <w:r>
              <w:rPr>
                <w:rFonts w:ascii="Times New Roman" w:hAnsi="宋体"/>
                <w:color w:val="auto"/>
                <w:szCs w:val="21"/>
                <w:highlight w:val="none"/>
              </w:rPr>
              <w:t>数字分辨率：</w:t>
            </w:r>
            <w:r>
              <w:rPr>
                <w:rFonts w:ascii="Times New Roman" w:hAnsi="Times New Roman"/>
                <w:color w:val="auto"/>
                <w:szCs w:val="21"/>
                <w:highlight w:val="none"/>
              </w:rPr>
              <w:t>1.2nm</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2.4.6</w:t>
            </w:r>
            <w:r>
              <w:rPr>
                <w:rFonts w:ascii="Times New Roman" w:hAnsi="宋体"/>
                <w:color w:val="auto"/>
                <w:szCs w:val="21"/>
                <w:highlight w:val="none"/>
              </w:rPr>
              <w:t>采样频率：</w:t>
            </w:r>
            <w:r>
              <w:rPr>
                <w:rFonts w:ascii="Times New Roman" w:hAnsi="Times New Roman"/>
                <w:color w:val="auto"/>
                <w:szCs w:val="21"/>
                <w:highlight w:val="none"/>
              </w:rPr>
              <w:t>80 Hz</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2.4.7</w:t>
            </w:r>
            <w:r>
              <w:rPr>
                <w:rFonts w:ascii="Times New Roman" w:hAnsi="宋体"/>
                <w:color w:val="auto"/>
                <w:szCs w:val="21"/>
                <w:highlight w:val="none"/>
              </w:rPr>
              <w:t>基线噪音：</w:t>
            </w:r>
            <w:r>
              <w:rPr>
                <w:rFonts w:ascii="Times New Roman" w:hAnsi="Times New Roman"/>
                <w:color w:val="auto"/>
                <w:szCs w:val="21"/>
                <w:highlight w:val="none"/>
              </w:rPr>
              <w:t>±3×10</w:t>
            </w:r>
            <w:r>
              <w:rPr>
                <w:rFonts w:ascii="Times New Roman" w:hAnsi="Times New Roman"/>
                <w:color w:val="auto"/>
                <w:szCs w:val="21"/>
                <w:highlight w:val="none"/>
                <w:vertAlign w:val="superscript"/>
              </w:rPr>
              <w:t>-6</w:t>
            </w:r>
            <w:r>
              <w:rPr>
                <w:rFonts w:ascii="Times New Roman" w:hAnsi="Times New Roman"/>
                <w:color w:val="auto"/>
                <w:szCs w:val="21"/>
                <w:highlight w:val="none"/>
              </w:rPr>
              <w:t xml:space="preserve"> AU</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2.4.8</w:t>
            </w:r>
            <w:r>
              <w:rPr>
                <w:rFonts w:ascii="Times New Roman" w:hAnsi="宋体"/>
                <w:color w:val="auto"/>
                <w:szCs w:val="21"/>
                <w:highlight w:val="none"/>
              </w:rPr>
              <w:t>基线漂移</w:t>
            </w:r>
            <w:r>
              <w:rPr>
                <w:rFonts w:ascii="Times New Roman" w:hAnsi="Times New Roman"/>
                <w:color w:val="auto"/>
                <w:szCs w:val="21"/>
                <w:highlight w:val="none"/>
              </w:rPr>
              <w:t>: ≤1.0×10</w:t>
            </w:r>
            <w:r>
              <w:rPr>
                <w:rFonts w:ascii="Times New Roman" w:hAnsi="Times New Roman"/>
                <w:color w:val="auto"/>
                <w:szCs w:val="21"/>
                <w:highlight w:val="none"/>
                <w:vertAlign w:val="superscript"/>
              </w:rPr>
              <w:t xml:space="preserve">-3 </w:t>
            </w:r>
            <w:r>
              <w:rPr>
                <w:rFonts w:ascii="Times New Roman" w:hAnsi="Times New Roman"/>
                <w:color w:val="auto"/>
                <w:szCs w:val="21"/>
                <w:highlight w:val="none"/>
              </w:rPr>
              <w:t>AU/h</w:t>
            </w:r>
            <w:r>
              <w:rPr>
                <w:rFonts w:hint="eastAsia" w:ascii="Times New Roman" w:hAnsi="Times New Roman"/>
                <w:color w:val="auto"/>
                <w:szCs w:val="21"/>
                <w:highlight w:val="none"/>
              </w:rPr>
              <w:t xml:space="preserve"> ；</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2.4.9</w:t>
            </w:r>
            <w:r>
              <w:rPr>
                <w:rFonts w:ascii="Times New Roman" w:hAnsi="宋体"/>
                <w:color w:val="auto"/>
                <w:szCs w:val="21"/>
                <w:highlight w:val="none"/>
              </w:rPr>
              <w:t>漂移</w:t>
            </w:r>
            <w:r>
              <w:rPr>
                <w:rFonts w:ascii="Times New Roman" w:hAnsi="Times New Roman"/>
                <w:color w:val="auto"/>
                <w:szCs w:val="21"/>
                <w:highlight w:val="none"/>
              </w:rPr>
              <w:t>: ≤1.0×10</w:t>
            </w:r>
            <w:r>
              <w:rPr>
                <w:rFonts w:ascii="Times New Roman" w:hAnsi="Times New Roman"/>
                <w:color w:val="auto"/>
                <w:szCs w:val="21"/>
                <w:highlight w:val="none"/>
                <w:vertAlign w:val="superscript"/>
              </w:rPr>
              <w:t xml:space="preserve">-3 </w:t>
            </w:r>
            <w:r>
              <w:rPr>
                <w:rFonts w:ascii="Times New Roman" w:hAnsi="Times New Roman"/>
                <w:color w:val="auto"/>
                <w:szCs w:val="21"/>
                <w:highlight w:val="none"/>
              </w:rPr>
              <w:t>AU/h</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2.4.10</w:t>
            </w:r>
            <w:r>
              <w:rPr>
                <w:rFonts w:ascii="Times New Roman" w:hAnsi="宋体"/>
                <w:color w:val="auto"/>
                <w:szCs w:val="21"/>
                <w:highlight w:val="none"/>
              </w:rPr>
              <w:t>线性范围：</w:t>
            </w:r>
            <w:r>
              <w:rPr>
                <w:rFonts w:ascii="Times New Roman" w:hAnsi="Times New Roman"/>
                <w:color w:val="auto"/>
                <w:szCs w:val="21"/>
                <w:highlight w:val="none"/>
              </w:rPr>
              <w:t>2.0 AU</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2.4.11</w:t>
            </w:r>
            <w:r>
              <w:rPr>
                <w:rFonts w:ascii="Times New Roman" w:hAnsi="宋体"/>
                <w:color w:val="auto"/>
                <w:szCs w:val="21"/>
                <w:highlight w:val="none"/>
              </w:rPr>
              <w:t>吸收范围：</w:t>
            </w:r>
            <w:r>
              <w:rPr>
                <w:rFonts w:ascii="Times New Roman" w:hAnsi="Times New Roman"/>
                <w:color w:val="auto"/>
                <w:szCs w:val="21"/>
                <w:highlight w:val="none"/>
              </w:rPr>
              <w:t>0.0001~4.0000 AU</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2.4.12</w:t>
            </w:r>
            <w:r>
              <w:rPr>
                <w:rFonts w:ascii="Times New Roman" w:hAnsi="宋体"/>
                <w:color w:val="auto"/>
                <w:szCs w:val="21"/>
                <w:highlight w:val="none"/>
              </w:rPr>
              <w:t>光源：氘灯，寿命</w:t>
            </w:r>
            <w:r>
              <w:rPr>
                <w:rFonts w:ascii="Times New Roman" w:hAnsi="Times New Roman"/>
                <w:color w:val="auto"/>
                <w:szCs w:val="21"/>
                <w:highlight w:val="none"/>
              </w:rPr>
              <w:t>2000</w:t>
            </w:r>
            <w:r>
              <w:rPr>
                <w:rFonts w:ascii="Times New Roman" w:hAnsi="宋体"/>
                <w:color w:val="auto"/>
                <w:szCs w:val="21"/>
                <w:highlight w:val="none"/>
              </w:rPr>
              <w:t>小时</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2.4.13</w:t>
            </w:r>
            <w:r>
              <w:rPr>
                <w:rFonts w:ascii="Times New Roman" w:hAnsi="宋体"/>
                <w:color w:val="auto"/>
                <w:szCs w:val="21"/>
                <w:highlight w:val="none"/>
              </w:rPr>
              <w:t>流通池：光导全反射流动池</w:t>
            </w:r>
            <w:r>
              <w:rPr>
                <w:rFonts w:ascii="Times New Roman" w:hAnsi="Times New Roman"/>
                <w:color w:val="auto"/>
                <w:szCs w:val="21"/>
                <w:highlight w:val="none"/>
              </w:rPr>
              <w:t xml:space="preserve">, </w:t>
            </w:r>
            <w:r>
              <w:rPr>
                <w:rFonts w:ascii="Times New Roman" w:hAnsi="宋体"/>
                <w:color w:val="auto"/>
                <w:szCs w:val="21"/>
                <w:highlight w:val="none"/>
              </w:rPr>
              <w:t>池长：</w:t>
            </w:r>
            <w:r>
              <w:rPr>
                <w:rFonts w:ascii="Times New Roman" w:hAnsi="Times New Roman"/>
                <w:color w:val="auto"/>
                <w:szCs w:val="21"/>
                <w:highlight w:val="none"/>
              </w:rPr>
              <w:t xml:space="preserve">10 mm, </w:t>
            </w:r>
            <w:r>
              <w:rPr>
                <w:rFonts w:ascii="Times New Roman" w:hAnsi="宋体"/>
                <w:color w:val="auto"/>
                <w:szCs w:val="21"/>
                <w:highlight w:val="none"/>
              </w:rPr>
              <w:t>池体积：</w:t>
            </w:r>
            <w:r>
              <w:rPr>
                <w:rFonts w:ascii="Times New Roman" w:hAnsi="Times New Roman"/>
                <w:color w:val="auto"/>
                <w:szCs w:val="21"/>
                <w:highlight w:val="none"/>
              </w:rPr>
              <w:t>500 nL</w:t>
            </w:r>
            <w:r>
              <w:rPr>
                <w:rFonts w:hint="eastAsia" w:ascii="Times New Roman" w:hAnsi="Times New Roman"/>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2.4.14</w:t>
            </w:r>
            <w:r>
              <w:rPr>
                <w:rFonts w:ascii="Times New Roman" w:hAnsi="宋体"/>
                <w:color w:val="auto"/>
                <w:szCs w:val="21"/>
                <w:highlight w:val="none"/>
              </w:rPr>
              <w:t>流通池耐压：</w:t>
            </w:r>
            <w:r>
              <w:rPr>
                <w:rFonts w:ascii="Times New Roman" w:hAnsi="Times New Roman"/>
                <w:color w:val="auto"/>
                <w:szCs w:val="21"/>
                <w:highlight w:val="none"/>
              </w:rPr>
              <w:t>1000 psi</w:t>
            </w:r>
            <w:r>
              <w:rPr>
                <w:rFonts w:hint="eastAsia" w:ascii="Times New Roman" w:hAnsi="Times New Roman"/>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2.4.15</w:t>
            </w:r>
            <w:r>
              <w:rPr>
                <w:rFonts w:ascii="Times New Roman" w:hAnsi="宋体"/>
                <w:color w:val="auto"/>
                <w:szCs w:val="21"/>
                <w:highlight w:val="none"/>
              </w:rPr>
              <w:t>可将所有组分的最大吸收波长值整合成一张色谱图，无需逐个设置波长来寻找每个组分的最大吸收波长值</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2.4.16</w:t>
            </w:r>
            <w:r>
              <w:rPr>
                <w:rFonts w:ascii="Times New Roman" w:hAnsi="宋体"/>
                <w:color w:val="auto"/>
                <w:szCs w:val="21"/>
                <w:highlight w:val="none"/>
              </w:rPr>
              <w:t>具备建立标准物质光谱库功能</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b/>
                <w:color w:val="auto"/>
                <w:szCs w:val="21"/>
                <w:highlight w:val="none"/>
              </w:rPr>
            </w:pPr>
            <w:r>
              <w:rPr>
                <w:rFonts w:hint="eastAsia" w:ascii="Times New Roman" w:hAnsi="宋体"/>
                <w:b/>
                <w:color w:val="auto"/>
                <w:szCs w:val="21"/>
                <w:highlight w:val="none"/>
              </w:rPr>
              <w:t>2.5</w:t>
            </w:r>
            <w:r>
              <w:rPr>
                <w:rFonts w:ascii="Times New Roman" w:hAnsi="宋体"/>
                <w:b/>
                <w:color w:val="auto"/>
                <w:szCs w:val="21"/>
                <w:highlight w:val="none"/>
              </w:rPr>
              <w:t>紫外</w:t>
            </w:r>
            <w:r>
              <w:rPr>
                <w:rFonts w:ascii="Times New Roman" w:hAnsi="Times New Roman"/>
                <w:b/>
                <w:color w:val="auto"/>
                <w:szCs w:val="21"/>
                <w:highlight w:val="none"/>
              </w:rPr>
              <w:t>/</w:t>
            </w:r>
            <w:r>
              <w:rPr>
                <w:rFonts w:ascii="Times New Roman" w:hAnsi="宋体"/>
                <w:b/>
                <w:color w:val="auto"/>
                <w:szCs w:val="21"/>
                <w:highlight w:val="none"/>
              </w:rPr>
              <w:t>可见光检测器</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2.5.1</w:t>
            </w:r>
            <w:r>
              <w:rPr>
                <w:rFonts w:ascii="Times New Roman" w:hAnsi="宋体"/>
                <w:color w:val="auto"/>
                <w:szCs w:val="21"/>
                <w:highlight w:val="none"/>
              </w:rPr>
              <w:t>波长范围：</w:t>
            </w:r>
            <w:r>
              <w:rPr>
                <w:rFonts w:ascii="Times New Roman" w:hAnsi="Times New Roman"/>
                <w:color w:val="auto"/>
                <w:szCs w:val="21"/>
                <w:highlight w:val="none"/>
              </w:rPr>
              <w:t>190~700 nm</w:t>
            </w:r>
            <w:r>
              <w:rPr>
                <w:rFonts w:hint="eastAsia" w:ascii="Times New Roman" w:hAnsi="Times New Roman"/>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2.5.2</w:t>
            </w:r>
            <w:r>
              <w:rPr>
                <w:rFonts w:ascii="Times New Roman" w:hAnsi="宋体"/>
                <w:color w:val="auto"/>
                <w:szCs w:val="21"/>
                <w:highlight w:val="none"/>
              </w:rPr>
              <w:t>带宽：</w:t>
            </w:r>
            <w:r>
              <w:rPr>
                <w:rFonts w:ascii="Times New Roman" w:hAnsi="Times New Roman"/>
                <w:color w:val="auto"/>
                <w:szCs w:val="21"/>
                <w:highlight w:val="none"/>
              </w:rPr>
              <w:t>≤5 nm</w:t>
            </w:r>
            <w:r>
              <w:rPr>
                <w:rFonts w:hint="eastAsia" w:ascii="Times New Roman" w:hAnsi="Times New Roman"/>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2.5.3</w:t>
            </w:r>
            <w:r>
              <w:rPr>
                <w:rFonts w:ascii="Times New Roman" w:hAnsi="宋体"/>
                <w:color w:val="auto"/>
                <w:szCs w:val="21"/>
                <w:highlight w:val="none"/>
              </w:rPr>
              <w:t>波长准确度：</w:t>
            </w:r>
            <w:r>
              <w:rPr>
                <w:rFonts w:ascii="Times New Roman" w:hAnsi="Times New Roman"/>
                <w:color w:val="auto"/>
                <w:szCs w:val="21"/>
                <w:highlight w:val="none"/>
              </w:rPr>
              <w:t xml:space="preserve">±1 nm </w:t>
            </w:r>
            <w:r>
              <w:rPr>
                <w:rFonts w:hint="eastAsia" w:ascii="Times New Roman" w:hAnsi="Times New Roman"/>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2.5.4</w:t>
            </w:r>
            <w:r>
              <w:rPr>
                <w:rFonts w:ascii="Times New Roman" w:hAnsi="宋体"/>
                <w:color w:val="auto"/>
                <w:szCs w:val="21"/>
                <w:highlight w:val="none"/>
              </w:rPr>
              <w:t>波长重现性：</w:t>
            </w:r>
            <w:r>
              <w:rPr>
                <w:rFonts w:ascii="Times New Roman" w:hAnsi="Times New Roman"/>
                <w:color w:val="auto"/>
                <w:szCs w:val="21"/>
                <w:highlight w:val="none"/>
              </w:rPr>
              <w:t>±0.1 nm</w:t>
            </w:r>
            <w:r>
              <w:rPr>
                <w:rFonts w:hint="eastAsia" w:ascii="Times New Roman" w:hAnsi="Times New Roman"/>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2.5.5</w:t>
            </w:r>
            <w:r>
              <w:rPr>
                <w:rFonts w:ascii="Times New Roman" w:hAnsi="宋体"/>
                <w:color w:val="auto"/>
                <w:szCs w:val="21"/>
                <w:highlight w:val="none"/>
              </w:rPr>
              <w:t>测量范围：</w:t>
            </w:r>
            <w:r>
              <w:rPr>
                <w:rFonts w:ascii="Times New Roman" w:hAnsi="Times New Roman"/>
                <w:color w:val="auto"/>
                <w:szCs w:val="21"/>
                <w:highlight w:val="none"/>
              </w:rPr>
              <w:t>0.0001~4.0000 AU</w:t>
            </w:r>
            <w:r>
              <w:rPr>
                <w:rFonts w:hint="eastAsia" w:ascii="Times New Roman" w:hAnsi="Times New Roman"/>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2.5.6</w:t>
            </w:r>
            <w:r>
              <w:rPr>
                <w:rFonts w:ascii="Times New Roman" w:hAnsi="宋体"/>
                <w:color w:val="auto"/>
                <w:szCs w:val="21"/>
                <w:highlight w:val="none"/>
              </w:rPr>
              <w:t>检测通道：</w:t>
            </w:r>
            <w:r>
              <w:rPr>
                <w:rFonts w:ascii="Times New Roman" w:hAnsi="Times New Roman"/>
                <w:color w:val="auto"/>
                <w:szCs w:val="21"/>
                <w:highlight w:val="none"/>
              </w:rPr>
              <w:t>2</w:t>
            </w:r>
            <w:r>
              <w:rPr>
                <w:rFonts w:ascii="Times New Roman" w:hAnsi="宋体"/>
                <w:color w:val="auto"/>
                <w:szCs w:val="21"/>
                <w:highlight w:val="none"/>
              </w:rPr>
              <w:t>个</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2.5.7</w:t>
            </w:r>
            <w:r>
              <w:rPr>
                <w:rFonts w:ascii="Times New Roman" w:hAnsi="宋体"/>
                <w:color w:val="auto"/>
                <w:szCs w:val="21"/>
                <w:highlight w:val="none"/>
              </w:rPr>
              <w:t>基线噪音：</w:t>
            </w:r>
            <w:r>
              <w:rPr>
                <w:rFonts w:ascii="Times New Roman" w:hAnsi="Times New Roman"/>
                <w:color w:val="auto"/>
                <w:szCs w:val="21"/>
                <w:highlight w:val="none"/>
              </w:rPr>
              <w:t>6.0×10</w:t>
            </w:r>
            <w:r>
              <w:rPr>
                <w:rFonts w:ascii="Times New Roman" w:hAnsi="Times New Roman"/>
                <w:color w:val="auto"/>
                <w:szCs w:val="21"/>
                <w:highlight w:val="none"/>
                <w:vertAlign w:val="superscript"/>
              </w:rPr>
              <w:t>-6</w:t>
            </w:r>
            <w:r>
              <w:rPr>
                <w:rFonts w:ascii="Times New Roman" w:hAnsi="Times New Roman"/>
                <w:color w:val="auto"/>
                <w:szCs w:val="21"/>
                <w:highlight w:val="none"/>
              </w:rPr>
              <w:t xml:space="preserve"> AU</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2.5.8</w:t>
            </w:r>
            <w:r>
              <w:rPr>
                <w:rFonts w:ascii="Times New Roman" w:hAnsi="宋体"/>
                <w:color w:val="auto"/>
                <w:szCs w:val="21"/>
                <w:highlight w:val="none"/>
              </w:rPr>
              <w:t>基线漂移</w:t>
            </w:r>
            <w:r>
              <w:rPr>
                <w:rFonts w:ascii="Times New Roman" w:hAnsi="Times New Roman"/>
                <w:color w:val="auto"/>
                <w:szCs w:val="21"/>
                <w:highlight w:val="none"/>
              </w:rPr>
              <w:t>: ≤5.0x10</w:t>
            </w:r>
            <w:r>
              <w:rPr>
                <w:rFonts w:ascii="Times New Roman" w:hAnsi="Times New Roman"/>
                <w:color w:val="auto"/>
                <w:szCs w:val="21"/>
                <w:highlight w:val="none"/>
                <w:vertAlign w:val="superscript"/>
              </w:rPr>
              <w:t>-4</w:t>
            </w:r>
            <w:r>
              <w:rPr>
                <w:rFonts w:ascii="Times New Roman" w:hAnsi="Times New Roman"/>
                <w:color w:val="auto"/>
                <w:szCs w:val="21"/>
                <w:highlight w:val="none"/>
              </w:rPr>
              <w:t xml:space="preserve"> AU/h</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2.5.9</w:t>
            </w:r>
            <w:r>
              <w:rPr>
                <w:rFonts w:ascii="Times New Roman" w:hAnsi="宋体"/>
                <w:color w:val="auto"/>
                <w:szCs w:val="21"/>
                <w:highlight w:val="none"/>
              </w:rPr>
              <w:t>线性范围：</w:t>
            </w:r>
            <w:r>
              <w:rPr>
                <w:rFonts w:ascii="Times New Roman" w:hAnsi="Times New Roman"/>
                <w:color w:val="auto"/>
                <w:szCs w:val="21"/>
                <w:highlight w:val="none"/>
              </w:rPr>
              <w:t>2.5 AU</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2.5.10</w:t>
            </w:r>
            <w:r>
              <w:rPr>
                <w:rFonts w:ascii="Times New Roman" w:hAnsi="宋体"/>
                <w:color w:val="auto"/>
                <w:szCs w:val="21"/>
                <w:highlight w:val="none"/>
              </w:rPr>
              <w:t>吸收范围：</w:t>
            </w:r>
            <w:r>
              <w:rPr>
                <w:rFonts w:ascii="Times New Roman" w:hAnsi="Times New Roman"/>
                <w:color w:val="auto"/>
                <w:szCs w:val="21"/>
                <w:highlight w:val="none"/>
              </w:rPr>
              <w:t>0.0001~4.0000 AU</w:t>
            </w:r>
            <w:r>
              <w:rPr>
                <w:rFonts w:hint="eastAsia" w:ascii="Times New Roman" w:hAnsi="Times New Roman"/>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2.5.11</w:t>
            </w:r>
            <w:r>
              <w:rPr>
                <w:rFonts w:ascii="Times New Roman" w:hAnsi="宋体"/>
                <w:color w:val="auto"/>
                <w:szCs w:val="21"/>
                <w:highlight w:val="none"/>
              </w:rPr>
              <w:t>光源：氘灯，寿命</w:t>
            </w:r>
            <w:r>
              <w:rPr>
                <w:rFonts w:ascii="Times New Roman" w:hAnsi="Times New Roman"/>
                <w:color w:val="auto"/>
                <w:szCs w:val="21"/>
                <w:highlight w:val="none"/>
              </w:rPr>
              <w:t>2000</w:t>
            </w:r>
            <w:r>
              <w:rPr>
                <w:rFonts w:ascii="Times New Roman" w:hAnsi="宋体"/>
                <w:color w:val="auto"/>
                <w:szCs w:val="21"/>
                <w:highlight w:val="none"/>
              </w:rPr>
              <w:t>小时或</w:t>
            </w:r>
            <w:r>
              <w:rPr>
                <w:rFonts w:ascii="Times New Roman" w:hAnsi="Times New Roman"/>
                <w:color w:val="auto"/>
                <w:szCs w:val="21"/>
                <w:highlight w:val="none"/>
              </w:rPr>
              <w:t>1</w:t>
            </w:r>
            <w:r>
              <w:rPr>
                <w:rFonts w:ascii="Times New Roman" w:hAnsi="宋体"/>
                <w:color w:val="auto"/>
                <w:szCs w:val="21"/>
                <w:highlight w:val="none"/>
              </w:rPr>
              <w:t>年（以先到者为准）</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2.5.12</w:t>
            </w:r>
            <w:r>
              <w:rPr>
                <w:rFonts w:ascii="Times New Roman" w:hAnsi="宋体"/>
                <w:color w:val="auto"/>
                <w:szCs w:val="21"/>
                <w:highlight w:val="none"/>
              </w:rPr>
              <w:t>采样频率：</w:t>
            </w:r>
            <w:r>
              <w:rPr>
                <w:rFonts w:ascii="Times New Roman" w:hAnsi="Times New Roman"/>
                <w:color w:val="auto"/>
                <w:szCs w:val="21"/>
                <w:highlight w:val="none"/>
              </w:rPr>
              <w:t>80 Hz</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2.5.13</w:t>
            </w:r>
            <w:r>
              <w:rPr>
                <w:rFonts w:ascii="Times New Roman" w:hAnsi="宋体"/>
                <w:color w:val="auto"/>
                <w:szCs w:val="21"/>
                <w:highlight w:val="none"/>
              </w:rPr>
              <w:t>流通池：</w:t>
            </w:r>
            <w:r>
              <w:rPr>
                <w:rFonts w:ascii="Times New Roman" w:hAnsi="Times New Roman"/>
                <w:color w:val="auto"/>
                <w:kern w:val="0"/>
                <w:szCs w:val="21"/>
                <w:highlight w:val="none"/>
              </w:rPr>
              <w:t>10 mm</w:t>
            </w:r>
            <w:r>
              <w:rPr>
                <w:rFonts w:ascii="Times New Roman" w:hAnsi="宋体"/>
                <w:color w:val="auto"/>
                <w:kern w:val="0"/>
                <w:szCs w:val="21"/>
                <w:highlight w:val="none"/>
              </w:rPr>
              <w:t>；池体积：</w:t>
            </w:r>
            <w:r>
              <w:rPr>
                <w:rFonts w:ascii="Times New Roman" w:hAnsi="Times New Roman"/>
                <w:color w:val="auto"/>
                <w:kern w:val="0"/>
                <w:szCs w:val="21"/>
                <w:highlight w:val="none"/>
              </w:rPr>
              <w:t>16.3 µL</w:t>
            </w:r>
            <w:r>
              <w:rPr>
                <w:rFonts w:hint="eastAsia" w:ascii="Times New Roman" w:hAnsi="Times New Roman"/>
                <w:color w:val="auto"/>
                <w:kern w:val="0"/>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2.5.14</w:t>
            </w:r>
            <w:r>
              <w:rPr>
                <w:rFonts w:ascii="Times New Roman" w:hAnsi="宋体"/>
                <w:color w:val="auto"/>
                <w:szCs w:val="21"/>
                <w:highlight w:val="none"/>
              </w:rPr>
              <w:t>流通池耐压：</w:t>
            </w:r>
            <w:r>
              <w:rPr>
                <w:rFonts w:ascii="Times New Roman" w:hAnsi="Times New Roman"/>
                <w:color w:val="auto"/>
                <w:szCs w:val="21"/>
                <w:highlight w:val="none"/>
              </w:rPr>
              <w:t>1000psi</w:t>
            </w:r>
            <w:r>
              <w:rPr>
                <w:rFonts w:hint="eastAsia" w:ascii="Times New Roman" w:hAnsi="Times New Roman"/>
                <w:color w:val="auto"/>
                <w:szCs w:val="21"/>
                <w:highlight w:val="none"/>
              </w:rPr>
              <w:t>。</w:t>
            </w:r>
          </w:p>
          <w:p>
            <w:pPr>
              <w:pStyle w:val="167"/>
              <w:spacing w:line="240" w:lineRule="auto"/>
              <w:ind w:firstLine="0" w:firstLineChars="0"/>
              <w:rPr>
                <w:rFonts w:ascii="Times New Roman" w:hAnsi="Times New Roman"/>
                <w:b/>
                <w:color w:val="auto"/>
                <w:szCs w:val="21"/>
                <w:highlight w:val="none"/>
              </w:rPr>
            </w:pPr>
            <w:r>
              <w:rPr>
                <w:rFonts w:hint="eastAsia" w:ascii="Times New Roman" w:hAnsi="宋体"/>
                <w:b/>
                <w:color w:val="auto"/>
                <w:szCs w:val="21"/>
                <w:highlight w:val="none"/>
              </w:rPr>
              <w:t>2.6</w:t>
            </w:r>
            <w:r>
              <w:rPr>
                <w:rFonts w:ascii="Times New Roman" w:hAnsi="宋体"/>
                <w:b/>
                <w:color w:val="auto"/>
                <w:szCs w:val="21"/>
                <w:highlight w:val="none"/>
              </w:rPr>
              <w:t>色谱数据管理系统</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2.6.1</w:t>
            </w:r>
            <w:r>
              <w:rPr>
                <w:rFonts w:ascii="Times New Roman" w:hAnsi="宋体"/>
                <w:color w:val="auto"/>
                <w:szCs w:val="21"/>
                <w:highlight w:val="none"/>
              </w:rPr>
              <w:t>原厂源代码级全中文版，其中包括在线帮助采用简体中文</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2.6.2</w:t>
            </w:r>
            <w:r>
              <w:rPr>
                <w:rFonts w:ascii="Times New Roman" w:hAnsi="宋体"/>
                <w:color w:val="auto"/>
                <w:szCs w:val="21"/>
                <w:highlight w:val="none"/>
              </w:rPr>
              <w:t>内置</w:t>
            </w:r>
            <w:r>
              <w:rPr>
                <w:rFonts w:ascii="Times New Roman" w:hAnsi="Times New Roman"/>
                <w:color w:val="auto"/>
                <w:szCs w:val="21"/>
                <w:highlight w:val="none"/>
              </w:rPr>
              <w:t>ORACLE</w:t>
            </w:r>
            <w:r>
              <w:rPr>
                <w:rFonts w:ascii="Times New Roman" w:hAnsi="宋体"/>
                <w:color w:val="auto"/>
                <w:szCs w:val="21"/>
                <w:highlight w:val="none"/>
              </w:rPr>
              <w:t>数据库</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2.6.3</w:t>
            </w:r>
            <w:r>
              <w:rPr>
                <w:rFonts w:ascii="Times New Roman" w:hAnsi="宋体"/>
                <w:color w:val="auto"/>
                <w:szCs w:val="21"/>
                <w:highlight w:val="none"/>
              </w:rPr>
              <w:t>登录时输入用户名和密码，每个使用者可以使用各自的用户名，密码和权限，相互之间的数据互相独立，互不干扰</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2.6.4</w:t>
            </w:r>
            <w:r>
              <w:rPr>
                <w:rFonts w:ascii="Times New Roman" w:hAnsi="宋体"/>
                <w:color w:val="auto"/>
                <w:szCs w:val="21"/>
                <w:highlight w:val="none"/>
              </w:rPr>
              <w:t>操作向导模式和在线帮助功能：只需按照指南要求进行操作即可执行相应的功能</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2.6.5</w:t>
            </w:r>
            <w:r>
              <w:rPr>
                <w:rFonts w:ascii="Times New Roman" w:hAnsi="Times New Roman"/>
                <w:color w:val="auto"/>
                <w:szCs w:val="21"/>
                <w:highlight w:val="none"/>
              </w:rPr>
              <w:t>≥16</w:t>
            </w:r>
            <w:r>
              <w:rPr>
                <w:rFonts w:ascii="Times New Roman" w:hAnsi="宋体"/>
                <w:color w:val="auto"/>
                <w:szCs w:val="21"/>
                <w:highlight w:val="none"/>
              </w:rPr>
              <w:t>种校正拟合定量计算方式，适应不同分析及不同检测器应用</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2.6.6</w:t>
            </w:r>
            <w:r>
              <w:rPr>
                <w:rFonts w:ascii="Times New Roman" w:hAnsi="Times New Roman"/>
                <w:color w:val="auto"/>
                <w:szCs w:val="21"/>
                <w:highlight w:val="none"/>
              </w:rPr>
              <w:t>≥10</w:t>
            </w:r>
            <w:r>
              <w:rPr>
                <w:rFonts w:ascii="Times New Roman" w:hAnsi="宋体"/>
                <w:color w:val="auto"/>
                <w:szCs w:val="21"/>
                <w:highlight w:val="none"/>
              </w:rPr>
              <w:t>种数据检索模式，适应大量数据管理和检索</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2.6.7</w:t>
            </w:r>
            <w:r>
              <w:rPr>
                <w:rFonts w:ascii="Times New Roman" w:hAnsi="宋体"/>
                <w:color w:val="auto"/>
                <w:szCs w:val="21"/>
                <w:highlight w:val="none"/>
              </w:rPr>
              <w:t>报告格式的编辑和排版：结果可以有单个报告和综合报告</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2.6.8</w:t>
            </w:r>
            <w:r>
              <w:rPr>
                <w:rFonts w:ascii="Times New Roman" w:hAnsi="宋体"/>
                <w:color w:val="auto"/>
                <w:szCs w:val="21"/>
                <w:highlight w:val="none"/>
              </w:rPr>
              <w:t>原始数据和结果可通过多种方式输出到其它软件中（如</w:t>
            </w:r>
            <w:r>
              <w:rPr>
                <w:rFonts w:ascii="Times New Roman" w:hAnsi="Times New Roman"/>
                <w:color w:val="auto"/>
                <w:szCs w:val="21"/>
                <w:highlight w:val="none"/>
              </w:rPr>
              <w:t>Excel</w:t>
            </w:r>
            <w:r>
              <w:rPr>
                <w:rFonts w:ascii="Times New Roman" w:hAnsi="宋体"/>
                <w:color w:val="auto"/>
                <w:szCs w:val="21"/>
                <w:highlight w:val="none"/>
              </w:rPr>
              <w:t>）</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2.6.9</w:t>
            </w:r>
            <w:r>
              <w:rPr>
                <w:rFonts w:ascii="Times New Roman" w:hAnsi="宋体"/>
                <w:color w:val="auto"/>
                <w:szCs w:val="21"/>
                <w:highlight w:val="none"/>
              </w:rPr>
              <w:t>积分模式：传统积分和</w:t>
            </w:r>
            <w:r>
              <w:rPr>
                <w:rFonts w:ascii="Times New Roman" w:hAnsi="Times New Roman"/>
                <w:color w:val="auto"/>
                <w:szCs w:val="21"/>
                <w:highlight w:val="none"/>
              </w:rPr>
              <w:t>ApexTrack</w:t>
            </w:r>
            <w:r>
              <w:rPr>
                <w:rFonts w:ascii="Times New Roman" w:hAnsi="宋体"/>
                <w:color w:val="auto"/>
                <w:szCs w:val="21"/>
                <w:highlight w:val="none"/>
              </w:rPr>
              <w:t>峰尖寻迹拟和积分，可提供更准确的肩峰、负峰和拖尾峰的积分</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2.6.10</w:t>
            </w:r>
            <w:r>
              <w:rPr>
                <w:rFonts w:ascii="Times New Roman" w:hAnsi="宋体"/>
                <w:color w:val="auto"/>
                <w:szCs w:val="21"/>
                <w:highlight w:val="none"/>
              </w:rPr>
              <w:t>可以做窄分布校正、宽分布校正、普适校正以及各种曲线拟合。</w:t>
            </w:r>
          </w:p>
          <w:p>
            <w:pPr>
              <w:pStyle w:val="167"/>
              <w:spacing w:line="240" w:lineRule="auto"/>
              <w:ind w:firstLine="0" w:firstLineChars="0"/>
              <w:rPr>
                <w:rFonts w:ascii="Times New Roman" w:hAnsi="Times New Roman"/>
                <w:b/>
                <w:color w:val="auto"/>
                <w:szCs w:val="21"/>
                <w:highlight w:val="none"/>
              </w:rPr>
            </w:pPr>
            <w:r>
              <w:rPr>
                <w:rFonts w:hint="eastAsia" w:ascii="Times New Roman" w:hAnsi="宋体"/>
                <w:b/>
                <w:color w:val="auto"/>
                <w:szCs w:val="21"/>
                <w:highlight w:val="none"/>
              </w:rPr>
              <w:t>3、</w:t>
            </w:r>
            <w:r>
              <w:rPr>
                <w:rFonts w:ascii="Times New Roman" w:hAnsi="宋体"/>
                <w:b/>
                <w:color w:val="auto"/>
                <w:szCs w:val="21"/>
                <w:highlight w:val="none"/>
              </w:rPr>
              <w:t>配置</w:t>
            </w:r>
            <w:r>
              <w:rPr>
                <w:rFonts w:hint="eastAsia" w:ascii="Times New Roman" w:hAnsi="宋体"/>
                <w:b/>
                <w:color w:val="auto"/>
                <w:szCs w:val="21"/>
                <w:highlight w:val="none"/>
              </w:rPr>
              <w:t>要求</w:t>
            </w:r>
            <w:r>
              <w:rPr>
                <w:rFonts w:ascii="Times New Roman" w:hAnsi="宋体"/>
                <w:b/>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3.1</w:t>
            </w:r>
            <w:r>
              <w:rPr>
                <w:rFonts w:ascii="Times New Roman" w:hAnsi="宋体"/>
                <w:color w:val="auto"/>
                <w:szCs w:val="21"/>
                <w:highlight w:val="none"/>
              </w:rPr>
              <w:t>超高效液相色谱四元泵</w:t>
            </w:r>
            <w:r>
              <w:rPr>
                <w:rFonts w:hint="eastAsia" w:ascii="Times New Roman" w:hAnsi="宋体"/>
                <w:color w:val="auto"/>
                <w:szCs w:val="21"/>
                <w:highlight w:val="none"/>
              </w:rPr>
              <w:t>1</w:t>
            </w:r>
            <w:r>
              <w:rPr>
                <w:rFonts w:ascii="Times New Roman" w:hAnsi="宋体"/>
                <w:color w:val="auto"/>
                <w:szCs w:val="21"/>
                <w:highlight w:val="none"/>
              </w:rPr>
              <w:t>套</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3.2</w:t>
            </w:r>
            <w:r>
              <w:rPr>
                <w:rFonts w:ascii="Times New Roman" w:hAnsi="宋体"/>
                <w:color w:val="auto"/>
                <w:szCs w:val="21"/>
                <w:highlight w:val="none"/>
              </w:rPr>
              <w:t>在线脱气机</w:t>
            </w:r>
            <w:r>
              <w:rPr>
                <w:rFonts w:hint="eastAsia" w:ascii="Times New Roman" w:hAnsi="Times New Roman"/>
                <w:color w:val="auto"/>
                <w:szCs w:val="21"/>
                <w:highlight w:val="none"/>
              </w:rPr>
              <w:t>1</w:t>
            </w:r>
            <w:r>
              <w:rPr>
                <w:rFonts w:ascii="Times New Roman" w:hAnsi="宋体"/>
                <w:color w:val="auto"/>
                <w:szCs w:val="21"/>
                <w:highlight w:val="none"/>
              </w:rPr>
              <w:t>套</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3.3</w:t>
            </w:r>
            <w:r>
              <w:rPr>
                <w:rFonts w:ascii="Times New Roman" w:hAnsi="宋体"/>
                <w:color w:val="auto"/>
                <w:szCs w:val="21"/>
                <w:highlight w:val="none"/>
              </w:rPr>
              <w:t>自动进样器</w:t>
            </w:r>
            <w:r>
              <w:rPr>
                <w:rFonts w:hint="eastAsia" w:ascii="Times New Roman" w:hAnsi="宋体"/>
                <w:color w:val="auto"/>
                <w:szCs w:val="21"/>
                <w:highlight w:val="none"/>
              </w:rPr>
              <w:t>1</w:t>
            </w:r>
            <w:r>
              <w:rPr>
                <w:rFonts w:ascii="Times New Roman" w:hAnsi="宋体"/>
                <w:color w:val="auto"/>
                <w:szCs w:val="21"/>
                <w:highlight w:val="none"/>
              </w:rPr>
              <w:t>套</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3.4</w:t>
            </w:r>
            <w:r>
              <w:rPr>
                <w:rFonts w:ascii="Times New Roman" w:hAnsi="宋体"/>
                <w:color w:val="auto"/>
                <w:szCs w:val="21"/>
                <w:highlight w:val="none"/>
              </w:rPr>
              <w:t>柱温箱</w:t>
            </w:r>
            <w:r>
              <w:rPr>
                <w:rFonts w:hint="eastAsia" w:ascii="Times New Roman" w:hAnsi="宋体"/>
                <w:color w:val="auto"/>
                <w:szCs w:val="21"/>
                <w:highlight w:val="none"/>
              </w:rPr>
              <w:t>1</w:t>
            </w:r>
            <w:r>
              <w:rPr>
                <w:rFonts w:ascii="Times New Roman" w:hAnsi="宋体"/>
                <w:color w:val="auto"/>
                <w:szCs w:val="21"/>
                <w:highlight w:val="none"/>
              </w:rPr>
              <w:t>套</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3.5</w:t>
            </w:r>
            <w:r>
              <w:rPr>
                <w:rFonts w:ascii="Times New Roman" w:hAnsi="宋体"/>
                <w:color w:val="auto"/>
                <w:szCs w:val="21"/>
                <w:highlight w:val="none"/>
              </w:rPr>
              <w:t>紫外可见光检测器</w:t>
            </w:r>
            <w:r>
              <w:rPr>
                <w:rFonts w:hint="eastAsia" w:ascii="Times New Roman" w:hAnsi="宋体"/>
                <w:color w:val="auto"/>
                <w:szCs w:val="21"/>
                <w:highlight w:val="none"/>
              </w:rPr>
              <w:t>1</w:t>
            </w:r>
            <w:r>
              <w:rPr>
                <w:rFonts w:ascii="Times New Roman" w:hAnsi="宋体"/>
                <w:color w:val="auto"/>
                <w:szCs w:val="21"/>
                <w:highlight w:val="none"/>
              </w:rPr>
              <w:t>套</w:t>
            </w:r>
            <w:r>
              <w:rPr>
                <w:rFonts w:hint="eastAsia" w:ascii="Times New Roman" w:hAnsi="宋体"/>
                <w:color w:val="auto"/>
                <w:szCs w:val="21"/>
                <w:highlight w:val="none"/>
              </w:rPr>
              <w:t>；</w:t>
            </w:r>
          </w:p>
          <w:p>
            <w:pPr>
              <w:pStyle w:val="167"/>
              <w:spacing w:line="240" w:lineRule="auto"/>
              <w:ind w:firstLine="0" w:firstLineChars="0"/>
              <w:rPr>
                <w:rFonts w:ascii="Times New Roman" w:hAnsi="Times New Roman"/>
                <w:color w:val="auto"/>
                <w:szCs w:val="21"/>
                <w:highlight w:val="none"/>
              </w:rPr>
            </w:pPr>
            <w:r>
              <w:rPr>
                <w:rFonts w:hint="eastAsia" w:ascii="Times New Roman" w:hAnsi="宋体"/>
                <w:color w:val="auto"/>
                <w:szCs w:val="21"/>
                <w:highlight w:val="none"/>
              </w:rPr>
              <w:t>3.6</w:t>
            </w:r>
            <w:r>
              <w:rPr>
                <w:rFonts w:ascii="Times New Roman" w:hAnsi="宋体"/>
                <w:color w:val="auto"/>
                <w:szCs w:val="21"/>
                <w:highlight w:val="none"/>
              </w:rPr>
              <w:t>二极管阵列检测器</w:t>
            </w:r>
            <w:r>
              <w:rPr>
                <w:rFonts w:hint="eastAsia" w:ascii="Times New Roman" w:hAnsi="宋体"/>
                <w:color w:val="auto"/>
                <w:szCs w:val="21"/>
                <w:highlight w:val="none"/>
              </w:rPr>
              <w:t>1</w:t>
            </w:r>
            <w:r>
              <w:rPr>
                <w:rFonts w:ascii="Times New Roman" w:hAnsi="宋体"/>
                <w:color w:val="auto"/>
                <w:szCs w:val="21"/>
                <w:highlight w:val="none"/>
              </w:rPr>
              <w:t>套</w:t>
            </w:r>
            <w:r>
              <w:rPr>
                <w:rFonts w:hint="eastAsia" w:ascii="Times New Roman" w:hAnsi="宋体"/>
                <w:color w:val="auto"/>
                <w:szCs w:val="21"/>
                <w:highlight w:val="none"/>
              </w:rPr>
              <w:t>；</w:t>
            </w:r>
          </w:p>
          <w:p>
            <w:pPr>
              <w:pStyle w:val="167"/>
              <w:spacing w:line="240" w:lineRule="auto"/>
              <w:ind w:firstLine="0" w:firstLineChars="0"/>
              <w:rPr>
                <w:rFonts w:ascii="Times New Roman" w:hAnsi="宋体"/>
                <w:color w:val="auto"/>
                <w:szCs w:val="21"/>
                <w:highlight w:val="none"/>
              </w:rPr>
            </w:pPr>
            <w:r>
              <w:rPr>
                <w:rFonts w:hint="eastAsia" w:ascii="Times New Roman" w:hAnsi="宋体"/>
                <w:color w:val="auto"/>
                <w:szCs w:val="21"/>
                <w:highlight w:val="none"/>
              </w:rPr>
              <w:t>3.7</w:t>
            </w:r>
            <w:r>
              <w:rPr>
                <w:rFonts w:ascii="Times New Roman" w:hAnsi="宋体"/>
                <w:color w:val="auto"/>
                <w:szCs w:val="21"/>
                <w:highlight w:val="none"/>
              </w:rPr>
              <w:t>色谱数据管理系统</w:t>
            </w:r>
            <w:r>
              <w:rPr>
                <w:rFonts w:hint="eastAsia" w:ascii="Times New Roman" w:hAnsi="宋体"/>
                <w:color w:val="auto"/>
                <w:szCs w:val="21"/>
                <w:highlight w:val="none"/>
              </w:rPr>
              <w:t>1套（</w:t>
            </w:r>
            <w:r>
              <w:rPr>
                <w:rFonts w:ascii="Times New Roman" w:hAnsi="宋体"/>
                <w:color w:val="auto"/>
                <w:szCs w:val="21"/>
                <w:highlight w:val="none"/>
              </w:rPr>
              <w:t>中英文软件：包括仪器控制、数据处理等软件；定量分析软件；整体控制液相色谱及检测器的软件和相应接口</w:t>
            </w:r>
            <w:r>
              <w:rPr>
                <w:rFonts w:hint="eastAsia" w:ascii="Times New Roman" w:hAnsi="宋体"/>
                <w:color w:val="auto"/>
                <w:szCs w:val="21"/>
                <w:highlight w:val="none"/>
              </w:rPr>
              <w:t>）；</w:t>
            </w:r>
          </w:p>
          <w:p>
            <w:pPr>
              <w:pStyle w:val="167"/>
              <w:spacing w:line="240" w:lineRule="auto"/>
              <w:ind w:firstLine="0" w:firstLineChars="0"/>
              <w:rPr>
                <w:rFonts w:ascii="Times New Roman" w:hAnsi="宋体"/>
                <w:color w:val="auto"/>
                <w:szCs w:val="21"/>
                <w:highlight w:val="none"/>
              </w:rPr>
            </w:pPr>
            <w:r>
              <w:rPr>
                <w:rFonts w:hint="eastAsia" w:ascii="Times New Roman" w:hAnsi="宋体"/>
                <w:color w:val="auto"/>
                <w:szCs w:val="21"/>
                <w:highlight w:val="none"/>
              </w:rPr>
              <w:t>3.8 色谱柱及保护住2套</w:t>
            </w:r>
          </w:p>
          <w:p>
            <w:pPr>
              <w:pStyle w:val="167"/>
              <w:spacing w:line="240" w:lineRule="auto"/>
              <w:ind w:firstLine="0" w:firstLineChars="0"/>
              <w:rPr>
                <w:color w:val="auto"/>
                <w:highlight w:val="none"/>
              </w:rPr>
            </w:pPr>
            <w:r>
              <w:rPr>
                <w:rFonts w:hint="eastAsia" w:ascii="Times New Roman" w:hAnsi="宋体"/>
                <w:color w:val="auto"/>
                <w:szCs w:val="21"/>
                <w:highlight w:val="none"/>
              </w:rPr>
              <w:t>3.9工作站1套（</w:t>
            </w:r>
            <w:r>
              <w:rPr>
                <w:rFonts w:ascii="Times New Roman" w:hAnsi="宋体"/>
                <w:color w:val="auto"/>
                <w:szCs w:val="21"/>
                <w:highlight w:val="none"/>
              </w:rPr>
              <w:t>Thinkcentre M920T</w:t>
            </w:r>
            <w:r>
              <w:rPr>
                <w:rFonts w:hint="eastAsia" w:ascii="Times New Roman" w:hAnsi="宋体"/>
                <w:color w:val="auto"/>
                <w:szCs w:val="21"/>
                <w:highlight w:val="none"/>
              </w:rPr>
              <w:t>台式机或同级别以上，处理器：I</w:t>
            </w:r>
            <w:r>
              <w:rPr>
                <w:rFonts w:ascii="Times New Roman" w:hAnsi="宋体"/>
                <w:color w:val="auto"/>
                <w:szCs w:val="21"/>
                <w:highlight w:val="none"/>
              </w:rPr>
              <w:t xml:space="preserve">ntel Core </w:t>
            </w:r>
            <w:r>
              <w:rPr>
                <w:rFonts w:hint="eastAsia" w:ascii="Times New Roman" w:hAnsi="宋体"/>
                <w:color w:val="auto"/>
                <w:szCs w:val="21"/>
                <w:highlight w:val="none"/>
              </w:rPr>
              <w:t>i</w:t>
            </w:r>
            <w:r>
              <w:rPr>
                <w:rFonts w:ascii="Times New Roman" w:hAnsi="宋体"/>
                <w:color w:val="auto"/>
                <w:szCs w:val="21"/>
                <w:highlight w:val="none"/>
              </w:rPr>
              <w:t>5-8500 3G 6C Vpro</w:t>
            </w:r>
            <w:r>
              <w:rPr>
                <w:rFonts w:hint="eastAsia" w:ascii="Times New Roman" w:hAnsi="宋体"/>
                <w:color w:val="auto"/>
                <w:szCs w:val="21"/>
                <w:highlight w:val="none"/>
              </w:rPr>
              <w:t>；光驱</w:t>
            </w:r>
            <w:r>
              <w:rPr>
                <w:rFonts w:ascii="Times New Roman" w:hAnsi="宋体"/>
                <w:color w:val="auto"/>
                <w:szCs w:val="21"/>
                <w:highlight w:val="none"/>
              </w:rPr>
              <w:t>DVD-RW</w:t>
            </w:r>
            <w:r>
              <w:rPr>
                <w:rFonts w:hint="eastAsia" w:ascii="Times New Roman" w:hAnsi="宋体"/>
                <w:color w:val="auto"/>
                <w:szCs w:val="21"/>
                <w:highlight w:val="none"/>
              </w:rPr>
              <w:t>光驱；内存：1</w:t>
            </w:r>
            <w:r>
              <w:rPr>
                <w:rFonts w:ascii="Times New Roman" w:hAnsi="宋体"/>
                <w:color w:val="auto"/>
                <w:szCs w:val="21"/>
                <w:highlight w:val="none"/>
              </w:rPr>
              <w:t xml:space="preserve">6GB DDR4 2666 UDMIMM </w:t>
            </w:r>
            <w:r>
              <w:rPr>
                <w:rFonts w:hint="eastAsia" w:ascii="Times New Roman" w:hAnsi="宋体"/>
                <w:color w:val="auto"/>
                <w:szCs w:val="21"/>
                <w:highlight w:val="none"/>
              </w:rPr>
              <w:t>；硬盘：1</w:t>
            </w:r>
            <w:r>
              <w:rPr>
                <w:rFonts w:ascii="Times New Roman" w:hAnsi="宋体"/>
                <w:color w:val="auto"/>
                <w:szCs w:val="21"/>
                <w:highlight w:val="none"/>
              </w:rPr>
              <w:t>TB HD 7200RPM 3.55</w:t>
            </w:r>
            <w:r>
              <w:rPr>
                <w:rFonts w:hint="eastAsia" w:ascii="Times New Roman" w:hAnsi="宋体"/>
                <w:color w:val="auto"/>
                <w:szCs w:val="21"/>
                <w:highlight w:val="none"/>
              </w:rPr>
              <w:t xml:space="preserve">英寸 </w:t>
            </w:r>
            <w:r>
              <w:rPr>
                <w:rFonts w:ascii="Times New Roman" w:hAnsi="宋体"/>
                <w:color w:val="auto"/>
                <w:szCs w:val="21"/>
                <w:highlight w:val="none"/>
              </w:rPr>
              <w:t>SATA3</w:t>
            </w:r>
            <w:r>
              <w:rPr>
                <w:rFonts w:hint="eastAsia" w:ascii="Times New Roman" w:hAnsi="宋体"/>
                <w:color w:val="auto"/>
                <w:szCs w:val="21"/>
                <w:highlight w:val="none"/>
              </w:rPr>
              <w:t>；操作系统：Windows</w:t>
            </w:r>
            <w:r>
              <w:rPr>
                <w:rFonts w:ascii="Times New Roman" w:hAnsi="宋体"/>
                <w:color w:val="auto"/>
                <w:szCs w:val="21"/>
                <w:highlight w:val="none"/>
              </w:rPr>
              <w:t xml:space="preserve"> 10 professional 64</w:t>
            </w:r>
            <w:r>
              <w:rPr>
                <w:rFonts w:hint="eastAsia" w:ascii="Times New Roman" w:hAnsi="宋体"/>
                <w:color w:val="auto"/>
                <w:szCs w:val="21"/>
                <w:highlight w:val="none"/>
              </w:rPr>
              <w:t>位；2</w:t>
            </w:r>
            <w:r>
              <w:rPr>
                <w:rFonts w:ascii="Times New Roman" w:hAnsi="宋体"/>
                <w:color w:val="auto"/>
                <w:szCs w:val="21"/>
                <w:highlight w:val="none"/>
              </w:rPr>
              <w:t>1.5</w:t>
            </w:r>
            <w:r>
              <w:rPr>
                <w:rFonts w:hint="eastAsia" w:ascii="Times New Roman" w:hAnsi="宋体"/>
                <w:color w:val="auto"/>
                <w:szCs w:val="21"/>
                <w:highlight w:val="none"/>
              </w:rPr>
              <w:t>寸显示器）+打印输出设备一套</w:t>
            </w:r>
            <w:r>
              <w:rPr>
                <w:rFonts w:hint="eastAsia" w:ascii="Times New Roman" w:hAnsi="宋体"/>
                <w:color w:val="auto"/>
                <w:szCs w:val="21"/>
                <w:highlight w:val="none"/>
              </w:rPr>
              <w:t>（备注：工作站及打印输出设备人民币报价）</w:t>
            </w:r>
            <w:r>
              <w:rPr>
                <w:rFonts w:hint="eastAsia" w:ascii="Times New Roman" w:hAnsi="宋体"/>
                <w:color w:val="auto"/>
                <w:szCs w:val="21"/>
                <w:highlight w:val="none"/>
              </w:rPr>
              <w:t>。</w:t>
            </w:r>
          </w:p>
          <w:p>
            <w:pPr>
              <w:pStyle w:val="167"/>
              <w:spacing w:line="240" w:lineRule="auto"/>
              <w:ind w:firstLine="0" w:firstLineChars="0"/>
              <w:rPr>
                <w:color w:val="auto"/>
                <w:highlight w:val="none"/>
              </w:rPr>
            </w:pPr>
            <w:r>
              <w:rPr>
                <w:rFonts w:hint="eastAsia"/>
                <w:color w:val="auto"/>
                <w:highlight w:val="none"/>
              </w:rPr>
              <w:t>质保期：一年</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2</w:t>
            </w:r>
          </w:p>
        </w:tc>
        <w:tc>
          <w:tcPr>
            <w:tcW w:w="1409" w:type="dxa"/>
            <w:shd w:val="clear" w:color="auto" w:fill="auto"/>
            <w:vAlign w:val="center"/>
          </w:tcPr>
          <w:p>
            <w:pPr>
              <w:ind w:firstLine="0" w:firstLineChars="0"/>
              <w:jc w:val="center"/>
              <w:rPr>
                <w:rFonts w:ascii="Agilent TT Cond" w:hAnsi="Agilent TT Cond" w:cs="宋体"/>
                <w:color w:val="auto"/>
                <w:sz w:val="22"/>
                <w:szCs w:val="22"/>
                <w:highlight w:val="none"/>
              </w:rPr>
            </w:pPr>
            <w:r>
              <w:rPr>
                <w:rFonts w:hint="eastAsia" w:ascii="Agilent TT Cond" w:hAnsi="Agilent TT Cond" w:cs="宋体"/>
                <w:color w:val="auto"/>
                <w:sz w:val="22"/>
                <w:szCs w:val="22"/>
                <w:highlight w:val="none"/>
              </w:rPr>
              <w:t>离子淌度</w:t>
            </w:r>
          </w:p>
        </w:tc>
        <w:tc>
          <w:tcPr>
            <w:tcW w:w="5862" w:type="dxa"/>
            <w:shd w:val="clear" w:color="auto" w:fill="auto"/>
            <w:vAlign w:val="center"/>
          </w:tcPr>
          <w:p>
            <w:pPr>
              <w:pStyle w:val="167"/>
              <w:spacing w:line="240" w:lineRule="auto"/>
              <w:ind w:firstLine="0" w:firstLineChars="0"/>
              <w:rPr>
                <w:rFonts w:ascii="Times New Roman" w:hAnsi="宋体"/>
                <w:color w:val="auto"/>
                <w:szCs w:val="21"/>
                <w:highlight w:val="none"/>
              </w:rPr>
            </w:pPr>
            <w:r>
              <w:rPr>
                <w:rFonts w:hint="eastAsia" w:asciiTheme="minorEastAsia" w:hAnsiTheme="minorEastAsia"/>
                <w:color w:val="auto"/>
                <w:spacing w:val="-6"/>
                <w:highlight w:val="none"/>
              </w:rPr>
              <w:t>▲</w:t>
            </w:r>
            <w:r>
              <w:rPr>
                <w:rFonts w:hint="eastAsia" w:ascii="Times New Roman" w:hAnsi="宋体"/>
                <w:color w:val="auto"/>
                <w:szCs w:val="21"/>
                <w:highlight w:val="none"/>
              </w:rPr>
              <w:t>1、</w:t>
            </w:r>
            <w:r>
              <w:rPr>
                <w:rFonts w:ascii="Times New Roman" w:hAnsi="宋体"/>
                <w:color w:val="auto"/>
                <w:szCs w:val="21"/>
                <w:highlight w:val="none"/>
              </w:rPr>
              <w:t>具备离子淌度技术，无需任何标准品预先优化淌度方法，能得到每个检测到的离子的CCS值。使用ser-asp-gly-arg-gly和gly-arg-gly-asp-ser肽的碰撞截面积值Ω222.7和211.7，Ω/△Ω大于36</w:t>
            </w:r>
            <w:r>
              <w:rPr>
                <w:rFonts w:hint="eastAsia" w:ascii="Times New Roman" w:hAnsi="宋体"/>
                <w:color w:val="auto"/>
                <w:szCs w:val="21"/>
                <w:highlight w:val="none"/>
              </w:rPr>
              <w:t>；</w:t>
            </w:r>
          </w:p>
          <w:p>
            <w:pPr>
              <w:pStyle w:val="167"/>
              <w:spacing w:line="240" w:lineRule="auto"/>
              <w:ind w:firstLine="0" w:firstLineChars="0"/>
              <w:rPr>
                <w:rFonts w:ascii="Times New Roman" w:hAnsi="宋体"/>
                <w:color w:val="auto"/>
                <w:szCs w:val="21"/>
                <w:highlight w:val="none"/>
              </w:rPr>
            </w:pPr>
            <w:r>
              <w:rPr>
                <w:rFonts w:hint="eastAsia" w:ascii="Times New Roman" w:hAnsi="宋体"/>
                <w:color w:val="auto"/>
                <w:szCs w:val="21"/>
                <w:highlight w:val="none"/>
              </w:rPr>
              <w:t>2、</w:t>
            </w:r>
            <w:r>
              <w:rPr>
                <w:rFonts w:ascii="Times New Roman" w:hAnsi="宋体"/>
                <w:color w:val="auto"/>
                <w:szCs w:val="21"/>
                <w:highlight w:val="none"/>
              </w:rPr>
              <w:t>淌度池位于碰撞池的位置，通过行波技术实现淌度的分离，淌度池内真空度可控制，可通过不同参数的条件来改变离子淌度分辨率，如可通过改变淌度池内不同的气体，来实现不同的淌度分离。可真实测定化合物的碰撞横面积（CCS）值，同时保证测得离子的碰撞横面积（CCS）在不同梯度</w:t>
            </w:r>
            <w:r>
              <w:rPr>
                <w:rFonts w:hint="eastAsia" w:ascii="Times New Roman" w:hAnsi="宋体"/>
                <w:color w:val="auto"/>
                <w:szCs w:val="21"/>
                <w:highlight w:val="none"/>
              </w:rPr>
              <w:t>、</w:t>
            </w:r>
            <w:r>
              <w:rPr>
                <w:rFonts w:ascii="Times New Roman" w:hAnsi="宋体"/>
                <w:color w:val="auto"/>
                <w:szCs w:val="21"/>
                <w:highlight w:val="none"/>
              </w:rPr>
              <w:t>不同基质和不同时间内的稳定性和重现性。不管是直接进样还是连接超高效液相进样，在不同仪器上，使用不同梯度和不同基质内长时间连续测量，目标离子的CCS的偏差不高于2%</w:t>
            </w:r>
            <w:r>
              <w:rPr>
                <w:rFonts w:hint="eastAsia" w:ascii="Times New Roman" w:hAnsi="宋体"/>
                <w:color w:val="auto"/>
                <w:szCs w:val="21"/>
                <w:highlight w:val="none"/>
              </w:rPr>
              <w:t>；</w:t>
            </w:r>
          </w:p>
          <w:p>
            <w:pPr>
              <w:pStyle w:val="167"/>
              <w:spacing w:line="240" w:lineRule="auto"/>
              <w:ind w:firstLine="0" w:firstLineChars="0"/>
              <w:rPr>
                <w:rFonts w:ascii="Times New Roman" w:hAnsi="宋体"/>
                <w:color w:val="auto"/>
                <w:szCs w:val="21"/>
                <w:highlight w:val="none"/>
              </w:rPr>
            </w:pPr>
            <w:r>
              <w:rPr>
                <w:rFonts w:hint="eastAsia" w:ascii="Times New Roman" w:hAnsi="宋体"/>
                <w:color w:val="auto"/>
                <w:szCs w:val="21"/>
                <w:highlight w:val="none"/>
              </w:rPr>
              <w:t>3、</w:t>
            </w:r>
            <w:r>
              <w:rPr>
                <w:rFonts w:ascii="Times New Roman" w:hAnsi="宋体"/>
                <w:color w:val="auto"/>
                <w:szCs w:val="21"/>
                <w:highlight w:val="none"/>
              </w:rPr>
              <w:t>有多种采集方式，如非数据依赖性扫描模式MSE、HDMSE；可用于定量的Tof-MRM及HDMRM，提高定量分析的特异性；同时可实现二级碎片的淌度分离，还具有TAP功能，可通过淌度获得目标离子的三级碎片信息</w:t>
            </w:r>
            <w:r>
              <w:rPr>
                <w:rFonts w:hint="eastAsia" w:ascii="Times New Roman" w:hAnsi="宋体"/>
                <w:color w:val="auto"/>
                <w:szCs w:val="21"/>
                <w:highlight w:val="none"/>
              </w:rPr>
              <w:t>；</w:t>
            </w:r>
          </w:p>
          <w:p>
            <w:pPr>
              <w:pStyle w:val="167"/>
              <w:spacing w:line="240" w:lineRule="auto"/>
              <w:ind w:firstLine="0" w:firstLineChars="0"/>
              <w:rPr>
                <w:rFonts w:ascii="Times New Roman" w:hAnsi="宋体"/>
                <w:color w:val="auto"/>
                <w:szCs w:val="21"/>
                <w:highlight w:val="none"/>
              </w:rPr>
            </w:pPr>
            <w:r>
              <w:rPr>
                <w:rFonts w:hint="eastAsia" w:ascii="Times New Roman" w:hAnsi="宋体"/>
                <w:color w:val="auto"/>
                <w:szCs w:val="21"/>
                <w:highlight w:val="none"/>
              </w:rPr>
              <w:t>4、</w:t>
            </w:r>
            <w:r>
              <w:rPr>
                <w:rFonts w:ascii="Times New Roman" w:hAnsi="宋体"/>
                <w:color w:val="auto"/>
                <w:szCs w:val="21"/>
                <w:highlight w:val="none"/>
              </w:rPr>
              <w:t>行波离子淌度分辨率性能指标：以混合肽ser-asp-gly-arg-gly和gly-arg-gly-asp-ser为分析物，得到双电荷离子m/z 246.1；两者的碰撞截面积(collision cross section, Ω)分别为222.7和211.7Å2</w:t>
            </w:r>
            <w:r>
              <w:rPr>
                <w:rFonts w:hint="eastAsia" w:ascii="Times New Roman" w:hAnsi="宋体"/>
                <w:color w:val="auto"/>
                <w:szCs w:val="21"/>
                <w:highlight w:val="none"/>
              </w:rPr>
              <w:t>；</w:t>
            </w:r>
          </w:p>
          <w:p>
            <w:pPr>
              <w:pStyle w:val="167"/>
              <w:numPr>
                <w:ilvl w:val="0"/>
                <w:numId w:val="6"/>
              </w:numPr>
              <w:spacing w:line="240" w:lineRule="auto"/>
              <w:ind w:firstLine="0" w:firstLineChars="0"/>
              <w:rPr>
                <w:rFonts w:ascii="Times New Roman" w:hAnsi="宋体"/>
                <w:color w:val="auto"/>
                <w:szCs w:val="21"/>
                <w:highlight w:val="none"/>
              </w:rPr>
            </w:pPr>
            <w:r>
              <w:rPr>
                <w:rFonts w:ascii="Times New Roman" w:hAnsi="宋体"/>
                <w:color w:val="auto"/>
                <w:szCs w:val="21"/>
                <w:highlight w:val="none"/>
              </w:rPr>
              <w:t>TAP时间对齐三级平行碎裂模式，经离子淌度分离二级碎片后再进行碎裂，软件自动根据离子淌度漂移时间进行三级碎片和二级碎片的对齐</w:t>
            </w:r>
            <w:r>
              <w:rPr>
                <w:rFonts w:hint="eastAsia" w:ascii="Times New Roman" w:hAnsi="宋体"/>
                <w:color w:val="auto"/>
                <w:szCs w:val="21"/>
                <w:highlight w:val="none"/>
              </w:rPr>
              <w:t>。</w:t>
            </w:r>
          </w:p>
          <w:p>
            <w:pPr>
              <w:pStyle w:val="167"/>
              <w:spacing w:line="240" w:lineRule="auto"/>
              <w:ind w:firstLine="0" w:firstLineChars="0"/>
              <w:rPr>
                <w:rFonts w:ascii="Times New Roman" w:hAnsi="宋体"/>
                <w:color w:val="auto"/>
                <w:szCs w:val="21"/>
                <w:highlight w:val="none"/>
              </w:rPr>
            </w:pPr>
            <w:r>
              <w:rPr>
                <w:rFonts w:hint="eastAsia" w:ascii="Times New Roman" w:hAnsi="宋体"/>
                <w:color w:val="auto"/>
                <w:szCs w:val="21"/>
                <w:highlight w:val="none"/>
              </w:rPr>
              <w:t>质保期：一年</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bl>
    <w:p>
      <w:pPr>
        <w:ind w:firstLine="480"/>
        <w:rPr>
          <w:color w:val="auto"/>
          <w:highlight w:val="none"/>
        </w:rPr>
      </w:pPr>
    </w:p>
    <w:p>
      <w:pPr>
        <w:pStyle w:val="7"/>
        <w:ind w:firstLine="422"/>
        <w:rPr>
          <w:color w:val="auto"/>
          <w:highlight w:val="none"/>
        </w:rPr>
      </w:pPr>
      <w:r>
        <w:rPr>
          <w:rFonts w:hint="eastAsia"/>
          <w:color w:val="auto"/>
          <w:highlight w:val="none"/>
        </w:rPr>
        <w:t>标项二：电镜COMS等</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5941"/>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序号</w:t>
            </w:r>
          </w:p>
        </w:tc>
        <w:tc>
          <w:tcPr>
            <w:tcW w:w="1276"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名称</w:t>
            </w:r>
          </w:p>
        </w:tc>
        <w:tc>
          <w:tcPr>
            <w:tcW w:w="5941"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功能及技术参数等</w:t>
            </w:r>
          </w:p>
        </w:tc>
        <w:tc>
          <w:tcPr>
            <w:tcW w:w="541"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1</w:t>
            </w:r>
          </w:p>
        </w:tc>
        <w:tc>
          <w:tcPr>
            <w:tcW w:w="1276" w:type="dxa"/>
            <w:shd w:val="clear" w:color="auto" w:fill="auto"/>
            <w:vAlign w:val="center"/>
          </w:tcPr>
          <w:p>
            <w:pPr>
              <w:pStyle w:val="20"/>
              <w:snapToGrid w:val="0"/>
              <w:spacing w:line="240" w:lineRule="atLeast"/>
              <w:jc w:val="left"/>
              <w:rPr>
                <w:color w:val="auto"/>
                <w:szCs w:val="21"/>
                <w:highlight w:val="none"/>
              </w:rPr>
            </w:pPr>
            <w:r>
              <w:rPr>
                <w:rFonts w:hint="eastAsia" w:ascii="Times New Roman" w:hAnsi="宋体"/>
                <w:color w:val="auto"/>
                <w:sz w:val="24"/>
                <w:szCs w:val="21"/>
                <w:highlight w:val="none"/>
              </w:rPr>
              <w:t>电镜CMOS</w:t>
            </w:r>
          </w:p>
        </w:tc>
        <w:tc>
          <w:tcPr>
            <w:tcW w:w="5941" w:type="dxa"/>
            <w:shd w:val="clear" w:color="auto" w:fill="auto"/>
            <w:vAlign w:val="center"/>
          </w:tcPr>
          <w:p>
            <w:pPr>
              <w:pStyle w:val="20"/>
              <w:numPr>
                <w:ilvl w:val="0"/>
                <w:numId w:val="7"/>
              </w:numPr>
              <w:snapToGrid w:val="0"/>
              <w:spacing w:line="240" w:lineRule="atLeast"/>
              <w:jc w:val="left"/>
              <w:rPr>
                <w:rFonts w:ascii="Times New Roman" w:hAnsi="宋体"/>
                <w:color w:val="auto"/>
                <w:sz w:val="24"/>
                <w:szCs w:val="21"/>
                <w:highlight w:val="none"/>
              </w:rPr>
            </w:pPr>
            <w:r>
              <w:rPr>
                <w:rFonts w:hint="eastAsia" w:ascii="Times New Roman" w:hAnsi="宋体"/>
                <w:color w:val="auto"/>
                <w:sz w:val="24"/>
                <w:szCs w:val="21"/>
                <w:highlight w:val="none"/>
              </w:rPr>
              <w:t>技术参数</w:t>
            </w:r>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31" w:name="_Toc6775"/>
            <w:r>
              <w:rPr>
                <w:rFonts w:hint="eastAsia" w:ascii="Times New Roman" w:hAnsi="宋体"/>
                <w:color w:val="auto"/>
                <w:szCs w:val="21"/>
                <w:highlight w:val="none"/>
              </w:rPr>
              <w:t>1</w:t>
            </w:r>
            <w:r>
              <w:rPr>
                <w:rFonts w:ascii="Times New Roman" w:hAnsi="宋体"/>
                <w:color w:val="auto"/>
                <w:szCs w:val="21"/>
                <w:highlight w:val="none"/>
              </w:rPr>
              <w:t>.1</w:t>
            </w:r>
            <w:r>
              <w:rPr>
                <w:rFonts w:hint="eastAsia" w:ascii="Times New Roman" w:hAnsi="宋体"/>
                <w:color w:val="auto"/>
                <w:szCs w:val="21"/>
                <w:highlight w:val="none"/>
              </w:rPr>
              <w:t>▲安装位置：相机安装于透射电镜的底部同轴位置，</w:t>
            </w:r>
            <w:r>
              <w:rPr>
                <w:rFonts w:ascii="Times New Roman" w:hAnsi="宋体"/>
                <w:color w:val="auto"/>
                <w:szCs w:val="21"/>
                <w:highlight w:val="none"/>
              </w:rPr>
              <w:t>具备</w:t>
            </w:r>
            <w:r>
              <w:rPr>
                <w:rFonts w:hint="eastAsia" w:ascii="Times New Roman" w:hAnsi="宋体"/>
                <w:color w:val="auto"/>
                <w:szCs w:val="21"/>
                <w:highlight w:val="none"/>
              </w:rPr>
              <w:t>TEM表征过程中稳瞬态信号的获取</w:t>
            </w:r>
            <w:r>
              <w:rPr>
                <w:rFonts w:ascii="Times New Roman" w:hAnsi="宋体"/>
                <w:color w:val="auto"/>
                <w:szCs w:val="21"/>
                <w:highlight w:val="none"/>
              </w:rPr>
              <w:t>能力</w:t>
            </w:r>
            <w:r>
              <w:rPr>
                <w:rFonts w:hint="eastAsia" w:ascii="Times New Roman" w:hAnsi="宋体"/>
                <w:color w:val="auto"/>
                <w:szCs w:val="21"/>
                <w:highlight w:val="none"/>
              </w:rPr>
              <w:t>。</w:t>
            </w:r>
            <w:bookmarkEnd w:id="31"/>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32" w:name="_Toc22189"/>
            <w:r>
              <w:rPr>
                <w:rFonts w:hint="eastAsia" w:ascii="Times New Roman" w:hAnsi="宋体"/>
                <w:color w:val="auto"/>
                <w:szCs w:val="21"/>
                <w:highlight w:val="none"/>
              </w:rPr>
              <w:t>1</w:t>
            </w:r>
            <w:r>
              <w:rPr>
                <w:rFonts w:ascii="Times New Roman" w:hAnsi="宋体"/>
                <w:color w:val="auto"/>
                <w:szCs w:val="21"/>
                <w:highlight w:val="none"/>
              </w:rPr>
              <w:t>.2</w:t>
            </w:r>
            <w:r>
              <w:rPr>
                <w:rFonts w:hint="eastAsia" w:ascii="Times New Roman" w:hAnsi="宋体"/>
                <w:color w:val="auto"/>
                <w:szCs w:val="21"/>
                <w:highlight w:val="none"/>
              </w:rPr>
              <w:t xml:space="preserve"> 感光器件为CMOS</w:t>
            </w:r>
            <w:bookmarkEnd w:id="32"/>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33" w:name="_Toc9360"/>
            <w:r>
              <w:rPr>
                <w:rFonts w:hint="eastAsia" w:ascii="Times New Roman" w:hAnsi="宋体"/>
                <w:color w:val="auto"/>
                <w:szCs w:val="21"/>
                <w:highlight w:val="none"/>
              </w:rPr>
              <w:t>1</w:t>
            </w:r>
            <w:r>
              <w:rPr>
                <w:rFonts w:ascii="Times New Roman" w:hAnsi="宋体"/>
                <w:color w:val="auto"/>
                <w:szCs w:val="21"/>
                <w:highlight w:val="none"/>
              </w:rPr>
              <w:t>.2.1</w:t>
            </w:r>
            <w:r>
              <w:rPr>
                <w:rFonts w:hint="eastAsia" w:ascii="Times New Roman" w:hAnsi="宋体"/>
                <w:color w:val="auto"/>
                <w:szCs w:val="21"/>
                <w:highlight w:val="none"/>
              </w:rPr>
              <w:t>▲像素尺寸：大于等于1</w:t>
            </w:r>
            <w:r>
              <w:rPr>
                <w:rFonts w:ascii="Times New Roman" w:hAnsi="宋体"/>
                <w:color w:val="auto"/>
                <w:szCs w:val="21"/>
                <w:highlight w:val="none"/>
              </w:rPr>
              <w:t>3</w:t>
            </w:r>
            <w:r>
              <w:rPr>
                <w:rFonts w:hint="eastAsia" w:ascii="Times New Roman" w:hAnsi="宋体"/>
                <w:color w:val="auto"/>
                <w:szCs w:val="21"/>
                <w:highlight w:val="none"/>
              </w:rPr>
              <w:t>um</w:t>
            </w:r>
            <w:r>
              <w:rPr>
                <w:rFonts w:ascii="Times New Roman" w:hAnsi="宋体"/>
                <w:color w:val="auto"/>
                <w:szCs w:val="21"/>
                <w:highlight w:val="none"/>
              </w:rPr>
              <w:t>X13</w:t>
            </w:r>
            <w:r>
              <w:rPr>
                <w:rFonts w:hint="eastAsia" w:ascii="Times New Roman" w:hAnsi="宋体"/>
                <w:color w:val="auto"/>
                <w:szCs w:val="21"/>
                <w:highlight w:val="none"/>
              </w:rPr>
              <w:t>um</w:t>
            </w:r>
            <w:bookmarkEnd w:id="33"/>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34" w:name="_Toc11911"/>
            <w:r>
              <w:rPr>
                <w:rFonts w:hint="eastAsia" w:ascii="Times New Roman" w:hAnsi="宋体"/>
                <w:color w:val="auto"/>
                <w:szCs w:val="21"/>
                <w:highlight w:val="none"/>
              </w:rPr>
              <w:t>1</w:t>
            </w:r>
            <w:r>
              <w:rPr>
                <w:rFonts w:ascii="Times New Roman" w:hAnsi="宋体"/>
                <w:color w:val="auto"/>
                <w:szCs w:val="21"/>
                <w:highlight w:val="none"/>
              </w:rPr>
              <w:t>.3</w:t>
            </w:r>
            <w:r>
              <w:rPr>
                <w:rFonts w:hint="eastAsia" w:ascii="Times New Roman" w:hAnsi="宋体"/>
                <w:color w:val="auto"/>
                <w:szCs w:val="21"/>
                <w:highlight w:val="none"/>
              </w:rPr>
              <w:t>▲图像分辨率不低于1</w:t>
            </w:r>
            <w:r>
              <w:rPr>
                <w:rFonts w:ascii="Times New Roman" w:hAnsi="宋体"/>
                <w:color w:val="auto"/>
                <w:szCs w:val="21"/>
                <w:highlight w:val="none"/>
              </w:rPr>
              <w:t>600</w:t>
            </w:r>
            <w:r>
              <w:rPr>
                <w:rFonts w:hint="eastAsia" w:ascii="Times New Roman" w:hAnsi="宋体"/>
                <w:color w:val="auto"/>
                <w:szCs w:val="21"/>
                <w:highlight w:val="none"/>
              </w:rPr>
              <w:t>万像素</w:t>
            </w:r>
            <w:bookmarkEnd w:id="34"/>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35" w:name="_Toc1072"/>
            <w:r>
              <w:rPr>
                <w:rFonts w:hint="eastAsia" w:ascii="Times New Roman" w:hAnsi="宋体"/>
                <w:color w:val="auto"/>
                <w:szCs w:val="21"/>
                <w:highlight w:val="none"/>
              </w:rPr>
              <w:t>1</w:t>
            </w:r>
            <w:r>
              <w:rPr>
                <w:rFonts w:ascii="Times New Roman" w:hAnsi="宋体"/>
                <w:color w:val="auto"/>
                <w:szCs w:val="21"/>
                <w:highlight w:val="none"/>
              </w:rPr>
              <w:t>.4</w:t>
            </w:r>
            <w:r>
              <w:rPr>
                <w:rFonts w:hint="eastAsia" w:ascii="Times New Roman" w:hAnsi="宋体"/>
                <w:color w:val="auto"/>
                <w:szCs w:val="21"/>
                <w:highlight w:val="none"/>
              </w:rPr>
              <w:t>▲采集速率在满像素时不低于</w:t>
            </w:r>
            <w:r>
              <w:rPr>
                <w:rFonts w:ascii="Times New Roman" w:hAnsi="宋体"/>
                <w:color w:val="auto"/>
                <w:szCs w:val="21"/>
                <w:highlight w:val="none"/>
              </w:rPr>
              <w:t>25</w:t>
            </w:r>
            <w:r>
              <w:rPr>
                <w:rFonts w:hint="eastAsia" w:ascii="Times New Roman" w:hAnsi="宋体"/>
                <w:color w:val="auto"/>
                <w:szCs w:val="21"/>
                <w:highlight w:val="none"/>
              </w:rPr>
              <w:t>帧/秒</w:t>
            </w:r>
            <w:bookmarkEnd w:id="35"/>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36" w:name="_Toc32060"/>
            <w:r>
              <w:rPr>
                <w:rFonts w:hint="eastAsia" w:ascii="Times New Roman" w:hAnsi="宋体"/>
                <w:color w:val="auto"/>
                <w:szCs w:val="21"/>
                <w:highlight w:val="none"/>
              </w:rPr>
              <w:t>1</w:t>
            </w:r>
            <w:r>
              <w:rPr>
                <w:rFonts w:ascii="Times New Roman" w:hAnsi="宋体"/>
                <w:color w:val="auto"/>
                <w:szCs w:val="21"/>
                <w:highlight w:val="none"/>
              </w:rPr>
              <w:t>.5</w:t>
            </w:r>
            <w:r>
              <w:rPr>
                <w:rFonts w:hint="eastAsia" w:ascii="Times New Roman" w:hAnsi="宋体"/>
                <w:color w:val="auto"/>
                <w:szCs w:val="21"/>
                <w:highlight w:val="none"/>
              </w:rPr>
              <w:t>耦合方式：光纤耦合</w:t>
            </w:r>
            <w:bookmarkEnd w:id="36"/>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37" w:name="_Toc26095"/>
            <w:r>
              <w:rPr>
                <w:rFonts w:hint="eastAsia" w:ascii="Times New Roman" w:hAnsi="宋体"/>
                <w:color w:val="auto"/>
                <w:szCs w:val="21"/>
                <w:highlight w:val="none"/>
              </w:rPr>
              <w:t>1</w:t>
            </w:r>
            <w:r>
              <w:rPr>
                <w:rFonts w:ascii="Times New Roman" w:hAnsi="宋体"/>
                <w:color w:val="auto"/>
                <w:szCs w:val="21"/>
                <w:highlight w:val="none"/>
              </w:rPr>
              <w:t>.6</w:t>
            </w:r>
            <w:r>
              <w:rPr>
                <w:rFonts w:hint="eastAsia" w:ascii="Times New Roman" w:hAnsi="宋体"/>
                <w:color w:val="auto"/>
                <w:szCs w:val="21"/>
                <w:highlight w:val="none"/>
              </w:rPr>
              <w:t>支持低剂量曝光技术</w:t>
            </w:r>
            <w:bookmarkEnd w:id="37"/>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38" w:name="_Toc10876"/>
            <w:r>
              <w:rPr>
                <w:rFonts w:hint="eastAsia" w:ascii="Times New Roman" w:hAnsi="宋体"/>
                <w:color w:val="auto"/>
                <w:szCs w:val="21"/>
                <w:highlight w:val="none"/>
              </w:rPr>
              <w:t>1</w:t>
            </w:r>
            <w:r>
              <w:rPr>
                <w:rFonts w:ascii="Times New Roman" w:hAnsi="宋体"/>
                <w:color w:val="auto"/>
                <w:szCs w:val="21"/>
                <w:highlight w:val="none"/>
              </w:rPr>
              <w:t>.7</w:t>
            </w:r>
            <w:r>
              <w:rPr>
                <w:rFonts w:hint="eastAsia" w:ascii="Times New Roman" w:hAnsi="宋体"/>
                <w:color w:val="auto"/>
                <w:szCs w:val="21"/>
                <w:highlight w:val="none"/>
              </w:rPr>
              <w:t>接口：不受计算机升级限制，利于数据传输。</w:t>
            </w:r>
            <w:bookmarkEnd w:id="38"/>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39" w:name="_Toc12884"/>
            <w:r>
              <w:rPr>
                <w:rFonts w:hint="eastAsia" w:ascii="Times New Roman" w:hAnsi="宋体"/>
                <w:color w:val="auto"/>
                <w:szCs w:val="21"/>
                <w:highlight w:val="none"/>
              </w:rPr>
              <w:t>1</w:t>
            </w:r>
            <w:r>
              <w:rPr>
                <w:rFonts w:ascii="Times New Roman" w:hAnsi="宋体"/>
                <w:color w:val="auto"/>
                <w:szCs w:val="21"/>
                <w:highlight w:val="none"/>
              </w:rPr>
              <w:t>.8</w:t>
            </w:r>
            <w:r>
              <w:rPr>
                <w:rFonts w:hint="eastAsia" w:ascii="Times New Roman" w:hAnsi="宋体"/>
                <w:color w:val="auto"/>
                <w:szCs w:val="21"/>
                <w:highlight w:val="none"/>
              </w:rPr>
              <w:t>操作系统：</w:t>
            </w:r>
            <w:r>
              <w:rPr>
                <w:rFonts w:ascii="Times New Roman" w:hAnsi="宋体"/>
                <w:color w:val="auto"/>
                <w:szCs w:val="21"/>
                <w:highlight w:val="none"/>
              </w:rPr>
              <w:t>Windows7</w:t>
            </w:r>
            <w:r>
              <w:rPr>
                <w:rFonts w:hint="eastAsia" w:ascii="Times New Roman" w:hAnsi="宋体"/>
                <w:color w:val="auto"/>
                <w:szCs w:val="21"/>
                <w:highlight w:val="none"/>
              </w:rPr>
              <w:t>或以上，6</w:t>
            </w:r>
            <w:r>
              <w:rPr>
                <w:rFonts w:ascii="Times New Roman" w:hAnsi="宋体"/>
                <w:color w:val="auto"/>
                <w:szCs w:val="21"/>
                <w:highlight w:val="none"/>
              </w:rPr>
              <w:t>4</w:t>
            </w:r>
            <w:r>
              <w:rPr>
                <w:rFonts w:hint="eastAsia" w:ascii="Times New Roman" w:hAnsi="宋体"/>
                <w:color w:val="auto"/>
                <w:szCs w:val="21"/>
                <w:highlight w:val="none"/>
              </w:rPr>
              <w:t>位。</w:t>
            </w:r>
            <w:bookmarkEnd w:id="39"/>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40" w:name="_Toc26111"/>
            <w:r>
              <w:rPr>
                <w:rFonts w:hint="eastAsia" w:ascii="Times New Roman" w:hAnsi="宋体"/>
                <w:color w:val="auto"/>
                <w:szCs w:val="21"/>
                <w:highlight w:val="none"/>
              </w:rPr>
              <w:t>1</w:t>
            </w:r>
            <w:r>
              <w:rPr>
                <w:rFonts w:ascii="Times New Roman" w:hAnsi="宋体"/>
                <w:color w:val="auto"/>
                <w:szCs w:val="21"/>
                <w:highlight w:val="none"/>
              </w:rPr>
              <w:t>.9</w:t>
            </w:r>
            <w:r>
              <w:rPr>
                <w:rFonts w:hint="eastAsia" w:ascii="Times New Roman" w:hAnsi="宋体"/>
                <w:color w:val="auto"/>
                <w:szCs w:val="21"/>
                <w:highlight w:val="none"/>
              </w:rPr>
              <w:t>制冷方式：水冷或电制冷</w:t>
            </w:r>
            <w:bookmarkEnd w:id="40"/>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41" w:name="_Toc18007"/>
            <w:r>
              <w:rPr>
                <w:rFonts w:hint="eastAsia" w:ascii="Times New Roman" w:hAnsi="宋体"/>
                <w:color w:val="auto"/>
                <w:szCs w:val="21"/>
                <w:highlight w:val="none"/>
              </w:rPr>
              <w:t>1</w:t>
            </w:r>
            <w:r>
              <w:rPr>
                <w:rFonts w:ascii="Times New Roman" w:hAnsi="宋体"/>
                <w:color w:val="auto"/>
                <w:szCs w:val="21"/>
                <w:highlight w:val="none"/>
              </w:rPr>
              <w:t>.10</w:t>
            </w:r>
            <w:r>
              <w:rPr>
                <w:rFonts w:hint="eastAsia" w:ascii="Times New Roman" w:hAnsi="宋体"/>
                <w:color w:val="auto"/>
                <w:szCs w:val="21"/>
                <w:highlight w:val="none"/>
              </w:rPr>
              <w:t>与现有透射电镜匹配度：匹配良好，安装好底插式C</w:t>
            </w:r>
            <w:r>
              <w:rPr>
                <w:rFonts w:ascii="Times New Roman" w:hAnsi="宋体"/>
                <w:color w:val="auto"/>
                <w:szCs w:val="21"/>
                <w:highlight w:val="none"/>
              </w:rPr>
              <w:t>CD</w:t>
            </w:r>
            <w:r>
              <w:rPr>
                <w:rFonts w:hint="eastAsia" w:ascii="Times New Roman" w:hAnsi="宋体"/>
                <w:color w:val="auto"/>
                <w:szCs w:val="21"/>
                <w:highlight w:val="none"/>
              </w:rPr>
              <w:t>后，电镜不漏气，与现有侧插式C</w:t>
            </w:r>
            <w:r>
              <w:rPr>
                <w:rFonts w:ascii="Times New Roman" w:hAnsi="宋体"/>
                <w:color w:val="auto"/>
                <w:szCs w:val="21"/>
                <w:highlight w:val="none"/>
              </w:rPr>
              <w:t>CD</w:t>
            </w:r>
            <w:r>
              <w:rPr>
                <w:rFonts w:hint="eastAsia" w:ascii="Times New Roman" w:hAnsi="宋体"/>
                <w:color w:val="auto"/>
                <w:szCs w:val="21"/>
                <w:highlight w:val="none"/>
              </w:rPr>
              <w:t>不冲突，维持电镜原有良好的真空度</w:t>
            </w:r>
            <w:bookmarkEnd w:id="41"/>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42" w:name="_Toc23671"/>
            <w:r>
              <w:rPr>
                <w:rFonts w:hint="eastAsia" w:ascii="Times New Roman" w:hAnsi="宋体"/>
                <w:color w:val="auto"/>
                <w:szCs w:val="21"/>
                <w:highlight w:val="none"/>
              </w:rPr>
              <w:t>1</w:t>
            </w:r>
            <w:r>
              <w:rPr>
                <w:rFonts w:ascii="Times New Roman" w:hAnsi="宋体"/>
                <w:color w:val="auto"/>
                <w:szCs w:val="21"/>
                <w:highlight w:val="none"/>
              </w:rPr>
              <w:t>.11</w:t>
            </w:r>
            <w:r>
              <w:rPr>
                <w:rFonts w:hint="eastAsia" w:ascii="Times New Roman" w:hAnsi="宋体"/>
                <w:color w:val="auto"/>
                <w:szCs w:val="21"/>
                <w:highlight w:val="none"/>
              </w:rPr>
              <w:t>具有样品漂移校正功能</w:t>
            </w:r>
            <w:bookmarkEnd w:id="42"/>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43" w:name="_Toc14612"/>
            <w:r>
              <w:rPr>
                <w:rFonts w:hint="eastAsia" w:ascii="Times New Roman" w:hAnsi="宋体"/>
                <w:color w:val="auto"/>
                <w:szCs w:val="21"/>
                <w:highlight w:val="none"/>
              </w:rPr>
              <w:t>1</w:t>
            </w:r>
            <w:r>
              <w:rPr>
                <w:rFonts w:ascii="Times New Roman" w:hAnsi="宋体"/>
                <w:color w:val="auto"/>
                <w:szCs w:val="21"/>
                <w:highlight w:val="none"/>
              </w:rPr>
              <w:t>.12</w:t>
            </w:r>
            <w:r>
              <w:rPr>
                <w:rFonts w:hint="eastAsia" w:ascii="Times New Roman" w:hAnsi="宋体"/>
                <w:color w:val="auto"/>
                <w:szCs w:val="21"/>
                <w:highlight w:val="none"/>
              </w:rPr>
              <w:t>具有H</w:t>
            </w:r>
            <w:r>
              <w:rPr>
                <w:rFonts w:ascii="Times New Roman" w:hAnsi="宋体"/>
                <w:color w:val="auto"/>
                <w:szCs w:val="21"/>
                <w:highlight w:val="none"/>
              </w:rPr>
              <w:t>DR</w:t>
            </w:r>
            <w:r>
              <w:rPr>
                <w:rFonts w:hint="eastAsia" w:ascii="Times New Roman" w:hAnsi="宋体"/>
                <w:color w:val="auto"/>
                <w:szCs w:val="21"/>
                <w:highlight w:val="none"/>
              </w:rPr>
              <w:t>样品拍摄模式</w:t>
            </w:r>
            <w:bookmarkEnd w:id="43"/>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44" w:name="_Toc14581"/>
            <w:r>
              <w:rPr>
                <w:rFonts w:hint="eastAsia" w:ascii="Times New Roman" w:hAnsi="宋体"/>
                <w:color w:val="auto"/>
                <w:szCs w:val="21"/>
                <w:highlight w:val="none"/>
              </w:rPr>
              <w:t>1</w:t>
            </w:r>
            <w:r>
              <w:rPr>
                <w:rFonts w:ascii="Times New Roman" w:hAnsi="宋体"/>
                <w:color w:val="auto"/>
                <w:szCs w:val="21"/>
                <w:highlight w:val="none"/>
              </w:rPr>
              <w:t>.13</w:t>
            </w:r>
            <w:r>
              <w:rPr>
                <w:rFonts w:hint="eastAsia" w:ascii="Times New Roman" w:hAnsi="宋体"/>
                <w:color w:val="auto"/>
                <w:szCs w:val="21"/>
                <w:highlight w:val="none"/>
              </w:rPr>
              <w:t>具有连续录像功能，时间长度没有限制</w:t>
            </w:r>
            <w:bookmarkEnd w:id="44"/>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45" w:name="_Toc24597"/>
            <w:r>
              <w:rPr>
                <w:rFonts w:hint="eastAsia" w:ascii="Times New Roman" w:hAnsi="宋体"/>
                <w:color w:val="auto"/>
                <w:szCs w:val="21"/>
                <w:highlight w:val="none"/>
              </w:rPr>
              <w:t>1</w:t>
            </w:r>
            <w:r>
              <w:rPr>
                <w:rFonts w:ascii="Times New Roman" w:hAnsi="宋体"/>
                <w:color w:val="auto"/>
                <w:szCs w:val="21"/>
                <w:highlight w:val="none"/>
              </w:rPr>
              <w:t>.14</w:t>
            </w:r>
            <w:r>
              <w:rPr>
                <w:rFonts w:hint="eastAsia" w:ascii="Times New Roman" w:hAnsi="宋体"/>
                <w:color w:val="auto"/>
                <w:szCs w:val="21"/>
                <w:highlight w:val="none"/>
              </w:rPr>
              <w:t>具有动态图像积分能力，便于拍摄低照度样品</w:t>
            </w:r>
            <w:bookmarkEnd w:id="45"/>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46" w:name="_Toc32408"/>
            <w:r>
              <w:rPr>
                <w:rFonts w:hint="eastAsia" w:ascii="Times New Roman" w:hAnsi="宋体"/>
                <w:color w:val="auto"/>
                <w:szCs w:val="21"/>
                <w:highlight w:val="none"/>
              </w:rPr>
              <w:t>1</w:t>
            </w:r>
            <w:r>
              <w:rPr>
                <w:rFonts w:ascii="Times New Roman" w:hAnsi="宋体"/>
                <w:color w:val="auto"/>
                <w:szCs w:val="21"/>
                <w:highlight w:val="none"/>
              </w:rPr>
              <w:t>.15</w:t>
            </w:r>
            <w:r>
              <w:rPr>
                <w:rFonts w:hint="eastAsia" w:ascii="Times New Roman" w:hAnsi="宋体"/>
                <w:color w:val="auto"/>
                <w:szCs w:val="21"/>
                <w:highlight w:val="none"/>
              </w:rPr>
              <w:t>具有采集图像积分能力</w:t>
            </w:r>
            <w:bookmarkEnd w:id="46"/>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47" w:name="_Toc3798"/>
            <w:r>
              <w:rPr>
                <w:rFonts w:hint="eastAsia" w:ascii="Times New Roman" w:hAnsi="宋体"/>
                <w:color w:val="auto"/>
                <w:szCs w:val="21"/>
                <w:highlight w:val="none"/>
              </w:rPr>
              <w:t>1</w:t>
            </w:r>
            <w:r>
              <w:rPr>
                <w:rFonts w:ascii="Times New Roman" w:hAnsi="宋体"/>
                <w:color w:val="auto"/>
                <w:szCs w:val="21"/>
                <w:highlight w:val="none"/>
              </w:rPr>
              <w:t>.16</w:t>
            </w:r>
            <w:r>
              <w:rPr>
                <w:rFonts w:hint="eastAsia" w:ascii="Times New Roman" w:hAnsi="宋体"/>
                <w:color w:val="auto"/>
                <w:szCs w:val="21"/>
                <w:highlight w:val="none"/>
              </w:rPr>
              <w:t>提供稳定的冷却水系统</w:t>
            </w:r>
            <w:bookmarkEnd w:id="47"/>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48" w:name="_Toc25721"/>
            <w:r>
              <w:rPr>
                <w:rFonts w:hint="eastAsia" w:ascii="Times New Roman" w:hAnsi="宋体"/>
                <w:color w:val="auto"/>
                <w:szCs w:val="21"/>
                <w:highlight w:val="none"/>
              </w:rPr>
              <w:t>1</w:t>
            </w:r>
            <w:r>
              <w:rPr>
                <w:rFonts w:ascii="Times New Roman" w:hAnsi="宋体"/>
                <w:color w:val="auto"/>
                <w:szCs w:val="21"/>
                <w:highlight w:val="none"/>
              </w:rPr>
              <w:t>.17</w:t>
            </w:r>
            <w:r>
              <w:rPr>
                <w:rFonts w:hint="eastAsia" w:ascii="Times New Roman" w:hAnsi="宋体"/>
                <w:color w:val="auto"/>
                <w:szCs w:val="21"/>
                <w:highlight w:val="none"/>
              </w:rPr>
              <w:t>软件语言类型：英文</w:t>
            </w:r>
            <w:bookmarkEnd w:id="48"/>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49" w:name="_Toc13163"/>
            <w:r>
              <w:rPr>
                <w:rFonts w:hint="eastAsia" w:ascii="Times New Roman" w:hAnsi="宋体"/>
                <w:color w:val="auto"/>
                <w:szCs w:val="21"/>
                <w:highlight w:val="none"/>
              </w:rPr>
              <w:t>1</w:t>
            </w:r>
            <w:r>
              <w:rPr>
                <w:rFonts w:ascii="Times New Roman" w:hAnsi="宋体"/>
                <w:color w:val="auto"/>
                <w:szCs w:val="21"/>
                <w:highlight w:val="none"/>
              </w:rPr>
              <w:t>.18</w:t>
            </w:r>
            <w:r>
              <w:rPr>
                <w:rFonts w:hint="eastAsia" w:ascii="Times New Roman" w:hAnsi="宋体"/>
                <w:color w:val="auto"/>
                <w:szCs w:val="21"/>
                <w:highlight w:val="none"/>
              </w:rPr>
              <w:t>数据传输界面：雷电2代接口</w:t>
            </w:r>
            <w:bookmarkEnd w:id="49"/>
          </w:p>
          <w:p>
            <w:pPr>
              <w:tabs>
                <w:tab w:val="left" w:pos="4111"/>
              </w:tabs>
              <w:autoSpaceDE w:val="0"/>
              <w:autoSpaceDN w:val="0"/>
              <w:adjustRightInd w:val="0"/>
              <w:snapToGrid w:val="0"/>
              <w:spacing w:line="240" w:lineRule="atLeast"/>
              <w:ind w:firstLine="0" w:firstLineChars="0"/>
              <w:outlineLvl w:val="0"/>
              <w:rPr>
                <w:rFonts w:ascii="Times New Roman" w:hAnsi="宋体"/>
                <w:color w:val="auto"/>
                <w:szCs w:val="21"/>
                <w:highlight w:val="none"/>
              </w:rPr>
            </w:pPr>
            <w:bookmarkStart w:id="50" w:name="_Toc28209"/>
            <w:r>
              <w:rPr>
                <w:rFonts w:hint="eastAsia" w:ascii="Times New Roman" w:hAnsi="宋体"/>
                <w:color w:val="auto"/>
                <w:szCs w:val="21"/>
                <w:highlight w:val="none"/>
              </w:rPr>
              <w:t>二、配置</w:t>
            </w:r>
            <w:bookmarkEnd w:id="50"/>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51" w:name="_Toc16765"/>
            <w:r>
              <w:rPr>
                <w:rFonts w:hint="eastAsia" w:ascii="Times New Roman" w:hAnsi="宋体"/>
                <w:color w:val="auto"/>
                <w:szCs w:val="21"/>
                <w:highlight w:val="none"/>
              </w:rPr>
              <w:t>1</w:t>
            </w:r>
            <w:r>
              <w:rPr>
                <w:rFonts w:ascii="Times New Roman" w:hAnsi="宋体"/>
                <w:color w:val="auto"/>
                <w:szCs w:val="21"/>
                <w:highlight w:val="none"/>
              </w:rPr>
              <w:t xml:space="preserve">. </w:t>
            </w:r>
            <w:r>
              <w:rPr>
                <w:rFonts w:hint="eastAsia" w:ascii="Times New Roman" w:hAnsi="宋体"/>
                <w:color w:val="auto"/>
                <w:szCs w:val="21"/>
                <w:highlight w:val="none"/>
              </w:rPr>
              <w:t>透射电镜用CMOS主机  1个</w:t>
            </w:r>
            <w:bookmarkEnd w:id="51"/>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52" w:name="_Toc3444"/>
            <w:r>
              <w:rPr>
                <w:rFonts w:hint="eastAsia" w:ascii="Times New Roman" w:hAnsi="宋体"/>
                <w:color w:val="auto"/>
                <w:szCs w:val="21"/>
                <w:highlight w:val="none"/>
              </w:rPr>
              <w:t>2</w:t>
            </w:r>
            <w:r>
              <w:rPr>
                <w:rFonts w:ascii="Times New Roman" w:hAnsi="宋体"/>
                <w:color w:val="auto"/>
                <w:szCs w:val="21"/>
                <w:highlight w:val="none"/>
              </w:rPr>
              <w:t xml:space="preserve">. </w:t>
            </w:r>
            <w:r>
              <w:rPr>
                <w:rFonts w:hint="eastAsia" w:ascii="Times New Roman" w:hAnsi="宋体"/>
                <w:color w:val="auto"/>
                <w:szCs w:val="21"/>
                <w:highlight w:val="none"/>
              </w:rPr>
              <w:t>专用控制电缆 1套</w:t>
            </w:r>
            <w:bookmarkEnd w:id="52"/>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53" w:name="_Toc9710"/>
            <w:r>
              <w:rPr>
                <w:rFonts w:hint="eastAsia" w:ascii="Times New Roman" w:hAnsi="宋体"/>
                <w:color w:val="auto"/>
                <w:szCs w:val="21"/>
                <w:highlight w:val="none"/>
              </w:rPr>
              <w:t>3</w:t>
            </w:r>
            <w:r>
              <w:rPr>
                <w:rFonts w:ascii="Times New Roman" w:hAnsi="宋体"/>
                <w:color w:val="auto"/>
                <w:szCs w:val="21"/>
                <w:highlight w:val="none"/>
              </w:rPr>
              <w:t xml:space="preserve">. </w:t>
            </w:r>
            <w:r>
              <w:rPr>
                <w:rFonts w:hint="eastAsia" w:ascii="Times New Roman" w:hAnsi="宋体"/>
                <w:color w:val="auto"/>
                <w:szCs w:val="21"/>
                <w:highlight w:val="none"/>
              </w:rPr>
              <w:t>图像处理计算机系统（按照CCD使用要求配置）及相关软件  1套</w:t>
            </w:r>
            <w:bookmarkEnd w:id="53"/>
          </w:p>
          <w:p>
            <w:pPr>
              <w:tabs>
                <w:tab w:val="left" w:pos="4111"/>
              </w:tabs>
              <w:autoSpaceDE w:val="0"/>
              <w:autoSpaceDN w:val="0"/>
              <w:adjustRightInd w:val="0"/>
              <w:snapToGrid w:val="0"/>
              <w:spacing w:line="240" w:lineRule="atLeast"/>
              <w:ind w:firstLine="0" w:firstLineChars="0"/>
              <w:outlineLvl w:val="0"/>
              <w:rPr>
                <w:rFonts w:ascii="Times New Roman" w:hAnsi="宋体"/>
                <w:color w:val="auto"/>
                <w:szCs w:val="21"/>
                <w:highlight w:val="none"/>
              </w:rPr>
            </w:pPr>
            <w:bookmarkStart w:id="54" w:name="_Toc15760"/>
            <w:r>
              <w:rPr>
                <w:rFonts w:hint="eastAsia" w:ascii="Times New Roman" w:hAnsi="宋体"/>
                <w:color w:val="auto"/>
                <w:szCs w:val="21"/>
                <w:highlight w:val="none"/>
              </w:rPr>
              <w:t>三、 附件及零配件</w:t>
            </w:r>
            <w:bookmarkEnd w:id="54"/>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55" w:name="_Toc4330"/>
            <w:r>
              <w:rPr>
                <w:rFonts w:hint="eastAsia" w:ascii="Times New Roman" w:hAnsi="宋体"/>
                <w:color w:val="auto"/>
                <w:szCs w:val="21"/>
                <w:highlight w:val="none"/>
              </w:rPr>
              <w:t>2</w:t>
            </w:r>
            <w:r>
              <w:rPr>
                <w:rFonts w:ascii="Times New Roman" w:hAnsi="宋体"/>
                <w:color w:val="auto"/>
                <w:szCs w:val="21"/>
                <w:highlight w:val="none"/>
              </w:rPr>
              <w:t>.1</w:t>
            </w:r>
            <w:r>
              <w:rPr>
                <w:rFonts w:hint="eastAsia" w:ascii="Times New Roman" w:hAnsi="宋体"/>
                <w:color w:val="auto"/>
                <w:szCs w:val="21"/>
                <w:highlight w:val="none"/>
              </w:rPr>
              <w:t xml:space="preserve"> 循环水防冻液，免费保证</w:t>
            </w:r>
            <w:r>
              <w:rPr>
                <w:rFonts w:ascii="Times New Roman" w:hAnsi="宋体"/>
                <w:color w:val="auto"/>
                <w:szCs w:val="21"/>
                <w:highlight w:val="none"/>
              </w:rPr>
              <w:t>3</w:t>
            </w:r>
            <w:r>
              <w:rPr>
                <w:rFonts w:hint="eastAsia" w:ascii="Times New Roman" w:hAnsi="宋体"/>
                <w:color w:val="auto"/>
                <w:szCs w:val="21"/>
                <w:highlight w:val="none"/>
              </w:rPr>
              <w:t>年供应</w:t>
            </w:r>
            <w:bookmarkEnd w:id="55"/>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56" w:name="_Toc20432"/>
            <w:r>
              <w:rPr>
                <w:rFonts w:hint="eastAsia" w:ascii="Times New Roman" w:hAnsi="宋体"/>
                <w:color w:val="auto"/>
                <w:szCs w:val="21"/>
                <w:highlight w:val="none"/>
              </w:rPr>
              <w:t>2</w:t>
            </w:r>
            <w:r>
              <w:rPr>
                <w:rFonts w:ascii="Times New Roman" w:hAnsi="宋体"/>
                <w:color w:val="auto"/>
                <w:szCs w:val="21"/>
                <w:highlight w:val="none"/>
              </w:rPr>
              <w:t>.2</w:t>
            </w:r>
            <w:r>
              <w:rPr>
                <w:rFonts w:hint="eastAsia" w:ascii="Times New Roman" w:hAnsi="宋体"/>
                <w:color w:val="auto"/>
                <w:szCs w:val="21"/>
                <w:highlight w:val="none"/>
              </w:rPr>
              <w:t xml:space="preserve"> 装机工具包，即提供装机需要的所有配件、工具及耗材</w:t>
            </w:r>
            <w:bookmarkEnd w:id="56"/>
          </w:p>
          <w:p>
            <w:pPr>
              <w:tabs>
                <w:tab w:val="left" w:pos="4111"/>
              </w:tabs>
              <w:autoSpaceDE w:val="0"/>
              <w:autoSpaceDN w:val="0"/>
              <w:adjustRightInd w:val="0"/>
              <w:snapToGrid w:val="0"/>
              <w:spacing w:line="240" w:lineRule="atLeast"/>
              <w:ind w:firstLine="480"/>
              <w:outlineLvl w:val="0"/>
              <w:rPr>
                <w:rFonts w:ascii="Times New Roman" w:hAnsi="宋体"/>
                <w:color w:val="auto"/>
                <w:szCs w:val="21"/>
                <w:highlight w:val="none"/>
              </w:rPr>
            </w:pPr>
            <w:bookmarkStart w:id="57" w:name="_Toc4397"/>
            <w:r>
              <w:rPr>
                <w:rFonts w:hint="eastAsia" w:ascii="Times New Roman" w:hAnsi="宋体"/>
                <w:color w:val="auto"/>
                <w:szCs w:val="21"/>
                <w:highlight w:val="none"/>
              </w:rPr>
              <w:t>2</w:t>
            </w:r>
            <w:r>
              <w:rPr>
                <w:rFonts w:ascii="Times New Roman" w:hAnsi="宋体"/>
                <w:color w:val="auto"/>
                <w:szCs w:val="21"/>
                <w:highlight w:val="none"/>
              </w:rPr>
              <w:t>.3</w:t>
            </w:r>
            <w:r>
              <w:rPr>
                <w:rFonts w:hint="eastAsia" w:ascii="Times New Roman" w:hAnsi="宋体"/>
                <w:color w:val="auto"/>
                <w:szCs w:val="21"/>
                <w:highlight w:val="none"/>
              </w:rPr>
              <w:t xml:space="preserve"> 验收用透射电镜标样</w:t>
            </w:r>
            <w:bookmarkEnd w:id="57"/>
          </w:p>
          <w:p>
            <w:pPr>
              <w:pStyle w:val="2"/>
              <w:rPr>
                <w:color w:val="auto"/>
                <w:highlight w:val="none"/>
              </w:rPr>
            </w:pPr>
            <w:r>
              <w:rPr>
                <w:rFonts w:hint="eastAsia"/>
                <w:color w:val="auto"/>
                <w:highlight w:val="none"/>
              </w:rPr>
              <w:t xml:space="preserve">四、质保期为三年 </w:t>
            </w:r>
          </w:p>
        </w:tc>
        <w:tc>
          <w:tcPr>
            <w:tcW w:w="541"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套</w:t>
            </w:r>
          </w:p>
        </w:tc>
        <w:tc>
          <w:tcPr>
            <w:tcW w:w="540"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1</w:t>
            </w:r>
          </w:p>
        </w:tc>
        <w:tc>
          <w:tcPr>
            <w:tcW w:w="542"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2</w:t>
            </w:r>
          </w:p>
        </w:tc>
        <w:tc>
          <w:tcPr>
            <w:tcW w:w="1276" w:type="dxa"/>
            <w:shd w:val="clear" w:color="auto" w:fill="auto"/>
            <w:vAlign w:val="center"/>
          </w:tcPr>
          <w:p>
            <w:pPr>
              <w:spacing w:line="240" w:lineRule="auto"/>
              <w:ind w:firstLine="0" w:firstLineChars="0"/>
              <w:jc w:val="center"/>
              <w:rPr>
                <w:color w:val="auto"/>
                <w:sz w:val="21"/>
                <w:szCs w:val="21"/>
                <w:highlight w:val="none"/>
              </w:rPr>
            </w:pPr>
            <w:r>
              <w:rPr>
                <w:rFonts w:hint="eastAsia" w:ascii="Times New Roman" w:hAnsi="宋体"/>
                <w:color w:val="auto"/>
                <w:szCs w:val="21"/>
                <w:highlight w:val="none"/>
              </w:rPr>
              <w:t>三维重构软件</w:t>
            </w:r>
          </w:p>
        </w:tc>
        <w:tc>
          <w:tcPr>
            <w:tcW w:w="5941" w:type="dxa"/>
            <w:shd w:val="clear" w:color="auto" w:fill="auto"/>
            <w:vAlign w:val="center"/>
          </w:tcPr>
          <w:p>
            <w:pPr>
              <w:snapToGrid w:val="0"/>
              <w:spacing w:line="240" w:lineRule="atLeast"/>
              <w:ind w:firstLine="480"/>
              <w:rPr>
                <w:color w:val="auto"/>
                <w:highlight w:val="none"/>
              </w:rPr>
            </w:pPr>
            <w:r>
              <w:rPr>
                <w:rFonts w:hint="eastAsia"/>
                <w:color w:val="auto"/>
                <w:highlight w:val="none"/>
              </w:rPr>
              <w:t>1.功能：用于分子、细胞生物、神经科学、生物工程领域三维图像处理</w:t>
            </w:r>
          </w:p>
          <w:p>
            <w:pPr>
              <w:snapToGrid w:val="0"/>
              <w:spacing w:line="240" w:lineRule="atLeast"/>
              <w:ind w:firstLine="480"/>
              <w:rPr>
                <w:color w:val="auto"/>
                <w:highlight w:val="none"/>
              </w:rPr>
            </w:pPr>
            <w:r>
              <w:rPr>
                <w:rFonts w:hint="eastAsia"/>
                <w:color w:val="auto"/>
                <w:highlight w:val="none"/>
              </w:rPr>
              <w:t>2.不同格式、大小和尺度的图片数据导入和导出；</w:t>
            </w:r>
          </w:p>
          <w:p>
            <w:pPr>
              <w:snapToGrid w:val="0"/>
              <w:spacing w:line="240" w:lineRule="atLeast"/>
              <w:ind w:firstLine="480"/>
              <w:rPr>
                <w:color w:val="auto"/>
                <w:highlight w:val="none"/>
              </w:rPr>
            </w:pPr>
            <w:r>
              <w:rPr>
                <w:rFonts w:hint="eastAsia"/>
                <w:color w:val="auto"/>
                <w:highlight w:val="none"/>
              </w:rPr>
              <w:t>3.数据2D、3D可视化，包括二维和体可视化，轮廓和等值面提取，通过图像滤波快速突出显示数据特征</w:t>
            </w:r>
          </w:p>
          <w:p>
            <w:pPr>
              <w:snapToGrid w:val="0"/>
              <w:spacing w:line="240" w:lineRule="atLeast"/>
              <w:ind w:firstLine="480"/>
              <w:rPr>
                <w:color w:val="auto"/>
                <w:highlight w:val="none"/>
              </w:rPr>
            </w:pPr>
            <w:r>
              <w:rPr>
                <w:rFonts w:hint="eastAsia"/>
                <w:color w:val="auto"/>
                <w:highlight w:val="none"/>
              </w:rPr>
              <w:t>4.图像优化：包括图像数据对比度的调节、图像编码、去噪以及各种滤波，双边，盒子，高斯，中值，递归，划定，各向异性扩散，非局部均值，模糊掩蔽， FFT 幅度</w:t>
            </w:r>
          </w:p>
          <w:p>
            <w:pPr>
              <w:snapToGrid w:val="0"/>
              <w:spacing w:line="240" w:lineRule="atLeast"/>
              <w:ind w:firstLine="480"/>
              <w:rPr>
                <w:color w:val="auto"/>
                <w:highlight w:val="none"/>
              </w:rPr>
            </w:pPr>
            <w:r>
              <w:rPr>
                <w:rFonts w:hint="eastAsia"/>
                <w:color w:val="auto"/>
                <w:highlight w:val="none"/>
              </w:rPr>
              <w:t>5.图像分割：包括灰度阈值自动分割，灰度区域扩展，分水岭分割，半自动画图分割，Tophat 灰度差异分割，按某区域分割，3D 表面重建和四面体网格生成，骨架化，机器学习算法分割。</w:t>
            </w:r>
          </w:p>
          <w:p>
            <w:pPr>
              <w:snapToGrid w:val="0"/>
              <w:spacing w:line="240" w:lineRule="atLeast"/>
              <w:ind w:firstLine="480"/>
              <w:rPr>
                <w:color w:val="auto"/>
                <w:highlight w:val="none"/>
              </w:rPr>
            </w:pPr>
            <w:r>
              <w:rPr>
                <w:rFonts w:hint="eastAsia"/>
                <w:color w:val="auto"/>
                <w:highlight w:val="none"/>
              </w:rPr>
              <w:t>6.分析、测量与量化：包括计数、体积、面积、周长、长宽比和方向等</w:t>
            </w:r>
          </w:p>
          <w:p>
            <w:pPr>
              <w:snapToGrid w:val="0"/>
              <w:spacing w:line="240" w:lineRule="atLeast"/>
              <w:ind w:firstLine="480"/>
              <w:rPr>
                <w:color w:val="auto"/>
                <w:highlight w:val="none"/>
              </w:rPr>
            </w:pPr>
            <w:r>
              <w:rPr>
                <w:rFonts w:hint="eastAsia"/>
                <w:color w:val="auto"/>
                <w:highlight w:val="none"/>
              </w:rPr>
              <w:t>7. 调整至最佳性能及结果展示</w:t>
            </w:r>
          </w:p>
          <w:p>
            <w:pPr>
              <w:snapToGrid w:val="0"/>
              <w:spacing w:line="240" w:lineRule="atLeast"/>
              <w:ind w:firstLine="480"/>
              <w:rPr>
                <w:color w:val="auto"/>
                <w:highlight w:val="none"/>
              </w:rPr>
            </w:pPr>
            <w:r>
              <w:rPr>
                <w:rFonts w:hint="eastAsia"/>
                <w:color w:val="auto"/>
                <w:highlight w:val="none"/>
              </w:rPr>
              <w:t>8. 数据报告和可追溯性</w:t>
            </w:r>
          </w:p>
          <w:p>
            <w:pPr>
              <w:snapToGrid w:val="0"/>
              <w:spacing w:line="240" w:lineRule="atLeast"/>
              <w:ind w:firstLine="480"/>
              <w:rPr>
                <w:color w:val="auto"/>
                <w:highlight w:val="none"/>
              </w:rPr>
            </w:pPr>
            <w:r>
              <w:rPr>
                <w:rFonts w:hint="eastAsia"/>
                <w:color w:val="auto"/>
                <w:highlight w:val="none"/>
              </w:rPr>
              <w:t>9. 轻松创建和定制检测模板</w:t>
            </w:r>
          </w:p>
          <w:p>
            <w:pPr>
              <w:snapToGrid w:val="0"/>
              <w:spacing w:line="240" w:lineRule="atLeast"/>
              <w:ind w:firstLine="480"/>
              <w:rPr>
                <w:color w:val="auto"/>
                <w:highlight w:val="none"/>
              </w:rPr>
            </w:pPr>
            <w:r>
              <w:rPr>
                <w:rFonts w:hint="eastAsia"/>
                <w:color w:val="auto"/>
                <w:highlight w:val="none"/>
              </w:rPr>
              <w:t>10.可视化工作流程</w:t>
            </w:r>
          </w:p>
          <w:p>
            <w:pPr>
              <w:snapToGrid w:val="0"/>
              <w:spacing w:line="240" w:lineRule="atLeast"/>
              <w:ind w:firstLine="480"/>
              <w:rPr>
                <w:color w:val="auto"/>
                <w:highlight w:val="none"/>
              </w:rPr>
            </w:pPr>
            <w:r>
              <w:rPr>
                <w:rFonts w:hint="eastAsia"/>
                <w:color w:val="auto"/>
                <w:highlight w:val="none"/>
              </w:rPr>
              <w:t>11. 更广泛的支持系统及可扩展性</w:t>
            </w:r>
          </w:p>
          <w:p>
            <w:pPr>
              <w:snapToGrid w:val="0"/>
              <w:spacing w:line="240" w:lineRule="atLeast"/>
              <w:ind w:firstLine="480"/>
              <w:rPr>
                <w:color w:val="auto"/>
                <w:highlight w:val="none"/>
              </w:rPr>
            </w:pPr>
            <w:r>
              <w:rPr>
                <w:rFonts w:hint="eastAsia"/>
                <w:color w:val="auto"/>
                <w:highlight w:val="none"/>
              </w:rPr>
              <w:t>12 软件为终身使用，无需额外付费</w:t>
            </w:r>
          </w:p>
          <w:p>
            <w:pPr>
              <w:numPr>
                <w:ilvl w:val="0"/>
                <w:numId w:val="8"/>
              </w:numPr>
              <w:snapToGrid w:val="0"/>
              <w:spacing w:line="240" w:lineRule="atLeast"/>
              <w:ind w:firstLine="480"/>
              <w:rPr>
                <w:color w:val="auto"/>
                <w:highlight w:val="none"/>
              </w:rPr>
            </w:pPr>
            <w:r>
              <w:rPr>
                <w:rFonts w:hint="eastAsia"/>
                <w:color w:val="auto"/>
                <w:highlight w:val="none"/>
              </w:rPr>
              <w:t>工作站1套（配置要求</w:t>
            </w:r>
            <w:r>
              <w:rPr>
                <w:color w:val="auto"/>
                <w:highlight w:val="none"/>
              </w:rPr>
              <w:t>戴尔T7920 图形工作站台式机</w:t>
            </w:r>
            <w:r>
              <w:rPr>
                <w:rFonts w:hint="eastAsia"/>
                <w:color w:val="auto"/>
                <w:highlight w:val="none"/>
              </w:rPr>
              <w:t>或同级别以上: CPU双至强银牌4110; 光驱DVD-RW光驱；内存：32GB DDR4 ；硬盘：512</w:t>
            </w:r>
            <w:r>
              <w:rPr>
                <w:color w:val="auto"/>
                <w:highlight w:val="none"/>
              </w:rPr>
              <w:t xml:space="preserve">GB </w:t>
            </w:r>
            <w:r>
              <w:rPr>
                <w:rFonts w:hint="eastAsia"/>
                <w:color w:val="auto"/>
                <w:highlight w:val="none"/>
              </w:rPr>
              <w:t>SSD+</w:t>
            </w:r>
            <w:r>
              <w:rPr>
                <w:color w:val="auto"/>
                <w:highlight w:val="none"/>
              </w:rPr>
              <w:t>2</w:t>
            </w:r>
            <w:r>
              <w:rPr>
                <w:rFonts w:hint="eastAsia"/>
                <w:color w:val="auto"/>
                <w:highlight w:val="none"/>
              </w:rPr>
              <w:t>TB；显卡：独立显卡，独立显存4G以上，Nvidia Quadro P2000及以上，27 寸LCD显示器）及打印输出设备一台</w:t>
            </w:r>
          </w:p>
          <w:p>
            <w:pPr>
              <w:pStyle w:val="2"/>
              <w:rPr>
                <w:color w:val="auto"/>
                <w:highlight w:val="none"/>
              </w:rPr>
            </w:pPr>
            <w:r>
              <w:rPr>
                <w:rFonts w:hint="eastAsia" w:ascii="Times New Roman" w:hAnsi="宋体"/>
                <w:color w:val="auto"/>
                <w:szCs w:val="21"/>
                <w:highlight w:val="none"/>
              </w:rPr>
              <w:t>（备注：工作站及打印输出设备人民币报价）</w:t>
            </w:r>
          </w:p>
          <w:p>
            <w:pPr>
              <w:pStyle w:val="2"/>
              <w:rPr>
                <w:color w:val="auto"/>
                <w:highlight w:val="none"/>
              </w:rPr>
            </w:pPr>
            <w:r>
              <w:rPr>
                <w:rFonts w:hint="eastAsia" w:ascii="Calibri" w:eastAsia="宋体" w:cs="Times New Roman"/>
                <w:color w:val="auto"/>
                <w:kern w:val="2"/>
                <w:highlight w:val="none"/>
              </w:rPr>
              <w:t>质保期：三年</w:t>
            </w:r>
          </w:p>
        </w:tc>
        <w:tc>
          <w:tcPr>
            <w:tcW w:w="541"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套</w:t>
            </w:r>
          </w:p>
        </w:tc>
        <w:tc>
          <w:tcPr>
            <w:tcW w:w="540" w:type="dxa"/>
            <w:shd w:val="clear" w:color="auto" w:fill="auto"/>
            <w:vAlign w:val="center"/>
          </w:tcPr>
          <w:p>
            <w:pPr>
              <w:spacing w:before="120" w:beforeLines="50" w:after="120" w:afterLines="50" w:line="240" w:lineRule="auto"/>
              <w:ind w:firstLine="0" w:firstLineChars="0"/>
              <w:jc w:val="center"/>
              <w:rPr>
                <w:color w:val="auto"/>
                <w:sz w:val="21"/>
                <w:szCs w:val="21"/>
                <w:highlight w:val="none"/>
              </w:rPr>
            </w:pPr>
            <w:r>
              <w:rPr>
                <w:rFonts w:hint="eastAsia"/>
                <w:color w:val="auto"/>
                <w:sz w:val="21"/>
                <w:szCs w:val="21"/>
                <w:highlight w:val="none"/>
              </w:rPr>
              <w:t>1</w:t>
            </w:r>
          </w:p>
        </w:tc>
        <w:tc>
          <w:tcPr>
            <w:tcW w:w="542" w:type="dxa"/>
            <w:shd w:val="clear" w:color="auto" w:fill="auto"/>
            <w:vAlign w:val="center"/>
          </w:tcPr>
          <w:p>
            <w:pPr>
              <w:spacing w:before="120" w:beforeLines="50" w:after="120" w:afterLines="50" w:line="240" w:lineRule="auto"/>
              <w:ind w:firstLine="0" w:firstLineChars="0"/>
              <w:jc w:val="center"/>
              <w:rPr>
                <w:color w:val="auto"/>
                <w:szCs w:val="21"/>
                <w:highlight w:val="none"/>
              </w:rPr>
            </w:pPr>
            <w:r>
              <w:rPr>
                <w:rFonts w:hint="eastAsia"/>
                <w:color w:val="auto"/>
                <w:szCs w:val="21"/>
                <w:highlight w:val="none"/>
              </w:rPr>
              <w:t>允许进口</w:t>
            </w:r>
          </w:p>
        </w:tc>
      </w:tr>
    </w:tbl>
    <w:p>
      <w:pPr>
        <w:pStyle w:val="2"/>
        <w:rPr>
          <w:color w:val="auto"/>
          <w:highlight w:val="none"/>
        </w:rPr>
      </w:pPr>
    </w:p>
    <w:p>
      <w:pPr>
        <w:pStyle w:val="7"/>
        <w:ind w:firstLine="422"/>
        <w:rPr>
          <w:color w:val="auto"/>
          <w:highlight w:val="none"/>
        </w:rPr>
      </w:pPr>
      <w:r>
        <w:rPr>
          <w:rFonts w:hint="eastAsia"/>
          <w:color w:val="auto"/>
          <w:highlight w:val="none"/>
        </w:rPr>
        <w:t>标项三：激光共聚焦拉曼</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09"/>
        <w:gridCol w:w="5862"/>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序号</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名称</w:t>
            </w:r>
          </w:p>
        </w:tc>
        <w:tc>
          <w:tcPr>
            <w:tcW w:w="586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功能及技术参数等</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激光共聚焦拉曼</w:t>
            </w:r>
          </w:p>
        </w:tc>
        <w:tc>
          <w:tcPr>
            <w:tcW w:w="5862" w:type="dxa"/>
            <w:shd w:val="clear" w:color="auto" w:fill="auto"/>
            <w:vAlign w:val="center"/>
          </w:tcPr>
          <w:p>
            <w:pPr>
              <w:pStyle w:val="167"/>
              <w:numPr>
                <w:ilvl w:val="0"/>
                <w:numId w:val="9"/>
              </w:numPr>
              <w:spacing w:line="240" w:lineRule="auto"/>
              <w:ind w:firstLineChars="0"/>
              <w:jc w:val="left"/>
              <w:rPr>
                <w:rFonts w:ascii="Times New Roman" w:hAnsi="Times New Roman"/>
                <w:b/>
                <w:color w:val="auto"/>
                <w:szCs w:val="21"/>
                <w:highlight w:val="none"/>
              </w:rPr>
            </w:pPr>
            <w:r>
              <w:rPr>
                <w:rFonts w:ascii="Times New Roman" w:hAnsi="宋体"/>
                <w:b/>
                <w:color w:val="auto"/>
                <w:szCs w:val="21"/>
                <w:highlight w:val="none"/>
              </w:rPr>
              <w:t>激光器</w:t>
            </w:r>
            <w:r>
              <w:rPr>
                <w:rFonts w:hint="eastAsia" w:ascii="Times New Roman" w:hAnsi="宋体"/>
                <w:b/>
                <w:color w:val="auto"/>
                <w:szCs w:val="21"/>
                <w:highlight w:val="none"/>
              </w:rPr>
              <w:t>要求：</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1.1</w:t>
            </w:r>
            <w:r>
              <w:rPr>
                <w:rFonts w:ascii="Times New Roman" w:hAnsi="Times New Roman"/>
                <w:color w:val="auto"/>
                <w:szCs w:val="21"/>
                <w:highlight w:val="none"/>
              </w:rPr>
              <w:t xml:space="preserve"> </w:t>
            </w:r>
            <w:r>
              <w:rPr>
                <w:rFonts w:ascii="Times New Roman" w:hAnsi="宋体"/>
                <w:color w:val="auto"/>
                <w:szCs w:val="21"/>
                <w:highlight w:val="none"/>
              </w:rPr>
              <w:t>配置</w:t>
            </w:r>
            <w:r>
              <w:rPr>
                <w:rFonts w:ascii="Times New Roman" w:hAnsi="Times New Roman"/>
                <w:color w:val="auto"/>
                <w:szCs w:val="21"/>
                <w:highlight w:val="none"/>
              </w:rPr>
              <w:t xml:space="preserve">532 nm </w:t>
            </w:r>
            <w:r>
              <w:rPr>
                <w:rFonts w:ascii="Times New Roman" w:hAnsi="宋体"/>
                <w:color w:val="auto"/>
                <w:szCs w:val="21"/>
                <w:highlight w:val="none"/>
              </w:rPr>
              <w:t>单纵模激光器，功率</w:t>
            </w:r>
            <w:r>
              <w:rPr>
                <w:rFonts w:ascii="Times New Roman" w:hAnsi="Times New Roman"/>
                <w:color w:val="auto"/>
                <w:szCs w:val="21"/>
                <w:highlight w:val="none"/>
              </w:rPr>
              <w:t>≥75 mW</w:t>
            </w:r>
            <w:r>
              <w:rPr>
                <w:rFonts w:ascii="Times New Roman" w:hAnsi="宋体"/>
                <w:color w:val="auto"/>
                <w:szCs w:val="21"/>
                <w:highlight w:val="none"/>
              </w:rPr>
              <w:t>，</w:t>
            </w:r>
            <w:r>
              <w:rPr>
                <w:rFonts w:ascii="Times New Roman" w:hAnsi="宋体"/>
                <w:color w:val="auto"/>
                <w:sz w:val="22"/>
                <w:highlight w:val="none"/>
              </w:rPr>
              <w:t>到样品表面功率大于</w:t>
            </w:r>
            <w:r>
              <w:rPr>
                <w:rFonts w:ascii="Times New Roman" w:hAnsi="Times New Roman"/>
                <w:color w:val="auto"/>
                <w:sz w:val="22"/>
                <w:highlight w:val="none"/>
              </w:rPr>
              <w:t>50mW</w:t>
            </w:r>
            <w:r>
              <w:rPr>
                <w:rFonts w:hint="eastAsia" w:ascii="Times New Roman" w:hAnsi="Times New Roman"/>
                <w:color w:val="auto"/>
                <w:sz w:val="22"/>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heme="minorEastAsia" w:hAnsiTheme="minorEastAsia"/>
                <w:color w:val="auto"/>
                <w:spacing w:val="-6"/>
                <w:highlight w:val="none"/>
              </w:rPr>
              <w:t>▲</w:t>
            </w:r>
            <w:r>
              <w:rPr>
                <w:rFonts w:hint="eastAsia" w:ascii="Times New Roman" w:hAnsi="Times New Roman"/>
                <w:color w:val="auto"/>
                <w:szCs w:val="21"/>
                <w:highlight w:val="none"/>
              </w:rPr>
              <w:t>1.2</w:t>
            </w:r>
            <w:r>
              <w:rPr>
                <w:rFonts w:ascii="Times New Roman" w:hAnsi="Times New Roman"/>
                <w:color w:val="auto"/>
                <w:szCs w:val="21"/>
                <w:highlight w:val="none"/>
              </w:rPr>
              <w:t xml:space="preserve"> </w:t>
            </w:r>
            <w:r>
              <w:rPr>
                <w:rFonts w:ascii="Times New Roman" w:hAnsi="宋体"/>
                <w:color w:val="auto"/>
                <w:szCs w:val="21"/>
                <w:highlight w:val="none"/>
              </w:rPr>
              <w:t>数字化功率控制系统，软件控制</w:t>
            </w:r>
            <w:r>
              <w:rPr>
                <w:rFonts w:ascii="Times New Roman" w:hAnsi="Times New Roman"/>
                <w:color w:val="auto"/>
                <w:szCs w:val="21"/>
                <w:highlight w:val="none"/>
              </w:rPr>
              <w:t>532nm</w:t>
            </w:r>
            <w:r>
              <w:rPr>
                <w:rFonts w:hint="eastAsia" w:ascii="Times New Roman" w:hAnsi="Times New Roman"/>
                <w:color w:val="auto"/>
                <w:szCs w:val="21"/>
                <w:highlight w:val="none"/>
              </w:rPr>
              <w:t>激光器</w:t>
            </w:r>
            <w:r>
              <w:rPr>
                <w:rFonts w:ascii="Times New Roman" w:hAnsi="宋体"/>
                <w:color w:val="auto"/>
                <w:szCs w:val="21"/>
                <w:highlight w:val="none"/>
              </w:rPr>
              <w:t>功率连续可调（无需改变激光器电压），内置激光功率计和反馈系统，通过软件可以直接输入样品表面功率，可调精确度必须达到</w:t>
            </w:r>
            <w:r>
              <w:rPr>
                <w:rFonts w:ascii="Times New Roman" w:hAnsi="Times New Roman"/>
                <w:color w:val="auto"/>
                <w:szCs w:val="21"/>
                <w:highlight w:val="none"/>
              </w:rPr>
              <w:t>0.1 mW</w:t>
            </w:r>
            <w:r>
              <w:rPr>
                <w:rFonts w:hint="eastAsia" w:ascii="Times New Roman" w:hAnsi="Times New Roman"/>
                <w:color w:val="auto"/>
                <w:szCs w:val="21"/>
                <w:highlight w:val="none"/>
              </w:rPr>
              <w:t>。</w:t>
            </w:r>
          </w:p>
          <w:p>
            <w:pPr>
              <w:pStyle w:val="167"/>
              <w:numPr>
                <w:ilvl w:val="0"/>
                <w:numId w:val="9"/>
              </w:numPr>
              <w:spacing w:line="240" w:lineRule="auto"/>
              <w:ind w:firstLineChars="0"/>
              <w:jc w:val="left"/>
              <w:rPr>
                <w:rFonts w:ascii="Times New Roman" w:hAnsi="Times New Roman"/>
                <w:b/>
                <w:color w:val="auto"/>
                <w:szCs w:val="21"/>
                <w:highlight w:val="none"/>
              </w:rPr>
            </w:pPr>
            <w:r>
              <w:rPr>
                <w:rFonts w:ascii="Times New Roman" w:hAnsi="宋体"/>
                <w:b/>
                <w:color w:val="auto"/>
                <w:szCs w:val="21"/>
                <w:highlight w:val="none"/>
              </w:rPr>
              <w:t>倒置光学显微镜</w:t>
            </w:r>
            <w:r>
              <w:rPr>
                <w:rFonts w:hint="eastAsia" w:ascii="Times New Roman" w:hAnsi="宋体"/>
                <w:b/>
                <w:color w:val="auto"/>
                <w:szCs w:val="21"/>
                <w:highlight w:val="none"/>
              </w:rPr>
              <w:t>要求：</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2.1</w:t>
            </w:r>
            <w:r>
              <w:rPr>
                <w:rFonts w:hint="eastAsia" w:ascii="Times New Roman" w:hAnsi="宋体"/>
                <w:color w:val="auto"/>
                <w:szCs w:val="21"/>
                <w:highlight w:val="none"/>
              </w:rPr>
              <w:t xml:space="preserve"> </w:t>
            </w:r>
            <w:r>
              <w:rPr>
                <w:rFonts w:ascii="Times New Roman" w:hAnsi="宋体"/>
                <w:color w:val="auto"/>
                <w:szCs w:val="21"/>
                <w:highlight w:val="none"/>
              </w:rPr>
              <w:t>倒置光学显微镜，具有科勒照明系统，配有摄像机观察样品表面</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2.2</w:t>
            </w:r>
            <w:r>
              <w:rPr>
                <w:rFonts w:ascii="Times New Roman" w:hAnsi="宋体"/>
                <w:color w:val="auto"/>
                <w:szCs w:val="21"/>
                <w:highlight w:val="none"/>
              </w:rPr>
              <w:t>具有白光科勒照明系统</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2.3</w:t>
            </w:r>
            <w:r>
              <w:rPr>
                <w:rFonts w:ascii="Times New Roman" w:hAnsi="宋体"/>
                <w:color w:val="auto"/>
                <w:szCs w:val="21"/>
                <w:highlight w:val="none"/>
              </w:rPr>
              <w:t>软件控制白光照明强度变化，一键式样品表面自动聚焦</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宋体"/>
                <w:color w:val="auto"/>
                <w:szCs w:val="21"/>
                <w:highlight w:val="none"/>
              </w:rPr>
            </w:pPr>
            <w:r>
              <w:rPr>
                <w:rFonts w:hint="eastAsia" w:asciiTheme="minorEastAsia" w:hAnsiTheme="minorEastAsia"/>
                <w:color w:val="auto"/>
                <w:spacing w:val="-6"/>
                <w:highlight w:val="none"/>
              </w:rPr>
              <w:t>▲</w:t>
            </w:r>
            <w:r>
              <w:rPr>
                <w:rFonts w:hint="eastAsia" w:ascii="Times New Roman" w:hAnsi="宋体"/>
                <w:color w:val="auto"/>
                <w:szCs w:val="21"/>
                <w:highlight w:val="none"/>
              </w:rPr>
              <w:t>2.4</w:t>
            </w:r>
            <w:r>
              <w:rPr>
                <w:rFonts w:ascii="Times New Roman" w:hAnsi="宋体"/>
                <w:color w:val="auto"/>
                <w:szCs w:val="21"/>
                <w:highlight w:val="none"/>
              </w:rPr>
              <w:t>可采集微区白光反射光谱, 白光光谱横向空间分辨率：</w:t>
            </w:r>
            <w:r>
              <w:rPr>
                <w:rFonts w:hint="eastAsia" w:ascii="Times New Roman" w:hAnsi="宋体"/>
                <w:color w:val="auto"/>
                <w:szCs w:val="21"/>
                <w:highlight w:val="none"/>
              </w:rPr>
              <w:t>≤</w:t>
            </w:r>
            <w:r>
              <w:rPr>
                <w:rFonts w:ascii="Times New Roman" w:hAnsi="宋体"/>
                <w:color w:val="auto"/>
                <w:szCs w:val="21"/>
                <w:highlight w:val="none"/>
              </w:rPr>
              <w:t>400 nm</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宋体"/>
                <w:color w:val="auto"/>
                <w:szCs w:val="21"/>
                <w:highlight w:val="none"/>
              </w:rPr>
            </w:pPr>
            <w:r>
              <w:rPr>
                <w:rFonts w:ascii="Times New Roman" w:hAnsi="宋体"/>
                <w:color w:val="auto"/>
                <w:szCs w:val="21"/>
                <w:highlight w:val="none"/>
              </w:rPr>
              <w:t>2.5配置20×和60×（</w:t>
            </w:r>
            <w:r>
              <w:rPr>
                <w:rFonts w:hint="eastAsia" w:ascii="Times New Roman" w:hAnsi="宋体"/>
                <w:color w:val="auto"/>
                <w:szCs w:val="21"/>
                <w:highlight w:val="none"/>
              </w:rPr>
              <w:t>N</w:t>
            </w:r>
            <w:r>
              <w:rPr>
                <w:rFonts w:ascii="Times New Roman" w:hAnsi="宋体"/>
                <w:color w:val="auto"/>
                <w:szCs w:val="21"/>
                <w:highlight w:val="none"/>
              </w:rPr>
              <w:t>A: 0</w:t>
            </w:r>
            <w:r>
              <w:rPr>
                <w:rFonts w:hint="eastAsia" w:ascii="Times New Roman" w:hAnsi="宋体"/>
                <w:color w:val="auto"/>
                <w:szCs w:val="21"/>
                <w:highlight w:val="none"/>
              </w:rPr>
              <w:t>.</w:t>
            </w:r>
            <w:r>
              <w:rPr>
                <w:rFonts w:ascii="Times New Roman" w:hAnsi="宋体"/>
                <w:color w:val="auto"/>
                <w:szCs w:val="21"/>
                <w:highlight w:val="none"/>
              </w:rPr>
              <w:t>8，0.3mm）物镜，具有载玻片厚度校正环，100× 油镜（NA：1.25），带载玻片矫正环</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2.</w:t>
            </w:r>
            <w:r>
              <w:rPr>
                <w:rFonts w:ascii="Times New Roman" w:hAnsi="宋体"/>
                <w:color w:val="auto"/>
                <w:szCs w:val="21"/>
                <w:highlight w:val="none"/>
              </w:rPr>
              <w:t>6 配置</w:t>
            </w:r>
            <w:r>
              <w:rPr>
                <w:rFonts w:ascii="Times New Roman" w:hAnsi="Times New Roman"/>
                <w:color w:val="auto"/>
                <w:szCs w:val="21"/>
                <w:highlight w:val="none"/>
              </w:rPr>
              <w:t>XYZ</w:t>
            </w:r>
            <w:r>
              <w:rPr>
                <w:rFonts w:ascii="Times New Roman" w:hAnsi="宋体"/>
                <w:color w:val="auto"/>
                <w:szCs w:val="21"/>
                <w:highlight w:val="none"/>
              </w:rPr>
              <w:t>自动平台，扫描范围大于</w:t>
            </w:r>
            <w:r>
              <w:rPr>
                <w:rFonts w:ascii="Times New Roman" w:hAnsi="Times New Roman"/>
                <w:color w:val="auto"/>
                <w:szCs w:val="21"/>
                <w:highlight w:val="none"/>
              </w:rPr>
              <w:t>110mm*70mm</w:t>
            </w:r>
            <w:r>
              <w:rPr>
                <w:rFonts w:hint="eastAsia" w:ascii="Times New Roman" w:hAnsi="Times New Roman"/>
                <w:color w:val="auto"/>
                <w:szCs w:val="21"/>
                <w:highlight w:val="none"/>
              </w:rPr>
              <w:t>，</w:t>
            </w:r>
            <w:r>
              <w:rPr>
                <w:rFonts w:ascii="Times New Roman" w:hAnsi="宋体"/>
                <w:color w:val="auto"/>
                <w:szCs w:val="21"/>
                <w:highlight w:val="none"/>
              </w:rPr>
              <w:t>最小步长</w:t>
            </w:r>
            <w:r>
              <w:rPr>
                <w:rFonts w:ascii="Times New Roman" w:hAnsi="Times New Roman"/>
                <w:color w:val="auto"/>
                <w:szCs w:val="21"/>
                <w:highlight w:val="none"/>
              </w:rPr>
              <w:t>100 nm</w:t>
            </w:r>
            <w:r>
              <w:rPr>
                <w:rFonts w:ascii="Times New Roman" w:hAnsi="宋体"/>
                <w:color w:val="auto"/>
                <w:szCs w:val="21"/>
                <w:highlight w:val="none"/>
              </w:rPr>
              <w:t>，可实现拉曼快速成像功能。</w:t>
            </w:r>
          </w:p>
          <w:p>
            <w:pPr>
              <w:pStyle w:val="167"/>
              <w:spacing w:line="240" w:lineRule="auto"/>
              <w:ind w:firstLine="0" w:firstLineChars="0"/>
              <w:jc w:val="left"/>
              <w:rPr>
                <w:rFonts w:ascii="Times New Roman" w:hAnsi="宋体"/>
                <w:b/>
                <w:color w:val="auto"/>
                <w:szCs w:val="21"/>
                <w:highlight w:val="none"/>
              </w:rPr>
            </w:pPr>
            <w:r>
              <w:rPr>
                <w:rFonts w:hint="eastAsia" w:ascii="Times New Roman" w:hAnsi="宋体"/>
                <w:b/>
                <w:color w:val="auto"/>
                <w:szCs w:val="21"/>
                <w:highlight w:val="none"/>
              </w:rPr>
              <w:t>3、</w:t>
            </w:r>
            <w:r>
              <w:rPr>
                <w:rFonts w:ascii="Times New Roman" w:hAnsi="宋体"/>
                <w:b/>
                <w:color w:val="auto"/>
                <w:szCs w:val="21"/>
                <w:highlight w:val="none"/>
              </w:rPr>
              <w:t>光谱探测系统</w:t>
            </w:r>
            <w:r>
              <w:rPr>
                <w:rFonts w:hint="eastAsia" w:ascii="Times New Roman" w:hAnsi="宋体"/>
                <w:b/>
                <w:color w:val="auto"/>
                <w:szCs w:val="21"/>
                <w:highlight w:val="none"/>
              </w:rPr>
              <w:t>要求：</w:t>
            </w:r>
          </w:p>
          <w:p>
            <w:pPr>
              <w:pStyle w:val="167"/>
              <w:spacing w:line="240" w:lineRule="auto"/>
              <w:ind w:firstLine="0" w:firstLineChars="0"/>
              <w:jc w:val="left"/>
              <w:rPr>
                <w:rFonts w:ascii="Times New Roman" w:hAnsi="Times New Roman"/>
                <w:b/>
                <w:color w:val="auto"/>
                <w:szCs w:val="21"/>
                <w:highlight w:val="none"/>
              </w:rPr>
            </w:pPr>
            <w:r>
              <w:rPr>
                <w:rFonts w:hint="eastAsia" w:asciiTheme="minorEastAsia" w:hAnsiTheme="minorEastAsia"/>
                <w:color w:val="auto"/>
                <w:spacing w:val="-6"/>
                <w:highlight w:val="none"/>
              </w:rPr>
              <w:t>▲</w:t>
            </w:r>
            <w:r>
              <w:rPr>
                <w:rFonts w:hint="eastAsia" w:ascii="Times New Roman" w:hAnsi="宋体"/>
                <w:color w:val="auto"/>
                <w:szCs w:val="21"/>
                <w:highlight w:val="none"/>
              </w:rPr>
              <w:t>3.1</w:t>
            </w:r>
            <w:r>
              <w:rPr>
                <w:rFonts w:ascii="Times New Roman" w:hAnsi="宋体"/>
                <w:color w:val="auto"/>
                <w:szCs w:val="21"/>
                <w:highlight w:val="none"/>
              </w:rPr>
              <w:t>高灵敏度光谱仪，光谱仪内无任何反射镜损耗信号</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b/>
                <w:color w:val="auto"/>
                <w:szCs w:val="21"/>
                <w:highlight w:val="none"/>
              </w:rPr>
            </w:pPr>
            <w:r>
              <w:rPr>
                <w:rFonts w:hint="eastAsia" w:ascii="Times New Roman" w:hAnsi="宋体"/>
                <w:color w:val="auto"/>
                <w:szCs w:val="21"/>
                <w:highlight w:val="none"/>
              </w:rPr>
              <w:t>3.2</w:t>
            </w:r>
            <w:r>
              <w:rPr>
                <w:rFonts w:ascii="Times New Roman" w:hAnsi="宋体"/>
                <w:color w:val="auto"/>
                <w:szCs w:val="21"/>
                <w:highlight w:val="none"/>
              </w:rPr>
              <w:t>焦长</w:t>
            </w:r>
            <w:r>
              <w:rPr>
                <w:rFonts w:ascii="Times New Roman" w:hAnsi="Times New Roman"/>
                <w:color w:val="auto"/>
                <w:szCs w:val="21"/>
                <w:highlight w:val="none"/>
              </w:rPr>
              <w:t>≥ 300mm</w:t>
            </w:r>
            <w:r>
              <w:rPr>
                <w:rFonts w:ascii="Times New Roman" w:hAnsi="宋体"/>
                <w:color w:val="auto"/>
                <w:szCs w:val="21"/>
                <w:highlight w:val="none"/>
              </w:rPr>
              <w:t>。配置</w:t>
            </w:r>
            <w:r>
              <w:rPr>
                <w:rFonts w:ascii="Times New Roman" w:hAnsi="Times New Roman"/>
                <w:color w:val="auto"/>
                <w:szCs w:val="21"/>
                <w:highlight w:val="none"/>
              </w:rPr>
              <w:t>1800</w:t>
            </w:r>
            <w:r>
              <w:rPr>
                <w:rFonts w:ascii="Times New Roman" w:hAnsi="宋体"/>
                <w:color w:val="auto"/>
                <w:szCs w:val="21"/>
                <w:highlight w:val="none"/>
              </w:rPr>
              <w:t>和</w:t>
            </w:r>
            <w:r>
              <w:rPr>
                <w:rFonts w:ascii="Times New Roman" w:hAnsi="Times New Roman"/>
                <w:color w:val="auto"/>
                <w:szCs w:val="21"/>
                <w:highlight w:val="none"/>
              </w:rPr>
              <w:t>600</w:t>
            </w:r>
            <w:r>
              <w:rPr>
                <w:rFonts w:ascii="Times New Roman" w:hAnsi="宋体"/>
                <w:color w:val="auto"/>
                <w:szCs w:val="21"/>
                <w:highlight w:val="none"/>
              </w:rPr>
              <w:t>刻线光栅全自动切换</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3.3</w:t>
            </w:r>
            <w:r>
              <w:rPr>
                <w:rFonts w:ascii="Times New Roman" w:hAnsi="宋体"/>
                <w:color w:val="auto"/>
                <w:szCs w:val="21"/>
                <w:highlight w:val="none"/>
              </w:rPr>
              <w:t>光谱分辨率（正常测试条件）：</w:t>
            </w:r>
            <w:r>
              <w:rPr>
                <w:rFonts w:ascii="Times New Roman" w:hAnsi="Times New Roman"/>
                <w:color w:val="auto"/>
                <w:szCs w:val="21"/>
                <w:highlight w:val="none"/>
              </w:rPr>
              <w:t>≤1.5 cm-1</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b/>
                <w:color w:val="auto"/>
                <w:szCs w:val="21"/>
                <w:highlight w:val="none"/>
              </w:rPr>
            </w:pPr>
            <w:r>
              <w:rPr>
                <w:rFonts w:hint="eastAsia" w:ascii="Times New Roman" w:hAnsi="宋体"/>
                <w:color w:val="auto"/>
                <w:szCs w:val="21"/>
                <w:highlight w:val="none"/>
              </w:rPr>
              <w:t>3.4</w:t>
            </w:r>
            <w:r>
              <w:rPr>
                <w:rFonts w:ascii="Times New Roman" w:hAnsi="宋体"/>
                <w:color w:val="auto"/>
                <w:szCs w:val="21"/>
                <w:highlight w:val="none"/>
              </w:rPr>
              <w:t>配有一英尺大芯片</w:t>
            </w:r>
            <w:r>
              <w:rPr>
                <w:rFonts w:ascii="Times New Roman" w:hAnsi="Times New Roman"/>
                <w:color w:val="auto"/>
                <w:szCs w:val="21"/>
                <w:highlight w:val="none"/>
              </w:rPr>
              <w:t>CCD</w:t>
            </w:r>
            <w:r>
              <w:rPr>
                <w:rFonts w:ascii="Times New Roman" w:hAnsi="宋体"/>
                <w:color w:val="auto"/>
                <w:szCs w:val="21"/>
                <w:highlight w:val="none"/>
              </w:rPr>
              <w:t>探测器，量子效率大于</w:t>
            </w:r>
            <w:r>
              <w:rPr>
                <w:rFonts w:ascii="Times New Roman" w:hAnsi="Times New Roman"/>
                <w:color w:val="auto"/>
                <w:szCs w:val="21"/>
                <w:highlight w:val="none"/>
              </w:rPr>
              <w:t>90%</w:t>
            </w:r>
            <w:r>
              <w:rPr>
                <w:rFonts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3.5</w:t>
            </w:r>
            <w:r>
              <w:rPr>
                <w:rFonts w:ascii="Times New Roman" w:hAnsi="宋体"/>
                <w:color w:val="auto"/>
                <w:szCs w:val="21"/>
                <w:highlight w:val="none"/>
              </w:rPr>
              <w:t>配置拉曼滤光片，</w:t>
            </w:r>
            <w:r>
              <w:rPr>
                <w:rFonts w:ascii="Times New Roman" w:hAnsi="Times New Roman"/>
                <w:color w:val="auto"/>
                <w:szCs w:val="21"/>
                <w:highlight w:val="none"/>
              </w:rPr>
              <w:t>532nm</w:t>
            </w:r>
            <w:r>
              <w:rPr>
                <w:rFonts w:ascii="Times New Roman" w:hAnsi="宋体"/>
                <w:color w:val="auto"/>
                <w:szCs w:val="21"/>
                <w:highlight w:val="none"/>
              </w:rPr>
              <w:t>低波数优于</w:t>
            </w:r>
            <w:r>
              <w:rPr>
                <w:rFonts w:ascii="Times New Roman" w:hAnsi="Times New Roman"/>
                <w:color w:val="auto"/>
                <w:szCs w:val="21"/>
                <w:highlight w:val="none"/>
              </w:rPr>
              <w:t>90 cm-1</w:t>
            </w:r>
            <w:r>
              <w:rPr>
                <w:rFonts w:hint="eastAsia" w:ascii="Times New Roman" w:hAnsi="Times New Roman"/>
                <w:color w:val="auto"/>
                <w:szCs w:val="21"/>
                <w:highlight w:val="none"/>
              </w:rPr>
              <w:t>；</w:t>
            </w:r>
            <w:r>
              <w:rPr>
                <w:rFonts w:ascii="Times New Roman" w:hAnsi="Times New Roman"/>
                <w:color w:val="auto"/>
                <w:szCs w:val="21"/>
                <w:highlight w:val="none"/>
              </w:rPr>
              <w:t xml:space="preserve">               </w:t>
            </w:r>
          </w:p>
          <w:p>
            <w:pPr>
              <w:pStyle w:val="167"/>
              <w:spacing w:line="240" w:lineRule="auto"/>
              <w:ind w:firstLine="0" w:firstLineChars="0"/>
              <w:jc w:val="left"/>
              <w:rPr>
                <w:rFonts w:ascii="Times New Roman" w:hAnsi="Times New Roman"/>
                <w:color w:val="auto"/>
                <w:szCs w:val="21"/>
                <w:highlight w:val="none"/>
              </w:rPr>
            </w:pPr>
            <w:r>
              <w:rPr>
                <w:rFonts w:hint="eastAsia" w:asciiTheme="minorEastAsia" w:hAnsiTheme="minorEastAsia"/>
                <w:color w:val="auto"/>
                <w:spacing w:val="-6"/>
                <w:highlight w:val="none"/>
              </w:rPr>
              <w:t>▲</w:t>
            </w:r>
            <w:r>
              <w:rPr>
                <w:rFonts w:hint="eastAsia" w:ascii="Times New Roman" w:hAnsi="宋体"/>
                <w:color w:val="auto"/>
                <w:szCs w:val="21"/>
                <w:highlight w:val="none"/>
              </w:rPr>
              <w:t>3.6</w:t>
            </w:r>
            <w:r>
              <w:rPr>
                <w:rFonts w:ascii="Times New Roman" w:hAnsi="宋体"/>
                <w:color w:val="auto"/>
                <w:szCs w:val="21"/>
                <w:highlight w:val="none"/>
              </w:rPr>
              <w:t>横向（</w:t>
            </w:r>
            <w:r>
              <w:rPr>
                <w:rFonts w:ascii="Times New Roman" w:hAnsi="Times New Roman"/>
                <w:color w:val="auto"/>
                <w:szCs w:val="21"/>
                <w:highlight w:val="none"/>
              </w:rPr>
              <w:t>XY</w:t>
            </w:r>
            <w:r>
              <w:rPr>
                <w:rFonts w:ascii="Times New Roman" w:hAnsi="宋体"/>
                <w:color w:val="auto"/>
                <w:szCs w:val="21"/>
                <w:highlight w:val="none"/>
              </w:rPr>
              <w:t>方向）光学空间分辨率：使用</w:t>
            </w:r>
            <w:r>
              <w:rPr>
                <w:rFonts w:ascii="Times New Roman" w:hAnsi="Times New Roman"/>
                <w:color w:val="auto"/>
                <w:szCs w:val="21"/>
                <w:highlight w:val="none"/>
              </w:rPr>
              <w:t>60</w:t>
            </w:r>
            <w:r>
              <w:rPr>
                <w:rFonts w:ascii="Times New Roman" w:hAnsi="宋体"/>
                <w:color w:val="auto"/>
                <w:szCs w:val="21"/>
                <w:highlight w:val="none"/>
              </w:rPr>
              <w:t>倍干物镜，拉曼成像横向光学分辨率：</w:t>
            </w:r>
            <w:r>
              <w:rPr>
                <w:rFonts w:ascii="Times New Roman" w:hAnsi="Times New Roman"/>
                <w:color w:val="auto"/>
                <w:szCs w:val="21"/>
                <w:highlight w:val="none"/>
              </w:rPr>
              <w:t>≤400 nm @ 532 nm</w:t>
            </w:r>
            <w:r>
              <w:rPr>
                <w:rFonts w:hint="eastAsia" w:ascii="Times New Roman" w:hAnsi="宋体"/>
                <w:color w:val="auto"/>
                <w:szCs w:val="21"/>
                <w:highlight w:val="none"/>
              </w:rPr>
              <w:t>；</w:t>
            </w:r>
            <w:r>
              <w:rPr>
                <w:rFonts w:ascii="Times New Roman" w:hAnsi="宋体"/>
                <w:color w:val="auto"/>
                <w:szCs w:val="21"/>
                <w:highlight w:val="none"/>
              </w:rPr>
              <w:t>纵向（</w:t>
            </w:r>
            <w:r>
              <w:rPr>
                <w:rFonts w:ascii="Times New Roman" w:hAnsi="Times New Roman"/>
                <w:color w:val="auto"/>
                <w:szCs w:val="21"/>
                <w:highlight w:val="none"/>
              </w:rPr>
              <w:t>Z</w:t>
            </w:r>
            <w:r>
              <w:rPr>
                <w:rFonts w:ascii="Times New Roman" w:hAnsi="宋体"/>
                <w:color w:val="auto"/>
                <w:szCs w:val="21"/>
                <w:highlight w:val="none"/>
              </w:rPr>
              <w:t>方向）空间分辨率：使用</w:t>
            </w:r>
            <w:r>
              <w:rPr>
                <w:rFonts w:ascii="Times New Roman" w:hAnsi="Times New Roman"/>
                <w:color w:val="auto"/>
                <w:szCs w:val="21"/>
                <w:highlight w:val="none"/>
              </w:rPr>
              <w:t>60</w:t>
            </w:r>
            <w:r>
              <w:rPr>
                <w:rFonts w:ascii="Times New Roman" w:hAnsi="宋体"/>
                <w:color w:val="auto"/>
                <w:szCs w:val="21"/>
                <w:highlight w:val="none"/>
              </w:rPr>
              <w:t>倍干物镜，拉曼成像纵向光学分辨率：</w:t>
            </w:r>
            <w:r>
              <w:rPr>
                <w:rFonts w:ascii="Times New Roman" w:hAnsi="Times New Roman"/>
                <w:color w:val="auto"/>
                <w:szCs w:val="21"/>
                <w:highlight w:val="none"/>
              </w:rPr>
              <w:t xml:space="preserve">≤ 900 nm@532 nm </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3.</w:t>
            </w:r>
            <w:r>
              <w:rPr>
                <w:rFonts w:ascii="Times New Roman" w:hAnsi="宋体"/>
                <w:color w:val="auto"/>
                <w:szCs w:val="21"/>
                <w:highlight w:val="none"/>
              </w:rPr>
              <w:t>7共聚焦灵敏度：满足空间分辨率</w:t>
            </w:r>
            <w:r>
              <w:rPr>
                <w:rFonts w:ascii="Times New Roman" w:hAnsi="Times New Roman"/>
                <w:color w:val="auto"/>
                <w:szCs w:val="21"/>
                <w:highlight w:val="none"/>
              </w:rPr>
              <w:t>3.6</w:t>
            </w:r>
            <w:r>
              <w:rPr>
                <w:rFonts w:ascii="Times New Roman" w:hAnsi="宋体"/>
                <w:color w:val="auto"/>
                <w:szCs w:val="21"/>
                <w:highlight w:val="none"/>
              </w:rPr>
              <w:t>和</w:t>
            </w:r>
            <w:r>
              <w:rPr>
                <w:rFonts w:ascii="Times New Roman" w:hAnsi="Times New Roman"/>
                <w:color w:val="auto"/>
                <w:szCs w:val="21"/>
                <w:highlight w:val="none"/>
              </w:rPr>
              <w:t>3.7</w:t>
            </w:r>
            <w:r>
              <w:rPr>
                <w:rFonts w:ascii="Times New Roman" w:hAnsi="宋体"/>
                <w:color w:val="auto"/>
                <w:szCs w:val="21"/>
                <w:highlight w:val="none"/>
              </w:rPr>
              <w:t>的条件下，硅的三阶拉曼峰（约</w:t>
            </w:r>
            <w:r>
              <w:rPr>
                <w:rFonts w:ascii="Times New Roman" w:hAnsi="Times New Roman"/>
                <w:color w:val="auto"/>
                <w:szCs w:val="21"/>
                <w:highlight w:val="none"/>
              </w:rPr>
              <w:t>1440 cm-1</w:t>
            </w:r>
            <w:r>
              <w:rPr>
                <w:rFonts w:ascii="Times New Roman" w:hAnsi="宋体"/>
                <w:color w:val="auto"/>
                <w:szCs w:val="21"/>
                <w:highlight w:val="none"/>
              </w:rPr>
              <w:t>）信噪比好于</w:t>
            </w:r>
            <w:r>
              <w:rPr>
                <w:rFonts w:ascii="Times New Roman" w:hAnsi="Times New Roman"/>
                <w:color w:val="auto"/>
                <w:szCs w:val="21"/>
                <w:highlight w:val="none"/>
              </w:rPr>
              <w:t>25:1</w:t>
            </w:r>
            <w:r>
              <w:rPr>
                <w:rFonts w:ascii="Times New Roman" w:hAnsi="宋体"/>
                <w:color w:val="auto"/>
                <w:szCs w:val="21"/>
                <w:highlight w:val="none"/>
              </w:rPr>
              <w:t>，能清晰地观察到硅的四阶拉曼峰，其中要求无明显的</w:t>
            </w:r>
            <w:r>
              <w:rPr>
                <w:rFonts w:ascii="Times New Roman" w:hAnsi="Times New Roman"/>
                <w:color w:val="auto"/>
                <w:szCs w:val="21"/>
                <w:highlight w:val="none"/>
              </w:rPr>
              <w:t>N</w:t>
            </w:r>
            <w:r>
              <w:rPr>
                <w:rFonts w:ascii="Times New Roman" w:hAnsi="Times New Roman"/>
                <w:color w:val="auto"/>
                <w:szCs w:val="21"/>
                <w:highlight w:val="none"/>
                <w:vertAlign w:val="subscript"/>
              </w:rPr>
              <w:t>2</w:t>
            </w:r>
            <w:r>
              <w:rPr>
                <w:rFonts w:ascii="Times New Roman" w:hAnsi="宋体"/>
                <w:color w:val="auto"/>
                <w:szCs w:val="21"/>
                <w:highlight w:val="none"/>
              </w:rPr>
              <w:t>和</w:t>
            </w:r>
            <w:r>
              <w:rPr>
                <w:rFonts w:ascii="Times New Roman" w:hAnsi="Times New Roman"/>
                <w:color w:val="auto"/>
                <w:szCs w:val="21"/>
                <w:highlight w:val="none"/>
              </w:rPr>
              <w:t>O</w:t>
            </w:r>
            <w:r>
              <w:rPr>
                <w:rFonts w:ascii="Times New Roman" w:hAnsi="Times New Roman"/>
                <w:color w:val="auto"/>
                <w:szCs w:val="21"/>
                <w:highlight w:val="none"/>
                <w:vertAlign w:val="subscript"/>
              </w:rPr>
              <w:t>2</w:t>
            </w:r>
            <w:r>
              <w:rPr>
                <w:rFonts w:ascii="Times New Roman" w:hAnsi="宋体"/>
                <w:color w:val="auto"/>
                <w:szCs w:val="21"/>
                <w:highlight w:val="none"/>
              </w:rPr>
              <w:t>拉曼峰</w:t>
            </w:r>
            <w:r>
              <w:rPr>
                <w:rFonts w:ascii="Times New Roman" w:hAnsi="Times New Roman"/>
                <w:color w:val="auto"/>
                <w:szCs w:val="21"/>
                <w:highlight w:val="none"/>
              </w:rPr>
              <w:t xml:space="preserve">; </w:t>
            </w:r>
            <w:r>
              <w:rPr>
                <w:rFonts w:ascii="Times New Roman" w:hAnsi="宋体"/>
                <w:color w:val="auto"/>
                <w:szCs w:val="21"/>
                <w:highlight w:val="none"/>
              </w:rPr>
              <w:t>总积分时间</w:t>
            </w:r>
            <w:r>
              <w:rPr>
                <w:rFonts w:ascii="Times New Roman" w:hAnsi="Times New Roman"/>
                <w:color w:val="auto"/>
                <w:szCs w:val="21"/>
                <w:highlight w:val="none"/>
              </w:rPr>
              <w:t>300S</w:t>
            </w:r>
            <w:r>
              <w:rPr>
                <w:rFonts w:hint="eastAsia" w:ascii="Times New Roman" w:hAnsi="Times New Roman"/>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Times New Roman"/>
                <w:color w:val="auto"/>
                <w:szCs w:val="21"/>
                <w:highlight w:val="none"/>
              </w:rPr>
              <w:t>3.</w:t>
            </w:r>
            <w:r>
              <w:rPr>
                <w:rFonts w:ascii="Times New Roman" w:hAnsi="Times New Roman"/>
                <w:color w:val="auto"/>
                <w:szCs w:val="21"/>
                <w:highlight w:val="none"/>
              </w:rPr>
              <w:t>8</w:t>
            </w:r>
            <w:r>
              <w:rPr>
                <w:rFonts w:hint="eastAsia" w:ascii="Times New Roman" w:hAnsi="Times New Roman"/>
                <w:color w:val="auto"/>
                <w:szCs w:val="21"/>
                <w:highlight w:val="none"/>
              </w:rPr>
              <w:t xml:space="preserve">  </w:t>
            </w:r>
            <w:r>
              <w:rPr>
                <w:rFonts w:ascii="Times New Roman" w:hAnsi="Times New Roman"/>
                <w:color w:val="auto"/>
                <w:szCs w:val="21"/>
                <w:highlight w:val="none"/>
              </w:rPr>
              <w:t>800*800mm</w:t>
            </w:r>
            <w:r>
              <w:rPr>
                <w:rFonts w:ascii="Times New Roman" w:hAnsi="宋体"/>
                <w:color w:val="auto"/>
                <w:szCs w:val="21"/>
                <w:highlight w:val="none"/>
              </w:rPr>
              <w:t>的光学平台</w:t>
            </w:r>
            <w:r>
              <w:rPr>
                <w:rFonts w:hint="eastAsia" w:ascii="Times New Roman" w:hAnsi="宋体"/>
                <w:color w:val="auto"/>
                <w:szCs w:val="21"/>
                <w:highlight w:val="none"/>
              </w:rPr>
              <w:t>；</w:t>
            </w:r>
          </w:p>
          <w:p>
            <w:pPr>
              <w:pStyle w:val="167"/>
              <w:spacing w:line="240" w:lineRule="auto"/>
              <w:ind w:firstLine="0" w:firstLineChars="0"/>
              <w:jc w:val="left"/>
              <w:rPr>
                <w:rFonts w:ascii="Times New Roman" w:hAnsi="Times New Roman"/>
                <w:color w:val="auto"/>
                <w:szCs w:val="21"/>
                <w:highlight w:val="none"/>
              </w:rPr>
            </w:pPr>
            <w:r>
              <w:rPr>
                <w:rFonts w:hint="eastAsia" w:ascii="Times New Roman" w:hAnsi="宋体"/>
                <w:color w:val="auto"/>
                <w:szCs w:val="21"/>
                <w:highlight w:val="none"/>
              </w:rPr>
              <w:t>3.</w:t>
            </w:r>
            <w:r>
              <w:rPr>
                <w:rFonts w:ascii="Times New Roman" w:hAnsi="宋体"/>
                <w:color w:val="auto"/>
                <w:szCs w:val="21"/>
                <w:highlight w:val="none"/>
              </w:rPr>
              <w:t>9 高级数据软件：具有多功能数据处理功能，具有</w:t>
            </w:r>
            <w:r>
              <w:rPr>
                <w:rFonts w:ascii="Times New Roman" w:hAnsi="Times New Roman"/>
                <w:color w:val="auto"/>
                <w:szCs w:val="21"/>
                <w:highlight w:val="none"/>
              </w:rPr>
              <w:t>Cluster</w:t>
            </w:r>
            <w:r>
              <w:rPr>
                <w:rFonts w:ascii="Times New Roman" w:hAnsi="宋体"/>
                <w:color w:val="auto"/>
                <w:szCs w:val="21"/>
                <w:highlight w:val="none"/>
              </w:rPr>
              <w:t>，</w:t>
            </w:r>
            <w:r>
              <w:rPr>
                <w:rFonts w:ascii="Times New Roman" w:hAnsi="Times New Roman"/>
                <w:color w:val="auto"/>
                <w:szCs w:val="21"/>
                <w:highlight w:val="none"/>
              </w:rPr>
              <w:t>PCA</w:t>
            </w:r>
            <w:r>
              <w:rPr>
                <w:rFonts w:ascii="Times New Roman" w:hAnsi="宋体"/>
                <w:color w:val="auto"/>
                <w:szCs w:val="21"/>
                <w:highlight w:val="none"/>
              </w:rPr>
              <w:t>，</w:t>
            </w:r>
            <w:r>
              <w:rPr>
                <w:rFonts w:ascii="Times New Roman" w:hAnsi="Times New Roman"/>
                <w:color w:val="auto"/>
                <w:szCs w:val="21"/>
                <w:highlight w:val="none"/>
              </w:rPr>
              <w:t>NMF</w:t>
            </w:r>
            <w:r>
              <w:rPr>
                <w:rFonts w:ascii="Times New Roman" w:hAnsi="宋体"/>
                <w:color w:val="auto"/>
                <w:szCs w:val="21"/>
                <w:highlight w:val="none"/>
              </w:rPr>
              <w:t>等高级功能</w:t>
            </w:r>
            <w:r>
              <w:rPr>
                <w:rFonts w:hint="eastAsia" w:ascii="Times New Roman" w:hAnsi="宋体"/>
                <w:color w:val="auto"/>
                <w:szCs w:val="21"/>
                <w:highlight w:val="none"/>
              </w:rPr>
              <w:t>；</w:t>
            </w:r>
          </w:p>
          <w:p>
            <w:pPr>
              <w:spacing w:line="240" w:lineRule="auto"/>
              <w:ind w:firstLine="0" w:firstLineChars="0"/>
              <w:jc w:val="left"/>
              <w:rPr>
                <w:rFonts w:hAnsi="宋体"/>
                <w:color w:val="auto"/>
                <w:szCs w:val="21"/>
                <w:highlight w:val="none"/>
                <w:lang w:val="en-SG"/>
              </w:rPr>
            </w:pPr>
            <w:r>
              <w:rPr>
                <w:rFonts w:hint="eastAsia" w:hAnsi="宋体"/>
                <w:color w:val="auto"/>
                <w:szCs w:val="21"/>
                <w:highlight w:val="none"/>
              </w:rPr>
              <w:t>3.</w:t>
            </w:r>
            <w:r>
              <w:rPr>
                <w:rFonts w:hAnsi="宋体"/>
                <w:color w:val="auto"/>
                <w:szCs w:val="21"/>
                <w:highlight w:val="none"/>
              </w:rPr>
              <w:t>10</w:t>
            </w:r>
            <w:r>
              <w:rPr>
                <w:rFonts w:hint="eastAsia" w:hAnsi="宋体"/>
                <w:color w:val="auto"/>
                <w:szCs w:val="21"/>
                <w:highlight w:val="none"/>
              </w:rPr>
              <w:t>工作站要求：</w:t>
            </w:r>
            <w:r>
              <w:rPr>
                <w:color w:val="auto"/>
                <w:szCs w:val="21"/>
                <w:highlight w:val="none"/>
              </w:rPr>
              <w:t>4</w:t>
            </w:r>
            <w:r>
              <w:rPr>
                <w:rFonts w:hAnsi="宋体"/>
                <w:color w:val="auto"/>
                <w:szCs w:val="21"/>
                <w:highlight w:val="none"/>
              </w:rPr>
              <w:t>核酷睿处理器，</w:t>
            </w:r>
            <w:r>
              <w:rPr>
                <w:color w:val="auto"/>
                <w:szCs w:val="21"/>
                <w:highlight w:val="none"/>
              </w:rPr>
              <w:t>8GB RAM</w:t>
            </w:r>
            <w:r>
              <w:rPr>
                <w:rFonts w:hAnsi="宋体"/>
                <w:color w:val="auto"/>
                <w:szCs w:val="21"/>
                <w:highlight w:val="none"/>
              </w:rPr>
              <w:t>，</w:t>
            </w:r>
            <w:r>
              <w:rPr>
                <w:color w:val="auto"/>
                <w:szCs w:val="21"/>
                <w:highlight w:val="none"/>
              </w:rPr>
              <w:t>1000G</w:t>
            </w:r>
            <w:r>
              <w:rPr>
                <w:rFonts w:hAnsi="宋体"/>
                <w:color w:val="auto"/>
                <w:szCs w:val="21"/>
                <w:highlight w:val="none"/>
              </w:rPr>
              <w:t>硬盘，</w:t>
            </w:r>
            <w:r>
              <w:rPr>
                <w:color w:val="auto"/>
                <w:szCs w:val="21"/>
                <w:highlight w:val="none"/>
              </w:rPr>
              <w:t>Windows</w:t>
            </w:r>
            <w:r>
              <w:rPr>
                <w:rFonts w:hint="eastAsia"/>
                <w:color w:val="auto"/>
                <w:szCs w:val="21"/>
                <w:highlight w:val="none"/>
              </w:rPr>
              <w:t xml:space="preserve"> </w:t>
            </w:r>
            <w:r>
              <w:rPr>
                <w:color w:val="auto"/>
                <w:szCs w:val="21"/>
                <w:highlight w:val="none"/>
              </w:rPr>
              <w:t>7 64</w:t>
            </w:r>
            <w:r>
              <w:rPr>
                <w:rFonts w:hAnsi="宋体"/>
                <w:color w:val="auto"/>
                <w:szCs w:val="21"/>
                <w:highlight w:val="none"/>
              </w:rPr>
              <w:t>位操作系统，至少</w:t>
            </w:r>
            <w:r>
              <w:rPr>
                <w:color w:val="auto"/>
                <w:szCs w:val="21"/>
                <w:highlight w:val="none"/>
              </w:rPr>
              <w:t>27 ”LCD</w:t>
            </w:r>
            <w:r>
              <w:rPr>
                <w:rFonts w:hAnsi="宋体"/>
                <w:color w:val="auto"/>
                <w:szCs w:val="21"/>
                <w:highlight w:val="none"/>
              </w:rPr>
              <w:t>显示器</w:t>
            </w:r>
            <w:r>
              <w:rPr>
                <w:rFonts w:hint="eastAsia"/>
                <w:color w:val="auto"/>
                <w:szCs w:val="21"/>
                <w:highlight w:val="none"/>
              </w:rPr>
              <w:t>。</w:t>
            </w:r>
            <w:r>
              <w:rPr>
                <w:color w:val="auto"/>
                <w:szCs w:val="21"/>
                <w:highlight w:val="none"/>
              </w:rPr>
              <w:t>Windows</w:t>
            </w:r>
            <w:r>
              <w:rPr>
                <w:rFonts w:hAnsi="宋体"/>
                <w:color w:val="auto"/>
                <w:szCs w:val="21"/>
                <w:highlight w:val="none"/>
              </w:rPr>
              <w:t>下光谱专业软件</w:t>
            </w:r>
            <w:r>
              <w:rPr>
                <w:color w:val="auto"/>
                <w:szCs w:val="21"/>
                <w:highlight w:val="none"/>
              </w:rPr>
              <w:t>-</w:t>
            </w:r>
            <w:r>
              <w:rPr>
                <w:rFonts w:hAnsi="宋体"/>
                <w:color w:val="auto"/>
                <w:szCs w:val="21"/>
                <w:highlight w:val="none"/>
                <w:lang w:val="en-SG"/>
              </w:rPr>
              <w:t>包括仪器控制，拉曼</w:t>
            </w:r>
            <w:r>
              <w:rPr>
                <w:color w:val="auto"/>
                <w:szCs w:val="21"/>
                <w:highlight w:val="none"/>
                <w:lang w:val="en-SG"/>
              </w:rPr>
              <w:t>/</w:t>
            </w:r>
            <w:r>
              <w:rPr>
                <w:rFonts w:hAnsi="宋体"/>
                <w:color w:val="auto"/>
                <w:szCs w:val="21"/>
                <w:highlight w:val="none"/>
                <w:lang w:val="en-SG"/>
              </w:rPr>
              <w:t>荧光</w:t>
            </w:r>
            <w:r>
              <w:rPr>
                <w:color w:val="auto"/>
                <w:szCs w:val="21"/>
                <w:highlight w:val="none"/>
                <w:lang w:val="en-SG"/>
              </w:rPr>
              <w:t>/</w:t>
            </w:r>
            <w:r>
              <w:rPr>
                <w:rFonts w:hAnsi="宋体"/>
                <w:color w:val="auto"/>
                <w:szCs w:val="21"/>
                <w:highlight w:val="none"/>
                <w:lang w:val="en-SG"/>
              </w:rPr>
              <w:t>光电流数据采集、计算和处理及曲线拟合</w:t>
            </w:r>
            <w:r>
              <w:rPr>
                <w:rFonts w:hint="eastAsia"/>
                <w:color w:val="auto"/>
                <w:szCs w:val="21"/>
                <w:highlight w:val="none"/>
                <w:lang w:val="en-SG"/>
              </w:rPr>
              <w:t>，</w:t>
            </w:r>
            <w:r>
              <w:rPr>
                <w:rFonts w:hAnsi="宋体"/>
                <w:color w:val="auto"/>
                <w:szCs w:val="21"/>
                <w:highlight w:val="none"/>
                <w:lang w:val="en-SG"/>
              </w:rPr>
              <w:t>快速生成拉曼图像及图像计算</w:t>
            </w:r>
            <w:r>
              <w:rPr>
                <w:rFonts w:hint="eastAsia"/>
                <w:color w:val="auto"/>
                <w:szCs w:val="21"/>
                <w:highlight w:val="none"/>
                <w:lang w:val="en-SG"/>
              </w:rPr>
              <w:t>，</w:t>
            </w:r>
            <w:r>
              <w:rPr>
                <w:rFonts w:hAnsi="宋体"/>
                <w:color w:val="auto"/>
                <w:szCs w:val="21"/>
                <w:highlight w:val="none"/>
                <w:lang w:val="en-SG"/>
              </w:rPr>
              <w:t>化学成分分析等各项功能；数据分析软件可任意安装在多</w:t>
            </w:r>
            <w:r>
              <w:rPr>
                <w:rFonts w:hint="eastAsia" w:hAnsi="宋体"/>
                <w:color w:val="auto"/>
                <w:szCs w:val="21"/>
                <w:highlight w:val="none"/>
                <w:lang w:val="en-SG"/>
              </w:rPr>
              <w:t>个工作站</w:t>
            </w:r>
            <w:r>
              <w:rPr>
                <w:rFonts w:hAnsi="宋体"/>
                <w:color w:val="auto"/>
                <w:szCs w:val="21"/>
                <w:highlight w:val="none"/>
                <w:lang w:val="en-SG"/>
              </w:rPr>
              <w:t>上。</w:t>
            </w:r>
          </w:p>
          <w:p>
            <w:pPr>
              <w:pStyle w:val="167"/>
              <w:spacing w:line="240" w:lineRule="auto"/>
              <w:ind w:firstLine="0" w:firstLineChars="0"/>
              <w:jc w:val="left"/>
              <w:rPr>
                <w:rFonts w:ascii="Times New Roman" w:hAnsi="宋体"/>
                <w:b/>
                <w:color w:val="auto"/>
                <w:szCs w:val="21"/>
                <w:highlight w:val="none"/>
              </w:rPr>
            </w:pPr>
            <w:r>
              <w:rPr>
                <w:rFonts w:hint="eastAsia" w:ascii="Times New Roman" w:hAnsi="宋体"/>
                <w:b/>
                <w:color w:val="auto"/>
                <w:szCs w:val="21"/>
                <w:highlight w:val="none"/>
              </w:rPr>
              <w:t>4、配置要求</w:t>
            </w:r>
          </w:p>
          <w:p>
            <w:pPr>
              <w:spacing w:line="240" w:lineRule="auto"/>
              <w:ind w:firstLine="0" w:firstLineChars="0"/>
              <w:rPr>
                <w:color w:val="auto"/>
                <w:szCs w:val="21"/>
                <w:highlight w:val="none"/>
              </w:rPr>
            </w:pPr>
            <w:r>
              <w:rPr>
                <w:rFonts w:hint="eastAsia"/>
                <w:color w:val="auto"/>
                <w:szCs w:val="21"/>
                <w:highlight w:val="none"/>
              </w:rPr>
              <w:t xml:space="preserve">4.1  </w:t>
            </w:r>
            <w:r>
              <w:rPr>
                <w:color w:val="auto"/>
                <w:szCs w:val="21"/>
                <w:highlight w:val="none"/>
              </w:rPr>
              <w:t>532nm</w:t>
            </w:r>
            <w:r>
              <w:rPr>
                <w:rFonts w:hint="eastAsia"/>
                <w:color w:val="auto"/>
                <w:szCs w:val="21"/>
                <w:highlight w:val="none"/>
              </w:rPr>
              <w:t>激光器1套，</w:t>
            </w:r>
            <w:r>
              <w:rPr>
                <w:color w:val="auto"/>
                <w:szCs w:val="21"/>
                <w:highlight w:val="none"/>
              </w:rPr>
              <w:t>75m</w:t>
            </w:r>
            <w:r>
              <w:rPr>
                <w:rFonts w:hint="eastAsia"/>
                <w:color w:val="auto"/>
                <w:szCs w:val="21"/>
                <w:highlight w:val="none"/>
              </w:rPr>
              <w:t>W；</w:t>
            </w:r>
          </w:p>
          <w:p>
            <w:pPr>
              <w:spacing w:line="240" w:lineRule="auto"/>
              <w:ind w:firstLine="0" w:firstLineChars="0"/>
              <w:rPr>
                <w:color w:val="auto"/>
                <w:szCs w:val="21"/>
                <w:highlight w:val="none"/>
              </w:rPr>
            </w:pPr>
            <w:r>
              <w:rPr>
                <w:rFonts w:hint="eastAsia"/>
                <w:color w:val="auto"/>
                <w:szCs w:val="21"/>
                <w:highlight w:val="none"/>
              </w:rPr>
              <w:t>4.2  倒置光学显微镜1套，要求包含：</w:t>
            </w:r>
          </w:p>
          <w:p>
            <w:pPr>
              <w:spacing w:line="240" w:lineRule="auto"/>
              <w:ind w:firstLine="0" w:firstLineChars="0"/>
              <w:rPr>
                <w:color w:val="auto"/>
                <w:szCs w:val="21"/>
                <w:highlight w:val="none"/>
              </w:rPr>
            </w:pPr>
            <w:r>
              <w:rPr>
                <w:rFonts w:hint="eastAsia"/>
                <w:color w:val="auto"/>
                <w:szCs w:val="21"/>
                <w:highlight w:val="none"/>
              </w:rPr>
              <w:t>4.2.1配置白光科勒照明系统；</w:t>
            </w:r>
          </w:p>
          <w:p>
            <w:pPr>
              <w:spacing w:line="240" w:lineRule="auto"/>
              <w:ind w:firstLine="0" w:firstLineChars="0"/>
              <w:rPr>
                <w:color w:val="auto"/>
                <w:szCs w:val="21"/>
                <w:highlight w:val="none"/>
              </w:rPr>
            </w:pPr>
            <w:r>
              <w:rPr>
                <w:rFonts w:hint="eastAsia"/>
                <w:color w:val="auto"/>
                <w:szCs w:val="21"/>
                <w:highlight w:val="none"/>
              </w:rPr>
              <w:t>4.2.2配置</w:t>
            </w:r>
            <w:r>
              <w:rPr>
                <w:color w:val="auto"/>
                <w:szCs w:val="21"/>
                <w:highlight w:val="none"/>
              </w:rPr>
              <w:t>XYZ</w:t>
            </w:r>
            <w:r>
              <w:rPr>
                <w:rFonts w:hint="eastAsia"/>
                <w:color w:val="auto"/>
                <w:szCs w:val="21"/>
                <w:highlight w:val="none"/>
              </w:rPr>
              <w:t>自动平台；</w:t>
            </w:r>
          </w:p>
          <w:p>
            <w:pPr>
              <w:spacing w:line="240" w:lineRule="auto"/>
              <w:ind w:firstLine="0" w:firstLineChars="0"/>
              <w:rPr>
                <w:color w:val="auto"/>
                <w:szCs w:val="21"/>
                <w:highlight w:val="none"/>
              </w:rPr>
            </w:pPr>
            <w:r>
              <w:rPr>
                <w:rFonts w:hint="eastAsia"/>
                <w:color w:val="auto"/>
                <w:szCs w:val="21"/>
                <w:highlight w:val="none"/>
              </w:rPr>
              <w:t>4.2.3配置</w:t>
            </w:r>
            <w:r>
              <w:rPr>
                <w:color w:val="auto"/>
                <w:szCs w:val="21"/>
                <w:highlight w:val="none"/>
              </w:rPr>
              <w:t>20X</w:t>
            </w:r>
            <w:r>
              <w:rPr>
                <w:rFonts w:hint="eastAsia"/>
                <w:color w:val="auto"/>
                <w:szCs w:val="21"/>
                <w:highlight w:val="none"/>
              </w:rPr>
              <w:t>和</w:t>
            </w:r>
            <w:r>
              <w:rPr>
                <w:color w:val="auto"/>
                <w:szCs w:val="21"/>
                <w:highlight w:val="none"/>
              </w:rPr>
              <w:t>60X</w:t>
            </w:r>
            <w:r>
              <w:rPr>
                <w:rFonts w:hint="eastAsia"/>
                <w:color w:val="auto"/>
                <w:szCs w:val="21"/>
                <w:highlight w:val="none"/>
              </w:rPr>
              <w:t>（NA：</w:t>
            </w:r>
            <w:r>
              <w:rPr>
                <w:color w:val="auto"/>
                <w:szCs w:val="21"/>
                <w:highlight w:val="none"/>
              </w:rPr>
              <w:t>0.8</w:t>
            </w:r>
            <w:r>
              <w:rPr>
                <w:rFonts w:hint="eastAsia"/>
                <w:color w:val="auto"/>
                <w:szCs w:val="21"/>
                <w:highlight w:val="none"/>
              </w:rPr>
              <w:t>，</w:t>
            </w:r>
            <w:r>
              <w:rPr>
                <w:color w:val="auto"/>
                <w:szCs w:val="21"/>
                <w:highlight w:val="none"/>
              </w:rPr>
              <w:t>0.3mm</w:t>
            </w:r>
            <w:r>
              <w:rPr>
                <w:rFonts w:hint="eastAsia"/>
                <w:color w:val="auto"/>
                <w:szCs w:val="21"/>
                <w:highlight w:val="none"/>
              </w:rPr>
              <w:t>）物镜，</w:t>
            </w:r>
            <w:r>
              <w:rPr>
                <w:color w:val="auto"/>
                <w:szCs w:val="21"/>
                <w:highlight w:val="none"/>
              </w:rPr>
              <w:t xml:space="preserve">100X </w:t>
            </w:r>
            <w:r>
              <w:rPr>
                <w:rFonts w:hint="eastAsia"/>
                <w:color w:val="auto"/>
                <w:szCs w:val="21"/>
                <w:highlight w:val="none"/>
              </w:rPr>
              <w:t>油镜（</w:t>
            </w:r>
            <w:r>
              <w:rPr>
                <w:color w:val="auto"/>
                <w:szCs w:val="21"/>
                <w:highlight w:val="none"/>
              </w:rPr>
              <w:t>NA</w:t>
            </w:r>
            <w:r>
              <w:rPr>
                <w:rFonts w:hint="eastAsia"/>
                <w:color w:val="auto"/>
                <w:szCs w:val="21"/>
                <w:highlight w:val="none"/>
              </w:rPr>
              <w:t>：</w:t>
            </w:r>
            <w:r>
              <w:rPr>
                <w:color w:val="auto"/>
                <w:szCs w:val="21"/>
                <w:highlight w:val="none"/>
              </w:rPr>
              <w:t>1.25</w:t>
            </w:r>
            <w:r>
              <w:rPr>
                <w:rFonts w:hint="eastAsia"/>
                <w:color w:val="auto"/>
                <w:szCs w:val="21"/>
                <w:highlight w:val="none"/>
              </w:rPr>
              <w:t>）带</w:t>
            </w:r>
            <w:r>
              <w:rPr>
                <w:rFonts w:ascii="Times New Roman" w:hAnsi="宋体"/>
                <w:color w:val="auto"/>
                <w:szCs w:val="21"/>
                <w:highlight w:val="none"/>
              </w:rPr>
              <w:t>带载玻片矫正环</w:t>
            </w:r>
            <w:r>
              <w:rPr>
                <w:rFonts w:hint="eastAsia"/>
                <w:color w:val="auto"/>
                <w:szCs w:val="21"/>
                <w:highlight w:val="none"/>
              </w:rPr>
              <w:t>；</w:t>
            </w:r>
          </w:p>
          <w:p>
            <w:pPr>
              <w:spacing w:line="240" w:lineRule="auto"/>
              <w:ind w:firstLine="0" w:firstLineChars="0"/>
              <w:rPr>
                <w:color w:val="auto"/>
                <w:szCs w:val="21"/>
                <w:highlight w:val="none"/>
              </w:rPr>
            </w:pPr>
            <w:r>
              <w:rPr>
                <w:rFonts w:hint="eastAsia"/>
                <w:color w:val="auto"/>
                <w:szCs w:val="21"/>
                <w:highlight w:val="none"/>
              </w:rPr>
              <w:t>4.2.4配置光谱仪及激光器与倒置显微镜耦合系统；</w:t>
            </w:r>
          </w:p>
          <w:p>
            <w:pPr>
              <w:spacing w:line="240" w:lineRule="auto"/>
              <w:ind w:firstLine="0" w:firstLineChars="0"/>
              <w:rPr>
                <w:color w:val="auto"/>
                <w:szCs w:val="21"/>
                <w:highlight w:val="none"/>
              </w:rPr>
            </w:pPr>
            <w:r>
              <w:rPr>
                <w:rFonts w:hint="eastAsia"/>
                <w:color w:val="auto"/>
                <w:szCs w:val="21"/>
                <w:highlight w:val="none"/>
              </w:rPr>
              <w:t>4.3光谱探测系统1套，要求包含：</w:t>
            </w:r>
          </w:p>
          <w:p>
            <w:pPr>
              <w:spacing w:line="240" w:lineRule="auto"/>
              <w:ind w:firstLine="0" w:firstLineChars="0"/>
              <w:rPr>
                <w:color w:val="auto"/>
                <w:szCs w:val="21"/>
                <w:highlight w:val="none"/>
              </w:rPr>
            </w:pPr>
            <w:r>
              <w:rPr>
                <w:rFonts w:hint="eastAsia"/>
                <w:color w:val="auto"/>
                <w:szCs w:val="21"/>
                <w:highlight w:val="none"/>
              </w:rPr>
              <w:t>4.3.1配置高灵敏度光谱仪；</w:t>
            </w:r>
          </w:p>
          <w:p>
            <w:pPr>
              <w:spacing w:line="240" w:lineRule="auto"/>
              <w:ind w:firstLine="0" w:firstLineChars="0"/>
              <w:rPr>
                <w:color w:val="auto"/>
                <w:szCs w:val="21"/>
                <w:highlight w:val="none"/>
              </w:rPr>
            </w:pPr>
            <w:r>
              <w:rPr>
                <w:rFonts w:hint="eastAsia"/>
                <w:color w:val="auto"/>
                <w:szCs w:val="21"/>
                <w:highlight w:val="none"/>
              </w:rPr>
              <w:t>4.3.2一英尺大芯片</w:t>
            </w:r>
            <w:r>
              <w:rPr>
                <w:color w:val="auto"/>
                <w:szCs w:val="21"/>
                <w:highlight w:val="none"/>
              </w:rPr>
              <w:t>CCD</w:t>
            </w:r>
            <w:r>
              <w:rPr>
                <w:rFonts w:hint="eastAsia"/>
                <w:color w:val="auto"/>
                <w:szCs w:val="21"/>
                <w:highlight w:val="none"/>
              </w:rPr>
              <w:t>探测器；</w:t>
            </w:r>
          </w:p>
          <w:p>
            <w:pPr>
              <w:spacing w:line="240" w:lineRule="auto"/>
              <w:ind w:firstLine="0" w:firstLineChars="0"/>
              <w:rPr>
                <w:color w:val="auto"/>
                <w:szCs w:val="21"/>
                <w:highlight w:val="none"/>
              </w:rPr>
            </w:pPr>
            <w:r>
              <w:rPr>
                <w:rFonts w:hint="eastAsia"/>
                <w:color w:val="auto"/>
                <w:szCs w:val="21"/>
                <w:highlight w:val="none"/>
              </w:rPr>
              <w:t>4.3.3配置拉曼滤光片及光路耦合系统；</w:t>
            </w:r>
          </w:p>
          <w:p>
            <w:pPr>
              <w:spacing w:line="240" w:lineRule="auto"/>
              <w:ind w:firstLine="0" w:firstLineChars="0"/>
              <w:rPr>
                <w:color w:val="auto"/>
                <w:szCs w:val="21"/>
                <w:highlight w:val="none"/>
              </w:rPr>
            </w:pPr>
            <w:r>
              <w:rPr>
                <w:rFonts w:hint="eastAsia"/>
                <w:color w:val="auto"/>
                <w:szCs w:val="21"/>
                <w:highlight w:val="none"/>
              </w:rPr>
              <w:t>4.4</w:t>
            </w:r>
            <w:r>
              <w:rPr>
                <w:color w:val="auto"/>
                <w:szCs w:val="21"/>
                <w:highlight w:val="none"/>
              </w:rPr>
              <w:t xml:space="preserve"> </w:t>
            </w:r>
            <w:r>
              <w:rPr>
                <w:rFonts w:hint="eastAsia"/>
                <w:color w:val="auto"/>
                <w:szCs w:val="21"/>
                <w:highlight w:val="none"/>
              </w:rPr>
              <w:t>高级数据处理软件1套；</w:t>
            </w:r>
          </w:p>
          <w:p>
            <w:pPr>
              <w:spacing w:line="240" w:lineRule="auto"/>
              <w:ind w:firstLine="0" w:firstLineChars="0"/>
              <w:rPr>
                <w:color w:val="auto"/>
                <w:szCs w:val="21"/>
                <w:highlight w:val="none"/>
              </w:rPr>
            </w:pPr>
            <w:r>
              <w:rPr>
                <w:rFonts w:hint="eastAsia"/>
                <w:color w:val="auto"/>
                <w:szCs w:val="21"/>
                <w:highlight w:val="none"/>
              </w:rPr>
              <w:t>4.5</w:t>
            </w:r>
            <w:r>
              <w:rPr>
                <w:color w:val="auto"/>
                <w:szCs w:val="21"/>
                <w:highlight w:val="none"/>
              </w:rPr>
              <w:t xml:space="preserve"> </w:t>
            </w:r>
            <w:r>
              <w:rPr>
                <w:rFonts w:hint="eastAsia"/>
                <w:color w:val="auto"/>
                <w:szCs w:val="21"/>
                <w:highlight w:val="none"/>
              </w:rPr>
              <w:t>光学平台（</w:t>
            </w:r>
            <w:r>
              <w:rPr>
                <w:color w:val="auto"/>
                <w:szCs w:val="21"/>
                <w:highlight w:val="none"/>
              </w:rPr>
              <w:t>800*800mm</w:t>
            </w:r>
            <w:r>
              <w:rPr>
                <w:rFonts w:hint="eastAsia"/>
                <w:color w:val="auto"/>
                <w:szCs w:val="21"/>
                <w:highlight w:val="none"/>
              </w:rPr>
              <w:t>）1个；</w:t>
            </w:r>
          </w:p>
          <w:p>
            <w:pPr>
              <w:spacing w:line="240" w:lineRule="auto"/>
              <w:ind w:firstLine="0" w:firstLineChars="0"/>
              <w:rPr>
                <w:rFonts w:hAnsi="宋体"/>
                <w:color w:val="auto"/>
                <w:szCs w:val="21"/>
                <w:highlight w:val="none"/>
              </w:rPr>
            </w:pPr>
            <w:r>
              <w:rPr>
                <w:rFonts w:hint="eastAsia" w:hAnsi="宋体"/>
                <w:color w:val="auto"/>
                <w:szCs w:val="21"/>
                <w:highlight w:val="none"/>
              </w:rPr>
              <w:t>4.6</w:t>
            </w:r>
            <w:r>
              <w:rPr>
                <w:rFonts w:hAnsi="宋体"/>
                <w:color w:val="auto"/>
                <w:szCs w:val="21"/>
                <w:highlight w:val="none"/>
              </w:rPr>
              <w:t xml:space="preserve"> </w:t>
            </w:r>
            <w:r>
              <w:rPr>
                <w:rFonts w:hint="eastAsia" w:hAnsi="宋体"/>
                <w:color w:val="auto"/>
                <w:szCs w:val="21"/>
                <w:highlight w:val="none"/>
              </w:rPr>
              <w:t>工作站1套（不低于以下配置:</w:t>
            </w:r>
            <w:r>
              <w:rPr>
                <w:color w:val="auto"/>
                <w:szCs w:val="21"/>
                <w:highlight w:val="none"/>
              </w:rPr>
              <w:t>4</w:t>
            </w:r>
            <w:r>
              <w:rPr>
                <w:rFonts w:hAnsi="宋体"/>
                <w:color w:val="auto"/>
                <w:szCs w:val="21"/>
                <w:highlight w:val="none"/>
              </w:rPr>
              <w:t>核酷睿处理器，</w:t>
            </w:r>
            <w:r>
              <w:rPr>
                <w:color w:val="auto"/>
                <w:szCs w:val="21"/>
                <w:highlight w:val="none"/>
              </w:rPr>
              <w:t>8GB RAM</w:t>
            </w:r>
            <w:r>
              <w:rPr>
                <w:rFonts w:hAnsi="宋体"/>
                <w:color w:val="auto"/>
                <w:szCs w:val="21"/>
                <w:highlight w:val="none"/>
              </w:rPr>
              <w:t>，</w:t>
            </w:r>
            <w:r>
              <w:rPr>
                <w:color w:val="auto"/>
                <w:szCs w:val="21"/>
                <w:highlight w:val="none"/>
              </w:rPr>
              <w:t>1000G</w:t>
            </w:r>
            <w:r>
              <w:rPr>
                <w:rFonts w:hAnsi="宋体"/>
                <w:color w:val="auto"/>
                <w:szCs w:val="21"/>
                <w:highlight w:val="none"/>
              </w:rPr>
              <w:t>硬盘，</w:t>
            </w:r>
            <w:r>
              <w:rPr>
                <w:color w:val="auto"/>
                <w:szCs w:val="21"/>
                <w:highlight w:val="none"/>
              </w:rPr>
              <w:t>Windows</w:t>
            </w:r>
            <w:r>
              <w:rPr>
                <w:rFonts w:hint="eastAsia"/>
                <w:color w:val="auto"/>
                <w:szCs w:val="21"/>
                <w:highlight w:val="none"/>
              </w:rPr>
              <w:t xml:space="preserve"> </w:t>
            </w:r>
            <w:r>
              <w:rPr>
                <w:color w:val="auto"/>
                <w:szCs w:val="21"/>
                <w:highlight w:val="none"/>
              </w:rPr>
              <w:t>7 64</w:t>
            </w:r>
            <w:r>
              <w:rPr>
                <w:rFonts w:hAnsi="宋体"/>
                <w:color w:val="auto"/>
                <w:szCs w:val="21"/>
                <w:highlight w:val="none"/>
              </w:rPr>
              <w:t>位操作系统，</w:t>
            </w:r>
            <w:r>
              <w:rPr>
                <w:color w:val="auto"/>
                <w:szCs w:val="21"/>
                <w:highlight w:val="none"/>
              </w:rPr>
              <w:t xml:space="preserve"> 27 ”LCD</w:t>
            </w:r>
            <w:r>
              <w:rPr>
                <w:rFonts w:hAnsi="宋体"/>
                <w:color w:val="auto"/>
                <w:szCs w:val="21"/>
                <w:highlight w:val="none"/>
              </w:rPr>
              <w:t>显示器</w:t>
            </w:r>
            <w:r>
              <w:rPr>
                <w:rFonts w:hint="eastAsia" w:hAnsi="宋体"/>
                <w:color w:val="auto"/>
                <w:szCs w:val="21"/>
                <w:highlight w:val="none"/>
              </w:rPr>
              <w:t>配置及以上）</w:t>
            </w:r>
          </w:p>
          <w:p>
            <w:pPr>
              <w:spacing w:line="240" w:lineRule="auto"/>
              <w:ind w:firstLine="0" w:firstLineChars="0"/>
              <w:rPr>
                <w:color w:val="auto"/>
                <w:highlight w:val="none"/>
              </w:rPr>
            </w:pPr>
            <w:r>
              <w:rPr>
                <w:rFonts w:hint="eastAsia"/>
                <w:color w:val="auto"/>
                <w:highlight w:val="none"/>
              </w:rPr>
              <w:t>4</w:t>
            </w:r>
            <w:r>
              <w:rPr>
                <w:color w:val="auto"/>
                <w:highlight w:val="none"/>
              </w:rPr>
              <w:t xml:space="preserve">.7 </w:t>
            </w:r>
            <w:r>
              <w:rPr>
                <w:rFonts w:hint="eastAsia"/>
                <w:color w:val="auto"/>
                <w:szCs w:val="21"/>
                <w:highlight w:val="none"/>
              </w:rPr>
              <w:t>质保期：二年</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bl>
    <w:p>
      <w:pPr>
        <w:ind w:firstLine="480"/>
        <w:rPr>
          <w:color w:val="auto"/>
          <w:highlight w:val="none"/>
        </w:rPr>
      </w:pPr>
    </w:p>
    <w:p>
      <w:pPr>
        <w:pStyle w:val="7"/>
        <w:ind w:firstLine="422"/>
        <w:rPr>
          <w:color w:val="auto"/>
          <w:highlight w:val="none"/>
        </w:rPr>
      </w:pPr>
      <w:r>
        <w:rPr>
          <w:rFonts w:hint="eastAsia"/>
          <w:color w:val="auto"/>
          <w:highlight w:val="none"/>
        </w:rPr>
        <w:t>标项四：</w:t>
      </w:r>
      <w:r>
        <w:rPr>
          <w:rFonts w:hint="eastAsia" w:ascii="宋体" w:hAnsi="宋体" w:cs="宋体"/>
          <w:color w:val="auto"/>
          <w:kern w:val="0"/>
          <w:highlight w:val="none"/>
        </w:rPr>
        <w:t>人工智能病理辅助诊断系统等</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09"/>
        <w:gridCol w:w="5862"/>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序号</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名称</w:t>
            </w:r>
          </w:p>
        </w:tc>
        <w:tc>
          <w:tcPr>
            <w:tcW w:w="586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功能及技术参数等</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10"/>
              </w:numPr>
              <w:spacing w:before="120" w:beforeLines="50" w:after="120" w:afterLines="50"/>
              <w:ind w:firstLineChars="0"/>
              <w:jc w:val="center"/>
              <w:rPr>
                <w:color w:val="auto"/>
                <w:highlight w:val="none"/>
              </w:rPr>
            </w:pPr>
          </w:p>
        </w:tc>
        <w:tc>
          <w:tcPr>
            <w:tcW w:w="1409" w:type="dxa"/>
            <w:shd w:val="clear" w:color="auto" w:fill="auto"/>
            <w:vAlign w:val="center"/>
          </w:tcPr>
          <w:p>
            <w:pPr>
              <w:widowControl/>
              <w:ind w:firstLine="0" w:firstLineChars="0"/>
              <w:jc w:val="center"/>
              <w:rPr>
                <w:color w:val="auto"/>
                <w:highlight w:val="none"/>
              </w:rPr>
            </w:pPr>
            <w:r>
              <w:rPr>
                <w:rFonts w:hint="eastAsia" w:ascii="宋体" w:hAnsi="宋体"/>
                <w:b/>
                <w:bCs/>
                <w:color w:val="auto"/>
                <w:kern w:val="0"/>
                <w:highlight w:val="none"/>
              </w:rPr>
              <w:t>人工智能病理分析系统（核心产品）</w:t>
            </w:r>
          </w:p>
        </w:tc>
        <w:tc>
          <w:tcPr>
            <w:tcW w:w="5862" w:type="dxa"/>
            <w:shd w:val="clear" w:color="auto" w:fill="auto"/>
            <w:vAlign w:val="center"/>
          </w:tcPr>
          <w:p>
            <w:pPr>
              <w:widowControl/>
              <w:numPr>
                <w:ilvl w:val="0"/>
                <w:numId w:val="11"/>
              </w:numPr>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数字病理切片扫描主机：</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1.1一体化、箱式数字病理切片扫描主机，集成化整机，无物镜、相机等核心原件外露；</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1.2可扫描的切片尺寸：24.5mm～26.25mm；长度: 72.0mm～80.0mm；厚度: 0.8mm～1.5mm；</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1.3  15mm × 15mm区域扫描平均时间 ≤ 40s；</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1.4  单位距离扫描形变误差≤ ±5um；</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1.5  自动照明控制；</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1.6  扫描图像自动拼接；</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1.7  重量≤ 5kg。</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2.数字病理管理系统：</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2.1 支持信息列表展示；</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2.2 支持添加、编辑、删除信息</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2.3 支持扫描图像格式：tiff、jpg、bmp、png、mrxs、kif、nidp</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2.4 容量可扩展，支持海量数字化病理切片图像上传存储功能。</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3. 数字病理切片浏览系统：</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3.1 毫秒级图像加载速度；</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3.2 分析范围按需设置，支持高效全场图分析与自定义热区框选处理相结合；</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3.3 自定义缩放数字化病理切片图像；</w:t>
            </w:r>
          </w:p>
          <w:p>
            <w:pPr>
              <w:widowControl/>
              <w:spacing w:line="240" w:lineRule="auto"/>
              <w:ind w:firstLine="0" w:firstLineChars="0"/>
              <w:rPr>
                <w:rFonts w:ascii="Times New Roman" w:hAnsi="Times New Roman"/>
                <w:color w:val="auto"/>
                <w:kern w:val="0"/>
                <w:szCs w:val="21"/>
                <w:highlight w:val="none"/>
              </w:rPr>
            </w:pPr>
            <w:r>
              <w:rPr>
                <w:rFonts w:ascii="Arial" w:hAnsi="Arial" w:cs="Arial"/>
                <w:color w:val="auto"/>
                <w:highlight w:val="none"/>
                <w:shd w:val="clear" w:color="auto" w:fill="FFFFFF"/>
              </w:rPr>
              <w:t>▲</w:t>
            </w:r>
            <w:r>
              <w:rPr>
                <w:rFonts w:ascii="Times New Roman" w:hAnsi="Times New Roman"/>
                <w:color w:val="auto"/>
                <w:kern w:val="0"/>
                <w:szCs w:val="21"/>
                <w:highlight w:val="none"/>
              </w:rPr>
              <w:t>3.4 支持1：1还原扫描图像倍率，高清晰展示细胞组织特征；</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4. 数字病理分析系统：</w:t>
            </w:r>
          </w:p>
          <w:p>
            <w:pPr>
              <w:widowControl/>
              <w:spacing w:line="240" w:lineRule="auto"/>
              <w:ind w:firstLine="0" w:firstLineChars="0"/>
              <w:rPr>
                <w:rFonts w:ascii="Times New Roman" w:hAnsi="Times New Roman"/>
                <w:color w:val="auto"/>
                <w:kern w:val="0"/>
                <w:szCs w:val="21"/>
                <w:highlight w:val="none"/>
              </w:rPr>
            </w:pPr>
            <w:r>
              <w:rPr>
                <w:rFonts w:ascii="Arial" w:hAnsi="Arial" w:cs="Arial"/>
                <w:color w:val="auto"/>
                <w:highlight w:val="none"/>
                <w:shd w:val="clear" w:color="auto" w:fill="FFFFFF"/>
              </w:rPr>
              <w:t>▲</w:t>
            </w:r>
            <w:r>
              <w:rPr>
                <w:rFonts w:ascii="Times New Roman" w:hAnsi="Times New Roman"/>
                <w:color w:val="auto"/>
                <w:kern w:val="0"/>
                <w:szCs w:val="21"/>
                <w:highlight w:val="none"/>
              </w:rPr>
              <w:t>4.1含细胞检测、细胞分割、免疫组化的自动化分析相关模块；</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4.2精准的基于D-Avatar引擎的病理全场图WSI细胞检测及分割功能；</w:t>
            </w:r>
          </w:p>
          <w:p>
            <w:pPr>
              <w:widowControl/>
              <w:spacing w:line="240" w:lineRule="auto"/>
              <w:ind w:firstLine="0" w:firstLineChars="0"/>
              <w:rPr>
                <w:rFonts w:ascii="Times New Roman" w:hAnsi="Times New Roman"/>
                <w:color w:val="auto"/>
                <w:kern w:val="0"/>
                <w:szCs w:val="21"/>
                <w:highlight w:val="none"/>
              </w:rPr>
            </w:pPr>
            <w:r>
              <w:rPr>
                <w:rFonts w:ascii="Arial" w:hAnsi="Arial" w:cs="Arial"/>
                <w:color w:val="auto"/>
                <w:highlight w:val="none"/>
                <w:shd w:val="clear" w:color="auto" w:fill="FFFFFF"/>
              </w:rPr>
              <w:t>▲</w:t>
            </w:r>
            <w:r>
              <w:rPr>
                <w:rFonts w:ascii="Times New Roman" w:hAnsi="Times New Roman"/>
                <w:color w:val="auto"/>
                <w:kern w:val="0"/>
                <w:szCs w:val="21"/>
                <w:highlight w:val="none"/>
              </w:rPr>
              <w:t>4.3针对动物病理相关科研项目定向研发的免疫组化核、浆、膜染色定量分析模块；</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4.4支持标尺随机测量组织、细胞大小；</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4.5可按需显示或隐藏或者删除图像上的结果或标记，支持一键选取删除视野结果或标记；</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4.6自定义生成诊断报告，报告可打印。</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5.细胞检测模块：</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5.1图像加载时间≤ 30 ms；</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5.2处理结果：细胞个数计数；</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5.3 识别准确率：≥ 99%。</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6.细胞分割模块：</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6.1图像加载时间≤ 30 ms；</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6.2处理结果：分割细胞轮廓、细胞个数计数；</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6.3识别准确率：≥ 99%。</w:t>
            </w:r>
          </w:p>
          <w:p>
            <w:pPr>
              <w:widowControl/>
              <w:numPr>
                <w:ilvl w:val="0"/>
                <w:numId w:val="12"/>
              </w:numPr>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免疫组化核染：</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7.1 图像加载时间≤ 30 ms；</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7.2处理结果：阳性肿瘤细胞计数、阴性肿瘤细胞计数、KI-67指数计数；</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7.3识别准确率：≥ 98%。</w:t>
            </w:r>
          </w:p>
          <w:p>
            <w:pPr>
              <w:widowControl/>
              <w:numPr>
                <w:ilvl w:val="0"/>
                <w:numId w:val="12"/>
              </w:numPr>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免疫组化膜染：</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8.1图像加载时间≤ 30 ms；</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8.2处理结果：肿瘤区域划分、阳性肿瘤细胞计数、阴性肿瘤细胞计数、PD-L1指数计数；</w:t>
            </w:r>
          </w:p>
          <w:p>
            <w:pPr>
              <w:widowControl/>
              <w:spacing w:line="240" w:lineRule="auto"/>
              <w:ind w:firstLine="0" w:firstLineChars="0"/>
              <w:rPr>
                <w:rFonts w:ascii="Times New Roman" w:hAnsi="Times New Roman"/>
                <w:color w:val="auto"/>
                <w:kern w:val="0"/>
                <w:szCs w:val="21"/>
                <w:highlight w:val="none"/>
              </w:rPr>
            </w:pPr>
            <w:r>
              <w:rPr>
                <w:rFonts w:ascii="Times New Roman" w:hAnsi="Times New Roman"/>
                <w:color w:val="auto"/>
                <w:kern w:val="0"/>
                <w:szCs w:val="21"/>
                <w:highlight w:val="none"/>
              </w:rPr>
              <w:t>8.3识别准确率：≥ 98%。</w:t>
            </w:r>
          </w:p>
          <w:p>
            <w:pPr>
              <w:snapToGrid w:val="0"/>
              <w:spacing w:line="240" w:lineRule="atLeast"/>
              <w:ind w:firstLine="0" w:firstLineChars="0"/>
              <w:rPr>
                <w:rFonts w:ascii="Times New Roman" w:hAnsi="宋体"/>
                <w:color w:val="auto"/>
                <w:szCs w:val="21"/>
                <w:highlight w:val="none"/>
              </w:rPr>
            </w:pPr>
            <w:r>
              <w:rPr>
                <w:color w:val="auto"/>
                <w:highlight w:val="none"/>
              </w:rPr>
              <w:t>9.</w:t>
            </w:r>
            <w:r>
              <w:rPr>
                <w:rFonts w:hint="eastAsia" w:ascii="宋体" w:hAnsi="宋体"/>
                <w:color w:val="auto"/>
                <w:highlight w:val="none"/>
              </w:rPr>
              <w:t xml:space="preserve">工作站1套及打印输出设备1套 </w:t>
            </w:r>
            <w:r>
              <w:rPr>
                <w:rFonts w:ascii="宋体" w:hAnsi="宋体"/>
                <w:color w:val="auto"/>
                <w:highlight w:val="none"/>
              </w:rPr>
              <w:t>(</w:t>
            </w:r>
            <w:r>
              <w:rPr>
                <w:rFonts w:hint="eastAsia" w:ascii="Times New Roman" w:hAnsi="宋体"/>
                <w:color w:val="auto"/>
                <w:szCs w:val="21"/>
                <w:highlight w:val="none"/>
              </w:rPr>
              <w:t>配置要求</w:t>
            </w:r>
            <w:r>
              <w:rPr>
                <w:rFonts w:ascii="Times New Roman" w:hAnsi="宋体"/>
                <w:color w:val="auto"/>
                <w:szCs w:val="21"/>
                <w:highlight w:val="none"/>
              </w:rPr>
              <w:t>戴尔T7920 图形工作站台式机</w:t>
            </w:r>
            <w:r>
              <w:rPr>
                <w:rFonts w:hint="eastAsia" w:ascii="Times New Roman" w:hAnsi="宋体"/>
                <w:color w:val="auto"/>
                <w:szCs w:val="21"/>
                <w:highlight w:val="none"/>
              </w:rPr>
              <w:t>或同级别以上: CPU双至强银牌4110; 光驱DVD-RW光驱；内存：32GB DDR4 ；硬盘：512</w:t>
            </w:r>
            <w:r>
              <w:rPr>
                <w:rFonts w:ascii="Times New Roman" w:hAnsi="宋体"/>
                <w:color w:val="auto"/>
                <w:szCs w:val="21"/>
                <w:highlight w:val="none"/>
              </w:rPr>
              <w:t xml:space="preserve">GB </w:t>
            </w:r>
            <w:r>
              <w:rPr>
                <w:rFonts w:hint="eastAsia" w:ascii="Times New Roman" w:hAnsi="宋体"/>
                <w:color w:val="auto"/>
                <w:szCs w:val="21"/>
                <w:highlight w:val="none"/>
              </w:rPr>
              <w:t>SSD+</w:t>
            </w:r>
            <w:r>
              <w:rPr>
                <w:rFonts w:ascii="Times New Roman" w:hAnsi="宋体"/>
                <w:color w:val="auto"/>
                <w:szCs w:val="21"/>
                <w:highlight w:val="none"/>
              </w:rPr>
              <w:t>2</w:t>
            </w:r>
            <w:r>
              <w:rPr>
                <w:rFonts w:hint="eastAsia" w:ascii="Times New Roman" w:hAnsi="宋体"/>
                <w:color w:val="auto"/>
                <w:szCs w:val="21"/>
                <w:highlight w:val="none"/>
              </w:rPr>
              <w:t>TB；显卡：独立显卡，独立显存4G以上，Nvidia Quadro P2000及以上，27 寸LCD显示器）及打印输出设备一套）</w:t>
            </w:r>
          </w:p>
          <w:p>
            <w:pPr>
              <w:snapToGrid w:val="0"/>
              <w:spacing w:line="240" w:lineRule="atLeast"/>
              <w:ind w:firstLine="0" w:firstLineChars="0"/>
              <w:rPr>
                <w:rFonts w:ascii="宋体" w:hAnsi="宋体"/>
                <w:color w:val="auto"/>
                <w:highlight w:val="none"/>
              </w:rPr>
            </w:pPr>
            <w:r>
              <w:rPr>
                <w:rFonts w:hint="eastAsia" w:ascii="宋体" w:hAnsi="宋体"/>
                <w:color w:val="auto"/>
                <w:highlight w:val="none"/>
              </w:rPr>
              <w:t>1</w:t>
            </w:r>
            <w:r>
              <w:rPr>
                <w:rFonts w:ascii="宋体" w:hAnsi="宋体"/>
                <w:color w:val="auto"/>
                <w:highlight w:val="none"/>
              </w:rPr>
              <w:t xml:space="preserve">0. </w:t>
            </w:r>
            <w:r>
              <w:rPr>
                <w:rFonts w:hint="eastAsia" w:ascii="宋体" w:hAnsi="宋体"/>
                <w:color w:val="auto"/>
                <w:highlight w:val="none"/>
              </w:rPr>
              <w:t>外置硬盘柜（含硬盘容量≥5</w:t>
            </w:r>
            <w:r>
              <w:rPr>
                <w:rFonts w:ascii="宋体" w:hAnsi="宋体"/>
                <w:color w:val="auto"/>
                <w:highlight w:val="none"/>
              </w:rPr>
              <w:t>T</w:t>
            </w:r>
            <w:r>
              <w:rPr>
                <w:rFonts w:hint="eastAsia" w:ascii="宋体" w:hAnsi="宋体"/>
                <w:color w:val="auto"/>
                <w:highlight w:val="none"/>
              </w:rPr>
              <w:t>）</w:t>
            </w:r>
          </w:p>
          <w:p>
            <w:pPr>
              <w:snapToGrid w:val="0"/>
              <w:spacing w:line="240" w:lineRule="atLeast"/>
              <w:ind w:firstLine="0" w:firstLineChars="0"/>
              <w:rPr>
                <w:color w:val="auto"/>
                <w:highlight w:val="none"/>
              </w:rPr>
            </w:pPr>
            <w:r>
              <w:rPr>
                <w:rFonts w:hint="eastAsia" w:ascii="宋体" w:hAnsi="宋体"/>
                <w:color w:val="auto"/>
                <w:highlight w:val="none"/>
              </w:rPr>
              <w:t>1</w:t>
            </w:r>
            <w:r>
              <w:rPr>
                <w:rFonts w:ascii="宋体" w:hAnsi="宋体"/>
                <w:color w:val="auto"/>
                <w:highlight w:val="none"/>
              </w:rPr>
              <w:t xml:space="preserve">1. </w:t>
            </w:r>
            <w:r>
              <w:rPr>
                <w:rFonts w:hint="eastAsia" w:ascii="宋体" w:hAnsi="宋体"/>
                <w:color w:val="auto"/>
                <w:highlight w:val="none"/>
              </w:rPr>
              <w:t>质保期：三年</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shd w:val="clear" w:color="auto" w:fill="auto"/>
            <w:vAlign w:val="center"/>
          </w:tcPr>
          <w:p>
            <w:pPr>
              <w:widowControl/>
              <w:ind w:firstLine="0" w:firstLineChars="0"/>
              <w:jc w:val="center"/>
              <w:rPr>
                <w:color w:val="auto"/>
                <w:szCs w:val="21"/>
                <w:highlight w:val="none"/>
              </w:rPr>
            </w:pPr>
            <w:r>
              <w:rPr>
                <w:rFonts w:ascii="Times New Roman" w:hAnsi="Times New Roman"/>
                <w:color w:val="auto"/>
                <w:kern w:val="0"/>
                <w:szCs w:val="21"/>
                <w:highlight w:val="none"/>
              </w:rPr>
              <w:t>1</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蛋白转印系统</w:t>
            </w:r>
          </w:p>
        </w:tc>
        <w:tc>
          <w:tcPr>
            <w:tcW w:w="5862" w:type="dxa"/>
            <w:vAlign w:val="center"/>
          </w:tcPr>
          <w:p>
            <w:pPr>
              <w:widowControl/>
              <w:numPr>
                <w:ilvl w:val="0"/>
                <w:numId w:val="13"/>
              </w:numPr>
              <w:spacing w:line="240" w:lineRule="auto"/>
              <w:ind w:firstLine="0" w:firstLineChars="0"/>
              <w:rPr>
                <w:rFonts w:ascii="宋体" w:hAnsi="宋体"/>
                <w:color w:val="auto"/>
                <w:kern w:val="0"/>
                <w:szCs w:val="21"/>
                <w:highlight w:val="none"/>
              </w:rPr>
            </w:pPr>
            <w:r>
              <w:rPr>
                <w:rFonts w:ascii="宋体" w:hAnsi="宋体"/>
                <w:color w:val="auto"/>
                <w:kern w:val="0"/>
                <w:szCs w:val="21"/>
                <w:highlight w:val="none"/>
              </w:rPr>
              <w:t>转印通量：4块小胶或2块中型胶；2个转印盘设计，可运行2</w:t>
            </w:r>
            <w:r>
              <w:rPr>
                <w:rFonts w:hint="eastAsia" w:ascii="宋体" w:hAnsi="宋体"/>
                <w:color w:val="auto"/>
                <w:kern w:val="0"/>
                <w:szCs w:val="21"/>
                <w:highlight w:val="none"/>
              </w:rPr>
              <w:t>个。</w:t>
            </w:r>
          </w:p>
          <w:p>
            <w:pPr>
              <w:widowControl/>
              <w:numPr>
                <w:ilvl w:val="0"/>
                <w:numId w:val="13"/>
              </w:numPr>
              <w:spacing w:line="240" w:lineRule="auto"/>
              <w:ind w:firstLine="0" w:firstLineChars="0"/>
              <w:rPr>
                <w:rFonts w:ascii="宋体" w:hAnsi="宋体"/>
                <w:color w:val="auto"/>
                <w:kern w:val="0"/>
                <w:szCs w:val="21"/>
                <w:highlight w:val="none"/>
              </w:rPr>
            </w:pPr>
            <w:r>
              <w:rPr>
                <w:rFonts w:ascii="宋体" w:hAnsi="宋体"/>
                <w:color w:val="auto"/>
                <w:kern w:val="0"/>
                <w:szCs w:val="21"/>
                <w:highlight w:val="none"/>
              </w:rPr>
              <w:t>独立的转印程序</w:t>
            </w:r>
            <w:r>
              <w:rPr>
                <w:rFonts w:hint="eastAsia" w:ascii="宋体" w:hAnsi="宋体"/>
                <w:color w:val="auto"/>
                <w:kern w:val="0"/>
                <w:szCs w:val="21"/>
                <w:highlight w:val="none"/>
              </w:rPr>
              <w:t>；</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转印速度：3分钟内完成2块TGX小胶的转印；7分钟内完成4</w:t>
            </w:r>
            <w:r>
              <w:rPr>
                <w:rFonts w:hint="eastAsia" w:ascii="宋体" w:hAnsi="宋体"/>
                <w:color w:val="auto"/>
                <w:kern w:val="0"/>
                <w:szCs w:val="21"/>
                <w:highlight w:val="none"/>
              </w:rPr>
              <w:t>块</w:t>
            </w:r>
          </w:p>
          <w:p>
            <w:pPr>
              <w:widowControl/>
              <w:spacing w:line="240" w:lineRule="auto"/>
              <w:ind w:firstLine="0" w:firstLineChars="0"/>
              <w:rPr>
                <w:rFonts w:ascii="宋体" w:hAnsi="宋体"/>
                <w:color w:val="auto"/>
                <w:kern w:val="0"/>
                <w:szCs w:val="21"/>
                <w:highlight w:val="none"/>
              </w:rPr>
            </w:pPr>
            <w:r>
              <w:rPr>
                <w:rFonts w:ascii="宋体" w:hAnsi="宋体"/>
                <w:color w:val="auto"/>
                <w:kern w:val="0"/>
                <w:szCs w:val="21"/>
                <w:highlight w:val="none"/>
              </w:rPr>
              <w:t>普通小胶或2块中型胶的转印</w:t>
            </w:r>
            <w:r>
              <w:rPr>
                <w:rFonts w:hint="eastAsia" w:ascii="宋体" w:hAnsi="宋体"/>
                <w:color w:val="auto"/>
                <w:kern w:val="0"/>
                <w:szCs w:val="21"/>
                <w:highlight w:val="none"/>
              </w:rPr>
              <w:t>；</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用户界面：显示屏程序化操作，可实现在无人照看下的程序自动运行监控；有预设程序帮助指导实验设计，并可根据实际需要人为修改</w:t>
            </w:r>
          </w:p>
          <w:p>
            <w:pPr>
              <w:widowControl/>
              <w:spacing w:line="240" w:lineRule="auto"/>
              <w:ind w:firstLine="0" w:firstLineChars="0"/>
              <w:rPr>
                <w:rFonts w:ascii="宋体" w:hAnsi="宋体"/>
                <w:color w:val="auto"/>
                <w:kern w:val="0"/>
                <w:szCs w:val="21"/>
                <w:highlight w:val="none"/>
              </w:rPr>
            </w:pPr>
            <w:r>
              <w:rPr>
                <w:rFonts w:ascii="宋体" w:hAnsi="宋体"/>
                <w:color w:val="auto"/>
                <w:kern w:val="0"/>
                <w:szCs w:val="21"/>
                <w:highlight w:val="none"/>
              </w:rPr>
              <w:t>程序并存储调用</w:t>
            </w:r>
            <w:r>
              <w:rPr>
                <w:rFonts w:hint="eastAsia" w:ascii="宋体" w:hAnsi="宋体"/>
                <w:color w:val="auto"/>
                <w:kern w:val="0"/>
                <w:szCs w:val="21"/>
                <w:highlight w:val="none"/>
              </w:rPr>
              <w:t>；</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5.</w:t>
            </w:r>
            <w:r>
              <w:rPr>
                <w:rFonts w:ascii="宋体" w:hAnsi="宋体"/>
                <w:color w:val="auto"/>
                <w:kern w:val="0"/>
                <w:szCs w:val="21"/>
                <w:highlight w:val="none"/>
              </w:rPr>
              <w:t>应用性：可兼容传统实验试剂和耗材</w:t>
            </w:r>
            <w:r>
              <w:rPr>
                <w:rFonts w:hint="eastAsia" w:ascii="宋体" w:hAnsi="宋体"/>
                <w:color w:val="auto"/>
                <w:kern w:val="0"/>
                <w:szCs w:val="21"/>
                <w:highlight w:val="none"/>
              </w:rPr>
              <w:t>；</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使用便捷：有即用型转印耗材包，无需人工准备缓冲液和膜</w:t>
            </w:r>
            <w:r>
              <w:rPr>
                <w:rFonts w:hint="eastAsia" w:ascii="宋体" w:hAnsi="宋体"/>
                <w:color w:val="auto"/>
                <w:kern w:val="0"/>
                <w:szCs w:val="21"/>
                <w:highlight w:val="none"/>
              </w:rPr>
              <w:t>；</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耗材对环境无害，无需废物处理成本；单次使用耗材，减少不必要的浪费</w:t>
            </w:r>
          </w:p>
          <w:p>
            <w:pPr>
              <w:pStyle w:val="2"/>
              <w:rPr>
                <w:color w:val="auto"/>
                <w:highlight w:val="none"/>
              </w:rPr>
            </w:pPr>
            <w:r>
              <w:rPr>
                <w:bCs/>
                <w:color w:val="auto"/>
                <w:szCs w:val="21"/>
                <w:highlight w:val="none"/>
              </w:rPr>
              <w:t>8.售后服务要求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旋转蒸发仪</w:t>
            </w:r>
          </w:p>
        </w:tc>
        <w:tc>
          <w:tcPr>
            <w:tcW w:w="5862" w:type="dxa"/>
            <w:vAlign w:val="center"/>
          </w:tcPr>
          <w:p>
            <w:pPr>
              <w:widowControl/>
              <w:numPr>
                <w:ilvl w:val="0"/>
                <w:numId w:val="14"/>
              </w:numPr>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加热锅设有可调安全回路，可根据需要进行独立操作，并可根据需要提供安全防护罩</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2.</w:t>
            </w:r>
            <w:r>
              <w:rPr>
                <w:rFonts w:ascii="宋体" w:hAnsi="宋体" w:cs="宋体"/>
                <w:color w:val="auto"/>
                <w:kern w:val="0"/>
                <w:szCs w:val="21"/>
                <w:highlight w:val="none"/>
              </w:rPr>
              <w:t>设计符合人体工程学，操作方便、安全</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3.</w:t>
            </w:r>
            <w:r>
              <w:rPr>
                <w:rFonts w:ascii="宋体" w:hAnsi="宋体" w:cs="宋体"/>
                <w:color w:val="auto"/>
                <w:kern w:val="0"/>
                <w:szCs w:val="21"/>
                <w:highlight w:val="none"/>
              </w:rPr>
              <w:t>马达升降， 具有安全停止功能，电源中断时，马达将蒸发瓶自动提升至加热锅以上位置</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4.</w:t>
            </w:r>
            <w:r>
              <w:rPr>
                <w:rFonts w:ascii="宋体" w:hAnsi="宋体" w:cs="宋体"/>
                <w:color w:val="auto"/>
                <w:kern w:val="0"/>
                <w:szCs w:val="21"/>
                <w:highlight w:val="none"/>
              </w:rPr>
              <w:t>可调升降终点识别功能，有效防止玻璃组件碰碎</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5.</w:t>
            </w:r>
            <w:r>
              <w:rPr>
                <w:rFonts w:ascii="宋体" w:hAnsi="宋体" w:cs="宋体"/>
                <w:color w:val="auto"/>
                <w:kern w:val="0"/>
                <w:szCs w:val="21"/>
                <w:highlight w:val="none"/>
              </w:rPr>
              <w:t>马达转速数字显示</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ascii="Arial" w:hAnsi="Arial" w:cs="Arial"/>
                <w:color w:val="auto"/>
                <w:highlight w:val="none"/>
                <w:shd w:val="clear" w:color="auto" w:fill="FFFFFF"/>
              </w:rPr>
              <w:t>▲</w:t>
            </w:r>
            <w:r>
              <w:rPr>
                <w:rFonts w:hint="eastAsia" w:ascii="宋体" w:hAnsi="宋体" w:cs="宋体"/>
                <w:color w:val="auto"/>
                <w:kern w:val="0"/>
                <w:szCs w:val="21"/>
                <w:highlight w:val="none"/>
              </w:rPr>
              <w:t>6.</w:t>
            </w:r>
            <w:r>
              <w:rPr>
                <w:rFonts w:ascii="宋体" w:hAnsi="宋体" w:cs="宋体"/>
                <w:color w:val="auto"/>
                <w:kern w:val="0"/>
                <w:szCs w:val="21"/>
                <w:highlight w:val="none"/>
              </w:rPr>
              <w:t>间歇性的左右旋转用于粉末状样品的干燥处理</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7.</w:t>
            </w:r>
            <w:r>
              <w:rPr>
                <w:rFonts w:ascii="宋体" w:hAnsi="宋体" w:cs="宋体"/>
                <w:color w:val="auto"/>
                <w:kern w:val="0"/>
                <w:szCs w:val="21"/>
                <w:highlight w:val="none"/>
              </w:rPr>
              <w:t>电子定时功能用于定时自动操作</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8.</w:t>
            </w:r>
            <w:r>
              <w:rPr>
                <w:rFonts w:ascii="宋体" w:hAnsi="宋体" w:cs="宋体"/>
                <w:color w:val="auto"/>
                <w:kern w:val="0"/>
                <w:szCs w:val="21"/>
                <w:highlight w:val="none"/>
              </w:rPr>
              <w:t>转速范围：20</w:t>
            </w: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8</w:t>
            </w:r>
            <w:r>
              <w:rPr>
                <w:rFonts w:ascii="宋体" w:hAnsi="宋体" w:cs="宋体"/>
                <w:color w:val="auto"/>
                <w:kern w:val="0"/>
                <w:szCs w:val="21"/>
                <w:highlight w:val="none"/>
              </w:rPr>
              <w:t>0 rpm</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9浴槽最大容量：≥3 L；</w:t>
            </w:r>
          </w:p>
          <w:p>
            <w:pPr>
              <w:widowControl/>
              <w:numPr>
                <w:ilvl w:val="0"/>
                <w:numId w:val="15"/>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冷凝面积：≥</w:t>
            </w:r>
            <w:r>
              <w:rPr>
                <w:rFonts w:ascii="宋体" w:hAnsi="宋体" w:cs="宋体"/>
                <w:color w:val="auto"/>
                <w:kern w:val="0"/>
                <w:szCs w:val="21"/>
                <w:highlight w:val="none"/>
              </w:rPr>
              <w:t>1</w:t>
            </w:r>
            <w:r>
              <w:rPr>
                <w:rFonts w:hint="eastAsia" w:ascii="宋体" w:hAnsi="宋体" w:cs="宋体"/>
                <w:color w:val="auto"/>
                <w:kern w:val="0"/>
                <w:szCs w:val="21"/>
                <w:highlight w:val="none"/>
              </w:rPr>
              <w:t>5</w:t>
            </w:r>
            <w:r>
              <w:rPr>
                <w:rFonts w:ascii="宋体" w:hAnsi="宋体" w:cs="宋体"/>
                <w:color w:val="auto"/>
                <w:kern w:val="0"/>
                <w:szCs w:val="21"/>
                <w:highlight w:val="none"/>
              </w:rPr>
              <w:t>00 cm²</w:t>
            </w:r>
            <w:r>
              <w:rPr>
                <w:rFonts w:hint="eastAsia" w:ascii="宋体" w:hAnsi="宋体" w:cs="宋体"/>
                <w:color w:val="auto"/>
                <w:kern w:val="0"/>
                <w:szCs w:val="21"/>
                <w:highlight w:val="none"/>
              </w:rPr>
              <w:t>；</w:t>
            </w:r>
          </w:p>
          <w:p>
            <w:pPr>
              <w:widowControl/>
              <w:numPr>
                <w:ilvl w:val="0"/>
                <w:numId w:val="15"/>
              </w:numPr>
              <w:spacing w:line="240" w:lineRule="auto"/>
              <w:ind w:firstLine="0" w:firstLineChars="0"/>
              <w:rPr>
                <w:rFonts w:ascii="宋体" w:hAnsi="宋体"/>
                <w:color w:val="auto"/>
                <w:kern w:val="0"/>
                <w:szCs w:val="21"/>
                <w:highlight w:val="none"/>
              </w:rPr>
            </w:pPr>
            <w:r>
              <w:rPr>
                <w:rFonts w:hint="eastAsia" w:ascii="宋体" w:hAnsi="宋体" w:cs="宋体"/>
                <w:color w:val="auto"/>
                <w:kern w:val="0"/>
                <w:szCs w:val="21"/>
                <w:highlight w:val="none"/>
              </w:rPr>
              <w:t>温度控制：RT～180℃；</w:t>
            </w:r>
          </w:p>
          <w:p>
            <w:pPr>
              <w:widowControl/>
              <w:numPr>
                <w:ilvl w:val="0"/>
                <w:numId w:val="15"/>
              </w:numPr>
              <w:spacing w:line="240" w:lineRule="auto"/>
              <w:ind w:firstLine="0" w:firstLineChars="0"/>
              <w:rPr>
                <w:color w:val="auto"/>
                <w:szCs w:val="21"/>
                <w:highlight w:val="none"/>
              </w:rPr>
            </w:pPr>
            <w:r>
              <w:rPr>
                <w:rFonts w:hint="eastAsia" w:ascii="宋体" w:hAnsi="宋体" w:cs="宋体"/>
                <w:color w:val="auto"/>
                <w:kern w:val="0"/>
                <w:szCs w:val="21"/>
                <w:highlight w:val="none"/>
              </w:rPr>
              <w:t xml:space="preserve"> 配置要求：数显型旋转蒸发仪主机1台，玻璃组件1套：包含冷凝管、接收瓶、蒸发瓶，数显加热锅1台</w:t>
            </w:r>
          </w:p>
          <w:p>
            <w:pPr>
              <w:widowControl/>
              <w:tabs>
                <w:tab w:val="left" w:pos="312"/>
              </w:tabs>
              <w:spacing w:line="240" w:lineRule="auto"/>
              <w:ind w:firstLine="0" w:firstLineChars="0"/>
              <w:rPr>
                <w:color w:val="auto"/>
                <w:szCs w:val="21"/>
                <w:highlight w:val="none"/>
              </w:rPr>
            </w:pPr>
            <w:r>
              <w:rPr>
                <w:rFonts w:hint="eastAsia"/>
                <w:color w:val="auto"/>
                <w:szCs w:val="21"/>
                <w:highlight w:val="none"/>
              </w:rPr>
              <w:t>真空泵1台，循环冷却器1台。</w:t>
            </w:r>
          </w:p>
          <w:p>
            <w:pPr>
              <w:pStyle w:val="2"/>
              <w:rPr>
                <w:color w:val="auto"/>
                <w:highlight w:val="none"/>
              </w:rPr>
            </w:pPr>
            <w:r>
              <w:rPr>
                <w:rFonts w:hint="eastAsia"/>
                <w:bCs/>
                <w:color w:val="auto"/>
                <w:szCs w:val="21"/>
                <w:highlight w:val="none"/>
              </w:rPr>
              <w:t>1</w:t>
            </w:r>
            <w:r>
              <w:rPr>
                <w:bCs/>
                <w:color w:val="auto"/>
                <w:szCs w:val="21"/>
                <w:highlight w:val="none"/>
              </w:rPr>
              <w:t>3.售后服务要求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3年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恒温振荡器</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1.采用微电脑控制轻触薄膜开关设定速度、温度、时间，LED显示，操作简单快捷；</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2.振荡速度：20-300rpm；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3.速度控制：无级调速；</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4.温度控制：5～50℃；</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5.定时控制：0～99.99h；</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6.振荡模式：水平圆周回转；</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7.制冷机：进口压缩机；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8.配件：不锈钢弹簧网架（标配）</w:t>
            </w:r>
          </w:p>
          <w:p>
            <w:pPr>
              <w:pStyle w:val="2"/>
              <w:rPr>
                <w:color w:val="auto"/>
                <w:highlight w:val="none"/>
              </w:rPr>
            </w:pPr>
            <w:r>
              <w:rPr>
                <w:bCs/>
                <w:color w:val="auto"/>
                <w:szCs w:val="21"/>
                <w:highlight w:val="none"/>
              </w:rPr>
              <w:t>9.售后服务要求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垂直旋转混合器</w:t>
            </w:r>
          </w:p>
        </w:tc>
        <w:tc>
          <w:tcPr>
            <w:tcW w:w="5862" w:type="dxa"/>
            <w:vAlign w:val="center"/>
          </w:tcPr>
          <w:p>
            <w:pPr>
              <w:widowControl/>
              <w:numPr>
                <w:ilvl w:val="0"/>
                <w:numId w:val="16"/>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数显型转盘混匀器，可实现平稳但有效的混合；</w:t>
            </w:r>
          </w:p>
          <w:p>
            <w:pPr>
              <w:widowControl/>
              <w:numPr>
                <w:ilvl w:val="0"/>
                <w:numId w:val="16"/>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运行方式：旋转；</w:t>
            </w:r>
          </w:p>
          <w:p>
            <w:pPr>
              <w:widowControl/>
              <w:numPr>
                <w:ilvl w:val="0"/>
                <w:numId w:val="16"/>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转速范围：0～80rpm；</w:t>
            </w:r>
          </w:p>
          <w:p>
            <w:pPr>
              <w:widowControl/>
              <w:numPr>
                <w:ilvl w:val="0"/>
                <w:numId w:val="16"/>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定时范围：1s～5999min；</w:t>
            </w:r>
          </w:p>
          <w:p>
            <w:pPr>
              <w:widowControl/>
              <w:numPr>
                <w:ilvl w:val="0"/>
                <w:numId w:val="16"/>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易于拆卸的附件允许简单快速地清洁溢出样品；</w:t>
            </w:r>
          </w:p>
          <w:p>
            <w:pPr>
              <w:widowControl/>
              <w:numPr>
                <w:ilvl w:val="0"/>
                <w:numId w:val="16"/>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多种夹具可选。</w:t>
            </w:r>
          </w:p>
          <w:p>
            <w:pPr>
              <w:pStyle w:val="2"/>
              <w:rPr>
                <w:color w:val="auto"/>
                <w:highlight w:val="none"/>
              </w:rPr>
            </w:pPr>
            <w:r>
              <w:rPr>
                <w:bCs/>
                <w:color w:val="auto"/>
                <w:szCs w:val="21"/>
                <w:highlight w:val="none"/>
              </w:rPr>
              <w:t>7.售后服务要求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万分之一天平</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1.坚固的金属机架；</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2.</w:t>
            </w:r>
            <w:r>
              <w:rPr>
                <w:rFonts w:ascii="宋体" w:hAnsi="宋体" w:cs="宋体"/>
                <w:color w:val="auto"/>
                <w:kern w:val="0"/>
                <w:szCs w:val="21"/>
                <w:highlight w:val="none"/>
              </w:rPr>
              <w:t>加固的机身实现过载保护</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3.</w:t>
            </w:r>
            <w:r>
              <w:rPr>
                <w:rFonts w:ascii="宋体" w:hAnsi="宋体" w:cs="宋体"/>
                <w:color w:val="auto"/>
                <w:kern w:val="0"/>
                <w:szCs w:val="21"/>
                <w:highlight w:val="none"/>
              </w:rPr>
              <w:t xml:space="preserve"> 自动内部校准技术</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4.</w:t>
            </w:r>
            <w:r>
              <w:rPr>
                <w:rFonts w:ascii="宋体" w:hAnsi="宋体" w:cs="宋体"/>
                <w:color w:val="auto"/>
                <w:kern w:val="0"/>
                <w:szCs w:val="21"/>
                <w:highlight w:val="none"/>
              </w:rPr>
              <w:t xml:space="preserve"> 多种内置应用程序</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5.</w:t>
            </w:r>
            <w:r>
              <w:rPr>
                <w:rFonts w:ascii="宋体" w:hAnsi="宋体" w:cs="宋体"/>
                <w:color w:val="auto"/>
                <w:kern w:val="0"/>
                <w:szCs w:val="21"/>
                <w:highlight w:val="none"/>
              </w:rPr>
              <w:t xml:space="preserve"> 醒目的背光显示屏能够显示超大数字，让您在所有工作环境中都能轻松读取</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6.</w:t>
            </w:r>
            <w:r>
              <w:rPr>
                <w:rFonts w:ascii="宋体" w:hAnsi="宋体" w:cs="宋体"/>
                <w:color w:val="auto"/>
                <w:kern w:val="0"/>
                <w:szCs w:val="21"/>
                <w:highlight w:val="none"/>
              </w:rPr>
              <w:t>内置的时间与日期标识，确保称量、校准和校正的数据符合ISO/GLP文档的记录要求</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最大称量值：</w:t>
            </w:r>
            <w:r>
              <w:rPr>
                <w:rFonts w:hint="eastAsia" w:ascii="宋体" w:hAnsi="宋体" w:cs="宋体"/>
                <w:color w:val="auto"/>
                <w:kern w:val="0"/>
                <w:szCs w:val="21"/>
                <w:highlight w:val="none"/>
              </w:rPr>
              <w:t>220g；</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8.可读性：0.1mg；</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9.线性误差：0.2mg；</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10.稳定时间：2s；</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11.</w:t>
            </w:r>
            <w:r>
              <w:rPr>
                <w:rFonts w:ascii="宋体" w:hAnsi="宋体" w:cs="宋体"/>
                <w:color w:val="auto"/>
                <w:kern w:val="0"/>
                <w:szCs w:val="21"/>
                <w:highlight w:val="none"/>
              </w:rPr>
              <w:t>应用程序</w:t>
            </w:r>
            <w:r>
              <w:rPr>
                <w:rFonts w:hint="eastAsia" w:ascii="宋体" w:hAnsi="宋体" w:cs="宋体"/>
                <w:color w:val="auto"/>
                <w:kern w:val="0"/>
                <w:szCs w:val="21"/>
                <w:highlight w:val="none"/>
              </w:rPr>
              <w:t>：</w:t>
            </w:r>
            <w:r>
              <w:rPr>
                <w:rFonts w:ascii="宋体" w:hAnsi="宋体" w:cs="宋体"/>
                <w:color w:val="auto"/>
                <w:kern w:val="0"/>
                <w:szCs w:val="21"/>
                <w:highlight w:val="none"/>
              </w:rPr>
              <w:t>配方称量、求和称量、动态称量、计件称量、密度测定、百分比称量、检重称量、统计称量、自由因子称量</w:t>
            </w:r>
          </w:p>
          <w:p>
            <w:pPr>
              <w:pStyle w:val="2"/>
              <w:rPr>
                <w:color w:val="auto"/>
                <w:highlight w:val="none"/>
              </w:rPr>
            </w:pPr>
            <w:r>
              <w:rPr>
                <w:rFonts w:hint="eastAsia"/>
                <w:bCs/>
                <w:color w:val="auto"/>
                <w:szCs w:val="21"/>
                <w:highlight w:val="none"/>
              </w:rPr>
              <w:t>1</w:t>
            </w:r>
            <w:r>
              <w:rPr>
                <w:bCs/>
                <w:color w:val="auto"/>
                <w:szCs w:val="21"/>
                <w:highlight w:val="none"/>
              </w:rPr>
              <w:t>2.售后服务要求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rPr>
                <w:color w:val="auto"/>
                <w:szCs w:val="21"/>
                <w:highlight w:val="none"/>
              </w:rPr>
            </w:pPr>
            <w:r>
              <w:rPr>
                <w:rFonts w:hint="eastAsia" w:ascii="宋体" w:hAnsi="宋体" w:cs="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旋转混合器</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1.独有的可调旋转架组合；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2.多种旋转方式，从温和旋转到翻跟头式旋转；</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3.可提供3种离心夹具；</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4.旋转时，用手轻按旋转夹具，可实现正反旋转；</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5.转速：10～40r/min；</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6.定时范围：1s～999min</w:t>
            </w:r>
          </w:p>
          <w:p>
            <w:pPr>
              <w:pStyle w:val="2"/>
              <w:rPr>
                <w:color w:val="auto"/>
                <w:highlight w:val="none"/>
              </w:rPr>
            </w:pPr>
            <w:r>
              <w:rPr>
                <w:bCs/>
                <w:color w:val="auto"/>
                <w:szCs w:val="21"/>
                <w:highlight w:val="none"/>
              </w:rPr>
              <w:t>7.售后服务要求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3</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实验室冷藏柜</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1.容量≥395L；</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2.标配6个隔架，隔架间距可调；</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3.数字温度控制显示；</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4.风冷，无霜；</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5.温度范围+2℃至+8℃可调；</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6.具有高温、低温、传感器故警、开门、断电报警等多种功能；</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7.配备门锁，防止随意开启，存储物品安全</w:t>
            </w:r>
          </w:p>
          <w:p>
            <w:pPr>
              <w:pStyle w:val="2"/>
              <w:rPr>
                <w:color w:val="auto"/>
                <w:highlight w:val="none"/>
              </w:rPr>
            </w:pPr>
            <w:r>
              <w:rPr>
                <w:rFonts w:hint="eastAsia"/>
                <w:color w:val="auto"/>
                <w:highlight w:val="none"/>
              </w:rPr>
              <w:t>8</w:t>
            </w:r>
            <w:r>
              <w:rPr>
                <w:color w:val="auto"/>
                <w:highlight w:val="none"/>
              </w:rPr>
              <w:t>.</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3</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自动液液萃取装置</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w:t>
            </w:r>
            <w:r>
              <w:rPr>
                <w:rFonts w:ascii="宋体" w:hAnsi="宋体" w:cs="宋体"/>
                <w:color w:val="auto"/>
                <w:kern w:val="0"/>
                <w:szCs w:val="21"/>
                <w:highlight w:val="none"/>
              </w:rPr>
              <w:t>采用标准分液漏斗，通用性、互换性强，装卸方便</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w:t>
            </w:r>
            <w:r>
              <w:rPr>
                <w:rFonts w:ascii="宋体" w:hAnsi="宋体" w:cs="宋体"/>
                <w:color w:val="auto"/>
                <w:kern w:val="0"/>
                <w:szCs w:val="21"/>
                <w:highlight w:val="none"/>
              </w:rPr>
              <w:t>三种时间设置方式，方便不同用户使用</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w:t>
            </w:r>
            <w:r>
              <w:rPr>
                <w:rFonts w:ascii="宋体" w:hAnsi="宋体" w:cs="宋体"/>
                <w:color w:val="auto"/>
                <w:kern w:val="0"/>
                <w:szCs w:val="21"/>
                <w:highlight w:val="none"/>
              </w:rPr>
              <w:t>操作简单方便，有时间设定记忆功能，减少重复设置的麻烦</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ascii="宋体" w:hAnsi="宋体" w:cs="宋体"/>
                <w:color w:val="auto"/>
                <w:kern w:val="0"/>
                <w:szCs w:val="21"/>
                <w:highlight w:val="none"/>
              </w:rPr>
              <w:t>振荡方式：双侧垂直或倾斜上下往返振荡（0</w:t>
            </w:r>
            <w:r>
              <w:rPr>
                <w:rFonts w:hint="eastAsia" w:ascii="宋体" w:hAnsi="宋体" w:cs="宋体"/>
                <w:color w:val="auto"/>
                <w:kern w:val="0"/>
                <w:szCs w:val="21"/>
                <w:highlight w:val="none"/>
              </w:rPr>
              <w:t>～</w:t>
            </w:r>
            <w:r>
              <w:rPr>
                <w:rFonts w:ascii="宋体" w:hAnsi="宋体" w:cs="宋体"/>
                <w:color w:val="auto"/>
                <w:kern w:val="0"/>
                <w:szCs w:val="21"/>
                <w:highlight w:val="none"/>
              </w:rPr>
              <w:t>15°可调）</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振荡速度：0</w:t>
            </w:r>
            <w:r>
              <w:rPr>
                <w:rFonts w:hint="eastAsia" w:ascii="宋体" w:hAnsi="宋体" w:cs="宋体"/>
                <w:color w:val="auto"/>
                <w:kern w:val="0"/>
                <w:szCs w:val="21"/>
                <w:highlight w:val="none"/>
              </w:rPr>
              <w:t>～</w:t>
            </w:r>
            <w:r>
              <w:rPr>
                <w:rFonts w:ascii="宋体" w:hAnsi="宋体" w:cs="宋体"/>
                <w:color w:val="auto"/>
                <w:kern w:val="0"/>
                <w:szCs w:val="21"/>
                <w:highlight w:val="none"/>
              </w:rPr>
              <w:t>300/min</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w:t>
            </w:r>
            <w:r>
              <w:rPr>
                <w:rFonts w:ascii="宋体" w:hAnsi="宋体" w:cs="宋体"/>
                <w:color w:val="auto"/>
                <w:kern w:val="0"/>
                <w:szCs w:val="21"/>
                <w:highlight w:val="none"/>
              </w:rPr>
              <w:t>萃取数量：2</w:t>
            </w:r>
            <w:r>
              <w:rPr>
                <w:rFonts w:hint="eastAsia" w:ascii="宋体" w:hAnsi="宋体" w:cs="宋体"/>
                <w:color w:val="auto"/>
                <w:kern w:val="0"/>
                <w:szCs w:val="21"/>
                <w:highlight w:val="none"/>
              </w:rPr>
              <w:t>～</w:t>
            </w:r>
            <w:r>
              <w:rPr>
                <w:rFonts w:ascii="宋体" w:hAnsi="宋体" w:cs="宋体"/>
                <w:color w:val="auto"/>
                <w:kern w:val="0"/>
                <w:szCs w:val="21"/>
                <w:highlight w:val="none"/>
              </w:rPr>
              <w:t>10个</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7.</w:t>
            </w:r>
            <w:r>
              <w:rPr>
                <w:rFonts w:ascii="宋体" w:hAnsi="宋体" w:cs="宋体"/>
                <w:color w:val="auto"/>
                <w:kern w:val="0"/>
                <w:szCs w:val="21"/>
                <w:highlight w:val="none"/>
              </w:rPr>
              <w:t>萃取效率：95</w:t>
            </w:r>
            <w:r>
              <w:rPr>
                <w:rFonts w:hint="eastAsia" w:ascii="宋体" w:hAnsi="宋体" w:cs="宋体"/>
                <w:color w:val="auto"/>
                <w:kern w:val="0"/>
                <w:szCs w:val="21"/>
                <w:highlight w:val="none"/>
              </w:rPr>
              <w:t>～</w:t>
            </w:r>
            <w:r>
              <w:rPr>
                <w:rFonts w:ascii="宋体" w:hAnsi="宋体" w:cs="宋体"/>
                <w:color w:val="auto"/>
                <w:kern w:val="0"/>
                <w:szCs w:val="21"/>
                <w:highlight w:val="none"/>
              </w:rPr>
              <w:t>110%</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8.</w:t>
            </w:r>
            <w:r>
              <w:rPr>
                <w:rFonts w:ascii="宋体" w:hAnsi="宋体" w:cs="宋体"/>
                <w:color w:val="auto"/>
                <w:kern w:val="0"/>
                <w:szCs w:val="21"/>
                <w:highlight w:val="none"/>
              </w:rPr>
              <w:t>分液漏斗规格：50</w:t>
            </w:r>
            <w:r>
              <w:rPr>
                <w:rFonts w:hint="eastAsia" w:ascii="宋体" w:hAnsi="宋体" w:cs="宋体"/>
                <w:color w:val="auto"/>
                <w:kern w:val="0"/>
                <w:szCs w:val="21"/>
                <w:highlight w:val="none"/>
              </w:rPr>
              <w:t>～</w:t>
            </w:r>
            <w:r>
              <w:rPr>
                <w:rFonts w:ascii="宋体" w:hAnsi="宋体" w:cs="宋体"/>
                <w:color w:val="auto"/>
                <w:kern w:val="0"/>
                <w:szCs w:val="21"/>
                <w:highlight w:val="none"/>
              </w:rPr>
              <w:t>2000ml</w:t>
            </w:r>
          </w:p>
          <w:p>
            <w:pPr>
              <w:pStyle w:val="2"/>
              <w:rPr>
                <w:color w:val="auto"/>
                <w:highlight w:val="none"/>
              </w:rPr>
            </w:pPr>
            <w:r>
              <w:rPr>
                <w:bCs/>
                <w:color w:val="auto"/>
                <w:szCs w:val="21"/>
                <w:highlight w:val="none"/>
              </w:rPr>
              <w:t>9.售后服务要求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多功能摇床</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防滑垫—避免容器滑动</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2.运行方式</w:t>
            </w:r>
            <w:r>
              <w:rPr>
                <w:rFonts w:ascii="宋体" w:hAnsi="宋体" w:cs="宋体"/>
                <w:color w:val="auto"/>
                <w:kern w:val="0"/>
                <w:szCs w:val="21"/>
                <w:highlight w:val="none"/>
              </w:rPr>
              <w:t>：</w:t>
            </w:r>
            <w:r>
              <w:rPr>
                <w:rFonts w:hint="eastAsia" w:ascii="宋体" w:hAnsi="宋体" w:cs="宋体"/>
                <w:color w:val="auto"/>
                <w:kern w:val="0"/>
                <w:szCs w:val="21"/>
                <w:highlight w:val="none"/>
              </w:rPr>
              <w:t>翻滚；</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3.速率范围:0～80 rpm；</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4.三维往复旋转模式转角: 0～15°；</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5.定时范围：1s～99h59min；</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6.振荡板可堆叠</w:t>
            </w:r>
          </w:p>
          <w:p>
            <w:pPr>
              <w:pStyle w:val="2"/>
              <w:rPr>
                <w:color w:val="auto"/>
                <w:highlight w:val="none"/>
              </w:rPr>
            </w:pPr>
            <w:r>
              <w:rPr>
                <w:rFonts w:hint="eastAsia"/>
                <w:color w:val="auto"/>
                <w:highlight w:val="none"/>
              </w:rPr>
              <w:t>7</w:t>
            </w:r>
            <w:r>
              <w:rPr>
                <w:color w:val="auto"/>
                <w:highlight w:val="none"/>
              </w:rPr>
              <w:t>.</w:t>
            </w:r>
            <w:r>
              <w:rPr>
                <w:rFonts w:hint="eastAsia"/>
                <w:bCs/>
                <w:color w:val="auto"/>
                <w:szCs w:val="21"/>
                <w:highlight w:val="none"/>
              </w:rPr>
              <w:t xml:space="preserve"> </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p>
        </w:tc>
        <w:tc>
          <w:tcPr>
            <w:tcW w:w="540" w:type="dxa"/>
            <w:vAlign w:val="center"/>
          </w:tcPr>
          <w:p>
            <w:pPr>
              <w:widowControl/>
              <w:ind w:firstLine="0" w:firstLineChars="0"/>
              <w:rPr>
                <w:color w:val="auto"/>
                <w:szCs w:val="21"/>
                <w:highlight w:val="none"/>
              </w:rPr>
            </w:pPr>
            <w:r>
              <w:rPr>
                <w:rFonts w:hint="eastAsia" w:ascii="宋体" w:hAnsi="宋体" w:cs="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试管旋转混合器</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1.运行方式</w:t>
            </w:r>
            <w:r>
              <w:rPr>
                <w:rFonts w:ascii="宋体" w:hAnsi="宋体" w:cs="宋体"/>
                <w:color w:val="auto"/>
                <w:kern w:val="0"/>
                <w:szCs w:val="21"/>
                <w:highlight w:val="none"/>
              </w:rPr>
              <w:t>：</w:t>
            </w:r>
            <w:r>
              <w:rPr>
                <w:rFonts w:hint="eastAsia" w:ascii="宋体" w:hAnsi="宋体" w:cs="宋体"/>
                <w:color w:val="auto"/>
                <w:kern w:val="0"/>
                <w:szCs w:val="21"/>
                <w:highlight w:val="none"/>
              </w:rPr>
              <w:t>顶置式；</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2.翻转方式：水平翻转；</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3.速率范围:5～80 rpm；</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4.定时范围：1s～99h59min；</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5.多种夹具可选</w:t>
            </w:r>
          </w:p>
          <w:p>
            <w:pPr>
              <w:pStyle w:val="2"/>
              <w:rPr>
                <w:color w:val="auto"/>
                <w:highlight w:val="none"/>
              </w:rPr>
            </w:pPr>
            <w:r>
              <w:rPr>
                <w:bCs/>
                <w:color w:val="auto"/>
                <w:szCs w:val="21"/>
                <w:highlight w:val="none"/>
              </w:rPr>
              <w:t>6. 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rPr>
                <w:color w:val="auto"/>
                <w:szCs w:val="21"/>
                <w:highlight w:val="none"/>
              </w:rPr>
            </w:pPr>
            <w:r>
              <w:rPr>
                <w:rFonts w:hint="eastAsia" w:ascii="宋体" w:hAnsi="宋体" w:cs="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凯氏定氮仪</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1. 测定范围： 0.1mg～240mg氮</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2. 样品质量：固体0.3～1g；液体2～5ml；</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3. 测试精度：相对差1%；</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4. 重复性：平行差≤0.2%；</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5. 回收率：≥99.5%；</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6. 速 度：蒸馏25 ml/min；</w:t>
            </w:r>
          </w:p>
          <w:p>
            <w:pPr>
              <w:widowControl/>
              <w:spacing w:line="240" w:lineRule="auto"/>
              <w:ind w:firstLine="0" w:firstLineChars="0"/>
              <w:rPr>
                <w:rFonts w:ascii="宋体" w:hAnsi="宋体" w:cs="宋体"/>
                <w:color w:val="auto"/>
                <w:kern w:val="0"/>
                <w:szCs w:val="21"/>
                <w:highlight w:val="none"/>
              </w:rPr>
            </w:pPr>
            <w:r>
              <w:rPr>
                <w:rFonts w:ascii="宋体" w:hAnsi="宋体" w:cs="宋体"/>
                <w:color w:val="auto"/>
                <w:kern w:val="0"/>
                <w:szCs w:val="21"/>
                <w:highlight w:val="none"/>
              </w:rPr>
              <w:t>7. 防溅管采用高性能耐强酸碱塑料模具一次成型</w:t>
            </w:r>
          </w:p>
          <w:p>
            <w:pPr>
              <w:pStyle w:val="2"/>
              <w:rPr>
                <w:color w:val="auto"/>
                <w:highlight w:val="none"/>
              </w:rPr>
            </w:pPr>
            <w:r>
              <w:rPr>
                <w:rFonts w:hint="eastAsia"/>
                <w:color w:val="auto"/>
                <w:highlight w:val="none"/>
              </w:rPr>
              <w:t>8</w:t>
            </w:r>
            <w:r>
              <w:rPr>
                <w:color w:val="auto"/>
                <w:highlight w:val="none"/>
              </w:rPr>
              <w:t>.</w:t>
            </w:r>
            <w:r>
              <w:rPr>
                <w:rFonts w:hint="eastAsia"/>
                <w:bCs/>
                <w:color w:val="auto"/>
                <w:szCs w:val="21"/>
                <w:highlight w:val="none"/>
              </w:rPr>
              <w:t xml:space="preserve"> </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pStyle w:val="4"/>
              <w:widowControl/>
              <w:spacing w:after="300" w:line="315" w:lineRule="atLeast"/>
              <w:rPr>
                <w:color w:val="auto"/>
                <w:sz w:val="24"/>
                <w:szCs w:val="24"/>
                <w:highlight w:val="none"/>
              </w:rPr>
            </w:pPr>
            <w:bookmarkStart w:id="58" w:name="_Toc6168"/>
            <w:r>
              <w:rPr>
                <w:b w:val="0"/>
                <w:color w:val="auto"/>
                <w:kern w:val="0"/>
                <w:sz w:val="24"/>
                <w:szCs w:val="24"/>
                <w:highlight w:val="none"/>
              </w:rPr>
              <w:t>恒温水浴</w:t>
            </w:r>
            <w:bookmarkEnd w:id="58"/>
          </w:p>
        </w:tc>
        <w:tc>
          <w:tcPr>
            <w:tcW w:w="5862" w:type="dxa"/>
            <w:vAlign w:val="center"/>
          </w:tcPr>
          <w:p>
            <w:pPr>
              <w:widowControl/>
              <w:numPr>
                <w:ilvl w:val="0"/>
                <w:numId w:val="17"/>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先进的微处理控制器技术来扩展更多功能；</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2.声音报警确保您的工作安全；</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3.四个温度预设值方便保存常用设置；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4.水浴配备透明的聚碳酸酯尖顶盖，各式样品架，排水管；</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5.浴槽容积：</w:t>
            </w:r>
            <w:r>
              <w:rPr>
                <w:rFonts w:ascii="宋体" w:hAnsi="宋体" w:cs="宋体"/>
                <w:color w:val="auto"/>
                <w:kern w:val="0"/>
                <w:szCs w:val="21"/>
                <w:highlight w:val="none"/>
              </w:rPr>
              <w:t>≥</w:t>
            </w:r>
            <w:r>
              <w:rPr>
                <w:rFonts w:hint="eastAsia" w:ascii="宋体" w:hAnsi="宋体" w:cs="宋体"/>
                <w:color w:val="auto"/>
                <w:kern w:val="0"/>
                <w:szCs w:val="21"/>
                <w:highlight w:val="none"/>
              </w:rPr>
              <w:t>5L；</w:t>
            </w:r>
          </w:p>
          <w:p>
            <w:pPr>
              <w:widowControl/>
              <w:spacing w:line="240" w:lineRule="auto"/>
              <w:ind w:firstLine="0" w:firstLineChars="0"/>
              <w:rPr>
                <w:rFonts w:ascii="宋体" w:hAnsi="宋体"/>
                <w:color w:val="auto"/>
                <w:kern w:val="0"/>
                <w:szCs w:val="21"/>
                <w:highlight w:val="none"/>
              </w:rPr>
            </w:pPr>
            <w:r>
              <w:rPr>
                <w:rFonts w:hint="eastAsia" w:ascii="宋体" w:hAnsi="宋体" w:cs="宋体"/>
                <w:color w:val="auto"/>
                <w:kern w:val="0"/>
                <w:szCs w:val="21"/>
                <w:highlight w:val="none"/>
              </w:rPr>
              <w:t>6.</w:t>
            </w:r>
            <w:r>
              <w:rPr>
                <w:rFonts w:hint="eastAsia" w:ascii="宋体" w:hAnsi="宋体"/>
                <w:color w:val="auto"/>
                <w:kern w:val="0"/>
                <w:szCs w:val="21"/>
                <w:highlight w:val="none"/>
              </w:rPr>
              <w:t>温控范围：RT～200℃；</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7.温度波动：±0.1℃；</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8.温度均一性：±0.2℃</w:t>
            </w:r>
          </w:p>
          <w:p>
            <w:pPr>
              <w:pStyle w:val="2"/>
              <w:rPr>
                <w:color w:val="auto"/>
                <w:highlight w:val="none"/>
              </w:rPr>
            </w:pPr>
            <w:r>
              <w:rPr>
                <w:rFonts w:hint="eastAsia"/>
                <w:color w:val="auto"/>
                <w:highlight w:val="none"/>
              </w:rPr>
              <w:t>9</w:t>
            </w:r>
            <w:r>
              <w:rPr>
                <w:color w:val="auto"/>
                <w:highlight w:val="none"/>
              </w:rPr>
              <w:t>,</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千分之一天平</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1.坚固的金属机架；</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2.</w:t>
            </w:r>
            <w:r>
              <w:rPr>
                <w:rFonts w:ascii="宋体" w:hAnsi="宋体" w:cs="宋体"/>
                <w:color w:val="auto"/>
                <w:kern w:val="0"/>
                <w:szCs w:val="21"/>
                <w:highlight w:val="none"/>
              </w:rPr>
              <w:t>加固的机身实现过载保护</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3.</w:t>
            </w:r>
            <w:r>
              <w:rPr>
                <w:rFonts w:ascii="宋体" w:hAnsi="宋体" w:cs="宋体"/>
                <w:color w:val="auto"/>
                <w:kern w:val="0"/>
                <w:szCs w:val="21"/>
                <w:highlight w:val="none"/>
              </w:rPr>
              <w:t>内部校准技术</w:t>
            </w:r>
            <w:r>
              <w:rPr>
                <w:rFonts w:hint="eastAsia" w:ascii="宋体" w:hAnsi="宋体" w:cs="宋体"/>
                <w:color w:val="auto"/>
                <w:kern w:val="0"/>
                <w:szCs w:val="21"/>
                <w:highlight w:val="none"/>
              </w:rPr>
              <w:t>；</w:t>
            </w:r>
            <w:r>
              <w:rPr>
                <w:rFonts w:ascii="宋体" w:hAnsi="宋体" w:cs="宋体"/>
                <w:color w:val="auto"/>
                <w:kern w:val="0"/>
                <w:szCs w:val="21"/>
                <w:highlight w:val="none"/>
              </w:rPr>
              <w:br w:type="textWrapping"/>
            </w:r>
            <w:r>
              <w:rPr>
                <w:rFonts w:hint="eastAsia" w:ascii="宋体" w:hAnsi="宋体" w:cs="宋体"/>
                <w:color w:val="auto"/>
                <w:kern w:val="0"/>
                <w:szCs w:val="21"/>
                <w:highlight w:val="none"/>
              </w:rPr>
              <w:t>4.</w:t>
            </w:r>
            <w:r>
              <w:rPr>
                <w:rFonts w:ascii="宋体" w:hAnsi="宋体" w:cs="宋体"/>
                <w:color w:val="auto"/>
                <w:kern w:val="0"/>
                <w:szCs w:val="21"/>
                <w:highlight w:val="none"/>
              </w:rPr>
              <w:t>内置的时间与日期标识，确保称量、校准和校正的数据符合ISO/GLP文档的记录要求</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w:t>
            </w:r>
            <w:r>
              <w:rPr>
                <w:rFonts w:ascii="宋体" w:hAnsi="宋体" w:cs="宋体"/>
                <w:color w:val="auto"/>
                <w:kern w:val="0"/>
                <w:szCs w:val="21"/>
                <w:highlight w:val="none"/>
              </w:rPr>
              <w:t>最大称量值：</w:t>
            </w:r>
            <w:r>
              <w:rPr>
                <w:rFonts w:hint="eastAsia" w:ascii="宋体" w:hAnsi="宋体" w:cs="宋体"/>
                <w:color w:val="auto"/>
                <w:kern w:val="0"/>
                <w:szCs w:val="21"/>
                <w:highlight w:val="none"/>
              </w:rPr>
              <w:t>220g；</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6.可读性：0.0010g；</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7.线性误差：0.0020g</w:t>
            </w:r>
          </w:p>
          <w:p>
            <w:pPr>
              <w:pStyle w:val="2"/>
              <w:rPr>
                <w:color w:val="auto"/>
                <w:highlight w:val="none"/>
              </w:rPr>
            </w:pPr>
            <w:r>
              <w:rPr>
                <w:rFonts w:hint="eastAsia"/>
                <w:color w:val="auto"/>
                <w:highlight w:val="none"/>
              </w:rPr>
              <w:t>8</w:t>
            </w:r>
            <w:r>
              <w:rPr>
                <w:color w:val="auto"/>
                <w:highlight w:val="none"/>
              </w:rPr>
              <w:t>.</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真空干燥箱</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1.工作室采用优质钢板或不锈钢板；</w:t>
            </w:r>
            <w:r>
              <w:rPr>
                <w:rFonts w:ascii="宋体" w:hAnsi="宋体" w:cs="宋体"/>
                <w:color w:val="auto"/>
                <w:kern w:val="0"/>
                <w:szCs w:val="21"/>
                <w:highlight w:val="none"/>
              </w:rPr>
              <w:br w:type="textWrapping"/>
            </w:r>
            <w:r>
              <w:rPr>
                <w:rFonts w:ascii="宋体" w:hAnsi="宋体" w:cs="宋体"/>
                <w:color w:val="auto"/>
                <w:kern w:val="0"/>
                <w:szCs w:val="21"/>
                <w:highlight w:val="none"/>
              </w:rPr>
              <w:t>2</w:t>
            </w:r>
            <w:r>
              <w:rPr>
                <w:rFonts w:hint="eastAsia" w:ascii="宋体" w:hAnsi="宋体" w:cs="宋体"/>
                <w:color w:val="auto"/>
                <w:kern w:val="0"/>
                <w:szCs w:val="21"/>
                <w:highlight w:val="none"/>
              </w:rPr>
              <w:t>.</w:t>
            </w:r>
            <w:r>
              <w:rPr>
                <w:rFonts w:ascii="宋体" w:hAnsi="宋体" w:cs="宋体"/>
                <w:color w:val="auto"/>
                <w:kern w:val="0"/>
                <w:szCs w:val="21"/>
                <w:highlight w:val="none"/>
              </w:rPr>
              <w:t>箱门闭合松紧能调节，整体成型的硅橡胶门封圈，确保箱内高真空度</w:t>
            </w:r>
            <w:r>
              <w:rPr>
                <w:rFonts w:hint="eastAsia" w:ascii="宋体" w:hAnsi="宋体" w:cs="宋体"/>
                <w:color w:val="auto"/>
                <w:kern w:val="0"/>
                <w:szCs w:val="21"/>
                <w:highlight w:val="none"/>
              </w:rPr>
              <w:t>；</w:t>
            </w:r>
            <w:r>
              <w:rPr>
                <w:rFonts w:ascii="宋体" w:hAnsi="宋体" w:cs="宋体"/>
                <w:color w:val="auto"/>
                <w:kern w:val="0"/>
                <w:szCs w:val="21"/>
                <w:highlight w:val="none"/>
              </w:rPr>
              <w:t> </w:t>
            </w:r>
            <w:r>
              <w:rPr>
                <w:rFonts w:ascii="宋体" w:hAnsi="宋体" w:cs="宋体"/>
                <w:color w:val="auto"/>
                <w:kern w:val="0"/>
                <w:szCs w:val="21"/>
                <w:highlight w:val="none"/>
              </w:rPr>
              <w:br w:type="textWrapping"/>
            </w:r>
            <w:r>
              <w:rPr>
                <w:rFonts w:ascii="宋体" w:hAnsi="宋体" w:cs="宋体"/>
                <w:color w:val="auto"/>
                <w:kern w:val="0"/>
                <w:szCs w:val="21"/>
                <w:highlight w:val="none"/>
              </w:rPr>
              <w:t>3</w:t>
            </w:r>
            <w:r>
              <w:rPr>
                <w:rFonts w:hint="eastAsia" w:ascii="宋体" w:hAnsi="宋体" w:cs="宋体"/>
                <w:color w:val="auto"/>
                <w:kern w:val="0"/>
                <w:szCs w:val="21"/>
                <w:highlight w:val="none"/>
              </w:rPr>
              <w:t>.</w:t>
            </w:r>
            <w:r>
              <w:rPr>
                <w:rFonts w:ascii="宋体" w:hAnsi="宋体" w:cs="宋体"/>
                <w:color w:val="auto"/>
                <w:kern w:val="0"/>
                <w:szCs w:val="21"/>
                <w:highlight w:val="none"/>
              </w:rPr>
              <w:t>微电脑智能控温仪，具有设定</w:t>
            </w:r>
            <w:r>
              <w:rPr>
                <w:rFonts w:hint="eastAsia" w:ascii="宋体" w:hAnsi="宋体" w:cs="宋体"/>
                <w:color w:val="auto"/>
                <w:kern w:val="0"/>
                <w:szCs w:val="21"/>
                <w:highlight w:val="none"/>
              </w:rPr>
              <w:t>、</w:t>
            </w:r>
            <w:r>
              <w:rPr>
                <w:rFonts w:ascii="宋体" w:hAnsi="宋体" w:cs="宋体"/>
                <w:color w:val="auto"/>
                <w:kern w:val="0"/>
                <w:szCs w:val="21"/>
                <w:highlight w:val="none"/>
              </w:rPr>
              <w:t>测定温度双数字显示和PID自整定功能，控温精确，可靠。</w:t>
            </w:r>
            <w:r>
              <w:rPr>
                <w:rFonts w:ascii="宋体" w:hAnsi="宋体" w:cs="宋体"/>
                <w:color w:val="auto"/>
                <w:kern w:val="0"/>
                <w:szCs w:val="21"/>
                <w:highlight w:val="none"/>
              </w:rPr>
              <w:br w:type="textWrapping"/>
            </w:r>
            <w:r>
              <w:rPr>
                <w:rFonts w:ascii="宋体" w:hAnsi="宋体" w:cs="宋体"/>
                <w:color w:val="auto"/>
                <w:kern w:val="0"/>
                <w:szCs w:val="21"/>
                <w:highlight w:val="none"/>
              </w:rPr>
              <w:t>4</w:t>
            </w:r>
            <w:r>
              <w:rPr>
                <w:rFonts w:hint="eastAsia" w:ascii="宋体" w:hAnsi="宋体" w:cs="宋体"/>
                <w:color w:val="auto"/>
                <w:kern w:val="0"/>
                <w:szCs w:val="21"/>
                <w:highlight w:val="none"/>
              </w:rPr>
              <w:t>.</w:t>
            </w:r>
            <w:r>
              <w:rPr>
                <w:rFonts w:ascii="宋体" w:hAnsi="宋体" w:cs="宋体"/>
                <w:color w:val="auto"/>
                <w:kern w:val="0"/>
                <w:szCs w:val="21"/>
                <w:highlight w:val="none"/>
              </w:rPr>
              <w:t>加热功率比例可任意调节</w:t>
            </w:r>
            <w:r>
              <w:rPr>
                <w:rFonts w:hint="eastAsia" w:ascii="宋体" w:hAnsi="宋体" w:cs="宋体"/>
                <w:color w:val="auto"/>
                <w:kern w:val="0"/>
                <w:szCs w:val="21"/>
                <w:highlight w:val="none"/>
              </w:rPr>
              <w:t>；</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5.温度控制：RT+10～200℃；</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6.温度波动：±1℃</w:t>
            </w:r>
          </w:p>
          <w:p>
            <w:pPr>
              <w:pStyle w:val="2"/>
              <w:rPr>
                <w:color w:val="auto"/>
                <w:highlight w:val="none"/>
              </w:rPr>
            </w:pPr>
            <w:r>
              <w:rPr>
                <w:rFonts w:hint="eastAsia"/>
                <w:color w:val="auto"/>
                <w:highlight w:val="none"/>
              </w:rPr>
              <w:t>7</w:t>
            </w:r>
            <w:r>
              <w:rPr>
                <w:color w:val="auto"/>
                <w:highlight w:val="none"/>
              </w:rPr>
              <w:t>.</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磁力搅拌器</w:t>
            </w:r>
          </w:p>
        </w:tc>
        <w:tc>
          <w:tcPr>
            <w:tcW w:w="5862" w:type="dxa"/>
            <w:vAlign w:val="center"/>
          </w:tcPr>
          <w:p>
            <w:pPr>
              <w:widowControl/>
              <w:numPr>
                <w:ilvl w:val="0"/>
                <w:numId w:val="18"/>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安全控制型加热磁力搅拌器，适合无人操作；</w:t>
            </w:r>
          </w:p>
          <w:p>
            <w:pPr>
              <w:widowControl/>
              <w:numPr>
                <w:ilvl w:val="0"/>
                <w:numId w:val="18"/>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高抛光铝合金加热盘面，热传递速度快；</w:t>
            </w:r>
          </w:p>
          <w:p>
            <w:pPr>
              <w:widowControl/>
              <w:numPr>
                <w:ilvl w:val="0"/>
                <w:numId w:val="18"/>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随机配置PT1000温度传感器；</w:t>
            </w:r>
          </w:p>
          <w:p>
            <w:pPr>
              <w:widowControl/>
              <w:numPr>
                <w:ilvl w:val="0"/>
                <w:numId w:val="18"/>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搅拌点位数目：1点位；</w:t>
            </w:r>
          </w:p>
          <w:p>
            <w:pPr>
              <w:widowControl/>
              <w:numPr>
                <w:ilvl w:val="0"/>
                <w:numId w:val="18"/>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最大搅拌量：20L；</w:t>
            </w:r>
          </w:p>
          <w:p>
            <w:pPr>
              <w:widowControl/>
              <w:numPr>
                <w:ilvl w:val="0"/>
                <w:numId w:val="18"/>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速度控制：50～1500rpm；</w:t>
            </w:r>
          </w:p>
          <w:p>
            <w:pPr>
              <w:widowControl/>
              <w:numPr>
                <w:ilvl w:val="0"/>
                <w:numId w:val="18"/>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温度控制：RT+盘面自热～310℃；</w:t>
            </w:r>
          </w:p>
          <w:p>
            <w:pPr>
              <w:widowControl/>
              <w:numPr>
                <w:ilvl w:val="0"/>
                <w:numId w:val="18"/>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工作盘材质：铝合金</w:t>
            </w:r>
          </w:p>
          <w:p>
            <w:pPr>
              <w:pStyle w:val="2"/>
              <w:rPr>
                <w:color w:val="auto"/>
                <w:highlight w:val="none"/>
              </w:rPr>
            </w:pPr>
            <w:r>
              <w:rPr>
                <w:rFonts w:hint="eastAsia"/>
                <w:color w:val="auto"/>
                <w:highlight w:val="none"/>
              </w:rPr>
              <w:t>9</w:t>
            </w:r>
            <w:r>
              <w:rPr>
                <w:color w:val="auto"/>
                <w:highlight w:val="none"/>
              </w:rPr>
              <w:t>.</w:t>
            </w:r>
            <w:r>
              <w:rPr>
                <w:rFonts w:hint="eastAsia"/>
                <w:bCs/>
                <w:color w:val="auto"/>
                <w:szCs w:val="21"/>
                <w:highlight w:val="none"/>
              </w:rPr>
              <w:t xml:space="preserve"> </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5" w:hRule="atLeast"/>
        </w:trPr>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超声波清洗器</w:t>
            </w:r>
          </w:p>
        </w:tc>
        <w:tc>
          <w:tcPr>
            <w:tcW w:w="5862" w:type="dxa"/>
            <w:vAlign w:val="center"/>
          </w:tcPr>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1.清洗器外壳采用优质不锈钢板制作，美观大方；</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2.清洗槽及篮子采用优质不锈钢一次冲压成形，无焊接处，防水性能更好；</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3.超声波功率转换效率高、功率强劲、清洗效果好；</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4.容量：≥10L；</w:t>
            </w:r>
          </w:p>
          <w:p>
            <w:pPr>
              <w:widowControl/>
              <w:spacing w:line="240" w:lineRule="auto"/>
              <w:ind w:firstLine="0" w:firstLineChars="0"/>
              <w:rPr>
                <w:rFonts w:ascii="宋体" w:hAnsi="宋体" w:cs="宋体"/>
                <w:color w:val="auto"/>
                <w:kern w:val="0"/>
                <w:szCs w:val="21"/>
                <w:highlight w:val="none"/>
              </w:rPr>
            </w:pPr>
            <w:r>
              <w:rPr>
                <w:rFonts w:hint="eastAsia" w:ascii="宋体" w:hAnsi="宋体"/>
                <w:color w:val="auto"/>
                <w:kern w:val="0"/>
                <w:szCs w:val="21"/>
                <w:highlight w:val="none"/>
              </w:rPr>
              <w:t>5.定时：1</w:t>
            </w:r>
            <w:r>
              <w:rPr>
                <w:rFonts w:hint="eastAsia" w:ascii="宋体" w:hAnsi="宋体" w:cs="宋体"/>
                <w:color w:val="auto"/>
                <w:kern w:val="0"/>
                <w:szCs w:val="21"/>
                <w:highlight w:val="none"/>
              </w:rPr>
              <w:t>～999min；</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6.温度控制：0～80℃</w:t>
            </w:r>
          </w:p>
          <w:p>
            <w:pPr>
              <w:widowControl/>
              <w:spacing w:line="240" w:lineRule="auto"/>
              <w:ind w:firstLine="0" w:firstLineChars="0"/>
              <w:rPr>
                <w:rFonts w:ascii="宋体" w:hAnsi="宋体"/>
                <w:color w:val="auto"/>
                <w:kern w:val="0"/>
                <w:szCs w:val="21"/>
                <w:highlight w:val="none"/>
              </w:rPr>
            </w:pPr>
            <w:r>
              <w:rPr>
                <w:rFonts w:hint="eastAsia" w:ascii="宋体" w:hAnsi="宋体" w:cs="宋体"/>
                <w:color w:val="auto"/>
                <w:kern w:val="0"/>
                <w:szCs w:val="21"/>
                <w:highlight w:val="none"/>
              </w:rPr>
              <w:t>7.</w:t>
            </w:r>
            <w:r>
              <w:rPr>
                <w:rFonts w:hint="eastAsia" w:ascii="宋体" w:hAnsi="宋体"/>
                <w:color w:val="auto"/>
                <w:kern w:val="0"/>
                <w:szCs w:val="21"/>
                <w:highlight w:val="none"/>
              </w:rPr>
              <w:t>工作频率：40KHZ和59KHZ之间相互转换。</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8.随机配置排水管与水槽盖</w:t>
            </w:r>
          </w:p>
          <w:p>
            <w:pPr>
              <w:pStyle w:val="2"/>
              <w:rPr>
                <w:color w:val="auto"/>
                <w:highlight w:val="none"/>
              </w:rPr>
            </w:pPr>
            <w:r>
              <w:rPr>
                <w:bCs/>
                <w:color w:val="auto"/>
                <w:szCs w:val="21"/>
                <w:highlight w:val="none"/>
              </w:rPr>
              <w:t>9.售后服务要求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迷你离心机</w:t>
            </w:r>
          </w:p>
        </w:tc>
        <w:tc>
          <w:tcPr>
            <w:tcW w:w="5862" w:type="dxa"/>
            <w:vAlign w:val="center"/>
          </w:tcPr>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1.双锁设计，锁定更安全；</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2.最大转速/离心力：15000rpm/21380g，时间设定30s～99min；</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3.快速加速和减速，LCD直观显示离心时间和速度；</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5.双风冷设计，马达产热少，噪音小，改善实验环境；</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6.稳速后开始计时，分离时间更准确；</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7.不平衡保护功能，RPM/RCF自动快速切换；</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8.高强度生物密封转头，耐受无数次高温高压消毒，24×1.5/2.0定角转子，可配置0.5适配器；</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9.定角PCR八联管转子，适合4条八联管同时离心；</w:t>
            </w:r>
          </w:p>
          <w:p>
            <w:p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10.运行结束后自动开盖，便于样品降温，节省操作时间</w:t>
            </w:r>
          </w:p>
          <w:p>
            <w:pPr>
              <w:pStyle w:val="2"/>
              <w:rPr>
                <w:color w:val="auto"/>
                <w:highlight w:val="none"/>
              </w:rPr>
            </w:pPr>
            <w:r>
              <w:rPr>
                <w:rFonts w:hint="eastAsia"/>
                <w:color w:val="auto"/>
                <w:highlight w:val="none"/>
              </w:rPr>
              <w:t>1</w:t>
            </w:r>
            <w:r>
              <w:rPr>
                <w:color w:val="auto"/>
                <w:highlight w:val="none"/>
              </w:rPr>
              <w:t>0.</w:t>
            </w:r>
            <w:r>
              <w:rPr>
                <w:rFonts w:hint="eastAsia"/>
                <w:bCs/>
                <w:color w:val="auto"/>
                <w:szCs w:val="21"/>
                <w:highlight w:val="none"/>
              </w:rPr>
              <w:t xml:space="preserve"> </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4</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微孔板恒温振荡器</w:t>
            </w:r>
          </w:p>
        </w:tc>
        <w:tc>
          <w:tcPr>
            <w:tcW w:w="5862" w:type="dxa"/>
            <w:vAlign w:val="center"/>
          </w:tcPr>
          <w:p>
            <w:pPr>
              <w:widowControl/>
              <w:spacing w:line="240" w:lineRule="auto"/>
              <w:ind w:firstLine="0" w:firstLineChars="0"/>
              <w:rPr>
                <w:rFonts w:ascii="宋体" w:hAnsi="宋体" w:cs="宋体"/>
                <w:color w:val="auto"/>
                <w:kern w:val="0"/>
                <w:szCs w:val="21"/>
                <w:highlight w:val="none"/>
              </w:rPr>
            </w:pPr>
            <w:r>
              <w:rPr>
                <w:rFonts w:hint="eastAsia" w:ascii="宋体" w:hAnsi="宋体"/>
                <w:color w:val="auto"/>
                <w:kern w:val="0"/>
                <w:szCs w:val="21"/>
                <w:highlight w:val="none"/>
              </w:rPr>
              <w:t>1.LCD液晶显示；</w:t>
            </w:r>
            <w:r>
              <w:rPr>
                <w:rFonts w:hint="eastAsia" w:ascii="宋体" w:hAnsi="宋体"/>
                <w:color w:val="auto"/>
                <w:kern w:val="0"/>
                <w:szCs w:val="21"/>
                <w:highlight w:val="none"/>
              </w:rPr>
              <w:br w:type="textWrapping"/>
            </w:r>
            <w:r>
              <w:rPr>
                <w:rFonts w:hint="eastAsia" w:ascii="宋体" w:hAnsi="宋体"/>
                <w:color w:val="auto"/>
                <w:kern w:val="0"/>
                <w:szCs w:val="21"/>
                <w:highlight w:val="none"/>
              </w:rPr>
              <w:t>2.具有对微孔板进行上下加热功能；</w:t>
            </w:r>
            <w:r>
              <w:rPr>
                <w:rFonts w:hint="eastAsia" w:ascii="宋体" w:hAnsi="宋体"/>
                <w:color w:val="auto"/>
                <w:kern w:val="0"/>
                <w:szCs w:val="21"/>
                <w:highlight w:val="none"/>
              </w:rPr>
              <w:br w:type="textWrapping"/>
            </w:r>
            <w:r>
              <w:rPr>
                <w:rFonts w:hint="eastAsia" w:ascii="宋体" w:hAnsi="宋体"/>
                <w:color w:val="auto"/>
                <w:kern w:val="0"/>
                <w:szCs w:val="21"/>
                <w:highlight w:val="none"/>
              </w:rPr>
              <w:t>3.微处理器控制温度、转速和时间，温控线性好、振荡转速准确、波动小；</w:t>
            </w:r>
            <w:r>
              <w:rPr>
                <w:rFonts w:hint="eastAsia" w:ascii="宋体" w:hAnsi="宋体"/>
                <w:color w:val="auto"/>
                <w:kern w:val="0"/>
                <w:szCs w:val="21"/>
                <w:highlight w:val="none"/>
              </w:rPr>
              <w:br w:type="textWrapping"/>
            </w:r>
            <w:r>
              <w:rPr>
                <w:rFonts w:hint="eastAsia" w:ascii="宋体" w:hAnsi="宋体"/>
                <w:color w:val="auto"/>
                <w:kern w:val="0"/>
                <w:szCs w:val="21"/>
                <w:highlight w:val="none"/>
              </w:rPr>
              <w:t>4.可同时显示设置和实际温度、时间和振荡速度参数； </w:t>
            </w:r>
            <w:r>
              <w:rPr>
                <w:rFonts w:hint="eastAsia" w:ascii="宋体" w:hAnsi="宋体"/>
                <w:color w:val="auto"/>
                <w:kern w:val="0"/>
                <w:szCs w:val="21"/>
                <w:highlight w:val="none"/>
              </w:rPr>
              <w:br w:type="textWrapping"/>
            </w:r>
            <w:r>
              <w:rPr>
                <w:rFonts w:hint="eastAsia" w:ascii="宋体" w:hAnsi="宋体"/>
                <w:color w:val="auto"/>
                <w:kern w:val="0"/>
                <w:szCs w:val="21"/>
                <w:highlight w:val="none"/>
              </w:rPr>
              <w:t>5.可放4个标准酶标板和微孔板； </w:t>
            </w:r>
            <w:r>
              <w:rPr>
                <w:rFonts w:hint="eastAsia" w:ascii="宋体" w:hAnsi="宋体"/>
                <w:color w:val="auto"/>
                <w:kern w:val="0"/>
                <w:szCs w:val="21"/>
                <w:highlight w:val="none"/>
              </w:rPr>
              <w:br w:type="textWrapping"/>
            </w:r>
            <w:r>
              <w:rPr>
                <w:rFonts w:hint="eastAsia" w:ascii="宋体" w:hAnsi="宋体"/>
                <w:color w:val="auto"/>
                <w:kern w:val="0"/>
                <w:szCs w:val="21"/>
                <w:highlight w:val="none"/>
              </w:rPr>
              <w:t>6.温控范围：</w:t>
            </w:r>
            <w:r>
              <w:rPr>
                <w:rFonts w:hint="eastAsia" w:ascii="宋体" w:hAnsi="宋体" w:cs="宋体"/>
                <w:color w:val="auto"/>
                <w:kern w:val="0"/>
                <w:szCs w:val="21"/>
                <w:highlight w:val="none"/>
              </w:rPr>
              <w:t>RT+5～70℃；</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7.定时：1min～99h59min；</w:t>
            </w:r>
          </w:p>
          <w:p>
            <w:pPr>
              <w:widowControl/>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8.振荡转速范围：100～1500 rpm</w:t>
            </w:r>
          </w:p>
          <w:p>
            <w:pPr>
              <w:pStyle w:val="2"/>
              <w:rPr>
                <w:color w:val="auto"/>
                <w:highlight w:val="none"/>
              </w:rPr>
            </w:pPr>
            <w:r>
              <w:rPr>
                <w:rFonts w:hint="eastAsia"/>
                <w:color w:val="auto"/>
                <w:highlight w:val="none"/>
              </w:rPr>
              <w:t>9</w:t>
            </w:r>
            <w:r>
              <w:rPr>
                <w:color w:val="auto"/>
                <w:highlight w:val="none"/>
              </w:rPr>
              <w:t>.</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3</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台式鼓风干燥箱</w:t>
            </w:r>
          </w:p>
        </w:tc>
        <w:tc>
          <w:tcPr>
            <w:tcW w:w="5862" w:type="dxa"/>
            <w:vAlign w:val="center"/>
          </w:tcPr>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1.工作室采用优质钢板或不锈钢板；</w:t>
            </w:r>
            <w:r>
              <w:rPr>
                <w:rFonts w:ascii="宋体" w:hAnsi="宋体"/>
                <w:color w:val="auto"/>
                <w:kern w:val="0"/>
                <w:szCs w:val="21"/>
                <w:highlight w:val="none"/>
              </w:rPr>
              <w:t> </w:t>
            </w:r>
            <w:r>
              <w:rPr>
                <w:rFonts w:ascii="宋体" w:hAnsi="宋体"/>
                <w:color w:val="auto"/>
                <w:kern w:val="0"/>
                <w:szCs w:val="21"/>
                <w:highlight w:val="none"/>
              </w:rPr>
              <w:br w:type="textWrapping"/>
            </w:r>
            <w:r>
              <w:rPr>
                <w:rFonts w:ascii="宋体" w:hAnsi="宋体"/>
                <w:color w:val="auto"/>
                <w:kern w:val="0"/>
                <w:szCs w:val="21"/>
                <w:highlight w:val="none"/>
              </w:rPr>
              <w:t>2</w:t>
            </w:r>
            <w:r>
              <w:rPr>
                <w:rFonts w:hint="eastAsia" w:ascii="宋体" w:hAnsi="宋体"/>
                <w:color w:val="auto"/>
                <w:kern w:val="0"/>
                <w:szCs w:val="21"/>
                <w:highlight w:val="none"/>
              </w:rPr>
              <w:t>.</w:t>
            </w:r>
            <w:r>
              <w:rPr>
                <w:rFonts w:ascii="宋体" w:hAnsi="宋体"/>
                <w:color w:val="auto"/>
                <w:kern w:val="0"/>
                <w:szCs w:val="21"/>
                <w:highlight w:val="none"/>
              </w:rPr>
              <w:t>微电脑智慧控温仪，具有设定，测定温度双数字显、定时、功率抑制和自整定功能</w:t>
            </w:r>
            <w:r>
              <w:rPr>
                <w:rFonts w:hint="eastAsia" w:ascii="宋体" w:hAnsi="宋体"/>
                <w:color w:val="auto"/>
                <w:kern w:val="0"/>
                <w:szCs w:val="21"/>
                <w:highlight w:val="none"/>
              </w:rPr>
              <w:t>；</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3.温控范围：RT+10～200℃；</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4.定时：0～9999min；</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5.温度波动 ±1℃；</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6.工作尺寸：≥600×550×645mm</w:t>
            </w:r>
          </w:p>
          <w:p>
            <w:pPr>
              <w:pStyle w:val="2"/>
              <w:rPr>
                <w:color w:val="auto"/>
                <w:highlight w:val="none"/>
              </w:rPr>
            </w:pPr>
            <w:r>
              <w:rPr>
                <w:rFonts w:hint="eastAsia"/>
                <w:color w:val="auto"/>
                <w:highlight w:val="none"/>
              </w:rPr>
              <w:t>7</w:t>
            </w:r>
            <w:r>
              <w:rPr>
                <w:color w:val="auto"/>
                <w:highlight w:val="none"/>
              </w:rPr>
              <w:t>.</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低温紫外聚合箱</w:t>
            </w:r>
          </w:p>
        </w:tc>
        <w:tc>
          <w:tcPr>
            <w:tcW w:w="5862" w:type="dxa"/>
            <w:vAlign w:val="center"/>
          </w:tcPr>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1.箱体坚固耐用，厚度能抵抗-40℃下低温环境导致的铝合金蠕变效应；</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2.聚合箱整体美观，表面处理细腻，耐划伤；</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3.内壁表面光洁，反光效应明显，紫外光均匀分布，实现样品聚合程度的一致性要求；</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4.长方体型内腔（长×宽×高）：≥ 250mm×150mm×190mm；</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5.全金属封闭式，无紫外泄露，无UV敏感材料（如塑料，PC，PVC等），抗UV老化，经久耐用；</w:t>
            </w:r>
          </w:p>
          <w:p>
            <w:pPr>
              <w:widowControl/>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6.多点均匀分布半导体UVLED发光芯片形成面光源，恒流源（IF=20mA)驱动，光源更均匀、稳定和高效</w:t>
            </w:r>
          </w:p>
          <w:p>
            <w:pPr>
              <w:pStyle w:val="2"/>
              <w:rPr>
                <w:color w:val="auto"/>
                <w:highlight w:val="none"/>
              </w:rPr>
            </w:pPr>
            <w:r>
              <w:rPr>
                <w:rFonts w:hint="eastAsia"/>
                <w:color w:val="auto"/>
                <w:highlight w:val="none"/>
              </w:rPr>
              <w:t>7</w:t>
            </w:r>
            <w:r>
              <w:rPr>
                <w:color w:val="auto"/>
                <w:highlight w:val="none"/>
              </w:rPr>
              <w:t>.</w:t>
            </w:r>
            <w:r>
              <w:rPr>
                <w:rFonts w:hint="eastAsia"/>
                <w:bCs/>
                <w:color w:val="auto"/>
                <w:szCs w:val="21"/>
                <w:highlight w:val="none"/>
              </w:rPr>
              <w:t xml:space="preserve"> </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台</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镊子</w:t>
            </w:r>
          </w:p>
        </w:tc>
        <w:tc>
          <w:tcPr>
            <w:tcW w:w="5862" w:type="dxa"/>
            <w:vAlign w:val="center"/>
          </w:tcPr>
          <w:p>
            <w:pPr>
              <w:widowControl/>
              <w:numPr>
                <w:ilvl w:val="0"/>
                <w:numId w:val="19"/>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无磁不锈钢镊子；</w:t>
            </w:r>
          </w:p>
          <w:p>
            <w:pPr>
              <w:widowControl/>
              <w:numPr>
                <w:ilvl w:val="0"/>
                <w:numId w:val="19"/>
              </w:numPr>
              <w:spacing w:line="240" w:lineRule="auto"/>
              <w:ind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材质：</w:t>
            </w:r>
            <w:r>
              <w:rPr>
                <w:rFonts w:hint="eastAsia" w:ascii="宋体" w:hAnsi="宋体"/>
                <w:color w:val="auto"/>
                <w:kern w:val="0"/>
                <w:szCs w:val="21"/>
                <w:highlight w:val="none"/>
              </w:rPr>
              <w:t>NM-SS；</w:t>
            </w:r>
          </w:p>
          <w:p>
            <w:pPr>
              <w:widowControl/>
              <w:numPr>
                <w:ilvl w:val="0"/>
                <w:numId w:val="19"/>
              </w:numPr>
              <w:spacing w:line="240" w:lineRule="auto"/>
              <w:ind w:firstLine="0" w:firstLineChars="0"/>
              <w:rPr>
                <w:rFonts w:ascii="宋体" w:hAnsi="宋体" w:cs="宋体"/>
                <w:color w:val="auto"/>
                <w:kern w:val="0"/>
                <w:szCs w:val="21"/>
                <w:highlight w:val="none"/>
              </w:rPr>
            </w:pPr>
            <w:r>
              <w:rPr>
                <w:rFonts w:hint="eastAsia" w:ascii="宋体" w:hAnsi="宋体"/>
                <w:color w:val="auto"/>
                <w:kern w:val="0"/>
                <w:szCs w:val="21"/>
                <w:highlight w:val="none"/>
              </w:rPr>
              <w:t>总长度：≥105mm；</w:t>
            </w:r>
          </w:p>
          <w:p>
            <w:pPr>
              <w:widowControl/>
              <w:numPr>
                <w:ilvl w:val="0"/>
                <w:numId w:val="19"/>
              </w:numPr>
              <w:spacing w:line="240" w:lineRule="auto"/>
              <w:ind w:firstLine="0" w:firstLineChars="0"/>
              <w:rPr>
                <w:color w:val="auto"/>
                <w:szCs w:val="21"/>
                <w:highlight w:val="none"/>
              </w:rPr>
            </w:pPr>
            <w:r>
              <w:rPr>
                <w:rFonts w:hint="eastAsia" w:ascii="宋体" w:hAnsi="宋体"/>
                <w:color w:val="auto"/>
                <w:kern w:val="0"/>
                <w:szCs w:val="21"/>
                <w:highlight w:val="none"/>
              </w:rPr>
              <w:t>镊尖规格（宽×厚）：≤0.08×0.04mm。</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个</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2</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vAlign w:val="center"/>
          </w:tcPr>
          <w:p>
            <w:pPr>
              <w:numPr>
                <w:ilvl w:val="0"/>
                <w:numId w:val="10"/>
              </w:numPr>
              <w:spacing w:before="120" w:beforeLines="50" w:after="120" w:afterLines="50"/>
              <w:ind w:firstLineChars="0"/>
              <w:jc w:val="center"/>
              <w:rPr>
                <w:color w:val="auto"/>
                <w:highlight w:val="none"/>
              </w:rPr>
            </w:pPr>
          </w:p>
        </w:tc>
        <w:tc>
          <w:tcPr>
            <w:tcW w:w="1409" w:type="dxa"/>
            <w:vAlign w:val="center"/>
          </w:tcPr>
          <w:p>
            <w:pPr>
              <w:widowControl/>
              <w:ind w:firstLine="0" w:firstLineChars="0"/>
              <w:jc w:val="center"/>
              <w:rPr>
                <w:color w:val="auto"/>
                <w:highlight w:val="none"/>
              </w:rPr>
            </w:pPr>
            <w:r>
              <w:rPr>
                <w:rFonts w:hint="eastAsia" w:ascii="宋体" w:hAnsi="宋体"/>
                <w:color w:val="auto"/>
                <w:kern w:val="0"/>
                <w:highlight w:val="none"/>
              </w:rPr>
              <w:t>微珠</w:t>
            </w:r>
          </w:p>
        </w:tc>
        <w:tc>
          <w:tcPr>
            <w:tcW w:w="5862" w:type="dxa"/>
            <w:vAlign w:val="center"/>
          </w:tcPr>
          <w:p>
            <w:pPr>
              <w:widowControl/>
              <w:numPr>
                <w:ilvl w:val="0"/>
                <w:numId w:val="20"/>
              </w:num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用途：取代水做实验室温育试剂有助于预防污染；</w:t>
            </w:r>
          </w:p>
          <w:p>
            <w:pPr>
              <w:widowControl/>
              <w:numPr>
                <w:ilvl w:val="0"/>
                <w:numId w:val="20"/>
              </w:num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基本特点：惰性、反光、光滑；</w:t>
            </w:r>
          </w:p>
          <w:p>
            <w:pPr>
              <w:widowControl/>
              <w:numPr>
                <w:ilvl w:val="0"/>
                <w:numId w:val="20"/>
              </w:numPr>
              <w:spacing w:line="24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直径：5mm；</w:t>
            </w:r>
          </w:p>
          <w:p>
            <w:pPr>
              <w:widowControl/>
              <w:numPr>
                <w:ilvl w:val="0"/>
                <w:numId w:val="20"/>
              </w:numPr>
              <w:spacing w:line="240" w:lineRule="auto"/>
              <w:ind w:firstLine="0" w:firstLineChars="0"/>
              <w:rPr>
                <w:color w:val="auto"/>
                <w:szCs w:val="21"/>
                <w:highlight w:val="none"/>
              </w:rPr>
            </w:pPr>
            <w:r>
              <w:rPr>
                <w:rFonts w:hint="eastAsia" w:ascii="宋体" w:hAnsi="宋体"/>
                <w:color w:val="auto"/>
                <w:kern w:val="0"/>
                <w:szCs w:val="21"/>
                <w:highlight w:val="none"/>
              </w:rPr>
              <w:t>水分和气体防渗透。</w:t>
            </w:r>
          </w:p>
        </w:tc>
        <w:tc>
          <w:tcPr>
            <w:tcW w:w="541"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vAlign w:val="center"/>
          </w:tcPr>
          <w:p>
            <w:pPr>
              <w:widowControl/>
              <w:ind w:firstLine="0" w:firstLineChars="0"/>
              <w:jc w:val="center"/>
              <w:rPr>
                <w:color w:val="auto"/>
                <w:szCs w:val="21"/>
                <w:highlight w:val="none"/>
              </w:rPr>
            </w:pPr>
            <w:r>
              <w:rPr>
                <w:rFonts w:hint="eastAsia" w:ascii="宋体" w:hAnsi="宋体"/>
                <w:color w:val="auto"/>
                <w:kern w:val="0"/>
                <w:szCs w:val="21"/>
                <w:highlight w:val="none"/>
              </w:rPr>
              <w:t>1</w:t>
            </w:r>
          </w:p>
        </w:tc>
        <w:tc>
          <w:tcPr>
            <w:tcW w:w="542" w:type="dxa"/>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bl>
    <w:p>
      <w:pPr>
        <w:ind w:firstLine="480"/>
        <w:rPr>
          <w:color w:val="auto"/>
          <w:highlight w:val="none"/>
        </w:rPr>
      </w:pPr>
    </w:p>
    <w:p>
      <w:pPr>
        <w:pStyle w:val="7"/>
        <w:ind w:firstLine="422"/>
        <w:rPr>
          <w:color w:val="auto"/>
          <w:highlight w:val="none"/>
        </w:rPr>
      </w:pPr>
      <w:r>
        <w:rPr>
          <w:rFonts w:hint="eastAsia"/>
          <w:color w:val="auto"/>
          <w:highlight w:val="none"/>
        </w:rPr>
        <w:t>标项五：</w:t>
      </w:r>
      <w:r>
        <w:rPr>
          <w:rFonts w:hint="eastAsia" w:ascii="宋体" w:hAnsi="宋体" w:cs="宋体"/>
          <w:color w:val="auto"/>
          <w:kern w:val="0"/>
          <w:highlight w:val="none"/>
        </w:rPr>
        <w:t>色散型X射线荧光分析仪等</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09"/>
        <w:gridCol w:w="5862"/>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序号</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名称</w:t>
            </w:r>
          </w:p>
        </w:tc>
        <w:tc>
          <w:tcPr>
            <w:tcW w:w="586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功能及技术参数等</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highlight w:val="none"/>
              </w:rPr>
            </w:pPr>
            <w:r>
              <w:rPr>
                <w:rFonts w:hint="eastAsia" w:ascii="宋体" w:hAnsi="宋体" w:cs="宋体"/>
                <w:color w:val="auto"/>
                <w:highlight w:val="none"/>
              </w:rPr>
              <w:t>色散型X射线荧光分析仪</w:t>
            </w:r>
          </w:p>
        </w:tc>
        <w:tc>
          <w:tcPr>
            <w:tcW w:w="5862" w:type="dxa"/>
            <w:shd w:val="clear" w:color="auto" w:fill="auto"/>
            <w:vAlign w:val="center"/>
          </w:tcPr>
          <w:p>
            <w:pPr>
              <w:spacing w:line="240" w:lineRule="auto"/>
              <w:ind w:firstLine="0" w:firstLineChars="0"/>
              <w:rPr>
                <w:b/>
                <w:color w:val="auto"/>
                <w:sz w:val="28"/>
                <w:szCs w:val="28"/>
                <w:highlight w:val="none"/>
              </w:rPr>
            </w:pPr>
            <w:r>
              <w:rPr>
                <w:rFonts w:hint="eastAsia"/>
                <w:color w:val="auto"/>
                <w:highlight w:val="none"/>
              </w:rPr>
              <w:t>1、</w:t>
            </w:r>
            <w:r>
              <w:rPr>
                <w:color w:val="auto"/>
                <w:highlight w:val="none"/>
              </w:rPr>
              <w:t>应用要求：</w:t>
            </w:r>
            <w:r>
              <w:rPr>
                <w:rFonts w:hint="eastAsia"/>
                <w:color w:val="auto"/>
                <w:highlight w:val="none"/>
              </w:rPr>
              <w:t>用于固体或液体（包括粉末、泥浆、薄膜、切削液、不规则样品等）的</w:t>
            </w:r>
            <w:r>
              <w:rPr>
                <w:color w:val="auto"/>
                <w:highlight w:val="none"/>
              </w:rPr>
              <w:t>定性、定量及无标样定量分析，分析元素范围为元素周期表C6—Am95之间的元素，测量含量范围ppm-100%。</w:t>
            </w:r>
          </w:p>
          <w:p>
            <w:pPr>
              <w:numPr>
                <w:ilvl w:val="0"/>
                <w:numId w:val="21"/>
              </w:numPr>
              <w:spacing w:line="240" w:lineRule="auto"/>
              <w:ind w:firstLine="0" w:firstLineChars="0"/>
              <w:rPr>
                <w:color w:val="auto"/>
                <w:highlight w:val="none"/>
              </w:rPr>
            </w:pPr>
            <w:r>
              <w:rPr>
                <w:color w:val="auto"/>
                <w:highlight w:val="none"/>
              </w:rPr>
              <w:t>X</w:t>
            </w:r>
            <w:r>
              <w:rPr>
                <w:rFonts w:hint="eastAsia"/>
                <w:color w:val="auto"/>
                <w:highlight w:val="none"/>
              </w:rPr>
              <w:t>射线管：</w:t>
            </w:r>
          </w:p>
          <w:p>
            <w:pPr>
              <w:spacing w:line="240" w:lineRule="auto"/>
              <w:ind w:firstLine="0" w:firstLineChars="0"/>
              <w:rPr>
                <w:rFonts w:hAnsi="宋体"/>
                <w:color w:val="auto"/>
                <w:szCs w:val="21"/>
                <w:highlight w:val="none"/>
              </w:rPr>
            </w:pPr>
            <w:r>
              <w:rPr>
                <w:rFonts w:hAnsi="宋体"/>
                <w:color w:val="auto"/>
                <w:szCs w:val="21"/>
                <w:highlight w:val="none"/>
              </w:rPr>
              <w:t xml:space="preserve">2.1 </w:t>
            </w:r>
            <w:r>
              <w:rPr>
                <w:rFonts w:hint="eastAsia" w:hAnsi="宋体"/>
                <w:color w:val="auto"/>
                <w:szCs w:val="21"/>
                <w:highlight w:val="none"/>
              </w:rPr>
              <w:t>靶材：</w:t>
            </w:r>
            <w:r>
              <w:rPr>
                <w:rFonts w:hAnsi="宋体"/>
                <w:color w:val="auto"/>
                <w:szCs w:val="21"/>
                <w:highlight w:val="none"/>
              </w:rPr>
              <w:t>Ag</w:t>
            </w:r>
            <w:r>
              <w:rPr>
                <w:rFonts w:hint="eastAsia" w:hAnsi="宋体"/>
                <w:color w:val="auto"/>
                <w:szCs w:val="21"/>
                <w:highlight w:val="none"/>
              </w:rPr>
              <w:t>，能更高效地激发轻元素；</w:t>
            </w:r>
          </w:p>
          <w:p>
            <w:pPr>
              <w:spacing w:line="240" w:lineRule="auto"/>
              <w:ind w:firstLine="0" w:firstLineChars="0"/>
              <w:rPr>
                <w:rFonts w:hAnsi="宋体"/>
                <w:color w:val="auto"/>
                <w:szCs w:val="21"/>
                <w:highlight w:val="none"/>
              </w:rPr>
            </w:pPr>
            <w:r>
              <w:rPr>
                <w:rFonts w:hAnsi="宋体"/>
                <w:color w:val="auto"/>
                <w:szCs w:val="21"/>
                <w:highlight w:val="none"/>
              </w:rPr>
              <w:t xml:space="preserve">2.2 </w:t>
            </w:r>
            <w:r>
              <w:rPr>
                <w:rFonts w:hint="eastAsia" w:hAnsi="宋体"/>
                <w:color w:val="auto"/>
                <w:szCs w:val="21"/>
                <w:highlight w:val="none"/>
              </w:rPr>
              <w:t>最大功率：</w:t>
            </w:r>
            <w:r>
              <w:rPr>
                <w:rFonts w:hAnsi="宋体"/>
                <w:color w:val="auto"/>
                <w:szCs w:val="21"/>
                <w:highlight w:val="none"/>
              </w:rPr>
              <w:t>50 W</w:t>
            </w:r>
            <w:r>
              <w:rPr>
                <w:rFonts w:hint="eastAsia" w:hAnsi="宋体"/>
                <w:color w:val="auto"/>
                <w:szCs w:val="21"/>
                <w:highlight w:val="none"/>
              </w:rPr>
              <w:t>；</w:t>
            </w:r>
          </w:p>
          <w:p>
            <w:pPr>
              <w:spacing w:line="240" w:lineRule="auto"/>
              <w:ind w:firstLine="0" w:firstLineChars="0"/>
              <w:rPr>
                <w:rFonts w:hAnsi="宋体"/>
                <w:color w:val="auto"/>
                <w:szCs w:val="21"/>
                <w:highlight w:val="none"/>
              </w:rPr>
            </w:pPr>
            <w:r>
              <w:rPr>
                <w:rFonts w:hAnsi="宋体"/>
                <w:color w:val="auto"/>
                <w:szCs w:val="21"/>
                <w:highlight w:val="none"/>
              </w:rPr>
              <w:t xml:space="preserve">2.3 </w:t>
            </w:r>
            <w:r>
              <w:rPr>
                <w:rFonts w:hint="eastAsia" w:hAnsi="宋体"/>
                <w:color w:val="auto"/>
                <w:szCs w:val="21"/>
                <w:highlight w:val="none"/>
              </w:rPr>
              <w:t>最大激发电压：</w:t>
            </w:r>
            <w:r>
              <w:rPr>
                <w:rFonts w:hAnsi="宋体"/>
                <w:color w:val="auto"/>
                <w:szCs w:val="21"/>
                <w:highlight w:val="none"/>
              </w:rPr>
              <w:t>50 KV</w:t>
            </w:r>
            <w:r>
              <w:rPr>
                <w:rFonts w:hint="eastAsia" w:hAnsi="宋体"/>
                <w:color w:val="auto"/>
                <w:szCs w:val="21"/>
                <w:highlight w:val="none"/>
              </w:rPr>
              <w:t>；</w:t>
            </w:r>
          </w:p>
          <w:p>
            <w:pPr>
              <w:spacing w:line="240" w:lineRule="auto"/>
              <w:ind w:firstLine="0" w:firstLineChars="0"/>
              <w:rPr>
                <w:rFonts w:hAnsi="宋体"/>
                <w:color w:val="auto"/>
                <w:szCs w:val="21"/>
                <w:highlight w:val="none"/>
              </w:rPr>
            </w:pPr>
            <w:r>
              <w:rPr>
                <w:rFonts w:ascii="Arial" w:hAnsi="Arial" w:cs="Arial"/>
                <w:color w:val="auto"/>
                <w:highlight w:val="none"/>
                <w:shd w:val="clear" w:color="auto" w:fill="FFFFFF"/>
              </w:rPr>
              <w:t>▲</w:t>
            </w:r>
            <w:r>
              <w:rPr>
                <w:rFonts w:hAnsi="宋体"/>
                <w:color w:val="auto"/>
                <w:szCs w:val="21"/>
                <w:highlight w:val="none"/>
              </w:rPr>
              <w:t>2.4</w:t>
            </w:r>
            <w:r>
              <w:rPr>
                <w:rFonts w:hint="eastAsia" w:hAnsi="宋体"/>
                <w:color w:val="auto"/>
                <w:szCs w:val="21"/>
                <w:highlight w:val="none"/>
              </w:rPr>
              <w:t>最大激发电流：</w:t>
            </w:r>
            <w:r>
              <w:rPr>
                <w:rFonts w:hAnsi="宋体"/>
                <w:color w:val="auto"/>
                <w:szCs w:val="21"/>
                <w:highlight w:val="none"/>
              </w:rPr>
              <w:t>2 mA</w:t>
            </w:r>
            <w:r>
              <w:rPr>
                <w:rFonts w:hint="eastAsia" w:hAnsi="宋体"/>
                <w:color w:val="auto"/>
                <w:szCs w:val="21"/>
                <w:highlight w:val="none"/>
              </w:rPr>
              <w:t>；</w:t>
            </w:r>
          </w:p>
          <w:p>
            <w:pPr>
              <w:spacing w:line="240" w:lineRule="auto"/>
              <w:ind w:firstLine="0" w:firstLineChars="0"/>
              <w:rPr>
                <w:color w:val="auto"/>
                <w:highlight w:val="none"/>
              </w:rPr>
            </w:pPr>
            <w:r>
              <w:rPr>
                <w:rFonts w:ascii="Arial" w:hAnsi="Arial" w:cs="Arial"/>
                <w:color w:val="auto"/>
                <w:highlight w:val="none"/>
                <w:shd w:val="clear" w:color="auto" w:fill="FFFFFF"/>
              </w:rPr>
              <w:t>▲</w:t>
            </w:r>
            <w:r>
              <w:rPr>
                <w:color w:val="auto"/>
                <w:highlight w:val="none"/>
              </w:rPr>
              <w:t>2.5</w:t>
            </w:r>
            <w:r>
              <w:rPr>
                <w:rFonts w:hint="eastAsia"/>
                <w:color w:val="auto"/>
                <w:highlight w:val="none"/>
              </w:rPr>
              <w:t>滤光片位数：≥</w:t>
            </w:r>
            <w:r>
              <w:rPr>
                <w:color w:val="auto"/>
                <w:highlight w:val="none"/>
              </w:rPr>
              <w:t>9</w:t>
            </w:r>
            <w:r>
              <w:rPr>
                <w:rFonts w:hint="eastAsia"/>
                <w:color w:val="auto"/>
                <w:highlight w:val="none"/>
              </w:rPr>
              <w:t>。</w:t>
            </w:r>
          </w:p>
          <w:p>
            <w:pPr>
              <w:spacing w:line="240" w:lineRule="auto"/>
              <w:ind w:firstLine="0" w:firstLineChars="0"/>
              <w:rPr>
                <w:rFonts w:hAnsi="宋体"/>
                <w:color w:val="auto"/>
                <w:szCs w:val="21"/>
                <w:highlight w:val="none"/>
              </w:rPr>
            </w:pPr>
            <w:r>
              <w:rPr>
                <w:rFonts w:hint="eastAsia"/>
                <w:color w:val="auto"/>
                <w:highlight w:val="none"/>
              </w:rPr>
              <w:t>3、检测器：</w:t>
            </w:r>
            <w:r>
              <w:rPr>
                <w:color w:val="auto"/>
                <w:highlight w:val="none"/>
              </w:rPr>
              <w:t xml:space="preserve"> </w:t>
            </w:r>
          </w:p>
          <w:p>
            <w:pPr>
              <w:spacing w:line="240" w:lineRule="auto"/>
              <w:ind w:firstLine="0" w:firstLineChars="0"/>
              <w:rPr>
                <w:rFonts w:hAnsi="宋体"/>
                <w:color w:val="auto"/>
                <w:szCs w:val="21"/>
                <w:highlight w:val="none"/>
              </w:rPr>
            </w:pPr>
            <w:r>
              <w:rPr>
                <w:rFonts w:ascii="Arial" w:hAnsi="Arial" w:cs="Arial"/>
                <w:color w:val="auto"/>
                <w:highlight w:val="none"/>
                <w:shd w:val="clear" w:color="auto" w:fill="FFFFFF"/>
              </w:rPr>
              <w:t>▲</w:t>
            </w:r>
            <w:r>
              <w:rPr>
                <w:rFonts w:hAnsi="宋体"/>
                <w:color w:val="auto"/>
                <w:szCs w:val="21"/>
                <w:highlight w:val="none"/>
              </w:rPr>
              <w:t xml:space="preserve">3.1 </w:t>
            </w:r>
            <w:r>
              <w:rPr>
                <w:rFonts w:hint="eastAsia" w:hAnsi="宋体"/>
                <w:color w:val="auto"/>
                <w:szCs w:val="21"/>
                <w:highlight w:val="none"/>
              </w:rPr>
              <w:t>类型：硅漂移探测器（</w:t>
            </w:r>
            <w:r>
              <w:rPr>
                <w:rFonts w:hAnsi="宋体"/>
                <w:color w:val="auto"/>
                <w:szCs w:val="21"/>
                <w:highlight w:val="none"/>
              </w:rPr>
              <w:t>SDD</w:t>
            </w:r>
            <w:r>
              <w:rPr>
                <w:rFonts w:hint="eastAsia" w:hAnsi="宋体"/>
                <w:color w:val="auto"/>
                <w:szCs w:val="21"/>
                <w:highlight w:val="none"/>
              </w:rPr>
              <w:t>），</w:t>
            </w:r>
            <w:r>
              <w:rPr>
                <w:rFonts w:hAnsi="宋体"/>
                <w:color w:val="auto"/>
                <w:szCs w:val="21"/>
                <w:highlight w:val="none"/>
              </w:rPr>
              <w:t>8K</w:t>
            </w:r>
            <w:r>
              <w:rPr>
                <w:rFonts w:hint="eastAsia" w:hAnsi="宋体"/>
                <w:color w:val="auto"/>
                <w:szCs w:val="21"/>
                <w:highlight w:val="none"/>
              </w:rPr>
              <w:t>多道处理器；</w:t>
            </w:r>
          </w:p>
          <w:p>
            <w:pPr>
              <w:spacing w:line="240" w:lineRule="auto"/>
              <w:ind w:firstLine="0" w:firstLineChars="0"/>
              <w:rPr>
                <w:rFonts w:hAnsi="宋体"/>
                <w:color w:val="auto"/>
                <w:szCs w:val="21"/>
                <w:highlight w:val="none"/>
              </w:rPr>
            </w:pPr>
            <w:r>
              <w:rPr>
                <w:rFonts w:ascii="Arial" w:hAnsi="Arial" w:cs="Arial"/>
                <w:color w:val="auto"/>
                <w:highlight w:val="none"/>
                <w:shd w:val="clear" w:color="auto" w:fill="FFFFFF"/>
              </w:rPr>
              <w:t>▲</w:t>
            </w:r>
            <w:r>
              <w:rPr>
                <w:rFonts w:hAnsi="宋体"/>
                <w:color w:val="auto"/>
                <w:szCs w:val="21"/>
                <w:highlight w:val="none"/>
              </w:rPr>
              <w:t xml:space="preserve">3.2 </w:t>
            </w:r>
            <w:r>
              <w:rPr>
                <w:rFonts w:hint="eastAsia" w:hAnsi="宋体"/>
                <w:color w:val="auto"/>
                <w:szCs w:val="21"/>
                <w:highlight w:val="none"/>
              </w:rPr>
              <w:t>元素分析范围：</w:t>
            </w:r>
            <w:r>
              <w:rPr>
                <w:rFonts w:hAnsi="宋体"/>
                <w:color w:val="auto"/>
                <w:szCs w:val="21"/>
                <w:highlight w:val="none"/>
              </w:rPr>
              <w:t>C-Am</w:t>
            </w:r>
            <w:r>
              <w:rPr>
                <w:rFonts w:hint="eastAsia" w:hAnsi="宋体"/>
                <w:color w:val="auto"/>
                <w:szCs w:val="21"/>
                <w:highlight w:val="none"/>
              </w:rPr>
              <w:t>；</w:t>
            </w:r>
          </w:p>
          <w:p>
            <w:pPr>
              <w:spacing w:line="240" w:lineRule="auto"/>
              <w:ind w:firstLine="0" w:firstLineChars="0"/>
              <w:rPr>
                <w:rFonts w:hAnsi="宋体"/>
                <w:color w:val="auto"/>
                <w:szCs w:val="21"/>
                <w:highlight w:val="none"/>
              </w:rPr>
            </w:pPr>
            <w:r>
              <w:rPr>
                <w:rFonts w:ascii="Arial" w:hAnsi="Arial" w:cs="Arial"/>
                <w:color w:val="auto"/>
                <w:highlight w:val="none"/>
                <w:shd w:val="clear" w:color="auto" w:fill="FFFFFF"/>
              </w:rPr>
              <w:t>▲</w:t>
            </w:r>
            <w:r>
              <w:rPr>
                <w:rFonts w:hAnsi="宋体"/>
                <w:color w:val="auto"/>
                <w:szCs w:val="21"/>
                <w:highlight w:val="none"/>
              </w:rPr>
              <w:t xml:space="preserve">3.3 </w:t>
            </w:r>
            <w:r>
              <w:rPr>
                <w:rFonts w:hint="eastAsia" w:hAnsi="宋体"/>
                <w:color w:val="auto"/>
                <w:szCs w:val="21"/>
                <w:highlight w:val="none"/>
              </w:rPr>
              <w:t>分辨率：优于</w:t>
            </w:r>
            <w:r>
              <w:rPr>
                <w:rFonts w:hAnsi="宋体"/>
                <w:color w:val="auto"/>
                <w:szCs w:val="21"/>
                <w:highlight w:val="none"/>
              </w:rPr>
              <w:t>135eV @ Mn Kα300Kcps</w:t>
            </w:r>
            <w:r>
              <w:rPr>
                <w:rFonts w:hint="eastAsia" w:hAnsi="宋体"/>
                <w:color w:val="auto"/>
                <w:szCs w:val="21"/>
                <w:highlight w:val="none"/>
              </w:rPr>
              <w:t>，最大输入计数率优于</w:t>
            </w:r>
            <w:r>
              <w:rPr>
                <w:rFonts w:hAnsi="宋体"/>
                <w:color w:val="auto"/>
                <w:szCs w:val="21"/>
                <w:highlight w:val="none"/>
              </w:rPr>
              <w:t>2000Kcps</w:t>
            </w:r>
            <w:r>
              <w:rPr>
                <w:rFonts w:hint="eastAsia" w:hAnsi="宋体"/>
                <w:color w:val="auto"/>
                <w:szCs w:val="21"/>
                <w:highlight w:val="none"/>
              </w:rPr>
              <w:t>；</w:t>
            </w:r>
          </w:p>
          <w:p>
            <w:pPr>
              <w:spacing w:line="240" w:lineRule="auto"/>
              <w:ind w:firstLine="0" w:firstLineChars="0"/>
              <w:rPr>
                <w:rFonts w:hAnsi="宋体"/>
                <w:color w:val="auto"/>
                <w:szCs w:val="21"/>
                <w:highlight w:val="none"/>
              </w:rPr>
            </w:pPr>
            <w:r>
              <w:rPr>
                <w:rFonts w:hAnsi="宋体"/>
                <w:color w:val="auto"/>
                <w:szCs w:val="21"/>
                <w:highlight w:val="none"/>
              </w:rPr>
              <w:t xml:space="preserve">3.4 </w:t>
            </w:r>
            <w:r>
              <w:rPr>
                <w:rFonts w:hint="eastAsia" w:hAnsi="宋体"/>
                <w:color w:val="auto"/>
                <w:szCs w:val="21"/>
                <w:highlight w:val="none"/>
              </w:rPr>
              <w:t>冷却方式：电冷却，无需液氮；</w:t>
            </w:r>
          </w:p>
          <w:p>
            <w:pPr>
              <w:spacing w:line="240" w:lineRule="auto"/>
              <w:ind w:firstLine="0" w:firstLineChars="0"/>
              <w:rPr>
                <w:rFonts w:hAnsi="宋体"/>
                <w:color w:val="auto"/>
                <w:szCs w:val="21"/>
                <w:highlight w:val="none"/>
              </w:rPr>
            </w:pPr>
            <w:r>
              <w:rPr>
                <w:rFonts w:hAnsi="宋体"/>
                <w:color w:val="auto"/>
                <w:szCs w:val="21"/>
                <w:highlight w:val="none"/>
              </w:rPr>
              <w:t xml:space="preserve">3.5 </w:t>
            </w:r>
            <w:r>
              <w:rPr>
                <w:rFonts w:hint="eastAsia" w:hAnsi="宋体"/>
                <w:color w:val="auto"/>
                <w:szCs w:val="21"/>
                <w:highlight w:val="none"/>
              </w:rPr>
              <w:t>检测器保护帽：防止样品渗漏引起检测器故障；</w:t>
            </w:r>
          </w:p>
          <w:p>
            <w:pPr>
              <w:spacing w:line="240" w:lineRule="auto"/>
              <w:ind w:firstLine="0" w:firstLineChars="0"/>
              <w:rPr>
                <w:rFonts w:hAnsi="宋体"/>
                <w:color w:val="auto"/>
                <w:szCs w:val="21"/>
                <w:highlight w:val="none"/>
              </w:rPr>
            </w:pPr>
            <w:r>
              <w:rPr>
                <w:rFonts w:hint="eastAsia" w:hAnsi="宋体"/>
                <w:color w:val="auto"/>
                <w:szCs w:val="21"/>
                <w:highlight w:val="none"/>
              </w:rPr>
              <w:t>4、进样系统：</w:t>
            </w:r>
          </w:p>
          <w:p>
            <w:pPr>
              <w:spacing w:line="240" w:lineRule="auto"/>
              <w:ind w:firstLine="0" w:firstLineChars="0"/>
              <w:rPr>
                <w:rFonts w:hAnsi="宋体"/>
                <w:color w:val="auto"/>
                <w:szCs w:val="21"/>
                <w:highlight w:val="none"/>
              </w:rPr>
            </w:pPr>
            <w:r>
              <w:rPr>
                <w:rFonts w:hAnsi="宋体"/>
                <w:color w:val="auto"/>
                <w:szCs w:val="21"/>
                <w:highlight w:val="none"/>
              </w:rPr>
              <w:t xml:space="preserve">4.1 </w:t>
            </w:r>
            <w:r>
              <w:rPr>
                <w:rFonts w:hint="eastAsia" w:hAnsi="宋体"/>
                <w:color w:val="auto"/>
                <w:szCs w:val="21"/>
                <w:highlight w:val="none"/>
              </w:rPr>
              <w:t>全自动进样器，</w:t>
            </w:r>
            <w:bookmarkStart w:id="59" w:name="OLE_LINK2"/>
            <w:bookmarkStart w:id="60" w:name="OLE_LINK1"/>
            <w:r>
              <w:rPr>
                <w:rFonts w:hint="eastAsia" w:hAnsi="宋体"/>
                <w:color w:val="auto"/>
                <w:szCs w:val="21"/>
                <w:highlight w:val="none"/>
              </w:rPr>
              <w:t>进样位数</w:t>
            </w:r>
            <w:r>
              <w:rPr>
                <w:rFonts w:hAnsi="宋体"/>
                <w:color w:val="auto"/>
                <w:szCs w:val="21"/>
                <w:highlight w:val="none"/>
              </w:rPr>
              <w:t>≥20</w:t>
            </w:r>
            <w:bookmarkEnd w:id="59"/>
            <w:bookmarkEnd w:id="60"/>
            <w:r>
              <w:rPr>
                <w:rFonts w:hint="eastAsia" w:hAnsi="宋体"/>
                <w:color w:val="auto"/>
                <w:szCs w:val="21"/>
                <w:highlight w:val="none"/>
              </w:rPr>
              <w:t>；</w:t>
            </w:r>
          </w:p>
          <w:p>
            <w:pPr>
              <w:spacing w:line="240" w:lineRule="auto"/>
              <w:ind w:firstLine="0" w:firstLineChars="0"/>
              <w:rPr>
                <w:rFonts w:hAnsi="宋体"/>
                <w:color w:val="auto"/>
                <w:szCs w:val="21"/>
                <w:highlight w:val="none"/>
              </w:rPr>
            </w:pPr>
            <w:r>
              <w:rPr>
                <w:rFonts w:hAnsi="宋体"/>
                <w:color w:val="auto"/>
                <w:szCs w:val="21"/>
                <w:highlight w:val="none"/>
              </w:rPr>
              <w:t xml:space="preserve">4.2 </w:t>
            </w:r>
            <w:r>
              <w:rPr>
                <w:rFonts w:hint="eastAsia" w:hAnsi="宋体"/>
                <w:color w:val="auto"/>
                <w:szCs w:val="21"/>
                <w:highlight w:val="none"/>
              </w:rPr>
              <w:t>准直器：</w:t>
            </w:r>
            <w:r>
              <w:rPr>
                <w:rFonts w:hAnsi="宋体"/>
                <w:color w:val="auto"/>
                <w:szCs w:val="21"/>
                <w:highlight w:val="none"/>
              </w:rPr>
              <w:t>1mm</w:t>
            </w:r>
            <w:r>
              <w:rPr>
                <w:rFonts w:hint="eastAsia" w:hAnsi="宋体"/>
                <w:color w:val="auto"/>
                <w:szCs w:val="21"/>
                <w:highlight w:val="none"/>
              </w:rPr>
              <w:t>、</w:t>
            </w:r>
            <w:r>
              <w:rPr>
                <w:rFonts w:hAnsi="宋体"/>
                <w:color w:val="auto"/>
                <w:szCs w:val="21"/>
                <w:highlight w:val="none"/>
              </w:rPr>
              <w:t>8mm</w:t>
            </w:r>
            <w:r>
              <w:rPr>
                <w:rFonts w:hint="eastAsia" w:hAnsi="宋体"/>
                <w:color w:val="auto"/>
                <w:szCs w:val="21"/>
                <w:highlight w:val="none"/>
              </w:rPr>
              <w:t>、</w:t>
            </w:r>
            <w:r>
              <w:rPr>
                <w:rFonts w:hAnsi="宋体"/>
                <w:color w:val="auto"/>
                <w:szCs w:val="21"/>
                <w:highlight w:val="none"/>
              </w:rPr>
              <w:t>18mm</w:t>
            </w:r>
            <w:r>
              <w:rPr>
                <w:rFonts w:hint="eastAsia" w:hAnsi="宋体"/>
                <w:color w:val="auto"/>
                <w:szCs w:val="21"/>
                <w:highlight w:val="none"/>
              </w:rPr>
              <w:t>；</w:t>
            </w:r>
          </w:p>
          <w:p>
            <w:pPr>
              <w:spacing w:line="240" w:lineRule="auto"/>
              <w:ind w:firstLine="0" w:firstLineChars="0"/>
              <w:rPr>
                <w:rFonts w:hAnsi="宋体"/>
                <w:color w:val="auto"/>
                <w:szCs w:val="21"/>
                <w:highlight w:val="none"/>
              </w:rPr>
            </w:pPr>
            <w:r>
              <w:rPr>
                <w:rFonts w:hAnsi="宋体"/>
                <w:color w:val="auto"/>
                <w:szCs w:val="21"/>
                <w:highlight w:val="none"/>
              </w:rPr>
              <w:t xml:space="preserve">4.3 </w:t>
            </w:r>
            <w:r>
              <w:rPr>
                <w:rFonts w:hint="eastAsia" w:hAnsi="宋体"/>
                <w:color w:val="auto"/>
                <w:szCs w:val="21"/>
                <w:highlight w:val="none"/>
              </w:rPr>
              <w:t>样品自旋功能：测量时可以选择旋转，以消除样品不均匀影响；</w:t>
            </w:r>
          </w:p>
          <w:p>
            <w:pPr>
              <w:spacing w:line="240" w:lineRule="auto"/>
              <w:ind w:firstLine="0" w:firstLineChars="0"/>
              <w:rPr>
                <w:rFonts w:hAnsi="宋体"/>
                <w:color w:val="auto"/>
                <w:szCs w:val="21"/>
                <w:highlight w:val="none"/>
              </w:rPr>
            </w:pPr>
            <w:r>
              <w:rPr>
                <w:rFonts w:hAnsi="宋体"/>
                <w:color w:val="auto"/>
                <w:szCs w:val="21"/>
                <w:highlight w:val="none"/>
              </w:rPr>
              <w:t>4.4 CMOS</w:t>
            </w:r>
            <w:r>
              <w:rPr>
                <w:rFonts w:hint="eastAsia" w:hAnsi="宋体"/>
                <w:color w:val="auto"/>
                <w:szCs w:val="21"/>
                <w:highlight w:val="none"/>
              </w:rPr>
              <w:t>摄像头：样品精确定位，存储样品图像。分辨率不低于</w:t>
            </w:r>
            <w:r>
              <w:rPr>
                <w:rFonts w:hAnsi="宋体"/>
                <w:color w:val="auto"/>
                <w:szCs w:val="21"/>
                <w:highlight w:val="none"/>
              </w:rPr>
              <w:t>1280×720</w:t>
            </w:r>
            <w:r>
              <w:rPr>
                <w:rFonts w:hint="eastAsia" w:hAnsi="宋体"/>
                <w:color w:val="auto"/>
                <w:szCs w:val="21"/>
                <w:highlight w:val="none"/>
              </w:rPr>
              <w:t>；</w:t>
            </w:r>
          </w:p>
          <w:p>
            <w:pPr>
              <w:spacing w:line="240" w:lineRule="auto"/>
              <w:ind w:firstLine="0" w:firstLineChars="0"/>
              <w:rPr>
                <w:rFonts w:hAnsi="宋体"/>
                <w:color w:val="auto"/>
                <w:szCs w:val="21"/>
                <w:highlight w:val="none"/>
              </w:rPr>
            </w:pPr>
            <w:r>
              <w:rPr>
                <w:rFonts w:hAnsi="宋体"/>
                <w:color w:val="auto"/>
                <w:szCs w:val="21"/>
                <w:highlight w:val="none"/>
              </w:rPr>
              <w:t xml:space="preserve">4.5 </w:t>
            </w:r>
            <w:r>
              <w:rPr>
                <w:rFonts w:hint="eastAsia" w:hAnsi="宋体"/>
                <w:color w:val="auto"/>
                <w:szCs w:val="21"/>
                <w:highlight w:val="none"/>
              </w:rPr>
              <w:t>氦气系统：用于液体、粉末样品的测量，消除空气对荧光信号的散射作用；</w:t>
            </w:r>
          </w:p>
          <w:p>
            <w:pPr>
              <w:spacing w:line="240" w:lineRule="auto"/>
              <w:ind w:firstLine="0" w:firstLineChars="0"/>
              <w:rPr>
                <w:rFonts w:hAnsi="宋体"/>
                <w:color w:val="auto"/>
                <w:szCs w:val="21"/>
                <w:highlight w:val="none"/>
              </w:rPr>
            </w:pPr>
            <w:r>
              <w:rPr>
                <w:rFonts w:hAnsi="宋体"/>
                <w:color w:val="auto"/>
                <w:szCs w:val="21"/>
                <w:highlight w:val="none"/>
              </w:rPr>
              <w:t xml:space="preserve">4.6 </w:t>
            </w:r>
            <w:r>
              <w:rPr>
                <w:rFonts w:hint="eastAsia" w:hAnsi="宋体"/>
                <w:color w:val="auto"/>
                <w:szCs w:val="21"/>
                <w:highlight w:val="none"/>
              </w:rPr>
              <w:t>真空系统：提高固体样品轻元素信号和测试准确度；</w:t>
            </w:r>
          </w:p>
          <w:p>
            <w:pPr>
              <w:spacing w:line="240" w:lineRule="auto"/>
              <w:ind w:firstLine="0" w:firstLineChars="0"/>
              <w:rPr>
                <w:rFonts w:hAnsi="宋体"/>
                <w:color w:val="auto"/>
                <w:szCs w:val="21"/>
                <w:highlight w:val="none"/>
              </w:rPr>
            </w:pPr>
            <w:r>
              <w:rPr>
                <w:rFonts w:hint="eastAsia" w:hAnsi="宋体"/>
                <w:color w:val="auto"/>
                <w:szCs w:val="21"/>
                <w:highlight w:val="none"/>
              </w:rPr>
              <w:t>5、软件：</w:t>
            </w:r>
          </w:p>
          <w:p>
            <w:pPr>
              <w:spacing w:line="240" w:lineRule="auto"/>
              <w:ind w:firstLine="0" w:firstLineChars="0"/>
              <w:rPr>
                <w:rFonts w:hAnsi="宋体"/>
                <w:color w:val="auto"/>
                <w:szCs w:val="21"/>
                <w:highlight w:val="none"/>
              </w:rPr>
            </w:pPr>
            <w:r>
              <w:rPr>
                <w:rFonts w:hAnsi="宋体"/>
                <w:color w:val="auto"/>
                <w:szCs w:val="21"/>
                <w:highlight w:val="none"/>
              </w:rPr>
              <w:t xml:space="preserve">5.1 </w:t>
            </w:r>
            <w:r>
              <w:rPr>
                <w:rFonts w:hint="eastAsia" w:hAnsi="宋体"/>
                <w:color w:val="auto"/>
                <w:szCs w:val="21"/>
                <w:highlight w:val="none"/>
              </w:rPr>
              <w:t>必须可以监控仪器状态，有自动诊断功能；具有在线帮助功能、自动校正功能、自动判别干扰谱线功能、拥有理论</w:t>
            </w:r>
            <w:r>
              <w:rPr>
                <w:rFonts w:hAnsi="宋体"/>
                <w:color w:val="auto"/>
                <w:szCs w:val="21"/>
                <w:highlight w:val="none"/>
              </w:rPr>
              <w:t>α</w:t>
            </w:r>
            <w:r>
              <w:rPr>
                <w:rFonts w:hint="eastAsia" w:hAnsi="宋体"/>
                <w:color w:val="auto"/>
                <w:szCs w:val="21"/>
                <w:highlight w:val="none"/>
              </w:rPr>
              <w:t>系数计算功能、数据传输功能、密码管理系统、数据控制报警等软件；</w:t>
            </w:r>
          </w:p>
          <w:p>
            <w:pPr>
              <w:spacing w:line="240" w:lineRule="auto"/>
              <w:ind w:firstLine="0" w:firstLineChars="0"/>
              <w:rPr>
                <w:rFonts w:hAnsi="宋体"/>
                <w:color w:val="auto"/>
                <w:szCs w:val="21"/>
                <w:highlight w:val="none"/>
              </w:rPr>
            </w:pPr>
            <w:r>
              <w:rPr>
                <w:rFonts w:hAnsi="宋体"/>
                <w:color w:val="auto"/>
                <w:szCs w:val="21"/>
                <w:highlight w:val="none"/>
              </w:rPr>
              <w:t xml:space="preserve">5.2 </w:t>
            </w:r>
            <w:r>
              <w:rPr>
                <w:rFonts w:hint="eastAsia" w:hAnsi="宋体"/>
                <w:color w:val="auto"/>
                <w:szCs w:val="21"/>
                <w:highlight w:val="none"/>
              </w:rPr>
              <w:t>必须配置定性和定量分析软件：用于具有系列标样的情况下，标定标准曲线方式测定各元素的元素含量；</w:t>
            </w:r>
          </w:p>
          <w:p>
            <w:pPr>
              <w:spacing w:line="240" w:lineRule="auto"/>
              <w:ind w:firstLine="0" w:firstLineChars="0"/>
              <w:rPr>
                <w:rFonts w:hAnsi="宋体"/>
                <w:color w:val="auto"/>
                <w:highlight w:val="none"/>
              </w:rPr>
            </w:pPr>
            <w:r>
              <w:rPr>
                <w:rFonts w:hAnsi="宋体"/>
                <w:color w:val="auto"/>
                <w:highlight w:val="none"/>
              </w:rPr>
              <w:t xml:space="preserve">5.3 </w:t>
            </w:r>
            <w:r>
              <w:rPr>
                <w:rFonts w:hint="eastAsia" w:hAnsi="宋体"/>
                <w:color w:val="auto"/>
                <w:szCs w:val="21"/>
                <w:highlight w:val="none"/>
              </w:rPr>
              <w:t>必须</w:t>
            </w:r>
            <w:r>
              <w:rPr>
                <w:color w:val="auto"/>
                <w:highlight w:val="none"/>
              </w:rPr>
              <w:t>配置无标样定量分析软件：用于没有标样的情况下，采用光谱谱线拟合的方式测试未知样品中个元素的含量，可快速的全谱图扫描；针对关心的痕量元素进行定点单道测量，分析结果更准确；具有康谱顿散射校正功能，可以准确分析各种未知基体的样品</w:t>
            </w:r>
            <w:r>
              <w:rPr>
                <w:rFonts w:hint="eastAsia"/>
                <w:color w:val="auto"/>
                <w:highlight w:val="none"/>
              </w:rPr>
              <w:t>。</w:t>
            </w:r>
          </w:p>
          <w:p>
            <w:pPr>
              <w:spacing w:line="240" w:lineRule="auto"/>
              <w:ind w:firstLine="0" w:firstLineChars="0"/>
              <w:rPr>
                <w:rFonts w:hAnsi="宋体"/>
                <w:color w:val="auto"/>
                <w:szCs w:val="21"/>
                <w:highlight w:val="none"/>
              </w:rPr>
            </w:pPr>
            <w:r>
              <w:rPr>
                <w:rFonts w:hint="eastAsia" w:hAnsi="宋体"/>
                <w:color w:val="auto"/>
                <w:szCs w:val="21"/>
                <w:highlight w:val="none"/>
              </w:rPr>
              <w:t>6、</w:t>
            </w:r>
            <w:r>
              <w:rPr>
                <w:rFonts w:hint="eastAsia" w:ascii="宋体" w:hAnsi="宋体" w:cs="宋体"/>
                <w:color w:val="auto"/>
                <w:szCs w:val="21"/>
                <w:highlight w:val="none"/>
              </w:rPr>
              <w:t>安全</w:t>
            </w:r>
            <w:r>
              <w:rPr>
                <w:rFonts w:ascii="Arial" w:hAnsi="Arial" w:cs="Arial"/>
                <w:color w:val="auto"/>
                <w:szCs w:val="21"/>
                <w:highlight w:val="none"/>
              </w:rPr>
              <w:t>/</w:t>
            </w:r>
            <w:r>
              <w:rPr>
                <w:rFonts w:hint="eastAsia" w:ascii="宋体" w:hAnsi="宋体" w:cs="宋体"/>
                <w:color w:val="auto"/>
                <w:szCs w:val="21"/>
                <w:highlight w:val="none"/>
              </w:rPr>
              <w:t>质量保证要求：符合</w:t>
            </w:r>
            <w:r>
              <w:rPr>
                <w:rFonts w:ascii="Arial" w:hAnsi="Arial" w:cs="Arial"/>
                <w:color w:val="auto"/>
                <w:szCs w:val="21"/>
                <w:highlight w:val="none"/>
              </w:rPr>
              <w:t>ISO 9001</w:t>
            </w:r>
            <w:r>
              <w:rPr>
                <w:rFonts w:hint="eastAsia" w:ascii="宋体" w:hAnsi="宋体" w:cs="宋体"/>
                <w:color w:val="auto"/>
                <w:szCs w:val="21"/>
                <w:highlight w:val="none"/>
              </w:rPr>
              <w:t>，电器安全认证，辐射安全认证(在投标文件中提供证明资料)</w:t>
            </w:r>
            <w:r>
              <w:rPr>
                <w:rFonts w:hint="eastAsia" w:hAnsi="宋体"/>
                <w:color w:val="auto"/>
                <w:szCs w:val="21"/>
                <w:highlight w:val="none"/>
              </w:rPr>
              <w:t>。</w:t>
            </w:r>
          </w:p>
          <w:p>
            <w:pPr>
              <w:spacing w:line="240" w:lineRule="auto"/>
              <w:ind w:left="6" w:firstLine="0" w:firstLineChars="0"/>
              <w:rPr>
                <w:rFonts w:hAnsi="宋体"/>
                <w:color w:val="auto"/>
                <w:szCs w:val="21"/>
                <w:highlight w:val="none"/>
              </w:rPr>
            </w:pPr>
            <w:r>
              <w:rPr>
                <w:rFonts w:hint="eastAsia" w:hAnsi="宋体"/>
                <w:color w:val="auto"/>
                <w:szCs w:val="21"/>
                <w:highlight w:val="none"/>
              </w:rPr>
              <w:t>7</w:t>
            </w:r>
            <w:r>
              <w:rPr>
                <w:rFonts w:hAnsi="宋体"/>
                <w:color w:val="auto"/>
                <w:szCs w:val="21"/>
                <w:highlight w:val="none"/>
              </w:rPr>
              <w:t>、配套</w:t>
            </w:r>
            <w:r>
              <w:rPr>
                <w:rFonts w:hint="eastAsia" w:hAnsi="宋体"/>
                <w:color w:val="auto"/>
                <w:szCs w:val="21"/>
                <w:highlight w:val="none"/>
              </w:rPr>
              <w:t>要求：</w:t>
            </w:r>
          </w:p>
          <w:p>
            <w:pPr>
              <w:pStyle w:val="167"/>
              <w:spacing w:line="240" w:lineRule="auto"/>
              <w:ind w:firstLine="0" w:firstLineChars="0"/>
              <w:rPr>
                <w:rFonts w:hAnsi="宋体"/>
                <w:color w:val="auto"/>
                <w:highlight w:val="none"/>
              </w:rPr>
            </w:pPr>
            <w:r>
              <w:rPr>
                <w:rFonts w:hint="eastAsia"/>
                <w:color w:val="auto"/>
                <w:highlight w:val="none"/>
              </w:rPr>
              <w:t xml:space="preserve">7.1 </w:t>
            </w:r>
            <w:r>
              <w:rPr>
                <w:color w:val="auto"/>
                <w:highlight w:val="none"/>
              </w:rPr>
              <w:t>台式能量色散型</w:t>
            </w:r>
            <w:r>
              <w:rPr>
                <w:rFonts w:hAnsi="宋体"/>
                <w:color w:val="auto"/>
                <w:highlight w:val="none"/>
              </w:rPr>
              <w:t>X</w:t>
            </w:r>
            <w:r>
              <w:rPr>
                <w:color w:val="auto"/>
                <w:highlight w:val="none"/>
              </w:rPr>
              <w:t>射线荧光光谱仪</w:t>
            </w:r>
            <w:r>
              <w:rPr>
                <w:rFonts w:hAnsi="宋体"/>
                <w:color w:val="auto"/>
                <w:highlight w:val="none"/>
              </w:rPr>
              <w:t>1</w:t>
            </w:r>
            <w:r>
              <w:rPr>
                <w:color w:val="auto"/>
                <w:highlight w:val="none"/>
              </w:rPr>
              <w:t>台；</w:t>
            </w:r>
          </w:p>
          <w:p>
            <w:pPr>
              <w:pStyle w:val="167"/>
              <w:spacing w:line="240" w:lineRule="auto"/>
              <w:ind w:firstLine="0" w:firstLineChars="0"/>
              <w:rPr>
                <w:rFonts w:hAnsi="宋体"/>
                <w:color w:val="auto"/>
                <w:highlight w:val="none"/>
              </w:rPr>
            </w:pPr>
            <w:r>
              <w:rPr>
                <w:rFonts w:hint="eastAsia"/>
                <w:color w:val="auto"/>
                <w:highlight w:val="none"/>
              </w:rPr>
              <w:t xml:space="preserve">7.2 </w:t>
            </w:r>
            <w:r>
              <w:rPr>
                <w:color w:val="auto"/>
                <w:highlight w:val="none"/>
              </w:rPr>
              <w:t>全自动进样器</w:t>
            </w:r>
            <w:r>
              <w:rPr>
                <w:rFonts w:hAnsi="宋体"/>
                <w:color w:val="auto"/>
                <w:highlight w:val="none"/>
              </w:rPr>
              <w:t>1</w:t>
            </w:r>
            <w:r>
              <w:rPr>
                <w:color w:val="auto"/>
                <w:highlight w:val="none"/>
              </w:rPr>
              <w:t>套</w:t>
            </w:r>
            <w:r>
              <w:rPr>
                <w:rFonts w:hint="eastAsia"/>
                <w:color w:val="auto"/>
                <w:highlight w:val="none"/>
              </w:rPr>
              <w:t>（</w:t>
            </w:r>
            <w:r>
              <w:rPr>
                <w:rFonts w:hint="eastAsia" w:hAnsi="宋体"/>
                <w:color w:val="auto"/>
                <w:szCs w:val="21"/>
                <w:highlight w:val="none"/>
              </w:rPr>
              <w:t>进样位数</w:t>
            </w:r>
            <w:r>
              <w:rPr>
                <w:rFonts w:hAnsi="宋体"/>
                <w:color w:val="auto"/>
                <w:szCs w:val="21"/>
                <w:highlight w:val="none"/>
              </w:rPr>
              <w:t>≥20</w:t>
            </w:r>
            <w:r>
              <w:rPr>
                <w:rFonts w:hint="eastAsia"/>
                <w:color w:val="auto"/>
                <w:highlight w:val="none"/>
              </w:rPr>
              <w:t>）</w:t>
            </w:r>
            <w:r>
              <w:rPr>
                <w:color w:val="auto"/>
                <w:highlight w:val="none"/>
              </w:rPr>
              <w:t>；</w:t>
            </w:r>
          </w:p>
          <w:p>
            <w:pPr>
              <w:pStyle w:val="167"/>
              <w:spacing w:line="240" w:lineRule="auto"/>
              <w:ind w:firstLine="0" w:firstLineChars="0"/>
              <w:rPr>
                <w:rFonts w:hAnsi="宋体"/>
                <w:color w:val="auto"/>
                <w:highlight w:val="none"/>
              </w:rPr>
            </w:pPr>
            <w:r>
              <w:rPr>
                <w:rFonts w:hint="eastAsia"/>
                <w:color w:val="auto"/>
                <w:highlight w:val="none"/>
              </w:rPr>
              <w:t xml:space="preserve">7.3 </w:t>
            </w:r>
            <w:r>
              <w:rPr>
                <w:color w:val="auto"/>
                <w:highlight w:val="none"/>
              </w:rPr>
              <w:t>无标定量分析软件</w:t>
            </w:r>
            <w:r>
              <w:rPr>
                <w:rFonts w:hAnsi="宋体"/>
                <w:color w:val="auto"/>
                <w:highlight w:val="none"/>
              </w:rPr>
              <w:t>1</w:t>
            </w:r>
            <w:r>
              <w:rPr>
                <w:color w:val="auto"/>
                <w:highlight w:val="none"/>
              </w:rPr>
              <w:t>套；</w:t>
            </w:r>
          </w:p>
          <w:p>
            <w:pPr>
              <w:pStyle w:val="167"/>
              <w:spacing w:line="240" w:lineRule="auto"/>
              <w:ind w:firstLine="0" w:firstLineChars="0"/>
              <w:rPr>
                <w:rFonts w:hAnsi="宋体"/>
                <w:color w:val="auto"/>
                <w:highlight w:val="none"/>
              </w:rPr>
            </w:pPr>
            <w:r>
              <w:rPr>
                <w:rFonts w:hint="eastAsia"/>
                <w:color w:val="auto"/>
                <w:highlight w:val="none"/>
              </w:rPr>
              <w:t xml:space="preserve">7.4 </w:t>
            </w:r>
            <w:r>
              <w:rPr>
                <w:color w:val="auto"/>
                <w:highlight w:val="none"/>
              </w:rPr>
              <w:t>真空系统</w:t>
            </w:r>
            <w:r>
              <w:rPr>
                <w:rFonts w:hAnsi="宋体"/>
                <w:color w:val="auto"/>
                <w:highlight w:val="none"/>
              </w:rPr>
              <w:t>1</w:t>
            </w:r>
            <w:r>
              <w:rPr>
                <w:color w:val="auto"/>
                <w:highlight w:val="none"/>
              </w:rPr>
              <w:t>套；</w:t>
            </w:r>
          </w:p>
          <w:p>
            <w:pPr>
              <w:pStyle w:val="167"/>
              <w:spacing w:line="240" w:lineRule="auto"/>
              <w:ind w:firstLine="0" w:firstLineChars="0"/>
              <w:rPr>
                <w:rFonts w:hAnsi="宋体"/>
                <w:color w:val="auto"/>
                <w:highlight w:val="none"/>
              </w:rPr>
            </w:pPr>
            <w:r>
              <w:rPr>
                <w:rFonts w:hint="eastAsia"/>
                <w:color w:val="auto"/>
                <w:highlight w:val="none"/>
              </w:rPr>
              <w:t xml:space="preserve">7.5 </w:t>
            </w:r>
            <w:r>
              <w:rPr>
                <w:color w:val="auto"/>
                <w:highlight w:val="none"/>
              </w:rPr>
              <w:t>氦气系统</w:t>
            </w:r>
            <w:r>
              <w:rPr>
                <w:rFonts w:hAnsi="宋体"/>
                <w:color w:val="auto"/>
                <w:highlight w:val="none"/>
              </w:rPr>
              <w:t>1</w:t>
            </w:r>
            <w:r>
              <w:rPr>
                <w:color w:val="auto"/>
                <w:highlight w:val="none"/>
              </w:rPr>
              <w:t>套；</w:t>
            </w:r>
          </w:p>
          <w:p>
            <w:pPr>
              <w:pStyle w:val="167"/>
              <w:spacing w:line="240" w:lineRule="auto"/>
              <w:ind w:firstLine="0" w:firstLineChars="0"/>
              <w:rPr>
                <w:rFonts w:hAnsi="宋体"/>
                <w:color w:val="auto"/>
                <w:highlight w:val="none"/>
              </w:rPr>
            </w:pPr>
            <w:r>
              <w:rPr>
                <w:rFonts w:hint="eastAsia"/>
                <w:color w:val="auto"/>
                <w:highlight w:val="none"/>
              </w:rPr>
              <w:t xml:space="preserve">7.6 </w:t>
            </w:r>
            <w:r>
              <w:rPr>
                <w:color w:val="auto"/>
                <w:highlight w:val="none"/>
              </w:rPr>
              <w:t>样品自旋装置</w:t>
            </w:r>
            <w:r>
              <w:rPr>
                <w:rFonts w:hAnsi="宋体"/>
                <w:color w:val="auto"/>
                <w:highlight w:val="none"/>
              </w:rPr>
              <w:t>1</w:t>
            </w:r>
            <w:r>
              <w:rPr>
                <w:color w:val="auto"/>
                <w:highlight w:val="none"/>
              </w:rPr>
              <w:t>套；</w:t>
            </w:r>
          </w:p>
          <w:p>
            <w:pPr>
              <w:pStyle w:val="167"/>
              <w:spacing w:line="240" w:lineRule="auto"/>
              <w:ind w:firstLine="0" w:firstLineChars="0"/>
              <w:rPr>
                <w:rFonts w:hAnsi="宋体"/>
                <w:color w:val="auto"/>
                <w:highlight w:val="none"/>
              </w:rPr>
            </w:pPr>
            <w:r>
              <w:rPr>
                <w:rFonts w:hint="eastAsia" w:hAnsi="宋体"/>
                <w:color w:val="auto"/>
                <w:highlight w:val="none"/>
              </w:rPr>
              <w:t xml:space="preserve">7.7 </w:t>
            </w:r>
            <w:r>
              <w:rPr>
                <w:rFonts w:hAnsi="宋体"/>
                <w:color w:val="auto"/>
                <w:highlight w:val="none"/>
              </w:rPr>
              <w:t>CMOS</w:t>
            </w:r>
            <w:r>
              <w:rPr>
                <w:color w:val="auto"/>
                <w:highlight w:val="none"/>
              </w:rPr>
              <w:t>摄像头</w:t>
            </w:r>
            <w:r>
              <w:rPr>
                <w:rFonts w:hAnsi="宋体"/>
                <w:color w:val="auto"/>
                <w:highlight w:val="none"/>
              </w:rPr>
              <w:t>1</w:t>
            </w:r>
            <w:r>
              <w:rPr>
                <w:color w:val="auto"/>
                <w:highlight w:val="none"/>
              </w:rPr>
              <w:t>个；</w:t>
            </w:r>
          </w:p>
          <w:p>
            <w:pPr>
              <w:pStyle w:val="167"/>
              <w:spacing w:line="240" w:lineRule="auto"/>
              <w:ind w:firstLine="0" w:firstLineChars="0"/>
              <w:rPr>
                <w:rFonts w:hAnsi="宋体"/>
                <w:color w:val="auto"/>
                <w:highlight w:val="none"/>
              </w:rPr>
            </w:pPr>
            <w:r>
              <w:rPr>
                <w:rFonts w:hint="eastAsia"/>
                <w:color w:val="auto"/>
                <w:highlight w:val="none"/>
              </w:rPr>
              <w:t xml:space="preserve">7.8 </w:t>
            </w:r>
            <w:r>
              <w:rPr>
                <w:color w:val="auto"/>
                <w:highlight w:val="none"/>
              </w:rPr>
              <w:t>直径为</w:t>
            </w:r>
            <w:r>
              <w:rPr>
                <w:rFonts w:hAnsi="宋体"/>
                <w:color w:val="auto"/>
                <w:highlight w:val="none"/>
              </w:rPr>
              <w:t>1mm</w:t>
            </w:r>
            <w:r>
              <w:rPr>
                <w:color w:val="auto"/>
                <w:highlight w:val="none"/>
              </w:rPr>
              <w:t>、</w:t>
            </w:r>
            <w:r>
              <w:rPr>
                <w:rFonts w:hAnsi="宋体"/>
                <w:color w:val="auto"/>
                <w:highlight w:val="none"/>
              </w:rPr>
              <w:t>8mm</w:t>
            </w:r>
            <w:r>
              <w:rPr>
                <w:color w:val="auto"/>
                <w:highlight w:val="none"/>
              </w:rPr>
              <w:t>和</w:t>
            </w:r>
            <w:r>
              <w:rPr>
                <w:rFonts w:hAnsi="宋体"/>
                <w:color w:val="auto"/>
                <w:highlight w:val="none"/>
              </w:rPr>
              <w:t>18mm</w:t>
            </w:r>
            <w:r>
              <w:rPr>
                <w:color w:val="auto"/>
                <w:highlight w:val="none"/>
              </w:rPr>
              <w:t>的准直器各</w:t>
            </w:r>
            <w:r>
              <w:rPr>
                <w:rFonts w:hAnsi="宋体"/>
                <w:color w:val="auto"/>
                <w:highlight w:val="none"/>
              </w:rPr>
              <w:t>1</w:t>
            </w:r>
            <w:r>
              <w:rPr>
                <w:color w:val="auto"/>
                <w:highlight w:val="none"/>
              </w:rPr>
              <w:t>个；</w:t>
            </w:r>
          </w:p>
          <w:p>
            <w:pPr>
              <w:pStyle w:val="167"/>
              <w:spacing w:line="240" w:lineRule="auto"/>
              <w:ind w:firstLine="0" w:firstLineChars="0"/>
              <w:rPr>
                <w:rFonts w:hAnsi="宋体"/>
                <w:color w:val="auto"/>
                <w:highlight w:val="none"/>
              </w:rPr>
            </w:pPr>
            <w:r>
              <w:rPr>
                <w:rFonts w:hint="eastAsia"/>
                <w:color w:val="auto"/>
                <w:highlight w:val="none"/>
              </w:rPr>
              <w:t xml:space="preserve">7.9 </w:t>
            </w:r>
            <w:r>
              <w:rPr>
                <w:color w:val="auto"/>
                <w:highlight w:val="none"/>
              </w:rPr>
              <w:t>耗材</w:t>
            </w:r>
            <w:r>
              <w:rPr>
                <w:rFonts w:hAnsi="宋体"/>
                <w:color w:val="auto"/>
                <w:highlight w:val="none"/>
              </w:rPr>
              <w:t>1</w:t>
            </w:r>
            <w:r>
              <w:rPr>
                <w:color w:val="auto"/>
                <w:highlight w:val="none"/>
              </w:rPr>
              <w:t>套（包括液体样品杯</w:t>
            </w:r>
            <w:r>
              <w:rPr>
                <w:rFonts w:hAnsi="宋体"/>
                <w:color w:val="auto"/>
                <w:highlight w:val="none"/>
              </w:rPr>
              <w:t>500</w:t>
            </w:r>
            <w:r>
              <w:rPr>
                <w:color w:val="auto"/>
                <w:highlight w:val="none"/>
              </w:rPr>
              <w:t>个、</w:t>
            </w:r>
            <w:r>
              <w:rPr>
                <w:rFonts w:hAnsi="宋体"/>
                <w:color w:val="auto"/>
                <w:highlight w:val="none"/>
              </w:rPr>
              <w:t>6µm</w:t>
            </w:r>
            <w:r>
              <w:rPr>
                <w:color w:val="auto"/>
                <w:highlight w:val="none"/>
              </w:rPr>
              <w:t>厚</w:t>
            </w:r>
            <w:r>
              <w:rPr>
                <w:rFonts w:hAnsi="宋体"/>
                <w:color w:val="auto"/>
                <w:highlight w:val="none"/>
              </w:rPr>
              <w:t>Mylar</w:t>
            </w:r>
            <w:r>
              <w:rPr>
                <w:color w:val="auto"/>
                <w:highlight w:val="none"/>
              </w:rPr>
              <w:t>膜</w:t>
            </w:r>
            <w:r>
              <w:rPr>
                <w:rFonts w:hAnsi="宋体"/>
                <w:color w:val="auto"/>
                <w:highlight w:val="none"/>
              </w:rPr>
              <w:t>90m</w:t>
            </w:r>
            <w:r>
              <w:rPr>
                <w:color w:val="auto"/>
                <w:highlight w:val="none"/>
              </w:rPr>
              <w:t>以及</w:t>
            </w:r>
            <w:r>
              <w:rPr>
                <w:rFonts w:hAnsi="宋体"/>
                <w:color w:val="auto"/>
                <w:highlight w:val="none"/>
              </w:rPr>
              <w:t>4µm</w:t>
            </w:r>
            <w:r>
              <w:rPr>
                <w:color w:val="auto"/>
                <w:highlight w:val="none"/>
              </w:rPr>
              <w:t>厚</w:t>
            </w:r>
            <w:r>
              <w:rPr>
                <w:rFonts w:hAnsi="宋体"/>
                <w:color w:val="auto"/>
                <w:highlight w:val="none"/>
              </w:rPr>
              <w:t>Prolene</w:t>
            </w:r>
            <w:r>
              <w:rPr>
                <w:color w:val="auto"/>
                <w:highlight w:val="none"/>
              </w:rPr>
              <w:t>膜</w:t>
            </w:r>
            <w:r>
              <w:rPr>
                <w:rFonts w:hAnsi="宋体"/>
                <w:color w:val="auto"/>
                <w:highlight w:val="none"/>
              </w:rPr>
              <w:t>90m</w:t>
            </w:r>
            <w:r>
              <w:rPr>
                <w:color w:val="auto"/>
                <w:highlight w:val="none"/>
              </w:rPr>
              <w:t>）；</w:t>
            </w:r>
          </w:p>
          <w:p>
            <w:pPr>
              <w:pStyle w:val="167"/>
              <w:spacing w:line="240" w:lineRule="auto"/>
              <w:ind w:firstLine="0" w:firstLineChars="0"/>
              <w:rPr>
                <w:rFonts w:hAnsi="宋体"/>
                <w:color w:val="auto"/>
                <w:highlight w:val="none"/>
              </w:rPr>
            </w:pPr>
            <w:r>
              <w:rPr>
                <w:rFonts w:hint="eastAsia" w:hAnsi="宋体"/>
                <w:color w:val="auto"/>
                <w:highlight w:val="none"/>
              </w:rPr>
              <w:t>7.10 工作站1套</w:t>
            </w:r>
            <w:r>
              <w:rPr>
                <w:color w:val="auto"/>
                <w:highlight w:val="none"/>
              </w:rPr>
              <w:t>（</w:t>
            </w:r>
            <w:r>
              <w:rPr>
                <w:rFonts w:hint="eastAsia" w:hAnsi="宋体"/>
                <w:color w:val="auto"/>
                <w:highlight w:val="none"/>
              </w:rPr>
              <w:t>至少</w:t>
            </w:r>
            <w:r>
              <w:rPr>
                <w:rFonts w:hAnsi="宋体"/>
                <w:color w:val="auto"/>
                <w:highlight w:val="none"/>
              </w:rPr>
              <w:t>i5</w:t>
            </w:r>
            <w:r>
              <w:rPr>
                <w:rFonts w:hint="eastAsia" w:hAnsi="宋体"/>
                <w:color w:val="auto"/>
                <w:highlight w:val="none"/>
              </w:rPr>
              <w:t>处理器、</w:t>
            </w:r>
            <w:r>
              <w:rPr>
                <w:rFonts w:hAnsi="宋体"/>
                <w:color w:val="auto"/>
                <w:highlight w:val="none"/>
              </w:rPr>
              <w:t>4G</w:t>
            </w:r>
            <w:r>
              <w:rPr>
                <w:rFonts w:hint="eastAsia" w:hAnsi="宋体"/>
                <w:color w:val="auto"/>
                <w:highlight w:val="none"/>
              </w:rPr>
              <w:t>以上</w:t>
            </w:r>
            <w:r>
              <w:rPr>
                <w:rFonts w:hAnsi="宋体"/>
                <w:color w:val="auto"/>
                <w:highlight w:val="none"/>
              </w:rPr>
              <w:t>RAM</w:t>
            </w:r>
            <w:r>
              <w:rPr>
                <w:rFonts w:hint="eastAsia" w:hAnsi="宋体"/>
                <w:color w:val="auto"/>
                <w:highlight w:val="none"/>
              </w:rPr>
              <w:t>内存、</w:t>
            </w:r>
            <w:r>
              <w:rPr>
                <w:rFonts w:hAnsi="宋体"/>
                <w:color w:val="auto"/>
                <w:highlight w:val="none"/>
              </w:rPr>
              <w:t>1TB HDD</w:t>
            </w:r>
            <w:r>
              <w:rPr>
                <w:rFonts w:hint="eastAsia" w:hAnsi="宋体"/>
                <w:color w:val="auto"/>
                <w:highlight w:val="none"/>
              </w:rPr>
              <w:t>、液晶</w:t>
            </w:r>
            <w:r>
              <w:rPr>
                <w:rFonts w:hAnsi="宋体"/>
                <w:color w:val="auto"/>
                <w:highlight w:val="none"/>
              </w:rPr>
              <w:t>21”</w:t>
            </w:r>
            <w:r>
              <w:rPr>
                <w:rFonts w:hint="eastAsia" w:hAnsi="宋体"/>
                <w:color w:val="auto"/>
                <w:highlight w:val="none"/>
              </w:rPr>
              <w:t>显示器，</w:t>
            </w:r>
            <w:r>
              <w:rPr>
                <w:rFonts w:hAnsi="宋体"/>
                <w:color w:val="auto"/>
                <w:highlight w:val="none"/>
              </w:rPr>
              <w:t>Windows 7</w:t>
            </w:r>
            <w:r>
              <w:rPr>
                <w:rFonts w:hint="eastAsia" w:hAnsi="宋体"/>
                <w:color w:val="auto"/>
                <w:highlight w:val="none"/>
              </w:rPr>
              <w:t>或</w:t>
            </w:r>
            <w:r>
              <w:rPr>
                <w:rFonts w:hAnsi="宋体"/>
                <w:color w:val="auto"/>
                <w:highlight w:val="none"/>
              </w:rPr>
              <w:t>10</w:t>
            </w:r>
            <w:r>
              <w:rPr>
                <w:rFonts w:hint="eastAsia" w:hAnsi="宋体"/>
                <w:color w:val="auto"/>
                <w:highlight w:val="none"/>
              </w:rPr>
              <w:t>专业版操作系统，网卡</w:t>
            </w:r>
            <w:r>
              <w:rPr>
                <w:color w:val="auto"/>
                <w:highlight w:val="none"/>
              </w:rPr>
              <w:t>）；</w:t>
            </w:r>
          </w:p>
          <w:p>
            <w:pPr>
              <w:pStyle w:val="167"/>
              <w:spacing w:line="240" w:lineRule="auto"/>
              <w:ind w:firstLine="0" w:firstLineChars="0"/>
              <w:rPr>
                <w:color w:val="auto"/>
                <w:highlight w:val="none"/>
              </w:rPr>
            </w:pPr>
            <w:r>
              <w:rPr>
                <w:rFonts w:hint="eastAsia" w:hAnsi="宋体"/>
                <w:color w:val="auto"/>
                <w:highlight w:val="none"/>
              </w:rPr>
              <w:t xml:space="preserve">7.11 </w:t>
            </w:r>
            <w:r>
              <w:rPr>
                <w:color w:val="auto"/>
                <w:highlight w:val="none"/>
              </w:rPr>
              <w:t>自动压片机</w:t>
            </w:r>
            <w:r>
              <w:rPr>
                <w:rFonts w:hAnsi="宋体"/>
                <w:color w:val="auto"/>
                <w:highlight w:val="none"/>
              </w:rPr>
              <w:t>1</w:t>
            </w:r>
            <w:r>
              <w:rPr>
                <w:color w:val="auto"/>
                <w:highlight w:val="none"/>
              </w:rPr>
              <w:t>台</w:t>
            </w:r>
            <w:r>
              <w:rPr>
                <w:rFonts w:hint="eastAsia"/>
                <w:color w:val="auto"/>
                <w:highlight w:val="none"/>
              </w:rPr>
              <w:t>，要求如下：</w:t>
            </w:r>
          </w:p>
          <w:p>
            <w:pPr>
              <w:pStyle w:val="167"/>
              <w:spacing w:line="240" w:lineRule="auto"/>
              <w:ind w:firstLine="0" w:firstLineChars="0"/>
              <w:rPr>
                <w:rFonts w:hAnsi="宋体"/>
                <w:color w:val="auto"/>
                <w:highlight w:val="none"/>
              </w:rPr>
            </w:pPr>
            <w:r>
              <w:rPr>
                <w:rFonts w:hint="eastAsia" w:hAnsi="宋体"/>
                <w:color w:val="auto"/>
                <w:highlight w:val="none"/>
              </w:rPr>
              <w:t>7.11.1 压力范围：0—40.0吨；</w:t>
            </w:r>
          </w:p>
          <w:p>
            <w:pPr>
              <w:pStyle w:val="167"/>
              <w:spacing w:line="240" w:lineRule="auto"/>
              <w:ind w:firstLine="0" w:firstLineChars="0"/>
              <w:rPr>
                <w:rFonts w:hAnsi="宋体"/>
                <w:color w:val="auto"/>
                <w:highlight w:val="none"/>
              </w:rPr>
            </w:pPr>
            <w:r>
              <w:rPr>
                <w:rFonts w:hint="eastAsia" w:hAnsi="宋体"/>
                <w:color w:val="auto"/>
                <w:highlight w:val="none"/>
              </w:rPr>
              <w:t>7.11.2 加压过程：程序加压—程序保压—定时泄压—自动退样；</w:t>
            </w:r>
          </w:p>
          <w:p>
            <w:pPr>
              <w:pStyle w:val="167"/>
              <w:spacing w:line="240" w:lineRule="auto"/>
              <w:ind w:firstLine="0" w:firstLineChars="0"/>
              <w:rPr>
                <w:rFonts w:hAnsi="宋体"/>
                <w:color w:val="auto"/>
                <w:highlight w:val="none"/>
              </w:rPr>
            </w:pPr>
            <w:r>
              <w:rPr>
                <w:rFonts w:hint="eastAsia" w:hAnsi="宋体"/>
                <w:color w:val="auto"/>
                <w:highlight w:val="none"/>
              </w:rPr>
              <w:t>7.11.3 保压时间：0-999秒；</w:t>
            </w:r>
          </w:p>
          <w:p>
            <w:pPr>
              <w:pStyle w:val="167"/>
              <w:spacing w:line="240" w:lineRule="auto"/>
              <w:ind w:firstLine="0" w:firstLineChars="0"/>
              <w:rPr>
                <w:rFonts w:hAnsi="宋体"/>
                <w:color w:val="auto"/>
                <w:highlight w:val="none"/>
              </w:rPr>
            </w:pPr>
            <w:r>
              <w:rPr>
                <w:rFonts w:hint="eastAsia" w:hAnsi="宋体"/>
                <w:color w:val="auto"/>
                <w:highlight w:val="none"/>
              </w:rPr>
              <w:t>7.11.4 内置1套硼酸磨具；</w:t>
            </w:r>
          </w:p>
          <w:p>
            <w:pPr>
              <w:pStyle w:val="167"/>
              <w:spacing w:line="240" w:lineRule="auto"/>
              <w:ind w:firstLine="0" w:firstLineChars="0"/>
              <w:rPr>
                <w:rFonts w:hAnsi="宋体"/>
                <w:color w:val="auto"/>
                <w:highlight w:val="none"/>
              </w:rPr>
            </w:pPr>
            <w:r>
              <w:rPr>
                <w:rFonts w:hint="eastAsia" w:hAnsi="宋体"/>
                <w:color w:val="auto"/>
                <w:highlight w:val="none"/>
              </w:rPr>
              <w:t>7.11.5 样品尺寸：φ40mm；</w:t>
            </w:r>
          </w:p>
          <w:p>
            <w:pPr>
              <w:pStyle w:val="167"/>
              <w:spacing w:line="240" w:lineRule="auto"/>
              <w:ind w:firstLine="0" w:firstLineChars="0"/>
              <w:rPr>
                <w:rFonts w:hAnsi="宋体"/>
                <w:color w:val="auto"/>
                <w:highlight w:val="none"/>
              </w:rPr>
            </w:pPr>
            <w:r>
              <w:rPr>
                <w:rFonts w:hint="eastAsia" w:hAnsi="宋体"/>
                <w:color w:val="auto"/>
                <w:highlight w:val="none"/>
              </w:rPr>
              <w:t>7.11.6 压强换算：程序自动换算磨具承受压强；</w:t>
            </w:r>
          </w:p>
          <w:p>
            <w:pPr>
              <w:pStyle w:val="167"/>
              <w:spacing w:line="240" w:lineRule="auto"/>
              <w:ind w:firstLine="0" w:firstLineChars="0"/>
              <w:rPr>
                <w:rFonts w:hAnsi="宋体"/>
                <w:color w:val="auto"/>
                <w:highlight w:val="none"/>
              </w:rPr>
            </w:pPr>
            <w:r>
              <w:rPr>
                <w:rFonts w:hint="eastAsia" w:hAnsi="宋体"/>
                <w:color w:val="auto"/>
                <w:highlight w:val="none"/>
              </w:rPr>
              <w:t>7.11.7 液晶显示：4.3寸；</w:t>
            </w:r>
          </w:p>
          <w:p>
            <w:pPr>
              <w:pStyle w:val="167"/>
              <w:spacing w:line="240" w:lineRule="auto"/>
              <w:ind w:firstLine="0" w:firstLineChars="0"/>
              <w:rPr>
                <w:rFonts w:hAnsi="宋体"/>
                <w:color w:val="auto"/>
                <w:highlight w:val="none"/>
              </w:rPr>
            </w:pPr>
            <w:r>
              <w:rPr>
                <w:rFonts w:hint="eastAsia" w:hAnsi="宋体"/>
                <w:color w:val="auto"/>
                <w:highlight w:val="none"/>
              </w:rPr>
              <w:t>7.11.8 自动脱模，磨具材质高铬模具钢配合金压头。</w:t>
            </w:r>
          </w:p>
          <w:p>
            <w:pPr>
              <w:spacing w:line="240" w:lineRule="auto"/>
              <w:ind w:firstLine="0" w:firstLineChars="0"/>
              <w:rPr>
                <w:rFonts w:hAnsi="宋体"/>
                <w:bCs/>
                <w:color w:val="auto"/>
                <w:szCs w:val="21"/>
                <w:highlight w:val="none"/>
              </w:rPr>
            </w:pPr>
            <w:r>
              <w:rPr>
                <w:rFonts w:hint="eastAsia" w:hAnsi="宋体"/>
                <w:color w:val="auto"/>
                <w:highlight w:val="none"/>
              </w:rPr>
              <w:t>8、</w:t>
            </w:r>
            <w:r>
              <w:rPr>
                <w:rFonts w:hAnsi="宋体"/>
                <w:color w:val="auto"/>
                <w:szCs w:val="21"/>
                <w:highlight w:val="none"/>
              </w:rPr>
              <w:t>售后服务要求</w:t>
            </w:r>
            <w:r>
              <w:rPr>
                <w:rFonts w:hint="eastAsia" w:hAnsi="宋体"/>
                <w:color w:val="auto"/>
                <w:szCs w:val="21"/>
                <w:highlight w:val="none"/>
              </w:rPr>
              <w:t>：</w:t>
            </w:r>
            <w:r>
              <w:rPr>
                <w:rFonts w:hint="eastAsia" w:hAnsi="宋体"/>
                <w:bCs/>
                <w:color w:val="auto"/>
                <w:szCs w:val="21"/>
                <w:highlight w:val="none"/>
              </w:rPr>
              <w:t>整机</w:t>
            </w:r>
            <w:r>
              <w:rPr>
                <w:rFonts w:hAnsi="宋体"/>
                <w:bCs/>
                <w:color w:val="auto"/>
                <w:szCs w:val="21"/>
                <w:highlight w:val="none"/>
              </w:rPr>
              <w:t>保修</w:t>
            </w:r>
            <w:r>
              <w:rPr>
                <w:rFonts w:hint="eastAsia"/>
                <w:bCs/>
                <w:color w:val="auto"/>
                <w:szCs w:val="21"/>
                <w:highlight w:val="none"/>
              </w:rPr>
              <w:t>三年</w:t>
            </w:r>
            <w:r>
              <w:rPr>
                <w:rFonts w:hAnsi="宋体"/>
                <w:bCs/>
                <w:color w:val="auto"/>
                <w:szCs w:val="21"/>
                <w:highlight w:val="none"/>
              </w:rPr>
              <w:t>。</w:t>
            </w:r>
          </w:p>
          <w:p>
            <w:pPr>
              <w:pStyle w:val="2"/>
              <w:rPr>
                <w:color w:val="auto"/>
                <w:highlight w:val="none"/>
              </w:rPr>
            </w:pPr>
            <w:r>
              <w:rPr>
                <w:rFonts w:hint="eastAsia" w:ascii="Times New Roman" w:hAnsi="宋体"/>
                <w:color w:val="auto"/>
                <w:szCs w:val="21"/>
                <w:highlight w:val="none"/>
              </w:rPr>
              <w:t>（备注：自动压片机、工作站及打印输出设备采用人民币报价）</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2</w:t>
            </w: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highlight w:val="none"/>
              </w:rPr>
            </w:pPr>
            <w:r>
              <w:rPr>
                <w:rFonts w:hint="eastAsia" w:ascii="宋体" w:hAnsi="宋体" w:cs="宋体"/>
                <w:color w:val="auto"/>
                <w:highlight w:val="none"/>
              </w:rPr>
              <w:t>全自动固相萃取仪</w:t>
            </w:r>
          </w:p>
        </w:tc>
        <w:tc>
          <w:tcPr>
            <w:tcW w:w="5862" w:type="dxa"/>
            <w:shd w:val="clear" w:color="auto" w:fill="auto"/>
            <w:vAlign w:val="center"/>
          </w:tcPr>
          <w:p>
            <w:pPr>
              <w:spacing w:line="240" w:lineRule="auto"/>
              <w:ind w:firstLine="0" w:firstLineChars="0"/>
              <w:rPr>
                <w:bCs/>
                <w:color w:val="auto"/>
                <w:szCs w:val="21"/>
                <w:highlight w:val="none"/>
              </w:rPr>
            </w:pPr>
            <w:r>
              <w:rPr>
                <w:rFonts w:hint="eastAsia"/>
                <w:bCs/>
                <w:color w:val="auto"/>
                <w:szCs w:val="21"/>
                <w:highlight w:val="none"/>
              </w:rPr>
              <w:t>1、使用要求：用于食品、制药农药残留环境和生命科学的领域的样品提取液中有机物的萃取和净化，可以实现小体积上样的同时，兼顾大体积样品，可以满足多种样品数量的需求，可以实现从活化，淋洗，载样，收集，稀释，再生整个萃取过程，是气相、液相色谱或质谱仪器的样品前处理制备系统，能够很好的嵌入整个前处理流程，提高前处理的效率。</w:t>
            </w:r>
          </w:p>
          <w:p>
            <w:pPr>
              <w:spacing w:line="240" w:lineRule="auto"/>
              <w:ind w:firstLine="0" w:firstLineChars="0"/>
              <w:rPr>
                <w:bCs/>
                <w:color w:val="auto"/>
                <w:szCs w:val="21"/>
                <w:highlight w:val="none"/>
              </w:rPr>
            </w:pPr>
            <w:r>
              <w:rPr>
                <w:rFonts w:hint="eastAsia"/>
                <w:bCs/>
                <w:color w:val="auto"/>
                <w:szCs w:val="21"/>
                <w:highlight w:val="none"/>
              </w:rPr>
              <w:t xml:space="preserve">2、工作条件：    </w:t>
            </w:r>
          </w:p>
          <w:p>
            <w:pPr>
              <w:spacing w:line="240" w:lineRule="auto"/>
              <w:ind w:firstLine="0" w:firstLineChars="0"/>
              <w:rPr>
                <w:bCs/>
                <w:color w:val="auto"/>
                <w:szCs w:val="21"/>
                <w:highlight w:val="none"/>
              </w:rPr>
            </w:pPr>
            <w:r>
              <w:rPr>
                <w:rFonts w:hint="eastAsia"/>
                <w:bCs/>
                <w:color w:val="auto"/>
                <w:szCs w:val="21"/>
                <w:highlight w:val="none"/>
              </w:rPr>
              <w:t>2.1工作温度：15--35℃；</w:t>
            </w:r>
          </w:p>
          <w:p>
            <w:pPr>
              <w:spacing w:line="240" w:lineRule="auto"/>
              <w:ind w:firstLine="0" w:firstLineChars="0"/>
              <w:rPr>
                <w:bCs/>
                <w:color w:val="auto"/>
                <w:szCs w:val="21"/>
                <w:highlight w:val="none"/>
              </w:rPr>
            </w:pPr>
            <w:r>
              <w:rPr>
                <w:rFonts w:hint="eastAsia"/>
                <w:bCs/>
                <w:color w:val="auto"/>
                <w:szCs w:val="21"/>
                <w:highlight w:val="none"/>
              </w:rPr>
              <w:t>2.2湿度：20 - 80 %；</w:t>
            </w:r>
          </w:p>
          <w:p>
            <w:pPr>
              <w:spacing w:line="240" w:lineRule="auto"/>
              <w:ind w:firstLine="0" w:firstLineChars="0"/>
              <w:rPr>
                <w:bCs/>
                <w:color w:val="auto"/>
                <w:szCs w:val="21"/>
                <w:highlight w:val="none"/>
              </w:rPr>
            </w:pPr>
            <w:r>
              <w:rPr>
                <w:rFonts w:hint="eastAsia"/>
                <w:bCs/>
                <w:color w:val="auto"/>
                <w:szCs w:val="21"/>
                <w:highlight w:val="none"/>
              </w:rPr>
              <w:t>2.3电源：单相200-240 V, 50/60 Hz。</w:t>
            </w:r>
          </w:p>
          <w:p>
            <w:pPr>
              <w:spacing w:line="240" w:lineRule="auto"/>
              <w:ind w:firstLine="0" w:firstLineChars="0"/>
              <w:rPr>
                <w:bCs/>
                <w:color w:val="auto"/>
                <w:szCs w:val="21"/>
                <w:highlight w:val="none"/>
              </w:rPr>
            </w:pPr>
            <w:r>
              <w:rPr>
                <w:rFonts w:hint="eastAsia"/>
                <w:bCs/>
                <w:color w:val="auto"/>
                <w:szCs w:val="21"/>
                <w:highlight w:val="none"/>
              </w:rPr>
              <w:t>3、技术规格及要求：</w:t>
            </w:r>
          </w:p>
          <w:p>
            <w:pPr>
              <w:spacing w:line="240" w:lineRule="auto"/>
              <w:ind w:firstLine="0" w:firstLineChars="0"/>
              <w:rPr>
                <w:bCs/>
                <w:color w:val="auto"/>
                <w:szCs w:val="21"/>
                <w:highlight w:val="none"/>
              </w:rPr>
            </w:pPr>
            <w:r>
              <w:rPr>
                <w:rFonts w:hint="eastAsia"/>
                <w:bCs/>
                <w:color w:val="auto"/>
                <w:szCs w:val="21"/>
                <w:highlight w:val="none"/>
              </w:rPr>
              <w:t>3.1可自动完成固相萃取的全部过程（包括活化、上样、淋洗、洗脱）。整个过程都为自动化处理，无需人为干预；</w:t>
            </w:r>
          </w:p>
          <w:p>
            <w:pPr>
              <w:spacing w:line="240" w:lineRule="auto"/>
              <w:ind w:firstLine="0" w:firstLineChars="0"/>
              <w:rPr>
                <w:bCs/>
                <w:color w:val="auto"/>
                <w:szCs w:val="21"/>
                <w:highlight w:val="none"/>
              </w:rPr>
            </w:pPr>
            <w:r>
              <w:rPr>
                <w:rFonts w:ascii="Arial" w:hAnsi="Arial" w:cs="Arial"/>
                <w:color w:val="auto"/>
                <w:highlight w:val="none"/>
                <w:shd w:val="clear" w:color="auto" w:fill="FFFFFF"/>
              </w:rPr>
              <w:t>▲</w:t>
            </w:r>
            <w:r>
              <w:rPr>
                <w:rFonts w:hint="eastAsia"/>
                <w:bCs/>
                <w:color w:val="auto"/>
                <w:szCs w:val="21"/>
                <w:highlight w:val="none"/>
              </w:rPr>
              <w:t>3.2模块化设计：仪器分为控制模块和萃取模块，萃取模块后期可扩展。萃取通道：≥ 2通道，可同时自动处理≥12个样品，实现2通道的同时活化、同时上样、同时洗脱，最大限度的提高工作效率；</w:t>
            </w:r>
          </w:p>
          <w:p>
            <w:pPr>
              <w:spacing w:line="240" w:lineRule="auto"/>
              <w:ind w:firstLine="0" w:firstLineChars="0"/>
              <w:rPr>
                <w:bCs/>
                <w:color w:val="auto"/>
                <w:szCs w:val="21"/>
                <w:highlight w:val="none"/>
              </w:rPr>
            </w:pPr>
            <w:r>
              <w:rPr>
                <w:rFonts w:hint="eastAsia"/>
                <w:bCs/>
                <w:color w:val="auto"/>
                <w:szCs w:val="21"/>
                <w:highlight w:val="none"/>
              </w:rPr>
              <w:t>3.3连续处理样品能力：可连续自动化处理12个样品。整个处过程完全达到全自动化要求，适合大批量、多批次样品的全自动化萃取处；</w:t>
            </w:r>
          </w:p>
          <w:p>
            <w:pPr>
              <w:spacing w:line="240" w:lineRule="auto"/>
              <w:ind w:firstLine="0" w:firstLineChars="0"/>
              <w:rPr>
                <w:bCs/>
                <w:color w:val="auto"/>
                <w:szCs w:val="21"/>
                <w:highlight w:val="none"/>
              </w:rPr>
            </w:pPr>
            <w:r>
              <w:rPr>
                <w:rFonts w:ascii="Arial" w:hAnsi="Arial" w:cs="Arial"/>
                <w:color w:val="auto"/>
                <w:highlight w:val="none"/>
                <w:shd w:val="clear" w:color="auto" w:fill="FFFFFF"/>
              </w:rPr>
              <w:t>▲</w:t>
            </w:r>
            <w:r>
              <w:rPr>
                <w:rFonts w:hint="eastAsia"/>
                <w:bCs/>
                <w:color w:val="auto"/>
                <w:szCs w:val="21"/>
                <w:highlight w:val="none"/>
              </w:rPr>
              <w:t>3.4采用无阀计量泵，连续输送样品和溶剂，兼容气体输送，可耐受一定颗粒性溶剂，防止因溶剂或样品不干净引起的泵或单向阀的磨损、堵塞；</w:t>
            </w:r>
          </w:p>
          <w:p>
            <w:pPr>
              <w:spacing w:line="240" w:lineRule="auto"/>
              <w:ind w:firstLine="0" w:firstLineChars="0"/>
              <w:rPr>
                <w:bCs/>
                <w:color w:val="auto"/>
                <w:szCs w:val="21"/>
                <w:highlight w:val="none"/>
              </w:rPr>
            </w:pPr>
            <w:r>
              <w:rPr>
                <w:rFonts w:hint="eastAsia"/>
                <w:bCs/>
                <w:color w:val="auto"/>
                <w:szCs w:val="21"/>
                <w:highlight w:val="none"/>
              </w:rPr>
              <w:t>3.5萃取柱规格：1ml、3ml、6ml、12ml；</w:t>
            </w:r>
          </w:p>
          <w:p>
            <w:pPr>
              <w:spacing w:line="240" w:lineRule="auto"/>
              <w:ind w:firstLine="0" w:firstLineChars="0"/>
              <w:rPr>
                <w:bCs/>
                <w:color w:val="auto"/>
                <w:szCs w:val="21"/>
                <w:highlight w:val="none"/>
              </w:rPr>
            </w:pPr>
            <w:r>
              <w:rPr>
                <w:rFonts w:hint="eastAsia"/>
                <w:bCs/>
                <w:color w:val="auto"/>
                <w:szCs w:val="21"/>
                <w:highlight w:val="none"/>
              </w:rPr>
              <w:t>3.6溶剂通道：每个萃取模块都有5个溶剂通道；</w:t>
            </w:r>
          </w:p>
          <w:p>
            <w:pPr>
              <w:spacing w:line="240" w:lineRule="auto"/>
              <w:ind w:firstLine="0" w:firstLineChars="0"/>
              <w:rPr>
                <w:bCs/>
                <w:color w:val="auto"/>
                <w:szCs w:val="21"/>
                <w:highlight w:val="none"/>
              </w:rPr>
            </w:pPr>
            <w:r>
              <w:rPr>
                <w:rFonts w:ascii="Arial" w:hAnsi="Arial" w:cs="Arial"/>
                <w:color w:val="auto"/>
                <w:highlight w:val="none"/>
                <w:shd w:val="clear" w:color="auto" w:fill="FFFFFF"/>
              </w:rPr>
              <w:t>▲</w:t>
            </w:r>
            <w:r>
              <w:rPr>
                <w:rFonts w:hint="eastAsia"/>
                <w:bCs/>
                <w:color w:val="auto"/>
                <w:szCs w:val="21"/>
                <w:highlight w:val="none"/>
              </w:rPr>
              <w:t>3.7样品储存：样品储存在内置筛板的专用样品管中，所有样品管须整体密封，防止样品挥发造成交叉污染；</w:t>
            </w:r>
          </w:p>
          <w:p>
            <w:pPr>
              <w:spacing w:line="240" w:lineRule="auto"/>
              <w:ind w:firstLine="0" w:firstLineChars="0"/>
              <w:rPr>
                <w:bCs/>
                <w:color w:val="auto"/>
                <w:szCs w:val="21"/>
                <w:highlight w:val="none"/>
              </w:rPr>
            </w:pPr>
            <w:r>
              <w:rPr>
                <w:rFonts w:hint="eastAsia"/>
                <w:bCs/>
                <w:color w:val="auto"/>
                <w:szCs w:val="21"/>
                <w:highlight w:val="none"/>
              </w:rPr>
              <w:t>3.8上样方式：采用正压气体直接连续上样，节省时间，样品管中内置筛板，过滤样品，同批次样品与样品之间没有任何公共管路和阀，保证零交叉污染；</w:t>
            </w:r>
          </w:p>
          <w:p>
            <w:pPr>
              <w:spacing w:line="240" w:lineRule="auto"/>
              <w:ind w:firstLine="0" w:firstLineChars="0"/>
              <w:rPr>
                <w:bCs/>
                <w:color w:val="auto"/>
                <w:szCs w:val="21"/>
                <w:highlight w:val="none"/>
              </w:rPr>
            </w:pPr>
            <w:r>
              <w:rPr>
                <w:rFonts w:hint="eastAsia"/>
                <w:bCs/>
                <w:color w:val="auto"/>
                <w:szCs w:val="21"/>
                <w:highlight w:val="none"/>
              </w:rPr>
              <w:t>3.9萃取柱密封方式：采用O型圈边缘密封，按键式密封板自动感应密封；样品管中内置筛板防止样品过脏堵塞萃取柱，后续溶剂可对样品管路进行淋洗，减少样品残留；</w:t>
            </w:r>
          </w:p>
          <w:p>
            <w:pPr>
              <w:spacing w:line="240" w:lineRule="auto"/>
              <w:ind w:firstLine="0" w:firstLineChars="0"/>
              <w:rPr>
                <w:bCs/>
                <w:color w:val="auto"/>
                <w:szCs w:val="21"/>
                <w:highlight w:val="none"/>
              </w:rPr>
            </w:pPr>
            <w:r>
              <w:rPr>
                <w:rFonts w:hint="eastAsia"/>
                <w:bCs/>
                <w:color w:val="auto"/>
                <w:szCs w:val="21"/>
                <w:highlight w:val="none"/>
              </w:rPr>
              <w:t>3.10收集系统内部有负压排空废气装置，避免在收集样品时由于溶剂挥发造成的交叉污染；</w:t>
            </w:r>
          </w:p>
          <w:p>
            <w:pPr>
              <w:spacing w:line="240" w:lineRule="auto"/>
              <w:ind w:firstLine="0" w:firstLineChars="0"/>
              <w:rPr>
                <w:bCs/>
                <w:color w:val="auto"/>
                <w:szCs w:val="21"/>
                <w:highlight w:val="none"/>
              </w:rPr>
            </w:pPr>
            <w:r>
              <w:rPr>
                <w:rFonts w:hint="eastAsia"/>
                <w:bCs/>
                <w:color w:val="auto"/>
                <w:szCs w:val="21"/>
                <w:highlight w:val="none"/>
              </w:rPr>
              <w:t>3.11上样体积：</w:t>
            </w:r>
            <w:r>
              <w:rPr>
                <w:bCs/>
                <w:color w:val="auto"/>
                <w:szCs w:val="21"/>
                <w:highlight w:val="none"/>
              </w:rPr>
              <w:t>0-</w:t>
            </w:r>
            <w:r>
              <w:rPr>
                <w:rFonts w:hint="eastAsia"/>
                <w:bCs/>
                <w:color w:val="auto"/>
                <w:szCs w:val="21"/>
                <w:highlight w:val="none"/>
              </w:rPr>
              <w:t>5L，无需配备任何装置和接头即可实现无限无限体积上样；</w:t>
            </w:r>
          </w:p>
          <w:p>
            <w:pPr>
              <w:spacing w:line="240" w:lineRule="auto"/>
              <w:ind w:firstLine="0" w:firstLineChars="0"/>
              <w:rPr>
                <w:bCs/>
                <w:color w:val="auto"/>
                <w:szCs w:val="21"/>
                <w:highlight w:val="none"/>
              </w:rPr>
            </w:pPr>
            <w:r>
              <w:rPr>
                <w:rFonts w:hint="eastAsia"/>
                <w:bCs/>
                <w:color w:val="auto"/>
                <w:szCs w:val="21"/>
                <w:highlight w:val="none"/>
              </w:rPr>
              <w:t>3.12实验过程中可设定清洗步骤、清洗次数和清洗体积，最大限度防止交叉污染，可实现有机废液和无机废液的分离；</w:t>
            </w:r>
          </w:p>
          <w:p>
            <w:pPr>
              <w:spacing w:line="240" w:lineRule="auto"/>
              <w:ind w:firstLine="0" w:firstLineChars="0"/>
              <w:rPr>
                <w:bCs/>
                <w:color w:val="auto"/>
                <w:szCs w:val="21"/>
                <w:highlight w:val="none"/>
              </w:rPr>
            </w:pPr>
            <w:r>
              <w:rPr>
                <w:rFonts w:hint="eastAsia"/>
                <w:bCs/>
                <w:color w:val="auto"/>
                <w:szCs w:val="21"/>
                <w:highlight w:val="none"/>
              </w:rPr>
              <w:t>3.13智能化软件：可预先储存</w:t>
            </w:r>
            <w:r>
              <w:rPr>
                <w:bCs/>
                <w:color w:val="auto"/>
                <w:szCs w:val="21"/>
                <w:highlight w:val="none"/>
              </w:rPr>
              <w:t>多</w:t>
            </w:r>
            <w:r>
              <w:rPr>
                <w:rFonts w:hint="eastAsia"/>
                <w:bCs/>
                <w:color w:val="auto"/>
                <w:szCs w:val="21"/>
                <w:highlight w:val="none"/>
              </w:rPr>
              <w:t>个方法，实时显示系统压力、流速、流量、进度，以及监控系统是否存在异常状态（漏液、超压等）；</w:t>
            </w:r>
          </w:p>
          <w:p>
            <w:pPr>
              <w:spacing w:line="240" w:lineRule="auto"/>
              <w:ind w:firstLine="0" w:firstLineChars="0"/>
              <w:rPr>
                <w:bCs/>
                <w:color w:val="auto"/>
                <w:szCs w:val="21"/>
                <w:highlight w:val="none"/>
              </w:rPr>
            </w:pPr>
            <w:r>
              <w:rPr>
                <w:rFonts w:hint="eastAsia"/>
                <w:bCs/>
                <w:color w:val="auto"/>
                <w:szCs w:val="21"/>
                <w:highlight w:val="none"/>
              </w:rPr>
              <w:t>3.14仪器采用可打开式密封门设计，防止灰尘污染系统，防止溶剂挥发散出；每个萃取通道支持根据时间或者体积设定的分步馏分收集功能，可以实现未知复杂样品的分离效果优化和摸索分离条件的功能，可实现废液的分离收集；</w:t>
            </w:r>
          </w:p>
          <w:p>
            <w:pPr>
              <w:spacing w:line="240" w:lineRule="auto"/>
              <w:ind w:firstLine="0" w:firstLineChars="0"/>
              <w:rPr>
                <w:bCs/>
                <w:color w:val="auto"/>
                <w:szCs w:val="21"/>
                <w:highlight w:val="none"/>
              </w:rPr>
            </w:pPr>
            <w:r>
              <w:rPr>
                <w:rFonts w:hint="eastAsia"/>
                <w:bCs/>
                <w:color w:val="auto"/>
                <w:szCs w:val="21"/>
                <w:highlight w:val="none"/>
              </w:rPr>
              <w:t>3.15须配置专用的内置筛板上样管，实现样品的过滤，防止样品过脏堵塞小柱。</w:t>
            </w:r>
          </w:p>
          <w:p>
            <w:pPr>
              <w:spacing w:line="240" w:lineRule="auto"/>
              <w:ind w:firstLine="0" w:firstLineChars="0"/>
              <w:rPr>
                <w:bCs/>
                <w:color w:val="auto"/>
                <w:szCs w:val="21"/>
                <w:highlight w:val="none"/>
              </w:rPr>
            </w:pPr>
            <w:r>
              <w:rPr>
                <w:rFonts w:hint="eastAsia"/>
                <w:bCs/>
                <w:color w:val="auto"/>
                <w:szCs w:val="21"/>
                <w:highlight w:val="none"/>
              </w:rPr>
              <w:t>4、配置要求：</w:t>
            </w:r>
          </w:p>
          <w:p>
            <w:pPr>
              <w:spacing w:line="240" w:lineRule="auto"/>
              <w:ind w:firstLine="0" w:firstLineChars="0"/>
              <w:rPr>
                <w:bCs/>
                <w:color w:val="auto"/>
                <w:szCs w:val="21"/>
                <w:highlight w:val="none"/>
              </w:rPr>
            </w:pPr>
            <w:r>
              <w:rPr>
                <w:rFonts w:hint="eastAsia"/>
                <w:bCs/>
                <w:color w:val="auto"/>
                <w:szCs w:val="21"/>
                <w:highlight w:val="none"/>
              </w:rPr>
              <w:t>4.1控制模块</w:t>
            </w:r>
            <w:r>
              <w:rPr>
                <w:bCs/>
                <w:color w:val="auto"/>
                <w:szCs w:val="21"/>
                <w:highlight w:val="none"/>
              </w:rPr>
              <w:t>1</w:t>
            </w:r>
            <w:r>
              <w:rPr>
                <w:rFonts w:hint="eastAsia"/>
                <w:bCs/>
                <w:color w:val="auto"/>
                <w:szCs w:val="21"/>
                <w:highlight w:val="none"/>
              </w:rPr>
              <w:t>套；</w:t>
            </w:r>
          </w:p>
          <w:p>
            <w:pPr>
              <w:spacing w:line="240" w:lineRule="auto"/>
              <w:ind w:firstLine="0" w:firstLineChars="0"/>
              <w:rPr>
                <w:bCs/>
                <w:color w:val="auto"/>
                <w:szCs w:val="21"/>
                <w:highlight w:val="none"/>
              </w:rPr>
            </w:pPr>
            <w:r>
              <w:rPr>
                <w:rFonts w:hint="eastAsia"/>
                <w:bCs/>
                <w:color w:val="auto"/>
                <w:szCs w:val="21"/>
                <w:highlight w:val="none"/>
              </w:rPr>
              <w:t>4.2操作软件</w:t>
            </w:r>
            <w:r>
              <w:rPr>
                <w:bCs/>
                <w:color w:val="auto"/>
                <w:szCs w:val="21"/>
                <w:highlight w:val="none"/>
              </w:rPr>
              <w:t>1</w:t>
            </w:r>
            <w:r>
              <w:rPr>
                <w:rFonts w:hint="eastAsia"/>
                <w:bCs/>
                <w:color w:val="auto"/>
                <w:szCs w:val="21"/>
                <w:highlight w:val="none"/>
              </w:rPr>
              <w:t>套；</w:t>
            </w:r>
          </w:p>
          <w:p>
            <w:pPr>
              <w:spacing w:line="240" w:lineRule="auto"/>
              <w:ind w:firstLine="0" w:firstLineChars="0"/>
              <w:rPr>
                <w:bCs/>
                <w:color w:val="auto"/>
                <w:szCs w:val="21"/>
                <w:highlight w:val="none"/>
              </w:rPr>
            </w:pPr>
            <w:r>
              <w:rPr>
                <w:rFonts w:hint="eastAsia"/>
                <w:bCs/>
                <w:color w:val="auto"/>
                <w:szCs w:val="21"/>
                <w:highlight w:val="none"/>
              </w:rPr>
              <w:t>4.3萃取模块</w:t>
            </w:r>
            <w:r>
              <w:rPr>
                <w:bCs/>
                <w:color w:val="auto"/>
                <w:szCs w:val="21"/>
                <w:highlight w:val="none"/>
              </w:rPr>
              <w:t>2</w:t>
            </w:r>
            <w:r>
              <w:rPr>
                <w:rFonts w:hint="eastAsia"/>
                <w:bCs/>
                <w:color w:val="auto"/>
                <w:szCs w:val="21"/>
                <w:highlight w:val="none"/>
              </w:rPr>
              <w:t>套；</w:t>
            </w:r>
          </w:p>
          <w:p>
            <w:pPr>
              <w:spacing w:line="240" w:lineRule="auto"/>
              <w:ind w:firstLine="0" w:firstLineChars="0"/>
              <w:rPr>
                <w:bCs/>
                <w:color w:val="auto"/>
                <w:szCs w:val="21"/>
                <w:highlight w:val="none"/>
              </w:rPr>
            </w:pPr>
            <w:r>
              <w:rPr>
                <w:rFonts w:hint="eastAsia"/>
                <w:bCs/>
                <w:color w:val="auto"/>
                <w:szCs w:val="21"/>
                <w:highlight w:val="none"/>
              </w:rPr>
              <w:t>4.4高精度无阀计量泵</w:t>
            </w:r>
            <w:r>
              <w:rPr>
                <w:bCs/>
                <w:color w:val="auto"/>
                <w:szCs w:val="21"/>
                <w:highlight w:val="none"/>
              </w:rPr>
              <w:t>1</w:t>
            </w:r>
            <w:r>
              <w:rPr>
                <w:rFonts w:hint="eastAsia"/>
                <w:bCs/>
                <w:color w:val="auto"/>
                <w:szCs w:val="21"/>
                <w:highlight w:val="none"/>
              </w:rPr>
              <w:t>套；</w:t>
            </w:r>
          </w:p>
          <w:p>
            <w:pPr>
              <w:spacing w:line="240" w:lineRule="auto"/>
              <w:ind w:firstLine="0" w:firstLineChars="0"/>
              <w:rPr>
                <w:bCs/>
                <w:color w:val="auto"/>
                <w:szCs w:val="21"/>
                <w:highlight w:val="none"/>
              </w:rPr>
            </w:pPr>
            <w:r>
              <w:rPr>
                <w:rFonts w:hint="eastAsia"/>
                <w:bCs/>
                <w:color w:val="auto"/>
                <w:szCs w:val="21"/>
                <w:highlight w:val="none"/>
              </w:rPr>
              <w:t>4.5溶剂选择阀</w:t>
            </w:r>
            <w:r>
              <w:rPr>
                <w:bCs/>
                <w:color w:val="auto"/>
                <w:szCs w:val="21"/>
                <w:highlight w:val="none"/>
              </w:rPr>
              <w:t>1</w:t>
            </w:r>
            <w:r>
              <w:rPr>
                <w:rFonts w:hint="eastAsia"/>
                <w:bCs/>
                <w:color w:val="auto"/>
                <w:szCs w:val="21"/>
                <w:highlight w:val="none"/>
              </w:rPr>
              <w:t>套；</w:t>
            </w:r>
          </w:p>
          <w:p>
            <w:pPr>
              <w:spacing w:line="240" w:lineRule="auto"/>
              <w:ind w:firstLine="0" w:firstLineChars="0"/>
              <w:rPr>
                <w:bCs/>
                <w:color w:val="auto"/>
                <w:szCs w:val="21"/>
                <w:highlight w:val="none"/>
              </w:rPr>
            </w:pPr>
            <w:r>
              <w:rPr>
                <w:rFonts w:hint="eastAsia"/>
                <w:bCs/>
                <w:color w:val="auto"/>
                <w:szCs w:val="21"/>
                <w:highlight w:val="none"/>
              </w:rPr>
              <w:t>4.6</w:t>
            </w:r>
            <w:r>
              <w:rPr>
                <w:bCs/>
                <w:color w:val="auto"/>
                <w:szCs w:val="21"/>
                <w:highlight w:val="none"/>
              </w:rPr>
              <w:t xml:space="preserve"> 3ml</w:t>
            </w:r>
            <w:r>
              <w:rPr>
                <w:rFonts w:hint="eastAsia"/>
                <w:bCs/>
                <w:color w:val="auto"/>
                <w:szCs w:val="21"/>
                <w:highlight w:val="none"/>
              </w:rPr>
              <w:t>萃取柱密封件</w:t>
            </w:r>
            <w:r>
              <w:rPr>
                <w:bCs/>
                <w:color w:val="auto"/>
                <w:szCs w:val="21"/>
                <w:highlight w:val="none"/>
              </w:rPr>
              <w:t>2</w:t>
            </w:r>
            <w:r>
              <w:rPr>
                <w:rFonts w:hint="eastAsia"/>
                <w:bCs/>
                <w:color w:val="auto"/>
                <w:szCs w:val="21"/>
                <w:highlight w:val="none"/>
              </w:rPr>
              <w:t>套（</w:t>
            </w:r>
            <w:r>
              <w:rPr>
                <w:bCs/>
                <w:color w:val="auto"/>
                <w:szCs w:val="21"/>
                <w:highlight w:val="none"/>
              </w:rPr>
              <w:t>12</w:t>
            </w:r>
            <w:r>
              <w:rPr>
                <w:rFonts w:hint="eastAsia"/>
                <w:bCs/>
                <w:color w:val="auto"/>
                <w:szCs w:val="21"/>
                <w:highlight w:val="none"/>
              </w:rPr>
              <w:t>个）；</w:t>
            </w:r>
          </w:p>
          <w:p>
            <w:pPr>
              <w:spacing w:line="240" w:lineRule="auto"/>
              <w:ind w:firstLine="0" w:firstLineChars="0"/>
              <w:rPr>
                <w:bCs/>
                <w:color w:val="auto"/>
                <w:szCs w:val="21"/>
                <w:highlight w:val="none"/>
              </w:rPr>
            </w:pPr>
            <w:r>
              <w:rPr>
                <w:rFonts w:hint="eastAsia"/>
                <w:bCs/>
                <w:color w:val="auto"/>
                <w:szCs w:val="21"/>
                <w:highlight w:val="none"/>
              </w:rPr>
              <w:t xml:space="preserve">4.7 </w:t>
            </w:r>
            <w:r>
              <w:rPr>
                <w:bCs/>
                <w:color w:val="auto"/>
                <w:szCs w:val="21"/>
                <w:highlight w:val="none"/>
              </w:rPr>
              <w:t>3ml</w:t>
            </w:r>
            <w:r>
              <w:rPr>
                <w:rFonts w:hint="eastAsia"/>
                <w:bCs/>
                <w:color w:val="auto"/>
                <w:szCs w:val="21"/>
                <w:highlight w:val="none"/>
              </w:rPr>
              <w:t>样品管密封件</w:t>
            </w:r>
            <w:r>
              <w:rPr>
                <w:bCs/>
                <w:color w:val="auto"/>
                <w:szCs w:val="21"/>
                <w:highlight w:val="none"/>
              </w:rPr>
              <w:t>2</w:t>
            </w:r>
            <w:r>
              <w:rPr>
                <w:rFonts w:hint="eastAsia"/>
                <w:bCs/>
                <w:color w:val="auto"/>
                <w:szCs w:val="21"/>
                <w:highlight w:val="none"/>
              </w:rPr>
              <w:t>套（</w:t>
            </w:r>
            <w:r>
              <w:rPr>
                <w:bCs/>
                <w:color w:val="auto"/>
                <w:szCs w:val="21"/>
                <w:highlight w:val="none"/>
              </w:rPr>
              <w:t>12</w:t>
            </w:r>
            <w:r>
              <w:rPr>
                <w:rFonts w:hint="eastAsia"/>
                <w:bCs/>
                <w:color w:val="auto"/>
                <w:szCs w:val="21"/>
                <w:highlight w:val="none"/>
              </w:rPr>
              <w:t>个）；</w:t>
            </w:r>
          </w:p>
          <w:p>
            <w:pPr>
              <w:spacing w:line="240" w:lineRule="auto"/>
              <w:ind w:firstLine="0" w:firstLineChars="0"/>
              <w:rPr>
                <w:bCs/>
                <w:color w:val="auto"/>
                <w:szCs w:val="21"/>
                <w:highlight w:val="none"/>
              </w:rPr>
            </w:pPr>
            <w:r>
              <w:rPr>
                <w:rFonts w:hint="eastAsia"/>
                <w:bCs/>
                <w:color w:val="auto"/>
                <w:szCs w:val="21"/>
                <w:highlight w:val="none"/>
              </w:rPr>
              <w:t xml:space="preserve">4.8 </w:t>
            </w:r>
            <w:r>
              <w:rPr>
                <w:bCs/>
                <w:color w:val="auto"/>
                <w:szCs w:val="21"/>
                <w:highlight w:val="none"/>
              </w:rPr>
              <w:t>6ml</w:t>
            </w:r>
            <w:r>
              <w:rPr>
                <w:rFonts w:hint="eastAsia"/>
                <w:bCs/>
                <w:color w:val="auto"/>
                <w:szCs w:val="21"/>
                <w:highlight w:val="none"/>
              </w:rPr>
              <w:t>萃取柱密封件</w:t>
            </w:r>
            <w:r>
              <w:rPr>
                <w:bCs/>
                <w:color w:val="auto"/>
                <w:szCs w:val="21"/>
                <w:highlight w:val="none"/>
              </w:rPr>
              <w:t>2</w:t>
            </w:r>
            <w:r>
              <w:rPr>
                <w:rFonts w:hint="eastAsia"/>
                <w:bCs/>
                <w:color w:val="auto"/>
                <w:szCs w:val="21"/>
                <w:highlight w:val="none"/>
              </w:rPr>
              <w:t>套（</w:t>
            </w:r>
            <w:r>
              <w:rPr>
                <w:bCs/>
                <w:color w:val="auto"/>
                <w:szCs w:val="21"/>
                <w:highlight w:val="none"/>
              </w:rPr>
              <w:t>12</w:t>
            </w:r>
            <w:r>
              <w:rPr>
                <w:rFonts w:hint="eastAsia"/>
                <w:bCs/>
                <w:color w:val="auto"/>
                <w:szCs w:val="21"/>
                <w:highlight w:val="none"/>
              </w:rPr>
              <w:t>个）；</w:t>
            </w:r>
          </w:p>
          <w:p>
            <w:pPr>
              <w:spacing w:line="240" w:lineRule="auto"/>
              <w:ind w:firstLine="0" w:firstLineChars="0"/>
              <w:rPr>
                <w:bCs/>
                <w:color w:val="auto"/>
                <w:szCs w:val="21"/>
                <w:highlight w:val="none"/>
              </w:rPr>
            </w:pPr>
            <w:r>
              <w:rPr>
                <w:rFonts w:hint="eastAsia"/>
                <w:bCs/>
                <w:color w:val="auto"/>
                <w:szCs w:val="21"/>
                <w:highlight w:val="none"/>
              </w:rPr>
              <w:t xml:space="preserve">4.9 </w:t>
            </w:r>
            <w:r>
              <w:rPr>
                <w:bCs/>
                <w:color w:val="auto"/>
                <w:szCs w:val="21"/>
                <w:highlight w:val="none"/>
              </w:rPr>
              <w:t>6ml</w:t>
            </w:r>
            <w:r>
              <w:rPr>
                <w:rFonts w:hint="eastAsia"/>
                <w:bCs/>
                <w:color w:val="auto"/>
                <w:szCs w:val="21"/>
                <w:highlight w:val="none"/>
              </w:rPr>
              <w:t>样品管密封件</w:t>
            </w:r>
            <w:r>
              <w:rPr>
                <w:bCs/>
                <w:color w:val="auto"/>
                <w:szCs w:val="21"/>
                <w:highlight w:val="none"/>
              </w:rPr>
              <w:t>1</w:t>
            </w:r>
            <w:r>
              <w:rPr>
                <w:rFonts w:hint="eastAsia"/>
                <w:bCs/>
                <w:color w:val="auto"/>
                <w:szCs w:val="21"/>
                <w:highlight w:val="none"/>
              </w:rPr>
              <w:t>套（</w:t>
            </w:r>
            <w:r>
              <w:rPr>
                <w:bCs/>
                <w:color w:val="auto"/>
                <w:szCs w:val="21"/>
                <w:highlight w:val="none"/>
              </w:rPr>
              <w:t>12</w:t>
            </w:r>
            <w:r>
              <w:rPr>
                <w:rFonts w:hint="eastAsia"/>
                <w:bCs/>
                <w:color w:val="auto"/>
                <w:szCs w:val="21"/>
                <w:highlight w:val="none"/>
              </w:rPr>
              <w:t>个）；</w:t>
            </w:r>
          </w:p>
          <w:p>
            <w:pPr>
              <w:spacing w:line="240" w:lineRule="auto"/>
              <w:ind w:firstLine="0" w:firstLineChars="0"/>
              <w:rPr>
                <w:bCs/>
                <w:color w:val="auto"/>
                <w:szCs w:val="21"/>
                <w:highlight w:val="none"/>
              </w:rPr>
            </w:pPr>
            <w:r>
              <w:rPr>
                <w:rFonts w:hint="eastAsia"/>
                <w:bCs/>
                <w:color w:val="auto"/>
                <w:szCs w:val="21"/>
                <w:highlight w:val="none"/>
              </w:rPr>
              <w:t>4.10收集试管架</w:t>
            </w:r>
            <w:r>
              <w:rPr>
                <w:bCs/>
                <w:color w:val="auto"/>
                <w:szCs w:val="21"/>
                <w:highlight w:val="none"/>
              </w:rPr>
              <w:t>1</w:t>
            </w:r>
            <w:r>
              <w:rPr>
                <w:rFonts w:hint="eastAsia"/>
                <w:bCs/>
                <w:color w:val="auto"/>
                <w:szCs w:val="21"/>
                <w:highlight w:val="none"/>
              </w:rPr>
              <w:t>套；</w:t>
            </w:r>
          </w:p>
          <w:p>
            <w:pPr>
              <w:spacing w:line="240" w:lineRule="auto"/>
              <w:ind w:firstLine="0" w:firstLineChars="0"/>
              <w:rPr>
                <w:bCs/>
                <w:color w:val="auto"/>
                <w:szCs w:val="21"/>
                <w:highlight w:val="none"/>
              </w:rPr>
            </w:pPr>
            <w:r>
              <w:rPr>
                <w:rFonts w:hint="eastAsia"/>
                <w:bCs/>
                <w:color w:val="auto"/>
                <w:szCs w:val="21"/>
                <w:highlight w:val="none"/>
              </w:rPr>
              <w:t>4.11溶剂管路</w:t>
            </w:r>
            <w:r>
              <w:rPr>
                <w:bCs/>
                <w:color w:val="auto"/>
                <w:szCs w:val="21"/>
                <w:highlight w:val="none"/>
              </w:rPr>
              <w:t>1</w:t>
            </w:r>
            <w:r>
              <w:rPr>
                <w:rFonts w:hint="eastAsia"/>
                <w:bCs/>
                <w:color w:val="auto"/>
                <w:szCs w:val="21"/>
                <w:highlight w:val="none"/>
              </w:rPr>
              <w:t>套；</w:t>
            </w:r>
          </w:p>
          <w:p>
            <w:pPr>
              <w:spacing w:line="240" w:lineRule="auto"/>
              <w:ind w:firstLine="0" w:firstLineChars="0"/>
              <w:rPr>
                <w:bCs/>
                <w:color w:val="auto"/>
                <w:szCs w:val="21"/>
                <w:highlight w:val="none"/>
              </w:rPr>
            </w:pPr>
            <w:r>
              <w:rPr>
                <w:rFonts w:hint="eastAsia"/>
                <w:bCs/>
                <w:color w:val="auto"/>
                <w:szCs w:val="21"/>
                <w:highlight w:val="none"/>
              </w:rPr>
              <w:t>4.12工具包1套；</w:t>
            </w:r>
          </w:p>
          <w:p>
            <w:pPr>
              <w:spacing w:line="240" w:lineRule="auto"/>
              <w:ind w:firstLine="0" w:firstLineChars="0"/>
              <w:rPr>
                <w:bCs/>
                <w:color w:val="auto"/>
                <w:szCs w:val="21"/>
                <w:highlight w:val="none"/>
              </w:rPr>
            </w:pPr>
            <w:r>
              <w:rPr>
                <w:rFonts w:hint="eastAsia"/>
                <w:bCs/>
                <w:color w:val="auto"/>
                <w:szCs w:val="21"/>
                <w:highlight w:val="none"/>
              </w:rPr>
              <w:t>4.13备用管路、接头</w:t>
            </w:r>
            <w:r>
              <w:rPr>
                <w:bCs/>
                <w:color w:val="auto"/>
                <w:szCs w:val="21"/>
                <w:highlight w:val="none"/>
              </w:rPr>
              <w:t>1</w:t>
            </w:r>
            <w:r>
              <w:rPr>
                <w:rFonts w:hint="eastAsia"/>
                <w:bCs/>
                <w:color w:val="auto"/>
                <w:szCs w:val="21"/>
                <w:highlight w:val="none"/>
              </w:rPr>
              <w:t>套。</w:t>
            </w:r>
          </w:p>
          <w:p>
            <w:pPr>
              <w:spacing w:line="240" w:lineRule="auto"/>
              <w:ind w:firstLine="0" w:firstLineChars="0"/>
              <w:rPr>
                <w:bCs/>
                <w:color w:val="auto"/>
                <w:szCs w:val="21"/>
                <w:highlight w:val="none"/>
              </w:rPr>
            </w:pPr>
            <w:r>
              <w:rPr>
                <w:rFonts w:hint="eastAsia"/>
                <w:bCs/>
                <w:color w:val="auto"/>
                <w:szCs w:val="21"/>
                <w:highlight w:val="none"/>
              </w:rPr>
              <w:t>5、其他：生产厂家具备ISO9001质量管理体系认证证书和ISO14001环境管理体系认证；</w:t>
            </w:r>
          </w:p>
          <w:p>
            <w:pPr>
              <w:spacing w:line="240" w:lineRule="auto"/>
              <w:ind w:firstLine="0" w:firstLineChars="0"/>
              <w:rPr>
                <w:color w:val="auto"/>
                <w:szCs w:val="21"/>
                <w:highlight w:val="none"/>
              </w:rPr>
            </w:pPr>
            <w:r>
              <w:rPr>
                <w:rFonts w:hint="eastAsia"/>
                <w:bCs/>
                <w:color w:val="auto"/>
                <w:szCs w:val="21"/>
                <w:highlight w:val="none"/>
              </w:rPr>
              <w:t>6</w:t>
            </w:r>
            <w:r>
              <w:rPr>
                <w:rFonts w:hint="eastAsia"/>
                <w:bCs/>
                <w:color w:val="auto"/>
                <w:szCs w:val="21"/>
                <w:highlight w:val="none"/>
              </w:rPr>
              <w:t>、</w:t>
            </w:r>
            <w:r>
              <w:rPr>
                <w:bCs/>
                <w:color w:val="auto"/>
                <w:szCs w:val="21"/>
                <w:highlight w:val="none"/>
              </w:rPr>
              <w:t>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r>
              <w:rPr>
                <w:bCs/>
                <w:color w:val="auto"/>
                <w:szCs w:val="21"/>
                <w:highlight w:val="none"/>
              </w:rPr>
              <w:t>。</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highlight w:val="none"/>
              </w:rPr>
            </w:pPr>
            <w:r>
              <w:rPr>
                <w:rFonts w:hint="eastAsia" w:ascii="宋体" w:hAnsi="宋体" w:cs="宋体"/>
                <w:color w:val="auto"/>
                <w:highlight w:val="none"/>
              </w:rPr>
              <w:t>自动提取装置超声提取仪</w:t>
            </w:r>
          </w:p>
        </w:tc>
        <w:tc>
          <w:tcPr>
            <w:tcW w:w="5862" w:type="dxa"/>
            <w:shd w:val="clear" w:color="auto" w:fill="auto"/>
            <w:vAlign w:val="center"/>
          </w:tcPr>
          <w:p>
            <w:pPr>
              <w:spacing w:line="240" w:lineRule="auto"/>
              <w:ind w:firstLine="0" w:firstLineChars="0"/>
              <w:rPr>
                <w:rFonts w:hAnsi="宋体"/>
                <w:color w:val="auto"/>
                <w:szCs w:val="21"/>
                <w:highlight w:val="none"/>
              </w:rPr>
            </w:pPr>
            <w:r>
              <w:rPr>
                <w:rFonts w:ascii="Arial" w:hAnsi="Arial" w:cs="Arial"/>
                <w:color w:val="auto"/>
                <w:highlight w:val="none"/>
                <w:shd w:val="clear" w:color="auto" w:fill="FFFFFF"/>
              </w:rPr>
              <w:t>▲</w:t>
            </w:r>
            <w:r>
              <w:rPr>
                <w:rFonts w:hint="eastAsia" w:hAnsi="宋体"/>
                <w:color w:val="auto"/>
                <w:szCs w:val="21"/>
                <w:highlight w:val="none"/>
              </w:rPr>
              <w:t>1、双头型，有效容积： 200~2000ml * 2；</w:t>
            </w:r>
          </w:p>
          <w:p>
            <w:pPr>
              <w:spacing w:line="240" w:lineRule="auto"/>
              <w:ind w:firstLine="0" w:firstLineChars="0"/>
              <w:rPr>
                <w:rFonts w:hAnsi="宋体"/>
                <w:color w:val="auto"/>
                <w:szCs w:val="21"/>
                <w:highlight w:val="none"/>
              </w:rPr>
            </w:pPr>
            <w:r>
              <w:rPr>
                <w:rFonts w:ascii="Arial" w:hAnsi="Arial" w:cs="Arial"/>
                <w:color w:val="auto"/>
                <w:highlight w:val="none"/>
                <w:shd w:val="clear" w:color="auto" w:fill="FFFFFF"/>
              </w:rPr>
              <w:t>▲</w:t>
            </w:r>
            <w:r>
              <w:rPr>
                <w:rFonts w:hint="eastAsia" w:hAnsi="宋体"/>
                <w:color w:val="auto"/>
                <w:szCs w:val="21"/>
                <w:highlight w:val="none"/>
              </w:rPr>
              <w:t>2、超声功率：100～2000W * 2(可连续调节，液晶显示）；</w:t>
            </w:r>
          </w:p>
          <w:p>
            <w:pPr>
              <w:spacing w:line="240" w:lineRule="auto"/>
              <w:ind w:firstLine="0" w:firstLineChars="0"/>
              <w:rPr>
                <w:rFonts w:hAnsi="宋体"/>
                <w:color w:val="auto"/>
                <w:szCs w:val="21"/>
                <w:highlight w:val="none"/>
              </w:rPr>
            </w:pPr>
            <w:r>
              <w:rPr>
                <w:rFonts w:hint="eastAsia" w:hAnsi="宋体"/>
                <w:color w:val="auto"/>
                <w:szCs w:val="21"/>
                <w:highlight w:val="none"/>
              </w:rPr>
              <w:t>3、超声频率： 19-23；</w:t>
            </w:r>
          </w:p>
          <w:p>
            <w:pPr>
              <w:spacing w:line="240" w:lineRule="auto"/>
              <w:ind w:firstLine="0" w:firstLineChars="0"/>
              <w:rPr>
                <w:rFonts w:hAnsi="宋体"/>
                <w:color w:val="auto"/>
                <w:szCs w:val="21"/>
                <w:highlight w:val="none"/>
              </w:rPr>
            </w:pPr>
            <w:r>
              <w:rPr>
                <w:rFonts w:hint="eastAsia" w:hAnsi="宋体"/>
                <w:color w:val="auto"/>
                <w:szCs w:val="21"/>
                <w:highlight w:val="none"/>
              </w:rPr>
              <w:t>4、频率跟踪： 窄幅自动跟踪+波段选择；</w:t>
            </w:r>
          </w:p>
          <w:p>
            <w:pPr>
              <w:spacing w:line="240" w:lineRule="auto"/>
              <w:ind w:firstLine="0" w:firstLineChars="0"/>
              <w:rPr>
                <w:rFonts w:hAnsi="宋体"/>
                <w:color w:val="auto"/>
                <w:szCs w:val="21"/>
                <w:highlight w:val="none"/>
              </w:rPr>
            </w:pPr>
            <w:r>
              <w:rPr>
                <w:rFonts w:ascii="Arial" w:hAnsi="Arial" w:cs="Arial"/>
                <w:color w:val="auto"/>
                <w:highlight w:val="none"/>
                <w:shd w:val="clear" w:color="auto" w:fill="FFFFFF"/>
              </w:rPr>
              <w:t>▲</w:t>
            </w:r>
            <w:r>
              <w:rPr>
                <w:rFonts w:hint="eastAsia" w:hAnsi="宋体"/>
                <w:color w:val="auto"/>
                <w:szCs w:val="21"/>
                <w:highlight w:val="none"/>
              </w:rPr>
              <w:t>5、温度控制范围： -5～99℃（可任意设置）；</w:t>
            </w:r>
          </w:p>
          <w:p>
            <w:pPr>
              <w:spacing w:line="240" w:lineRule="auto"/>
              <w:ind w:firstLine="0" w:firstLineChars="0"/>
              <w:rPr>
                <w:rFonts w:hAnsi="宋体"/>
                <w:color w:val="auto"/>
                <w:szCs w:val="21"/>
                <w:highlight w:val="none"/>
              </w:rPr>
            </w:pPr>
            <w:r>
              <w:rPr>
                <w:rFonts w:hint="eastAsia" w:hAnsi="宋体"/>
                <w:color w:val="auto"/>
                <w:szCs w:val="21"/>
                <w:highlight w:val="none"/>
              </w:rPr>
              <w:t>6、温控方式： 压缩机制冷，电加热；</w:t>
            </w:r>
          </w:p>
          <w:p>
            <w:pPr>
              <w:spacing w:line="240" w:lineRule="auto"/>
              <w:ind w:firstLine="0" w:firstLineChars="0"/>
              <w:rPr>
                <w:rFonts w:hAnsi="宋体"/>
                <w:color w:val="auto"/>
                <w:szCs w:val="21"/>
                <w:highlight w:val="none"/>
              </w:rPr>
            </w:pPr>
            <w:r>
              <w:rPr>
                <w:rFonts w:hint="eastAsia" w:hAnsi="宋体"/>
                <w:color w:val="auto"/>
                <w:szCs w:val="21"/>
                <w:highlight w:val="none"/>
              </w:rPr>
              <w:t>7、提取杯： 夹套式锥形高硼硅玻璃或不锈钢（多通道循环提取）；</w:t>
            </w:r>
          </w:p>
          <w:p>
            <w:pPr>
              <w:spacing w:line="240" w:lineRule="auto"/>
              <w:ind w:firstLine="0" w:firstLineChars="0"/>
              <w:rPr>
                <w:rFonts w:hAnsi="宋体"/>
                <w:color w:val="auto"/>
                <w:szCs w:val="21"/>
                <w:highlight w:val="none"/>
              </w:rPr>
            </w:pPr>
            <w:r>
              <w:rPr>
                <w:rFonts w:hint="eastAsia" w:hAnsi="宋体"/>
                <w:color w:val="auto"/>
                <w:szCs w:val="21"/>
                <w:highlight w:val="none"/>
              </w:rPr>
              <w:t>8、定时功能： 有；</w:t>
            </w:r>
          </w:p>
          <w:p>
            <w:pPr>
              <w:spacing w:line="240" w:lineRule="auto"/>
              <w:ind w:firstLine="0" w:firstLineChars="0"/>
              <w:rPr>
                <w:rFonts w:hAnsi="宋体"/>
                <w:color w:val="auto"/>
                <w:szCs w:val="21"/>
                <w:highlight w:val="none"/>
              </w:rPr>
            </w:pPr>
            <w:r>
              <w:rPr>
                <w:rFonts w:hint="eastAsia" w:hAnsi="宋体"/>
                <w:color w:val="auto"/>
                <w:szCs w:val="21"/>
                <w:highlight w:val="none"/>
              </w:rPr>
              <w:t>9、内部照明： 有（可选择紫外消毒）；</w:t>
            </w:r>
          </w:p>
          <w:p>
            <w:pPr>
              <w:spacing w:line="240" w:lineRule="auto"/>
              <w:ind w:firstLine="0" w:firstLineChars="0"/>
              <w:rPr>
                <w:rFonts w:hAnsi="宋体"/>
                <w:color w:val="auto"/>
                <w:szCs w:val="21"/>
                <w:highlight w:val="none"/>
              </w:rPr>
            </w:pPr>
            <w:r>
              <w:rPr>
                <w:rFonts w:hint="eastAsia" w:hAnsi="宋体"/>
                <w:color w:val="auto"/>
                <w:szCs w:val="21"/>
                <w:highlight w:val="none"/>
              </w:rPr>
              <w:t>10、适用介质： 挥发性或非挥发性；</w:t>
            </w:r>
          </w:p>
          <w:p>
            <w:pPr>
              <w:spacing w:line="240" w:lineRule="auto"/>
              <w:ind w:firstLine="0" w:firstLineChars="0"/>
              <w:rPr>
                <w:rFonts w:hAnsi="宋体"/>
                <w:color w:val="auto"/>
                <w:szCs w:val="21"/>
                <w:highlight w:val="none"/>
              </w:rPr>
            </w:pPr>
            <w:r>
              <w:rPr>
                <w:rFonts w:hint="eastAsia" w:hAnsi="宋体"/>
                <w:color w:val="auto"/>
                <w:szCs w:val="21"/>
                <w:highlight w:val="none"/>
              </w:rPr>
              <w:t>11、配置要求：多用途恒温超声波提取机1台；低温提取槽1台；硅胶管 5 米，锥形夹套不锈钢提取杯 1 个（或者石英反应瓶含通气1个），升降装置 1 个，变幅杆1个。</w:t>
            </w:r>
          </w:p>
          <w:p>
            <w:pPr>
              <w:pStyle w:val="2"/>
              <w:rPr>
                <w:color w:val="auto"/>
                <w:highlight w:val="none"/>
              </w:rPr>
            </w:pPr>
            <w:r>
              <w:rPr>
                <w:rFonts w:hint="eastAsia"/>
                <w:bCs/>
                <w:color w:val="auto"/>
                <w:szCs w:val="21"/>
                <w:highlight w:val="none"/>
              </w:rPr>
              <w:t>1</w:t>
            </w:r>
            <w:r>
              <w:rPr>
                <w:bCs/>
                <w:color w:val="auto"/>
                <w:szCs w:val="21"/>
                <w:highlight w:val="none"/>
              </w:rPr>
              <w:t>2.售后服务要求</w:t>
            </w:r>
            <w:r>
              <w:rPr>
                <w:rFonts w:hint="eastAsia"/>
                <w:bCs/>
                <w:color w:val="auto"/>
                <w:szCs w:val="21"/>
                <w:highlight w:val="none"/>
              </w:rPr>
              <w:t>：整机</w:t>
            </w:r>
            <w:r>
              <w:rPr>
                <w:bCs/>
                <w:color w:val="auto"/>
                <w:szCs w:val="21"/>
                <w:highlight w:val="none"/>
              </w:rPr>
              <w:t>保修</w:t>
            </w:r>
            <w:r>
              <w:rPr>
                <w:rFonts w:hint="eastAsia"/>
                <w:bCs/>
                <w:color w:val="auto"/>
                <w:szCs w:val="21"/>
                <w:highlight w:val="none"/>
              </w:rPr>
              <w:t>三年</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国产</w:t>
            </w:r>
          </w:p>
        </w:tc>
      </w:tr>
    </w:tbl>
    <w:p>
      <w:pPr>
        <w:ind w:firstLine="480"/>
        <w:rPr>
          <w:color w:val="auto"/>
          <w:highlight w:val="none"/>
        </w:rPr>
      </w:pPr>
    </w:p>
    <w:p>
      <w:pPr>
        <w:pStyle w:val="7"/>
        <w:ind w:firstLine="422"/>
        <w:rPr>
          <w:color w:val="auto"/>
          <w:highlight w:val="none"/>
        </w:rPr>
      </w:pPr>
      <w:r>
        <w:rPr>
          <w:rFonts w:hint="eastAsia"/>
          <w:color w:val="auto"/>
          <w:highlight w:val="none"/>
        </w:rPr>
        <w:t>标项六：原子吸收光谱仪</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09"/>
        <w:gridCol w:w="5862"/>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序号</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名称</w:t>
            </w:r>
          </w:p>
        </w:tc>
        <w:tc>
          <w:tcPr>
            <w:tcW w:w="586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功能及技术参数等</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原子吸收光谱仪</w:t>
            </w:r>
          </w:p>
        </w:tc>
        <w:tc>
          <w:tcPr>
            <w:tcW w:w="5862" w:type="dxa"/>
            <w:shd w:val="clear" w:color="auto" w:fill="auto"/>
            <w:vAlign w:val="center"/>
          </w:tcPr>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1 测光系统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1.1 测定波长范围：185~900nm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1.2 单色器：象差校正型 Czerny-Turner 装置 </w:t>
            </w:r>
          </w:p>
          <w:p>
            <w:pPr>
              <w:spacing w:line="240" w:lineRule="auto"/>
              <w:ind w:firstLine="0" w:firstLineChars="0"/>
              <w:jc w:val="left"/>
              <w:rPr>
                <w:rFonts w:hAnsi="宋体"/>
                <w:color w:val="auto"/>
                <w:szCs w:val="21"/>
                <w:highlight w:val="none"/>
              </w:rPr>
            </w:pPr>
            <w:r>
              <w:rPr>
                <w:rFonts w:hAnsi="宋体"/>
                <w:color w:val="auto"/>
                <w:szCs w:val="21"/>
                <w:highlight w:val="none"/>
              </w:rPr>
              <w:t>1</w:t>
            </w:r>
            <w:r>
              <w:rPr>
                <w:rFonts w:hint="eastAsia" w:hAnsi="宋体"/>
                <w:color w:val="auto"/>
                <w:szCs w:val="21"/>
                <w:highlight w:val="none"/>
              </w:rPr>
              <w:t xml:space="preserve">.3 光栅刻线条数：1800条/mm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1.4 带宽：0.2，0.7，1.3，2.0 nm （4 档自动切换）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1.5 光度测定方法：火焰光学双光束；石墨炉电子双光束 </w:t>
            </w:r>
          </w:p>
          <w:p>
            <w:pPr>
              <w:spacing w:line="240" w:lineRule="auto"/>
              <w:ind w:firstLine="0" w:firstLineChars="0"/>
              <w:jc w:val="left"/>
              <w:rPr>
                <w:rFonts w:hAnsi="宋体"/>
                <w:color w:val="auto"/>
                <w:szCs w:val="21"/>
                <w:highlight w:val="none"/>
              </w:rPr>
            </w:pPr>
            <w:r>
              <w:rPr>
                <w:rFonts w:ascii="Arial" w:hAnsi="Arial" w:cs="Arial"/>
                <w:color w:val="auto"/>
                <w:highlight w:val="none"/>
                <w:shd w:val="clear" w:color="auto" w:fill="FFFFFF"/>
              </w:rPr>
              <w:t>▲</w:t>
            </w:r>
            <w:r>
              <w:rPr>
                <w:rFonts w:hint="eastAsia" w:hAnsi="宋体"/>
                <w:color w:val="auto"/>
                <w:szCs w:val="21"/>
                <w:highlight w:val="none"/>
              </w:rPr>
              <w:t xml:space="preserve">1.6 原子化器切换方式：火焰、石墨炉由马达驱动，简单快速全自动切换定位 </w:t>
            </w:r>
          </w:p>
          <w:p>
            <w:pPr>
              <w:spacing w:line="240" w:lineRule="auto"/>
              <w:ind w:firstLine="0" w:firstLineChars="0"/>
              <w:jc w:val="left"/>
              <w:rPr>
                <w:rFonts w:hAnsi="宋体"/>
                <w:color w:val="auto"/>
                <w:szCs w:val="21"/>
                <w:highlight w:val="none"/>
              </w:rPr>
            </w:pPr>
            <w:r>
              <w:rPr>
                <w:rFonts w:ascii="Arial" w:hAnsi="Arial" w:cs="Arial"/>
                <w:color w:val="auto"/>
                <w:highlight w:val="none"/>
                <w:shd w:val="clear" w:color="auto" w:fill="FFFFFF"/>
              </w:rPr>
              <w:t>▲</w:t>
            </w:r>
            <w:r>
              <w:rPr>
                <w:rFonts w:hint="eastAsia" w:hAnsi="宋体"/>
                <w:color w:val="auto"/>
                <w:szCs w:val="21"/>
                <w:highlight w:val="none"/>
              </w:rPr>
              <w:t xml:space="preserve">1.7 背景校正：火焰炉和石墨炉都可以采用高速自吸收与高速氘灯法进行背景校正高速自吸收（BGC-SR），自吸收频率不低于100Hz；高速氘灯法 （BGC-D2），氘灯频率不低于800Hz。空心阴极灯频率不低于500Hz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1.8 灯座数：6 灯插座，2 灯同时点亮 （1 预热）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1.9 点灯方式：发射，NON-BGC，BGC-SR，BGC- D2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1.10 基线稳定性：0.01Abs/30min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2 火焰炉规格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2.1 燃烧器单元类型：气冷预混合型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2.2 燃烧器头：10 cm钛制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2.3 雾化器：Pt-Ir 毛细管，特氟隆喷嘴，陶瓷撞击球（可用于氢氟酸）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2.4 雾化室：经过特殊处理的聚丙烯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2.5 位置调节：前后上下位置自动调节自动搜索最优燃烧器高度.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2.6 角度调节: 0-90度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2.7 灵敏度: 2ppm Cu的吸光度大于0.2Abs; Cu的检出限：小于0.01PPm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3 石墨炉规格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3.1 加热温度范围：室温～2800°C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3.2 加热控制 加热控制法：干燥：电流控制方法（带温度自动校正功能）；灰化/原子化：光学温度控制方法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3.3 加热参数设置：最大升温速率：2000°C/秒；最多20 段；加热方式：斜坡/阶梯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3.4 内部气体流量：0～1.5 L/min,气体控制精度能够达到0.05L/min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3.5 灵敏度：Pb的检出限：0.05ppb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4 自动进样器 </w:t>
            </w:r>
          </w:p>
          <w:p>
            <w:pPr>
              <w:spacing w:line="240" w:lineRule="auto"/>
              <w:ind w:firstLine="0" w:firstLineChars="0"/>
              <w:jc w:val="left"/>
              <w:rPr>
                <w:rFonts w:hAnsi="宋体"/>
                <w:color w:val="auto"/>
                <w:szCs w:val="21"/>
                <w:highlight w:val="none"/>
              </w:rPr>
            </w:pPr>
            <w:r>
              <w:rPr>
                <w:rFonts w:ascii="Arial" w:hAnsi="Arial" w:cs="Arial"/>
                <w:color w:val="auto"/>
                <w:highlight w:val="none"/>
                <w:shd w:val="clear" w:color="auto" w:fill="FFFFFF"/>
              </w:rPr>
              <w:t>▲</w:t>
            </w:r>
            <w:r>
              <w:rPr>
                <w:rFonts w:hint="eastAsia" w:hAnsi="宋体"/>
                <w:color w:val="auto"/>
                <w:szCs w:val="21"/>
                <w:highlight w:val="none"/>
              </w:rPr>
              <w:t xml:space="preserve">4.1 一机两用，能同时满足火焰和石墨炉的需要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4.2 最大样品个数：试剂用8个  样品60个(都可以随机编排)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4.3 喷管清洗：溶剂排出方式（石墨炉测定时） 溶剂吸引方式（火焰测定时）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4.4 采样功能：稀释功能  试剂添加功能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4.5 注射器：250 μL</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4.6 进样量：2~90 μL</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4.7 重现性：1% R.S.D(20μL时)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4.8 交叉污染： 0.0001以下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4.9 可混合液体数： 工作曲线法：最多5液体</w:t>
            </w:r>
          </w:p>
          <w:p>
            <w:pPr>
              <w:spacing w:line="240" w:lineRule="auto"/>
              <w:ind w:firstLine="439" w:firstLineChars="183"/>
              <w:jc w:val="left"/>
              <w:rPr>
                <w:rFonts w:hAnsi="宋体"/>
                <w:color w:val="auto"/>
                <w:szCs w:val="21"/>
                <w:highlight w:val="none"/>
              </w:rPr>
            </w:pPr>
            <w:r>
              <w:rPr>
                <w:rFonts w:hint="eastAsia" w:hAnsi="宋体"/>
                <w:color w:val="auto"/>
                <w:szCs w:val="21"/>
                <w:highlight w:val="none"/>
              </w:rPr>
              <w:t xml:space="preserve">标准加入法：最多6液体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4.10 自动稀释再测定：根据工作曲线对未知样品的结果进行判断。能够外延法时，根据进入工作曲线的范围自动计算稀释倍数进行稀释。不能外延法时，稀释倍数一律为10倍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5 数据处理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5.1 参数设置：Wizard 法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5.2 测定方式：火焰连续法，火焰微量进样法，石墨炉法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5.3 浓度转换方式：校准曲线（可选择 1次，2次，3次函数；标准加入法/简化标准加入法 （1次函数）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5.4 重复测定：最多20 次重复显示平均值，标准偏差 （SD）和相对标准偏差 （RSD）根据标准偏差(SD)和相对标准偏差（RSD）值自动排除异常值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5.5 基线校正：采用峰高和峰面积的偏移量校正方法，自动校正基线的漂移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 氢化物发生器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6.1 测定模式：流动注射型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6.2 样品吸液速率：0~7ml/min，可调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6.3 原子化器：原子化加热吸收池（空气乙炔火焰加热）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6.4 检出限：砷As  0.3ppb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 基本配置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6.1 原子吸收/火焰发射光谱仪     1套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6.2 石墨炉系统         </w:t>
            </w:r>
            <w:r>
              <w:rPr>
                <w:rFonts w:hAnsi="宋体"/>
                <w:color w:val="auto"/>
                <w:szCs w:val="21"/>
                <w:highlight w:val="none"/>
              </w:rPr>
              <w:t xml:space="preserve">  </w:t>
            </w:r>
            <w:r>
              <w:rPr>
                <w:rFonts w:hint="eastAsia" w:hAnsi="宋体"/>
                <w:color w:val="auto"/>
                <w:szCs w:val="21"/>
                <w:highlight w:val="none"/>
              </w:rPr>
              <w:t xml:space="preserve"> 1套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6.3 火焰/石墨一体式自动进样器   </w:t>
            </w:r>
            <w:r>
              <w:rPr>
                <w:rFonts w:hAnsi="宋体"/>
                <w:color w:val="auto"/>
                <w:szCs w:val="21"/>
                <w:highlight w:val="none"/>
              </w:rPr>
              <w:t xml:space="preserve"> </w:t>
            </w:r>
            <w:r>
              <w:rPr>
                <w:rFonts w:hint="eastAsia" w:hAnsi="宋体"/>
                <w:color w:val="auto"/>
                <w:szCs w:val="21"/>
                <w:highlight w:val="none"/>
              </w:rPr>
              <w:t xml:space="preserve">1套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6.4 原厂中文操作软件        1套</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6.5 氢化物发生器          </w:t>
            </w:r>
            <w:r>
              <w:rPr>
                <w:rFonts w:hAnsi="宋体"/>
                <w:color w:val="auto"/>
                <w:szCs w:val="21"/>
                <w:highlight w:val="none"/>
              </w:rPr>
              <w:t xml:space="preserve"> </w:t>
            </w:r>
            <w:r>
              <w:rPr>
                <w:rFonts w:hint="eastAsia" w:hAnsi="宋体"/>
                <w:color w:val="auto"/>
                <w:szCs w:val="21"/>
                <w:highlight w:val="none"/>
              </w:rPr>
              <w:t xml:space="preserve">1套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6.6 空心阴极灯           20支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6.7 进口石墨管    </w:t>
            </w:r>
            <w:r>
              <w:rPr>
                <w:rFonts w:hAnsi="宋体"/>
                <w:color w:val="auto"/>
                <w:szCs w:val="21"/>
                <w:highlight w:val="none"/>
              </w:rPr>
              <w:t xml:space="preserve">              </w:t>
            </w:r>
            <w:r>
              <w:rPr>
                <w:rFonts w:hint="eastAsia" w:hAnsi="宋体"/>
                <w:color w:val="auto"/>
                <w:szCs w:val="21"/>
                <w:highlight w:val="none"/>
              </w:rPr>
              <w:t xml:space="preserve">40支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6.8 火焰炉用空气压缩机装置     1套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 xml:space="preserve">6.9 石墨炉用冷却循环水装置     1套 </w:t>
            </w:r>
          </w:p>
          <w:p>
            <w:pPr>
              <w:spacing w:line="240" w:lineRule="auto"/>
              <w:ind w:firstLine="0" w:firstLineChars="0"/>
              <w:jc w:val="left"/>
              <w:rPr>
                <w:rFonts w:hAnsi="宋体"/>
                <w:color w:val="auto"/>
                <w:szCs w:val="21"/>
                <w:highlight w:val="none"/>
              </w:rPr>
            </w:pPr>
            <w:r>
              <w:rPr>
                <w:rFonts w:hint="eastAsia" w:hAnsi="宋体"/>
                <w:color w:val="auto"/>
                <w:szCs w:val="21"/>
                <w:highlight w:val="none"/>
              </w:rPr>
              <w:t>6.10 工作站一套（</w:t>
            </w:r>
            <w:r>
              <w:rPr>
                <w:rFonts w:hAnsi="宋体"/>
                <w:color w:val="auto"/>
                <w:szCs w:val="21"/>
                <w:highlight w:val="none"/>
              </w:rPr>
              <w:t>CPU i5</w:t>
            </w:r>
            <w:r>
              <w:rPr>
                <w:rFonts w:hint="eastAsia" w:hAnsi="宋体"/>
                <w:color w:val="auto"/>
                <w:szCs w:val="21"/>
                <w:highlight w:val="none"/>
              </w:rPr>
              <w:t>及以上，内存</w:t>
            </w:r>
            <w:r>
              <w:rPr>
                <w:rFonts w:hAnsi="宋体"/>
                <w:color w:val="auto"/>
                <w:szCs w:val="21"/>
                <w:highlight w:val="none"/>
              </w:rPr>
              <w:t>8</w:t>
            </w:r>
            <w:r>
              <w:rPr>
                <w:rFonts w:hint="eastAsia" w:hAnsi="宋体"/>
                <w:color w:val="auto"/>
                <w:szCs w:val="21"/>
                <w:highlight w:val="none"/>
              </w:rPr>
              <w:t xml:space="preserve">G以上，硬盘 </w:t>
            </w:r>
            <w:r>
              <w:rPr>
                <w:rFonts w:hAnsi="宋体"/>
                <w:color w:val="auto"/>
                <w:szCs w:val="21"/>
                <w:highlight w:val="none"/>
              </w:rPr>
              <w:t>256 SSD+1T</w:t>
            </w:r>
            <w:r>
              <w:rPr>
                <w:rFonts w:hint="eastAsia" w:hAnsi="宋体"/>
                <w:color w:val="auto"/>
                <w:szCs w:val="21"/>
                <w:highlight w:val="none"/>
              </w:rPr>
              <w:t>机械硬盘；DVD</w:t>
            </w:r>
            <w:r>
              <w:rPr>
                <w:rFonts w:hAnsi="宋体"/>
                <w:color w:val="auto"/>
                <w:szCs w:val="21"/>
                <w:highlight w:val="none"/>
              </w:rPr>
              <w:t>-RW</w:t>
            </w:r>
            <w:r>
              <w:rPr>
                <w:rFonts w:hint="eastAsia" w:hAnsi="宋体"/>
                <w:color w:val="auto"/>
                <w:szCs w:val="21"/>
                <w:highlight w:val="none"/>
              </w:rPr>
              <w:t>光驱；2</w:t>
            </w:r>
            <w:r>
              <w:rPr>
                <w:rFonts w:hAnsi="宋体"/>
                <w:color w:val="auto"/>
                <w:szCs w:val="21"/>
                <w:highlight w:val="none"/>
              </w:rPr>
              <w:t>1.5</w:t>
            </w:r>
            <w:r>
              <w:rPr>
                <w:rFonts w:hint="eastAsia" w:hAnsi="宋体"/>
                <w:color w:val="auto"/>
                <w:szCs w:val="21"/>
                <w:highlight w:val="none"/>
              </w:rPr>
              <w:t xml:space="preserve">寸）1套+打印输出设备 </w:t>
            </w:r>
          </w:p>
          <w:p>
            <w:pPr>
              <w:pStyle w:val="2"/>
              <w:rPr>
                <w:color w:val="auto"/>
                <w:highlight w:val="none"/>
              </w:rPr>
            </w:pPr>
            <w:r>
              <w:rPr>
                <w:rFonts w:hint="eastAsia"/>
                <w:color w:val="auto"/>
                <w:highlight w:val="none"/>
              </w:rPr>
              <w:t>6</w:t>
            </w:r>
            <w:r>
              <w:rPr>
                <w:color w:val="auto"/>
                <w:highlight w:val="none"/>
              </w:rPr>
              <w:t xml:space="preserve">.11 </w:t>
            </w:r>
            <w:r>
              <w:rPr>
                <w:rFonts w:hint="eastAsia" w:ascii="宋体" w:hAnsi="宋体" w:eastAsia="宋体"/>
                <w:color w:val="auto"/>
                <w:highlight w:val="none"/>
              </w:rPr>
              <w:t>配套赶酸附件</w:t>
            </w:r>
          </w:p>
          <w:p>
            <w:pPr>
              <w:pStyle w:val="2"/>
              <w:rPr>
                <w:rFonts w:ascii="宋体" w:hAnsi="宋体" w:eastAsia="宋体"/>
                <w:color w:val="auto"/>
                <w:highlight w:val="none"/>
              </w:rPr>
            </w:pPr>
            <w:r>
              <w:rPr>
                <w:rFonts w:hint="eastAsia"/>
                <w:color w:val="auto"/>
                <w:highlight w:val="none"/>
              </w:rPr>
              <w:t>7</w:t>
            </w:r>
            <w:r>
              <w:rPr>
                <w:color w:val="auto"/>
                <w:highlight w:val="none"/>
              </w:rPr>
              <w:t xml:space="preserve">. </w:t>
            </w:r>
            <w:r>
              <w:rPr>
                <w:rFonts w:hint="eastAsia" w:ascii="宋体" w:hAnsi="宋体" w:eastAsia="宋体"/>
                <w:color w:val="auto"/>
                <w:highlight w:val="none"/>
              </w:rPr>
              <w:t>质保三年</w:t>
            </w:r>
          </w:p>
          <w:p>
            <w:pPr>
              <w:pStyle w:val="2"/>
              <w:rPr>
                <w:color w:val="auto"/>
                <w:highlight w:val="none"/>
              </w:rPr>
            </w:pPr>
            <w:r>
              <w:rPr>
                <w:rFonts w:hint="eastAsia" w:ascii="Times New Roman" w:hAnsi="宋体"/>
                <w:color w:val="auto"/>
                <w:szCs w:val="21"/>
                <w:highlight w:val="none"/>
              </w:rPr>
              <w:t>（备注：工作站及打印输出设备人民币报价）</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1</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套</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允许进口</w:t>
            </w:r>
          </w:p>
        </w:tc>
      </w:tr>
    </w:tbl>
    <w:p>
      <w:pPr>
        <w:ind w:firstLine="480"/>
        <w:rPr>
          <w:color w:val="auto"/>
          <w:highlight w:val="none"/>
        </w:rPr>
      </w:pPr>
    </w:p>
    <w:p>
      <w:pPr>
        <w:pStyle w:val="7"/>
        <w:ind w:firstLine="422"/>
        <w:rPr>
          <w:color w:val="auto"/>
          <w:highlight w:val="none"/>
        </w:rPr>
      </w:pPr>
      <w:r>
        <w:rPr>
          <w:rFonts w:hint="eastAsia"/>
          <w:color w:val="auto"/>
          <w:highlight w:val="none"/>
        </w:rPr>
        <w:t>标项七：</w:t>
      </w:r>
      <w:r>
        <w:rPr>
          <w:rFonts w:hint="eastAsia" w:ascii="宋体" w:hAnsi="宋体" w:cs="宋体"/>
          <w:color w:val="auto"/>
          <w:kern w:val="0"/>
          <w:highlight w:val="none"/>
        </w:rPr>
        <w:t>半薄全自动切片机等</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409"/>
        <w:gridCol w:w="5862"/>
        <w:gridCol w:w="541"/>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序号</w:t>
            </w:r>
          </w:p>
        </w:tc>
        <w:tc>
          <w:tcPr>
            <w:tcW w:w="1409"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名称</w:t>
            </w:r>
          </w:p>
        </w:tc>
        <w:tc>
          <w:tcPr>
            <w:tcW w:w="586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功能及技术参数等</w:t>
            </w:r>
          </w:p>
        </w:tc>
        <w:tc>
          <w:tcPr>
            <w:tcW w:w="541"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单位</w:t>
            </w:r>
          </w:p>
        </w:tc>
        <w:tc>
          <w:tcPr>
            <w:tcW w:w="540"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数量</w:t>
            </w:r>
          </w:p>
        </w:tc>
        <w:tc>
          <w:tcPr>
            <w:tcW w:w="542" w:type="dxa"/>
            <w:shd w:val="clear" w:color="auto" w:fill="auto"/>
            <w:vAlign w:val="center"/>
          </w:tcPr>
          <w:p>
            <w:pPr>
              <w:spacing w:before="120" w:beforeLines="50" w:after="120" w:afterLines="50"/>
              <w:ind w:firstLine="0" w:firstLineChars="0"/>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22"/>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highlight w:val="none"/>
              </w:rPr>
            </w:pPr>
            <w:r>
              <w:rPr>
                <w:rFonts w:hint="eastAsia" w:ascii="宋体" w:hAnsi="宋体" w:cs="宋体"/>
                <w:color w:val="auto"/>
                <w:kern w:val="0"/>
                <w:highlight w:val="none"/>
              </w:rPr>
              <w:t>半薄全自动切片机（核心产品）</w:t>
            </w:r>
          </w:p>
        </w:tc>
        <w:tc>
          <w:tcPr>
            <w:tcW w:w="5862" w:type="dxa"/>
            <w:shd w:val="clear" w:color="auto" w:fill="auto"/>
            <w:vAlign w:val="center"/>
          </w:tcPr>
          <w:p>
            <w:pPr>
              <w:spacing w:line="240" w:lineRule="auto"/>
              <w:ind w:firstLine="0" w:firstLineChars="0"/>
              <w:rPr>
                <w:color w:val="auto"/>
                <w:highlight w:val="none"/>
              </w:rPr>
            </w:pPr>
            <w:r>
              <w:rPr>
                <w:rFonts w:ascii="Arial" w:hAnsi="Arial" w:cs="Arial"/>
                <w:color w:val="auto"/>
                <w:highlight w:val="none"/>
                <w:shd w:val="clear" w:color="auto" w:fill="FFFFFF"/>
              </w:rPr>
              <w:t>▲</w:t>
            </w:r>
            <w:r>
              <w:rPr>
                <w:color w:val="auto"/>
                <w:highlight w:val="none"/>
              </w:rPr>
              <w:t>1</w:t>
            </w:r>
            <w:r>
              <w:rPr>
                <w:rFonts w:hint="eastAsia"/>
                <w:color w:val="auto"/>
                <w:highlight w:val="none"/>
              </w:rPr>
              <w:t>、</w:t>
            </w:r>
            <w:r>
              <w:rPr>
                <w:rFonts w:hAnsi="宋体"/>
                <w:color w:val="auto"/>
                <w:highlight w:val="none"/>
              </w:rPr>
              <w:t>有</w:t>
            </w:r>
            <w:r>
              <w:rPr>
                <w:color w:val="auto"/>
                <w:highlight w:val="none"/>
              </w:rPr>
              <w:t>0</w:t>
            </w:r>
            <w:r>
              <w:rPr>
                <w:rFonts w:hAnsi="宋体"/>
                <w:color w:val="auto"/>
                <w:highlight w:val="none"/>
              </w:rPr>
              <w:t>位指示的精准定位系统，可电动进样和电动切片，切片厚度</w:t>
            </w:r>
            <w:r>
              <w:rPr>
                <w:color w:val="auto"/>
                <w:highlight w:val="none"/>
              </w:rPr>
              <w:t>0.25-100</w:t>
            </w:r>
            <w:r>
              <w:rPr>
                <w:rFonts w:hAnsi="宋体"/>
                <w:color w:val="auto"/>
                <w:highlight w:val="none"/>
              </w:rPr>
              <w:t>微米，系统配置石蜡切片用一次性刀片刀架和一次性刀片</w:t>
            </w:r>
            <w:r>
              <w:rPr>
                <w:rFonts w:hint="eastAsia" w:hAnsi="宋体"/>
                <w:color w:val="auto"/>
                <w:highlight w:val="none"/>
              </w:rPr>
              <w:t>；</w:t>
            </w:r>
          </w:p>
          <w:p>
            <w:pPr>
              <w:spacing w:line="240" w:lineRule="auto"/>
              <w:ind w:firstLine="0" w:firstLineChars="0"/>
              <w:rPr>
                <w:color w:val="auto"/>
                <w:highlight w:val="none"/>
              </w:rPr>
            </w:pPr>
            <w:r>
              <w:rPr>
                <w:color w:val="auto"/>
                <w:highlight w:val="none"/>
              </w:rPr>
              <w:t>2</w:t>
            </w:r>
            <w:r>
              <w:rPr>
                <w:rFonts w:hint="eastAsia"/>
                <w:color w:val="auto"/>
                <w:highlight w:val="none"/>
              </w:rPr>
              <w:t>、</w:t>
            </w:r>
            <w:r>
              <w:rPr>
                <w:rFonts w:hAnsi="宋体"/>
                <w:color w:val="auto"/>
                <w:highlight w:val="none"/>
              </w:rPr>
              <w:t>结构紧凑，符合人体工程学设计，有手动、半自动、全自动三种切片模式</w:t>
            </w:r>
            <w:r>
              <w:rPr>
                <w:rFonts w:hint="eastAsia" w:hAnsi="宋体"/>
                <w:color w:val="auto"/>
                <w:highlight w:val="none"/>
              </w:rPr>
              <w:t>；</w:t>
            </w:r>
          </w:p>
          <w:p>
            <w:pPr>
              <w:spacing w:line="240" w:lineRule="auto"/>
              <w:ind w:firstLine="0" w:firstLineChars="0"/>
              <w:rPr>
                <w:color w:val="auto"/>
                <w:highlight w:val="none"/>
              </w:rPr>
            </w:pPr>
            <w:r>
              <w:rPr>
                <w:color w:val="auto"/>
                <w:highlight w:val="none"/>
              </w:rPr>
              <w:t>3</w:t>
            </w:r>
            <w:r>
              <w:rPr>
                <w:rFonts w:hint="eastAsia"/>
                <w:color w:val="auto"/>
                <w:highlight w:val="none"/>
              </w:rPr>
              <w:t>、</w:t>
            </w:r>
            <w:r>
              <w:rPr>
                <w:rFonts w:hAnsi="宋体"/>
                <w:color w:val="auto"/>
                <w:highlight w:val="none"/>
              </w:rPr>
              <w:t>有切片厚度总计和切片计数显示功能</w:t>
            </w:r>
            <w:r>
              <w:rPr>
                <w:rFonts w:hint="eastAsia" w:hAnsi="宋体"/>
                <w:color w:val="auto"/>
                <w:highlight w:val="none"/>
              </w:rPr>
              <w:t>；</w:t>
            </w:r>
          </w:p>
          <w:p>
            <w:pPr>
              <w:spacing w:line="240" w:lineRule="auto"/>
              <w:ind w:firstLine="0" w:firstLineChars="0"/>
              <w:rPr>
                <w:color w:val="auto"/>
                <w:highlight w:val="none"/>
              </w:rPr>
            </w:pPr>
            <w:r>
              <w:rPr>
                <w:color w:val="auto"/>
                <w:highlight w:val="none"/>
              </w:rPr>
              <w:t>4</w:t>
            </w:r>
            <w:r>
              <w:rPr>
                <w:rFonts w:hint="eastAsia"/>
                <w:color w:val="auto"/>
                <w:highlight w:val="none"/>
              </w:rPr>
              <w:t>、</w:t>
            </w:r>
            <w:r>
              <w:rPr>
                <w:rFonts w:hAnsi="宋体"/>
                <w:color w:val="auto"/>
                <w:highlight w:val="none"/>
              </w:rPr>
              <w:t>修块和切片模式可灵活转换</w:t>
            </w:r>
            <w:r>
              <w:rPr>
                <w:rFonts w:hint="eastAsia" w:hAnsi="宋体"/>
                <w:color w:val="auto"/>
                <w:highlight w:val="none"/>
              </w:rPr>
              <w:t>；</w:t>
            </w:r>
          </w:p>
          <w:p>
            <w:pPr>
              <w:spacing w:line="240" w:lineRule="auto"/>
              <w:ind w:firstLine="0" w:firstLineChars="0"/>
              <w:rPr>
                <w:color w:val="auto"/>
                <w:highlight w:val="none"/>
              </w:rPr>
            </w:pPr>
            <w:r>
              <w:rPr>
                <w:color w:val="auto"/>
                <w:highlight w:val="none"/>
              </w:rPr>
              <w:t>5</w:t>
            </w:r>
            <w:r>
              <w:rPr>
                <w:rFonts w:hint="eastAsia"/>
                <w:color w:val="auto"/>
                <w:highlight w:val="none"/>
              </w:rPr>
              <w:t>、</w:t>
            </w:r>
            <w:r>
              <w:rPr>
                <w:rFonts w:hAnsi="宋体"/>
                <w:color w:val="auto"/>
                <w:highlight w:val="none"/>
              </w:rPr>
              <w:t>两种电动粗进速度，由于是样本进样</w:t>
            </w:r>
            <w:r>
              <w:rPr>
                <w:rFonts w:hint="eastAsia"/>
                <w:color w:val="auto"/>
                <w:highlight w:val="none"/>
              </w:rPr>
              <w:t>，</w:t>
            </w:r>
            <w:r>
              <w:rPr>
                <w:rFonts w:hAnsi="宋体"/>
                <w:color w:val="auto"/>
                <w:highlight w:val="none"/>
              </w:rPr>
              <w:t>无震动切片最优化</w:t>
            </w:r>
            <w:r>
              <w:rPr>
                <w:rFonts w:hint="eastAsia"/>
                <w:color w:val="auto"/>
                <w:highlight w:val="none"/>
              </w:rPr>
              <w:t>；</w:t>
            </w:r>
          </w:p>
          <w:p>
            <w:pPr>
              <w:spacing w:line="240" w:lineRule="auto"/>
              <w:ind w:firstLine="0" w:firstLineChars="0"/>
              <w:rPr>
                <w:color w:val="auto"/>
                <w:highlight w:val="none"/>
              </w:rPr>
            </w:pPr>
            <w:r>
              <w:rPr>
                <w:color w:val="auto"/>
                <w:highlight w:val="none"/>
              </w:rPr>
              <w:t>6</w:t>
            </w:r>
            <w:r>
              <w:rPr>
                <w:rFonts w:hint="eastAsia"/>
                <w:color w:val="auto"/>
                <w:highlight w:val="none"/>
              </w:rPr>
              <w:t>、</w:t>
            </w:r>
            <w:r>
              <w:rPr>
                <w:rFonts w:hAnsi="宋体"/>
                <w:color w:val="auto"/>
                <w:highlight w:val="none"/>
              </w:rPr>
              <w:t>全自动切片，</w:t>
            </w:r>
            <w:r>
              <w:rPr>
                <w:color w:val="auto"/>
                <w:highlight w:val="none"/>
              </w:rPr>
              <w:t>2</w:t>
            </w:r>
            <w:r>
              <w:rPr>
                <w:rFonts w:hAnsi="宋体"/>
                <w:color w:val="auto"/>
                <w:highlight w:val="none"/>
              </w:rPr>
              <w:t>种模式：单一切片和连续切片</w:t>
            </w:r>
            <w:r>
              <w:rPr>
                <w:color w:val="auto"/>
                <w:highlight w:val="none"/>
              </w:rPr>
              <w:t> </w:t>
            </w:r>
            <w:r>
              <w:rPr>
                <w:rFonts w:hint="eastAsia"/>
                <w:color w:val="auto"/>
                <w:highlight w:val="none"/>
              </w:rPr>
              <w:t>；</w:t>
            </w:r>
          </w:p>
          <w:p>
            <w:pPr>
              <w:spacing w:line="240" w:lineRule="auto"/>
              <w:ind w:firstLine="0" w:firstLineChars="0"/>
              <w:rPr>
                <w:color w:val="auto"/>
                <w:highlight w:val="none"/>
              </w:rPr>
            </w:pPr>
            <w:r>
              <w:rPr>
                <w:color w:val="auto"/>
                <w:highlight w:val="none"/>
              </w:rPr>
              <w:t>7</w:t>
            </w:r>
            <w:r>
              <w:rPr>
                <w:rFonts w:hint="eastAsia"/>
                <w:color w:val="auto"/>
                <w:highlight w:val="none"/>
              </w:rPr>
              <w:t>、</w:t>
            </w:r>
            <w:r>
              <w:rPr>
                <w:rFonts w:hAnsi="宋体"/>
                <w:color w:val="auto"/>
                <w:highlight w:val="none"/>
              </w:rPr>
              <w:t>切片和修块程序</w:t>
            </w:r>
            <w:r>
              <w:rPr>
                <w:rFonts w:hint="eastAsia" w:hAnsi="宋体"/>
                <w:color w:val="auto"/>
                <w:highlight w:val="none"/>
              </w:rPr>
              <w:t>；</w:t>
            </w:r>
          </w:p>
          <w:p>
            <w:pPr>
              <w:spacing w:line="240" w:lineRule="auto"/>
              <w:ind w:firstLine="0" w:firstLineChars="0"/>
              <w:rPr>
                <w:color w:val="auto"/>
                <w:highlight w:val="none"/>
              </w:rPr>
            </w:pPr>
            <w:r>
              <w:rPr>
                <w:color w:val="auto"/>
                <w:highlight w:val="none"/>
              </w:rPr>
              <w:t>8</w:t>
            </w:r>
            <w:r>
              <w:rPr>
                <w:rFonts w:hint="eastAsia"/>
                <w:color w:val="auto"/>
                <w:highlight w:val="none"/>
              </w:rPr>
              <w:t>、</w:t>
            </w:r>
            <w:r>
              <w:rPr>
                <w:rFonts w:hAnsi="宋体"/>
                <w:color w:val="auto"/>
                <w:highlight w:val="none"/>
              </w:rPr>
              <w:t>独立的控制板</w:t>
            </w:r>
            <w:r>
              <w:rPr>
                <w:rFonts w:hint="eastAsia" w:hAnsi="宋体"/>
                <w:color w:val="auto"/>
                <w:highlight w:val="none"/>
              </w:rPr>
              <w:t>；</w:t>
            </w:r>
          </w:p>
          <w:p>
            <w:pPr>
              <w:spacing w:line="240" w:lineRule="auto"/>
              <w:ind w:firstLine="0" w:firstLineChars="0"/>
              <w:rPr>
                <w:color w:val="auto"/>
                <w:highlight w:val="none"/>
              </w:rPr>
            </w:pPr>
            <w:r>
              <w:rPr>
                <w:rFonts w:ascii="Arial" w:hAnsi="Arial" w:cs="Arial"/>
                <w:color w:val="auto"/>
                <w:highlight w:val="none"/>
                <w:shd w:val="clear" w:color="auto" w:fill="FFFFFF"/>
              </w:rPr>
              <w:t>▲</w:t>
            </w:r>
            <w:r>
              <w:rPr>
                <w:color w:val="auto"/>
                <w:highlight w:val="none"/>
              </w:rPr>
              <w:t>9</w:t>
            </w:r>
            <w:r>
              <w:rPr>
                <w:rFonts w:hint="eastAsia"/>
                <w:color w:val="auto"/>
                <w:highlight w:val="none"/>
              </w:rPr>
              <w:t>、</w:t>
            </w:r>
            <w:r>
              <w:rPr>
                <w:color w:val="auto"/>
                <w:highlight w:val="none"/>
              </w:rPr>
              <w:t>LED</w:t>
            </w:r>
            <w:r>
              <w:rPr>
                <w:rFonts w:hAnsi="宋体"/>
                <w:color w:val="auto"/>
                <w:highlight w:val="none"/>
              </w:rPr>
              <w:t>显示切片数</w:t>
            </w:r>
            <w:r>
              <w:rPr>
                <w:rFonts w:hint="eastAsia"/>
                <w:color w:val="auto"/>
                <w:highlight w:val="none"/>
              </w:rPr>
              <w:t>、</w:t>
            </w:r>
            <w:r>
              <w:rPr>
                <w:rFonts w:hAnsi="宋体"/>
                <w:color w:val="auto"/>
                <w:highlight w:val="none"/>
              </w:rPr>
              <w:t>切片厚度</w:t>
            </w:r>
            <w:r>
              <w:rPr>
                <w:rFonts w:hint="eastAsia"/>
                <w:color w:val="auto"/>
                <w:highlight w:val="none"/>
              </w:rPr>
              <w:t>、</w:t>
            </w:r>
            <w:r>
              <w:rPr>
                <w:rFonts w:hAnsi="宋体"/>
                <w:color w:val="auto"/>
                <w:highlight w:val="none"/>
              </w:rPr>
              <w:t>切片厚度总计</w:t>
            </w:r>
            <w:r>
              <w:rPr>
                <w:rFonts w:hint="eastAsia" w:hAnsi="宋体"/>
                <w:color w:val="auto"/>
                <w:highlight w:val="none"/>
              </w:rPr>
              <w:t>，</w:t>
            </w:r>
            <w:r>
              <w:rPr>
                <w:rFonts w:hAnsi="宋体"/>
                <w:color w:val="auto"/>
                <w:highlight w:val="none"/>
              </w:rPr>
              <w:t>速度指示</w:t>
            </w:r>
            <w:r>
              <w:rPr>
                <w:rFonts w:hint="eastAsia" w:hAnsi="宋体"/>
                <w:color w:val="auto"/>
                <w:highlight w:val="none"/>
              </w:rPr>
              <w:t>；</w:t>
            </w:r>
          </w:p>
          <w:p>
            <w:pPr>
              <w:spacing w:line="240" w:lineRule="auto"/>
              <w:ind w:firstLine="0" w:firstLineChars="0"/>
              <w:rPr>
                <w:color w:val="auto"/>
                <w:highlight w:val="none"/>
              </w:rPr>
            </w:pPr>
            <w:r>
              <w:rPr>
                <w:color w:val="auto"/>
                <w:highlight w:val="none"/>
              </w:rPr>
              <w:t>10</w:t>
            </w:r>
            <w:r>
              <w:rPr>
                <w:rFonts w:hint="eastAsia"/>
                <w:color w:val="auto"/>
                <w:highlight w:val="none"/>
              </w:rPr>
              <w:t>、</w:t>
            </w:r>
            <w:r>
              <w:rPr>
                <w:rFonts w:hAnsi="宋体"/>
                <w:color w:val="auto"/>
                <w:highlight w:val="none"/>
              </w:rPr>
              <w:t>程序化的样本回缩</w:t>
            </w:r>
            <w:r>
              <w:rPr>
                <w:rFonts w:hint="eastAsia" w:hAnsi="宋体"/>
                <w:color w:val="auto"/>
                <w:highlight w:val="none"/>
              </w:rPr>
              <w:t>；</w:t>
            </w:r>
          </w:p>
          <w:p>
            <w:pPr>
              <w:spacing w:line="240" w:lineRule="auto"/>
              <w:ind w:firstLine="0" w:firstLineChars="0"/>
              <w:rPr>
                <w:color w:val="auto"/>
                <w:highlight w:val="none"/>
              </w:rPr>
            </w:pPr>
            <w:r>
              <w:rPr>
                <w:color w:val="auto"/>
                <w:highlight w:val="none"/>
              </w:rPr>
              <w:t>11</w:t>
            </w:r>
            <w:r>
              <w:rPr>
                <w:rFonts w:hint="eastAsia"/>
                <w:color w:val="auto"/>
                <w:highlight w:val="none"/>
              </w:rPr>
              <w:t>、</w:t>
            </w:r>
            <w:r>
              <w:rPr>
                <w:rFonts w:hAnsi="宋体"/>
                <w:color w:val="auto"/>
                <w:highlight w:val="none"/>
              </w:rPr>
              <w:t>无需维护的交叉轴承设计</w:t>
            </w:r>
            <w:r>
              <w:rPr>
                <w:rFonts w:hint="eastAsia" w:hAnsi="宋体"/>
                <w:color w:val="auto"/>
                <w:highlight w:val="none"/>
              </w:rPr>
              <w:t>；</w:t>
            </w:r>
          </w:p>
          <w:p>
            <w:pPr>
              <w:spacing w:line="240" w:lineRule="auto"/>
              <w:ind w:firstLine="0" w:firstLineChars="0"/>
              <w:rPr>
                <w:color w:val="auto"/>
                <w:highlight w:val="none"/>
              </w:rPr>
            </w:pPr>
            <w:r>
              <w:rPr>
                <w:color w:val="auto"/>
                <w:highlight w:val="none"/>
              </w:rPr>
              <w:t>12</w:t>
            </w:r>
            <w:r>
              <w:rPr>
                <w:rFonts w:hint="eastAsia"/>
                <w:color w:val="auto"/>
                <w:highlight w:val="none"/>
              </w:rPr>
              <w:t>、</w:t>
            </w:r>
            <w:r>
              <w:rPr>
                <w:rFonts w:hAnsi="宋体"/>
                <w:color w:val="auto"/>
                <w:highlight w:val="none"/>
              </w:rPr>
              <w:t>单手操作的样本夹</w:t>
            </w:r>
            <w:r>
              <w:rPr>
                <w:rFonts w:hint="eastAsia" w:hAnsi="宋体"/>
                <w:color w:val="auto"/>
                <w:highlight w:val="none"/>
              </w:rPr>
              <w:t>；</w:t>
            </w:r>
          </w:p>
          <w:p>
            <w:pPr>
              <w:spacing w:line="240" w:lineRule="auto"/>
              <w:ind w:firstLine="0" w:firstLineChars="0"/>
              <w:rPr>
                <w:color w:val="auto"/>
                <w:highlight w:val="none"/>
              </w:rPr>
            </w:pPr>
            <w:r>
              <w:rPr>
                <w:color w:val="auto"/>
                <w:highlight w:val="none"/>
              </w:rPr>
              <w:t>13</w:t>
            </w:r>
            <w:r>
              <w:rPr>
                <w:rFonts w:hint="eastAsia"/>
                <w:color w:val="auto"/>
                <w:highlight w:val="none"/>
              </w:rPr>
              <w:t>、</w:t>
            </w:r>
            <w:r>
              <w:rPr>
                <w:rFonts w:hAnsi="宋体"/>
                <w:color w:val="auto"/>
                <w:highlight w:val="none"/>
              </w:rPr>
              <w:t>全新的刀架设计，内置红色护手</w:t>
            </w:r>
            <w:r>
              <w:rPr>
                <w:rFonts w:hint="eastAsia" w:hAnsi="宋体"/>
                <w:color w:val="auto"/>
                <w:highlight w:val="none"/>
              </w:rPr>
              <w:t>；</w:t>
            </w:r>
          </w:p>
          <w:p>
            <w:pPr>
              <w:spacing w:line="240" w:lineRule="auto"/>
              <w:ind w:firstLine="0" w:firstLineChars="0"/>
              <w:rPr>
                <w:color w:val="auto"/>
                <w:highlight w:val="none"/>
              </w:rPr>
            </w:pPr>
            <w:r>
              <w:rPr>
                <w:color w:val="auto"/>
                <w:highlight w:val="none"/>
              </w:rPr>
              <w:t>14</w:t>
            </w:r>
            <w:r>
              <w:rPr>
                <w:rFonts w:hint="eastAsia"/>
                <w:color w:val="auto"/>
                <w:highlight w:val="none"/>
              </w:rPr>
              <w:t>、</w:t>
            </w:r>
            <w:r>
              <w:rPr>
                <w:rFonts w:hAnsi="宋体"/>
                <w:color w:val="auto"/>
                <w:highlight w:val="none"/>
              </w:rPr>
              <w:t>机器整体表现出安全概念</w:t>
            </w:r>
            <w:r>
              <w:rPr>
                <w:rFonts w:hint="eastAsia" w:hAnsi="宋体"/>
                <w:color w:val="auto"/>
                <w:highlight w:val="none"/>
              </w:rPr>
              <w:t>；</w:t>
            </w:r>
          </w:p>
          <w:p>
            <w:pPr>
              <w:spacing w:line="240" w:lineRule="auto"/>
              <w:ind w:firstLine="0" w:firstLineChars="0"/>
              <w:rPr>
                <w:color w:val="auto"/>
                <w:highlight w:val="none"/>
              </w:rPr>
            </w:pPr>
            <w:r>
              <w:rPr>
                <w:color w:val="auto"/>
                <w:highlight w:val="none"/>
              </w:rPr>
              <w:t>15</w:t>
            </w:r>
            <w:r>
              <w:rPr>
                <w:rFonts w:hint="eastAsia"/>
                <w:color w:val="auto"/>
                <w:highlight w:val="none"/>
              </w:rPr>
              <w:t>、</w:t>
            </w:r>
            <w:r>
              <w:rPr>
                <w:rFonts w:hAnsi="宋体"/>
                <w:color w:val="auto"/>
                <w:highlight w:val="none"/>
              </w:rPr>
              <w:t>符合人体工程学设计的手轮，平滑手轮，内置锁定系统</w:t>
            </w:r>
            <w:r>
              <w:rPr>
                <w:rFonts w:hint="eastAsia" w:hAnsi="宋体"/>
                <w:color w:val="auto"/>
                <w:highlight w:val="none"/>
              </w:rPr>
              <w:t>；</w:t>
            </w:r>
            <w:r>
              <w:rPr>
                <w:color w:val="auto"/>
                <w:highlight w:val="none"/>
              </w:rPr>
              <w:br w:type="textWrapping"/>
            </w:r>
            <w:r>
              <w:rPr>
                <w:color w:val="auto"/>
                <w:highlight w:val="none"/>
              </w:rPr>
              <w:t>16</w:t>
            </w:r>
            <w:r>
              <w:rPr>
                <w:rFonts w:hint="eastAsia"/>
                <w:color w:val="auto"/>
                <w:highlight w:val="none"/>
              </w:rPr>
              <w:t>、</w:t>
            </w:r>
            <w:r>
              <w:rPr>
                <w:rFonts w:hAnsi="宋体"/>
                <w:color w:val="auto"/>
                <w:highlight w:val="none"/>
              </w:rPr>
              <w:t>主机连接控制器电子显示及控制各种参数</w:t>
            </w:r>
            <w:r>
              <w:rPr>
                <w:rFonts w:hint="eastAsia" w:hAnsi="宋体"/>
                <w:color w:val="auto"/>
                <w:highlight w:val="none"/>
              </w:rPr>
              <w:t>；</w:t>
            </w:r>
            <w:r>
              <w:rPr>
                <w:color w:val="auto"/>
                <w:highlight w:val="none"/>
              </w:rPr>
              <w:br w:type="textWrapping"/>
            </w:r>
            <w:r>
              <w:rPr>
                <w:color w:val="auto"/>
                <w:highlight w:val="none"/>
              </w:rPr>
              <w:t>1</w:t>
            </w:r>
            <w:r>
              <w:rPr>
                <w:rFonts w:hint="eastAsia"/>
                <w:color w:val="auto"/>
                <w:highlight w:val="none"/>
              </w:rPr>
              <w:t>7、</w:t>
            </w:r>
            <w:r>
              <w:rPr>
                <w:rFonts w:hAnsi="宋体"/>
                <w:color w:val="auto"/>
                <w:highlight w:val="none"/>
              </w:rPr>
              <w:t>宽大的磁力废物槽</w:t>
            </w:r>
            <w:r>
              <w:rPr>
                <w:rFonts w:hint="eastAsia" w:hAnsi="宋体"/>
                <w:color w:val="auto"/>
                <w:highlight w:val="none"/>
              </w:rPr>
              <w:t>；</w:t>
            </w:r>
            <w:r>
              <w:rPr>
                <w:color w:val="auto"/>
                <w:highlight w:val="none"/>
              </w:rPr>
              <w:br w:type="textWrapping"/>
            </w:r>
            <w:r>
              <w:rPr>
                <w:color w:val="auto"/>
                <w:highlight w:val="none"/>
              </w:rPr>
              <w:t>18</w:t>
            </w:r>
            <w:r>
              <w:rPr>
                <w:rFonts w:hint="eastAsia"/>
                <w:color w:val="auto"/>
                <w:highlight w:val="none"/>
              </w:rPr>
              <w:t>、</w:t>
            </w:r>
            <w:r>
              <w:rPr>
                <w:rFonts w:hAnsi="宋体"/>
                <w:color w:val="auto"/>
                <w:highlight w:val="none"/>
              </w:rPr>
              <w:t>防水按键式的自动控制器</w:t>
            </w:r>
            <w:r>
              <w:rPr>
                <w:rFonts w:hint="eastAsia" w:hAnsi="宋体"/>
                <w:color w:val="auto"/>
                <w:highlight w:val="none"/>
              </w:rPr>
              <w:t>；</w:t>
            </w:r>
            <w:r>
              <w:rPr>
                <w:color w:val="auto"/>
                <w:highlight w:val="none"/>
              </w:rPr>
              <w:br w:type="textWrapping"/>
            </w:r>
            <w:r>
              <w:rPr>
                <w:rFonts w:ascii="Arial" w:hAnsi="Arial" w:cs="Arial"/>
                <w:color w:val="auto"/>
                <w:highlight w:val="none"/>
                <w:shd w:val="clear" w:color="auto" w:fill="FFFFFF"/>
              </w:rPr>
              <w:t>▲</w:t>
            </w:r>
            <w:r>
              <w:rPr>
                <w:color w:val="auto"/>
                <w:highlight w:val="none"/>
              </w:rPr>
              <w:t>19</w:t>
            </w:r>
            <w:r>
              <w:rPr>
                <w:rFonts w:hint="eastAsia"/>
                <w:color w:val="auto"/>
                <w:highlight w:val="none"/>
              </w:rPr>
              <w:t>、</w:t>
            </w:r>
            <w:r>
              <w:rPr>
                <w:rFonts w:hAnsi="宋体"/>
                <w:color w:val="auto"/>
                <w:highlight w:val="none"/>
              </w:rPr>
              <w:t>切片厚度：</w:t>
            </w:r>
            <w:r>
              <w:rPr>
                <w:color w:val="auto"/>
                <w:highlight w:val="none"/>
              </w:rPr>
              <w:t>0.25-100mm </w:t>
            </w:r>
            <w:r>
              <w:rPr>
                <w:rFonts w:hint="eastAsia"/>
                <w:color w:val="auto"/>
                <w:highlight w:val="none"/>
              </w:rPr>
              <w:t>；</w:t>
            </w:r>
            <w:r>
              <w:rPr>
                <w:rFonts w:hAnsi="宋体"/>
                <w:color w:val="auto"/>
                <w:highlight w:val="none"/>
              </w:rPr>
              <w:t>修块厚度设定：</w:t>
            </w:r>
            <w:r>
              <w:rPr>
                <w:color w:val="auto"/>
                <w:highlight w:val="none"/>
              </w:rPr>
              <w:t>0</w:t>
            </w:r>
            <w:r>
              <w:rPr>
                <w:rFonts w:hAnsi="宋体"/>
                <w:color w:val="auto"/>
                <w:highlight w:val="none"/>
              </w:rPr>
              <w:t>－</w:t>
            </w:r>
            <w:r>
              <w:rPr>
                <w:color w:val="auto"/>
                <w:highlight w:val="none"/>
              </w:rPr>
              <w:t>600mm</w:t>
            </w:r>
            <w:r>
              <w:rPr>
                <w:rFonts w:hint="eastAsia"/>
                <w:color w:val="auto"/>
                <w:highlight w:val="none"/>
              </w:rPr>
              <w:t>；</w:t>
            </w:r>
          </w:p>
          <w:p>
            <w:pPr>
              <w:spacing w:line="240" w:lineRule="auto"/>
              <w:ind w:firstLine="0" w:firstLineChars="0"/>
              <w:rPr>
                <w:color w:val="auto"/>
                <w:highlight w:val="none"/>
              </w:rPr>
            </w:pPr>
            <w:r>
              <w:rPr>
                <w:color w:val="auto"/>
                <w:highlight w:val="none"/>
              </w:rPr>
              <w:t>20</w:t>
            </w:r>
            <w:r>
              <w:rPr>
                <w:rFonts w:hint="eastAsia"/>
                <w:color w:val="auto"/>
                <w:highlight w:val="none"/>
              </w:rPr>
              <w:t>、</w:t>
            </w:r>
            <w:r>
              <w:rPr>
                <w:rFonts w:hAnsi="宋体"/>
                <w:color w:val="auto"/>
                <w:highlight w:val="none"/>
              </w:rPr>
              <w:t>水平进样：</w:t>
            </w:r>
            <w:r>
              <w:rPr>
                <w:color w:val="auto"/>
                <w:highlight w:val="none"/>
              </w:rPr>
              <w:t>28mm±1mm</w:t>
            </w:r>
            <w:r>
              <w:rPr>
                <w:rFonts w:hint="eastAsia"/>
                <w:color w:val="auto"/>
                <w:highlight w:val="none"/>
              </w:rPr>
              <w:t>；</w:t>
            </w:r>
            <w:r>
              <w:rPr>
                <w:color w:val="auto"/>
                <w:highlight w:val="none"/>
              </w:rPr>
              <w:br w:type="textWrapping"/>
            </w:r>
            <w:r>
              <w:rPr>
                <w:color w:val="auto"/>
                <w:highlight w:val="none"/>
              </w:rPr>
              <w:t>21</w:t>
            </w:r>
            <w:r>
              <w:rPr>
                <w:rFonts w:hint="eastAsia"/>
                <w:color w:val="auto"/>
                <w:highlight w:val="none"/>
              </w:rPr>
              <w:t>、</w:t>
            </w:r>
            <w:r>
              <w:rPr>
                <w:rFonts w:hAnsi="宋体"/>
                <w:color w:val="auto"/>
                <w:highlight w:val="none"/>
              </w:rPr>
              <w:t>垂直移动距离：</w:t>
            </w:r>
            <w:r>
              <w:rPr>
                <w:color w:val="auto"/>
                <w:highlight w:val="none"/>
              </w:rPr>
              <w:t>70mm</w:t>
            </w:r>
            <w:r>
              <w:rPr>
                <w:rFonts w:hint="eastAsia"/>
                <w:color w:val="auto"/>
                <w:highlight w:val="none"/>
              </w:rPr>
              <w:t>；</w:t>
            </w:r>
            <w:r>
              <w:rPr>
                <w:color w:val="auto"/>
                <w:highlight w:val="none"/>
              </w:rPr>
              <w:br w:type="textWrapping"/>
            </w:r>
            <w:r>
              <w:rPr>
                <w:color w:val="auto"/>
                <w:highlight w:val="none"/>
              </w:rPr>
              <w:t>22</w:t>
            </w:r>
            <w:r>
              <w:rPr>
                <w:rFonts w:hint="eastAsia"/>
                <w:color w:val="auto"/>
                <w:highlight w:val="none"/>
              </w:rPr>
              <w:t>、</w:t>
            </w:r>
            <w:r>
              <w:rPr>
                <w:rFonts w:hAnsi="宋体"/>
                <w:color w:val="auto"/>
                <w:highlight w:val="none"/>
              </w:rPr>
              <w:t>切片模式：</w:t>
            </w:r>
            <w:r>
              <w:rPr>
                <w:color w:val="auto"/>
                <w:highlight w:val="none"/>
              </w:rPr>
              <w:t>4</w:t>
            </w:r>
            <w:r>
              <w:rPr>
                <w:rFonts w:hAnsi="宋体"/>
                <w:color w:val="auto"/>
                <w:highlight w:val="none"/>
              </w:rPr>
              <w:t>种手动切片模式</w:t>
            </w:r>
            <w:r>
              <w:rPr>
                <w:rFonts w:hint="eastAsia" w:hAnsi="宋体"/>
                <w:color w:val="auto"/>
                <w:highlight w:val="none"/>
              </w:rPr>
              <w:t>；</w:t>
            </w:r>
            <w:r>
              <w:rPr>
                <w:color w:val="auto"/>
                <w:highlight w:val="none"/>
              </w:rPr>
              <w:br w:type="textWrapping"/>
            </w:r>
            <w:r>
              <w:rPr>
                <w:rFonts w:ascii="Arial" w:hAnsi="Arial" w:cs="Arial"/>
                <w:color w:val="auto"/>
                <w:highlight w:val="none"/>
                <w:shd w:val="clear" w:color="auto" w:fill="FFFFFF"/>
              </w:rPr>
              <w:t>▲</w:t>
            </w:r>
            <w:r>
              <w:rPr>
                <w:color w:val="auto"/>
                <w:highlight w:val="none"/>
              </w:rPr>
              <w:t>24</w:t>
            </w:r>
            <w:r>
              <w:rPr>
                <w:rFonts w:hint="eastAsia"/>
                <w:color w:val="auto"/>
                <w:highlight w:val="none"/>
              </w:rPr>
              <w:t>、</w:t>
            </w:r>
            <w:r>
              <w:rPr>
                <w:rFonts w:hAnsi="宋体"/>
                <w:color w:val="auto"/>
                <w:highlight w:val="none"/>
              </w:rPr>
              <w:t>样本回缩：</w:t>
            </w:r>
            <w:r>
              <w:rPr>
                <w:color w:val="auto"/>
                <w:highlight w:val="none"/>
              </w:rPr>
              <w:t>0</w:t>
            </w:r>
            <w:r>
              <w:rPr>
                <w:rFonts w:hAnsi="宋体"/>
                <w:color w:val="auto"/>
                <w:highlight w:val="none"/>
              </w:rPr>
              <w:t>－</w:t>
            </w:r>
            <w:r>
              <w:rPr>
                <w:color w:val="auto"/>
                <w:highlight w:val="none"/>
              </w:rPr>
              <w:t>100mm</w:t>
            </w:r>
            <w:r>
              <w:rPr>
                <w:rFonts w:hAnsi="宋体"/>
                <w:color w:val="auto"/>
                <w:highlight w:val="none"/>
              </w:rPr>
              <w:t>，以</w:t>
            </w:r>
            <w:r>
              <w:rPr>
                <w:color w:val="auto"/>
                <w:highlight w:val="none"/>
              </w:rPr>
              <w:t>5mm</w:t>
            </w:r>
            <w:r>
              <w:rPr>
                <w:rFonts w:hAnsi="宋体"/>
                <w:color w:val="auto"/>
                <w:highlight w:val="none"/>
              </w:rPr>
              <w:t>递进，可关闭</w:t>
            </w:r>
            <w:r>
              <w:rPr>
                <w:rFonts w:hint="eastAsia" w:hAnsi="宋体"/>
                <w:color w:val="auto"/>
                <w:highlight w:val="none"/>
              </w:rPr>
              <w:t xml:space="preserve">； </w:t>
            </w:r>
            <w:r>
              <w:rPr>
                <w:rFonts w:hAnsi="宋体"/>
                <w:color w:val="auto"/>
                <w:highlight w:val="none"/>
              </w:rPr>
              <w:t xml:space="preserve">  电动粗进：</w:t>
            </w:r>
            <w:r>
              <w:rPr>
                <w:color w:val="auto"/>
                <w:highlight w:val="none"/>
              </w:rPr>
              <w:t>300mm/s</w:t>
            </w:r>
            <w:r>
              <w:rPr>
                <w:rFonts w:hAnsi="宋体"/>
                <w:color w:val="auto"/>
                <w:highlight w:val="none"/>
              </w:rPr>
              <w:t>和</w:t>
            </w:r>
            <w:r>
              <w:rPr>
                <w:color w:val="auto"/>
                <w:highlight w:val="none"/>
              </w:rPr>
              <w:t>900mm/s</w:t>
            </w:r>
            <w:r>
              <w:rPr>
                <w:rFonts w:hint="eastAsia"/>
                <w:color w:val="auto"/>
                <w:highlight w:val="none"/>
              </w:rPr>
              <w:t>；</w:t>
            </w:r>
          </w:p>
          <w:p>
            <w:pPr>
              <w:spacing w:line="240" w:lineRule="auto"/>
              <w:ind w:firstLine="0" w:firstLineChars="0"/>
              <w:rPr>
                <w:rFonts w:hAnsi="宋体"/>
                <w:color w:val="auto"/>
                <w:highlight w:val="none"/>
              </w:rPr>
            </w:pPr>
            <w:r>
              <w:rPr>
                <w:color w:val="auto"/>
                <w:highlight w:val="none"/>
              </w:rPr>
              <w:t>25</w:t>
            </w:r>
            <w:r>
              <w:rPr>
                <w:rFonts w:hint="eastAsia"/>
                <w:color w:val="auto"/>
                <w:highlight w:val="none"/>
              </w:rPr>
              <w:t>、</w:t>
            </w:r>
            <w:r>
              <w:rPr>
                <w:rFonts w:hAnsi="宋体"/>
                <w:color w:val="auto"/>
                <w:highlight w:val="none"/>
              </w:rPr>
              <w:t>最大样本：</w:t>
            </w:r>
            <w:r>
              <w:rPr>
                <w:color w:val="auto"/>
                <w:highlight w:val="none"/>
              </w:rPr>
              <w:t>50×60×40mm</w:t>
            </w:r>
            <w:r>
              <w:rPr>
                <w:rFonts w:hint="eastAsia"/>
                <w:color w:val="auto"/>
                <w:highlight w:val="none"/>
              </w:rPr>
              <w:t>；</w:t>
            </w:r>
            <w:r>
              <w:rPr>
                <w:color w:val="auto"/>
                <w:highlight w:val="none"/>
              </w:rPr>
              <w:br w:type="textWrapping"/>
            </w:r>
            <w:r>
              <w:rPr>
                <w:color w:val="auto"/>
                <w:highlight w:val="none"/>
              </w:rPr>
              <w:t>26</w:t>
            </w:r>
            <w:r>
              <w:rPr>
                <w:rFonts w:hint="eastAsia"/>
                <w:color w:val="auto"/>
                <w:highlight w:val="none"/>
              </w:rPr>
              <w:t>、</w:t>
            </w:r>
            <w:r>
              <w:rPr>
                <w:rFonts w:hAnsi="宋体"/>
                <w:color w:val="auto"/>
                <w:highlight w:val="none"/>
              </w:rPr>
              <w:t>精确样本定位：水平</w:t>
            </w:r>
            <w:r>
              <w:rPr>
                <w:color w:val="auto"/>
                <w:highlight w:val="none"/>
              </w:rPr>
              <w:t>8º</w:t>
            </w:r>
            <w:r>
              <w:rPr>
                <w:rFonts w:hAnsi="宋体"/>
                <w:color w:val="auto"/>
                <w:highlight w:val="none"/>
              </w:rPr>
              <w:t>，垂直</w:t>
            </w:r>
            <w:r>
              <w:rPr>
                <w:color w:val="auto"/>
                <w:highlight w:val="none"/>
              </w:rPr>
              <w:t>8º</w:t>
            </w:r>
            <w:r>
              <w:rPr>
                <w:rFonts w:hAnsi="宋体"/>
                <w:color w:val="auto"/>
                <w:highlight w:val="none"/>
              </w:rPr>
              <w:t>可调</w:t>
            </w:r>
            <w:r>
              <w:rPr>
                <w:rFonts w:hint="eastAsia" w:hAnsi="宋体"/>
                <w:color w:val="auto"/>
                <w:highlight w:val="none"/>
              </w:rPr>
              <w:t>；</w:t>
            </w:r>
            <w:r>
              <w:rPr>
                <w:color w:val="auto"/>
                <w:highlight w:val="none"/>
              </w:rPr>
              <w:br w:type="textWrapping"/>
            </w:r>
            <w:r>
              <w:rPr>
                <w:color w:val="auto"/>
                <w:highlight w:val="none"/>
              </w:rPr>
              <w:t>27</w:t>
            </w:r>
            <w:r>
              <w:rPr>
                <w:rFonts w:hint="eastAsia"/>
                <w:color w:val="auto"/>
                <w:highlight w:val="none"/>
              </w:rPr>
              <w:t>、</w:t>
            </w:r>
            <w:r>
              <w:rPr>
                <w:rFonts w:hAnsi="宋体"/>
                <w:color w:val="auto"/>
                <w:highlight w:val="none"/>
              </w:rPr>
              <w:t>可以升级配置半薄样品模块，钻石刀系统</w:t>
            </w:r>
            <w:r>
              <w:rPr>
                <w:rFonts w:hint="eastAsia" w:hAnsi="宋体"/>
                <w:color w:val="auto"/>
                <w:highlight w:val="none"/>
              </w:rPr>
              <w:t>。</w:t>
            </w:r>
          </w:p>
          <w:p>
            <w:pPr>
              <w:pStyle w:val="2"/>
              <w:rPr>
                <w:color w:val="auto"/>
                <w:highlight w:val="none"/>
              </w:rPr>
            </w:pPr>
            <w:r>
              <w:rPr>
                <w:rFonts w:hint="eastAsia"/>
                <w:color w:val="auto"/>
                <w:highlight w:val="none"/>
              </w:rPr>
              <w:t>2</w:t>
            </w:r>
            <w:r>
              <w:rPr>
                <w:color w:val="auto"/>
                <w:highlight w:val="none"/>
              </w:rPr>
              <w:t xml:space="preserve">8  </w:t>
            </w: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套</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1</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22"/>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b/>
                <w:bCs/>
                <w:color w:val="auto"/>
                <w:kern w:val="0"/>
                <w:highlight w:val="none"/>
              </w:rPr>
            </w:pPr>
            <w:r>
              <w:rPr>
                <w:rFonts w:hint="eastAsia" w:ascii="宋体" w:hAnsi="宋体" w:cs="宋体"/>
                <w:color w:val="auto"/>
                <w:kern w:val="0"/>
                <w:highlight w:val="none"/>
              </w:rPr>
              <w:t>全自动切片机</w:t>
            </w:r>
          </w:p>
        </w:tc>
        <w:tc>
          <w:tcPr>
            <w:tcW w:w="5862" w:type="dxa"/>
            <w:shd w:val="clear" w:color="auto" w:fill="auto"/>
            <w:vAlign w:val="center"/>
          </w:tcPr>
          <w:p>
            <w:pPr>
              <w:spacing w:line="240" w:lineRule="auto"/>
              <w:ind w:firstLine="0" w:firstLineChars="0"/>
              <w:rPr>
                <w:color w:val="auto"/>
                <w:highlight w:val="none"/>
              </w:rPr>
            </w:pPr>
            <w:r>
              <w:rPr>
                <w:rFonts w:hint="eastAsia"/>
                <w:color w:val="auto"/>
                <w:highlight w:val="none"/>
              </w:rPr>
              <w:t>1、</w:t>
            </w:r>
            <w:r>
              <w:rPr>
                <w:rFonts w:hAnsi="宋体"/>
                <w:color w:val="auto"/>
                <w:highlight w:val="none"/>
              </w:rPr>
              <w:t>有</w:t>
            </w:r>
            <w:r>
              <w:rPr>
                <w:color w:val="auto"/>
                <w:highlight w:val="none"/>
              </w:rPr>
              <w:t>0</w:t>
            </w:r>
            <w:r>
              <w:rPr>
                <w:rFonts w:hAnsi="宋体"/>
                <w:color w:val="auto"/>
                <w:highlight w:val="none"/>
              </w:rPr>
              <w:t>位指示的精准定位系统，可电动进样和手动切片，切片厚度</w:t>
            </w:r>
            <w:r>
              <w:rPr>
                <w:color w:val="auto"/>
                <w:highlight w:val="none"/>
              </w:rPr>
              <w:t>0.5-10</w:t>
            </w:r>
            <w:r>
              <w:rPr>
                <w:rFonts w:hint="eastAsia"/>
                <w:color w:val="auto"/>
                <w:highlight w:val="none"/>
              </w:rPr>
              <w:t>0um；</w:t>
            </w:r>
          </w:p>
          <w:p>
            <w:pPr>
              <w:spacing w:line="240" w:lineRule="auto"/>
              <w:ind w:firstLine="0" w:firstLineChars="0"/>
              <w:rPr>
                <w:color w:val="auto"/>
                <w:highlight w:val="none"/>
              </w:rPr>
            </w:pPr>
            <w:r>
              <w:rPr>
                <w:color w:val="auto"/>
                <w:highlight w:val="none"/>
              </w:rPr>
              <w:t>2</w:t>
            </w:r>
            <w:r>
              <w:rPr>
                <w:rFonts w:hint="eastAsia"/>
                <w:color w:val="auto"/>
                <w:highlight w:val="none"/>
              </w:rPr>
              <w:t>、</w:t>
            </w:r>
            <w:r>
              <w:rPr>
                <w:rFonts w:hAnsi="宋体"/>
                <w:color w:val="auto"/>
                <w:highlight w:val="none"/>
              </w:rPr>
              <w:t>系统配置石蜡切片用一性刀片刀架和一次性刀片，可配置半薄样本头</w:t>
            </w:r>
            <w:r>
              <w:rPr>
                <w:rFonts w:hint="eastAsia" w:hAnsi="宋体"/>
                <w:color w:val="auto"/>
                <w:highlight w:val="none"/>
              </w:rPr>
              <w:t>；</w:t>
            </w:r>
          </w:p>
          <w:p>
            <w:pPr>
              <w:spacing w:line="240" w:lineRule="auto"/>
              <w:ind w:firstLine="0" w:firstLineChars="0"/>
              <w:rPr>
                <w:color w:val="auto"/>
                <w:highlight w:val="none"/>
              </w:rPr>
            </w:pPr>
            <w:r>
              <w:rPr>
                <w:color w:val="auto"/>
                <w:highlight w:val="none"/>
              </w:rPr>
              <w:t>3</w:t>
            </w:r>
            <w:r>
              <w:rPr>
                <w:rFonts w:hint="eastAsia"/>
                <w:color w:val="auto"/>
                <w:highlight w:val="none"/>
              </w:rPr>
              <w:t>、</w:t>
            </w:r>
            <w:r>
              <w:rPr>
                <w:rFonts w:hAnsi="宋体"/>
                <w:color w:val="auto"/>
                <w:highlight w:val="none"/>
              </w:rPr>
              <w:t>结构紧凑，符合人体工程学设计，有四种电动切片模式</w:t>
            </w:r>
            <w:r>
              <w:rPr>
                <w:rFonts w:hint="eastAsia" w:hAnsi="宋体"/>
                <w:color w:val="auto"/>
                <w:highlight w:val="none"/>
              </w:rPr>
              <w:t>；</w:t>
            </w:r>
          </w:p>
          <w:p>
            <w:pPr>
              <w:spacing w:line="240" w:lineRule="auto"/>
              <w:ind w:firstLine="0" w:firstLineChars="0"/>
              <w:rPr>
                <w:color w:val="auto"/>
                <w:highlight w:val="none"/>
              </w:rPr>
            </w:pPr>
            <w:r>
              <w:rPr>
                <w:color w:val="auto"/>
                <w:highlight w:val="none"/>
              </w:rPr>
              <w:t>4</w:t>
            </w:r>
            <w:r>
              <w:rPr>
                <w:rFonts w:hint="eastAsia"/>
                <w:color w:val="auto"/>
                <w:highlight w:val="none"/>
              </w:rPr>
              <w:t>、</w:t>
            </w:r>
            <w:r>
              <w:rPr>
                <w:rFonts w:hAnsi="宋体"/>
                <w:color w:val="auto"/>
                <w:highlight w:val="none"/>
              </w:rPr>
              <w:t>有切片厚度总计和切片计数显示功能</w:t>
            </w:r>
            <w:r>
              <w:rPr>
                <w:rFonts w:hint="eastAsia" w:hAnsi="宋体"/>
                <w:color w:val="auto"/>
                <w:highlight w:val="none"/>
              </w:rPr>
              <w:t>；</w:t>
            </w:r>
          </w:p>
          <w:p>
            <w:pPr>
              <w:spacing w:line="240" w:lineRule="auto"/>
              <w:ind w:firstLine="0" w:firstLineChars="0"/>
              <w:rPr>
                <w:color w:val="auto"/>
                <w:highlight w:val="none"/>
              </w:rPr>
            </w:pPr>
            <w:r>
              <w:rPr>
                <w:color w:val="auto"/>
                <w:highlight w:val="none"/>
              </w:rPr>
              <w:t>5</w:t>
            </w:r>
            <w:r>
              <w:rPr>
                <w:rFonts w:hint="eastAsia"/>
                <w:color w:val="auto"/>
                <w:highlight w:val="none"/>
              </w:rPr>
              <w:t>、</w:t>
            </w:r>
            <w:r>
              <w:rPr>
                <w:rFonts w:hAnsi="宋体"/>
                <w:color w:val="auto"/>
                <w:highlight w:val="none"/>
              </w:rPr>
              <w:t>修块和切片模式可灵活转换</w:t>
            </w:r>
            <w:r>
              <w:rPr>
                <w:rFonts w:hint="eastAsia" w:hAnsi="宋体"/>
                <w:color w:val="auto"/>
                <w:highlight w:val="none"/>
              </w:rPr>
              <w:t>；</w:t>
            </w:r>
          </w:p>
          <w:p>
            <w:pPr>
              <w:spacing w:line="240" w:lineRule="auto"/>
              <w:ind w:firstLine="0" w:firstLineChars="0"/>
              <w:rPr>
                <w:color w:val="auto"/>
                <w:highlight w:val="none"/>
              </w:rPr>
            </w:pPr>
            <w:r>
              <w:rPr>
                <w:color w:val="auto"/>
                <w:highlight w:val="none"/>
              </w:rPr>
              <w:t>6</w:t>
            </w:r>
            <w:r>
              <w:rPr>
                <w:rFonts w:hint="eastAsia"/>
                <w:color w:val="auto"/>
                <w:highlight w:val="none"/>
              </w:rPr>
              <w:t>、</w:t>
            </w:r>
            <w:r>
              <w:rPr>
                <w:rFonts w:hAnsi="宋体"/>
                <w:color w:val="auto"/>
                <w:highlight w:val="none"/>
              </w:rPr>
              <w:t>两种电动粗进速度</w:t>
            </w:r>
            <w:r>
              <w:rPr>
                <w:rFonts w:hint="eastAsia" w:hAnsi="宋体"/>
                <w:color w:val="auto"/>
                <w:highlight w:val="none"/>
              </w:rPr>
              <w:t>；</w:t>
            </w:r>
          </w:p>
          <w:p>
            <w:pPr>
              <w:spacing w:line="240" w:lineRule="auto"/>
              <w:ind w:firstLine="0" w:firstLineChars="0"/>
              <w:rPr>
                <w:color w:val="auto"/>
                <w:highlight w:val="none"/>
              </w:rPr>
            </w:pPr>
            <w:r>
              <w:rPr>
                <w:color w:val="auto"/>
                <w:highlight w:val="none"/>
              </w:rPr>
              <w:t>7</w:t>
            </w:r>
            <w:r>
              <w:rPr>
                <w:rFonts w:hint="eastAsia"/>
                <w:color w:val="auto"/>
                <w:highlight w:val="none"/>
              </w:rPr>
              <w:t>、</w:t>
            </w:r>
            <w:r>
              <w:rPr>
                <w:rFonts w:hAnsi="宋体"/>
                <w:color w:val="auto"/>
                <w:highlight w:val="none"/>
              </w:rPr>
              <w:t>程序化的样本回缩</w:t>
            </w:r>
            <w:r>
              <w:rPr>
                <w:rFonts w:hint="eastAsia" w:hAnsi="宋体"/>
                <w:color w:val="auto"/>
                <w:highlight w:val="none"/>
              </w:rPr>
              <w:t>；</w:t>
            </w:r>
          </w:p>
          <w:p>
            <w:pPr>
              <w:spacing w:line="240" w:lineRule="auto"/>
              <w:ind w:firstLine="0" w:firstLineChars="0"/>
              <w:rPr>
                <w:color w:val="auto"/>
                <w:highlight w:val="none"/>
              </w:rPr>
            </w:pPr>
            <w:r>
              <w:rPr>
                <w:color w:val="auto"/>
                <w:highlight w:val="none"/>
              </w:rPr>
              <w:t>8</w:t>
            </w:r>
            <w:r>
              <w:rPr>
                <w:rFonts w:hint="eastAsia"/>
                <w:color w:val="auto"/>
                <w:highlight w:val="none"/>
              </w:rPr>
              <w:t>、</w:t>
            </w:r>
            <w:r>
              <w:rPr>
                <w:rFonts w:hAnsi="宋体"/>
                <w:color w:val="auto"/>
                <w:highlight w:val="none"/>
              </w:rPr>
              <w:t>无需维护的交叉轴承设计</w:t>
            </w:r>
            <w:r>
              <w:rPr>
                <w:rFonts w:hint="eastAsia" w:hAnsi="宋体"/>
                <w:color w:val="auto"/>
                <w:highlight w:val="none"/>
              </w:rPr>
              <w:t>；</w:t>
            </w:r>
          </w:p>
          <w:p>
            <w:pPr>
              <w:spacing w:line="240" w:lineRule="auto"/>
              <w:ind w:firstLine="0" w:firstLineChars="0"/>
              <w:rPr>
                <w:color w:val="auto"/>
                <w:highlight w:val="none"/>
              </w:rPr>
            </w:pPr>
            <w:r>
              <w:rPr>
                <w:color w:val="auto"/>
                <w:highlight w:val="none"/>
              </w:rPr>
              <w:t>9</w:t>
            </w:r>
            <w:r>
              <w:rPr>
                <w:rFonts w:hint="eastAsia"/>
                <w:color w:val="auto"/>
                <w:highlight w:val="none"/>
              </w:rPr>
              <w:t>、</w:t>
            </w:r>
            <w:r>
              <w:rPr>
                <w:rFonts w:hAnsi="宋体"/>
                <w:color w:val="auto"/>
                <w:highlight w:val="none"/>
              </w:rPr>
              <w:t>单手操作的样本夹</w:t>
            </w:r>
            <w:r>
              <w:rPr>
                <w:rFonts w:hint="eastAsia" w:hAnsi="宋体"/>
                <w:color w:val="auto"/>
                <w:highlight w:val="none"/>
              </w:rPr>
              <w:t>；</w:t>
            </w:r>
          </w:p>
          <w:p>
            <w:pPr>
              <w:spacing w:line="240" w:lineRule="auto"/>
              <w:ind w:firstLine="0" w:firstLineChars="0"/>
              <w:rPr>
                <w:color w:val="auto"/>
                <w:highlight w:val="none"/>
              </w:rPr>
            </w:pPr>
            <w:r>
              <w:rPr>
                <w:color w:val="auto"/>
                <w:highlight w:val="none"/>
              </w:rPr>
              <w:t>10</w:t>
            </w:r>
            <w:r>
              <w:rPr>
                <w:rFonts w:hint="eastAsia"/>
                <w:color w:val="auto"/>
                <w:highlight w:val="none"/>
              </w:rPr>
              <w:t>、</w:t>
            </w:r>
            <w:r>
              <w:rPr>
                <w:rFonts w:hAnsi="宋体"/>
                <w:color w:val="auto"/>
                <w:highlight w:val="none"/>
              </w:rPr>
              <w:t>全新的刀架设计，内置红色护手</w:t>
            </w:r>
            <w:r>
              <w:rPr>
                <w:rFonts w:hint="eastAsia" w:hAnsi="宋体"/>
                <w:color w:val="auto"/>
                <w:highlight w:val="none"/>
              </w:rPr>
              <w:t>；</w:t>
            </w:r>
          </w:p>
          <w:p>
            <w:pPr>
              <w:spacing w:line="240" w:lineRule="auto"/>
              <w:ind w:firstLine="0" w:firstLineChars="0"/>
              <w:rPr>
                <w:color w:val="auto"/>
                <w:highlight w:val="none"/>
              </w:rPr>
            </w:pPr>
            <w:r>
              <w:rPr>
                <w:color w:val="auto"/>
                <w:highlight w:val="none"/>
              </w:rPr>
              <w:t>11</w:t>
            </w:r>
            <w:r>
              <w:rPr>
                <w:rFonts w:hint="eastAsia"/>
                <w:color w:val="auto"/>
                <w:highlight w:val="none"/>
              </w:rPr>
              <w:t>、</w:t>
            </w:r>
            <w:r>
              <w:rPr>
                <w:rFonts w:hAnsi="宋体"/>
                <w:color w:val="auto"/>
                <w:highlight w:val="none"/>
              </w:rPr>
              <w:t>机器整体表现出安全概念</w:t>
            </w:r>
            <w:r>
              <w:rPr>
                <w:rFonts w:hint="eastAsia" w:hAnsi="宋体"/>
                <w:color w:val="auto"/>
                <w:highlight w:val="none"/>
              </w:rPr>
              <w:t>；</w:t>
            </w:r>
          </w:p>
          <w:p>
            <w:pPr>
              <w:spacing w:line="240" w:lineRule="auto"/>
              <w:ind w:firstLine="0" w:firstLineChars="0"/>
              <w:rPr>
                <w:color w:val="auto"/>
                <w:highlight w:val="none"/>
              </w:rPr>
            </w:pPr>
            <w:r>
              <w:rPr>
                <w:color w:val="auto"/>
                <w:highlight w:val="none"/>
              </w:rPr>
              <w:t>12</w:t>
            </w:r>
            <w:r>
              <w:rPr>
                <w:rFonts w:hint="eastAsia"/>
                <w:color w:val="auto"/>
                <w:highlight w:val="none"/>
              </w:rPr>
              <w:t>、</w:t>
            </w:r>
            <w:r>
              <w:rPr>
                <w:rFonts w:hAnsi="宋体"/>
                <w:color w:val="auto"/>
                <w:highlight w:val="none"/>
              </w:rPr>
              <w:t>符合人体工程学设计的手轮，平滑手轮，内置锁定系统</w:t>
            </w:r>
            <w:r>
              <w:rPr>
                <w:rFonts w:hint="eastAsia" w:hAnsi="宋体"/>
                <w:color w:val="auto"/>
                <w:highlight w:val="none"/>
              </w:rPr>
              <w:t>；</w:t>
            </w:r>
          </w:p>
          <w:p>
            <w:pPr>
              <w:spacing w:line="240" w:lineRule="auto"/>
              <w:ind w:firstLine="0" w:firstLineChars="0"/>
              <w:rPr>
                <w:color w:val="auto"/>
                <w:highlight w:val="none"/>
              </w:rPr>
            </w:pPr>
            <w:r>
              <w:rPr>
                <w:color w:val="auto"/>
                <w:highlight w:val="none"/>
              </w:rPr>
              <w:t>13</w:t>
            </w:r>
            <w:r>
              <w:rPr>
                <w:rFonts w:hint="eastAsia"/>
                <w:color w:val="auto"/>
                <w:highlight w:val="none"/>
              </w:rPr>
              <w:t>、</w:t>
            </w:r>
            <w:r>
              <w:rPr>
                <w:rFonts w:hAnsi="宋体"/>
                <w:color w:val="auto"/>
                <w:highlight w:val="none"/>
              </w:rPr>
              <w:t>主机连接控制器电子显示及控制各种参数</w:t>
            </w:r>
            <w:r>
              <w:rPr>
                <w:rFonts w:hint="eastAsia" w:hAnsi="宋体"/>
                <w:color w:val="auto"/>
                <w:highlight w:val="none"/>
              </w:rPr>
              <w:t>；</w:t>
            </w:r>
          </w:p>
          <w:p>
            <w:pPr>
              <w:spacing w:line="240" w:lineRule="auto"/>
              <w:ind w:firstLine="0" w:firstLineChars="0"/>
              <w:rPr>
                <w:color w:val="auto"/>
                <w:highlight w:val="none"/>
              </w:rPr>
            </w:pPr>
            <w:r>
              <w:rPr>
                <w:color w:val="auto"/>
                <w:highlight w:val="none"/>
              </w:rPr>
              <w:t>14</w:t>
            </w:r>
            <w:r>
              <w:rPr>
                <w:rFonts w:hint="eastAsia"/>
                <w:color w:val="auto"/>
                <w:highlight w:val="none"/>
              </w:rPr>
              <w:t>、</w:t>
            </w:r>
            <w:r>
              <w:rPr>
                <w:rFonts w:hAnsi="宋体"/>
                <w:color w:val="auto"/>
                <w:highlight w:val="none"/>
              </w:rPr>
              <w:t>宽大的磁力废物槽</w:t>
            </w:r>
            <w:r>
              <w:rPr>
                <w:rFonts w:hint="eastAsia" w:hAnsi="宋体"/>
                <w:color w:val="auto"/>
                <w:highlight w:val="none"/>
              </w:rPr>
              <w:t>；</w:t>
            </w:r>
          </w:p>
          <w:p>
            <w:pPr>
              <w:spacing w:line="240" w:lineRule="auto"/>
              <w:ind w:firstLine="0" w:firstLineChars="0"/>
              <w:rPr>
                <w:color w:val="auto"/>
                <w:highlight w:val="none"/>
              </w:rPr>
            </w:pPr>
            <w:r>
              <w:rPr>
                <w:color w:val="auto"/>
                <w:highlight w:val="none"/>
              </w:rPr>
              <w:t>15</w:t>
            </w:r>
            <w:r>
              <w:rPr>
                <w:rFonts w:hint="eastAsia"/>
                <w:color w:val="auto"/>
                <w:highlight w:val="none"/>
              </w:rPr>
              <w:t>、</w:t>
            </w:r>
            <w:r>
              <w:rPr>
                <w:rFonts w:hAnsi="宋体"/>
                <w:color w:val="auto"/>
                <w:highlight w:val="none"/>
              </w:rPr>
              <w:t>防水按键式的自动控制器</w:t>
            </w:r>
            <w:r>
              <w:rPr>
                <w:rFonts w:hint="eastAsia" w:hAnsi="宋体"/>
                <w:color w:val="auto"/>
                <w:highlight w:val="none"/>
              </w:rPr>
              <w:t>；</w:t>
            </w:r>
          </w:p>
          <w:p>
            <w:pPr>
              <w:spacing w:line="240" w:lineRule="auto"/>
              <w:ind w:firstLine="0" w:firstLineChars="0"/>
              <w:rPr>
                <w:color w:val="auto"/>
                <w:highlight w:val="none"/>
              </w:rPr>
            </w:pPr>
            <w:r>
              <w:rPr>
                <w:rFonts w:hint="eastAsia" w:ascii="宋体" w:hAnsi="宋体" w:cs="宋体"/>
                <w:color w:val="auto"/>
                <w:highlight w:val="none"/>
              </w:rPr>
              <w:t>▲</w:t>
            </w:r>
            <w:r>
              <w:rPr>
                <w:color w:val="auto"/>
                <w:highlight w:val="none"/>
              </w:rPr>
              <w:t>16</w:t>
            </w:r>
            <w:r>
              <w:rPr>
                <w:rFonts w:hint="eastAsia"/>
                <w:color w:val="auto"/>
                <w:highlight w:val="none"/>
              </w:rPr>
              <w:t>、</w:t>
            </w:r>
            <w:r>
              <w:rPr>
                <w:rFonts w:hAnsi="宋体"/>
                <w:color w:val="auto"/>
                <w:highlight w:val="none"/>
              </w:rPr>
              <w:t>切片厚度：</w:t>
            </w:r>
            <w:r>
              <w:rPr>
                <w:color w:val="auto"/>
                <w:highlight w:val="none"/>
              </w:rPr>
              <w:t xml:space="preserve">0.5-100mm </w:t>
            </w:r>
            <w:r>
              <w:rPr>
                <w:rFonts w:hAnsi="宋体"/>
                <w:color w:val="auto"/>
                <w:highlight w:val="none"/>
              </w:rPr>
              <w:t>（</w:t>
            </w:r>
            <w:r>
              <w:rPr>
                <w:color w:val="auto"/>
                <w:highlight w:val="none"/>
              </w:rPr>
              <w:t>0.5-5mm</w:t>
            </w:r>
            <w:r>
              <w:rPr>
                <w:rFonts w:hAnsi="宋体"/>
                <w:color w:val="auto"/>
                <w:highlight w:val="none"/>
              </w:rPr>
              <w:t>以</w:t>
            </w:r>
            <w:r>
              <w:rPr>
                <w:color w:val="auto"/>
                <w:highlight w:val="none"/>
              </w:rPr>
              <w:t>0.5mm</w:t>
            </w:r>
            <w:r>
              <w:rPr>
                <w:rFonts w:hAnsi="宋体"/>
                <w:color w:val="auto"/>
                <w:highlight w:val="none"/>
              </w:rPr>
              <w:t>递进，</w:t>
            </w:r>
            <w:r>
              <w:rPr>
                <w:color w:val="auto"/>
                <w:highlight w:val="none"/>
              </w:rPr>
              <w:t>5</w:t>
            </w:r>
            <w:r>
              <w:rPr>
                <w:rFonts w:hAnsi="宋体"/>
                <w:color w:val="auto"/>
                <w:highlight w:val="none"/>
              </w:rPr>
              <w:t>－</w:t>
            </w:r>
            <w:r>
              <w:rPr>
                <w:color w:val="auto"/>
                <w:highlight w:val="none"/>
              </w:rPr>
              <w:t>20mm</w:t>
            </w:r>
            <w:r>
              <w:rPr>
                <w:rFonts w:hAnsi="宋体"/>
                <w:color w:val="auto"/>
                <w:highlight w:val="none"/>
              </w:rPr>
              <w:t>以</w:t>
            </w:r>
            <w:r>
              <w:rPr>
                <w:color w:val="auto"/>
                <w:highlight w:val="none"/>
              </w:rPr>
              <w:t>1mm</w:t>
            </w:r>
            <w:r>
              <w:rPr>
                <w:rFonts w:hAnsi="宋体"/>
                <w:color w:val="auto"/>
                <w:highlight w:val="none"/>
              </w:rPr>
              <w:t>递进，</w:t>
            </w:r>
            <w:r>
              <w:rPr>
                <w:color w:val="auto"/>
                <w:highlight w:val="none"/>
              </w:rPr>
              <w:t>20</w:t>
            </w:r>
            <w:r>
              <w:rPr>
                <w:rFonts w:hAnsi="宋体"/>
                <w:color w:val="auto"/>
                <w:highlight w:val="none"/>
              </w:rPr>
              <w:t>－</w:t>
            </w:r>
            <w:r>
              <w:rPr>
                <w:color w:val="auto"/>
                <w:highlight w:val="none"/>
              </w:rPr>
              <w:t>60mm</w:t>
            </w:r>
            <w:r>
              <w:rPr>
                <w:rFonts w:hAnsi="宋体"/>
                <w:color w:val="auto"/>
                <w:highlight w:val="none"/>
              </w:rPr>
              <w:t>以</w:t>
            </w:r>
            <w:r>
              <w:rPr>
                <w:color w:val="auto"/>
                <w:highlight w:val="none"/>
              </w:rPr>
              <w:t>5mm</w:t>
            </w:r>
            <w:r>
              <w:rPr>
                <w:rFonts w:hAnsi="宋体"/>
                <w:color w:val="auto"/>
                <w:highlight w:val="none"/>
              </w:rPr>
              <w:t>递进，</w:t>
            </w:r>
            <w:r>
              <w:rPr>
                <w:color w:val="auto"/>
                <w:highlight w:val="none"/>
              </w:rPr>
              <w:t>60</w:t>
            </w:r>
            <w:r>
              <w:rPr>
                <w:rFonts w:hAnsi="宋体"/>
                <w:color w:val="auto"/>
                <w:highlight w:val="none"/>
              </w:rPr>
              <w:t>－</w:t>
            </w:r>
            <w:r>
              <w:rPr>
                <w:color w:val="auto"/>
                <w:highlight w:val="none"/>
              </w:rPr>
              <w:t>100mm</w:t>
            </w:r>
            <w:r>
              <w:rPr>
                <w:rFonts w:hAnsi="宋体"/>
                <w:color w:val="auto"/>
                <w:highlight w:val="none"/>
              </w:rPr>
              <w:t>以</w:t>
            </w:r>
            <w:r>
              <w:rPr>
                <w:color w:val="auto"/>
                <w:highlight w:val="none"/>
              </w:rPr>
              <w:t>10mm</w:t>
            </w:r>
            <w:r>
              <w:rPr>
                <w:rFonts w:hAnsi="宋体"/>
                <w:color w:val="auto"/>
                <w:highlight w:val="none"/>
              </w:rPr>
              <w:t>递进）</w:t>
            </w:r>
            <w:r>
              <w:rPr>
                <w:rFonts w:hint="eastAsia" w:hAnsi="宋体"/>
                <w:color w:val="auto"/>
                <w:highlight w:val="none"/>
              </w:rPr>
              <w:t>；</w:t>
            </w:r>
          </w:p>
          <w:p>
            <w:pPr>
              <w:spacing w:line="240" w:lineRule="auto"/>
              <w:ind w:firstLine="0" w:firstLineChars="0"/>
              <w:rPr>
                <w:color w:val="auto"/>
                <w:highlight w:val="none"/>
              </w:rPr>
            </w:pPr>
            <w:r>
              <w:rPr>
                <w:rFonts w:hint="eastAsia" w:ascii="宋体" w:hAnsi="宋体" w:cs="宋体"/>
                <w:color w:val="auto"/>
                <w:highlight w:val="none"/>
              </w:rPr>
              <w:t>▲</w:t>
            </w:r>
            <w:r>
              <w:rPr>
                <w:color w:val="auto"/>
                <w:highlight w:val="none"/>
              </w:rPr>
              <w:t>17</w:t>
            </w:r>
            <w:r>
              <w:rPr>
                <w:rFonts w:hint="eastAsia"/>
                <w:color w:val="auto"/>
                <w:highlight w:val="none"/>
              </w:rPr>
              <w:t>、</w:t>
            </w:r>
            <w:r>
              <w:rPr>
                <w:rFonts w:hAnsi="宋体"/>
                <w:color w:val="auto"/>
                <w:highlight w:val="none"/>
              </w:rPr>
              <w:t>修块厚度设定：</w:t>
            </w:r>
            <w:r>
              <w:rPr>
                <w:color w:val="auto"/>
                <w:highlight w:val="none"/>
              </w:rPr>
              <w:t>1</w:t>
            </w:r>
            <w:r>
              <w:rPr>
                <w:rFonts w:hAnsi="宋体"/>
                <w:color w:val="auto"/>
                <w:highlight w:val="none"/>
              </w:rPr>
              <w:t>－</w:t>
            </w:r>
            <w:r>
              <w:rPr>
                <w:color w:val="auto"/>
                <w:highlight w:val="none"/>
              </w:rPr>
              <w:t>600mm</w:t>
            </w:r>
            <w:r>
              <w:rPr>
                <w:rFonts w:hAnsi="宋体"/>
                <w:color w:val="auto"/>
                <w:highlight w:val="none"/>
              </w:rPr>
              <w:t>（</w:t>
            </w:r>
            <w:r>
              <w:rPr>
                <w:color w:val="auto"/>
                <w:highlight w:val="none"/>
              </w:rPr>
              <w:t>1</w:t>
            </w:r>
            <w:r>
              <w:rPr>
                <w:rFonts w:hAnsi="宋体"/>
                <w:color w:val="auto"/>
                <w:highlight w:val="none"/>
              </w:rPr>
              <w:t>－</w:t>
            </w:r>
            <w:r>
              <w:rPr>
                <w:color w:val="auto"/>
                <w:highlight w:val="none"/>
              </w:rPr>
              <w:t>10mm</w:t>
            </w:r>
            <w:r>
              <w:rPr>
                <w:rFonts w:hAnsi="宋体"/>
                <w:color w:val="auto"/>
                <w:highlight w:val="none"/>
              </w:rPr>
              <w:t>以</w:t>
            </w:r>
            <w:r>
              <w:rPr>
                <w:color w:val="auto"/>
                <w:highlight w:val="none"/>
              </w:rPr>
              <w:t>1mm</w:t>
            </w:r>
            <w:r>
              <w:rPr>
                <w:rFonts w:hAnsi="宋体"/>
                <w:color w:val="auto"/>
                <w:highlight w:val="none"/>
              </w:rPr>
              <w:t>递进，</w:t>
            </w:r>
            <w:r>
              <w:rPr>
                <w:color w:val="auto"/>
                <w:highlight w:val="none"/>
              </w:rPr>
              <w:t>10</w:t>
            </w:r>
            <w:r>
              <w:rPr>
                <w:rFonts w:hAnsi="宋体"/>
                <w:color w:val="auto"/>
                <w:highlight w:val="none"/>
              </w:rPr>
              <w:t>－</w:t>
            </w:r>
            <w:r>
              <w:rPr>
                <w:color w:val="auto"/>
                <w:highlight w:val="none"/>
              </w:rPr>
              <w:t>20mm</w:t>
            </w:r>
            <w:r>
              <w:rPr>
                <w:rFonts w:hAnsi="宋体"/>
                <w:color w:val="auto"/>
                <w:highlight w:val="none"/>
              </w:rPr>
              <w:t>以</w:t>
            </w:r>
            <w:r>
              <w:rPr>
                <w:color w:val="auto"/>
                <w:highlight w:val="none"/>
              </w:rPr>
              <w:t>2mm</w:t>
            </w:r>
            <w:r>
              <w:rPr>
                <w:rFonts w:hAnsi="宋体"/>
                <w:color w:val="auto"/>
                <w:highlight w:val="none"/>
              </w:rPr>
              <w:t>递进，</w:t>
            </w:r>
            <w:r>
              <w:rPr>
                <w:color w:val="auto"/>
                <w:highlight w:val="none"/>
              </w:rPr>
              <w:t>20</w:t>
            </w:r>
            <w:r>
              <w:rPr>
                <w:rFonts w:hAnsi="宋体"/>
                <w:color w:val="auto"/>
                <w:highlight w:val="none"/>
              </w:rPr>
              <w:t>－</w:t>
            </w:r>
            <w:r>
              <w:rPr>
                <w:color w:val="auto"/>
                <w:highlight w:val="none"/>
              </w:rPr>
              <w:t>50mm</w:t>
            </w:r>
            <w:r>
              <w:rPr>
                <w:rFonts w:hAnsi="宋体"/>
                <w:color w:val="auto"/>
                <w:highlight w:val="none"/>
              </w:rPr>
              <w:t>以</w:t>
            </w:r>
            <w:r>
              <w:rPr>
                <w:color w:val="auto"/>
                <w:highlight w:val="none"/>
              </w:rPr>
              <w:t>5mm</w:t>
            </w:r>
            <w:r>
              <w:rPr>
                <w:rFonts w:hAnsi="宋体"/>
                <w:color w:val="auto"/>
                <w:highlight w:val="none"/>
              </w:rPr>
              <w:t>递进，</w:t>
            </w:r>
            <w:r>
              <w:rPr>
                <w:color w:val="auto"/>
                <w:highlight w:val="none"/>
              </w:rPr>
              <w:t>50</w:t>
            </w:r>
            <w:r>
              <w:rPr>
                <w:rFonts w:hAnsi="宋体"/>
                <w:color w:val="auto"/>
                <w:highlight w:val="none"/>
              </w:rPr>
              <w:t>－</w:t>
            </w:r>
            <w:r>
              <w:rPr>
                <w:color w:val="auto"/>
                <w:highlight w:val="none"/>
              </w:rPr>
              <w:t>100mm</w:t>
            </w:r>
            <w:r>
              <w:rPr>
                <w:rFonts w:hAnsi="宋体"/>
                <w:color w:val="auto"/>
                <w:highlight w:val="none"/>
              </w:rPr>
              <w:t>以</w:t>
            </w:r>
            <w:r>
              <w:rPr>
                <w:color w:val="auto"/>
                <w:highlight w:val="none"/>
              </w:rPr>
              <w:t>10mm</w:t>
            </w:r>
            <w:r>
              <w:rPr>
                <w:rFonts w:hAnsi="宋体"/>
                <w:color w:val="auto"/>
                <w:highlight w:val="none"/>
              </w:rPr>
              <w:t>递进，</w:t>
            </w:r>
            <w:r>
              <w:rPr>
                <w:color w:val="auto"/>
                <w:highlight w:val="none"/>
              </w:rPr>
              <w:t>100</w:t>
            </w:r>
            <w:r>
              <w:rPr>
                <w:rFonts w:hAnsi="宋体"/>
                <w:color w:val="auto"/>
                <w:highlight w:val="none"/>
              </w:rPr>
              <w:t>－</w:t>
            </w:r>
            <w:r>
              <w:rPr>
                <w:color w:val="auto"/>
                <w:highlight w:val="none"/>
              </w:rPr>
              <w:t>600mm</w:t>
            </w:r>
            <w:r>
              <w:rPr>
                <w:rFonts w:hAnsi="宋体"/>
                <w:color w:val="auto"/>
                <w:highlight w:val="none"/>
              </w:rPr>
              <w:t>以</w:t>
            </w:r>
            <w:r>
              <w:rPr>
                <w:color w:val="auto"/>
                <w:highlight w:val="none"/>
              </w:rPr>
              <w:t>50mm</w:t>
            </w:r>
            <w:r>
              <w:rPr>
                <w:rFonts w:hAnsi="宋体"/>
                <w:color w:val="auto"/>
                <w:highlight w:val="none"/>
              </w:rPr>
              <w:t>递进）</w:t>
            </w:r>
            <w:r>
              <w:rPr>
                <w:rFonts w:hint="eastAsia" w:hAnsi="宋体"/>
                <w:color w:val="auto"/>
                <w:highlight w:val="none"/>
              </w:rPr>
              <w:t>；</w:t>
            </w:r>
          </w:p>
          <w:p>
            <w:pPr>
              <w:spacing w:line="240" w:lineRule="auto"/>
              <w:ind w:firstLine="0" w:firstLineChars="0"/>
              <w:rPr>
                <w:color w:val="auto"/>
                <w:highlight w:val="none"/>
              </w:rPr>
            </w:pPr>
            <w:r>
              <w:rPr>
                <w:rFonts w:hint="eastAsia"/>
                <w:color w:val="auto"/>
                <w:highlight w:val="none"/>
              </w:rPr>
              <w:t>▲</w:t>
            </w:r>
            <w:r>
              <w:rPr>
                <w:color w:val="auto"/>
                <w:highlight w:val="none"/>
              </w:rPr>
              <w:t>18</w:t>
            </w:r>
            <w:r>
              <w:rPr>
                <w:rFonts w:hint="eastAsia"/>
                <w:color w:val="auto"/>
                <w:highlight w:val="none"/>
              </w:rPr>
              <w:t>、</w:t>
            </w:r>
            <w:r>
              <w:rPr>
                <w:rFonts w:hAnsi="宋体"/>
                <w:color w:val="auto"/>
                <w:highlight w:val="none"/>
              </w:rPr>
              <w:t>水平进样：</w:t>
            </w:r>
            <w:r>
              <w:rPr>
                <w:color w:val="auto"/>
                <w:highlight w:val="none"/>
              </w:rPr>
              <w:t>28mm±1mm</w:t>
            </w:r>
            <w:r>
              <w:rPr>
                <w:rFonts w:hint="eastAsia"/>
                <w:color w:val="auto"/>
                <w:highlight w:val="none"/>
              </w:rPr>
              <w:t>；</w:t>
            </w:r>
          </w:p>
          <w:p>
            <w:pPr>
              <w:spacing w:line="240" w:lineRule="auto"/>
              <w:ind w:firstLine="0" w:firstLineChars="0"/>
              <w:rPr>
                <w:color w:val="auto"/>
                <w:highlight w:val="none"/>
              </w:rPr>
            </w:pPr>
            <w:r>
              <w:rPr>
                <w:color w:val="auto"/>
                <w:highlight w:val="none"/>
              </w:rPr>
              <w:t>19</w:t>
            </w:r>
            <w:r>
              <w:rPr>
                <w:rFonts w:hint="eastAsia"/>
                <w:color w:val="auto"/>
                <w:highlight w:val="none"/>
              </w:rPr>
              <w:t>、</w:t>
            </w:r>
            <w:r>
              <w:rPr>
                <w:rFonts w:hAnsi="宋体"/>
                <w:color w:val="auto"/>
                <w:highlight w:val="none"/>
              </w:rPr>
              <w:t>垂直移动距离：</w:t>
            </w:r>
            <w:r>
              <w:rPr>
                <w:color w:val="auto"/>
                <w:highlight w:val="none"/>
              </w:rPr>
              <w:t>70mm</w:t>
            </w:r>
            <w:r>
              <w:rPr>
                <w:rFonts w:hint="eastAsia"/>
                <w:color w:val="auto"/>
                <w:highlight w:val="none"/>
              </w:rPr>
              <w:t>；</w:t>
            </w:r>
          </w:p>
          <w:p>
            <w:pPr>
              <w:spacing w:line="240" w:lineRule="auto"/>
              <w:ind w:firstLine="0" w:firstLineChars="0"/>
              <w:rPr>
                <w:color w:val="auto"/>
                <w:highlight w:val="none"/>
              </w:rPr>
            </w:pPr>
            <w:r>
              <w:rPr>
                <w:color w:val="auto"/>
                <w:highlight w:val="none"/>
              </w:rPr>
              <w:t>20</w:t>
            </w:r>
            <w:r>
              <w:rPr>
                <w:rFonts w:hint="eastAsia"/>
                <w:color w:val="auto"/>
                <w:highlight w:val="none"/>
              </w:rPr>
              <w:t>、</w:t>
            </w:r>
            <w:r>
              <w:rPr>
                <w:rFonts w:hAnsi="宋体"/>
                <w:color w:val="auto"/>
                <w:highlight w:val="none"/>
              </w:rPr>
              <w:t>切片模式：</w:t>
            </w:r>
            <w:r>
              <w:rPr>
                <w:color w:val="auto"/>
                <w:highlight w:val="none"/>
              </w:rPr>
              <w:t>4</w:t>
            </w:r>
            <w:r>
              <w:rPr>
                <w:rFonts w:hAnsi="宋体"/>
                <w:color w:val="auto"/>
                <w:highlight w:val="none"/>
              </w:rPr>
              <w:t>种切片模式</w:t>
            </w:r>
            <w:r>
              <w:rPr>
                <w:rFonts w:hint="eastAsia" w:hAnsi="宋体"/>
                <w:color w:val="auto"/>
                <w:highlight w:val="none"/>
              </w:rPr>
              <w:t>；</w:t>
            </w:r>
          </w:p>
          <w:p>
            <w:pPr>
              <w:spacing w:line="240" w:lineRule="auto"/>
              <w:ind w:firstLine="0" w:firstLineChars="0"/>
              <w:rPr>
                <w:color w:val="auto"/>
                <w:highlight w:val="none"/>
              </w:rPr>
            </w:pPr>
            <w:r>
              <w:rPr>
                <w:rFonts w:hint="eastAsia" w:ascii="宋体" w:hAnsi="宋体" w:cs="宋体"/>
                <w:color w:val="auto"/>
                <w:highlight w:val="none"/>
              </w:rPr>
              <w:t>▲</w:t>
            </w:r>
            <w:r>
              <w:rPr>
                <w:color w:val="auto"/>
                <w:highlight w:val="none"/>
              </w:rPr>
              <w:t>21</w:t>
            </w:r>
            <w:r>
              <w:rPr>
                <w:rFonts w:hint="eastAsia"/>
                <w:color w:val="auto"/>
                <w:highlight w:val="none"/>
              </w:rPr>
              <w:t>、</w:t>
            </w:r>
            <w:r>
              <w:rPr>
                <w:rFonts w:hAnsi="宋体"/>
                <w:color w:val="auto"/>
                <w:highlight w:val="none"/>
              </w:rPr>
              <w:t>样本回缩：</w:t>
            </w:r>
            <w:r>
              <w:rPr>
                <w:color w:val="auto"/>
                <w:highlight w:val="none"/>
              </w:rPr>
              <w:t>5</w:t>
            </w:r>
            <w:r>
              <w:rPr>
                <w:rFonts w:hAnsi="宋体"/>
                <w:color w:val="auto"/>
                <w:highlight w:val="none"/>
              </w:rPr>
              <w:t>－</w:t>
            </w:r>
            <w:r>
              <w:rPr>
                <w:color w:val="auto"/>
                <w:highlight w:val="none"/>
              </w:rPr>
              <w:t>100mm</w:t>
            </w:r>
            <w:r>
              <w:rPr>
                <w:rFonts w:hAnsi="宋体"/>
                <w:color w:val="auto"/>
                <w:highlight w:val="none"/>
              </w:rPr>
              <w:t>，以</w:t>
            </w:r>
            <w:r>
              <w:rPr>
                <w:color w:val="auto"/>
                <w:highlight w:val="none"/>
              </w:rPr>
              <w:t>5mm</w:t>
            </w:r>
            <w:r>
              <w:rPr>
                <w:rFonts w:hAnsi="宋体"/>
                <w:color w:val="auto"/>
                <w:highlight w:val="none"/>
              </w:rPr>
              <w:t>递进，可关闭</w:t>
            </w:r>
            <w:r>
              <w:rPr>
                <w:rFonts w:hint="eastAsia" w:hAnsi="宋体"/>
                <w:color w:val="auto"/>
                <w:highlight w:val="none"/>
              </w:rPr>
              <w:t>；</w:t>
            </w:r>
          </w:p>
          <w:p>
            <w:pPr>
              <w:spacing w:line="240" w:lineRule="auto"/>
              <w:ind w:firstLine="720" w:firstLineChars="300"/>
              <w:rPr>
                <w:color w:val="auto"/>
                <w:highlight w:val="none"/>
              </w:rPr>
            </w:pPr>
            <w:r>
              <w:rPr>
                <w:rFonts w:hAnsi="宋体"/>
                <w:color w:val="auto"/>
                <w:highlight w:val="none"/>
              </w:rPr>
              <w:t>电动粗进：</w:t>
            </w:r>
            <w:r>
              <w:rPr>
                <w:color w:val="auto"/>
                <w:highlight w:val="none"/>
              </w:rPr>
              <w:t>300mm/s</w:t>
            </w:r>
            <w:r>
              <w:rPr>
                <w:rFonts w:hAnsi="宋体"/>
                <w:color w:val="auto"/>
                <w:highlight w:val="none"/>
              </w:rPr>
              <w:t>和</w:t>
            </w:r>
            <w:r>
              <w:rPr>
                <w:color w:val="auto"/>
                <w:highlight w:val="none"/>
              </w:rPr>
              <w:t>900mm/s</w:t>
            </w:r>
            <w:r>
              <w:rPr>
                <w:rFonts w:hint="eastAsia"/>
                <w:color w:val="auto"/>
                <w:highlight w:val="none"/>
              </w:rPr>
              <w:t>；</w:t>
            </w:r>
          </w:p>
          <w:p>
            <w:pPr>
              <w:spacing w:line="240" w:lineRule="auto"/>
              <w:ind w:firstLine="0" w:firstLineChars="0"/>
              <w:rPr>
                <w:color w:val="auto"/>
                <w:highlight w:val="none"/>
              </w:rPr>
            </w:pPr>
            <w:r>
              <w:rPr>
                <w:color w:val="auto"/>
                <w:highlight w:val="none"/>
              </w:rPr>
              <w:t>22</w:t>
            </w:r>
            <w:r>
              <w:rPr>
                <w:rFonts w:hint="eastAsia"/>
                <w:color w:val="auto"/>
                <w:highlight w:val="none"/>
              </w:rPr>
              <w:t>、</w:t>
            </w:r>
            <w:r>
              <w:rPr>
                <w:rFonts w:hAnsi="宋体"/>
                <w:color w:val="auto"/>
                <w:highlight w:val="none"/>
              </w:rPr>
              <w:t>最大样本：</w:t>
            </w:r>
            <w:r>
              <w:rPr>
                <w:color w:val="auto"/>
                <w:highlight w:val="none"/>
              </w:rPr>
              <w:t>50×60×40mm</w:t>
            </w:r>
            <w:r>
              <w:rPr>
                <w:rFonts w:hint="eastAsia"/>
                <w:color w:val="auto"/>
                <w:highlight w:val="none"/>
              </w:rPr>
              <w:t>；</w:t>
            </w:r>
          </w:p>
          <w:p>
            <w:pPr>
              <w:spacing w:line="240" w:lineRule="auto"/>
              <w:ind w:firstLine="0" w:firstLineChars="0"/>
              <w:rPr>
                <w:color w:val="auto"/>
                <w:highlight w:val="none"/>
              </w:rPr>
            </w:pPr>
            <w:r>
              <w:rPr>
                <w:color w:val="auto"/>
                <w:highlight w:val="none"/>
              </w:rPr>
              <w:t>23</w:t>
            </w:r>
            <w:r>
              <w:rPr>
                <w:rFonts w:hint="eastAsia"/>
                <w:color w:val="auto"/>
                <w:highlight w:val="none"/>
              </w:rPr>
              <w:t>、</w:t>
            </w:r>
            <w:r>
              <w:rPr>
                <w:rFonts w:hAnsi="宋体"/>
                <w:color w:val="auto"/>
                <w:highlight w:val="none"/>
              </w:rPr>
              <w:t>精确样本定位：水平</w:t>
            </w:r>
            <w:r>
              <w:rPr>
                <w:color w:val="auto"/>
                <w:highlight w:val="none"/>
              </w:rPr>
              <w:t>8º</w:t>
            </w:r>
            <w:r>
              <w:rPr>
                <w:rFonts w:hAnsi="宋体"/>
                <w:color w:val="auto"/>
                <w:highlight w:val="none"/>
              </w:rPr>
              <w:t>，垂直</w:t>
            </w:r>
            <w:r>
              <w:rPr>
                <w:color w:val="auto"/>
                <w:highlight w:val="none"/>
              </w:rPr>
              <w:t>8º</w:t>
            </w:r>
            <w:r>
              <w:rPr>
                <w:rFonts w:hAnsi="宋体"/>
                <w:color w:val="auto"/>
                <w:highlight w:val="none"/>
              </w:rPr>
              <w:t>可调</w:t>
            </w:r>
            <w:r>
              <w:rPr>
                <w:rFonts w:hint="eastAsia" w:hAnsi="宋体"/>
                <w:color w:val="auto"/>
                <w:highlight w:val="none"/>
              </w:rPr>
              <w:t>；</w:t>
            </w:r>
          </w:p>
          <w:p>
            <w:pPr>
              <w:spacing w:line="240" w:lineRule="auto"/>
              <w:ind w:firstLine="0" w:firstLineChars="0"/>
              <w:rPr>
                <w:color w:val="auto"/>
                <w:highlight w:val="none"/>
              </w:rPr>
            </w:pPr>
            <w:r>
              <w:rPr>
                <w:color w:val="auto"/>
                <w:highlight w:val="none"/>
              </w:rPr>
              <w:t>24</w:t>
            </w:r>
            <w:r>
              <w:rPr>
                <w:rFonts w:hint="eastAsia"/>
                <w:color w:val="auto"/>
                <w:highlight w:val="none"/>
              </w:rPr>
              <w:t>、</w:t>
            </w:r>
            <w:r>
              <w:rPr>
                <w:rFonts w:hAnsi="宋体"/>
                <w:color w:val="auto"/>
                <w:highlight w:val="none"/>
              </w:rPr>
              <w:t>电动切片：随切片速度不同而变化，可以关闭功能</w:t>
            </w:r>
            <w:r>
              <w:rPr>
                <w:rFonts w:hint="eastAsia" w:hAnsi="宋体"/>
                <w:color w:val="auto"/>
                <w:highlight w:val="none"/>
              </w:rPr>
              <w:t>；</w:t>
            </w:r>
          </w:p>
          <w:p>
            <w:pPr>
              <w:spacing w:line="240" w:lineRule="auto"/>
              <w:ind w:firstLine="0" w:firstLineChars="0"/>
              <w:rPr>
                <w:color w:val="auto"/>
                <w:highlight w:val="none"/>
              </w:rPr>
            </w:pPr>
            <w:r>
              <w:rPr>
                <w:color w:val="auto"/>
                <w:highlight w:val="none"/>
              </w:rPr>
              <w:t>25</w:t>
            </w:r>
            <w:r>
              <w:rPr>
                <w:rFonts w:hint="eastAsia"/>
                <w:color w:val="auto"/>
                <w:highlight w:val="none"/>
              </w:rPr>
              <w:t>、</w:t>
            </w:r>
            <w:r>
              <w:rPr>
                <w:rFonts w:hAnsi="宋体"/>
                <w:color w:val="auto"/>
                <w:highlight w:val="none"/>
              </w:rPr>
              <w:t>切片速度：</w:t>
            </w:r>
            <w:r>
              <w:rPr>
                <w:color w:val="auto"/>
                <w:highlight w:val="none"/>
              </w:rPr>
              <w:t>0.5-420mm/s</w:t>
            </w:r>
            <w:r>
              <w:rPr>
                <w:rFonts w:hint="eastAsia"/>
                <w:color w:val="auto"/>
                <w:highlight w:val="none"/>
              </w:rPr>
              <w:t>。</w:t>
            </w:r>
          </w:p>
          <w:p>
            <w:pPr>
              <w:pStyle w:val="2"/>
              <w:rPr>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套</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1</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22"/>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kern w:val="0"/>
                <w:highlight w:val="none"/>
              </w:rPr>
            </w:pPr>
            <w:r>
              <w:rPr>
                <w:rFonts w:hint="eastAsia" w:ascii="宋体" w:hAnsi="宋体" w:cs="宋体"/>
                <w:color w:val="auto"/>
                <w:kern w:val="0"/>
                <w:highlight w:val="none"/>
              </w:rPr>
              <w:t>包埋机</w:t>
            </w:r>
          </w:p>
        </w:tc>
        <w:tc>
          <w:tcPr>
            <w:tcW w:w="5862" w:type="dxa"/>
            <w:shd w:val="clear" w:color="auto" w:fill="auto"/>
            <w:vAlign w:val="center"/>
          </w:tcPr>
          <w:p>
            <w:pPr>
              <w:spacing w:line="240" w:lineRule="auto"/>
              <w:ind w:firstLine="0" w:firstLineChars="0"/>
              <w:rPr>
                <w:color w:val="auto"/>
                <w:highlight w:val="none"/>
              </w:rPr>
            </w:pPr>
            <w:r>
              <w:rPr>
                <w:color w:val="auto"/>
                <w:highlight w:val="none"/>
              </w:rPr>
              <w:t>1</w:t>
            </w:r>
            <w:r>
              <w:rPr>
                <w:rFonts w:hAnsi="宋体"/>
                <w:color w:val="auto"/>
                <w:highlight w:val="none"/>
              </w:rPr>
              <w:t>、石蜡出口控制夹可旋转，高度可调</w:t>
            </w:r>
            <w:r>
              <w:rPr>
                <w:rFonts w:hint="eastAsia" w:hAnsi="宋体"/>
                <w:color w:val="auto"/>
                <w:highlight w:val="none"/>
              </w:rPr>
              <w:t>；</w:t>
            </w:r>
          </w:p>
          <w:p>
            <w:pPr>
              <w:spacing w:line="240" w:lineRule="auto"/>
              <w:ind w:firstLine="0" w:firstLineChars="0"/>
              <w:rPr>
                <w:color w:val="auto"/>
                <w:highlight w:val="none"/>
              </w:rPr>
            </w:pPr>
            <w:r>
              <w:rPr>
                <w:color w:val="auto"/>
                <w:highlight w:val="none"/>
              </w:rPr>
              <w:t>2</w:t>
            </w:r>
            <w:r>
              <w:rPr>
                <w:rFonts w:hAnsi="宋体"/>
                <w:color w:val="auto"/>
                <w:highlight w:val="none"/>
              </w:rPr>
              <w:t>、石蜡流出手控，也可包埋夹推动控制夹</w:t>
            </w:r>
            <w:r>
              <w:rPr>
                <w:rFonts w:hint="eastAsia" w:hAnsi="宋体"/>
                <w:color w:val="auto"/>
                <w:highlight w:val="none"/>
              </w:rPr>
              <w:t>；</w:t>
            </w:r>
          </w:p>
          <w:p>
            <w:pPr>
              <w:spacing w:line="240" w:lineRule="auto"/>
              <w:ind w:firstLine="0" w:firstLineChars="0"/>
              <w:rPr>
                <w:color w:val="auto"/>
                <w:highlight w:val="none"/>
              </w:rPr>
            </w:pPr>
            <w:r>
              <w:rPr>
                <w:color w:val="auto"/>
                <w:highlight w:val="none"/>
              </w:rPr>
              <w:t>3</w:t>
            </w:r>
            <w:r>
              <w:rPr>
                <w:rFonts w:hAnsi="宋体"/>
                <w:color w:val="auto"/>
                <w:highlight w:val="none"/>
              </w:rPr>
              <w:t>、旋钮精确调节石蜡的流量</w:t>
            </w:r>
            <w:r>
              <w:rPr>
                <w:rFonts w:hint="eastAsia" w:hAnsi="宋体"/>
                <w:color w:val="auto"/>
                <w:highlight w:val="none"/>
              </w:rPr>
              <w:t>；</w:t>
            </w:r>
          </w:p>
          <w:p>
            <w:pPr>
              <w:tabs>
                <w:tab w:val="left" w:pos="-180"/>
                <w:tab w:val="left" w:pos="180"/>
              </w:tabs>
              <w:spacing w:line="240" w:lineRule="auto"/>
              <w:ind w:firstLine="0" w:firstLineChars="0"/>
              <w:rPr>
                <w:color w:val="auto"/>
                <w:highlight w:val="none"/>
              </w:rPr>
            </w:pPr>
            <w:r>
              <w:rPr>
                <w:rFonts w:ascii="Arial" w:hAnsi="Arial" w:cs="Arial"/>
                <w:color w:val="auto"/>
                <w:highlight w:val="none"/>
                <w:shd w:val="clear" w:color="auto" w:fill="FFFFFF"/>
              </w:rPr>
              <w:t>▲</w:t>
            </w:r>
            <w:r>
              <w:rPr>
                <w:color w:val="auto"/>
                <w:highlight w:val="none"/>
              </w:rPr>
              <w:t>4</w:t>
            </w:r>
            <w:r>
              <w:rPr>
                <w:rFonts w:hAnsi="宋体"/>
                <w:color w:val="auto"/>
                <w:highlight w:val="none"/>
              </w:rPr>
              <w:t>、宽大的工作台面可供预热超过</w:t>
            </w:r>
            <w:r>
              <w:rPr>
                <w:color w:val="auto"/>
                <w:highlight w:val="none"/>
              </w:rPr>
              <w:t>20</w:t>
            </w:r>
            <w:r>
              <w:rPr>
                <w:rFonts w:hAnsi="宋体"/>
                <w:color w:val="auto"/>
                <w:highlight w:val="none"/>
              </w:rPr>
              <w:t>个包埋盒模子</w:t>
            </w:r>
            <w:r>
              <w:rPr>
                <w:rFonts w:hint="eastAsia" w:hAnsi="宋体"/>
                <w:color w:val="auto"/>
                <w:highlight w:val="none"/>
              </w:rPr>
              <w:t>；</w:t>
            </w:r>
          </w:p>
          <w:p>
            <w:pPr>
              <w:spacing w:line="240" w:lineRule="auto"/>
              <w:ind w:firstLine="0" w:firstLineChars="0"/>
              <w:rPr>
                <w:color w:val="auto"/>
                <w:highlight w:val="none"/>
              </w:rPr>
            </w:pPr>
            <w:r>
              <w:rPr>
                <w:color w:val="auto"/>
                <w:highlight w:val="none"/>
              </w:rPr>
              <w:t>5</w:t>
            </w:r>
            <w:r>
              <w:rPr>
                <w:rFonts w:hAnsi="宋体"/>
                <w:color w:val="auto"/>
                <w:highlight w:val="none"/>
              </w:rPr>
              <w:t>、</w:t>
            </w:r>
            <w:r>
              <w:rPr>
                <w:color w:val="auto"/>
                <w:highlight w:val="none"/>
              </w:rPr>
              <w:t>2</w:t>
            </w:r>
            <w:r>
              <w:rPr>
                <w:rFonts w:hAnsi="宋体"/>
                <w:color w:val="auto"/>
                <w:highlight w:val="none"/>
              </w:rPr>
              <w:t>个预热的废蜡槽可拆卸</w:t>
            </w:r>
            <w:r>
              <w:rPr>
                <w:rFonts w:hint="eastAsia" w:hAnsi="宋体"/>
                <w:color w:val="auto"/>
                <w:highlight w:val="none"/>
              </w:rPr>
              <w:t>；</w:t>
            </w:r>
          </w:p>
          <w:p>
            <w:pPr>
              <w:spacing w:line="240" w:lineRule="auto"/>
              <w:ind w:firstLine="0" w:firstLineChars="0"/>
              <w:rPr>
                <w:color w:val="auto"/>
                <w:highlight w:val="none"/>
              </w:rPr>
            </w:pPr>
            <w:r>
              <w:rPr>
                <w:rFonts w:ascii="Arial" w:hAnsi="Arial" w:cs="Arial"/>
                <w:color w:val="auto"/>
                <w:highlight w:val="none"/>
                <w:shd w:val="clear" w:color="auto" w:fill="FFFFFF"/>
              </w:rPr>
              <w:t>▲</w:t>
            </w:r>
            <w:r>
              <w:rPr>
                <w:color w:val="auto"/>
                <w:highlight w:val="none"/>
              </w:rPr>
              <w:t>6</w:t>
            </w:r>
            <w:r>
              <w:rPr>
                <w:rFonts w:hAnsi="宋体"/>
                <w:color w:val="auto"/>
                <w:highlight w:val="none"/>
              </w:rPr>
              <w:t>、石蜡槽，工作台面与内置预热槽的温度范围是：</w:t>
            </w:r>
            <w:r>
              <w:rPr>
                <w:color w:val="auto"/>
                <w:highlight w:val="none"/>
              </w:rPr>
              <w:t>50</w:t>
            </w:r>
            <w:r>
              <w:rPr>
                <w:rFonts w:ascii="宋体" w:hAnsi="宋体"/>
                <w:color w:val="auto"/>
                <w:highlight w:val="none"/>
              </w:rPr>
              <w:t>℃</w:t>
            </w:r>
            <w:r>
              <w:rPr>
                <w:color w:val="auto"/>
                <w:highlight w:val="none"/>
              </w:rPr>
              <w:t>-75</w:t>
            </w:r>
            <w:r>
              <w:rPr>
                <w:rFonts w:ascii="宋体" w:hAnsi="宋体"/>
                <w:color w:val="auto"/>
                <w:highlight w:val="none"/>
              </w:rPr>
              <w:t>℃</w:t>
            </w:r>
            <w:r>
              <w:rPr>
                <w:rFonts w:hAnsi="宋体"/>
                <w:color w:val="auto"/>
                <w:highlight w:val="none"/>
              </w:rPr>
              <w:t>，调节精度</w:t>
            </w:r>
            <w:r>
              <w:rPr>
                <w:color w:val="auto"/>
                <w:highlight w:val="none"/>
              </w:rPr>
              <w:t>1</w:t>
            </w:r>
            <w:r>
              <w:rPr>
                <w:rFonts w:ascii="宋体" w:hAnsi="宋体"/>
                <w:color w:val="auto"/>
                <w:highlight w:val="none"/>
              </w:rPr>
              <w:t>℃</w:t>
            </w:r>
            <w:r>
              <w:rPr>
                <w:rFonts w:hint="eastAsia" w:ascii="宋体" w:hAnsi="宋体"/>
                <w:color w:val="auto"/>
                <w:highlight w:val="none"/>
              </w:rPr>
              <w:t>；</w:t>
            </w:r>
          </w:p>
          <w:p>
            <w:pPr>
              <w:spacing w:line="240" w:lineRule="auto"/>
              <w:ind w:firstLine="0" w:firstLineChars="0"/>
              <w:rPr>
                <w:color w:val="auto"/>
                <w:highlight w:val="none"/>
              </w:rPr>
            </w:pPr>
            <w:r>
              <w:rPr>
                <w:rFonts w:ascii="Arial" w:hAnsi="Arial" w:cs="Arial"/>
                <w:color w:val="auto"/>
                <w:highlight w:val="none"/>
                <w:shd w:val="clear" w:color="auto" w:fill="FFFFFF"/>
              </w:rPr>
              <w:t>▲</w:t>
            </w:r>
            <w:r>
              <w:rPr>
                <w:color w:val="auto"/>
                <w:highlight w:val="none"/>
              </w:rPr>
              <w:t>7</w:t>
            </w:r>
            <w:r>
              <w:rPr>
                <w:rFonts w:hAnsi="宋体"/>
                <w:color w:val="auto"/>
                <w:highlight w:val="none"/>
              </w:rPr>
              <w:t>、热台温度范围：</w:t>
            </w:r>
            <w:r>
              <w:rPr>
                <w:color w:val="auto"/>
                <w:highlight w:val="none"/>
              </w:rPr>
              <w:t>50</w:t>
            </w:r>
            <w:r>
              <w:rPr>
                <w:rFonts w:ascii="宋体" w:hAnsi="宋体"/>
                <w:color w:val="auto"/>
                <w:highlight w:val="none"/>
              </w:rPr>
              <w:t>℃</w:t>
            </w:r>
            <w:r>
              <w:rPr>
                <w:color w:val="auto"/>
                <w:highlight w:val="none"/>
              </w:rPr>
              <w:t>-75</w:t>
            </w:r>
            <w:r>
              <w:rPr>
                <w:rFonts w:ascii="宋体" w:hAnsi="宋体"/>
                <w:color w:val="auto"/>
                <w:highlight w:val="none"/>
              </w:rPr>
              <w:t>℃</w:t>
            </w:r>
            <w:r>
              <w:rPr>
                <w:rFonts w:hAnsi="宋体"/>
                <w:color w:val="auto"/>
                <w:highlight w:val="none"/>
              </w:rPr>
              <w:t>，调节精度</w:t>
            </w:r>
            <w:r>
              <w:rPr>
                <w:color w:val="auto"/>
                <w:highlight w:val="none"/>
              </w:rPr>
              <w:t>1</w:t>
            </w:r>
            <w:r>
              <w:rPr>
                <w:rFonts w:ascii="宋体" w:hAnsi="宋体"/>
                <w:color w:val="auto"/>
                <w:highlight w:val="none"/>
              </w:rPr>
              <w:t>℃</w:t>
            </w:r>
            <w:r>
              <w:rPr>
                <w:rFonts w:hint="eastAsia" w:ascii="宋体" w:hAnsi="宋体"/>
                <w:color w:val="auto"/>
                <w:highlight w:val="none"/>
              </w:rPr>
              <w:t>；</w:t>
            </w:r>
          </w:p>
          <w:p>
            <w:pPr>
              <w:spacing w:line="240" w:lineRule="auto"/>
              <w:ind w:firstLine="0" w:firstLineChars="0"/>
              <w:rPr>
                <w:color w:val="auto"/>
                <w:highlight w:val="none"/>
              </w:rPr>
            </w:pPr>
            <w:r>
              <w:rPr>
                <w:color w:val="auto"/>
                <w:highlight w:val="none"/>
              </w:rPr>
              <w:t>8</w:t>
            </w:r>
            <w:r>
              <w:rPr>
                <w:rFonts w:hAnsi="宋体"/>
                <w:color w:val="auto"/>
                <w:highlight w:val="none"/>
              </w:rPr>
              <w:t>、</w:t>
            </w:r>
            <w:r>
              <w:rPr>
                <w:color w:val="auto"/>
                <w:highlight w:val="none"/>
              </w:rPr>
              <w:t>LED</w:t>
            </w:r>
            <w:r>
              <w:rPr>
                <w:rFonts w:hAnsi="宋体"/>
                <w:color w:val="auto"/>
                <w:highlight w:val="none"/>
              </w:rPr>
              <w:t>照明系统</w:t>
            </w:r>
            <w:r>
              <w:rPr>
                <w:rFonts w:hint="eastAsia" w:hAnsi="宋体"/>
                <w:color w:val="auto"/>
                <w:highlight w:val="none"/>
              </w:rPr>
              <w:t>；</w:t>
            </w:r>
          </w:p>
          <w:p>
            <w:pPr>
              <w:spacing w:line="240" w:lineRule="auto"/>
              <w:ind w:firstLine="0" w:firstLineChars="0"/>
              <w:rPr>
                <w:color w:val="auto"/>
                <w:highlight w:val="none"/>
              </w:rPr>
            </w:pPr>
            <w:r>
              <w:rPr>
                <w:color w:val="auto"/>
                <w:highlight w:val="none"/>
              </w:rPr>
              <w:t>9</w:t>
            </w:r>
            <w:r>
              <w:rPr>
                <w:rFonts w:hAnsi="宋体"/>
                <w:color w:val="auto"/>
                <w:highlight w:val="none"/>
              </w:rPr>
              <w:t>、</w:t>
            </w:r>
            <w:r>
              <w:rPr>
                <w:color w:val="auto"/>
                <w:highlight w:val="none"/>
              </w:rPr>
              <w:t>5.7</w:t>
            </w:r>
            <w:r>
              <w:rPr>
                <w:rFonts w:hAnsi="宋体"/>
                <w:color w:val="auto"/>
                <w:highlight w:val="none"/>
              </w:rPr>
              <w:t>寸</w:t>
            </w:r>
            <w:r>
              <w:rPr>
                <w:color w:val="auto"/>
                <w:highlight w:val="none"/>
              </w:rPr>
              <w:t>LCD</w:t>
            </w:r>
            <w:r>
              <w:rPr>
                <w:rFonts w:hAnsi="宋体"/>
                <w:color w:val="auto"/>
                <w:highlight w:val="none"/>
              </w:rPr>
              <w:t>触摸屏，无子菜单设计，所有信息一目了然，支持戴手套操作</w:t>
            </w:r>
            <w:r>
              <w:rPr>
                <w:rFonts w:hint="eastAsia" w:hAnsi="宋体"/>
                <w:color w:val="auto"/>
                <w:highlight w:val="none"/>
              </w:rPr>
              <w:t>；</w:t>
            </w:r>
          </w:p>
          <w:p>
            <w:pPr>
              <w:spacing w:line="240" w:lineRule="auto"/>
              <w:ind w:firstLine="0" w:firstLineChars="0"/>
              <w:rPr>
                <w:color w:val="auto"/>
                <w:highlight w:val="none"/>
              </w:rPr>
            </w:pPr>
            <w:r>
              <w:rPr>
                <w:color w:val="auto"/>
                <w:highlight w:val="none"/>
              </w:rPr>
              <w:t>10、石蜡槽≥4升</w:t>
            </w:r>
            <w:r>
              <w:rPr>
                <w:rFonts w:hint="eastAsia"/>
                <w:color w:val="auto"/>
                <w:highlight w:val="none"/>
              </w:rPr>
              <w:t>；</w:t>
            </w:r>
          </w:p>
          <w:p>
            <w:pPr>
              <w:spacing w:line="240" w:lineRule="auto"/>
              <w:ind w:firstLine="0" w:firstLineChars="0"/>
              <w:rPr>
                <w:color w:val="auto"/>
                <w:highlight w:val="none"/>
              </w:rPr>
            </w:pPr>
            <w:r>
              <w:rPr>
                <w:rFonts w:hint="eastAsia"/>
                <w:color w:val="auto"/>
                <w:highlight w:val="none"/>
              </w:rPr>
              <w:t>1</w:t>
            </w:r>
            <w:r>
              <w:rPr>
                <w:color w:val="auto"/>
                <w:highlight w:val="none"/>
              </w:rPr>
              <w:t>1、包埋模子与预热槽可随意互换，并可拆卸，方便清理</w:t>
            </w:r>
            <w:r>
              <w:rPr>
                <w:rFonts w:hint="eastAsia"/>
                <w:color w:val="auto"/>
                <w:highlight w:val="none"/>
              </w:rPr>
              <w:t>；</w:t>
            </w:r>
          </w:p>
          <w:p>
            <w:pPr>
              <w:spacing w:line="240" w:lineRule="auto"/>
              <w:ind w:firstLine="0" w:firstLineChars="0"/>
              <w:rPr>
                <w:color w:val="auto"/>
                <w:highlight w:val="none"/>
              </w:rPr>
            </w:pPr>
            <w:r>
              <w:rPr>
                <w:color w:val="auto"/>
                <w:highlight w:val="none"/>
              </w:rPr>
              <w:t>12、全新的排蜡系统（8个排蜡孔）避免石蜡在工作台面上聚集，方便清理</w:t>
            </w:r>
            <w:r>
              <w:rPr>
                <w:rFonts w:hint="eastAsia"/>
                <w:color w:val="auto"/>
                <w:highlight w:val="none"/>
              </w:rPr>
              <w:t>；</w:t>
            </w:r>
          </w:p>
          <w:p>
            <w:pPr>
              <w:spacing w:line="240" w:lineRule="auto"/>
              <w:ind w:firstLine="0" w:firstLineChars="0"/>
              <w:rPr>
                <w:color w:val="auto"/>
                <w:highlight w:val="none"/>
              </w:rPr>
            </w:pPr>
            <w:r>
              <w:rPr>
                <w:color w:val="auto"/>
                <w:highlight w:val="none"/>
              </w:rPr>
              <w:t>13、</w:t>
            </w:r>
            <w:r>
              <w:rPr>
                <w:color w:val="auto"/>
                <w:highlight w:val="none"/>
              </w:rPr>
              <w:t>镊子孔设计</w:t>
            </w:r>
            <w:r>
              <w:rPr>
                <w:rFonts w:hint="eastAsia"/>
                <w:color w:val="auto"/>
                <w:highlight w:val="none"/>
              </w:rPr>
              <w:t>：</w:t>
            </w:r>
            <w:r>
              <w:rPr>
                <w:color w:val="auto"/>
                <w:highlight w:val="none"/>
              </w:rPr>
              <w:t>支</w:t>
            </w:r>
            <w:r>
              <w:rPr>
                <w:color w:val="auto"/>
                <w:highlight w:val="none"/>
              </w:rPr>
              <w:t>持弯头镊子和修蜡刀</w:t>
            </w:r>
            <w:r>
              <w:rPr>
                <w:rFonts w:hint="eastAsia"/>
                <w:color w:val="auto"/>
                <w:highlight w:val="none"/>
              </w:rPr>
              <w:t>；</w:t>
            </w:r>
          </w:p>
          <w:p>
            <w:pPr>
              <w:spacing w:line="240" w:lineRule="auto"/>
              <w:ind w:firstLine="0" w:firstLineChars="0"/>
              <w:rPr>
                <w:color w:val="auto"/>
                <w:highlight w:val="none"/>
              </w:rPr>
            </w:pPr>
            <w:r>
              <w:rPr>
                <w:color w:val="auto"/>
                <w:highlight w:val="none"/>
              </w:rPr>
              <w:t>14、加热镊子左右都方便取出</w:t>
            </w:r>
            <w:r>
              <w:rPr>
                <w:rFonts w:hint="eastAsia"/>
                <w:color w:val="auto"/>
                <w:highlight w:val="none"/>
              </w:rPr>
              <w:t>；</w:t>
            </w:r>
          </w:p>
          <w:p>
            <w:pPr>
              <w:spacing w:line="240" w:lineRule="auto"/>
              <w:ind w:firstLine="0" w:firstLineChars="0"/>
              <w:rPr>
                <w:color w:val="auto"/>
                <w:highlight w:val="none"/>
              </w:rPr>
            </w:pPr>
            <w:r>
              <w:rPr>
                <w:color w:val="auto"/>
                <w:highlight w:val="none"/>
              </w:rPr>
              <w:t>15、全新设计的速冷点，面积大、功率高</w:t>
            </w:r>
            <w:r>
              <w:rPr>
                <w:rFonts w:hint="eastAsia"/>
                <w:color w:val="auto"/>
                <w:highlight w:val="none"/>
              </w:rPr>
              <w:t>；</w:t>
            </w:r>
          </w:p>
          <w:p>
            <w:pPr>
              <w:spacing w:line="240" w:lineRule="auto"/>
              <w:ind w:firstLine="0" w:firstLineChars="0"/>
              <w:rPr>
                <w:color w:val="auto"/>
                <w:highlight w:val="none"/>
              </w:rPr>
            </w:pPr>
            <w:r>
              <w:rPr>
                <w:color w:val="auto"/>
                <w:highlight w:val="none"/>
              </w:rPr>
              <w:t>16</w:t>
            </w:r>
            <w:r>
              <w:rPr>
                <w:rFonts w:hAnsi="宋体"/>
                <w:color w:val="auto"/>
                <w:highlight w:val="none"/>
              </w:rPr>
              <w:t>、预热槽和冷台在同一水平线上</w:t>
            </w:r>
            <w:r>
              <w:rPr>
                <w:rFonts w:hint="eastAsia" w:hAnsi="宋体"/>
                <w:color w:val="auto"/>
                <w:highlight w:val="none"/>
              </w:rPr>
              <w:t>；</w:t>
            </w:r>
          </w:p>
          <w:p>
            <w:pPr>
              <w:spacing w:line="240" w:lineRule="auto"/>
              <w:ind w:firstLine="0" w:firstLineChars="0"/>
              <w:rPr>
                <w:color w:val="auto"/>
                <w:highlight w:val="none"/>
              </w:rPr>
            </w:pPr>
            <w:r>
              <w:rPr>
                <w:color w:val="auto"/>
                <w:highlight w:val="none"/>
              </w:rPr>
              <w:t>17</w:t>
            </w:r>
            <w:r>
              <w:rPr>
                <w:rFonts w:hAnsi="宋体"/>
                <w:color w:val="auto"/>
                <w:highlight w:val="none"/>
              </w:rPr>
              <w:t>、全金属外壳（蜡缸、出蜡口、预热槽等），可用二甲苯或环保除蜡剂清洁</w:t>
            </w:r>
            <w:r>
              <w:rPr>
                <w:rFonts w:hint="eastAsia" w:hAnsi="宋体"/>
                <w:color w:val="auto"/>
                <w:highlight w:val="none"/>
              </w:rPr>
              <w:t>；</w:t>
            </w:r>
          </w:p>
          <w:p>
            <w:pPr>
              <w:spacing w:line="240" w:lineRule="auto"/>
              <w:ind w:firstLine="0" w:firstLineChars="0"/>
              <w:rPr>
                <w:color w:val="auto"/>
                <w:highlight w:val="none"/>
              </w:rPr>
            </w:pPr>
            <w:r>
              <w:rPr>
                <w:color w:val="auto"/>
                <w:highlight w:val="none"/>
              </w:rPr>
              <w:t>18</w:t>
            </w:r>
            <w:r>
              <w:rPr>
                <w:rFonts w:hAnsi="宋体"/>
                <w:color w:val="auto"/>
                <w:highlight w:val="none"/>
              </w:rPr>
              <w:t>、全新设计的刮蜡器，方便清洁导蜡槽等细小部位</w:t>
            </w:r>
            <w:r>
              <w:rPr>
                <w:rFonts w:hint="eastAsia" w:hAnsi="宋体"/>
                <w:color w:val="auto"/>
                <w:highlight w:val="none"/>
              </w:rPr>
              <w:t>；</w:t>
            </w:r>
          </w:p>
          <w:p>
            <w:pPr>
              <w:spacing w:line="240" w:lineRule="auto"/>
              <w:ind w:firstLine="0" w:firstLineChars="0"/>
              <w:rPr>
                <w:color w:val="auto"/>
                <w:highlight w:val="none"/>
              </w:rPr>
            </w:pPr>
            <w:r>
              <w:rPr>
                <w:color w:val="auto"/>
                <w:highlight w:val="none"/>
              </w:rPr>
              <w:t>19</w:t>
            </w:r>
            <w:r>
              <w:rPr>
                <w:rFonts w:hAnsi="宋体"/>
                <w:color w:val="auto"/>
                <w:highlight w:val="none"/>
              </w:rPr>
              <w:t>、全新设计的人体工学扶手高度</w:t>
            </w:r>
            <w:r>
              <w:rPr>
                <w:color w:val="auto"/>
                <w:highlight w:val="none"/>
              </w:rPr>
              <w:t>&gt;14mm</w:t>
            </w:r>
            <w:r>
              <w:rPr>
                <w:rFonts w:hAnsi="宋体"/>
                <w:color w:val="auto"/>
                <w:highlight w:val="none"/>
              </w:rPr>
              <w:t>，宽度</w:t>
            </w:r>
            <w:r>
              <w:rPr>
                <w:color w:val="auto"/>
                <w:highlight w:val="none"/>
              </w:rPr>
              <w:t>&gt;47mm</w:t>
            </w:r>
            <w:r>
              <w:rPr>
                <w:rFonts w:hAnsi="宋体"/>
                <w:color w:val="auto"/>
                <w:highlight w:val="none"/>
              </w:rPr>
              <w:t>，使操作更稳定舒适</w:t>
            </w:r>
            <w:r>
              <w:rPr>
                <w:rFonts w:hint="eastAsia" w:hAnsi="宋体"/>
                <w:color w:val="auto"/>
                <w:highlight w:val="none"/>
              </w:rPr>
              <w:t>；</w:t>
            </w:r>
          </w:p>
          <w:p>
            <w:pPr>
              <w:spacing w:line="240" w:lineRule="auto"/>
              <w:ind w:firstLine="0" w:firstLineChars="0"/>
              <w:rPr>
                <w:color w:val="auto"/>
                <w:highlight w:val="none"/>
              </w:rPr>
            </w:pPr>
            <w:r>
              <w:rPr>
                <w:color w:val="auto"/>
                <w:highlight w:val="none"/>
              </w:rPr>
              <w:t>20</w:t>
            </w:r>
            <w:r>
              <w:rPr>
                <w:rFonts w:hAnsi="宋体"/>
                <w:color w:val="auto"/>
                <w:highlight w:val="none"/>
              </w:rPr>
              <w:t>、平整的蜡缸顶部方便置物</w:t>
            </w:r>
            <w:r>
              <w:rPr>
                <w:rFonts w:hint="eastAsia" w:hAnsi="宋体"/>
                <w:color w:val="auto"/>
                <w:highlight w:val="none"/>
              </w:rPr>
              <w:t>；</w:t>
            </w:r>
          </w:p>
          <w:p>
            <w:pPr>
              <w:spacing w:line="240" w:lineRule="auto"/>
              <w:ind w:firstLine="0" w:firstLineChars="0"/>
              <w:rPr>
                <w:color w:val="auto"/>
                <w:highlight w:val="none"/>
              </w:rPr>
            </w:pPr>
            <w:r>
              <w:rPr>
                <w:rFonts w:ascii="Arial" w:hAnsi="Arial" w:cs="Arial"/>
                <w:color w:val="auto"/>
                <w:highlight w:val="none"/>
                <w:shd w:val="clear" w:color="auto" w:fill="FFFFFF"/>
              </w:rPr>
              <w:t>▲</w:t>
            </w:r>
            <w:r>
              <w:rPr>
                <w:color w:val="auto"/>
                <w:highlight w:val="none"/>
              </w:rPr>
              <w:t>21</w:t>
            </w:r>
            <w:r>
              <w:rPr>
                <w:rFonts w:hAnsi="宋体"/>
                <w:color w:val="auto"/>
                <w:highlight w:val="none"/>
              </w:rPr>
              <w:t>、冷台具有环境温度自适应功能，可在</w:t>
            </w:r>
            <w:r>
              <w:rPr>
                <w:color w:val="auto"/>
                <w:highlight w:val="none"/>
              </w:rPr>
              <w:t>20</w:t>
            </w:r>
            <w:r>
              <w:rPr>
                <w:rFonts w:ascii="宋体" w:hAnsi="宋体"/>
                <w:color w:val="auto"/>
                <w:highlight w:val="none"/>
              </w:rPr>
              <w:t>℃</w:t>
            </w:r>
            <w:r>
              <w:rPr>
                <w:rFonts w:hAnsi="宋体"/>
                <w:color w:val="auto"/>
                <w:highlight w:val="none"/>
              </w:rPr>
              <w:t>至</w:t>
            </w:r>
            <w:r>
              <w:rPr>
                <w:color w:val="auto"/>
                <w:highlight w:val="none"/>
              </w:rPr>
              <w:t>30</w:t>
            </w:r>
            <w:r>
              <w:rPr>
                <w:rFonts w:ascii="宋体" w:hAnsi="宋体"/>
                <w:color w:val="auto"/>
                <w:highlight w:val="none"/>
              </w:rPr>
              <w:t>℃</w:t>
            </w:r>
            <w:r>
              <w:rPr>
                <w:rFonts w:hAnsi="宋体"/>
                <w:color w:val="auto"/>
                <w:highlight w:val="none"/>
              </w:rPr>
              <w:t>环境下保持</w:t>
            </w:r>
            <w:r>
              <w:rPr>
                <w:color w:val="auto"/>
                <w:highlight w:val="none"/>
              </w:rPr>
              <w:t>-6</w:t>
            </w:r>
            <w:r>
              <w:rPr>
                <w:rFonts w:ascii="宋体" w:hAnsi="宋体"/>
                <w:color w:val="auto"/>
                <w:highlight w:val="none"/>
              </w:rPr>
              <w:t>℃</w:t>
            </w:r>
            <w:r>
              <w:rPr>
                <w:rFonts w:hAnsi="宋体"/>
                <w:color w:val="auto"/>
                <w:highlight w:val="none"/>
              </w:rPr>
              <w:t>的最佳制冷温度。并可在最长</w:t>
            </w:r>
            <w:r>
              <w:rPr>
                <w:color w:val="auto"/>
                <w:highlight w:val="none"/>
              </w:rPr>
              <w:t>30</w:t>
            </w:r>
            <w:r>
              <w:rPr>
                <w:rFonts w:hAnsi="宋体"/>
                <w:color w:val="auto"/>
                <w:highlight w:val="none"/>
              </w:rPr>
              <w:t>分钟内冷却</w:t>
            </w:r>
            <w:r>
              <w:rPr>
                <w:color w:val="auto"/>
                <w:highlight w:val="none"/>
              </w:rPr>
              <w:t>60</w:t>
            </w:r>
            <w:r>
              <w:rPr>
                <w:rFonts w:hAnsi="宋体"/>
                <w:color w:val="auto"/>
                <w:highlight w:val="none"/>
              </w:rPr>
              <w:t>个包埋盒模子</w:t>
            </w:r>
            <w:r>
              <w:rPr>
                <w:rFonts w:hint="eastAsia" w:hAnsi="宋体"/>
                <w:color w:val="auto"/>
                <w:highlight w:val="none"/>
              </w:rPr>
              <w:t>；</w:t>
            </w:r>
          </w:p>
          <w:p>
            <w:pPr>
              <w:spacing w:line="240" w:lineRule="auto"/>
              <w:ind w:firstLine="0" w:firstLineChars="0"/>
              <w:rPr>
                <w:rFonts w:hAnsi="宋体"/>
                <w:color w:val="auto"/>
                <w:highlight w:val="none"/>
              </w:rPr>
            </w:pPr>
            <w:r>
              <w:rPr>
                <w:color w:val="auto"/>
                <w:highlight w:val="none"/>
              </w:rPr>
              <w:t>22</w:t>
            </w:r>
            <w:r>
              <w:rPr>
                <w:rFonts w:hAnsi="宋体"/>
                <w:color w:val="auto"/>
                <w:highlight w:val="none"/>
              </w:rPr>
              <w:t>、全新设计的可折叠式放大镜，易于调节和收纳</w:t>
            </w:r>
            <w:r>
              <w:rPr>
                <w:rFonts w:hint="eastAsia" w:hAnsi="宋体"/>
                <w:color w:val="auto"/>
                <w:highlight w:val="none"/>
              </w:rPr>
              <w:t>。</w:t>
            </w:r>
          </w:p>
          <w:p>
            <w:pPr>
              <w:pStyle w:val="2"/>
              <w:rPr>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套</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1</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22"/>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kern w:val="0"/>
                <w:highlight w:val="none"/>
              </w:rPr>
            </w:pPr>
            <w:r>
              <w:rPr>
                <w:rFonts w:hint="eastAsia" w:ascii="宋体" w:hAnsi="宋体" w:cs="宋体"/>
                <w:color w:val="auto"/>
                <w:kern w:val="0"/>
                <w:highlight w:val="none"/>
              </w:rPr>
              <w:t>普通显微镜</w:t>
            </w:r>
          </w:p>
        </w:tc>
        <w:tc>
          <w:tcPr>
            <w:tcW w:w="5862" w:type="dxa"/>
            <w:shd w:val="clear" w:color="auto" w:fill="auto"/>
            <w:vAlign w:val="center"/>
          </w:tcPr>
          <w:p>
            <w:pPr>
              <w:spacing w:line="240" w:lineRule="auto"/>
              <w:ind w:firstLine="0" w:firstLineChars="0"/>
              <w:rPr>
                <w:color w:val="auto"/>
                <w:highlight w:val="none"/>
              </w:rPr>
            </w:pPr>
            <w:r>
              <w:rPr>
                <w:color w:val="auto"/>
                <w:highlight w:val="none"/>
              </w:rPr>
              <w:t>1</w:t>
            </w:r>
            <w:r>
              <w:rPr>
                <w:rFonts w:hint="eastAsia"/>
                <w:color w:val="auto"/>
                <w:highlight w:val="none"/>
              </w:rPr>
              <w:t>、系统采用</w:t>
            </w:r>
            <w:r>
              <w:rPr>
                <w:color w:val="auto"/>
                <w:highlight w:val="none"/>
              </w:rPr>
              <w:t>HC</w:t>
            </w:r>
            <w:r>
              <w:rPr>
                <w:rFonts w:hint="eastAsia"/>
                <w:color w:val="auto"/>
                <w:highlight w:val="none"/>
              </w:rPr>
              <w:t>无限远光学设计；</w:t>
            </w:r>
          </w:p>
          <w:p>
            <w:pPr>
              <w:spacing w:line="240" w:lineRule="auto"/>
              <w:ind w:firstLine="0" w:firstLineChars="0"/>
              <w:rPr>
                <w:color w:val="auto"/>
                <w:highlight w:val="none"/>
              </w:rPr>
            </w:pPr>
            <w:r>
              <w:rPr>
                <w:color w:val="auto"/>
                <w:highlight w:val="none"/>
              </w:rPr>
              <w:t>2</w:t>
            </w:r>
            <w:r>
              <w:rPr>
                <w:rFonts w:hint="eastAsia"/>
                <w:color w:val="auto"/>
                <w:highlight w:val="none"/>
              </w:rPr>
              <w:t>、调焦系统设有限位装置，可防止载物台下滑及保护物镜。最小调焦精度</w:t>
            </w:r>
            <w:r>
              <w:rPr>
                <w:color w:val="auto"/>
                <w:highlight w:val="none"/>
              </w:rPr>
              <w:t>1</w:t>
            </w:r>
            <w:r>
              <w:rPr>
                <w:rFonts w:hint="eastAsia"/>
                <w:color w:val="auto"/>
                <w:highlight w:val="none"/>
              </w:rPr>
              <w:t>微米，主机机身采用热补偿设计，保证长时间观测对焦面的精准；</w:t>
            </w:r>
          </w:p>
          <w:p>
            <w:pPr>
              <w:spacing w:line="240" w:lineRule="auto"/>
              <w:ind w:firstLine="0" w:firstLineChars="0"/>
              <w:rPr>
                <w:color w:val="auto"/>
                <w:highlight w:val="none"/>
              </w:rPr>
            </w:pPr>
            <w:r>
              <w:rPr>
                <w:color w:val="auto"/>
                <w:highlight w:val="none"/>
              </w:rPr>
              <w:t>3</w:t>
            </w:r>
            <w:r>
              <w:rPr>
                <w:rFonts w:hint="eastAsia"/>
                <w:color w:val="auto"/>
                <w:highlight w:val="none"/>
              </w:rPr>
              <w:t>、主机采用</w:t>
            </w:r>
            <w:r>
              <w:rPr>
                <w:color w:val="auto"/>
                <w:highlight w:val="none"/>
              </w:rPr>
              <w:t>LED</w:t>
            </w:r>
            <w:r>
              <w:rPr>
                <w:rFonts w:hint="eastAsia"/>
                <w:color w:val="auto"/>
                <w:highlight w:val="none"/>
              </w:rPr>
              <w:t>或卤素灯照明，近似于日光的明亮照明和恒定色温，</w:t>
            </w:r>
            <w:r>
              <w:rPr>
                <w:color w:val="auto"/>
                <w:highlight w:val="none"/>
              </w:rPr>
              <w:t>LED</w:t>
            </w:r>
            <w:r>
              <w:rPr>
                <w:rFonts w:hint="eastAsia"/>
                <w:color w:val="auto"/>
                <w:highlight w:val="none"/>
              </w:rPr>
              <w:t>寿命不小于</w:t>
            </w:r>
            <w:r>
              <w:rPr>
                <w:color w:val="auto"/>
                <w:highlight w:val="none"/>
              </w:rPr>
              <w:t>10</w:t>
            </w:r>
            <w:r>
              <w:rPr>
                <w:rFonts w:hint="eastAsia"/>
                <w:color w:val="auto"/>
                <w:highlight w:val="none"/>
              </w:rPr>
              <w:t>万小时；</w:t>
            </w:r>
          </w:p>
          <w:p>
            <w:pPr>
              <w:spacing w:line="240" w:lineRule="auto"/>
              <w:ind w:firstLine="0" w:firstLineChars="0"/>
              <w:rPr>
                <w:color w:val="auto"/>
                <w:highlight w:val="none"/>
              </w:rPr>
            </w:pPr>
            <w:r>
              <w:rPr>
                <w:color w:val="auto"/>
                <w:highlight w:val="none"/>
              </w:rPr>
              <w:t>4</w:t>
            </w:r>
            <w:r>
              <w:rPr>
                <w:rFonts w:hint="eastAsia"/>
                <w:color w:val="auto"/>
                <w:highlight w:val="none"/>
              </w:rPr>
              <w:t>、三目照相镜筒，可外接</w:t>
            </w:r>
            <w:r>
              <w:rPr>
                <w:color w:val="auto"/>
                <w:highlight w:val="none"/>
              </w:rPr>
              <w:t>CCD</w:t>
            </w:r>
            <w:r>
              <w:rPr>
                <w:rFonts w:hint="eastAsia"/>
                <w:color w:val="auto"/>
                <w:highlight w:val="none"/>
              </w:rPr>
              <w:t>摄像系统或照相系统</w:t>
            </w:r>
            <w:r>
              <w:rPr>
                <w:color w:val="auto"/>
                <w:highlight w:val="none"/>
              </w:rPr>
              <w:t xml:space="preserve"> </w:t>
            </w:r>
            <w:r>
              <w:rPr>
                <w:rFonts w:hint="eastAsia"/>
                <w:color w:val="auto"/>
                <w:highlight w:val="none"/>
              </w:rPr>
              <w:t>；</w:t>
            </w:r>
          </w:p>
          <w:p>
            <w:pPr>
              <w:spacing w:line="240" w:lineRule="auto"/>
              <w:ind w:firstLine="0" w:firstLineChars="0"/>
              <w:rPr>
                <w:color w:val="auto"/>
                <w:highlight w:val="none"/>
              </w:rPr>
            </w:pPr>
            <w:r>
              <w:rPr>
                <w:color w:val="auto"/>
                <w:highlight w:val="none"/>
              </w:rPr>
              <w:t>5</w:t>
            </w:r>
            <w:r>
              <w:rPr>
                <w:rFonts w:hint="eastAsia"/>
                <w:color w:val="auto"/>
                <w:highlight w:val="none"/>
              </w:rPr>
              <w:t>、新一代高反差平场消色差物镜：</w:t>
            </w:r>
            <w:r>
              <w:rPr>
                <w:color w:val="auto"/>
                <w:highlight w:val="none"/>
              </w:rPr>
              <w:tab/>
            </w:r>
            <w:r>
              <w:rPr>
                <w:color w:val="auto"/>
                <w:highlight w:val="none"/>
              </w:rPr>
              <w:t>4x</w:t>
            </w:r>
            <w:r>
              <w:rPr>
                <w:rFonts w:hint="eastAsia"/>
                <w:color w:val="auto"/>
                <w:highlight w:val="none"/>
              </w:rPr>
              <w:t>，</w:t>
            </w:r>
            <w:r>
              <w:rPr>
                <w:color w:val="auto"/>
                <w:highlight w:val="none"/>
              </w:rPr>
              <w:t>10x</w:t>
            </w:r>
            <w:r>
              <w:rPr>
                <w:rFonts w:hint="eastAsia"/>
                <w:color w:val="auto"/>
                <w:highlight w:val="none"/>
              </w:rPr>
              <w:t>，</w:t>
            </w:r>
            <w:r>
              <w:rPr>
                <w:color w:val="auto"/>
                <w:highlight w:val="none"/>
              </w:rPr>
              <w:t>20x</w:t>
            </w:r>
            <w:r>
              <w:rPr>
                <w:rFonts w:hint="eastAsia"/>
                <w:color w:val="auto"/>
                <w:highlight w:val="none"/>
              </w:rPr>
              <w:t>，</w:t>
            </w:r>
            <w:r>
              <w:rPr>
                <w:color w:val="auto"/>
                <w:highlight w:val="none"/>
              </w:rPr>
              <w:t>40x</w:t>
            </w:r>
            <w:r>
              <w:rPr>
                <w:rFonts w:hint="eastAsia"/>
                <w:color w:val="auto"/>
                <w:highlight w:val="none"/>
              </w:rPr>
              <w:t>，</w:t>
            </w:r>
            <w:r>
              <w:rPr>
                <w:color w:val="auto"/>
                <w:highlight w:val="none"/>
              </w:rPr>
              <w:t xml:space="preserve">100X </w:t>
            </w:r>
            <w:r>
              <w:rPr>
                <w:rFonts w:hint="eastAsia"/>
                <w:color w:val="auto"/>
                <w:highlight w:val="none"/>
              </w:rPr>
              <w:t>；</w:t>
            </w:r>
          </w:p>
          <w:p>
            <w:pPr>
              <w:spacing w:line="240" w:lineRule="auto"/>
              <w:ind w:firstLine="0" w:firstLineChars="0"/>
              <w:rPr>
                <w:color w:val="auto"/>
                <w:highlight w:val="none"/>
              </w:rPr>
            </w:pPr>
            <w:r>
              <w:rPr>
                <w:color w:val="auto"/>
                <w:highlight w:val="none"/>
              </w:rPr>
              <w:t>6</w:t>
            </w:r>
            <w:r>
              <w:rPr>
                <w:rFonts w:hint="eastAsia"/>
                <w:color w:val="auto"/>
                <w:highlight w:val="none"/>
              </w:rPr>
              <w:t>、目镜：</w:t>
            </w:r>
            <w:r>
              <w:rPr>
                <w:color w:val="auto"/>
                <w:highlight w:val="none"/>
              </w:rPr>
              <w:t>10x</w:t>
            </w:r>
            <w:r>
              <w:rPr>
                <w:rFonts w:hint="eastAsia"/>
                <w:color w:val="auto"/>
                <w:highlight w:val="none"/>
              </w:rPr>
              <w:t>，宽视野，屈光度可调；</w:t>
            </w:r>
          </w:p>
          <w:p>
            <w:pPr>
              <w:spacing w:line="240" w:lineRule="auto"/>
              <w:ind w:firstLine="0" w:firstLineChars="0"/>
              <w:rPr>
                <w:color w:val="auto"/>
                <w:highlight w:val="none"/>
              </w:rPr>
            </w:pPr>
            <w:r>
              <w:rPr>
                <w:color w:val="auto"/>
                <w:highlight w:val="none"/>
              </w:rPr>
              <w:t>7</w:t>
            </w:r>
            <w:r>
              <w:rPr>
                <w:rFonts w:hint="eastAsia"/>
                <w:color w:val="auto"/>
                <w:highlight w:val="none"/>
              </w:rPr>
              <w:t>、万用相差聚光镜；</w:t>
            </w:r>
          </w:p>
          <w:p>
            <w:pPr>
              <w:spacing w:line="240" w:lineRule="auto"/>
              <w:ind w:firstLine="0" w:firstLineChars="0"/>
              <w:rPr>
                <w:color w:val="auto"/>
                <w:highlight w:val="none"/>
              </w:rPr>
            </w:pPr>
            <w:r>
              <w:rPr>
                <w:color w:val="auto"/>
                <w:highlight w:val="none"/>
              </w:rPr>
              <w:t>8</w:t>
            </w:r>
            <w:r>
              <w:rPr>
                <w:rFonts w:hint="eastAsia"/>
                <w:color w:val="auto"/>
                <w:highlight w:val="none"/>
              </w:rPr>
              <w:t>、设有粗，中，细三档调焦系统；</w:t>
            </w:r>
          </w:p>
          <w:p>
            <w:pPr>
              <w:spacing w:line="240" w:lineRule="auto"/>
              <w:ind w:firstLine="0" w:firstLineChars="0"/>
              <w:rPr>
                <w:color w:val="auto"/>
                <w:highlight w:val="none"/>
              </w:rPr>
            </w:pPr>
            <w:r>
              <w:rPr>
                <w:color w:val="auto"/>
                <w:highlight w:val="none"/>
              </w:rPr>
              <w:t>9</w:t>
            </w:r>
            <w:r>
              <w:rPr>
                <w:rFonts w:hint="eastAsia"/>
                <w:color w:val="auto"/>
                <w:highlight w:val="none"/>
              </w:rPr>
              <w:t>、可左右互换以及高度可调的聚焦旋钮；</w:t>
            </w:r>
          </w:p>
          <w:p>
            <w:pPr>
              <w:spacing w:line="240" w:lineRule="auto"/>
              <w:ind w:firstLine="0" w:firstLineChars="0"/>
              <w:rPr>
                <w:color w:val="auto"/>
                <w:highlight w:val="none"/>
              </w:rPr>
            </w:pPr>
            <w:r>
              <w:rPr>
                <w:color w:val="auto"/>
                <w:highlight w:val="none"/>
              </w:rPr>
              <w:t>10</w:t>
            </w:r>
            <w:r>
              <w:rPr>
                <w:rFonts w:hint="eastAsia"/>
                <w:color w:val="auto"/>
                <w:highlight w:val="none"/>
              </w:rPr>
              <w:t>、</w:t>
            </w:r>
            <w:r>
              <w:rPr>
                <w:color w:val="auto"/>
                <w:highlight w:val="none"/>
              </w:rPr>
              <w:t>15</w:t>
            </w:r>
            <w:r>
              <w:rPr>
                <w:rFonts w:hint="eastAsia"/>
                <w:color w:val="auto"/>
                <w:highlight w:val="none"/>
              </w:rPr>
              <w:t>度角人体工程学设计目镜筒；</w:t>
            </w:r>
          </w:p>
          <w:p>
            <w:pPr>
              <w:spacing w:line="240" w:lineRule="auto"/>
              <w:ind w:firstLine="0" w:firstLineChars="0"/>
              <w:rPr>
                <w:color w:val="auto"/>
                <w:highlight w:val="none"/>
              </w:rPr>
            </w:pPr>
            <w:r>
              <w:rPr>
                <w:color w:val="auto"/>
                <w:highlight w:val="none"/>
              </w:rPr>
              <w:t>11</w:t>
            </w:r>
            <w:r>
              <w:rPr>
                <w:rFonts w:hint="eastAsia"/>
                <w:color w:val="auto"/>
                <w:highlight w:val="none"/>
              </w:rPr>
              <w:t>、无疲劳对称操作，载物台调节和调焦可快速互换；</w:t>
            </w:r>
          </w:p>
          <w:p>
            <w:pPr>
              <w:spacing w:line="240" w:lineRule="auto"/>
              <w:ind w:firstLine="0" w:firstLineChars="0"/>
              <w:rPr>
                <w:color w:val="auto"/>
                <w:highlight w:val="none"/>
              </w:rPr>
            </w:pPr>
            <w:r>
              <w:rPr>
                <w:color w:val="auto"/>
                <w:highlight w:val="none"/>
              </w:rPr>
              <w:t>12</w:t>
            </w:r>
            <w:r>
              <w:rPr>
                <w:rFonts w:hint="eastAsia"/>
                <w:color w:val="auto"/>
                <w:highlight w:val="none"/>
              </w:rPr>
              <w:t>、单手操作式样品夹，可同时进行聚焦和载物台控制；</w:t>
            </w:r>
          </w:p>
          <w:p>
            <w:pPr>
              <w:spacing w:line="240" w:lineRule="auto"/>
              <w:ind w:firstLine="0" w:firstLineChars="0"/>
              <w:rPr>
                <w:color w:val="auto"/>
                <w:highlight w:val="none"/>
              </w:rPr>
            </w:pPr>
            <w:r>
              <w:rPr>
                <w:color w:val="auto"/>
                <w:highlight w:val="none"/>
              </w:rPr>
              <w:t>13</w:t>
            </w:r>
            <w:r>
              <w:rPr>
                <w:rFonts w:hint="eastAsia"/>
                <w:color w:val="auto"/>
                <w:highlight w:val="none"/>
              </w:rPr>
              <w:t>、彩色标记孔径光栏。</w:t>
            </w:r>
          </w:p>
          <w:p>
            <w:pPr>
              <w:pStyle w:val="2"/>
              <w:rPr>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台</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2</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22"/>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kern w:val="0"/>
                <w:highlight w:val="none"/>
              </w:rPr>
            </w:pPr>
            <w:r>
              <w:rPr>
                <w:rFonts w:hint="eastAsia" w:ascii="宋体" w:hAnsi="宋体" w:cs="宋体"/>
                <w:color w:val="auto"/>
                <w:kern w:val="0"/>
                <w:highlight w:val="none"/>
              </w:rPr>
              <w:t>管外超声波破碎仪</w:t>
            </w:r>
          </w:p>
          <w:p>
            <w:pPr>
              <w:pStyle w:val="2"/>
              <w:rPr>
                <w:rFonts w:ascii="宋体" w:hAnsi="宋体" w:eastAsia="宋体" w:cs="宋体"/>
                <w:color w:val="auto"/>
                <w:highlight w:val="none"/>
              </w:rPr>
            </w:pPr>
          </w:p>
        </w:tc>
        <w:tc>
          <w:tcPr>
            <w:tcW w:w="5862" w:type="dxa"/>
            <w:shd w:val="clear" w:color="auto" w:fill="auto"/>
            <w:vAlign w:val="center"/>
          </w:tcPr>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1、净输出功率/频率：500W/20KHz；</w:t>
            </w:r>
          </w:p>
          <w:p>
            <w:pPr>
              <w:spacing w:line="240" w:lineRule="auto"/>
              <w:ind w:firstLine="0" w:firstLineChars="0"/>
              <w:rPr>
                <w:rFonts w:hAnsi="宋体"/>
                <w:color w:val="auto"/>
                <w:highlight w:val="none"/>
              </w:rPr>
            </w:pPr>
            <w:r>
              <w:rPr>
                <w:rFonts w:hint="eastAsia" w:hAnsi="宋体"/>
                <w:color w:val="auto"/>
                <w:highlight w:val="none"/>
              </w:rPr>
              <w:t>2、定时装置：1秒到10小时；</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3、脉冲激发装置1-59秒可调；</w:t>
            </w:r>
          </w:p>
          <w:p>
            <w:pPr>
              <w:spacing w:line="240" w:lineRule="auto"/>
              <w:ind w:firstLine="0" w:firstLineChars="0"/>
              <w:rPr>
                <w:rFonts w:hAnsi="宋体"/>
                <w:color w:val="auto"/>
                <w:highlight w:val="none"/>
              </w:rPr>
            </w:pPr>
            <w:r>
              <w:rPr>
                <w:rFonts w:hint="eastAsia" w:hAnsi="宋体"/>
                <w:color w:val="auto"/>
                <w:highlight w:val="none"/>
              </w:rPr>
              <w:t>4、变频器规格：直径63.5mm/长度183mm/重量900g/缆线长度1.8m；</w:t>
            </w:r>
          </w:p>
          <w:p>
            <w:pPr>
              <w:spacing w:line="240" w:lineRule="auto"/>
              <w:ind w:firstLine="0" w:firstLineChars="0"/>
              <w:rPr>
                <w:rFonts w:hAnsi="宋体"/>
                <w:color w:val="auto"/>
                <w:highlight w:val="none"/>
              </w:rPr>
            </w:pPr>
            <w:r>
              <w:rPr>
                <w:rFonts w:hint="eastAsia" w:hAnsi="宋体"/>
                <w:color w:val="auto"/>
                <w:highlight w:val="none"/>
              </w:rPr>
              <w:t>5、数字式显示功率，可变功率输出控制；</w:t>
            </w:r>
          </w:p>
          <w:p>
            <w:pPr>
              <w:spacing w:line="240" w:lineRule="auto"/>
              <w:ind w:firstLine="0" w:firstLineChars="0"/>
              <w:rPr>
                <w:rFonts w:hAnsi="宋体"/>
                <w:color w:val="auto"/>
                <w:highlight w:val="none"/>
              </w:rPr>
            </w:pPr>
            <w:r>
              <w:rPr>
                <w:rFonts w:hint="eastAsia" w:hAnsi="宋体"/>
                <w:color w:val="auto"/>
                <w:highlight w:val="none"/>
              </w:rPr>
              <w:t>6、配置要求：主机1台，Φ13mm探头1个，Φ2mm探头1个，隔音箱1台。</w:t>
            </w:r>
          </w:p>
          <w:p>
            <w:pPr>
              <w:pStyle w:val="2"/>
              <w:rPr>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台</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1</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22"/>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kern w:val="0"/>
                <w:highlight w:val="none"/>
              </w:rPr>
            </w:pPr>
            <w:r>
              <w:rPr>
                <w:rFonts w:hint="eastAsia" w:ascii="宋体" w:hAnsi="宋体" w:cs="宋体"/>
                <w:color w:val="auto"/>
                <w:kern w:val="0"/>
                <w:highlight w:val="none"/>
              </w:rPr>
              <w:t>流式细胞分析软件</w:t>
            </w:r>
          </w:p>
        </w:tc>
        <w:tc>
          <w:tcPr>
            <w:tcW w:w="5862" w:type="dxa"/>
            <w:shd w:val="clear" w:color="auto" w:fill="auto"/>
            <w:vAlign w:val="center"/>
          </w:tcPr>
          <w:p>
            <w:pPr>
              <w:spacing w:line="240" w:lineRule="auto"/>
              <w:ind w:firstLine="0" w:firstLineChars="0"/>
              <w:rPr>
                <w:color w:val="auto"/>
                <w:highlight w:val="none"/>
              </w:rPr>
            </w:pPr>
            <w:r>
              <w:rPr>
                <w:rFonts w:hint="eastAsia"/>
                <w:color w:val="auto"/>
                <w:highlight w:val="none"/>
              </w:rPr>
              <w:t>1、 用途：流式实验软件分析；</w:t>
            </w:r>
          </w:p>
          <w:p>
            <w:pPr>
              <w:spacing w:line="240" w:lineRule="auto"/>
              <w:ind w:firstLine="0" w:firstLineChars="0"/>
              <w:rPr>
                <w:rFonts w:hAnsi="宋体"/>
                <w:color w:val="auto"/>
                <w:highlight w:val="none"/>
              </w:rPr>
            </w:pPr>
            <w:r>
              <w:rPr>
                <w:rFonts w:hint="eastAsia"/>
                <w:color w:val="auto"/>
                <w:highlight w:val="none"/>
              </w:rPr>
              <w:t>2、 规格：可用于细胞周期分析、稀有细胞分析、多数据多参数数据分析、数据批量分析和导出。</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套</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1</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22"/>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kern w:val="0"/>
                <w:highlight w:val="none"/>
              </w:rPr>
            </w:pPr>
            <w:r>
              <w:rPr>
                <w:rFonts w:hint="eastAsia" w:ascii="宋体" w:hAnsi="宋体" w:cs="宋体"/>
                <w:color w:val="auto"/>
                <w:kern w:val="0"/>
                <w:highlight w:val="none"/>
              </w:rPr>
              <w:t>样品破碎仪</w:t>
            </w:r>
          </w:p>
        </w:tc>
        <w:tc>
          <w:tcPr>
            <w:tcW w:w="5862" w:type="dxa"/>
            <w:shd w:val="clear" w:color="auto" w:fill="auto"/>
            <w:vAlign w:val="center"/>
          </w:tcPr>
          <w:p>
            <w:pPr>
              <w:spacing w:line="240" w:lineRule="auto"/>
              <w:ind w:firstLine="0" w:firstLineChars="0"/>
              <w:rPr>
                <w:color w:val="auto"/>
                <w:highlight w:val="none"/>
              </w:rPr>
            </w:pPr>
            <w:r>
              <w:rPr>
                <w:rFonts w:hint="eastAsia"/>
                <w:color w:val="auto"/>
                <w:highlight w:val="none"/>
              </w:rPr>
              <w:t>1、</w:t>
            </w:r>
            <w:r>
              <w:rPr>
                <w:color w:val="auto"/>
                <w:highlight w:val="none"/>
              </w:rPr>
              <w:t>用途：</w:t>
            </w:r>
            <w:r>
              <w:rPr>
                <w:rFonts w:hint="eastAsia"/>
                <w:color w:val="auto"/>
                <w:highlight w:val="none"/>
              </w:rPr>
              <w:t>可用于</w:t>
            </w:r>
            <w:r>
              <w:rPr>
                <w:color w:val="auto"/>
                <w:highlight w:val="none"/>
              </w:rPr>
              <w:t>人类和动物组织</w:t>
            </w:r>
            <w:r>
              <w:rPr>
                <w:rFonts w:hint="eastAsia"/>
                <w:color w:val="auto"/>
                <w:highlight w:val="none"/>
              </w:rPr>
              <w:t>、</w:t>
            </w:r>
            <w:r>
              <w:rPr>
                <w:color w:val="auto"/>
                <w:highlight w:val="none"/>
              </w:rPr>
              <w:t>细胞</w:t>
            </w:r>
            <w:r>
              <w:rPr>
                <w:rFonts w:hint="eastAsia"/>
                <w:color w:val="auto"/>
                <w:highlight w:val="none"/>
              </w:rPr>
              <w:t>的</w:t>
            </w:r>
            <w:r>
              <w:rPr>
                <w:color w:val="auto"/>
                <w:highlight w:val="none"/>
              </w:rPr>
              <w:t>全自动破碎</w:t>
            </w:r>
            <w:r>
              <w:rPr>
                <w:rFonts w:hint="eastAsia"/>
                <w:color w:val="auto"/>
                <w:highlight w:val="none"/>
              </w:rPr>
              <w:t>；</w:t>
            </w:r>
            <w:r>
              <w:rPr>
                <w:color w:val="auto"/>
                <w:highlight w:val="none"/>
              </w:rPr>
              <w:t>各种植物样品的全自动破碎</w:t>
            </w:r>
            <w:r>
              <w:rPr>
                <w:rFonts w:hint="eastAsia"/>
                <w:color w:val="auto"/>
                <w:highlight w:val="none"/>
              </w:rPr>
              <w:t>；</w:t>
            </w:r>
            <w:r>
              <w:rPr>
                <w:color w:val="auto"/>
                <w:highlight w:val="none"/>
              </w:rPr>
              <w:t>细菌、酵母及单细胞动物等样品的全自动破碎</w:t>
            </w:r>
            <w:r>
              <w:rPr>
                <w:rFonts w:hint="eastAsia"/>
                <w:color w:val="auto"/>
                <w:highlight w:val="none"/>
              </w:rPr>
              <w:t>；</w:t>
            </w:r>
          </w:p>
          <w:p>
            <w:pPr>
              <w:spacing w:line="240" w:lineRule="auto"/>
              <w:ind w:firstLine="0" w:firstLineChars="0"/>
              <w:rPr>
                <w:color w:val="auto"/>
                <w:highlight w:val="none"/>
              </w:rPr>
            </w:pPr>
            <w:r>
              <w:rPr>
                <w:rFonts w:hint="eastAsia"/>
                <w:color w:val="auto"/>
                <w:highlight w:val="none"/>
              </w:rPr>
              <w:t>2、</w:t>
            </w:r>
            <w:r>
              <w:rPr>
                <w:color w:val="auto"/>
                <w:highlight w:val="none"/>
              </w:rPr>
              <w:t>通量：12个样品/轮</w:t>
            </w:r>
            <w:r>
              <w:rPr>
                <w:rFonts w:hint="eastAsia"/>
                <w:color w:val="auto"/>
                <w:highlight w:val="none"/>
              </w:rPr>
              <w:t>；</w:t>
            </w:r>
          </w:p>
          <w:p>
            <w:pPr>
              <w:spacing w:line="240" w:lineRule="auto"/>
              <w:ind w:firstLine="0" w:firstLineChars="0"/>
              <w:jc w:val="left"/>
              <w:rPr>
                <w:color w:val="auto"/>
                <w:highlight w:val="none"/>
              </w:rPr>
            </w:pPr>
            <w:r>
              <w:rPr>
                <w:rFonts w:hint="eastAsia"/>
                <w:color w:val="auto"/>
                <w:highlight w:val="none"/>
              </w:rPr>
              <w:t>3、</w:t>
            </w:r>
            <w:r>
              <w:rPr>
                <w:color w:val="auto"/>
                <w:highlight w:val="none"/>
              </w:rPr>
              <w:t xml:space="preserve">频率：15–50 Hz (900–3000次震动/分钟)，以 1 Hz递进 </w:t>
            </w:r>
            <w:r>
              <w:rPr>
                <w:rFonts w:hint="eastAsia"/>
                <w:color w:val="auto"/>
                <w:highlight w:val="none"/>
              </w:rPr>
              <w:t>；</w:t>
            </w:r>
          </w:p>
          <w:p>
            <w:pPr>
              <w:spacing w:line="240" w:lineRule="auto"/>
              <w:ind w:firstLine="0" w:firstLineChars="0"/>
              <w:rPr>
                <w:color w:val="auto"/>
                <w:highlight w:val="none"/>
              </w:rPr>
            </w:pPr>
            <w:r>
              <w:rPr>
                <w:color w:val="auto"/>
                <w:highlight w:val="none"/>
              </w:rPr>
              <w:t>▲</w:t>
            </w:r>
            <w:r>
              <w:rPr>
                <w:rFonts w:hint="eastAsia"/>
                <w:color w:val="auto"/>
                <w:highlight w:val="none"/>
              </w:rPr>
              <w:t>4、</w:t>
            </w:r>
            <w:r>
              <w:rPr>
                <w:color w:val="auto"/>
                <w:highlight w:val="none"/>
              </w:rPr>
              <w:t>震荡时间：</w:t>
            </w:r>
            <w:r>
              <w:rPr>
                <w:rFonts w:hint="eastAsia"/>
                <w:color w:val="auto"/>
                <w:highlight w:val="none"/>
              </w:rPr>
              <w:t>≥</w:t>
            </w:r>
            <w:r>
              <w:rPr>
                <w:color w:val="auto"/>
                <w:highlight w:val="none"/>
              </w:rPr>
              <w:t>119min</w:t>
            </w:r>
            <w:r>
              <w:rPr>
                <w:rFonts w:hint="eastAsia"/>
                <w:color w:val="auto"/>
                <w:highlight w:val="none"/>
              </w:rPr>
              <w:t>；</w:t>
            </w:r>
          </w:p>
          <w:p>
            <w:pPr>
              <w:spacing w:line="240" w:lineRule="auto"/>
              <w:ind w:firstLine="0" w:firstLineChars="0"/>
              <w:rPr>
                <w:color w:val="auto"/>
                <w:highlight w:val="none"/>
              </w:rPr>
            </w:pPr>
            <w:r>
              <w:rPr>
                <w:rFonts w:hint="eastAsia"/>
                <w:color w:val="auto"/>
                <w:highlight w:val="none"/>
              </w:rPr>
              <w:t>5、</w:t>
            </w:r>
            <w:r>
              <w:rPr>
                <w:color w:val="auto"/>
                <w:highlight w:val="none"/>
              </w:rPr>
              <w:t>噪音指数≤85 dB(A)</w:t>
            </w:r>
            <w:r>
              <w:rPr>
                <w:rFonts w:hint="eastAsia"/>
                <w:color w:val="auto"/>
                <w:highlight w:val="none"/>
              </w:rPr>
              <w:t>；</w:t>
            </w:r>
          </w:p>
          <w:p>
            <w:pPr>
              <w:spacing w:line="240" w:lineRule="auto"/>
              <w:ind w:firstLine="0" w:firstLineChars="0"/>
              <w:rPr>
                <w:color w:val="auto"/>
                <w:highlight w:val="none"/>
              </w:rPr>
            </w:pPr>
            <w:r>
              <w:rPr>
                <w:color w:val="auto"/>
                <w:highlight w:val="none"/>
              </w:rPr>
              <w:t>▲</w:t>
            </w:r>
            <w:r>
              <w:rPr>
                <w:rFonts w:hint="eastAsia"/>
                <w:color w:val="auto"/>
                <w:highlight w:val="none"/>
              </w:rPr>
              <w:t>6、</w:t>
            </w:r>
            <w:r>
              <w:rPr>
                <w:color w:val="auto"/>
                <w:highlight w:val="none"/>
              </w:rPr>
              <w:t>提供1×12的适配器（可放入-80℃预冷）</w:t>
            </w:r>
            <w:r>
              <w:rPr>
                <w:rFonts w:hint="eastAsia"/>
                <w:color w:val="auto"/>
                <w:highlight w:val="none"/>
              </w:rPr>
              <w:t>；</w:t>
            </w:r>
          </w:p>
          <w:p>
            <w:pPr>
              <w:spacing w:line="240" w:lineRule="auto"/>
              <w:ind w:firstLine="0" w:firstLineChars="0"/>
              <w:rPr>
                <w:color w:val="auto"/>
                <w:highlight w:val="none"/>
              </w:rPr>
            </w:pPr>
            <w:r>
              <w:rPr>
                <w:rFonts w:hint="eastAsia"/>
                <w:color w:val="auto"/>
                <w:highlight w:val="none"/>
              </w:rPr>
              <w:t>7、</w:t>
            </w:r>
            <w:r>
              <w:rPr>
                <w:color w:val="auto"/>
                <w:highlight w:val="none"/>
              </w:rPr>
              <w:t>可配置3mm, 5mm或7mm的研磨珠，所有配件均为进口产品</w:t>
            </w:r>
            <w:r>
              <w:rPr>
                <w:rFonts w:hint="eastAsia"/>
                <w:color w:val="auto"/>
                <w:highlight w:val="none"/>
              </w:rPr>
              <w:t>；</w:t>
            </w:r>
          </w:p>
          <w:p>
            <w:pPr>
              <w:spacing w:line="240" w:lineRule="auto"/>
              <w:ind w:firstLine="0" w:firstLineChars="0"/>
              <w:rPr>
                <w:color w:val="auto"/>
                <w:highlight w:val="none"/>
              </w:rPr>
            </w:pPr>
            <w:r>
              <w:rPr>
                <w:rFonts w:hint="eastAsia"/>
                <w:color w:val="auto"/>
                <w:highlight w:val="none"/>
              </w:rPr>
              <w:t>8、</w:t>
            </w:r>
            <w:r>
              <w:rPr>
                <w:color w:val="auto"/>
                <w:highlight w:val="none"/>
              </w:rPr>
              <w:t>可提供Bead Dispenser分配研磨珠</w:t>
            </w:r>
            <w:r>
              <w:rPr>
                <w:rFonts w:hint="eastAsia"/>
                <w:color w:val="auto"/>
                <w:highlight w:val="none"/>
              </w:rPr>
              <w:t>；</w:t>
            </w:r>
          </w:p>
          <w:p>
            <w:pPr>
              <w:spacing w:line="240" w:lineRule="auto"/>
              <w:ind w:firstLine="0" w:firstLineChars="0"/>
              <w:rPr>
                <w:color w:val="auto"/>
                <w:highlight w:val="none"/>
              </w:rPr>
            </w:pPr>
            <w:r>
              <w:rPr>
                <w:rFonts w:hint="eastAsia"/>
                <w:color w:val="auto"/>
                <w:highlight w:val="none"/>
              </w:rPr>
              <w:t>9、</w:t>
            </w:r>
            <w:r>
              <w:rPr>
                <w:color w:val="auto"/>
                <w:highlight w:val="none"/>
              </w:rPr>
              <w:t>提供处理动物组织，植物组织，细菌，酵母的标准操作流程</w:t>
            </w:r>
            <w:r>
              <w:rPr>
                <w:rFonts w:hint="eastAsia"/>
                <w:color w:val="auto"/>
                <w:highlight w:val="none"/>
              </w:rPr>
              <w:t>；</w:t>
            </w:r>
          </w:p>
          <w:p>
            <w:pPr>
              <w:spacing w:line="240" w:lineRule="auto"/>
              <w:ind w:firstLine="0" w:firstLineChars="0"/>
              <w:rPr>
                <w:color w:val="auto"/>
                <w:highlight w:val="none"/>
              </w:rPr>
            </w:pPr>
            <w:r>
              <w:rPr>
                <w:rFonts w:hint="eastAsia"/>
                <w:color w:val="auto"/>
                <w:highlight w:val="none"/>
              </w:rPr>
              <w:t>10、可</w:t>
            </w:r>
            <w:r>
              <w:rPr>
                <w:color w:val="auto"/>
                <w:highlight w:val="none"/>
              </w:rPr>
              <w:t>提供原厂优化试剂盒进行样品前处理</w:t>
            </w:r>
            <w:r>
              <w:rPr>
                <w:rFonts w:hint="eastAsia"/>
                <w:color w:val="auto"/>
                <w:highlight w:val="none"/>
              </w:rPr>
              <w:t>；</w:t>
            </w:r>
          </w:p>
          <w:p>
            <w:pPr>
              <w:spacing w:line="240" w:lineRule="auto"/>
              <w:ind w:firstLine="0" w:firstLineChars="0"/>
              <w:rPr>
                <w:color w:val="auto"/>
                <w:highlight w:val="none"/>
              </w:rPr>
            </w:pPr>
            <w:r>
              <w:rPr>
                <w:rFonts w:hint="eastAsia"/>
                <w:color w:val="auto"/>
                <w:highlight w:val="none"/>
              </w:rPr>
              <w:t>11、</w:t>
            </w:r>
            <w:r>
              <w:rPr>
                <w:color w:val="auto"/>
                <w:highlight w:val="none"/>
              </w:rPr>
              <w:t>配置</w:t>
            </w:r>
            <w:r>
              <w:rPr>
                <w:rFonts w:hint="eastAsia"/>
                <w:color w:val="auto"/>
                <w:highlight w:val="none"/>
              </w:rPr>
              <w:t>要求</w:t>
            </w:r>
            <w:r>
              <w:rPr>
                <w:color w:val="auto"/>
                <w:highlight w:val="none"/>
              </w:rPr>
              <w:t>：主机</w:t>
            </w:r>
            <w:r>
              <w:rPr>
                <w:rFonts w:hint="eastAsia"/>
                <w:color w:val="auto"/>
                <w:highlight w:val="none"/>
              </w:rPr>
              <w:t>1</w:t>
            </w:r>
            <w:r>
              <w:rPr>
                <w:color w:val="auto"/>
                <w:highlight w:val="none"/>
              </w:rPr>
              <w:t>台</w:t>
            </w:r>
            <w:r>
              <w:rPr>
                <w:rFonts w:hint="eastAsia"/>
                <w:color w:val="auto"/>
                <w:highlight w:val="none"/>
              </w:rPr>
              <w:t>；</w:t>
            </w:r>
            <w:r>
              <w:rPr>
                <w:color w:val="auto"/>
                <w:highlight w:val="none"/>
              </w:rPr>
              <w:t xml:space="preserve"> Adapter Set 1×12适配器</w:t>
            </w:r>
            <w:r>
              <w:rPr>
                <w:rFonts w:hint="eastAsia"/>
                <w:color w:val="auto"/>
                <w:highlight w:val="none"/>
              </w:rPr>
              <w:t>1套；5mm的研磨珠200颗。</w:t>
            </w:r>
          </w:p>
          <w:p>
            <w:pPr>
              <w:pStyle w:val="2"/>
              <w:rPr>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台</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1</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22"/>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b/>
                <w:bCs/>
                <w:color w:val="auto"/>
                <w:kern w:val="0"/>
                <w:highlight w:val="none"/>
              </w:rPr>
            </w:pPr>
            <w:r>
              <w:rPr>
                <w:rFonts w:hint="eastAsia" w:ascii="宋体" w:hAnsi="宋体" w:cs="宋体"/>
                <w:color w:val="auto"/>
                <w:kern w:val="0"/>
                <w:highlight w:val="none"/>
              </w:rPr>
              <w:t>离心机（细胞房）</w:t>
            </w:r>
          </w:p>
        </w:tc>
        <w:tc>
          <w:tcPr>
            <w:tcW w:w="5862" w:type="dxa"/>
            <w:shd w:val="clear" w:color="auto" w:fill="auto"/>
            <w:vAlign w:val="center"/>
          </w:tcPr>
          <w:p>
            <w:pPr>
              <w:spacing w:line="240" w:lineRule="auto"/>
              <w:ind w:firstLine="0" w:firstLineChars="0"/>
              <w:jc w:val="left"/>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1、最大相对离心力（</w:t>
            </w:r>
            <w:r>
              <w:rPr>
                <w:rFonts w:hAnsi="宋体"/>
                <w:color w:val="auto"/>
                <w:highlight w:val="none"/>
              </w:rPr>
              <w:t>rcf</w:t>
            </w:r>
            <w:r>
              <w:rPr>
                <w:rFonts w:hint="eastAsia" w:hAnsi="宋体"/>
                <w:color w:val="auto"/>
                <w:highlight w:val="none"/>
              </w:rPr>
              <w:t>）：</w:t>
            </w:r>
            <w:r>
              <w:rPr>
                <w:rFonts w:hAnsi="宋体"/>
                <w:color w:val="auto"/>
                <w:highlight w:val="none"/>
              </w:rPr>
              <w:t xml:space="preserve"> 1.5 ml</w:t>
            </w:r>
            <w:r>
              <w:rPr>
                <w:rFonts w:hint="eastAsia" w:hAnsi="宋体"/>
                <w:color w:val="auto"/>
                <w:highlight w:val="none"/>
              </w:rPr>
              <w:t>固定角转：</w:t>
            </w:r>
            <w:r>
              <w:rPr>
                <w:rFonts w:hAnsi="宋体"/>
                <w:color w:val="auto"/>
                <w:highlight w:val="none"/>
              </w:rPr>
              <w:t>20800</w:t>
            </w:r>
            <w:r>
              <w:rPr>
                <w:rFonts w:hint="eastAsia" w:hAnsi="宋体"/>
                <w:color w:val="auto"/>
                <w:highlight w:val="none"/>
              </w:rPr>
              <w:t>×</w:t>
            </w:r>
            <w:r>
              <w:rPr>
                <w:rFonts w:hAnsi="宋体"/>
                <w:color w:val="auto"/>
                <w:highlight w:val="none"/>
              </w:rPr>
              <w:t>g</w:t>
            </w:r>
            <w:r>
              <w:rPr>
                <w:rFonts w:hint="eastAsia" w:hAnsi="宋体"/>
                <w:color w:val="auto"/>
                <w:highlight w:val="none"/>
              </w:rPr>
              <w:t>（</w:t>
            </w:r>
            <w:r>
              <w:rPr>
                <w:rFonts w:hAnsi="宋体"/>
                <w:color w:val="auto"/>
                <w:highlight w:val="none"/>
              </w:rPr>
              <w:t>14000rpm</w:t>
            </w:r>
            <w:r>
              <w:rPr>
                <w:rFonts w:hint="eastAsia" w:hAnsi="宋体"/>
                <w:color w:val="auto"/>
                <w:highlight w:val="none"/>
              </w:rPr>
              <w:t>），</w:t>
            </w:r>
            <w:r>
              <w:rPr>
                <w:rFonts w:hAnsi="宋体"/>
                <w:color w:val="auto"/>
                <w:highlight w:val="none"/>
              </w:rPr>
              <w:t xml:space="preserve">                                         5 ml</w:t>
            </w:r>
            <w:r>
              <w:rPr>
                <w:rFonts w:hint="eastAsia" w:hAnsi="宋体"/>
                <w:color w:val="auto"/>
                <w:highlight w:val="none"/>
              </w:rPr>
              <w:t>固定角转：</w:t>
            </w:r>
            <w:r>
              <w:rPr>
                <w:rFonts w:hAnsi="宋体"/>
                <w:color w:val="auto"/>
                <w:highlight w:val="none"/>
              </w:rPr>
              <w:t>20913</w:t>
            </w:r>
            <w:r>
              <w:rPr>
                <w:rFonts w:hint="eastAsia" w:hAnsi="宋体"/>
                <w:color w:val="auto"/>
                <w:highlight w:val="none"/>
              </w:rPr>
              <w:t>×</w:t>
            </w:r>
            <w:r>
              <w:rPr>
                <w:rFonts w:hAnsi="宋体"/>
                <w:color w:val="auto"/>
                <w:highlight w:val="none"/>
              </w:rPr>
              <w:t>g</w:t>
            </w:r>
            <w:r>
              <w:rPr>
                <w:rFonts w:hint="eastAsia" w:hAnsi="宋体"/>
                <w:color w:val="auto"/>
                <w:highlight w:val="none"/>
              </w:rPr>
              <w:t>（</w:t>
            </w:r>
            <w:r>
              <w:rPr>
                <w:rFonts w:hAnsi="宋体"/>
                <w:color w:val="auto"/>
                <w:highlight w:val="none"/>
              </w:rPr>
              <w:t>14000 rpm</w:t>
            </w:r>
            <w:r>
              <w:rPr>
                <w:rFonts w:hint="eastAsia" w:hAnsi="宋体"/>
                <w:color w:val="auto"/>
                <w:highlight w:val="none"/>
              </w:rPr>
              <w:t>）；</w:t>
            </w:r>
            <w:r>
              <w:rPr>
                <w:rFonts w:hAnsi="宋体"/>
                <w:color w:val="auto"/>
                <w:highlight w:val="none"/>
              </w:rPr>
              <w:t xml:space="preserve">50 ml </w:t>
            </w:r>
            <w:r>
              <w:rPr>
                <w:rFonts w:hint="eastAsia" w:hAnsi="宋体"/>
                <w:color w:val="auto"/>
                <w:highlight w:val="none"/>
              </w:rPr>
              <w:t>固定角转：</w:t>
            </w:r>
            <w:r>
              <w:rPr>
                <w:rFonts w:hAnsi="宋体"/>
                <w:color w:val="auto"/>
                <w:highlight w:val="none"/>
              </w:rPr>
              <w:t>16,639 x g (11,000 rpm)</w:t>
            </w:r>
            <w:r>
              <w:rPr>
                <w:rFonts w:hint="eastAsia" w:hAnsi="宋体"/>
                <w:color w:val="auto"/>
                <w:highlight w:val="none"/>
              </w:rPr>
              <w:t>；水平转子：</w:t>
            </w:r>
            <w:r>
              <w:rPr>
                <w:rFonts w:hAnsi="宋体"/>
                <w:color w:val="auto"/>
                <w:highlight w:val="none"/>
              </w:rPr>
              <w:t xml:space="preserve">4,500 </w:t>
            </w:r>
            <w:r>
              <w:rPr>
                <w:rFonts w:hint="eastAsia" w:hAnsi="宋体"/>
                <w:color w:val="auto"/>
                <w:highlight w:val="none"/>
              </w:rPr>
              <w:t>×</w:t>
            </w:r>
            <w:r>
              <w:rPr>
                <w:rFonts w:hAnsi="宋体"/>
                <w:color w:val="auto"/>
                <w:highlight w:val="none"/>
              </w:rPr>
              <w:t xml:space="preserve"> g</w:t>
            </w:r>
            <w:r>
              <w:rPr>
                <w:rFonts w:hint="eastAsia" w:hAnsi="宋体"/>
                <w:color w:val="auto"/>
                <w:highlight w:val="none"/>
              </w:rPr>
              <w:t>（</w:t>
            </w:r>
            <w:r>
              <w:rPr>
                <w:rFonts w:hAnsi="宋体"/>
                <w:color w:val="auto"/>
                <w:highlight w:val="none"/>
              </w:rPr>
              <w:t>5,000 rpm</w:t>
            </w:r>
            <w:r>
              <w:rPr>
                <w:rFonts w:hint="eastAsia" w:hAnsi="宋体"/>
                <w:color w:val="auto"/>
                <w:highlight w:val="none"/>
              </w:rPr>
              <w:t>）；工作板转子：</w:t>
            </w:r>
            <w:r>
              <w:rPr>
                <w:rFonts w:hAnsi="宋体"/>
                <w:color w:val="auto"/>
                <w:highlight w:val="none"/>
              </w:rPr>
              <w:t xml:space="preserve">2,250 </w:t>
            </w:r>
            <w:r>
              <w:rPr>
                <w:rFonts w:hint="eastAsia" w:hAnsi="宋体"/>
                <w:color w:val="auto"/>
                <w:highlight w:val="none"/>
              </w:rPr>
              <w:t>×</w:t>
            </w:r>
            <w:r>
              <w:rPr>
                <w:rFonts w:hAnsi="宋体"/>
                <w:color w:val="auto"/>
                <w:highlight w:val="none"/>
              </w:rPr>
              <w:t xml:space="preserve"> g</w:t>
            </w:r>
            <w:r>
              <w:rPr>
                <w:rFonts w:hint="eastAsia" w:hAnsi="宋体"/>
                <w:color w:val="auto"/>
                <w:highlight w:val="none"/>
              </w:rPr>
              <w:t>（</w:t>
            </w:r>
            <w:r>
              <w:rPr>
                <w:rFonts w:hAnsi="宋体"/>
                <w:color w:val="auto"/>
                <w:highlight w:val="none"/>
              </w:rPr>
              <w:t>3,700 rpm</w:t>
            </w:r>
            <w:r>
              <w:rPr>
                <w:rFonts w:hint="eastAsia" w:hAnsi="宋体"/>
                <w:color w:val="auto"/>
                <w:highlight w:val="none"/>
              </w:rPr>
              <w:t>）；</w:t>
            </w:r>
          </w:p>
          <w:p>
            <w:pPr>
              <w:spacing w:line="240" w:lineRule="auto"/>
              <w:ind w:firstLine="0" w:firstLineChars="0"/>
              <w:jc w:val="left"/>
              <w:rPr>
                <w:rFonts w:hAnsi="宋体"/>
                <w:color w:val="auto"/>
                <w:highlight w:val="none"/>
              </w:rPr>
            </w:pPr>
            <w:r>
              <w:rPr>
                <w:rFonts w:hint="eastAsia" w:hAnsi="宋体"/>
                <w:color w:val="auto"/>
                <w:highlight w:val="none"/>
              </w:rPr>
              <w:t>2、转速</w:t>
            </w:r>
            <w:r>
              <w:rPr>
                <w:rFonts w:hAnsi="宋体"/>
                <w:color w:val="auto"/>
                <w:highlight w:val="none"/>
              </w:rPr>
              <w:t>/</w:t>
            </w:r>
            <w:r>
              <w:rPr>
                <w:rFonts w:hint="eastAsia" w:hAnsi="宋体"/>
                <w:color w:val="auto"/>
                <w:highlight w:val="none"/>
              </w:rPr>
              <w:t>离心力：</w:t>
            </w:r>
            <w:r>
              <w:rPr>
                <w:rFonts w:hAnsi="宋体"/>
                <w:color w:val="auto"/>
                <w:highlight w:val="none"/>
              </w:rPr>
              <w:t>200</w:t>
            </w:r>
            <w:r>
              <w:rPr>
                <w:rFonts w:hint="eastAsia" w:hAnsi="宋体"/>
                <w:color w:val="auto"/>
                <w:highlight w:val="none"/>
              </w:rPr>
              <w:t>-</w:t>
            </w:r>
            <w:r>
              <w:rPr>
                <w:rFonts w:hAnsi="宋体"/>
                <w:color w:val="auto"/>
                <w:highlight w:val="none"/>
              </w:rPr>
              <w:t>5000 rpm</w:t>
            </w:r>
            <w:r>
              <w:rPr>
                <w:rFonts w:hint="eastAsia" w:hAnsi="宋体"/>
                <w:color w:val="auto"/>
                <w:highlight w:val="none"/>
              </w:rPr>
              <w:t>，</w:t>
            </w:r>
            <w:r>
              <w:rPr>
                <w:rFonts w:hAnsi="宋体"/>
                <w:color w:val="auto"/>
                <w:highlight w:val="none"/>
              </w:rPr>
              <w:t>10 rpm</w:t>
            </w:r>
            <w:r>
              <w:rPr>
                <w:rFonts w:hint="eastAsia" w:hAnsi="宋体"/>
                <w:color w:val="auto"/>
                <w:highlight w:val="none"/>
              </w:rPr>
              <w:t>递增，</w:t>
            </w:r>
            <w:r>
              <w:rPr>
                <w:rFonts w:hAnsi="宋体"/>
                <w:color w:val="auto"/>
                <w:highlight w:val="none"/>
              </w:rPr>
              <w:t>5000-14000 rpm</w:t>
            </w:r>
            <w:r>
              <w:rPr>
                <w:rFonts w:hint="eastAsia" w:hAnsi="宋体"/>
                <w:color w:val="auto"/>
                <w:highlight w:val="none"/>
              </w:rPr>
              <w:t>，</w:t>
            </w:r>
            <w:r>
              <w:rPr>
                <w:rFonts w:hAnsi="宋体"/>
                <w:color w:val="auto"/>
                <w:highlight w:val="none"/>
              </w:rPr>
              <w:t>100 rpm</w:t>
            </w:r>
            <w:r>
              <w:rPr>
                <w:rFonts w:hint="eastAsia" w:hAnsi="宋体"/>
                <w:color w:val="auto"/>
                <w:highlight w:val="none"/>
              </w:rPr>
              <w:t>递增；</w:t>
            </w:r>
            <w:r>
              <w:rPr>
                <w:rFonts w:hAnsi="宋体"/>
                <w:color w:val="auto"/>
                <w:highlight w:val="none"/>
              </w:rPr>
              <w:t>10</w:t>
            </w:r>
            <w:r>
              <w:rPr>
                <w:rFonts w:hint="eastAsia" w:hAnsi="宋体"/>
                <w:color w:val="auto"/>
                <w:highlight w:val="none"/>
              </w:rPr>
              <w:t>-</w:t>
            </w:r>
            <w:r>
              <w:rPr>
                <w:rFonts w:hAnsi="宋体"/>
                <w:color w:val="auto"/>
                <w:highlight w:val="none"/>
              </w:rPr>
              <w:t xml:space="preserve">3000 x g, 10 x g </w:t>
            </w:r>
            <w:r>
              <w:rPr>
                <w:rFonts w:hint="eastAsia" w:hAnsi="宋体"/>
                <w:color w:val="auto"/>
                <w:highlight w:val="none"/>
              </w:rPr>
              <w:t>递增；</w:t>
            </w:r>
            <w:r>
              <w:rPr>
                <w:rFonts w:hAnsi="宋体"/>
                <w:color w:val="auto"/>
                <w:highlight w:val="none"/>
              </w:rPr>
              <w:t>3000 - 20913 x g</w:t>
            </w:r>
            <w:r>
              <w:rPr>
                <w:rFonts w:hint="eastAsia" w:hAnsi="宋体"/>
                <w:color w:val="auto"/>
                <w:highlight w:val="none"/>
              </w:rPr>
              <w:t>，</w:t>
            </w:r>
            <w:r>
              <w:rPr>
                <w:rFonts w:hAnsi="宋体"/>
                <w:color w:val="auto"/>
                <w:highlight w:val="none"/>
              </w:rPr>
              <w:t>100 x g</w:t>
            </w:r>
            <w:r>
              <w:rPr>
                <w:rFonts w:hint="eastAsia" w:hAnsi="宋体"/>
                <w:color w:val="auto"/>
                <w:highlight w:val="none"/>
              </w:rPr>
              <w:t>递增；</w:t>
            </w:r>
          </w:p>
          <w:p>
            <w:pPr>
              <w:spacing w:line="240" w:lineRule="auto"/>
              <w:ind w:firstLine="0" w:firstLineChars="0"/>
              <w:jc w:val="left"/>
              <w:rPr>
                <w:rFonts w:hAnsi="宋体"/>
                <w:color w:val="auto"/>
                <w:highlight w:val="none"/>
              </w:rPr>
            </w:pPr>
            <w:r>
              <w:rPr>
                <w:rFonts w:hint="eastAsia" w:hAnsi="宋体"/>
                <w:color w:val="auto"/>
                <w:highlight w:val="none"/>
              </w:rPr>
              <w:t>3、离心时间：</w:t>
            </w:r>
            <w:r>
              <w:rPr>
                <w:rFonts w:hAnsi="宋体"/>
                <w:color w:val="auto"/>
                <w:highlight w:val="none"/>
              </w:rPr>
              <w:t xml:space="preserve">1 min </w:t>
            </w:r>
            <w:r>
              <w:rPr>
                <w:rFonts w:hint="eastAsia" w:hAnsi="宋体"/>
                <w:color w:val="auto"/>
                <w:highlight w:val="none"/>
              </w:rPr>
              <w:t>‐</w:t>
            </w:r>
            <w:r>
              <w:rPr>
                <w:rFonts w:hAnsi="宋体"/>
                <w:color w:val="auto"/>
                <w:highlight w:val="none"/>
              </w:rPr>
              <w:t xml:space="preserve"> 99 min</w:t>
            </w:r>
            <w:r>
              <w:rPr>
                <w:rFonts w:hint="eastAsia" w:hAnsi="宋体"/>
                <w:color w:val="auto"/>
                <w:highlight w:val="none"/>
              </w:rPr>
              <w:t>，</w:t>
            </w:r>
            <w:r>
              <w:rPr>
                <w:rFonts w:hAnsi="宋体"/>
                <w:color w:val="auto"/>
                <w:highlight w:val="none"/>
              </w:rPr>
              <w:t xml:space="preserve">1 min </w:t>
            </w:r>
            <w:r>
              <w:rPr>
                <w:rFonts w:hint="eastAsia" w:hAnsi="宋体"/>
                <w:color w:val="auto"/>
                <w:highlight w:val="none"/>
              </w:rPr>
              <w:t>递增；</w:t>
            </w:r>
          </w:p>
          <w:p>
            <w:pPr>
              <w:spacing w:line="240" w:lineRule="auto"/>
              <w:ind w:firstLine="0" w:firstLineChars="0"/>
              <w:jc w:val="left"/>
              <w:rPr>
                <w:rFonts w:hAnsi="宋体"/>
                <w:color w:val="auto"/>
                <w:highlight w:val="none"/>
              </w:rPr>
            </w:pPr>
            <w:r>
              <w:rPr>
                <w:rFonts w:hint="eastAsia" w:hAnsi="宋体"/>
                <w:color w:val="auto"/>
                <w:highlight w:val="none"/>
              </w:rPr>
              <w:t>4、最大转子容量：</w:t>
            </w:r>
            <w:r>
              <w:rPr>
                <w:rFonts w:hAnsi="宋体"/>
                <w:color w:val="auto"/>
                <w:highlight w:val="none"/>
              </w:rPr>
              <w:t xml:space="preserve"> 4 </w:t>
            </w:r>
            <w:r>
              <w:rPr>
                <w:rFonts w:hint="eastAsia" w:hAnsi="宋体"/>
                <w:color w:val="auto"/>
                <w:highlight w:val="none"/>
              </w:rPr>
              <w:t>×</w:t>
            </w:r>
            <w:r>
              <w:rPr>
                <w:rFonts w:hAnsi="宋体"/>
                <w:color w:val="auto"/>
                <w:highlight w:val="none"/>
              </w:rPr>
              <w:t xml:space="preserve"> 250 mL </w:t>
            </w:r>
            <w:r>
              <w:rPr>
                <w:rFonts w:hint="eastAsia" w:hAnsi="宋体"/>
                <w:color w:val="auto"/>
                <w:highlight w:val="none"/>
              </w:rPr>
              <w:t>离心管；</w:t>
            </w:r>
          </w:p>
          <w:p>
            <w:pPr>
              <w:spacing w:line="240" w:lineRule="auto"/>
              <w:ind w:firstLine="0" w:firstLineChars="0"/>
              <w:jc w:val="left"/>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5、噪音水平：</w:t>
            </w:r>
            <w:r>
              <w:rPr>
                <w:rFonts w:hAnsi="宋体"/>
                <w:color w:val="auto"/>
                <w:highlight w:val="none"/>
              </w:rPr>
              <w:t>54 dB(A)</w:t>
            </w:r>
            <w:r>
              <w:rPr>
                <w:rFonts w:hint="eastAsia" w:hAnsi="宋体"/>
                <w:color w:val="auto"/>
                <w:highlight w:val="none"/>
              </w:rPr>
              <w:t>（角转），</w:t>
            </w:r>
            <w:r>
              <w:rPr>
                <w:rFonts w:hAnsi="宋体"/>
                <w:color w:val="auto"/>
                <w:highlight w:val="none"/>
              </w:rPr>
              <w:t>58 dBa</w:t>
            </w:r>
            <w:r>
              <w:rPr>
                <w:rFonts w:hint="eastAsia" w:hAnsi="宋体"/>
                <w:color w:val="auto"/>
                <w:highlight w:val="none"/>
              </w:rPr>
              <w:t>（水平）；</w:t>
            </w:r>
          </w:p>
          <w:p>
            <w:pPr>
              <w:spacing w:line="240" w:lineRule="auto"/>
              <w:ind w:firstLine="0" w:firstLineChars="0"/>
              <w:jc w:val="left"/>
              <w:rPr>
                <w:rFonts w:hAnsi="宋体"/>
                <w:color w:val="auto"/>
                <w:highlight w:val="none"/>
              </w:rPr>
            </w:pPr>
            <w:r>
              <w:rPr>
                <w:rFonts w:hint="eastAsia" w:hAnsi="宋体"/>
                <w:color w:val="auto"/>
                <w:highlight w:val="none"/>
              </w:rPr>
              <w:t>6、最大容量：</w:t>
            </w:r>
            <w:r>
              <w:rPr>
                <w:rFonts w:hAnsi="宋体"/>
                <w:color w:val="auto"/>
                <w:highlight w:val="none"/>
              </w:rPr>
              <w:t xml:space="preserve">4 </w:t>
            </w:r>
            <w:r>
              <w:rPr>
                <w:rFonts w:hint="eastAsia" w:hAnsi="宋体"/>
                <w:color w:val="auto"/>
                <w:highlight w:val="none"/>
              </w:rPr>
              <w:t>×</w:t>
            </w:r>
            <w:r>
              <w:rPr>
                <w:rFonts w:hAnsi="宋体"/>
                <w:color w:val="auto"/>
                <w:highlight w:val="none"/>
              </w:rPr>
              <w:t xml:space="preserve"> 250 mL </w:t>
            </w:r>
            <w:r>
              <w:rPr>
                <w:rFonts w:hint="eastAsia" w:hAnsi="宋体"/>
                <w:color w:val="auto"/>
                <w:highlight w:val="none"/>
              </w:rPr>
              <w:t>（水平转子），</w:t>
            </w:r>
            <w:r>
              <w:rPr>
                <w:rFonts w:hAnsi="宋体"/>
                <w:color w:val="auto"/>
                <w:highlight w:val="none"/>
              </w:rPr>
              <w:t xml:space="preserve">6 </w:t>
            </w:r>
            <w:r>
              <w:rPr>
                <w:rFonts w:hint="eastAsia" w:hAnsi="宋体"/>
                <w:color w:val="auto"/>
                <w:highlight w:val="none"/>
              </w:rPr>
              <w:t>×</w:t>
            </w:r>
            <w:r>
              <w:rPr>
                <w:rFonts w:hAnsi="宋体"/>
                <w:color w:val="auto"/>
                <w:highlight w:val="none"/>
              </w:rPr>
              <w:t xml:space="preserve"> 85 mL</w:t>
            </w:r>
            <w:r>
              <w:rPr>
                <w:rFonts w:hint="eastAsia" w:hAnsi="宋体"/>
                <w:color w:val="auto"/>
                <w:highlight w:val="none"/>
              </w:rPr>
              <w:t>、</w:t>
            </w:r>
            <w:r>
              <w:rPr>
                <w:rFonts w:hAnsi="宋体"/>
                <w:color w:val="auto"/>
                <w:highlight w:val="none"/>
              </w:rPr>
              <w:t xml:space="preserve">48 </w:t>
            </w:r>
            <w:r>
              <w:rPr>
                <w:rFonts w:hint="eastAsia" w:hAnsi="宋体"/>
                <w:color w:val="auto"/>
                <w:highlight w:val="none"/>
              </w:rPr>
              <w:t>×</w:t>
            </w:r>
            <w:r>
              <w:rPr>
                <w:rFonts w:hAnsi="宋体"/>
                <w:color w:val="auto"/>
                <w:highlight w:val="none"/>
              </w:rPr>
              <w:t xml:space="preserve"> 1.5 /2.0 mL</w:t>
            </w:r>
            <w:r>
              <w:rPr>
                <w:rFonts w:hint="eastAsia" w:hAnsi="宋体"/>
                <w:color w:val="auto"/>
                <w:highlight w:val="none"/>
              </w:rPr>
              <w:t>、</w:t>
            </w:r>
            <w:r>
              <w:rPr>
                <w:rFonts w:hAnsi="宋体"/>
                <w:color w:val="auto"/>
                <w:highlight w:val="none"/>
              </w:rPr>
              <w:t xml:space="preserve">20 </w:t>
            </w:r>
            <w:r>
              <w:rPr>
                <w:rFonts w:hint="eastAsia" w:hAnsi="宋体"/>
                <w:color w:val="auto"/>
                <w:highlight w:val="none"/>
              </w:rPr>
              <w:t>×</w:t>
            </w:r>
            <w:r>
              <w:rPr>
                <w:rFonts w:hAnsi="宋体"/>
                <w:color w:val="auto"/>
                <w:highlight w:val="none"/>
              </w:rPr>
              <w:t xml:space="preserve"> 5 mL Eppendorf Safe-Lock </w:t>
            </w:r>
            <w:r>
              <w:rPr>
                <w:rFonts w:hint="eastAsia" w:hAnsi="宋体"/>
                <w:color w:val="auto"/>
                <w:highlight w:val="none"/>
              </w:rPr>
              <w:t>管、</w:t>
            </w:r>
            <w:r>
              <w:rPr>
                <w:rFonts w:hAnsi="宋体"/>
                <w:color w:val="auto"/>
                <w:highlight w:val="none"/>
              </w:rPr>
              <w:t xml:space="preserve">48 </w:t>
            </w:r>
            <w:r>
              <w:rPr>
                <w:rFonts w:hint="eastAsia" w:hAnsi="宋体"/>
                <w:color w:val="auto"/>
                <w:highlight w:val="none"/>
              </w:rPr>
              <w:t>×</w:t>
            </w:r>
            <w:r>
              <w:rPr>
                <w:rFonts w:hAnsi="宋体"/>
                <w:color w:val="auto"/>
                <w:highlight w:val="none"/>
              </w:rPr>
              <w:t xml:space="preserve"> 15 mL </w:t>
            </w:r>
            <w:r>
              <w:rPr>
                <w:rFonts w:hint="eastAsia" w:hAnsi="宋体"/>
                <w:color w:val="auto"/>
                <w:highlight w:val="none"/>
              </w:rPr>
              <w:t>玻璃管（</w:t>
            </w:r>
            <w:r>
              <w:rPr>
                <w:rFonts w:hAnsi="宋体"/>
                <w:color w:val="auto"/>
                <w:highlight w:val="none"/>
              </w:rPr>
              <w:t xml:space="preserve"> </w:t>
            </w:r>
            <w:r>
              <w:rPr>
                <w:rFonts w:hint="eastAsia" w:hAnsi="宋体"/>
                <w:color w:val="auto"/>
                <w:highlight w:val="none"/>
              </w:rPr>
              <w:t>固定角转），</w:t>
            </w:r>
            <w:r>
              <w:rPr>
                <w:rFonts w:hAnsi="宋体"/>
                <w:color w:val="auto"/>
                <w:highlight w:val="none"/>
              </w:rPr>
              <w:t xml:space="preserve">10 </w:t>
            </w:r>
            <w:r>
              <w:rPr>
                <w:rFonts w:hint="eastAsia" w:hAnsi="宋体"/>
                <w:color w:val="auto"/>
                <w:highlight w:val="none"/>
              </w:rPr>
              <w:t>×</w:t>
            </w:r>
            <w:r>
              <w:rPr>
                <w:rFonts w:hAnsi="宋体"/>
                <w:color w:val="auto"/>
                <w:highlight w:val="none"/>
              </w:rPr>
              <w:t xml:space="preserve"> MTP</w:t>
            </w:r>
            <w:r>
              <w:rPr>
                <w:rFonts w:hint="eastAsia" w:hAnsi="宋体"/>
                <w:color w:val="auto"/>
                <w:highlight w:val="none"/>
              </w:rPr>
              <w:t>（工作板转子）；</w:t>
            </w:r>
          </w:p>
          <w:p>
            <w:pPr>
              <w:spacing w:line="240" w:lineRule="auto"/>
              <w:ind w:firstLine="0" w:firstLineChars="0"/>
              <w:jc w:val="left"/>
              <w:rPr>
                <w:rFonts w:hAnsi="宋体"/>
                <w:color w:val="auto"/>
                <w:highlight w:val="none"/>
              </w:rPr>
            </w:pPr>
            <w:r>
              <w:rPr>
                <w:rFonts w:hint="eastAsia" w:hAnsi="宋体"/>
                <w:color w:val="auto"/>
                <w:highlight w:val="none"/>
              </w:rPr>
              <w:t>7、具备自动识别转子、限速控制和转子失衡控制等功能，确保离心安全；</w:t>
            </w:r>
          </w:p>
          <w:p>
            <w:pPr>
              <w:spacing w:line="240" w:lineRule="auto"/>
              <w:ind w:firstLine="0" w:firstLineChars="0"/>
              <w:jc w:val="left"/>
              <w:rPr>
                <w:rFonts w:hAnsi="宋体"/>
                <w:color w:val="auto"/>
                <w:highlight w:val="none"/>
              </w:rPr>
            </w:pPr>
            <w:r>
              <w:rPr>
                <w:rFonts w:hint="eastAsia" w:hAnsi="宋体"/>
                <w:color w:val="auto"/>
                <w:highlight w:val="none"/>
              </w:rPr>
              <w:t>8</w:t>
            </w:r>
            <w:r>
              <w:rPr>
                <w:rFonts w:hAnsi="宋体"/>
                <w:color w:val="auto"/>
                <w:highlight w:val="none"/>
              </w:rPr>
              <w:t xml:space="preserve"> </w:t>
            </w:r>
            <w:r>
              <w:rPr>
                <w:rFonts w:hint="eastAsia" w:hAnsi="宋体"/>
                <w:color w:val="auto"/>
                <w:highlight w:val="none"/>
              </w:rPr>
              <w:t>可选择程序记忆功能，最多存储</w:t>
            </w:r>
            <w:r>
              <w:rPr>
                <w:rFonts w:hAnsi="宋体"/>
                <w:color w:val="auto"/>
                <w:highlight w:val="none"/>
              </w:rPr>
              <w:t xml:space="preserve">35 </w:t>
            </w:r>
            <w:r>
              <w:rPr>
                <w:rFonts w:hint="eastAsia" w:hAnsi="宋体"/>
                <w:color w:val="auto"/>
                <w:highlight w:val="none"/>
              </w:rPr>
              <w:t>个用户程序；</w:t>
            </w:r>
          </w:p>
          <w:p>
            <w:pPr>
              <w:spacing w:line="240" w:lineRule="auto"/>
              <w:ind w:firstLine="0" w:firstLineChars="0"/>
              <w:jc w:val="left"/>
              <w:rPr>
                <w:rFonts w:hAnsi="宋体"/>
                <w:color w:val="auto"/>
                <w:highlight w:val="none"/>
              </w:rPr>
            </w:pPr>
            <w:r>
              <w:rPr>
                <w:rFonts w:hint="eastAsia" w:hAnsi="宋体"/>
                <w:color w:val="auto"/>
                <w:highlight w:val="none"/>
              </w:rPr>
              <w:t>9、快速锁定转子盖，可以快速、可靠地锁紧转子盖；</w:t>
            </w:r>
          </w:p>
          <w:p>
            <w:pPr>
              <w:spacing w:line="240" w:lineRule="auto"/>
              <w:ind w:firstLine="0" w:firstLineChars="0"/>
              <w:jc w:val="left"/>
              <w:rPr>
                <w:rFonts w:hAnsi="宋体"/>
                <w:color w:val="auto"/>
                <w:highlight w:val="none"/>
              </w:rPr>
            </w:pPr>
            <w:r>
              <w:rPr>
                <w:rFonts w:hint="eastAsia" w:hAnsi="宋体"/>
                <w:color w:val="auto"/>
                <w:highlight w:val="none"/>
              </w:rPr>
              <w:t>10、转子使用寿命可高达</w:t>
            </w:r>
            <w:r>
              <w:rPr>
                <w:rFonts w:hAnsi="宋体"/>
                <w:color w:val="auto"/>
                <w:highlight w:val="none"/>
              </w:rPr>
              <w:t xml:space="preserve">100000 </w:t>
            </w:r>
            <w:r>
              <w:rPr>
                <w:rFonts w:hint="eastAsia" w:hAnsi="宋体"/>
                <w:color w:val="auto"/>
                <w:highlight w:val="none"/>
              </w:rPr>
              <w:t>次；</w:t>
            </w:r>
          </w:p>
          <w:p>
            <w:pPr>
              <w:spacing w:line="240" w:lineRule="auto"/>
              <w:ind w:firstLine="0" w:firstLineChars="0"/>
              <w:jc w:val="left"/>
              <w:rPr>
                <w:rFonts w:hAnsi="宋体"/>
                <w:color w:val="auto"/>
                <w:highlight w:val="none"/>
              </w:rPr>
            </w:pPr>
            <w:r>
              <w:rPr>
                <w:rFonts w:hint="eastAsia" w:hAnsi="宋体"/>
                <w:color w:val="auto"/>
                <w:highlight w:val="none"/>
              </w:rPr>
              <w:t>11、铝合金材质转子，导热性好，保护温度敏感性样品；</w:t>
            </w:r>
          </w:p>
          <w:p>
            <w:pPr>
              <w:spacing w:line="240" w:lineRule="auto"/>
              <w:ind w:firstLine="0" w:firstLineChars="0"/>
              <w:jc w:val="left"/>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12、具有</w:t>
            </w:r>
            <w:r>
              <w:rPr>
                <w:rFonts w:hAnsi="宋体"/>
                <w:color w:val="auto"/>
                <w:highlight w:val="none"/>
              </w:rPr>
              <w:t>5 ml Ep</w:t>
            </w:r>
            <w:r>
              <w:rPr>
                <w:rFonts w:hint="eastAsia" w:hAnsi="宋体"/>
                <w:color w:val="auto"/>
                <w:highlight w:val="none"/>
              </w:rPr>
              <w:t>固定角转，离心力不小于</w:t>
            </w:r>
            <w:r>
              <w:rPr>
                <w:rFonts w:hAnsi="宋体"/>
                <w:color w:val="auto"/>
                <w:highlight w:val="none"/>
              </w:rPr>
              <w:t xml:space="preserve">20913 </w:t>
            </w:r>
            <w:r>
              <w:rPr>
                <w:rFonts w:hint="eastAsia" w:hAnsi="宋体"/>
                <w:color w:val="auto"/>
                <w:highlight w:val="none"/>
              </w:rPr>
              <w:t>×</w:t>
            </w:r>
            <w:r>
              <w:rPr>
                <w:rFonts w:hAnsi="宋体"/>
                <w:color w:val="auto"/>
                <w:highlight w:val="none"/>
              </w:rPr>
              <w:t xml:space="preserve"> g</w:t>
            </w:r>
            <w:r>
              <w:rPr>
                <w:rFonts w:hint="eastAsia" w:hAnsi="宋体"/>
                <w:color w:val="auto"/>
                <w:highlight w:val="none"/>
              </w:rPr>
              <w:t>；</w:t>
            </w:r>
          </w:p>
          <w:p>
            <w:pPr>
              <w:spacing w:line="240" w:lineRule="auto"/>
              <w:ind w:firstLine="0" w:firstLineChars="0"/>
              <w:jc w:val="left"/>
              <w:rPr>
                <w:rFonts w:hAnsi="宋体"/>
                <w:color w:val="auto"/>
                <w:highlight w:val="none"/>
              </w:rPr>
            </w:pPr>
            <w:r>
              <w:rPr>
                <w:rFonts w:hint="eastAsia" w:hAnsi="宋体"/>
                <w:color w:val="auto"/>
                <w:highlight w:val="none"/>
              </w:rPr>
              <w:t>13、工作板转子，最大承载高度不小于</w:t>
            </w:r>
            <w:r>
              <w:rPr>
                <w:rFonts w:hAnsi="宋体"/>
                <w:color w:val="auto"/>
                <w:highlight w:val="none"/>
              </w:rPr>
              <w:t>89 mm</w:t>
            </w:r>
            <w:r>
              <w:rPr>
                <w:rFonts w:hint="eastAsia" w:hAnsi="宋体"/>
                <w:color w:val="auto"/>
                <w:highlight w:val="none"/>
              </w:rPr>
              <w:t>；</w:t>
            </w:r>
          </w:p>
          <w:p>
            <w:pPr>
              <w:spacing w:line="240" w:lineRule="auto"/>
              <w:ind w:firstLine="0" w:firstLineChars="0"/>
              <w:jc w:val="left"/>
              <w:rPr>
                <w:rFonts w:hAnsi="宋体"/>
                <w:color w:val="auto"/>
                <w:highlight w:val="none"/>
              </w:rPr>
            </w:pPr>
            <w:r>
              <w:rPr>
                <w:rFonts w:hint="eastAsia" w:hAnsi="宋体"/>
                <w:color w:val="auto"/>
                <w:highlight w:val="none"/>
              </w:rPr>
              <w:t>14、软加速</w:t>
            </w:r>
            <w:r>
              <w:rPr>
                <w:rFonts w:hAnsi="宋体"/>
                <w:color w:val="auto"/>
                <w:highlight w:val="none"/>
              </w:rPr>
              <w:t xml:space="preserve">/ </w:t>
            </w:r>
            <w:r>
              <w:rPr>
                <w:rFonts w:hint="eastAsia" w:hAnsi="宋体"/>
                <w:color w:val="auto"/>
                <w:highlight w:val="none"/>
              </w:rPr>
              <w:t>减速功能，可选</w:t>
            </w:r>
            <w:r>
              <w:rPr>
                <w:rFonts w:hAnsi="宋体"/>
                <w:color w:val="auto"/>
                <w:highlight w:val="none"/>
              </w:rPr>
              <w:t xml:space="preserve">10 </w:t>
            </w:r>
            <w:r>
              <w:rPr>
                <w:rFonts w:hint="eastAsia" w:hAnsi="宋体"/>
                <w:color w:val="auto"/>
                <w:highlight w:val="none"/>
              </w:rPr>
              <w:t>个加速档和</w:t>
            </w:r>
            <w:r>
              <w:rPr>
                <w:rFonts w:hAnsi="宋体"/>
                <w:color w:val="auto"/>
                <w:highlight w:val="none"/>
              </w:rPr>
              <w:t xml:space="preserve">10 </w:t>
            </w:r>
            <w:r>
              <w:rPr>
                <w:rFonts w:hint="eastAsia" w:hAnsi="宋体"/>
                <w:color w:val="auto"/>
                <w:highlight w:val="none"/>
              </w:rPr>
              <w:t>个刹车档，保护敏感样品，防止样品重悬；</w:t>
            </w:r>
          </w:p>
          <w:p>
            <w:pPr>
              <w:spacing w:line="240" w:lineRule="auto"/>
              <w:ind w:firstLine="0" w:firstLineChars="0"/>
              <w:jc w:val="left"/>
              <w:rPr>
                <w:rFonts w:hAnsi="宋体"/>
                <w:color w:val="auto"/>
                <w:highlight w:val="none"/>
              </w:rPr>
            </w:pPr>
            <w:r>
              <w:rPr>
                <w:rFonts w:hint="eastAsia" w:hAnsi="宋体"/>
                <w:color w:val="auto"/>
                <w:highlight w:val="none"/>
              </w:rPr>
              <w:t>15、所有转子、转子盖、吊篮、吊篮盖和适配器均可高温高压灭菌（</w:t>
            </w:r>
            <w:r>
              <w:rPr>
                <w:rFonts w:hAnsi="宋体"/>
                <w:color w:val="auto"/>
                <w:highlight w:val="none"/>
              </w:rPr>
              <w:t xml:space="preserve">121 </w:t>
            </w:r>
            <w:r>
              <w:rPr>
                <w:rFonts w:hint="eastAsia" w:hAnsi="宋体"/>
                <w:color w:val="auto"/>
                <w:highlight w:val="none"/>
              </w:rPr>
              <w:t>°</w:t>
            </w:r>
            <w:r>
              <w:rPr>
                <w:rFonts w:hAnsi="宋体"/>
                <w:color w:val="auto"/>
                <w:highlight w:val="none"/>
              </w:rPr>
              <w:t>C</w:t>
            </w:r>
            <w:r>
              <w:rPr>
                <w:rFonts w:hint="eastAsia" w:hAnsi="宋体"/>
                <w:color w:val="auto"/>
                <w:highlight w:val="none"/>
              </w:rPr>
              <w:t>，</w:t>
            </w:r>
            <w:r>
              <w:rPr>
                <w:rFonts w:hAnsi="宋体"/>
                <w:color w:val="auto"/>
                <w:highlight w:val="none"/>
              </w:rPr>
              <w:t xml:space="preserve">20 </w:t>
            </w:r>
            <w:r>
              <w:rPr>
                <w:rFonts w:hint="eastAsia" w:hAnsi="宋体"/>
                <w:color w:val="auto"/>
                <w:highlight w:val="none"/>
              </w:rPr>
              <w:t>分钟）；</w:t>
            </w:r>
          </w:p>
          <w:p>
            <w:pPr>
              <w:spacing w:line="240" w:lineRule="auto"/>
              <w:ind w:firstLine="0" w:firstLineChars="0"/>
              <w:jc w:val="left"/>
              <w:rPr>
                <w:rFonts w:hAnsi="宋体"/>
                <w:color w:val="auto"/>
                <w:highlight w:val="none"/>
              </w:rPr>
            </w:pPr>
            <w:r>
              <w:rPr>
                <w:rFonts w:hint="eastAsia" w:hAnsi="宋体"/>
                <w:color w:val="auto"/>
                <w:highlight w:val="none"/>
              </w:rPr>
              <w:t>16、定速计时功能，达到预定转速后才开始倒计时，提高离心重复性；</w:t>
            </w:r>
          </w:p>
          <w:p>
            <w:pPr>
              <w:spacing w:line="240" w:lineRule="auto"/>
              <w:ind w:firstLine="0" w:firstLineChars="0"/>
              <w:jc w:val="left"/>
              <w:rPr>
                <w:rFonts w:hAnsi="宋体"/>
                <w:color w:val="auto"/>
                <w:highlight w:val="none"/>
              </w:rPr>
            </w:pPr>
            <w:r>
              <w:rPr>
                <w:rFonts w:hint="eastAsia" w:hAnsi="宋体"/>
                <w:color w:val="auto"/>
                <w:highlight w:val="none"/>
              </w:rPr>
              <w:t>17、</w:t>
            </w:r>
            <w:r>
              <w:rPr>
                <w:rFonts w:hAnsi="宋体"/>
                <w:color w:val="auto"/>
                <w:highlight w:val="none"/>
              </w:rPr>
              <w:t xml:space="preserve"> CE </w:t>
            </w:r>
            <w:r>
              <w:rPr>
                <w:rFonts w:hint="eastAsia" w:hAnsi="宋体"/>
                <w:color w:val="auto"/>
                <w:highlight w:val="none"/>
              </w:rPr>
              <w:t>认证，</w:t>
            </w:r>
            <w:r>
              <w:rPr>
                <w:rFonts w:hAnsi="宋体"/>
                <w:color w:val="auto"/>
                <w:highlight w:val="none"/>
              </w:rPr>
              <w:t xml:space="preserve">CFDA </w:t>
            </w:r>
            <w:r>
              <w:rPr>
                <w:rFonts w:hint="eastAsia" w:hAnsi="宋体"/>
                <w:color w:val="auto"/>
                <w:highlight w:val="none"/>
              </w:rPr>
              <w:t>认证，产品符合</w:t>
            </w:r>
            <w:r>
              <w:rPr>
                <w:rFonts w:hAnsi="宋体"/>
                <w:color w:val="auto"/>
                <w:highlight w:val="none"/>
              </w:rPr>
              <w:t xml:space="preserve"> IVD</w:t>
            </w:r>
            <w:r>
              <w:rPr>
                <w:rFonts w:hint="eastAsia" w:hAnsi="宋体"/>
                <w:color w:val="auto"/>
                <w:highlight w:val="none"/>
              </w:rPr>
              <w:t>（</w:t>
            </w:r>
            <w:r>
              <w:rPr>
                <w:rFonts w:hAnsi="宋体"/>
                <w:color w:val="auto"/>
                <w:highlight w:val="none"/>
              </w:rPr>
              <w:t xml:space="preserve">98 / 79 / EG) </w:t>
            </w:r>
            <w:r>
              <w:rPr>
                <w:rFonts w:hint="eastAsia" w:hAnsi="宋体"/>
                <w:color w:val="auto"/>
                <w:highlight w:val="none"/>
              </w:rPr>
              <w:t>欧洲标准；</w:t>
            </w:r>
          </w:p>
          <w:p>
            <w:pPr>
              <w:spacing w:line="240" w:lineRule="auto"/>
              <w:ind w:firstLine="0" w:firstLineChars="0"/>
              <w:jc w:val="left"/>
              <w:rPr>
                <w:rFonts w:hAnsi="宋体"/>
                <w:color w:val="auto"/>
                <w:highlight w:val="none"/>
              </w:rPr>
            </w:pPr>
            <w:r>
              <w:rPr>
                <w:rFonts w:hint="eastAsia" w:hAnsi="宋体"/>
                <w:color w:val="auto"/>
                <w:highlight w:val="none"/>
              </w:rPr>
              <w:t>18、具有气密性转子盖，转子气密性经由英国</w:t>
            </w:r>
            <w:r>
              <w:rPr>
                <w:rFonts w:hAnsi="宋体"/>
                <w:color w:val="auto"/>
                <w:highlight w:val="none"/>
              </w:rPr>
              <w:t>Proton Down</w:t>
            </w:r>
            <w:r>
              <w:rPr>
                <w:rFonts w:hint="eastAsia" w:hAnsi="宋体"/>
                <w:color w:val="auto"/>
                <w:highlight w:val="none"/>
              </w:rPr>
              <w:t>的应用微生物研究中心（</w:t>
            </w:r>
            <w:r>
              <w:rPr>
                <w:rFonts w:hAnsi="宋体"/>
                <w:color w:val="auto"/>
                <w:highlight w:val="none"/>
              </w:rPr>
              <w:t>CAMR</w:t>
            </w:r>
            <w:r>
              <w:rPr>
                <w:rFonts w:hint="eastAsia" w:hAnsi="宋体"/>
                <w:color w:val="auto"/>
                <w:highlight w:val="none"/>
              </w:rPr>
              <w:t>）测试并认证，可高温高压灭菌；</w:t>
            </w:r>
          </w:p>
          <w:p>
            <w:pPr>
              <w:spacing w:line="240" w:lineRule="auto"/>
              <w:ind w:firstLine="0" w:firstLineChars="0"/>
              <w:jc w:val="left"/>
              <w:rPr>
                <w:rFonts w:hAnsi="宋体"/>
                <w:color w:val="auto"/>
                <w:highlight w:val="none"/>
              </w:rPr>
            </w:pPr>
            <w:r>
              <w:rPr>
                <w:rFonts w:hint="eastAsia" w:hAnsi="宋体"/>
                <w:color w:val="auto"/>
                <w:highlight w:val="none"/>
              </w:rPr>
              <w:t>19、温度范围：</w:t>
            </w:r>
            <w:r>
              <w:rPr>
                <w:rFonts w:hAnsi="宋体"/>
                <w:color w:val="auto"/>
                <w:highlight w:val="none"/>
              </w:rPr>
              <w:t xml:space="preserve">-9 </w:t>
            </w:r>
            <w:r>
              <w:rPr>
                <w:rFonts w:hint="eastAsia" w:hAnsi="宋体"/>
                <w:color w:val="auto"/>
                <w:highlight w:val="none"/>
              </w:rPr>
              <w:t>°</w:t>
            </w:r>
            <w:r>
              <w:rPr>
                <w:rFonts w:hAnsi="宋体"/>
                <w:color w:val="auto"/>
                <w:highlight w:val="none"/>
              </w:rPr>
              <w:t xml:space="preserve">C </w:t>
            </w:r>
            <w:r>
              <w:rPr>
                <w:rFonts w:hint="eastAsia" w:hAnsi="宋体"/>
                <w:color w:val="auto"/>
                <w:highlight w:val="none"/>
              </w:rPr>
              <w:t>至</w:t>
            </w:r>
            <w:r>
              <w:rPr>
                <w:rFonts w:hAnsi="宋体"/>
                <w:color w:val="auto"/>
                <w:highlight w:val="none"/>
              </w:rPr>
              <w:t xml:space="preserve">40 </w:t>
            </w:r>
            <w:r>
              <w:rPr>
                <w:rFonts w:hint="eastAsia" w:hAnsi="宋体"/>
                <w:color w:val="auto"/>
                <w:highlight w:val="none"/>
              </w:rPr>
              <w:t>°</w:t>
            </w:r>
            <w:r>
              <w:rPr>
                <w:rFonts w:hAnsi="宋体"/>
                <w:color w:val="auto"/>
                <w:highlight w:val="none"/>
              </w:rPr>
              <w:t>C</w:t>
            </w:r>
            <w:r>
              <w:rPr>
                <w:rFonts w:hint="eastAsia" w:hAnsi="宋体"/>
                <w:color w:val="auto"/>
                <w:highlight w:val="none"/>
              </w:rPr>
              <w:t>；</w:t>
            </w:r>
          </w:p>
          <w:p>
            <w:pPr>
              <w:spacing w:line="240" w:lineRule="auto"/>
              <w:ind w:firstLine="0" w:firstLineChars="0"/>
              <w:jc w:val="left"/>
              <w:rPr>
                <w:rFonts w:hAnsi="宋体"/>
                <w:color w:val="auto"/>
                <w:highlight w:val="none"/>
              </w:rPr>
            </w:pPr>
            <w:r>
              <w:rPr>
                <w:rFonts w:hint="eastAsia" w:hAnsi="宋体"/>
                <w:color w:val="auto"/>
                <w:highlight w:val="none"/>
              </w:rPr>
              <w:t>20、</w:t>
            </w:r>
            <w:r>
              <w:rPr>
                <w:rFonts w:hAnsi="宋体"/>
                <w:color w:val="auto"/>
                <w:highlight w:val="none"/>
              </w:rPr>
              <w:t xml:space="preserve">FastTemp </w:t>
            </w:r>
            <w:r>
              <w:rPr>
                <w:rFonts w:hint="eastAsia" w:hAnsi="宋体"/>
                <w:color w:val="auto"/>
                <w:highlight w:val="none"/>
              </w:rPr>
              <w:t>快速制冷功能，只需</w:t>
            </w:r>
            <w:r>
              <w:rPr>
                <w:rFonts w:hAnsi="宋体"/>
                <w:color w:val="auto"/>
                <w:highlight w:val="none"/>
              </w:rPr>
              <w:t xml:space="preserve">15 </w:t>
            </w:r>
            <w:r>
              <w:rPr>
                <w:rFonts w:hint="eastAsia" w:hAnsi="宋体"/>
                <w:color w:val="auto"/>
                <w:highlight w:val="none"/>
              </w:rPr>
              <w:t>分钟即可预冷腔体；</w:t>
            </w:r>
          </w:p>
          <w:p>
            <w:pPr>
              <w:spacing w:line="240" w:lineRule="auto"/>
              <w:ind w:firstLine="0" w:firstLineChars="0"/>
              <w:jc w:val="left"/>
              <w:rPr>
                <w:rFonts w:hAnsi="宋体"/>
                <w:color w:val="auto"/>
                <w:highlight w:val="none"/>
              </w:rPr>
            </w:pPr>
            <w:r>
              <w:rPr>
                <w:rFonts w:hint="eastAsia" w:hAnsi="宋体"/>
                <w:color w:val="auto"/>
                <w:highlight w:val="none"/>
              </w:rPr>
              <w:t>21、待机冷却功能，离心机盖关闭的状态下保持设定温度</w:t>
            </w:r>
            <w:r>
              <w:rPr>
                <w:rFonts w:hAnsi="宋体"/>
                <w:color w:val="auto"/>
                <w:highlight w:val="none"/>
              </w:rPr>
              <w:t xml:space="preserve"> </w:t>
            </w:r>
            <w:r>
              <w:rPr>
                <w:rFonts w:hint="eastAsia" w:hAnsi="宋体"/>
                <w:color w:val="auto"/>
                <w:highlight w:val="none"/>
              </w:rPr>
              <w:t>；</w:t>
            </w:r>
          </w:p>
          <w:p>
            <w:pPr>
              <w:spacing w:line="240" w:lineRule="auto"/>
              <w:ind w:firstLine="0" w:firstLineChars="0"/>
              <w:jc w:val="left"/>
              <w:rPr>
                <w:rFonts w:hAnsi="宋体"/>
                <w:color w:val="auto"/>
                <w:highlight w:val="none"/>
              </w:rPr>
            </w:pPr>
            <w:r>
              <w:rPr>
                <w:rFonts w:hint="eastAsia" w:hAnsi="宋体"/>
                <w:color w:val="auto"/>
                <w:highlight w:val="none"/>
              </w:rPr>
              <w:t>22、转子在最高转速下，仍可以保持</w:t>
            </w:r>
            <w:r>
              <w:rPr>
                <w:rFonts w:hAnsi="宋体"/>
                <w:color w:val="auto"/>
                <w:highlight w:val="none"/>
              </w:rPr>
              <w:t>4</w:t>
            </w:r>
            <w:r>
              <w:rPr>
                <w:rFonts w:hint="eastAsia" w:hAnsi="宋体"/>
                <w:color w:val="auto"/>
                <w:highlight w:val="none"/>
              </w:rPr>
              <w:t>℃；</w:t>
            </w:r>
          </w:p>
          <w:p>
            <w:pPr>
              <w:spacing w:line="240" w:lineRule="auto"/>
              <w:ind w:firstLine="0" w:firstLineChars="0"/>
              <w:jc w:val="left"/>
              <w:rPr>
                <w:rFonts w:hAnsi="宋体"/>
                <w:color w:val="auto"/>
                <w:highlight w:val="none"/>
              </w:rPr>
            </w:pPr>
            <w:r>
              <w:rPr>
                <w:rFonts w:hint="eastAsia" w:hAnsi="宋体"/>
                <w:color w:val="auto"/>
                <w:highlight w:val="none"/>
              </w:rPr>
              <w:t>23、</w:t>
            </w:r>
            <w:r>
              <w:rPr>
                <w:rFonts w:hAnsi="宋体"/>
                <w:color w:val="auto"/>
                <w:highlight w:val="none"/>
              </w:rPr>
              <w:t xml:space="preserve">ECO </w:t>
            </w:r>
            <w:r>
              <w:rPr>
                <w:rFonts w:hint="eastAsia" w:hAnsi="宋体"/>
                <w:color w:val="auto"/>
                <w:highlight w:val="none"/>
              </w:rPr>
              <w:t>自动待机功能，</w:t>
            </w:r>
            <w:r>
              <w:rPr>
                <w:rFonts w:hAnsi="宋体"/>
                <w:color w:val="auto"/>
                <w:highlight w:val="none"/>
              </w:rPr>
              <w:t xml:space="preserve">8 </w:t>
            </w:r>
            <w:r>
              <w:rPr>
                <w:rFonts w:hint="eastAsia" w:hAnsi="宋体"/>
                <w:color w:val="auto"/>
                <w:highlight w:val="none"/>
              </w:rPr>
              <w:t>小时不使用后自动待机，节约能耗，延长压缩机使用寿命；</w:t>
            </w:r>
          </w:p>
          <w:p>
            <w:pPr>
              <w:spacing w:line="240" w:lineRule="auto"/>
              <w:ind w:firstLine="0" w:firstLineChars="0"/>
              <w:jc w:val="left"/>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24、内置冷凝水槽，避免水珠积聚，防止腐蚀；</w:t>
            </w:r>
          </w:p>
          <w:p>
            <w:pPr>
              <w:spacing w:line="240" w:lineRule="auto"/>
              <w:ind w:firstLine="0" w:firstLineChars="0"/>
              <w:jc w:val="left"/>
              <w:rPr>
                <w:rFonts w:hAnsi="宋体"/>
                <w:color w:val="auto"/>
                <w:highlight w:val="none"/>
              </w:rPr>
            </w:pPr>
            <w:r>
              <w:rPr>
                <w:rFonts w:hint="eastAsia" w:hAnsi="宋体"/>
                <w:color w:val="auto"/>
                <w:highlight w:val="none"/>
              </w:rPr>
              <w:t>25、动态压缩机控制技术，优化制冷性能；</w:t>
            </w:r>
          </w:p>
          <w:p>
            <w:pPr>
              <w:spacing w:line="240" w:lineRule="auto"/>
              <w:ind w:firstLine="0" w:firstLineChars="0"/>
              <w:jc w:val="left"/>
              <w:rPr>
                <w:rFonts w:hAnsi="宋体"/>
                <w:color w:val="auto"/>
                <w:highlight w:val="none"/>
              </w:rPr>
            </w:pPr>
            <w:r>
              <w:rPr>
                <w:rFonts w:hint="eastAsia" w:hAnsi="宋体"/>
                <w:color w:val="auto"/>
                <w:highlight w:val="none"/>
              </w:rPr>
              <w:t>26、配置要求：主机1台；4*250ml水平转子1套；15ml适配器1套；50ml适配器1套。</w:t>
            </w:r>
          </w:p>
          <w:p>
            <w:pPr>
              <w:pStyle w:val="2"/>
              <w:rPr>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套</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1</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22"/>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kern w:val="0"/>
                <w:highlight w:val="none"/>
              </w:rPr>
            </w:pPr>
            <w:r>
              <w:rPr>
                <w:rFonts w:hint="eastAsia" w:ascii="宋体" w:hAnsi="宋体" w:cs="宋体"/>
                <w:color w:val="auto"/>
                <w:kern w:val="0"/>
                <w:highlight w:val="none"/>
              </w:rPr>
              <w:t>十万分之一天平</w:t>
            </w:r>
          </w:p>
        </w:tc>
        <w:tc>
          <w:tcPr>
            <w:tcW w:w="5862" w:type="dxa"/>
            <w:shd w:val="clear" w:color="auto" w:fill="auto"/>
            <w:vAlign w:val="center"/>
          </w:tcPr>
          <w:p>
            <w:pPr>
              <w:spacing w:line="240" w:lineRule="auto"/>
              <w:ind w:firstLine="0" w:firstLineChars="0"/>
              <w:rPr>
                <w:rFonts w:hAnsi="宋体"/>
                <w:color w:val="auto"/>
                <w:highlight w:val="none"/>
              </w:rPr>
            </w:pPr>
            <w:r>
              <w:rPr>
                <w:rFonts w:hint="eastAsia" w:hAnsi="宋体"/>
                <w:color w:val="auto"/>
                <w:highlight w:val="none"/>
              </w:rPr>
              <w:t>1、</w:t>
            </w:r>
            <w:r>
              <w:rPr>
                <w:rFonts w:hAnsi="宋体"/>
                <w:color w:val="auto"/>
                <w:highlight w:val="none"/>
              </w:rPr>
              <w:t>最大秤量</w:t>
            </w:r>
            <w:r>
              <w:rPr>
                <w:rFonts w:hint="eastAsia" w:hAnsi="宋体"/>
                <w:color w:val="auto"/>
                <w:highlight w:val="none"/>
              </w:rPr>
              <w:t>：</w:t>
            </w:r>
            <w:r>
              <w:rPr>
                <w:rFonts w:hAnsi="宋体"/>
                <w:color w:val="auto"/>
                <w:highlight w:val="none"/>
              </w:rPr>
              <w:t>220 g/81 g</w:t>
            </w:r>
            <w:r>
              <w:rPr>
                <w:rFonts w:hint="eastAsia" w:hAnsi="宋体"/>
                <w:color w:val="auto"/>
                <w:highlight w:val="none"/>
              </w:rPr>
              <w:t>，</w:t>
            </w:r>
            <w:r>
              <w:rPr>
                <w:rFonts w:hAnsi="宋体"/>
                <w:color w:val="auto"/>
                <w:highlight w:val="none"/>
              </w:rPr>
              <w:t>可读性</w:t>
            </w:r>
            <w:r>
              <w:rPr>
                <w:rFonts w:hint="eastAsia" w:hAnsi="宋体"/>
                <w:color w:val="auto"/>
                <w:highlight w:val="none"/>
              </w:rPr>
              <w:t>：</w:t>
            </w:r>
            <w:r>
              <w:rPr>
                <w:rFonts w:hAnsi="宋体"/>
                <w:color w:val="auto"/>
                <w:highlight w:val="none"/>
              </w:rPr>
              <w:t>0.1 mg/0.01 mg</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2、</w:t>
            </w:r>
            <w:r>
              <w:rPr>
                <w:rFonts w:hAnsi="宋体"/>
                <w:color w:val="auto"/>
                <w:highlight w:val="none"/>
              </w:rPr>
              <w:t>重复性测试载荷</w:t>
            </w:r>
            <w:r>
              <w:rPr>
                <w:rFonts w:hint="eastAsia" w:hAnsi="宋体"/>
                <w:color w:val="auto"/>
                <w:highlight w:val="none"/>
              </w:rPr>
              <w:t>：≤</w:t>
            </w:r>
            <w:r>
              <w:rPr>
                <w:rFonts w:hAnsi="宋体"/>
                <w:color w:val="auto"/>
                <w:highlight w:val="none"/>
              </w:rPr>
              <w:t xml:space="preserve">0.02 mg (10 g) </w:t>
            </w:r>
            <w:r>
              <w:rPr>
                <w:rFonts w:hint="eastAsia" w:hAnsi="宋体"/>
                <w:color w:val="auto"/>
                <w:highlight w:val="none"/>
              </w:rPr>
              <w:t>，</w:t>
            </w:r>
            <w:r>
              <w:rPr>
                <w:rFonts w:hAnsi="宋体"/>
                <w:color w:val="auto"/>
                <w:highlight w:val="none"/>
              </w:rPr>
              <w:t>重复性（典型值）</w:t>
            </w:r>
            <w:r>
              <w:rPr>
                <w:rFonts w:hint="eastAsia" w:hAnsi="宋体"/>
                <w:color w:val="auto"/>
                <w:highlight w:val="none"/>
              </w:rPr>
              <w:t>≤</w:t>
            </w:r>
            <w:r>
              <w:rPr>
                <w:rFonts w:hAnsi="宋体"/>
                <w:color w:val="auto"/>
                <w:highlight w:val="none"/>
              </w:rPr>
              <w:t>0.01 mg</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▲3、</w:t>
            </w:r>
            <w:r>
              <w:rPr>
                <w:rFonts w:hAnsi="宋体"/>
                <w:color w:val="auto"/>
                <w:highlight w:val="none"/>
              </w:rPr>
              <w:t>最小称量值（USP, 0.1%，典型值)</w:t>
            </w:r>
            <w:r>
              <w:rPr>
                <w:rFonts w:hint="eastAsia" w:hAnsi="宋体"/>
                <w:color w:val="auto"/>
                <w:highlight w:val="none"/>
              </w:rPr>
              <w:t>：</w:t>
            </w:r>
            <w:r>
              <w:rPr>
                <w:rFonts w:hAnsi="宋体"/>
                <w:color w:val="auto"/>
                <w:highlight w:val="none"/>
              </w:rPr>
              <w:t xml:space="preserve"> 20 mg</w:t>
            </w:r>
            <w:r>
              <w:rPr>
                <w:rFonts w:hint="eastAsia" w:hAnsi="宋体"/>
                <w:color w:val="auto"/>
                <w:highlight w:val="none"/>
              </w:rPr>
              <w:t>，</w:t>
            </w:r>
            <w:r>
              <w:rPr>
                <w:rFonts w:hAnsi="宋体"/>
                <w:color w:val="auto"/>
                <w:highlight w:val="none"/>
              </w:rPr>
              <w:t>最小称量值</w:t>
            </w:r>
            <w:r>
              <w:rPr>
                <w:rFonts w:hint="eastAsia" w:hAnsi="宋体"/>
                <w:color w:val="auto"/>
                <w:highlight w:val="none"/>
              </w:rPr>
              <w:t>（</w:t>
            </w:r>
            <w:r>
              <w:rPr>
                <w:rFonts w:hAnsi="宋体"/>
                <w:color w:val="auto"/>
                <w:highlight w:val="none"/>
              </w:rPr>
              <w:t>5%</w:t>
            </w:r>
            <w:r>
              <w:rPr>
                <w:rFonts w:hint="eastAsia" w:hAnsi="宋体"/>
                <w:color w:val="auto"/>
                <w:highlight w:val="none"/>
              </w:rPr>
              <w:t>载荷）：</w:t>
            </w:r>
            <w:r>
              <w:rPr>
                <w:rFonts w:hAnsi="宋体"/>
                <w:color w:val="auto"/>
                <w:highlight w:val="none"/>
              </w:rPr>
              <w:t>2mg</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4、</w:t>
            </w:r>
            <w:r>
              <w:rPr>
                <w:rFonts w:hAnsi="宋体"/>
                <w:color w:val="auto"/>
                <w:highlight w:val="none"/>
              </w:rPr>
              <w:t>线性误差（</w:t>
            </w:r>
            <w:r>
              <w:rPr>
                <w:rFonts w:hint="eastAsia" w:hAnsi="宋体"/>
                <w:color w:val="auto"/>
                <w:highlight w:val="none"/>
              </w:rPr>
              <w:t>极限</w:t>
            </w:r>
            <w:r>
              <w:rPr>
                <w:rFonts w:hAnsi="宋体"/>
                <w:color w:val="auto"/>
                <w:highlight w:val="none"/>
              </w:rPr>
              <w:t>值）</w:t>
            </w:r>
            <w:r>
              <w:rPr>
                <w:rFonts w:hint="eastAsia" w:hAnsi="宋体"/>
                <w:color w:val="auto"/>
                <w:highlight w:val="none"/>
              </w:rPr>
              <w:t>≤</w:t>
            </w:r>
            <w:r>
              <w:rPr>
                <w:rFonts w:hAnsi="宋体"/>
                <w:color w:val="auto"/>
                <w:highlight w:val="none"/>
              </w:rPr>
              <w:t>±0.2 mg</w:t>
            </w:r>
            <w:r>
              <w:rPr>
                <w:rFonts w:hint="eastAsia" w:hAnsi="宋体"/>
                <w:color w:val="auto"/>
                <w:highlight w:val="none"/>
              </w:rPr>
              <w:t>，</w:t>
            </w:r>
            <w:r>
              <w:rPr>
                <w:rFonts w:hAnsi="宋体"/>
                <w:color w:val="auto"/>
                <w:highlight w:val="none"/>
              </w:rPr>
              <w:t>线性误差（</w:t>
            </w:r>
            <w:r>
              <w:rPr>
                <w:rFonts w:hint="eastAsia" w:hAnsi="宋体"/>
                <w:color w:val="auto"/>
                <w:highlight w:val="none"/>
              </w:rPr>
              <w:t>典型</w:t>
            </w:r>
            <w:r>
              <w:rPr>
                <w:rFonts w:hAnsi="宋体"/>
                <w:color w:val="auto"/>
                <w:highlight w:val="none"/>
              </w:rPr>
              <w:t>值）</w:t>
            </w:r>
            <w:r>
              <w:rPr>
                <w:rFonts w:hint="eastAsia" w:hAnsi="宋体"/>
                <w:color w:val="auto"/>
                <w:highlight w:val="none"/>
              </w:rPr>
              <w:t>≤</w:t>
            </w:r>
            <w:r>
              <w:rPr>
                <w:rFonts w:hAnsi="宋体"/>
                <w:color w:val="auto"/>
                <w:highlight w:val="none"/>
              </w:rPr>
              <w:t>±0.</w:t>
            </w:r>
            <w:r>
              <w:rPr>
                <w:rFonts w:hint="eastAsia" w:hAnsi="宋体"/>
                <w:color w:val="auto"/>
                <w:highlight w:val="none"/>
              </w:rPr>
              <w:t>06</w:t>
            </w:r>
            <w:r>
              <w:rPr>
                <w:rFonts w:hAnsi="宋体"/>
                <w:color w:val="auto"/>
                <w:highlight w:val="none"/>
              </w:rPr>
              <w:t>mg</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4、</w:t>
            </w:r>
            <w:r>
              <w:rPr>
                <w:rFonts w:hAnsi="宋体"/>
                <w:color w:val="auto"/>
                <w:highlight w:val="none"/>
              </w:rPr>
              <w:t>稳定时间</w:t>
            </w:r>
            <w:r>
              <w:rPr>
                <w:rFonts w:hint="eastAsia" w:hAnsi="宋体"/>
                <w:color w:val="auto"/>
                <w:highlight w:val="none"/>
              </w:rPr>
              <w:t>：≤</w:t>
            </w:r>
            <w:r>
              <w:rPr>
                <w:rFonts w:hAnsi="宋体"/>
                <w:color w:val="auto"/>
                <w:highlight w:val="none"/>
              </w:rPr>
              <w:t>1.5 s</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▲5、</w:t>
            </w:r>
            <w:r>
              <w:rPr>
                <w:rFonts w:hAnsi="宋体"/>
                <w:color w:val="auto"/>
                <w:highlight w:val="none"/>
              </w:rPr>
              <w:t>高精度、高分辨率后置式传感器</w:t>
            </w:r>
            <w:r>
              <w:rPr>
                <w:rFonts w:hint="eastAsia" w:hAnsi="宋体"/>
                <w:color w:val="auto"/>
                <w:highlight w:val="none"/>
              </w:rPr>
              <w:t>，</w:t>
            </w:r>
            <w:r>
              <w:rPr>
                <w:rFonts w:hAnsi="宋体"/>
                <w:color w:val="auto"/>
                <w:highlight w:val="none"/>
              </w:rPr>
              <w:t>proFACT</w:t>
            </w:r>
            <w:r>
              <w:rPr>
                <w:rFonts w:hint="eastAsia" w:hAnsi="宋体"/>
                <w:color w:val="auto"/>
                <w:highlight w:val="none"/>
              </w:rPr>
              <w:t>专业级全自动校准技术，一体式去静电装置；</w:t>
            </w:r>
          </w:p>
          <w:p>
            <w:pPr>
              <w:spacing w:line="240" w:lineRule="auto"/>
              <w:ind w:firstLine="0" w:firstLineChars="0"/>
              <w:rPr>
                <w:rFonts w:hAnsi="宋体"/>
                <w:color w:val="auto"/>
                <w:highlight w:val="none"/>
              </w:rPr>
            </w:pPr>
            <w:r>
              <w:rPr>
                <w:rFonts w:hint="eastAsia" w:hAnsi="宋体"/>
                <w:color w:val="auto"/>
                <w:highlight w:val="none"/>
              </w:rPr>
              <w:t>▲6、彩色触摸屏（可使用手套操作），</w:t>
            </w:r>
            <w:r>
              <w:rPr>
                <w:rFonts w:hAnsi="宋体"/>
                <w:color w:val="auto"/>
                <w:highlight w:val="none"/>
              </w:rPr>
              <w:t>电动防风门</w:t>
            </w:r>
            <w:r>
              <w:rPr>
                <w:rFonts w:hint="eastAsia" w:hAnsi="宋体"/>
                <w:color w:val="auto"/>
                <w:highlight w:val="none"/>
              </w:rPr>
              <w:t>，且</w:t>
            </w:r>
            <w:r>
              <w:rPr>
                <w:rFonts w:hAnsi="宋体"/>
                <w:color w:val="auto"/>
                <w:highlight w:val="none"/>
              </w:rPr>
              <w:t>可设为自动打开到各种不同的角度</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7、水平控制：采用图像指导的水平警告；</w:t>
            </w:r>
          </w:p>
          <w:p>
            <w:pPr>
              <w:spacing w:line="240" w:lineRule="auto"/>
              <w:ind w:firstLine="0" w:firstLineChars="0"/>
              <w:rPr>
                <w:rFonts w:hAnsi="宋体"/>
                <w:color w:val="auto"/>
                <w:highlight w:val="none"/>
              </w:rPr>
            </w:pPr>
            <w:r>
              <w:rPr>
                <w:rFonts w:hint="eastAsia" w:hAnsi="宋体"/>
                <w:color w:val="auto"/>
                <w:highlight w:val="none"/>
              </w:rPr>
              <w:t>8、多个接口便于轻松连接和数据导出：</w:t>
            </w:r>
            <w:r>
              <w:rPr>
                <w:rFonts w:hAnsi="宋体"/>
                <w:color w:val="auto"/>
                <w:highlight w:val="none"/>
              </w:rPr>
              <w:t xml:space="preserve">4 </w:t>
            </w:r>
            <w:r>
              <w:rPr>
                <w:rFonts w:hint="eastAsia" w:hAnsi="宋体"/>
                <w:color w:val="auto"/>
                <w:highlight w:val="none"/>
              </w:rPr>
              <w:t>×</w:t>
            </w:r>
            <w:r>
              <w:rPr>
                <w:rFonts w:hAnsi="宋体"/>
                <w:color w:val="auto"/>
                <w:highlight w:val="none"/>
              </w:rPr>
              <w:t xml:space="preserve"> USB</w:t>
            </w:r>
            <w:r>
              <w:rPr>
                <w:rFonts w:hint="eastAsia" w:hAnsi="宋体"/>
                <w:color w:val="auto"/>
                <w:highlight w:val="none"/>
              </w:rPr>
              <w:t>，</w:t>
            </w:r>
            <w:r>
              <w:rPr>
                <w:rFonts w:hAnsi="宋体"/>
                <w:color w:val="auto"/>
                <w:highlight w:val="none"/>
              </w:rPr>
              <w:t xml:space="preserve">1 </w:t>
            </w:r>
            <w:r>
              <w:rPr>
                <w:rFonts w:hint="eastAsia" w:hAnsi="宋体"/>
                <w:color w:val="auto"/>
                <w:highlight w:val="none"/>
              </w:rPr>
              <w:t>×</w:t>
            </w:r>
            <w:r>
              <w:rPr>
                <w:rFonts w:hAnsi="宋体"/>
                <w:color w:val="auto"/>
                <w:highlight w:val="none"/>
              </w:rPr>
              <w:t xml:space="preserve"> LAN</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9、配置要求：主机1台；</w:t>
            </w:r>
            <w:r>
              <w:rPr>
                <w:rFonts w:hAnsi="宋体"/>
                <w:color w:val="auto"/>
                <w:highlight w:val="none"/>
              </w:rPr>
              <w:t>ErgoClip</w:t>
            </w:r>
            <w:r>
              <w:rPr>
                <w:rFonts w:hint="eastAsia" w:hAnsi="宋体"/>
                <w:color w:val="auto"/>
                <w:highlight w:val="none"/>
              </w:rPr>
              <w:t>小型易巧称量篮1套；</w:t>
            </w:r>
            <w:r>
              <w:rPr>
                <w:rFonts w:hAnsi="宋体"/>
                <w:color w:val="auto"/>
                <w:highlight w:val="none"/>
              </w:rPr>
              <w:t>SmartPrep</w:t>
            </w:r>
            <w:r>
              <w:rPr>
                <w:rFonts w:hint="eastAsia" w:hAnsi="宋体"/>
                <w:color w:val="auto"/>
                <w:highlight w:val="none"/>
              </w:rPr>
              <w:t>称量漏斗1套；LabX软件1套；</w:t>
            </w:r>
          </w:p>
          <w:p>
            <w:pPr>
              <w:pStyle w:val="2"/>
              <w:rPr>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台</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1</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22"/>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kern w:val="0"/>
                <w:highlight w:val="none"/>
              </w:rPr>
            </w:pPr>
            <w:r>
              <w:rPr>
                <w:rFonts w:hint="eastAsia" w:ascii="宋体" w:hAnsi="宋体" w:cs="宋体"/>
                <w:color w:val="auto"/>
                <w:kern w:val="0"/>
                <w:highlight w:val="none"/>
              </w:rPr>
              <w:t>超低温冰箱</w:t>
            </w:r>
          </w:p>
        </w:tc>
        <w:tc>
          <w:tcPr>
            <w:tcW w:w="5862" w:type="dxa"/>
            <w:shd w:val="clear" w:color="auto" w:fill="auto"/>
            <w:vAlign w:val="center"/>
          </w:tcPr>
          <w:p>
            <w:pPr>
              <w:spacing w:line="240" w:lineRule="auto"/>
              <w:ind w:firstLine="0" w:firstLineChars="0"/>
              <w:rPr>
                <w:color w:val="auto"/>
                <w:highlight w:val="none"/>
              </w:rPr>
            </w:pPr>
            <w:r>
              <w:rPr>
                <w:rFonts w:hint="eastAsia"/>
                <w:color w:val="auto"/>
                <w:highlight w:val="none"/>
              </w:rPr>
              <w:t>1、温度范围（室温30℃时）：-50℃至-86℃；</w:t>
            </w:r>
          </w:p>
          <w:p>
            <w:pPr>
              <w:spacing w:line="240" w:lineRule="auto"/>
              <w:ind w:firstLine="0" w:firstLineChars="0"/>
              <w:rPr>
                <w:color w:val="auto"/>
                <w:highlight w:val="none"/>
              </w:rPr>
            </w:pPr>
            <w:r>
              <w:rPr>
                <w:rFonts w:hint="eastAsia"/>
                <w:color w:val="auto"/>
                <w:highlight w:val="none"/>
              </w:rPr>
              <w:t>▲2、有效容积：≥519L；</w:t>
            </w:r>
          </w:p>
          <w:p>
            <w:pPr>
              <w:spacing w:line="240" w:lineRule="auto"/>
              <w:ind w:firstLine="0" w:firstLineChars="0"/>
              <w:rPr>
                <w:color w:val="auto"/>
                <w:highlight w:val="none"/>
              </w:rPr>
            </w:pPr>
            <w:r>
              <w:rPr>
                <w:rFonts w:hint="eastAsia"/>
                <w:color w:val="auto"/>
                <w:highlight w:val="none"/>
              </w:rPr>
              <w:t>3、箱体高度：＜2米；</w:t>
            </w:r>
          </w:p>
          <w:p>
            <w:pPr>
              <w:spacing w:line="240" w:lineRule="auto"/>
              <w:ind w:firstLine="0" w:firstLineChars="0"/>
              <w:rPr>
                <w:color w:val="auto"/>
                <w:highlight w:val="none"/>
              </w:rPr>
            </w:pPr>
            <w:r>
              <w:rPr>
                <w:rFonts w:hint="eastAsia" w:hAnsi="宋体"/>
                <w:color w:val="auto"/>
                <w:highlight w:val="none"/>
              </w:rPr>
              <w:t>▲</w:t>
            </w:r>
            <w:r>
              <w:rPr>
                <w:rFonts w:hint="eastAsia"/>
                <w:color w:val="auto"/>
                <w:highlight w:val="none"/>
              </w:rPr>
              <w:t>4、占地面积：＜0.67平方米，箱体壁厚：≤7cm，降低用低面积要求；</w:t>
            </w:r>
          </w:p>
          <w:p>
            <w:pPr>
              <w:spacing w:line="240" w:lineRule="auto"/>
              <w:ind w:firstLine="0" w:firstLineChars="0"/>
              <w:rPr>
                <w:color w:val="auto"/>
                <w:highlight w:val="none"/>
              </w:rPr>
            </w:pPr>
            <w:r>
              <w:rPr>
                <w:rFonts w:hint="eastAsia"/>
                <w:color w:val="auto"/>
                <w:highlight w:val="none"/>
              </w:rPr>
              <w:t>5、内外表面：烤漆聚丙烯镀层钢板；</w:t>
            </w:r>
          </w:p>
          <w:p>
            <w:pPr>
              <w:spacing w:line="240" w:lineRule="auto"/>
              <w:ind w:firstLine="0" w:firstLineChars="0"/>
              <w:rPr>
                <w:color w:val="auto"/>
                <w:highlight w:val="none"/>
              </w:rPr>
            </w:pPr>
            <w:r>
              <w:rPr>
                <w:rFonts w:hint="eastAsia"/>
                <w:color w:val="auto"/>
                <w:highlight w:val="none"/>
              </w:rPr>
              <w:t>6、箱体隔热材料：采用多层独立的真空隔热板包覆无氟硬聚安酯发泡密闭隔热层；</w:t>
            </w:r>
          </w:p>
          <w:p>
            <w:pPr>
              <w:spacing w:line="240" w:lineRule="auto"/>
              <w:ind w:firstLine="0" w:firstLineChars="0"/>
              <w:rPr>
                <w:color w:val="auto"/>
                <w:highlight w:val="none"/>
              </w:rPr>
            </w:pPr>
            <w:r>
              <w:rPr>
                <w:rFonts w:hint="eastAsia"/>
                <w:color w:val="auto"/>
                <w:highlight w:val="none"/>
              </w:rPr>
              <w:t>▲7、压缩机：2个独立压缩机组的级联式循环方式；</w:t>
            </w:r>
          </w:p>
          <w:p>
            <w:pPr>
              <w:spacing w:line="240" w:lineRule="auto"/>
              <w:ind w:firstLine="0" w:firstLineChars="0"/>
              <w:rPr>
                <w:color w:val="auto"/>
                <w:highlight w:val="none"/>
              </w:rPr>
            </w:pPr>
            <w:r>
              <w:rPr>
                <w:rFonts w:hint="eastAsia"/>
                <w:color w:val="auto"/>
                <w:highlight w:val="none"/>
              </w:rPr>
              <w:t>8、外门：1个，带一个防滑可单手操作的大把手；</w:t>
            </w:r>
          </w:p>
          <w:p>
            <w:pPr>
              <w:spacing w:line="240" w:lineRule="auto"/>
              <w:ind w:firstLine="0" w:firstLineChars="0"/>
              <w:rPr>
                <w:color w:val="auto"/>
                <w:highlight w:val="none"/>
              </w:rPr>
            </w:pPr>
            <w:r>
              <w:rPr>
                <w:rFonts w:hint="eastAsia"/>
                <w:color w:val="auto"/>
                <w:highlight w:val="none"/>
              </w:rPr>
              <w:t>9、内门：2个独立不锈钢框架内门，高强度ABS板材配合无氟发泡隔热材料；</w:t>
            </w:r>
          </w:p>
          <w:p>
            <w:pPr>
              <w:spacing w:line="240" w:lineRule="auto"/>
              <w:ind w:firstLine="0" w:firstLineChars="0"/>
              <w:rPr>
                <w:color w:val="auto"/>
                <w:highlight w:val="none"/>
              </w:rPr>
            </w:pPr>
            <w:r>
              <w:rPr>
                <w:rFonts w:hint="eastAsia"/>
                <w:color w:val="auto"/>
                <w:highlight w:val="none"/>
              </w:rPr>
              <w:t>10、密封垫圈：分别配合内门和外门的2个独立的压缩式垫圈，外加外门的一个磁性门垫圈，完全隔绝空气对流，减少门上结霜；</w:t>
            </w:r>
          </w:p>
          <w:p>
            <w:pPr>
              <w:spacing w:line="240" w:lineRule="auto"/>
              <w:ind w:firstLine="0" w:firstLineChars="0"/>
              <w:rPr>
                <w:color w:val="auto"/>
                <w:highlight w:val="none"/>
              </w:rPr>
            </w:pPr>
            <w:r>
              <w:rPr>
                <w:rFonts w:hint="eastAsia"/>
                <w:color w:val="auto"/>
                <w:highlight w:val="none"/>
              </w:rPr>
              <w:t>11、搁架：3个独立可调节的不锈钢搁板；</w:t>
            </w:r>
          </w:p>
          <w:p>
            <w:pPr>
              <w:spacing w:line="240" w:lineRule="auto"/>
              <w:ind w:firstLine="0" w:firstLineChars="0"/>
              <w:rPr>
                <w:color w:val="auto"/>
                <w:highlight w:val="none"/>
              </w:rPr>
            </w:pPr>
            <w:r>
              <w:rPr>
                <w:rFonts w:hint="eastAsia"/>
                <w:color w:val="auto"/>
                <w:highlight w:val="none"/>
              </w:rPr>
              <w:t>12、脚轮：4个(其中2个可调节高度)；</w:t>
            </w:r>
          </w:p>
          <w:p>
            <w:pPr>
              <w:spacing w:line="240" w:lineRule="auto"/>
              <w:ind w:firstLine="0" w:firstLineChars="0"/>
              <w:rPr>
                <w:color w:val="auto"/>
                <w:highlight w:val="none"/>
              </w:rPr>
            </w:pPr>
            <w:r>
              <w:rPr>
                <w:rFonts w:hint="eastAsia"/>
                <w:color w:val="auto"/>
                <w:highlight w:val="none"/>
              </w:rPr>
              <w:t>13、检测孔：2个(后板上端1个，底板右侧1个，直径17mm)；</w:t>
            </w:r>
          </w:p>
          <w:p>
            <w:pPr>
              <w:spacing w:line="240" w:lineRule="auto"/>
              <w:ind w:firstLine="0" w:firstLineChars="0"/>
              <w:rPr>
                <w:color w:val="auto"/>
                <w:highlight w:val="none"/>
              </w:rPr>
            </w:pPr>
            <w:r>
              <w:rPr>
                <w:rFonts w:hint="eastAsia"/>
                <w:color w:val="auto"/>
                <w:highlight w:val="none"/>
              </w:rPr>
              <w:t>14、降噪装置：细玻璃纤维吸音装置；单独隔离的冷冻机组；冷凝器风扇降噪设计；所有制冷组件的防振缓冲安装方式；</w:t>
            </w:r>
          </w:p>
          <w:p>
            <w:pPr>
              <w:spacing w:line="240" w:lineRule="auto"/>
              <w:ind w:firstLine="0" w:firstLineChars="0"/>
              <w:rPr>
                <w:color w:val="auto"/>
                <w:highlight w:val="none"/>
              </w:rPr>
            </w:pPr>
            <w:r>
              <w:rPr>
                <w:rFonts w:hint="eastAsia"/>
                <w:color w:val="auto"/>
                <w:highlight w:val="none"/>
              </w:rPr>
              <w:t>15、功率：≤1100W；</w:t>
            </w:r>
          </w:p>
          <w:p>
            <w:pPr>
              <w:spacing w:line="240" w:lineRule="auto"/>
              <w:ind w:firstLine="0" w:firstLineChars="0"/>
              <w:rPr>
                <w:color w:val="auto"/>
                <w:highlight w:val="none"/>
              </w:rPr>
            </w:pPr>
            <w:r>
              <w:rPr>
                <w:rFonts w:hint="eastAsia"/>
                <w:color w:val="auto"/>
                <w:highlight w:val="none"/>
              </w:rPr>
              <w:t>16、开机延时：断电恢复后2-15分钟开机可选；</w:t>
            </w:r>
          </w:p>
          <w:p>
            <w:pPr>
              <w:spacing w:line="240" w:lineRule="auto"/>
              <w:ind w:firstLine="0" w:firstLineChars="0"/>
              <w:rPr>
                <w:color w:val="auto"/>
                <w:highlight w:val="none"/>
              </w:rPr>
            </w:pPr>
            <w:r>
              <w:rPr>
                <w:rFonts w:hint="eastAsia"/>
                <w:color w:val="auto"/>
                <w:highlight w:val="none"/>
              </w:rPr>
              <w:t>17、过滤网警报：有；</w:t>
            </w:r>
          </w:p>
          <w:p>
            <w:pPr>
              <w:spacing w:line="240" w:lineRule="auto"/>
              <w:ind w:firstLine="0" w:firstLineChars="0"/>
              <w:rPr>
                <w:color w:val="auto"/>
                <w:highlight w:val="none"/>
              </w:rPr>
            </w:pPr>
            <w:r>
              <w:rPr>
                <w:rFonts w:hint="eastAsia"/>
                <w:color w:val="auto"/>
                <w:highlight w:val="none"/>
              </w:rPr>
              <w:t>18、可清洗进气过滤网：有；</w:t>
            </w:r>
          </w:p>
          <w:p>
            <w:pPr>
              <w:spacing w:line="240" w:lineRule="auto"/>
              <w:ind w:firstLine="0" w:firstLineChars="0"/>
              <w:rPr>
                <w:color w:val="auto"/>
                <w:highlight w:val="none"/>
              </w:rPr>
            </w:pPr>
            <w:r>
              <w:rPr>
                <w:rFonts w:hint="eastAsia"/>
                <w:color w:val="auto"/>
                <w:highlight w:val="none"/>
              </w:rPr>
              <w:t>19、故障预警按钮：STATUS按钮，可在故障发生之前报警提示，例如环境温度过高，电源发生不稳时,压缩机工作效率降低时；</w:t>
            </w:r>
          </w:p>
          <w:p>
            <w:pPr>
              <w:spacing w:line="240" w:lineRule="auto"/>
              <w:ind w:firstLine="0" w:firstLineChars="0"/>
              <w:rPr>
                <w:color w:val="auto"/>
                <w:highlight w:val="none"/>
              </w:rPr>
            </w:pPr>
            <w:r>
              <w:rPr>
                <w:rFonts w:hint="eastAsia"/>
                <w:color w:val="auto"/>
                <w:highlight w:val="none"/>
              </w:rPr>
              <w:t>20、配置：超低温冰箱主机1台，除冰铲1个，不锈钢搁板3个；</w:t>
            </w:r>
          </w:p>
          <w:p>
            <w:pPr>
              <w:spacing w:line="240" w:lineRule="auto"/>
              <w:ind w:firstLine="0" w:firstLineChars="0"/>
              <w:rPr>
                <w:rFonts w:hAnsi="宋体"/>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三年,压缩机五年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台</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2</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22"/>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b/>
                <w:bCs/>
                <w:color w:val="auto"/>
                <w:kern w:val="0"/>
                <w:highlight w:val="none"/>
              </w:rPr>
            </w:pPr>
            <w:r>
              <w:rPr>
                <w:rFonts w:hint="eastAsia" w:ascii="宋体" w:hAnsi="宋体" w:cs="宋体"/>
                <w:color w:val="auto"/>
                <w:kern w:val="0"/>
                <w:highlight w:val="none"/>
              </w:rPr>
              <w:t>高速冷冻微量离心机</w:t>
            </w:r>
          </w:p>
        </w:tc>
        <w:tc>
          <w:tcPr>
            <w:tcW w:w="5862" w:type="dxa"/>
            <w:shd w:val="clear" w:color="auto" w:fill="auto"/>
            <w:vAlign w:val="center"/>
          </w:tcPr>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1、最大相对离心力（</w:t>
            </w:r>
            <w:r>
              <w:rPr>
                <w:rFonts w:hAnsi="宋体"/>
                <w:color w:val="auto"/>
                <w:highlight w:val="none"/>
              </w:rPr>
              <w:t>rcf</w:t>
            </w:r>
            <w:r>
              <w:rPr>
                <w:rFonts w:hint="eastAsia" w:hAnsi="宋体"/>
                <w:color w:val="auto"/>
                <w:highlight w:val="none"/>
              </w:rPr>
              <w:t>）：</w:t>
            </w:r>
            <w:r>
              <w:rPr>
                <w:rFonts w:hAnsi="宋体"/>
                <w:color w:val="auto"/>
                <w:highlight w:val="none"/>
              </w:rPr>
              <w:t xml:space="preserve"> 21130</w:t>
            </w:r>
            <w:r>
              <w:rPr>
                <w:rFonts w:hint="eastAsia" w:hAnsi="宋体"/>
                <w:color w:val="auto"/>
                <w:highlight w:val="none"/>
              </w:rPr>
              <w:t>×</w:t>
            </w:r>
            <w:r>
              <w:rPr>
                <w:rFonts w:hAnsi="宋体"/>
                <w:color w:val="auto"/>
                <w:highlight w:val="none"/>
              </w:rPr>
              <w:t>g</w:t>
            </w:r>
            <w:r>
              <w:rPr>
                <w:rFonts w:hint="eastAsia" w:hAnsi="宋体"/>
                <w:color w:val="auto"/>
                <w:highlight w:val="none"/>
              </w:rPr>
              <w:t>（</w:t>
            </w:r>
            <w:r>
              <w:rPr>
                <w:rFonts w:hAnsi="宋体"/>
                <w:color w:val="auto"/>
                <w:highlight w:val="none"/>
              </w:rPr>
              <w:t>15,000 rpm</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2、转速</w:t>
            </w:r>
            <w:r>
              <w:rPr>
                <w:rFonts w:hAnsi="宋体"/>
                <w:color w:val="auto"/>
                <w:highlight w:val="none"/>
              </w:rPr>
              <w:t>/</w:t>
            </w:r>
            <w:r>
              <w:rPr>
                <w:rFonts w:hint="eastAsia" w:hAnsi="宋体"/>
                <w:color w:val="auto"/>
                <w:highlight w:val="none"/>
              </w:rPr>
              <w:t>离心力：</w:t>
            </w:r>
            <w:r>
              <w:rPr>
                <w:rFonts w:hAnsi="宋体"/>
                <w:color w:val="auto"/>
                <w:highlight w:val="none"/>
              </w:rPr>
              <w:t>100</w:t>
            </w:r>
            <w:r>
              <w:rPr>
                <w:rFonts w:hint="eastAsia" w:hAnsi="宋体"/>
                <w:color w:val="auto"/>
                <w:highlight w:val="none"/>
              </w:rPr>
              <w:t>‐</w:t>
            </w:r>
            <w:r>
              <w:rPr>
                <w:rFonts w:hAnsi="宋体"/>
                <w:color w:val="auto"/>
                <w:highlight w:val="none"/>
              </w:rPr>
              <w:t>15,000 rpm</w:t>
            </w:r>
            <w:r>
              <w:rPr>
                <w:rFonts w:hint="eastAsia" w:hAnsi="宋体"/>
                <w:color w:val="auto"/>
                <w:highlight w:val="none"/>
              </w:rPr>
              <w:t>，</w:t>
            </w:r>
            <w:r>
              <w:rPr>
                <w:rFonts w:hAnsi="宋体"/>
                <w:color w:val="auto"/>
                <w:highlight w:val="none"/>
              </w:rPr>
              <w:t xml:space="preserve">50 rpm </w:t>
            </w:r>
            <w:r>
              <w:rPr>
                <w:rFonts w:hint="eastAsia" w:hAnsi="宋体"/>
                <w:color w:val="auto"/>
                <w:highlight w:val="none"/>
              </w:rPr>
              <w:t>递增，</w:t>
            </w:r>
            <w:r>
              <w:rPr>
                <w:rFonts w:hAnsi="宋体"/>
                <w:color w:val="auto"/>
                <w:highlight w:val="none"/>
              </w:rPr>
              <w:t xml:space="preserve"> 1 x g</w:t>
            </w:r>
            <w:r>
              <w:rPr>
                <w:rFonts w:hint="eastAsia" w:hAnsi="宋体"/>
                <w:color w:val="auto"/>
                <w:highlight w:val="none"/>
              </w:rPr>
              <w:t>；</w:t>
            </w:r>
            <w:r>
              <w:rPr>
                <w:rFonts w:hAnsi="宋体"/>
                <w:color w:val="auto"/>
                <w:highlight w:val="none"/>
              </w:rPr>
              <w:t xml:space="preserve">50 </w:t>
            </w:r>
            <w:r>
              <w:rPr>
                <w:rFonts w:hint="eastAsia" w:hAnsi="宋体"/>
                <w:color w:val="auto"/>
                <w:highlight w:val="none"/>
              </w:rPr>
              <w:t>‐</w:t>
            </w:r>
            <w:r>
              <w:rPr>
                <w:rFonts w:hAnsi="宋体"/>
                <w:color w:val="auto"/>
                <w:highlight w:val="none"/>
              </w:rPr>
              <w:t xml:space="preserve"> 21,100 x g, 50 x g </w:t>
            </w:r>
            <w:r>
              <w:rPr>
                <w:rFonts w:hint="eastAsia" w:hAnsi="宋体"/>
                <w:color w:val="auto"/>
                <w:highlight w:val="none"/>
              </w:rPr>
              <w:t>递增；</w:t>
            </w:r>
            <w:r>
              <w:rPr>
                <w:rFonts w:hAnsi="宋体"/>
                <w:color w:val="auto"/>
                <w:highlight w:val="none"/>
              </w:rPr>
              <w:t>21,130 x g</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3、离心时间：</w:t>
            </w:r>
            <w:r>
              <w:rPr>
                <w:rFonts w:hAnsi="宋体"/>
                <w:color w:val="auto"/>
                <w:highlight w:val="none"/>
              </w:rPr>
              <w:t>30 s</w:t>
            </w:r>
            <w:r>
              <w:rPr>
                <w:rFonts w:hint="eastAsia" w:hAnsi="宋体"/>
                <w:color w:val="auto"/>
                <w:highlight w:val="none"/>
              </w:rPr>
              <w:t>-</w:t>
            </w:r>
            <w:r>
              <w:rPr>
                <w:rFonts w:hAnsi="宋体"/>
                <w:color w:val="auto"/>
                <w:highlight w:val="none"/>
              </w:rPr>
              <w:t>10 min</w:t>
            </w:r>
            <w:r>
              <w:rPr>
                <w:rFonts w:hint="eastAsia" w:hAnsi="宋体"/>
                <w:color w:val="auto"/>
                <w:highlight w:val="none"/>
              </w:rPr>
              <w:t>，</w:t>
            </w:r>
            <w:r>
              <w:rPr>
                <w:rFonts w:hAnsi="宋体"/>
                <w:color w:val="auto"/>
                <w:highlight w:val="none"/>
              </w:rPr>
              <w:t xml:space="preserve">30 s </w:t>
            </w:r>
            <w:r>
              <w:rPr>
                <w:rFonts w:hint="eastAsia" w:hAnsi="宋体"/>
                <w:color w:val="auto"/>
                <w:highlight w:val="none"/>
              </w:rPr>
              <w:t>递增；</w:t>
            </w:r>
            <w:r>
              <w:rPr>
                <w:rFonts w:hAnsi="宋体"/>
                <w:color w:val="auto"/>
                <w:highlight w:val="none"/>
              </w:rPr>
              <w:t>10 min</w:t>
            </w:r>
            <w:r>
              <w:rPr>
                <w:rFonts w:hint="eastAsia" w:hAnsi="宋体"/>
                <w:color w:val="auto"/>
                <w:highlight w:val="none"/>
              </w:rPr>
              <w:t>-</w:t>
            </w:r>
            <w:r>
              <w:rPr>
                <w:rFonts w:hAnsi="宋体"/>
                <w:color w:val="auto"/>
                <w:highlight w:val="none"/>
              </w:rPr>
              <w:t>9 h 59 min</w:t>
            </w:r>
            <w:r>
              <w:rPr>
                <w:rFonts w:hint="eastAsia" w:hAnsi="宋体"/>
                <w:color w:val="auto"/>
                <w:highlight w:val="none"/>
              </w:rPr>
              <w:t>，</w:t>
            </w:r>
            <w:r>
              <w:rPr>
                <w:rFonts w:hAnsi="宋体"/>
                <w:color w:val="auto"/>
                <w:highlight w:val="none"/>
              </w:rPr>
              <w:t xml:space="preserve">1 min </w:t>
            </w:r>
            <w:r>
              <w:rPr>
                <w:rFonts w:hint="eastAsia" w:hAnsi="宋体"/>
                <w:color w:val="auto"/>
                <w:highlight w:val="none"/>
              </w:rPr>
              <w:t>递增；连续离心；</w:t>
            </w:r>
          </w:p>
          <w:p>
            <w:pPr>
              <w:spacing w:line="240" w:lineRule="auto"/>
              <w:ind w:firstLine="0" w:firstLineChars="0"/>
              <w:rPr>
                <w:rFonts w:hAnsi="宋体"/>
                <w:color w:val="auto"/>
                <w:highlight w:val="none"/>
              </w:rPr>
            </w:pPr>
            <w:r>
              <w:rPr>
                <w:rFonts w:hint="eastAsia" w:hAnsi="宋体"/>
                <w:color w:val="auto"/>
                <w:highlight w:val="none"/>
              </w:rPr>
              <w:t>4、最大转子容量</w:t>
            </w:r>
            <w:r>
              <w:rPr>
                <w:rFonts w:hAnsi="宋体"/>
                <w:color w:val="auto"/>
                <w:highlight w:val="none"/>
              </w:rPr>
              <w:t xml:space="preserve"> 24 </w:t>
            </w:r>
            <w:r>
              <w:rPr>
                <w:rFonts w:hint="eastAsia" w:hAnsi="宋体"/>
                <w:color w:val="auto"/>
                <w:highlight w:val="none"/>
              </w:rPr>
              <w:t>×</w:t>
            </w:r>
            <w:r>
              <w:rPr>
                <w:rFonts w:hAnsi="宋体"/>
                <w:color w:val="auto"/>
                <w:highlight w:val="none"/>
              </w:rPr>
              <w:t xml:space="preserve"> 1.5/2.0 mL </w:t>
            </w:r>
            <w:r>
              <w:rPr>
                <w:rFonts w:hint="eastAsia" w:hAnsi="宋体"/>
                <w:color w:val="auto"/>
                <w:highlight w:val="none"/>
              </w:rPr>
              <w:t>离心管；</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5、噪音水平：</w:t>
            </w:r>
            <w:r>
              <w:rPr>
                <w:rFonts w:hAnsi="宋体"/>
                <w:color w:val="auto"/>
                <w:highlight w:val="none"/>
              </w:rPr>
              <w:t>54 dB(A)</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6、从零加速至最高转速的时间：≤</w:t>
            </w:r>
            <w:r>
              <w:rPr>
                <w:rFonts w:hAnsi="宋体"/>
                <w:color w:val="auto"/>
                <w:highlight w:val="none"/>
              </w:rPr>
              <w:t xml:space="preserve">15 </w:t>
            </w:r>
            <w:r>
              <w:rPr>
                <w:rFonts w:hint="eastAsia" w:hAnsi="宋体"/>
                <w:color w:val="auto"/>
                <w:highlight w:val="none"/>
              </w:rPr>
              <w:t>秒，从最高转速降速至零的时间：≤</w:t>
            </w:r>
            <w:r>
              <w:rPr>
                <w:rFonts w:hAnsi="宋体"/>
                <w:color w:val="auto"/>
                <w:highlight w:val="none"/>
              </w:rPr>
              <w:t xml:space="preserve">16 </w:t>
            </w:r>
            <w:r>
              <w:rPr>
                <w:rFonts w:hint="eastAsia" w:hAnsi="宋体"/>
                <w:color w:val="auto"/>
                <w:highlight w:val="none"/>
              </w:rPr>
              <w:t>秒；</w:t>
            </w:r>
          </w:p>
          <w:p>
            <w:pPr>
              <w:spacing w:line="240" w:lineRule="auto"/>
              <w:ind w:firstLine="0" w:firstLineChars="0"/>
              <w:rPr>
                <w:rFonts w:hAnsi="宋体"/>
                <w:color w:val="auto"/>
                <w:highlight w:val="none"/>
              </w:rPr>
            </w:pPr>
            <w:r>
              <w:rPr>
                <w:rFonts w:hint="eastAsia" w:hAnsi="宋体"/>
                <w:color w:val="auto"/>
                <w:highlight w:val="none"/>
              </w:rPr>
              <w:t>7、离心计时：</w:t>
            </w:r>
            <w:r>
              <w:rPr>
                <w:rFonts w:hAnsi="宋体"/>
                <w:color w:val="auto"/>
                <w:highlight w:val="none"/>
              </w:rPr>
              <w:t xml:space="preserve">30 </w:t>
            </w:r>
            <w:r>
              <w:rPr>
                <w:rFonts w:hint="eastAsia" w:hAnsi="宋体"/>
                <w:color w:val="auto"/>
                <w:highlight w:val="none"/>
              </w:rPr>
              <w:t>秒</w:t>
            </w:r>
            <w:r>
              <w:rPr>
                <w:rFonts w:hAnsi="宋体"/>
                <w:color w:val="auto"/>
                <w:highlight w:val="none"/>
              </w:rPr>
              <w:t xml:space="preserve">- 9 </w:t>
            </w:r>
            <w:r>
              <w:rPr>
                <w:rFonts w:hint="eastAsia" w:hAnsi="宋体"/>
                <w:color w:val="auto"/>
                <w:highlight w:val="none"/>
              </w:rPr>
              <w:t>小时</w:t>
            </w:r>
            <w:r>
              <w:rPr>
                <w:rFonts w:hAnsi="宋体"/>
                <w:color w:val="auto"/>
                <w:highlight w:val="none"/>
              </w:rPr>
              <w:t xml:space="preserve">59 </w:t>
            </w:r>
            <w:r>
              <w:rPr>
                <w:rFonts w:hint="eastAsia" w:hAnsi="宋体"/>
                <w:color w:val="auto"/>
                <w:highlight w:val="none"/>
              </w:rPr>
              <w:t>分钟，可连续离心；</w:t>
            </w:r>
          </w:p>
          <w:p>
            <w:pPr>
              <w:spacing w:line="240" w:lineRule="auto"/>
              <w:ind w:firstLine="0" w:firstLineChars="0"/>
              <w:rPr>
                <w:rFonts w:hAnsi="宋体"/>
                <w:color w:val="auto"/>
                <w:highlight w:val="none"/>
              </w:rPr>
            </w:pPr>
            <w:r>
              <w:rPr>
                <w:rFonts w:hint="eastAsia" w:hAnsi="宋体"/>
                <w:color w:val="auto"/>
                <w:highlight w:val="none"/>
              </w:rPr>
              <w:t>8、离心机盖设计确保静音操作，即使不盖转子盖离心也非常安静；</w:t>
            </w:r>
          </w:p>
          <w:p>
            <w:pPr>
              <w:spacing w:line="240" w:lineRule="auto"/>
              <w:ind w:firstLine="0" w:firstLineChars="0"/>
              <w:rPr>
                <w:rFonts w:hAnsi="宋体"/>
                <w:color w:val="auto"/>
                <w:highlight w:val="none"/>
              </w:rPr>
            </w:pPr>
            <w:r>
              <w:rPr>
                <w:rFonts w:hint="eastAsia" w:hAnsi="宋体"/>
                <w:color w:val="auto"/>
                <w:highlight w:val="none"/>
              </w:rPr>
              <w:t>9、软刹车功能，防止重悬，保护敏感样品；</w:t>
            </w:r>
          </w:p>
          <w:p>
            <w:pPr>
              <w:spacing w:line="240" w:lineRule="auto"/>
              <w:ind w:firstLine="0" w:firstLineChars="0"/>
              <w:rPr>
                <w:rFonts w:hAnsi="宋体"/>
                <w:color w:val="auto"/>
                <w:highlight w:val="none"/>
              </w:rPr>
            </w:pPr>
            <w:r>
              <w:rPr>
                <w:rFonts w:hint="eastAsia" w:hAnsi="宋体"/>
                <w:color w:val="auto"/>
                <w:highlight w:val="none"/>
              </w:rPr>
              <w:t>10、铝合金材质转子；</w:t>
            </w:r>
          </w:p>
          <w:p>
            <w:pPr>
              <w:spacing w:line="240" w:lineRule="auto"/>
              <w:ind w:firstLine="0" w:firstLineChars="0"/>
              <w:rPr>
                <w:rFonts w:hAnsi="宋体"/>
                <w:color w:val="auto"/>
                <w:highlight w:val="none"/>
              </w:rPr>
            </w:pPr>
            <w:r>
              <w:rPr>
                <w:rFonts w:hint="eastAsia" w:hAnsi="宋体"/>
                <w:color w:val="auto"/>
                <w:highlight w:val="none"/>
              </w:rPr>
              <w:t>11、瞬时离心按键，便于快速离心；</w:t>
            </w:r>
          </w:p>
          <w:p>
            <w:pPr>
              <w:spacing w:line="240" w:lineRule="auto"/>
              <w:ind w:firstLine="0" w:firstLineChars="0"/>
              <w:rPr>
                <w:rFonts w:hAnsi="宋体"/>
                <w:color w:val="auto"/>
                <w:highlight w:val="none"/>
              </w:rPr>
            </w:pPr>
            <w:r>
              <w:rPr>
                <w:rFonts w:hint="eastAsia" w:hAnsi="宋体"/>
                <w:color w:val="auto"/>
                <w:highlight w:val="none"/>
              </w:rPr>
              <w:t>12、</w:t>
            </w:r>
            <w:r>
              <w:rPr>
                <w:rFonts w:hAnsi="宋体"/>
                <w:color w:val="auto"/>
                <w:highlight w:val="none"/>
              </w:rPr>
              <w:t>rpm</w:t>
            </w:r>
            <w:r>
              <w:rPr>
                <w:rFonts w:hint="eastAsia" w:hAnsi="宋体"/>
                <w:color w:val="auto"/>
                <w:highlight w:val="none"/>
              </w:rPr>
              <w:t>（转速）</w:t>
            </w:r>
            <w:r>
              <w:rPr>
                <w:rFonts w:hAnsi="宋体"/>
                <w:color w:val="auto"/>
                <w:highlight w:val="none"/>
              </w:rPr>
              <w:t>/ rcf</w:t>
            </w:r>
            <w:r>
              <w:rPr>
                <w:rFonts w:hint="eastAsia" w:hAnsi="宋体"/>
                <w:color w:val="auto"/>
                <w:highlight w:val="none"/>
              </w:rPr>
              <w:t>（相对离心力）转换按键；</w:t>
            </w:r>
          </w:p>
          <w:p>
            <w:pPr>
              <w:spacing w:line="240" w:lineRule="auto"/>
              <w:ind w:firstLine="0" w:firstLineChars="0"/>
              <w:rPr>
                <w:rFonts w:hAnsi="宋体"/>
                <w:color w:val="auto"/>
                <w:highlight w:val="none"/>
              </w:rPr>
            </w:pPr>
            <w:r>
              <w:rPr>
                <w:rFonts w:hint="eastAsia" w:hAnsi="宋体"/>
                <w:color w:val="auto"/>
                <w:highlight w:val="none"/>
              </w:rPr>
              <w:t>13、离心机结束后离心机盖自动打开防止样品过热，便于取放样品；</w:t>
            </w:r>
          </w:p>
          <w:p>
            <w:pPr>
              <w:spacing w:line="240" w:lineRule="auto"/>
              <w:ind w:firstLine="0" w:firstLineChars="0"/>
              <w:rPr>
                <w:rFonts w:hAnsi="宋体"/>
                <w:color w:val="auto"/>
                <w:highlight w:val="none"/>
              </w:rPr>
            </w:pPr>
            <w:r>
              <w:rPr>
                <w:rFonts w:hint="eastAsia" w:hAnsi="宋体"/>
                <w:color w:val="auto"/>
                <w:highlight w:val="none"/>
              </w:rPr>
              <w:t>14、定速计时功能，可在达到预定转速后再倒计时确保离心效果；</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15、具有气密性转子盖，转子气密性经由英国</w:t>
            </w:r>
            <w:r>
              <w:rPr>
                <w:rFonts w:hAnsi="宋体"/>
                <w:color w:val="auto"/>
                <w:highlight w:val="none"/>
              </w:rPr>
              <w:t>Proton Down</w:t>
            </w:r>
            <w:r>
              <w:rPr>
                <w:rFonts w:hint="eastAsia" w:hAnsi="宋体"/>
                <w:color w:val="auto"/>
                <w:highlight w:val="none"/>
              </w:rPr>
              <w:t>的应用微生物研究中心（</w:t>
            </w:r>
            <w:r>
              <w:rPr>
                <w:rFonts w:hAnsi="宋体"/>
                <w:color w:val="auto"/>
                <w:highlight w:val="none"/>
              </w:rPr>
              <w:t>CAMR</w:t>
            </w:r>
            <w:r>
              <w:rPr>
                <w:rFonts w:hint="eastAsia" w:hAnsi="宋体"/>
                <w:color w:val="auto"/>
                <w:highlight w:val="none"/>
              </w:rPr>
              <w:t>）测试并认证，可高温高压灭菌；</w:t>
            </w:r>
          </w:p>
          <w:p>
            <w:pPr>
              <w:spacing w:line="240" w:lineRule="auto"/>
              <w:ind w:firstLine="0" w:firstLineChars="0"/>
              <w:rPr>
                <w:rFonts w:hAnsi="宋体"/>
                <w:color w:val="auto"/>
                <w:highlight w:val="none"/>
              </w:rPr>
            </w:pPr>
            <w:r>
              <w:rPr>
                <w:rFonts w:hint="eastAsia" w:hAnsi="宋体"/>
                <w:color w:val="auto"/>
                <w:highlight w:val="none"/>
              </w:rPr>
              <w:t>16、温控范围：</w:t>
            </w:r>
            <w:r>
              <w:rPr>
                <w:rFonts w:hAnsi="宋体"/>
                <w:color w:val="auto"/>
                <w:highlight w:val="none"/>
              </w:rPr>
              <w:t xml:space="preserve">-10 </w:t>
            </w:r>
            <w:r>
              <w:rPr>
                <w:rFonts w:hint="eastAsia" w:hAnsi="宋体"/>
                <w:color w:val="auto"/>
                <w:highlight w:val="none"/>
              </w:rPr>
              <w:t>°</w:t>
            </w:r>
            <w:r>
              <w:rPr>
                <w:rFonts w:hAnsi="宋体"/>
                <w:color w:val="auto"/>
                <w:highlight w:val="none"/>
              </w:rPr>
              <w:t xml:space="preserve">C </w:t>
            </w:r>
            <w:r>
              <w:rPr>
                <w:rFonts w:hint="eastAsia" w:hAnsi="宋体"/>
                <w:color w:val="auto"/>
                <w:highlight w:val="none"/>
              </w:rPr>
              <w:t>至</w:t>
            </w:r>
            <w:r>
              <w:rPr>
                <w:rFonts w:hAnsi="宋体"/>
                <w:color w:val="auto"/>
                <w:highlight w:val="none"/>
              </w:rPr>
              <w:t xml:space="preserve"> 40</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17、快速预冷功能，从室温（</w:t>
            </w:r>
            <w:r>
              <w:rPr>
                <w:rFonts w:hAnsi="宋体"/>
                <w:color w:val="auto"/>
                <w:highlight w:val="none"/>
              </w:rPr>
              <w:t>21</w:t>
            </w:r>
            <w:r>
              <w:rPr>
                <w:rFonts w:hint="eastAsia" w:hAnsi="宋体"/>
                <w:color w:val="auto"/>
                <w:highlight w:val="none"/>
              </w:rPr>
              <w:t>℃）降至4℃仅需</w:t>
            </w:r>
            <w:r>
              <w:rPr>
                <w:rFonts w:hAnsi="宋体"/>
                <w:color w:val="auto"/>
                <w:highlight w:val="none"/>
              </w:rPr>
              <w:t xml:space="preserve">8 </w:t>
            </w:r>
            <w:r>
              <w:rPr>
                <w:rFonts w:hint="eastAsia" w:hAnsi="宋体"/>
                <w:color w:val="auto"/>
                <w:highlight w:val="none"/>
              </w:rPr>
              <w:t>分钟；</w:t>
            </w:r>
          </w:p>
          <w:p>
            <w:pPr>
              <w:spacing w:line="240" w:lineRule="auto"/>
              <w:ind w:firstLine="0" w:firstLineChars="0"/>
              <w:rPr>
                <w:rFonts w:hAnsi="宋体"/>
                <w:color w:val="auto"/>
                <w:highlight w:val="none"/>
              </w:rPr>
            </w:pPr>
            <w:r>
              <w:rPr>
                <w:rFonts w:hint="eastAsia" w:hAnsi="宋体"/>
                <w:color w:val="auto"/>
                <w:highlight w:val="none"/>
              </w:rPr>
              <w:t>18、动态压缩机控制技术提供</w:t>
            </w:r>
            <w:r>
              <w:rPr>
                <w:rFonts w:hAnsi="宋体"/>
                <w:color w:val="auto"/>
                <w:highlight w:val="none"/>
              </w:rPr>
              <w:t xml:space="preserve"> ECO </w:t>
            </w:r>
            <w:r>
              <w:rPr>
                <w:rFonts w:hint="eastAsia" w:hAnsi="宋体"/>
                <w:color w:val="auto"/>
                <w:highlight w:val="none"/>
              </w:rPr>
              <w:t>自动待机功能，优化制冷性能，延长压缩机使用寿命；</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19、冷凝水槽防止离心机腔体内冷凝水积聚，防止腐蚀；</w:t>
            </w:r>
          </w:p>
          <w:p>
            <w:pPr>
              <w:spacing w:line="240" w:lineRule="auto"/>
              <w:ind w:firstLine="0" w:firstLineChars="0"/>
              <w:rPr>
                <w:rFonts w:hAnsi="宋体"/>
                <w:color w:val="auto"/>
                <w:highlight w:val="none"/>
              </w:rPr>
            </w:pPr>
            <w:r>
              <w:rPr>
                <w:rFonts w:hint="eastAsia" w:hAnsi="宋体"/>
                <w:color w:val="auto"/>
                <w:highlight w:val="none"/>
              </w:rPr>
              <w:t>20、不使用离心功能且离心机盖关闭时，可以进行持续制冷</w:t>
            </w:r>
            <w:r>
              <w:rPr>
                <w:rFonts w:hAnsi="宋体"/>
                <w:color w:val="auto"/>
                <w:highlight w:val="none"/>
              </w:rPr>
              <w:t xml:space="preserve">, </w:t>
            </w:r>
            <w:r>
              <w:rPr>
                <w:rFonts w:hint="eastAsia" w:hAnsi="宋体"/>
                <w:color w:val="auto"/>
                <w:highlight w:val="none"/>
              </w:rPr>
              <w:t>确保温度恒定；</w:t>
            </w:r>
          </w:p>
          <w:p>
            <w:pPr>
              <w:spacing w:line="240" w:lineRule="auto"/>
              <w:ind w:firstLine="0" w:firstLineChars="0"/>
              <w:rPr>
                <w:rFonts w:hAnsi="宋体"/>
                <w:color w:val="auto"/>
                <w:highlight w:val="none"/>
              </w:rPr>
            </w:pPr>
            <w:r>
              <w:rPr>
                <w:rFonts w:hint="eastAsia" w:hAnsi="宋体"/>
                <w:color w:val="auto"/>
                <w:highlight w:val="none"/>
              </w:rPr>
              <w:t>21、每台配置要求：主机1台；24*1.5/2ml转子1套。</w:t>
            </w:r>
          </w:p>
          <w:p>
            <w:pPr>
              <w:spacing w:line="240" w:lineRule="auto"/>
              <w:ind w:firstLine="0" w:firstLineChars="0"/>
              <w:rPr>
                <w:rFonts w:hAnsi="宋体"/>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台</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2</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22"/>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kern w:val="0"/>
                <w:highlight w:val="none"/>
              </w:rPr>
            </w:pPr>
            <w:r>
              <w:rPr>
                <w:rFonts w:hint="eastAsia" w:ascii="宋体" w:hAnsi="宋体" w:cs="宋体"/>
                <w:color w:val="auto"/>
                <w:kern w:val="0"/>
                <w:highlight w:val="none"/>
              </w:rPr>
              <w:t>高速离心机</w:t>
            </w:r>
          </w:p>
        </w:tc>
        <w:tc>
          <w:tcPr>
            <w:tcW w:w="5862" w:type="dxa"/>
            <w:shd w:val="clear" w:color="auto" w:fill="auto"/>
            <w:vAlign w:val="center"/>
          </w:tcPr>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1、最大相对离心力（</w:t>
            </w:r>
            <w:r>
              <w:rPr>
                <w:rFonts w:hAnsi="宋体"/>
                <w:color w:val="auto"/>
                <w:highlight w:val="none"/>
              </w:rPr>
              <w:t>rcf</w:t>
            </w:r>
            <w:r>
              <w:rPr>
                <w:rFonts w:hint="eastAsia" w:hAnsi="宋体"/>
                <w:color w:val="auto"/>
                <w:highlight w:val="none"/>
              </w:rPr>
              <w:t>）：</w:t>
            </w:r>
            <w:r>
              <w:rPr>
                <w:rFonts w:hAnsi="宋体"/>
                <w:color w:val="auto"/>
                <w:highlight w:val="none"/>
              </w:rPr>
              <w:t xml:space="preserve">21,330 × g </w:t>
            </w:r>
            <w:r>
              <w:rPr>
                <w:rFonts w:hint="eastAsia" w:hAnsi="宋体"/>
                <w:color w:val="auto"/>
                <w:highlight w:val="none"/>
              </w:rPr>
              <w:t>（</w:t>
            </w:r>
            <w:r>
              <w:rPr>
                <w:rFonts w:hAnsi="宋体"/>
                <w:color w:val="auto"/>
                <w:highlight w:val="none"/>
              </w:rPr>
              <w:t>15,060 rpm</w:t>
            </w:r>
            <w:r>
              <w:rPr>
                <w:rFonts w:hint="eastAsia" w:hAnsi="宋体"/>
                <w:color w:val="auto"/>
                <w:highlight w:val="none"/>
              </w:rPr>
              <w:t>）</w:t>
            </w:r>
            <w:r>
              <w:rPr>
                <w:rFonts w:hAnsi="宋体"/>
                <w:color w:val="auto"/>
                <w:highlight w:val="none"/>
              </w:rPr>
              <w:t xml:space="preserve"> </w:t>
            </w:r>
            <w:r>
              <w:rPr>
                <w:rFonts w:hint="eastAsia" w:hAnsi="宋体"/>
                <w:color w:val="auto"/>
                <w:highlight w:val="none"/>
              </w:rPr>
              <w:t>；</w:t>
            </w:r>
          </w:p>
          <w:p>
            <w:pPr>
              <w:spacing w:line="240" w:lineRule="auto"/>
              <w:ind w:right="-586" w:rightChars="-244" w:firstLine="0" w:firstLineChars="0"/>
              <w:rPr>
                <w:rFonts w:hAnsi="宋体"/>
                <w:color w:val="auto"/>
                <w:highlight w:val="none"/>
              </w:rPr>
            </w:pPr>
            <w:r>
              <w:rPr>
                <w:rFonts w:hint="eastAsia" w:hAnsi="宋体"/>
                <w:color w:val="auto"/>
                <w:highlight w:val="none"/>
              </w:rPr>
              <w:t>2、最大容量：</w:t>
            </w:r>
            <w:r>
              <w:rPr>
                <w:rFonts w:hAnsi="宋体"/>
                <w:color w:val="auto"/>
                <w:highlight w:val="none"/>
              </w:rPr>
              <w:t xml:space="preserve">24 × 1.5/2.0 mL </w:t>
            </w:r>
            <w:r>
              <w:rPr>
                <w:rFonts w:hint="eastAsia" w:hAnsi="宋体"/>
                <w:color w:val="auto"/>
                <w:highlight w:val="none"/>
              </w:rPr>
              <w:t>离心管，</w:t>
            </w:r>
            <w:r>
              <w:rPr>
                <w:rFonts w:hAnsi="宋体"/>
                <w:color w:val="auto"/>
                <w:highlight w:val="none"/>
              </w:rPr>
              <w:t xml:space="preserve">10 × 5 mL </w:t>
            </w:r>
            <w:r>
              <w:rPr>
                <w:rFonts w:hint="eastAsia" w:hAnsi="宋体"/>
                <w:color w:val="auto"/>
                <w:highlight w:val="none"/>
              </w:rPr>
              <w:t>离心管，</w:t>
            </w:r>
            <w:r>
              <w:rPr>
                <w:rFonts w:hAnsi="宋体"/>
                <w:color w:val="auto"/>
                <w:highlight w:val="none"/>
              </w:rPr>
              <w:t xml:space="preserve">96 × 0.2 mL </w:t>
            </w:r>
            <w:r>
              <w:rPr>
                <w:rFonts w:hint="eastAsia" w:hAnsi="宋体"/>
                <w:color w:val="auto"/>
                <w:highlight w:val="none"/>
              </w:rPr>
              <w:t>单管</w:t>
            </w:r>
            <w:r>
              <w:rPr>
                <w:rFonts w:hAnsi="宋体"/>
                <w:color w:val="auto"/>
                <w:highlight w:val="none"/>
              </w:rPr>
              <w:t xml:space="preserve">/12 × 8 </w:t>
            </w:r>
            <w:r>
              <w:rPr>
                <w:rFonts w:hint="eastAsia" w:hAnsi="宋体"/>
                <w:color w:val="auto"/>
                <w:highlight w:val="none"/>
              </w:rPr>
              <w:t>排管；</w:t>
            </w:r>
          </w:p>
          <w:p>
            <w:pPr>
              <w:spacing w:line="240" w:lineRule="auto"/>
              <w:ind w:firstLine="0" w:firstLineChars="0"/>
              <w:rPr>
                <w:rFonts w:hAnsi="宋体"/>
                <w:color w:val="auto"/>
                <w:highlight w:val="none"/>
              </w:rPr>
            </w:pPr>
            <w:r>
              <w:rPr>
                <w:rFonts w:hint="eastAsia" w:hAnsi="宋体"/>
                <w:color w:val="auto"/>
                <w:highlight w:val="none"/>
              </w:rPr>
              <w:t>3、离心时间：</w:t>
            </w:r>
            <w:r>
              <w:rPr>
                <w:rFonts w:hAnsi="宋体"/>
                <w:color w:val="auto"/>
                <w:highlight w:val="none"/>
              </w:rPr>
              <w:t>10 s</w:t>
            </w:r>
            <w:r>
              <w:rPr>
                <w:rFonts w:hint="eastAsia" w:hAnsi="宋体"/>
                <w:color w:val="auto"/>
                <w:highlight w:val="none"/>
              </w:rPr>
              <w:t>‐</w:t>
            </w:r>
            <w:r>
              <w:rPr>
                <w:rFonts w:hAnsi="宋体"/>
                <w:color w:val="auto"/>
                <w:highlight w:val="none"/>
              </w:rPr>
              <w:t>2 min</w:t>
            </w:r>
            <w:r>
              <w:rPr>
                <w:rFonts w:hint="eastAsia" w:hAnsi="宋体"/>
                <w:color w:val="auto"/>
                <w:highlight w:val="none"/>
              </w:rPr>
              <w:t>，可以以</w:t>
            </w:r>
            <w:r>
              <w:rPr>
                <w:rFonts w:hAnsi="宋体"/>
                <w:color w:val="auto"/>
                <w:highlight w:val="none"/>
              </w:rPr>
              <w:t xml:space="preserve">10 s </w:t>
            </w:r>
            <w:r>
              <w:rPr>
                <w:rFonts w:hint="eastAsia" w:hAnsi="宋体"/>
                <w:color w:val="auto"/>
                <w:highlight w:val="none"/>
              </w:rPr>
              <w:t>为幅度进行调整；</w:t>
            </w:r>
            <w:r>
              <w:rPr>
                <w:rFonts w:hAnsi="宋体"/>
                <w:color w:val="auto"/>
                <w:highlight w:val="none"/>
              </w:rPr>
              <w:t xml:space="preserve"> 2 min-10 min</w:t>
            </w:r>
            <w:r>
              <w:rPr>
                <w:rFonts w:hint="eastAsia" w:hAnsi="宋体"/>
                <w:color w:val="auto"/>
                <w:highlight w:val="none"/>
              </w:rPr>
              <w:t>，以</w:t>
            </w:r>
            <w:r>
              <w:rPr>
                <w:rFonts w:hAnsi="宋体"/>
                <w:color w:val="auto"/>
                <w:highlight w:val="none"/>
              </w:rPr>
              <w:t>30s</w:t>
            </w:r>
            <w:r>
              <w:rPr>
                <w:rFonts w:hint="eastAsia" w:hAnsi="宋体"/>
                <w:color w:val="auto"/>
                <w:highlight w:val="none"/>
              </w:rPr>
              <w:t>为幅度进行调整；</w:t>
            </w:r>
            <w:r>
              <w:rPr>
                <w:rFonts w:hAnsi="宋体"/>
                <w:color w:val="auto"/>
                <w:highlight w:val="none"/>
              </w:rPr>
              <w:t>10 min</w:t>
            </w:r>
            <w:r>
              <w:rPr>
                <w:rFonts w:hint="eastAsia" w:hAnsi="宋体"/>
                <w:color w:val="auto"/>
                <w:highlight w:val="none"/>
              </w:rPr>
              <w:t>‐</w:t>
            </w:r>
            <w:r>
              <w:rPr>
                <w:rFonts w:hAnsi="宋体"/>
                <w:color w:val="auto"/>
                <w:highlight w:val="none"/>
              </w:rPr>
              <w:t>9 h 59 min</w:t>
            </w:r>
            <w:r>
              <w:rPr>
                <w:rFonts w:hint="eastAsia" w:hAnsi="宋体"/>
                <w:color w:val="auto"/>
                <w:highlight w:val="none"/>
              </w:rPr>
              <w:t>，可以以</w:t>
            </w:r>
            <w:r>
              <w:rPr>
                <w:rFonts w:hAnsi="宋体"/>
                <w:color w:val="auto"/>
                <w:highlight w:val="none"/>
              </w:rPr>
              <w:t xml:space="preserve">1 min </w:t>
            </w:r>
            <w:r>
              <w:rPr>
                <w:rFonts w:hint="eastAsia" w:hAnsi="宋体"/>
                <w:color w:val="auto"/>
                <w:highlight w:val="none"/>
              </w:rPr>
              <w:t>为幅度进行调整；连续离心；</w:t>
            </w:r>
          </w:p>
          <w:p>
            <w:pPr>
              <w:spacing w:line="240" w:lineRule="auto"/>
              <w:ind w:firstLine="0" w:firstLineChars="0"/>
              <w:rPr>
                <w:rFonts w:hAnsi="宋体"/>
                <w:color w:val="auto"/>
                <w:highlight w:val="none"/>
              </w:rPr>
            </w:pPr>
            <w:r>
              <w:rPr>
                <w:rFonts w:hint="eastAsia" w:hAnsi="宋体"/>
                <w:color w:val="auto"/>
                <w:highlight w:val="none"/>
              </w:rPr>
              <w:t>4、加速时间（零至最高转速）：</w:t>
            </w:r>
            <w:r>
              <w:rPr>
                <w:rFonts w:hAnsi="宋体"/>
                <w:color w:val="auto"/>
                <w:highlight w:val="none"/>
              </w:rPr>
              <w:t>15 s</w:t>
            </w:r>
            <w:r>
              <w:rPr>
                <w:rFonts w:hint="eastAsia" w:hAnsi="宋体"/>
                <w:color w:val="auto"/>
                <w:highlight w:val="none"/>
              </w:rPr>
              <w:t>，减速时间（最高转速至零）：</w:t>
            </w:r>
            <w:r>
              <w:rPr>
                <w:rFonts w:hAnsi="宋体"/>
                <w:color w:val="auto"/>
                <w:highlight w:val="none"/>
              </w:rPr>
              <w:t>15 s</w:t>
            </w:r>
            <w:r>
              <w:rPr>
                <w:rFonts w:hint="eastAsia" w:hAnsi="宋体"/>
                <w:color w:val="auto"/>
                <w:highlight w:val="none"/>
              </w:rPr>
              <w:t>；</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5、噪音水平：</w:t>
            </w:r>
            <w:r>
              <w:rPr>
                <w:rFonts w:hAnsi="宋体"/>
                <w:color w:val="auto"/>
                <w:highlight w:val="none"/>
              </w:rPr>
              <w:t xml:space="preserve">&lt;51dB </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6、快速的加速和减速功能（</w:t>
            </w:r>
            <w:r>
              <w:rPr>
                <w:rFonts w:hAnsi="宋体"/>
                <w:color w:val="auto"/>
                <w:highlight w:val="none"/>
              </w:rPr>
              <w:t>10</w:t>
            </w:r>
            <w:r>
              <w:rPr>
                <w:rFonts w:hint="eastAsia" w:hAnsi="宋体"/>
                <w:color w:val="auto"/>
                <w:highlight w:val="none"/>
              </w:rPr>
              <w:t>档加速</w:t>
            </w:r>
            <w:r>
              <w:rPr>
                <w:rFonts w:hAnsi="宋体"/>
                <w:color w:val="auto"/>
                <w:highlight w:val="none"/>
              </w:rPr>
              <w:t>/</w:t>
            </w:r>
            <w:r>
              <w:rPr>
                <w:rFonts w:hint="eastAsia" w:hAnsi="宋体"/>
                <w:color w:val="auto"/>
                <w:highlight w:val="none"/>
              </w:rPr>
              <w:t>减速）；</w:t>
            </w:r>
          </w:p>
          <w:p>
            <w:pPr>
              <w:spacing w:line="240" w:lineRule="auto"/>
              <w:ind w:firstLine="0" w:firstLineChars="0"/>
              <w:rPr>
                <w:rFonts w:hAnsi="宋体"/>
                <w:color w:val="auto"/>
                <w:highlight w:val="none"/>
              </w:rPr>
            </w:pPr>
            <w:r>
              <w:rPr>
                <w:rFonts w:hint="eastAsia" w:hAnsi="宋体"/>
                <w:color w:val="auto"/>
                <w:highlight w:val="none"/>
              </w:rPr>
              <w:t>7、气密性固定角转，提供更安全的操作环境；</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8、气密性转子，由英国</w:t>
            </w:r>
            <w:r>
              <w:rPr>
                <w:rFonts w:hAnsi="宋体"/>
                <w:color w:val="auto"/>
                <w:highlight w:val="none"/>
              </w:rPr>
              <w:t xml:space="preserve">Porton Down </w:t>
            </w:r>
            <w:r>
              <w:rPr>
                <w:rFonts w:hint="eastAsia" w:hAnsi="宋体"/>
                <w:color w:val="auto"/>
                <w:highlight w:val="none"/>
              </w:rPr>
              <w:t>的独立的第三方检验机构</w:t>
            </w:r>
            <w:r>
              <w:rPr>
                <w:rFonts w:hAnsi="宋体"/>
                <w:color w:val="auto"/>
                <w:highlight w:val="none"/>
              </w:rPr>
              <w:t>Health Protection Agency (HPA)</w:t>
            </w:r>
            <w:r>
              <w:rPr>
                <w:rFonts w:hint="eastAsia" w:hAnsi="宋体"/>
                <w:color w:val="auto"/>
                <w:highlight w:val="none"/>
              </w:rPr>
              <w:t>进行测试并认证，符合</w:t>
            </w:r>
            <w:r>
              <w:rPr>
                <w:rFonts w:hAnsi="宋体"/>
                <w:color w:val="auto"/>
                <w:highlight w:val="none"/>
              </w:rPr>
              <w:t xml:space="preserve">IEC 1010-2-020 annex AA </w:t>
            </w:r>
            <w:r>
              <w:rPr>
                <w:rFonts w:hint="eastAsia" w:hAnsi="宋体"/>
                <w:color w:val="auto"/>
                <w:highlight w:val="none"/>
              </w:rPr>
              <w:t>标准，离心危险样品更安全；</w:t>
            </w:r>
          </w:p>
          <w:p>
            <w:pPr>
              <w:spacing w:line="240" w:lineRule="auto"/>
              <w:ind w:firstLine="0" w:firstLineChars="0"/>
              <w:rPr>
                <w:rFonts w:hAnsi="宋体"/>
                <w:color w:val="auto"/>
                <w:highlight w:val="none"/>
              </w:rPr>
            </w:pPr>
            <w:r>
              <w:rPr>
                <w:rFonts w:hint="eastAsia" w:hAnsi="宋体"/>
                <w:color w:val="auto"/>
                <w:highlight w:val="none"/>
              </w:rPr>
              <w:t>9、快速锁定技术，可快速、轻松地开盖和关盖，防止样品预热；</w:t>
            </w:r>
          </w:p>
          <w:p>
            <w:pPr>
              <w:spacing w:line="240" w:lineRule="auto"/>
              <w:ind w:firstLine="0" w:firstLineChars="0"/>
              <w:rPr>
                <w:rFonts w:hAnsi="宋体"/>
                <w:color w:val="auto"/>
                <w:highlight w:val="none"/>
              </w:rPr>
            </w:pPr>
            <w:r>
              <w:rPr>
                <w:rFonts w:hint="eastAsia" w:hAnsi="宋体"/>
                <w:color w:val="auto"/>
                <w:highlight w:val="none"/>
              </w:rPr>
              <w:t>10、软件功能：显示运行结束时间，了解离心后的样本在离心机内停留的时间，</w:t>
            </w:r>
            <w:r>
              <w:rPr>
                <w:rFonts w:hAnsi="宋体"/>
                <w:color w:val="auto"/>
                <w:highlight w:val="none"/>
              </w:rPr>
              <w:t>3</w:t>
            </w:r>
            <w:r>
              <w:rPr>
                <w:rFonts w:hint="eastAsia" w:hAnsi="宋体"/>
                <w:color w:val="auto"/>
                <w:highlight w:val="none"/>
              </w:rPr>
              <w:t>个快速程序键，方便快速调取，优化</w:t>
            </w:r>
            <w:r>
              <w:rPr>
                <w:rFonts w:hAnsi="宋体"/>
                <w:color w:val="auto"/>
                <w:highlight w:val="none"/>
              </w:rPr>
              <w:t xml:space="preserve">short </w:t>
            </w:r>
            <w:r>
              <w:rPr>
                <w:rFonts w:hint="eastAsia" w:hAnsi="宋体"/>
                <w:color w:val="auto"/>
                <w:highlight w:val="none"/>
              </w:rPr>
              <w:t>瞬时功能，一按即启动；</w:t>
            </w:r>
          </w:p>
          <w:p>
            <w:pPr>
              <w:spacing w:line="240" w:lineRule="auto"/>
              <w:ind w:firstLine="0" w:firstLineChars="0"/>
              <w:rPr>
                <w:rFonts w:hAnsi="宋体"/>
                <w:color w:val="auto"/>
                <w:highlight w:val="none"/>
              </w:rPr>
            </w:pPr>
            <w:r>
              <w:rPr>
                <w:rFonts w:hint="eastAsia" w:hAnsi="宋体"/>
                <w:color w:val="auto"/>
                <w:highlight w:val="none"/>
              </w:rPr>
              <w:t>11、转子识别程序；</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12、可选</w:t>
            </w:r>
            <w:r>
              <w:rPr>
                <w:rFonts w:hAnsi="宋体"/>
                <w:color w:val="auto"/>
                <w:highlight w:val="none"/>
              </w:rPr>
              <w:t>10</w:t>
            </w:r>
            <w:r>
              <w:rPr>
                <w:rFonts w:hint="eastAsia" w:hAnsi="宋体"/>
                <w:color w:val="auto"/>
                <w:highlight w:val="none"/>
              </w:rPr>
              <w:t>×</w:t>
            </w:r>
            <w:r>
              <w:rPr>
                <w:rFonts w:hAnsi="宋体"/>
                <w:color w:val="auto"/>
                <w:highlight w:val="none"/>
              </w:rPr>
              <w:t xml:space="preserve">5.0 mL </w:t>
            </w:r>
            <w:r>
              <w:rPr>
                <w:rFonts w:hint="eastAsia" w:hAnsi="宋体"/>
                <w:color w:val="auto"/>
                <w:highlight w:val="none"/>
              </w:rPr>
              <w:t>角转：适用于螺旋盖和锁扣盖离心管；</w:t>
            </w:r>
          </w:p>
          <w:p>
            <w:pPr>
              <w:spacing w:line="240" w:lineRule="auto"/>
              <w:ind w:firstLine="0" w:firstLineChars="0"/>
              <w:rPr>
                <w:rFonts w:hAnsi="宋体"/>
                <w:color w:val="auto"/>
                <w:highlight w:val="none"/>
              </w:rPr>
            </w:pPr>
            <w:r>
              <w:rPr>
                <w:rFonts w:hint="eastAsia" w:hAnsi="宋体"/>
                <w:color w:val="auto"/>
                <w:highlight w:val="none"/>
              </w:rPr>
              <w:t>13、</w:t>
            </w:r>
            <w:r>
              <w:rPr>
                <w:rFonts w:hAnsi="宋体"/>
                <w:color w:val="auto"/>
                <w:highlight w:val="none"/>
              </w:rPr>
              <w:t>PCR</w:t>
            </w:r>
            <w:r>
              <w:rPr>
                <w:rFonts w:hint="eastAsia" w:hAnsi="宋体"/>
                <w:color w:val="auto"/>
                <w:highlight w:val="none"/>
              </w:rPr>
              <w:t>水平转子，用于</w:t>
            </w:r>
            <w:r>
              <w:rPr>
                <w:rFonts w:hAnsi="宋体"/>
                <w:color w:val="auto"/>
                <w:highlight w:val="none"/>
              </w:rPr>
              <w:t>PCR</w:t>
            </w:r>
            <w:r>
              <w:rPr>
                <w:rFonts w:hint="eastAsia" w:hAnsi="宋体"/>
                <w:color w:val="auto"/>
                <w:highlight w:val="none"/>
              </w:rPr>
              <w:t>排管或</w:t>
            </w:r>
            <w:r>
              <w:rPr>
                <w:rFonts w:hAnsi="宋体"/>
                <w:color w:val="auto"/>
                <w:highlight w:val="none"/>
              </w:rPr>
              <w:t>96</w:t>
            </w:r>
            <w:r>
              <w:rPr>
                <w:rFonts w:hint="eastAsia" w:hAnsi="宋体"/>
                <w:color w:val="auto"/>
                <w:highlight w:val="none"/>
              </w:rPr>
              <w:t>孔可拆分</w:t>
            </w:r>
            <w:r>
              <w:rPr>
                <w:rFonts w:hAnsi="宋体"/>
                <w:color w:val="auto"/>
                <w:highlight w:val="none"/>
              </w:rPr>
              <w:t>PCR</w:t>
            </w:r>
            <w:r>
              <w:rPr>
                <w:rFonts w:hint="eastAsia" w:hAnsi="宋体"/>
                <w:color w:val="auto"/>
                <w:highlight w:val="none"/>
              </w:rPr>
              <w:t>板，显著提示通量；</w:t>
            </w:r>
          </w:p>
          <w:p>
            <w:pPr>
              <w:spacing w:line="240" w:lineRule="auto"/>
              <w:ind w:firstLine="0" w:firstLineChars="0"/>
              <w:rPr>
                <w:rFonts w:hAnsi="宋体"/>
                <w:color w:val="auto"/>
                <w:highlight w:val="none"/>
              </w:rPr>
            </w:pPr>
            <w:r>
              <w:rPr>
                <w:rFonts w:hint="eastAsia" w:hAnsi="宋体"/>
                <w:color w:val="auto"/>
                <w:highlight w:val="none"/>
              </w:rPr>
              <w:t>14、离心结束后，离心机盖自动开启，防止样品过热，方便取放样品；</w:t>
            </w:r>
          </w:p>
          <w:p>
            <w:pPr>
              <w:spacing w:line="240" w:lineRule="auto"/>
              <w:ind w:firstLine="0" w:firstLineChars="0"/>
              <w:rPr>
                <w:rFonts w:hAnsi="宋体"/>
                <w:color w:val="auto"/>
                <w:highlight w:val="none"/>
              </w:rPr>
            </w:pPr>
            <w:r>
              <w:rPr>
                <w:rFonts w:hint="eastAsia" w:hAnsi="宋体"/>
                <w:color w:val="auto"/>
                <w:highlight w:val="none"/>
              </w:rPr>
              <w:t>15、紧急开盖功能，适用断电等突发实验事故</w:t>
            </w:r>
            <w:r>
              <w:rPr>
                <w:rFonts w:hAnsi="宋体"/>
                <w:color w:val="auto"/>
                <w:highlight w:val="none"/>
              </w:rPr>
              <w:t xml:space="preserve"> </w:t>
            </w:r>
            <w:r>
              <w:rPr>
                <w:rFonts w:hint="eastAsia" w:hAnsi="宋体"/>
                <w:color w:val="auto"/>
                <w:highlight w:val="none"/>
              </w:rPr>
              <w:t>；</w:t>
            </w:r>
          </w:p>
          <w:p>
            <w:pPr>
              <w:spacing w:line="240" w:lineRule="auto"/>
              <w:ind w:firstLine="0" w:firstLineChars="0"/>
              <w:rPr>
                <w:rFonts w:hAnsi="宋体"/>
                <w:color w:val="auto"/>
                <w:highlight w:val="none"/>
              </w:rPr>
            </w:pPr>
            <w:r>
              <w:rPr>
                <w:rFonts w:hint="eastAsia" w:hAnsi="宋体"/>
                <w:color w:val="auto"/>
                <w:highlight w:val="none"/>
              </w:rPr>
              <w:t>16、旋钮式（方便快速参数选择）或按键式（方便清洁）两款不同型号，符合不同实验操作</w:t>
            </w:r>
          </w:p>
          <w:p>
            <w:pPr>
              <w:spacing w:line="240" w:lineRule="auto"/>
              <w:ind w:firstLine="0" w:firstLineChars="0"/>
              <w:rPr>
                <w:rFonts w:hAnsi="宋体"/>
                <w:color w:val="auto"/>
                <w:highlight w:val="none"/>
              </w:rPr>
            </w:pPr>
            <w:r>
              <w:rPr>
                <w:rFonts w:hint="eastAsia" w:hAnsi="宋体"/>
                <w:color w:val="auto"/>
                <w:highlight w:val="none"/>
              </w:rPr>
              <w:t>习惯；</w:t>
            </w:r>
          </w:p>
          <w:p>
            <w:pPr>
              <w:spacing w:line="240" w:lineRule="auto"/>
              <w:ind w:firstLine="0" w:firstLineChars="0"/>
              <w:rPr>
                <w:rFonts w:hAnsi="宋体"/>
                <w:color w:val="auto"/>
                <w:highlight w:val="none"/>
              </w:rPr>
            </w:pPr>
            <w:r>
              <w:rPr>
                <w:rFonts w:hint="eastAsia" w:hAnsi="宋体"/>
                <w:color w:val="auto"/>
                <w:highlight w:val="none"/>
              </w:rPr>
              <w:t>17、每台配置要求：主机1台；24*1.5/2ml转子1套。</w:t>
            </w:r>
          </w:p>
          <w:p>
            <w:pPr>
              <w:pStyle w:val="2"/>
              <w:rPr>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台</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3</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22"/>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kern w:val="0"/>
                <w:highlight w:val="none"/>
              </w:rPr>
            </w:pPr>
            <w:r>
              <w:rPr>
                <w:rFonts w:hint="eastAsia" w:ascii="宋体" w:hAnsi="宋体" w:cs="宋体"/>
                <w:color w:val="auto"/>
                <w:kern w:val="0"/>
                <w:highlight w:val="none"/>
              </w:rPr>
              <w:t>负40度冰箱</w:t>
            </w:r>
          </w:p>
        </w:tc>
        <w:tc>
          <w:tcPr>
            <w:tcW w:w="5862" w:type="dxa"/>
            <w:shd w:val="clear" w:color="auto" w:fill="auto"/>
            <w:vAlign w:val="center"/>
          </w:tcPr>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1、压缩机：双压缩机系统（全密闭活塞式250W*2个）；</w:t>
            </w:r>
          </w:p>
          <w:p>
            <w:pPr>
              <w:spacing w:line="240" w:lineRule="auto"/>
              <w:ind w:firstLine="0" w:firstLineChars="0"/>
              <w:rPr>
                <w:rFonts w:hAnsi="宋体"/>
                <w:color w:val="auto"/>
                <w:highlight w:val="none"/>
              </w:rPr>
            </w:pPr>
            <w:r>
              <w:rPr>
                <w:rFonts w:hint="eastAsia" w:hAnsi="宋体"/>
                <w:color w:val="auto"/>
                <w:highlight w:val="none"/>
              </w:rPr>
              <w:t>2、冰箱结构：冰箱分为上下两室，两室的温度可独立设定，并各自拥有独立的制冷系统。一室故障不影响另外一室正常工作。上下室可以单独除霜；</w:t>
            </w:r>
          </w:p>
          <w:p>
            <w:pPr>
              <w:spacing w:line="240" w:lineRule="auto"/>
              <w:ind w:firstLine="0" w:firstLineChars="0"/>
              <w:rPr>
                <w:rFonts w:hAnsi="宋体"/>
                <w:color w:val="auto"/>
                <w:highlight w:val="none"/>
              </w:rPr>
            </w:pPr>
            <w:r>
              <w:rPr>
                <w:rFonts w:hint="eastAsia" w:hAnsi="宋体"/>
                <w:color w:val="auto"/>
                <w:highlight w:val="none"/>
              </w:rPr>
              <w:t>3、温度设定：-20℃～-40℃任意可调；</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4、温度波动：柜内中央温度和显示温度均保持在设定温度±3℃以内；</w:t>
            </w:r>
          </w:p>
          <w:p>
            <w:pPr>
              <w:spacing w:line="240" w:lineRule="auto"/>
              <w:ind w:firstLine="0" w:firstLineChars="0"/>
              <w:rPr>
                <w:rFonts w:hAnsi="宋体"/>
                <w:color w:val="auto"/>
                <w:highlight w:val="none"/>
              </w:rPr>
            </w:pPr>
            <w:r>
              <w:rPr>
                <w:rFonts w:hint="eastAsia" w:hAnsi="宋体"/>
                <w:color w:val="auto"/>
                <w:highlight w:val="none"/>
              </w:rPr>
              <w:t>5、参考内箱尺寸：649×614×600×2室；</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6、有效容积：≥480L；层架可自由上下调节高度；</w:t>
            </w:r>
          </w:p>
          <w:p>
            <w:pPr>
              <w:spacing w:line="240" w:lineRule="auto"/>
              <w:ind w:firstLine="0" w:firstLineChars="0"/>
              <w:rPr>
                <w:rFonts w:hAnsi="宋体"/>
                <w:color w:val="auto"/>
                <w:highlight w:val="none"/>
              </w:rPr>
            </w:pPr>
            <w:r>
              <w:rPr>
                <w:rFonts w:hint="eastAsia" w:hAnsi="宋体"/>
                <w:color w:val="auto"/>
                <w:highlight w:val="none"/>
              </w:rPr>
              <w:t>7、储物筐：12个；</w:t>
            </w:r>
          </w:p>
          <w:p>
            <w:pPr>
              <w:spacing w:line="240" w:lineRule="auto"/>
              <w:ind w:firstLine="0" w:firstLineChars="0"/>
              <w:rPr>
                <w:rFonts w:hAnsi="宋体"/>
                <w:color w:val="auto"/>
                <w:highlight w:val="none"/>
              </w:rPr>
            </w:pPr>
            <w:r>
              <w:rPr>
                <w:rFonts w:hint="eastAsia" w:hAnsi="宋体"/>
                <w:color w:val="auto"/>
                <w:highlight w:val="none"/>
              </w:rPr>
              <w:t>8、测试通孔：￠30mm×2个，背面上下室各1个；</w:t>
            </w:r>
          </w:p>
          <w:p>
            <w:pPr>
              <w:spacing w:line="240" w:lineRule="auto"/>
              <w:ind w:firstLine="0" w:firstLineChars="0"/>
              <w:rPr>
                <w:rFonts w:hAnsi="宋体"/>
                <w:color w:val="auto"/>
                <w:highlight w:val="none"/>
              </w:rPr>
            </w:pPr>
            <w:r>
              <w:rPr>
                <w:rFonts w:hint="eastAsia" w:hAnsi="宋体"/>
                <w:color w:val="auto"/>
                <w:highlight w:val="none"/>
              </w:rPr>
              <w:t>9、温度传感器：热敏电阻传感器；</w:t>
            </w:r>
          </w:p>
          <w:p>
            <w:pPr>
              <w:spacing w:line="240" w:lineRule="auto"/>
              <w:ind w:firstLine="0" w:firstLineChars="0"/>
              <w:rPr>
                <w:rFonts w:hAnsi="宋体"/>
                <w:color w:val="auto"/>
                <w:highlight w:val="none"/>
              </w:rPr>
            </w:pPr>
            <w:r>
              <w:rPr>
                <w:rFonts w:hint="eastAsia" w:hAnsi="宋体"/>
                <w:color w:val="auto"/>
                <w:highlight w:val="none"/>
              </w:rPr>
              <w:t>10、脚轮：4个；</w:t>
            </w:r>
          </w:p>
          <w:p>
            <w:pPr>
              <w:spacing w:line="240" w:lineRule="auto"/>
              <w:ind w:firstLine="0" w:firstLineChars="0"/>
              <w:rPr>
                <w:rFonts w:hAnsi="宋体"/>
                <w:color w:val="auto"/>
                <w:highlight w:val="none"/>
              </w:rPr>
            </w:pPr>
            <w:r>
              <w:rPr>
                <w:rFonts w:hint="eastAsia" w:hAnsi="宋体"/>
                <w:color w:val="auto"/>
                <w:highlight w:val="none"/>
              </w:rPr>
              <w:t>11、电源失败后，一旦恢复供电，设备会恢复为断电前设置；</w:t>
            </w:r>
          </w:p>
          <w:p>
            <w:pPr>
              <w:spacing w:line="240" w:lineRule="auto"/>
              <w:ind w:firstLine="0" w:firstLineChars="0"/>
              <w:rPr>
                <w:rFonts w:hAnsi="宋体"/>
                <w:color w:val="auto"/>
                <w:highlight w:val="none"/>
              </w:rPr>
            </w:pPr>
            <w:r>
              <w:rPr>
                <w:rFonts w:hint="eastAsia" w:hAnsi="宋体"/>
                <w:color w:val="auto"/>
                <w:highlight w:val="none"/>
              </w:rPr>
              <w:t>12、R404a环保型，既能发挥强大的制冷能力又保护了环境；</w:t>
            </w:r>
          </w:p>
          <w:p>
            <w:pPr>
              <w:spacing w:line="240" w:lineRule="auto"/>
              <w:ind w:firstLine="0" w:firstLineChars="0"/>
              <w:rPr>
                <w:rFonts w:hAnsi="宋体"/>
                <w:color w:val="auto"/>
                <w:highlight w:val="none"/>
              </w:rPr>
            </w:pPr>
            <w:r>
              <w:rPr>
                <w:rFonts w:hint="eastAsia" w:hAnsi="宋体"/>
                <w:color w:val="auto"/>
                <w:highlight w:val="none"/>
              </w:rPr>
              <w:t>13、箱体表面树脂喷涂对环境危害远远低于传统喷涂工艺；</w:t>
            </w:r>
          </w:p>
          <w:p>
            <w:pPr>
              <w:spacing w:line="240" w:lineRule="auto"/>
              <w:ind w:firstLine="0" w:firstLineChars="0"/>
              <w:rPr>
                <w:rFonts w:hAnsi="宋体"/>
                <w:color w:val="auto"/>
                <w:highlight w:val="none"/>
              </w:rPr>
            </w:pPr>
            <w:r>
              <w:rPr>
                <w:rFonts w:hint="eastAsia" w:hAnsi="宋体"/>
                <w:color w:val="auto"/>
                <w:highlight w:val="none"/>
              </w:rPr>
              <w:t>15、运转功率：≤380W，噪音：≤42dB；</w:t>
            </w:r>
          </w:p>
          <w:p>
            <w:pPr>
              <w:spacing w:line="240" w:lineRule="auto"/>
              <w:ind w:firstLine="0" w:firstLineChars="0"/>
              <w:rPr>
                <w:rFonts w:hAnsi="宋体"/>
                <w:color w:val="auto"/>
                <w:highlight w:val="none"/>
              </w:rPr>
            </w:pPr>
            <w:r>
              <w:rPr>
                <w:rFonts w:hint="eastAsia" w:hAnsi="宋体"/>
                <w:color w:val="auto"/>
                <w:highlight w:val="none"/>
              </w:rPr>
              <w:t>16、制冷蒸发管采用高品质铜管，箱体预埋式结构，避免长期运转产生管路腐蚀导致制冷剂泄漏；</w:t>
            </w:r>
          </w:p>
          <w:p>
            <w:pPr>
              <w:spacing w:line="240" w:lineRule="auto"/>
              <w:ind w:firstLine="0" w:firstLineChars="0"/>
              <w:rPr>
                <w:rFonts w:hAnsi="宋体"/>
                <w:color w:val="auto"/>
                <w:highlight w:val="none"/>
              </w:rPr>
            </w:pPr>
            <w:r>
              <w:rPr>
                <w:rFonts w:hint="eastAsia" w:hAnsi="宋体"/>
                <w:color w:val="auto"/>
                <w:highlight w:val="none"/>
              </w:rPr>
              <w:t>17、箱体自带门锁，并配有挂锁安装孔，可实现多重安全保护；</w:t>
            </w:r>
          </w:p>
          <w:p>
            <w:pPr>
              <w:spacing w:line="240" w:lineRule="auto"/>
              <w:ind w:firstLine="0" w:firstLineChars="0"/>
              <w:rPr>
                <w:rFonts w:hAnsi="宋体"/>
                <w:color w:val="auto"/>
                <w:highlight w:val="none"/>
              </w:rPr>
            </w:pPr>
            <w:r>
              <w:rPr>
                <w:rFonts w:hint="eastAsia" w:hAnsi="宋体"/>
                <w:color w:val="auto"/>
                <w:highlight w:val="none"/>
              </w:rPr>
              <w:t>18、柜体预留可安装温度记录仪接口。</w:t>
            </w:r>
          </w:p>
          <w:p>
            <w:pPr>
              <w:pStyle w:val="2"/>
              <w:rPr>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三年,压缩机五年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台</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5</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621" w:type="dxa"/>
            <w:shd w:val="clear" w:color="auto" w:fill="auto"/>
            <w:vAlign w:val="center"/>
          </w:tcPr>
          <w:p>
            <w:pPr>
              <w:numPr>
                <w:ilvl w:val="0"/>
                <w:numId w:val="22"/>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b/>
                <w:bCs/>
                <w:color w:val="auto"/>
                <w:kern w:val="0"/>
                <w:highlight w:val="none"/>
              </w:rPr>
            </w:pPr>
            <w:r>
              <w:rPr>
                <w:rFonts w:hint="eastAsia" w:ascii="宋体" w:hAnsi="宋体" w:cs="宋体"/>
                <w:color w:val="auto"/>
                <w:kern w:val="0"/>
                <w:highlight w:val="none"/>
              </w:rPr>
              <w:t>大容量4度冰箱</w:t>
            </w:r>
          </w:p>
        </w:tc>
        <w:tc>
          <w:tcPr>
            <w:tcW w:w="5862" w:type="dxa"/>
            <w:shd w:val="clear" w:color="auto" w:fill="auto"/>
            <w:vAlign w:val="center"/>
          </w:tcPr>
          <w:p>
            <w:pPr>
              <w:spacing w:line="240" w:lineRule="auto"/>
              <w:ind w:firstLine="0" w:firstLineChars="0"/>
              <w:rPr>
                <w:rFonts w:hAnsi="宋体"/>
                <w:color w:val="auto"/>
                <w:highlight w:val="none"/>
              </w:rPr>
            </w:pPr>
            <w:r>
              <w:rPr>
                <w:rFonts w:hint="eastAsia" w:hAnsi="宋体"/>
                <w:color w:val="auto"/>
                <w:highlight w:val="none"/>
              </w:rPr>
              <w:t>1、温度控制范围：2℃～8℃；</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2、有效容积：≥730L；</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3、压缩机：原装进口压缩机，全封闭型（543W）；</w:t>
            </w:r>
          </w:p>
          <w:p>
            <w:pPr>
              <w:spacing w:line="240" w:lineRule="auto"/>
              <w:ind w:firstLine="0" w:firstLineChars="0"/>
              <w:rPr>
                <w:rFonts w:hAnsi="宋体"/>
                <w:color w:val="auto"/>
                <w:highlight w:val="none"/>
              </w:rPr>
            </w:pPr>
            <w:r>
              <w:rPr>
                <w:rFonts w:hint="eastAsia" w:hAnsi="宋体"/>
                <w:color w:val="auto"/>
                <w:highlight w:val="none"/>
              </w:rPr>
              <w:t>4、风扇：采用双风扇设计，箱内温度分布更均匀，降温更迅速；</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5、门：采用滑动式大视窗玻璃门设计，门体带电加热反射膜的双层玻璃门</w:t>
            </w:r>
            <w:r>
              <w:rPr>
                <w:rFonts w:hAnsi="宋体"/>
                <w:color w:val="auto"/>
                <w:highlight w:val="none"/>
              </w:rPr>
              <w:t>，能够</w:t>
            </w:r>
            <w:r>
              <w:rPr>
                <w:rFonts w:hint="eastAsia" w:hAnsi="宋体"/>
                <w:color w:val="auto"/>
                <w:highlight w:val="none"/>
              </w:rPr>
              <w:t>有效</w:t>
            </w:r>
            <w:r>
              <w:rPr>
                <w:rFonts w:hAnsi="宋体"/>
                <w:color w:val="auto"/>
                <w:highlight w:val="none"/>
              </w:rPr>
              <w:t>防止结露</w:t>
            </w:r>
            <w:r>
              <w:rPr>
                <w:rFonts w:hint="eastAsia" w:hAnsi="宋体"/>
                <w:color w:val="auto"/>
                <w:highlight w:val="none"/>
              </w:rPr>
              <w:t>；不锈钢内胆；</w:t>
            </w:r>
          </w:p>
          <w:p>
            <w:pPr>
              <w:spacing w:line="240" w:lineRule="auto"/>
              <w:ind w:firstLine="0" w:firstLineChars="0"/>
              <w:rPr>
                <w:rFonts w:hAnsi="宋体"/>
                <w:color w:val="auto"/>
                <w:highlight w:val="none"/>
              </w:rPr>
            </w:pPr>
            <w:r>
              <w:rPr>
                <w:rFonts w:hint="eastAsia" w:hAnsi="宋体"/>
                <w:color w:val="auto"/>
                <w:highlight w:val="none"/>
              </w:rPr>
              <w:t>6、锁：柜体自带门锁，保证存储安全；</w:t>
            </w:r>
          </w:p>
          <w:p>
            <w:pPr>
              <w:spacing w:line="240" w:lineRule="auto"/>
              <w:ind w:firstLine="0" w:firstLineChars="0"/>
              <w:rPr>
                <w:rFonts w:hAnsi="宋体"/>
                <w:color w:val="auto"/>
                <w:highlight w:val="none"/>
              </w:rPr>
            </w:pPr>
            <w:r>
              <w:rPr>
                <w:rFonts w:hint="eastAsia" w:hAnsi="宋体"/>
                <w:color w:val="auto"/>
                <w:highlight w:val="none"/>
              </w:rPr>
              <w:t>7、测试孔：直径32mm检测孔1个；</w:t>
            </w:r>
          </w:p>
          <w:p>
            <w:pPr>
              <w:spacing w:line="240" w:lineRule="auto"/>
              <w:ind w:firstLine="0" w:firstLineChars="0"/>
              <w:rPr>
                <w:rFonts w:hAnsi="宋体"/>
                <w:color w:val="auto"/>
                <w:highlight w:val="none"/>
              </w:rPr>
            </w:pPr>
            <w:r>
              <w:rPr>
                <w:rFonts w:hint="eastAsia" w:hAnsi="宋体"/>
                <w:color w:val="auto"/>
                <w:highlight w:val="none"/>
              </w:rPr>
              <w:t>8、制冷剂：R-404A（HFC）；</w:t>
            </w:r>
          </w:p>
          <w:p>
            <w:pPr>
              <w:spacing w:line="240" w:lineRule="auto"/>
              <w:ind w:firstLine="0" w:firstLineChars="0"/>
              <w:rPr>
                <w:rFonts w:hAnsi="宋体"/>
                <w:color w:val="auto"/>
                <w:highlight w:val="none"/>
              </w:rPr>
            </w:pPr>
            <w:r>
              <w:rPr>
                <w:rFonts w:hint="eastAsia" w:hAnsi="宋体"/>
                <w:color w:val="auto"/>
                <w:highlight w:val="none"/>
              </w:rPr>
              <w:t>9、层架：5层10个（可调节）；</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10、噪音：≤48dB；</w:t>
            </w:r>
          </w:p>
          <w:p>
            <w:pPr>
              <w:spacing w:line="240" w:lineRule="auto"/>
              <w:ind w:firstLine="0" w:firstLineChars="0"/>
              <w:rPr>
                <w:rFonts w:hAnsi="宋体"/>
                <w:color w:val="auto"/>
                <w:highlight w:val="none"/>
              </w:rPr>
            </w:pPr>
            <w:r>
              <w:rPr>
                <w:rFonts w:hint="eastAsia" w:hAnsi="宋体"/>
                <w:color w:val="auto"/>
                <w:highlight w:val="none"/>
              </w:rPr>
              <w:t>11、除霜：采用循环除霜系统，即每次压缩机制冷循环停止后激活除霜系统，通过缩短除霜周期减少保存箱内的温度波动，节约能耗；</w:t>
            </w:r>
          </w:p>
          <w:p>
            <w:pPr>
              <w:spacing w:line="240" w:lineRule="auto"/>
              <w:ind w:firstLine="0" w:firstLineChars="0"/>
              <w:rPr>
                <w:rFonts w:hAnsi="宋体"/>
                <w:color w:val="auto"/>
                <w:highlight w:val="none"/>
              </w:rPr>
            </w:pPr>
            <w:r>
              <w:rPr>
                <w:rFonts w:hint="eastAsia" w:hAnsi="宋体"/>
                <w:color w:val="auto"/>
                <w:highlight w:val="none"/>
              </w:rPr>
              <w:t>12、报警系统：高/低温报警功能，门未关闭报警功能，传感器故障报警，冷凝器脏堵报警功能。</w:t>
            </w:r>
          </w:p>
          <w:p>
            <w:pPr>
              <w:pStyle w:val="2"/>
              <w:rPr>
                <w:rFonts w:hAnsi="宋体"/>
                <w:color w:val="auto"/>
                <w:highlight w:val="none"/>
              </w:rPr>
            </w:pPr>
            <w:r>
              <w:rPr>
                <w:bCs/>
                <w:color w:val="auto"/>
                <w:highlight w:val="none"/>
              </w:rPr>
              <w:t>售后服务要求</w:t>
            </w:r>
            <w:r>
              <w:rPr>
                <w:rFonts w:hint="eastAsia"/>
                <w:bCs/>
                <w:color w:val="auto"/>
                <w:highlight w:val="none"/>
              </w:rPr>
              <w:t>：整机</w:t>
            </w:r>
            <w:r>
              <w:rPr>
                <w:bCs/>
                <w:color w:val="auto"/>
                <w:highlight w:val="none"/>
              </w:rPr>
              <w:t>保修</w:t>
            </w:r>
            <w:r>
              <w:rPr>
                <w:rFonts w:hint="eastAsia"/>
                <w:bCs/>
                <w:color w:val="auto"/>
                <w:highlight w:val="none"/>
              </w:rPr>
              <w:t>三年，压缩机五年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台</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4</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shd w:val="clear" w:color="auto" w:fill="auto"/>
            <w:vAlign w:val="center"/>
          </w:tcPr>
          <w:p>
            <w:pPr>
              <w:numPr>
                <w:ilvl w:val="0"/>
                <w:numId w:val="22"/>
              </w:numPr>
              <w:spacing w:before="120" w:beforeLines="50" w:after="120" w:afterLines="50"/>
              <w:ind w:firstLineChars="0"/>
              <w:jc w:val="center"/>
              <w:rPr>
                <w:color w:val="auto"/>
                <w:highlight w:val="none"/>
              </w:rPr>
            </w:pPr>
          </w:p>
        </w:tc>
        <w:tc>
          <w:tcPr>
            <w:tcW w:w="1409" w:type="dxa"/>
            <w:shd w:val="clear" w:color="auto" w:fill="auto"/>
            <w:vAlign w:val="center"/>
          </w:tcPr>
          <w:p>
            <w:pPr>
              <w:spacing w:before="120" w:beforeLines="50" w:after="120" w:afterLines="50"/>
              <w:ind w:firstLine="0" w:firstLineChars="0"/>
              <w:jc w:val="center"/>
              <w:rPr>
                <w:rFonts w:ascii="宋体" w:hAnsi="宋体" w:cs="宋体"/>
                <w:color w:val="auto"/>
                <w:highlight w:val="none"/>
              </w:rPr>
            </w:pPr>
            <w:r>
              <w:rPr>
                <w:rFonts w:hint="eastAsia" w:ascii="宋体" w:hAnsi="宋体" w:cs="宋体"/>
                <w:color w:val="auto"/>
                <w:kern w:val="0"/>
                <w:highlight w:val="none"/>
              </w:rPr>
              <w:t>多道电动移液器及配套吸头</w:t>
            </w:r>
          </w:p>
        </w:tc>
        <w:tc>
          <w:tcPr>
            <w:tcW w:w="5862" w:type="dxa"/>
            <w:shd w:val="clear" w:color="auto" w:fill="auto"/>
            <w:vAlign w:val="center"/>
          </w:tcPr>
          <w:p>
            <w:pPr>
              <w:spacing w:line="240" w:lineRule="auto"/>
              <w:ind w:firstLine="0" w:firstLineChars="0"/>
              <w:rPr>
                <w:rFonts w:hAnsi="宋体"/>
                <w:color w:val="auto"/>
                <w:highlight w:val="none"/>
              </w:rPr>
            </w:pPr>
            <w:r>
              <w:rPr>
                <w:rFonts w:hint="eastAsia" w:hAnsi="宋体"/>
                <w:color w:val="auto"/>
                <w:highlight w:val="none"/>
              </w:rPr>
              <w:t>（一）0.5-10ul  1套</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1、电动8道，间距可调，圆柱形套柄；</w:t>
            </w:r>
          </w:p>
          <w:p>
            <w:pPr>
              <w:spacing w:line="240" w:lineRule="auto"/>
              <w:ind w:firstLine="0" w:firstLineChars="0"/>
              <w:rPr>
                <w:rFonts w:hAnsi="宋体"/>
                <w:color w:val="auto"/>
                <w:highlight w:val="none"/>
              </w:rPr>
            </w:pPr>
            <w:r>
              <w:rPr>
                <w:rFonts w:hint="eastAsia" w:hAnsi="宋体"/>
                <w:color w:val="auto"/>
                <w:highlight w:val="none"/>
              </w:rPr>
              <w:t>2、量程范围：0.5—10ul，步进量：0.01ul；</w:t>
            </w:r>
          </w:p>
          <w:p>
            <w:pPr>
              <w:spacing w:line="240" w:lineRule="auto"/>
              <w:ind w:firstLine="0" w:firstLineChars="0"/>
              <w:rPr>
                <w:rFonts w:hAnsi="宋体"/>
                <w:color w:val="auto"/>
                <w:highlight w:val="none"/>
              </w:rPr>
            </w:pPr>
            <w:r>
              <w:rPr>
                <w:rFonts w:hint="eastAsia" w:hAnsi="宋体"/>
                <w:color w:val="auto"/>
                <w:highlight w:val="none"/>
              </w:rPr>
              <w:t>3、准确性：±1 ul：4 % / 0.04 ul；5 ul: 1.5 % / 0.075 ul ; 10 ul: 1 % / 0.1 ul；</w:t>
            </w:r>
          </w:p>
          <w:p>
            <w:pPr>
              <w:spacing w:line="240" w:lineRule="auto"/>
              <w:ind w:firstLine="0" w:firstLineChars="0"/>
              <w:rPr>
                <w:rFonts w:hAnsi="宋体"/>
                <w:color w:val="auto"/>
                <w:highlight w:val="none"/>
              </w:rPr>
            </w:pPr>
            <w:r>
              <w:rPr>
                <w:rFonts w:hint="eastAsia" w:hAnsi="宋体"/>
                <w:color w:val="auto"/>
                <w:highlight w:val="none"/>
              </w:rPr>
              <w:t>4、精度：±1 ul：3 % / 0.03 ul；5 ul: 0.8 % / 0.04 ul ; 10 ul: 0.5 % / 0.05 ul；</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5、轻触式去吸头系统 LTS；</w:t>
            </w:r>
          </w:p>
          <w:p>
            <w:pPr>
              <w:spacing w:line="240" w:lineRule="auto"/>
              <w:ind w:firstLine="0" w:firstLineChars="0"/>
              <w:rPr>
                <w:rFonts w:hAnsi="宋体"/>
                <w:color w:val="auto"/>
                <w:highlight w:val="none"/>
              </w:rPr>
            </w:pPr>
            <w:r>
              <w:rPr>
                <w:rFonts w:hint="eastAsia" w:hAnsi="宋体"/>
                <w:color w:val="auto"/>
                <w:highlight w:val="none"/>
              </w:rPr>
              <w:t>6、配备操纵杆图形扫描的直观操作 多种模式可满足任何移液需求。保存最喜欢的协议,以减少工作流程和误差；</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7、可对设置、协议和服务警报进行密码保护，从而有助于符合 SOP 和 GLP/GMP 规定；</w:t>
            </w:r>
          </w:p>
          <w:p>
            <w:pPr>
              <w:spacing w:line="240" w:lineRule="auto"/>
              <w:ind w:firstLine="0" w:firstLineChars="0"/>
              <w:rPr>
                <w:rFonts w:hAnsi="宋体"/>
                <w:color w:val="auto"/>
                <w:highlight w:val="none"/>
              </w:rPr>
            </w:pPr>
            <w:r>
              <w:rPr>
                <w:rFonts w:hint="eastAsia" w:hAnsi="宋体"/>
                <w:color w:val="auto"/>
                <w:highlight w:val="none"/>
              </w:rPr>
              <w:t>8、配套吸头1盒。</w:t>
            </w:r>
          </w:p>
          <w:p>
            <w:pPr>
              <w:spacing w:line="240" w:lineRule="auto"/>
              <w:ind w:firstLine="0" w:firstLineChars="0"/>
              <w:rPr>
                <w:rFonts w:hAnsi="宋体"/>
                <w:color w:val="auto"/>
                <w:highlight w:val="none"/>
              </w:rPr>
            </w:pPr>
            <w:r>
              <w:rPr>
                <w:rFonts w:hint="eastAsia" w:hAnsi="宋体"/>
                <w:color w:val="auto"/>
                <w:highlight w:val="none"/>
              </w:rPr>
              <w:t>（二）2-20ul  1套</w:t>
            </w:r>
          </w:p>
          <w:p>
            <w:pPr>
              <w:spacing w:line="240" w:lineRule="auto"/>
              <w:ind w:firstLine="0" w:firstLineChars="0"/>
              <w:rPr>
                <w:rFonts w:hAnsi="宋体"/>
                <w:color w:val="auto"/>
                <w:highlight w:val="none"/>
              </w:rPr>
            </w:pPr>
            <w:r>
              <w:rPr>
                <w:rFonts w:hint="eastAsia" w:hAnsi="宋体"/>
                <w:color w:val="auto"/>
                <w:highlight w:val="none"/>
              </w:rPr>
              <w:t xml:space="preserve"> </w:t>
            </w:r>
            <w:r>
              <w:rPr>
                <w:rFonts w:ascii="Arial" w:hAnsi="Arial" w:cs="Arial"/>
                <w:color w:val="auto"/>
                <w:highlight w:val="none"/>
                <w:shd w:val="clear" w:color="auto" w:fill="FFFFFF"/>
              </w:rPr>
              <w:t>▲</w:t>
            </w:r>
            <w:r>
              <w:rPr>
                <w:rFonts w:hint="eastAsia" w:hAnsi="宋体"/>
                <w:color w:val="auto"/>
                <w:highlight w:val="none"/>
              </w:rPr>
              <w:t>1、电动8道，间距可调，圆柱形套柄；</w:t>
            </w:r>
          </w:p>
          <w:p>
            <w:pPr>
              <w:spacing w:line="240" w:lineRule="auto"/>
              <w:ind w:firstLine="0" w:firstLineChars="0"/>
              <w:rPr>
                <w:rFonts w:hAnsi="宋体"/>
                <w:color w:val="auto"/>
                <w:highlight w:val="none"/>
              </w:rPr>
            </w:pPr>
            <w:r>
              <w:rPr>
                <w:rFonts w:hint="eastAsia" w:hAnsi="宋体"/>
                <w:color w:val="auto"/>
                <w:highlight w:val="none"/>
              </w:rPr>
              <w:t>2、量程范围：2—20ul，步进量：0.02ul；</w:t>
            </w:r>
          </w:p>
          <w:p>
            <w:pPr>
              <w:spacing w:line="240" w:lineRule="auto"/>
              <w:ind w:firstLine="0" w:firstLineChars="0"/>
              <w:rPr>
                <w:rFonts w:hAnsi="宋体"/>
                <w:color w:val="auto"/>
                <w:highlight w:val="none"/>
              </w:rPr>
            </w:pPr>
            <w:r>
              <w:rPr>
                <w:rFonts w:hint="eastAsia" w:hAnsi="宋体"/>
                <w:color w:val="auto"/>
                <w:highlight w:val="none"/>
              </w:rPr>
              <w:t>3、准确性：±2 ul：7.5 % / 0.15 ul ; 10 ul: 1.5 % / 0.15 ul ; 20 ul : 1 % / 0.2 ul；</w:t>
            </w:r>
          </w:p>
          <w:p>
            <w:pPr>
              <w:spacing w:line="240" w:lineRule="auto"/>
              <w:ind w:firstLine="0" w:firstLineChars="0"/>
              <w:rPr>
                <w:rFonts w:hAnsi="宋体"/>
                <w:color w:val="auto"/>
                <w:highlight w:val="none"/>
              </w:rPr>
            </w:pPr>
            <w:r>
              <w:rPr>
                <w:rFonts w:hint="eastAsia" w:hAnsi="宋体"/>
                <w:color w:val="auto"/>
                <w:highlight w:val="none"/>
              </w:rPr>
              <w:t>4、精度：±2ul：3 % / 0.06 ul ; 10 ul : 1 % / 0.1 ul ; 20 ul : 0.3 % / 0.06 ul；</w:t>
            </w:r>
          </w:p>
          <w:p>
            <w:pPr>
              <w:spacing w:line="240" w:lineRule="auto"/>
              <w:ind w:firstLine="0" w:firstLineChars="0"/>
              <w:rPr>
                <w:rFonts w:hAnsi="宋体"/>
                <w:color w:val="auto"/>
                <w:highlight w:val="none"/>
              </w:rPr>
            </w:pPr>
            <w:r>
              <w:rPr>
                <w:rFonts w:hint="eastAsia" w:hAnsi="宋体"/>
                <w:color w:val="auto"/>
                <w:highlight w:val="none"/>
              </w:rPr>
              <w:t>5、轻触式去吸头系统 LTS；</w:t>
            </w:r>
          </w:p>
          <w:p>
            <w:pPr>
              <w:spacing w:line="240" w:lineRule="auto"/>
              <w:ind w:firstLine="0" w:firstLineChars="0"/>
              <w:rPr>
                <w:rFonts w:hAnsi="宋体"/>
                <w:color w:val="auto"/>
                <w:highlight w:val="none"/>
              </w:rPr>
            </w:pPr>
            <w:r>
              <w:rPr>
                <w:rFonts w:hint="eastAsia" w:hAnsi="宋体"/>
                <w:color w:val="auto"/>
                <w:highlight w:val="none"/>
              </w:rPr>
              <w:t>6、配备操纵杆图形扫描的直观操作 多种模式可满足任何移液需求。保存最喜欢的协议,以减少工作流程和误差；</w:t>
            </w:r>
          </w:p>
          <w:p>
            <w:pPr>
              <w:spacing w:line="240" w:lineRule="auto"/>
              <w:ind w:firstLine="0" w:firstLineChars="0"/>
              <w:rPr>
                <w:rFonts w:hAnsi="宋体"/>
                <w:color w:val="auto"/>
                <w:highlight w:val="none"/>
              </w:rPr>
            </w:pPr>
            <w:r>
              <w:rPr>
                <w:rFonts w:hint="eastAsia" w:hAnsi="宋体"/>
                <w:color w:val="auto"/>
                <w:highlight w:val="none"/>
              </w:rPr>
              <w:t>7、可对设置、协议和服务警报进行密码保护，从而有助于符合 SOP 和 GLP/GMP 规定；</w:t>
            </w:r>
          </w:p>
          <w:p>
            <w:pPr>
              <w:spacing w:line="240" w:lineRule="auto"/>
              <w:ind w:firstLine="0" w:firstLineChars="0"/>
              <w:rPr>
                <w:rFonts w:hAnsi="宋体"/>
                <w:color w:val="auto"/>
                <w:highlight w:val="none"/>
              </w:rPr>
            </w:pPr>
            <w:r>
              <w:rPr>
                <w:rFonts w:hint="eastAsia" w:hAnsi="宋体"/>
                <w:color w:val="auto"/>
                <w:highlight w:val="none"/>
              </w:rPr>
              <w:t>8、配套吸头1盒。</w:t>
            </w:r>
          </w:p>
          <w:p>
            <w:pPr>
              <w:spacing w:line="240" w:lineRule="auto"/>
              <w:ind w:firstLine="0" w:firstLineChars="0"/>
              <w:rPr>
                <w:rFonts w:hAnsi="宋体"/>
                <w:color w:val="auto"/>
                <w:highlight w:val="none"/>
              </w:rPr>
            </w:pPr>
            <w:r>
              <w:rPr>
                <w:rFonts w:hint="eastAsia" w:hAnsi="宋体"/>
                <w:color w:val="auto"/>
                <w:highlight w:val="none"/>
              </w:rPr>
              <w:t>（三）20-200ul  1套</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1、电动8道，间距可调，圆柱形套柄；</w:t>
            </w:r>
          </w:p>
          <w:p>
            <w:pPr>
              <w:spacing w:line="240" w:lineRule="auto"/>
              <w:ind w:firstLine="0" w:firstLineChars="0"/>
              <w:rPr>
                <w:rFonts w:hAnsi="宋体"/>
                <w:color w:val="auto"/>
                <w:highlight w:val="none"/>
              </w:rPr>
            </w:pPr>
            <w:r>
              <w:rPr>
                <w:rFonts w:hint="eastAsia" w:hAnsi="宋体"/>
                <w:color w:val="auto"/>
                <w:highlight w:val="none"/>
              </w:rPr>
              <w:t>2、量程范围：20—200ul，步进量：0.2ul；</w:t>
            </w:r>
          </w:p>
          <w:p>
            <w:pPr>
              <w:spacing w:line="240" w:lineRule="auto"/>
              <w:ind w:firstLine="0" w:firstLineChars="0"/>
              <w:rPr>
                <w:rFonts w:hAnsi="宋体"/>
                <w:color w:val="auto"/>
                <w:highlight w:val="none"/>
              </w:rPr>
            </w:pPr>
            <w:r>
              <w:rPr>
                <w:rFonts w:hint="eastAsia" w:hAnsi="宋体"/>
                <w:color w:val="auto"/>
                <w:highlight w:val="none"/>
              </w:rPr>
              <w:t>3、准确性：±20ul：2.5 % / 0.5 ul ; 100 ul : 0.8 % / 0.8 ul ; 200 ul : 0.8 % / 1.6 ul；</w:t>
            </w:r>
          </w:p>
          <w:p>
            <w:pPr>
              <w:spacing w:line="240" w:lineRule="auto"/>
              <w:ind w:firstLine="0" w:firstLineChars="0"/>
              <w:rPr>
                <w:rFonts w:hAnsi="宋体"/>
                <w:color w:val="auto"/>
                <w:highlight w:val="none"/>
              </w:rPr>
            </w:pPr>
            <w:r>
              <w:rPr>
                <w:rFonts w:hint="eastAsia" w:hAnsi="宋体"/>
                <w:color w:val="auto"/>
                <w:highlight w:val="none"/>
              </w:rPr>
              <w:t>4、精度：±20ul：1 % / 0.2 ul ; 100 ul : 0.25 % / 0.25 ul ; 200 ul : 0.2 % / 0.4 ul；</w:t>
            </w:r>
          </w:p>
          <w:p>
            <w:pPr>
              <w:spacing w:line="240" w:lineRule="auto"/>
              <w:ind w:firstLine="0" w:firstLineChars="0"/>
              <w:rPr>
                <w:rFonts w:hAnsi="宋体"/>
                <w:color w:val="auto"/>
                <w:highlight w:val="none"/>
              </w:rPr>
            </w:pPr>
            <w:r>
              <w:rPr>
                <w:rFonts w:hint="eastAsia" w:hAnsi="宋体"/>
                <w:color w:val="auto"/>
                <w:highlight w:val="none"/>
              </w:rPr>
              <w:t>5、轻触式去吸头系统 LTS；</w:t>
            </w:r>
          </w:p>
          <w:p>
            <w:pPr>
              <w:spacing w:line="240" w:lineRule="auto"/>
              <w:ind w:firstLine="0" w:firstLineChars="0"/>
              <w:rPr>
                <w:rFonts w:hAnsi="宋体"/>
                <w:color w:val="auto"/>
                <w:highlight w:val="none"/>
              </w:rPr>
            </w:pPr>
            <w:r>
              <w:rPr>
                <w:rFonts w:hint="eastAsia" w:hAnsi="宋体"/>
                <w:color w:val="auto"/>
                <w:highlight w:val="none"/>
              </w:rPr>
              <w:t>6、配备操纵杆图形扫描的直观操作 多种模式可满足任何移液需求。保存最喜欢的协议,以减少工作流程和误差；</w:t>
            </w:r>
          </w:p>
          <w:p>
            <w:pPr>
              <w:spacing w:line="240" w:lineRule="auto"/>
              <w:ind w:firstLine="0" w:firstLineChars="0"/>
              <w:rPr>
                <w:rFonts w:hAnsi="宋体"/>
                <w:color w:val="auto"/>
                <w:highlight w:val="none"/>
              </w:rPr>
            </w:pPr>
            <w:r>
              <w:rPr>
                <w:rFonts w:hint="eastAsia" w:hAnsi="宋体"/>
                <w:color w:val="auto"/>
                <w:highlight w:val="none"/>
              </w:rPr>
              <w:t>7、可对设置、协议和服务警报进行密码保护，从而有助于符合 SOP 和 GLP/GMP 规定；</w:t>
            </w:r>
          </w:p>
          <w:p>
            <w:pPr>
              <w:spacing w:line="240" w:lineRule="auto"/>
              <w:ind w:firstLine="0" w:firstLineChars="0"/>
              <w:rPr>
                <w:rFonts w:hAnsi="宋体"/>
                <w:color w:val="auto"/>
                <w:highlight w:val="none"/>
              </w:rPr>
            </w:pPr>
            <w:r>
              <w:rPr>
                <w:rFonts w:hint="eastAsia" w:hAnsi="宋体"/>
                <w:color w:val="auto"/>
                <w:highlight w:val="none"/>
              </w:rPr>
              <w:t>8、配套吸头1盒。</w:t>
            </w:r>
          </w:p>
          <w:p>
            <w:pPr>
              <w:spacing w:line="240" w:lineRule="auto"/>
              <w:ind w:firstLine="0" w:firstLineChars="0"/>
              <w:rPr>
                <w:rFonts w:hAnsi="宋体"/>
                <w:color w:val="auto"/>
                <w:highlight w:val="none"/>
              </w:rPr>
            </w:pPr>
            <w:r>
              <w:rPr>
                <w:rFonts w:hint="eastAsia" w:hAnsi="宋体"/>
                <w:color w:val="auto"/>
                <w:highlight w:val="none"/>
              </w:rPr>
              <w:t>（四）100-1200ul  1套</w:t>
            </w:r>
          </w:p>
          <w:p>
            <w:pPr>
              <w:spacing w:line="240" w:lineRule="auto"/>
              <w:ind w:firstLine="0" w:firstLineChars="0"/>
              <w:rPr>
                <w:rFonts w:hAnsi="宋体"/>
                <w:color w:val="auto"/>
                <w:highlight w:val="none"/>
              </w:rPr>
            </w:pPr>
            <w:r>
              <w:rPr>
                <w:rFonts w:ascii="Arial" w:hAnsi="Arial" w:cs="Arial"/>
                <w:color w:val="auto"/>
                <w:highlight w:val="none"/>
                <w:shd w:val="clear" w:color="auto" w:fill="FFFFFF"/>
              </w:rPr>
              <w:t>▲</w:t>
            </w:r>
            <w:r>
              <w:rPr>
                <w:rFonts w:hint="eastAsia" w:hAnsi="宋体"/>
                <w:color w:val="auto"/>
                <w:highlight w:val="none"/>
              </w:rPr>
              <w:t>1、电动8道，间距可调，圆柱形套柄；</w:t>
            </w:r>
          </w:p>
          <w:p>
            <w:pPr>
              <w:spacing w:line="240" w:lineRule="auto"/>
              <w:ind w:firstLine="0" w:firstLineChars="0"/>
              <w:rPr>
                <w:rFonts w:hAnsi="宋体"/>
                <w:color w:val="auto"/>
                <w:highlight w:val="none"/>
              </w:rPr>
            </w:pPr>
            <w:r>
              <w:rPr>
                <w:rFonts w:hint="eastAsia" w:hAnsi="宋体"/>
                <w:color w:val="auto"/>
                <w:highlight w:val="none"/>
              </w:rPr>
              <w:t>2、量程范围：100—1200ul，步进量：1ul；</w:t>
            </w:r>
          </w:p>
          <w:p>
            <w:pPr>
              <w:spacing w:line="240" w:lineRule="auto"/>
              <w:ind w:firstLine="0" w:firstLineChars="0"/>
              <w:rPr>
                <w:rFonts w:hAnsi="宋体"/>
                <w:color w:val="auto"/>
                <w:highlight w:val="none"/>
              </w:rPr>
            </w:pPr>
            <w:r>
              <w:rPr>
                <w:rFonts w:hint="eastAsia" w:hAnsi="宋体"/>
                <w:color w:val="auto"/>
                <w:highlight w:val="none"/>
              </w:rPr>
              <w:t>3、准确性：±100ul：3.6 % / 3.6 ul ; 600 ul : 0.8 % / 4.8 ul ; 1,200 ul : 0.8 % / 9.6 ul；</w:t>
            </w:r>
          </w:p>
          <w:p>
            <w:pPr>
              <w:spacing w:line="240" w:lineRule="auto"/>
              <w:ind w:firstLine="0" w:firstLineChars="0"/>
              <w:rPr>
                <w:rFonts w:hAnsi="宋体"/>
                <w:color w:val="auto"/>
                <w:highlight w:val="none"/>
              </w:rPr>
            </w:pPr>
            <w:r>
              <w:rPr>
                <w:rFonts w:hint="eastAsia" w:hAnsi="宋体"/>
                <w:color w:val="auto"/>
                <w:highlight w:val="none"/>
              </w:rPr>
              <w:t>4、精度：±100ul：0.6 % / 0.6 ul ; 600 ul : 0.2 % / 1.2 ul ; 1,200 ul : 0.15 % / 1.8 ul；</w:t>
            </w:r>
          </w:p>
          <w:p>
            <w:pPr>
              <w:spacing w:line="240" w:lineRule="auto"/>
              <w:ind w:firstLine="0" w:firstLineChars="0"/>
              <w:rPr>
                <w:rFonts w:hAnsi="宋体"/>
                <w:color w:val="auto"/>
                <w:highlight w:val="none"/>
              </w:rPr>
            </w:pPr>
            <w:r>
              <w:rPr>
                <w:rFonts w:hint="eastAsia" w:hAnsi="宋体"/>
                <w:color w:val="auto"/>
                <w:highlight w:val="none"/>
              </w:rPr>
              <w:t>5、轻触式去吸头系统 LTS；</w:t>
            </w:r>
          </w:p>
          <w:p>
            <w:pPr>
              <w:spacing w:line="240" w:lineRule="auto"/>
              <w:ind w:firstLine="0" w:firstLineChars="0"/>
              <w:rPr>
                <w:rFonts w:hAnsi="宋体"/>
                <w:color w:val="auto"/>
                <w:highlight w:val="none"/>
              </w:rPr>
            </w:pPr>
            <w:r>
              <w:rPr>
                <w:rFonts w:hint="eastAsia" w:hAnsi="宋体"/>
                <w:color w:val="auto"/>
                <w:highlight w:val="none"/>
              </w:rPr>
              <w:t>6、配备操纵杆图形扫描的直观操作 多种模式可满足任何移液需求。保存最喜欢的协议,以减少工作流程和误差；</w:t>
            </w:r>
          </w:p>
          <w:p>
            <w:pPr>
              <w:spacing w:line="240" w:lineRule="auto"/>
              <w:ind w:firstLine="0" w:firstLineChars="0"/>
              <w:rPr>
                <w:rFonts w:hAnsi="宋体"/>
                <w:color w:val="auto"/>
                <w:highlight w:val="none"/>
              </w:rPr>
            </w:pPr>
            <w:r>
              <w:rPr>
                <w:rFonts w:hint="eastAsia" w:hAnsi="宋体"/>
                <w:color w:val="auto"/>
                <w:highlight w:val="none"/>
              </w:rPr>
              <w:t>7、可对设置、协议和服务警报进行密码保护，从而有助于符合 SOP 和 GLP/GMP 规定；</w:t>
            </w:r>
          </w:p>
          <w:p>
            <w:pPr>
              <w:spacing w:line="240" w:lineRule="auto"/>
              <w:ind w:firstLine="0" w:firstLineChars="0"/>
              <w:rPr>
                <w:rFonts w:hAnsi="宋体"/>
                <w:color w:val="auto"/>
                <w:highlight w:val="none"/>
              </w:rPr>
            </w:pPr>
            <w:r>
              <w:rPr>
                <w:rFonts w:hint="eastAsia" w:hAnsi="宋体"/>
                <w:color w:val="auto"/>
                <w:highlight w:val="none"/>
              </w:rPr>
              <w:t>8、配套吸头1盒。</w:t>
            </w:r>
          </w:p>
          <w:p>
            <w:pPr>
              <w:pStyle w:val="2"/>
              <w:rPr>
                <w:color w:val="auto"/>
                <w:highlight w:val="none"/>
              </w:rPr>
            </w:pPr>
            <w:r>
              <w:rPr>
                <w:bCs/>
                <w:color w:val="auto"/>
                <w:highlight w:val="none"/>
              </w:rPr>
              <w:t>售后服务要求</w:t>
            </w:r>
            <w:r>
              <w:rPr>
                <w:rFonts w:hint="eastAsia"/>
                <w:bCs/>
                <w:color w:val="auto"/>
                <w:highlight w:val="none"/>
              </w:rPr>
              <w:t>：</w:t>
            </w:r>
            <w:r>
              <w:rPr>
                <w:bCs/>
                <w:color w:val="auto"/>
                <w:highlight w:val="none"/>
              </w:rPr>
              <w:t>保修</w:t>
            </w:r>
            <w:r>
              <w:rPr>
                <w:rFonts w:hint="eastAsia"/>
                <w:bCs/>
                <w:color w:val="auto"/>
                <w:highlight w:val="none"/>
              </w:rPr>
              <w:t>三年</w:t>
            </w:r>
          </w:p>
        </w:tc>
        <w:tc>
          <w:tcPr>
            <w:tcW w:w="541"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套</w:t>
            </w:r>
          </w:p>
        </w:tc>
        <w:tc>
          <w:tcPr>
            <w:tcW w:w="540"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4</w:t>
            </w:r>
          </w:p>
        </w:tc>
        <w:tc>
          <w:tcPr>
            <w:tcW w:w="542" w:type="dxa"/>
            <w:shd w:val="clear" w:color="auto" w:fill="auto"/>
            <w:vAlign w:val="center"/>
          </w:tcPr>
          <w:p>
            <w:pPr>
              <w:spacing w:before="120" w:beforeLines="50" w:after="120" w:afterLines="50"/>
              <w:ind w:firstLine="0" w:firstLineChars="0"/>
              <w:jc w:val="center"/>
              <w:rPr>
                <w:color w:val="auto"/>
                <w:highlight w:val="none"/>
              </w:rPr>
            </w:pPr>
            <w:r>
              <w:rPr>
                <w:rFonts w:hint="eastAsia"/>
                <w:color w:val="auto"/>
                <w:highlight w:val="none"/>
              </w:rPr>
              <w:t>允许进口</w:t>
            </w:r>
          </w:p>
        </w:tc>
      </w:tr>
    </w:tbl>
    <w:p>
      <w:pPr>
        <w:pStyle w:val="2"/>
        <w:rPr>
          <w:rFonts w:ascii="宋体" w:hAnsi="宋体" w:eastAsia="宋体"/>
          <w:color w:val="auto"/>
          <w:highlight w:val="none"/>
        </w:rPr>
      </w:pPr>
      <w:r>
        <w:rPr>
          <w:rFonts w:hint="eastAsia" w:ascii="宋体" w:hAnsi="宋体" w:eastAsia="宋体"/>
          <w:color w:val="auto"/>
          <w:highlight w:val="none"/>
        </w:rPr>
        <w:t>注：除招标文件中所明确的技术规格和品牌外，欢迎其他能满足本项目技术需求且性能相当于或高于所明确品牌的产品参加投标报价。同时在需求偏倚表作出详细对比说明。</w:t>
      </w:r>
    </w:p>
    <w:p>
      <w:pPr>
        <w:pStyle w:val="5"/>
        <w:rPr>
          <w:color w:val="auto"/>
          <w:highlight w:val="none"/>
        </w:rPr>
      </w:pPr>
      <w:bookmarkStart w:id="61" w:name="_Toc4822"/>
      <w:bookmarkStart w:id="62" w:name="_Toc6282"/>
      <w:bookmarkStart w:id="63" w:name="_Toc4802"/>
      <w:r>
        <w:rPr>
          <w:rFonts w:hint="eastAsia" w:ascii="宋体" w:hAnsi="宋体" w:cs="宋体"/>
          <w:color w:val="auto"/>
          <w:sz w:val="24"/>
          <w:szCs w:val="40"/>
          <w:highlight w:val="none"/>
        </w:rPr>
        <w:t>二、</w:t>
      </w:r>
      <w:r>
        <w:rPr>
          <w:rFonts w:hint="eastAsia" w:ascii="宋体" w:hAnsi="宋体" w:cs="宋体"/>
          <w:color w:val="auto"/>
          <w:kern w:val="0"/>
          <w:szCs w:val="21"/>
          <w:highlight w:val="none"/>
        </w:rPr>
        <w:t>★</w:t>
      </w:r>
      <w:r>
        <w:rPr>
          <w:rFonts w:hint="eastAsia" w:ascii="宋体" w:hAnsi="宋体" w:cs="宋体"/>
          <w:color w:val="auto"/>
          <w:sz w:val="24"/>
          <w:szCs w:val="40"/>
          <w:highlight w:val="none"/>
        </w:rPr>
        <w:t>商务要求</w:t>
      </w:r>
      <w:bookmarkEnd w:id="61"/>
      <w:bookmarkEnd w:id="62"/>
      <w:bookmarkEnd w:id="63"/>
    </w:p>
    <w:p>
      <w:pPr>
        <w:ind w:firstLine="482"/>
        <w:rPr>
          <w:rFonts w:ascii="宋体" w:hAnsi="宋体"/>
          <w:b/>
          <w:color w:val="auto"/>
          <w:highlight w:val="none"/>
        </w:rPr>
      </w:pPr>
      <w:r>
        <w:rPr>
          <w:rFonts w:hint="eastAsia" w:ascii="宋体" w:hAnsi="宋体"/>
          <w:b/>
          <w:color w:val="auto"/>
          <w:highlight w:val="none"/>
        </w:rPr>
        <w:t>(一)交货期及交货地点</w:t>
      </w:r>
    </w:p>
    <w:p>
      <w:pPr>
        <w:pStyle w:val="167"/>
        <w:spacing w:line="408" w:lineRule="auto"/>
        <w:ind w:left="420" w:firstLine="0" w:firstLineChars="0"/>
        <w:jc w:val="left"/>
        <w:rPr>
          <w:rFonts w:ascii="宋体" w:hAnsi="宋体" w:cs="宋体"/>
          <w:color w:val="auto"/>
          <w:szCs w:val="24"/>
          <w:highlight w:val="none"/>
        </w:rPr>
      </w:pPr>
      <w:r>
        <w:rPr>
          <w:rFonts w:hint="eastAsia" w:ascii="宋体" w:hAnsi="宋体" w:cs="宋体"/>
          <w:color w:val="auto"/>
          <w:szCs w:val="24"/>
          <w:highlight w:val="none"/>
        </w:rPr>
        <w:t>交货</w:t>
      </w:r>
      <w:r>
        <w:rPr>
          <w:rFonts w:hint="eastAsia" w:cs="宋体"/>
          <w:color w:val="auto"/>
          <w:szCs w:val="24"/>
          <w:highlight w:val="none"/>
        </w:rPr>
        <w:t>时间：国产货物合同签订</w:t>
      </w:r>
      <w:r>
        <w:rPr>
          <w:rFonts w:hint="eastAsia" w:cs="宋体"/>
          <w:color w:val="auto"/>
          <w:szCs w:val="24"/>
          <w:highlight w:val="none"/>
        </w:rPr>
        <w:t xml:space="preserve">生效之日起 </w:t>
      </w:r>
      <w:r>
        <w:rPr>
          <w:rFonts w:cs="宋体"/>
          <w:color w:val="auto"/>
          <w:szCs w:val="24"/>
          <w:highlight w:val="none"/>
        </w:rPr>
        <w:t>30</w:t>
      </w:r>
      <w:r>
        <w:rPr>
          <w:rFonts w:hint="eastAsia" w:cs="宋体"/>
          <w:color w:val="auto"/>
          <w:szCs w:val="24"/>
          <w:highlight w:val="none"/>
        </w:rPr>
        <w:t>天内交付并安装</w:t>
      </w:r>
      <w:r>
        <w:rPr>
          <w:rFonts w:hint="eastAsia" w:cs="宋体"/>
          <w:color w:val="auto"/>
          <w:szCs w:val="24"/>
          <w:highlight w:val="none"/>
        </w:rPr>
        <w:t>完毕，进口货物</w:t>
      </w:r>
      <w:r>
        <w:rPr>
          <w:rFonts w:hint="eastAsia" w:ascii="宋体" w:hAnsi="宋体" w:cs="宋体"/>
          <w:color w:val="auto"/>
          <w:szCs w:val="24"/>
          <w:highlight w:val="none"/>
        </w:rPr>
        <w:t>合同签订后9</w:t>
      </w:r>
      <w:r>
        <w:rPr>
          <w:rFonts w:ascii="宋体" w:hAnsi="宋体" w:cs="宋体"/>
          <w:color w:val="auto"/>
          <w:szCs w:val="24"/>
          <w:highlight w:val="none"/>
        </w:rPr>
        <w:t>0</w:t>
      </w:r>
      <w:r>
        <w:rPr>
          <w:rFonts w:hint="eastAsia" w:ascii="宋体" w:hAnsi="宋体" w:cs="宋体"/>
          <w:color w:val="auto"/>
          <w:szCs w:val="24"/>
          <w:highlight w:val="none"/>
        </w:rPr>
        <w:t>日内交付并安装完毕。</w:t>
      </w:r>
    </w:p>
    <w:p>
      <w:pPr>
        <w:tabs>
          <w:tab w:val="left" w:pos="839"/>
        </w:tabs>
        <w:ind w:firstLine="480"/>
        <w:rPr>
          <w:rFonts w:ascii="宋体" w:hAnsi="宋体"/>
          <w:color w:val="auto"/>
          <w:highlight w:val="none"/>
          <w:u w:val="single"/>
        </w:rPr>
      </w:pPr>
      <w:r>
        <w:rPr>
          <w:rFonts w:hint="eastAsia" w:ascii="宋体" w:hAnsi="宋体"/>
          <w:color w:val="auto"/>
          <w:highlight w:val="none"/>
        </w:rPr>
        <w:t>地点：浙江中医药大学，甲方指定地点。</w:t>
      </w:r>
    </w:p>
    <w:p>
      <w:pPr>
        <w:ind w:firstLine="456"/>
        <w:rPr>
          <w:color w:val="auto"/>
          <w:highlight w:val="none"/>
        </w:rPr>
      </w:pPr>
      <w:r>
        <w:rPr>
          <w:rFonts w:hint="eastAsia" w:ascii="宋体" w:hAnsi="宋体"/>
          <w:color w:val="auto"/>
          <w:spacing w:val="-6"/>
          <w:highlight w:val="none"/>
        </w:rPr>
        <w:t>★</w:t>
      </w:r>
      <w:r>
        <w:rPr>
          <w:rFonts w:hint="eastAsia" w:ascii="宋体" w:hAnsi="宋体"/>
          <w:b/>
          <w:bCs/>
          <w:color w:val="auto"/>
          <w:highlight w:val="none"/>
        </w:rPr>
        <w:t>质保期：（</w:t>
      </w:r>
      <w:r>
        <w:rPr>
          <w:rFonts w:hint="eastAsia" w:ascii="宋体" w:hAnsi="宋体"/>
          <w:b/>
          <w:bCs/>
          <w:color w:val="auto"/>
          <w:highlight w:val="none"/>
        </w:rPr>
        <w:t>详见每个标项参数内质保要求</w:t>
      </w:r>
      <w:r>
        <w:rPr>
          <w:rFonts w:hint="eastAsia" w:ascii="宋体" w:hAnsi="宋体"/>
          <w:b/>
          <w:bCs/>
          <w:color w:val="auto"/>
          <w:highlight w:val="none"/>
        </w:rPr>
        <w:t>），若技术参数有质保期要求以技术参数中质保要求为准，从验收合格第二个月开始算起。</w:t>
      </w:r>
    </w:p>
    <w:p>
      <w:pPr>
        <w:ind w:firstLine="482"/>
        <w:rPr>
          <w:rFonts w:ascii="宋体" w:hAnsi="宋体"/>
          <w:b/>
          <w:color w:val="auto"/>
          <w:highlight w:val="none"/>
        </w:rPr>
      </w:pPr>
      <w:r>
        <w:rPr>
          <w:rFonts w:hint="eastAsia" w:ascii="宋体" w:hAnsi="宋体"/>
          <w:b/>
          <w:color w:val="auto"/>
          <w:highlight w:val="none"/>
        </w:rPr>
        <w:t>(三)验收标准</w:t>
      </w:r>
    </w:p>
    <w:p>
      <w:pPr>
        <w:pStyle w:val="167"/>
        <w:numPr>
          <w:ilvl w:val="1"/>
          <w:numId w:val="23"/>
        </w:numPr>
        <w:spacing w:line="408" w:lineRule="auto"/>
        <w:ind w:left="420" w:firstLine="0" w:firstLineChars="0"/>
        <w:jc w:val="left"/>
        <w:rPr>
          <w:rFonts w:ascii="宋体" w:hAnsi="宋体" w:cs="宋体"/>
          <w:color w:val="auto"/>
          <w:szCs w:val="24"/>
          <w:highlight w:val="none"/>
        </w:rPr>
      </w:pPr>
      <w:r>
        <w:rPr>
          <w:rFonts w:hint="eastAsia" w:ascii="宋体" w:hAnsi="宋体" w:cs="宋体"/>
          <w:color w:val="auto"/>
          <w:szCs w:val="24"/>
          <w:highlight w:val="none"/>
        </w:rPr>
        <w:t>成交供应商应提供合同货物的有效检验文件，经采购人认可后，与合同的性能指标一起作为合同货物验收标准。采购人对合同货物验收合格后，双方共同签署验收合格证书，验收中发现合同货物达不到验收标准或合同规定的性能指标，成交供应商必须更换合同货物，并负担由此给采购人造成的损失，直到验收合格为止。</w:t>
      </w:r>
    </w:p>
    <w:p>
      <w:pPr>
        <w:pStyle w:val="167"/>
        <w:numPr>
          <w:ilvl w:val="1"/>
          <w:numId w:val="23"/>
        </w:numPr>
        <w:spacing w:line="408" w:lineRule="auto"/>
        <w:ind w:left="420" w:firstLine="0" w:firstLineChars="0"/>
        <w:jc w:val="left"/>
        <w:rPr>
          <w:rFonts w:ascii="宋体" w:hAnsi="宋体" w:cs="宋体"/>
          <w:color w:val="auto"/>
          <w:szCs w:val="24"/>
          <w:highlight w:val="none"/>
        </w:rPr>
      </w:pPr>
      <w:r>
        <w:rPr>
          <w:rFonts w:hint="eastAsia" w:ascii="宋体" w:hAnsi="宋体" w:cs="宋体"/>
          <w:color w:val="auto"/>
          <w:szCs w:val="24"/>
          <w:highlight w:val="none"/>
        </w:rPr>
        <w:t>供应商应于响应文件中提供合同货物的验收标准和检测办法，并在验收中提供采购人认可的相应检测手段，验收标准应符合中国有关的国家、地方、行业的标准，如若成交，经采购人确认后作为验收的依据。</w:t>
      </w:r>
    </w:p>
    <w:p>
      <w:pPr>
        <w:pStyle w:val="167"/>
        <w:numPr>
          <w:ilvl w:val="1"/>
          <w:numId w:val="23"/>
        </w:numPr>
        <w:spacing w:line="408" w:lineRule="auto"/>
        <w:ind w:left="420" w:firstLine="0" w:firstLineChars="0"/>
        <w:jc w:val="left"/>
        <w:rPr>
          <w:rFonts w:ascii="宋体" w:hAnsi="宋体" w:cs="宋体"/>
          <w:color w:val="auto"/>
          <w:szCs w:val="24"/>
          <w:highlight w:val="none"/>
        </w:rPr>
      </w:pPr>
      <w:r>
        <w:rPr>
          <w:rFonts w:hint="eastAsia" w:ascii="宋体" w:hAnsi="宋体" w:cs="宋体"/>
          <w:color w:val="auto"/>
          <w:szCs w:val="24"/>
          <w:highlight w:val="none"/>
        </w:rPr>
        <w:t>如成交供应商委托国内代理（或其他机构）负责安装或配合安装，应在签约时指明，但成交供应商仍要对合同货物及其安装质量负全部责任。</w:t>
      </w:r>
    </w:p>
    <w:p>
      <w:pPr>
        <w:pStyle w:val="167"/>
        <w:numPr>
          <w:ilvl w:val="1"/>
          <w:numId w:val="23"/>
        </w:numPr>
        <w:spacing w:line="408" w:lineRule="auto"/>
        <w:ind w:left="420" w:firstLine="0" w:firstLineChars="0"/>
        <w:jc w:val="left"/>
        <w:rPr>
          <w:rFonts w:ascii="宋体" w:hAnsi="宋体" w:cs="宋体"/>
          <w:color w:val="auto"/>
          <w:szCs w:val="24"/>
          <w:highlight w:val="none"/>
        </w:rPr>
      </w:pPr>
      <w:r>
        <w:rPr>
          <w:rFonts w:hint="eastAsia" w:ascii="宋体" w:hAnsi="宋体" w:cs="宋体"/>
          <w:color w:val="auto"/>
          <w:szCs w:val="24"/>
          <w:highlight w:val="none"/>
        </w:rPr>
        <w:t>验收费用由成交供应商承担。</w:t>
      </w:r>
    </w:p>
    <w:p>
      <w:pPr>
        <w:ind w:firstLine="482"/>
        <w:rPr>
          <w:rFonts w:ascii="宋体" w:hAnsi="宋体"/>
          <w:b/>
          <w:color w:val="auto"/>
          <w:highlight w:val="none"/>
        </w:rPr>
      </w:pPr>
      <w:r>
        <w:rPr>
          <w:rFonts w:hint="eastAsia" w:ascii="宋体" w:hAnsi="宋体"/>
          <w:b/>
          <w:color w:val="auto"/>
          <w:highlight w:val="none"/>
        </w:rPr>
        <w:t>(四)售后服务</w:t>
      </w:r>
    </w:p>
    <w:p>
      <w:pPr>
        <w:pStyle w:val="167"/>
        <w:numPr>
          <w:ilvl w:val="1"/>
          <w:numId w:val="24"/>
        </w:numPr>
        <w:spacing w:line="408" w:lineRule="auto"/>
        <w:ind w:firstLineChars="0"/>
        <w:jc w:val="left"/>
        <w:rPr>
          <w:rFonts w:ascii="宋体" w:hAnsi="宋体" w:cs="宋体"/>
          <w:color w:val="auto"/>
          <w:szCs w:val="24"/>
          <w:highlight w:val="none"/>
        </w:rPr>
      </w:pPr>
      <w:r>
        <w:rPr>
          <w:rFonts w:hint="eastAsia" w:ascii="宋体" w:hAnsi="宋体" w:cs="宋体"/>
          <w:color w:val="auto"/>
          <w:szCs w:val="24"/>
          <w:highlight w:val="none"/>
        </w:rPr>
        <w:t>免费提供原厂商培训指导（若需要培训，投标商应在技术文件中写明详细的培训方案）</w:t>
      </w:r>
    </w:p>
    <w:p>
      <w:pPr>
        <w:pStyle w:val="167"/>
        <w:numPr>
          <w:ilvl w:val="1"/>
          <w:numId w:val="24"/>
        </w:numPr>
        <w:spacing w:line="408" w:lineRule="auto"/>
        <w:ind w:firstLineChars="0"/>
        <w:jc w:val="left"/>
        <w:rPr>
          <w:rFonts w:ascii="宋体" w:hAnsi="宋体" w:cs="宋体"/>
          <w:color w:val="auto"/>
          <w:szCs w:val="24"/>
          <w:highlight w:val="none"/>
        </w:rPr>
      </w:pPr>
      <w:r>
        <w:rPr>
          <w:rFonts w:hint="eastAsia" w:ascii="宋体" w:hAnsi="宋体" w:cs="宋体"/>
          <w:color w:val="auto"/>
          <w:szCs w:val="24"/>
          <w:highlight w:val="none"/>
        </w:rPr>
        <w:t>质保期内因不能排除的故障而影响工作的情况每发生一次，其质保期相应延长60天，质保期内因货物本身缺陷造成各种故障应由成交供应商免费予以更换，否则将扣除质量保证金作为对采购人的补偿。</w:t>
      </w:r>
    </w:p>
    <w:p>
      <w:pPr>
        <w:pStyle w:val="167"/>
        <w:numPr>
          <w:ilvl w:val="1"/>
          <w:numId w:val="24"/>
        </w:numPr>
        <w:spacing w:line="408" w:lineRule="auto"/>
        <w:ind w:firstLineChars="0"/>
        <w:jc w:val="left"/>
        <w:rPr>
          <w:rFonts w:ascii="宋体" w:hAnsi="宋体" w:cs="宋体"/>
          <w:color w:val="auto"/>
          <w:szCs w:val="24"/>
          <w:highlight w:val="none"/>
        </w:rPr>
      </w:pPr>
      <w:r>
        <w:rPr>
          <w:rFonts w:hint="eastAsia" w:ascii="宋体" w:hAnsi="宋体" w:cs="宋体"/>
          <w:color w:val="auto"/>
          <w:szCs w:val="24"/>
          <w:highlight w:val="none"/>
        </w:rPr>
        <w:t>质保期满后，仅收取零配件成本费用，免人工费、差旅费，所涉及软件终身免费升级。</w:t>
      </w:r>
    </w:p>
    <w:p>
      <w:pPr>
        <w:ind w:firstLine="482"/>
        <w:rPr>
          <w:rFonts w:ascii="宋体" w:hAnsi="宋体"/>
          <w:b/>
          <w:color w:val="auto"/>
          <w:highlight w:val="none"/>
        </w:rPr>
      </w:pPr>
      <w:r>
        <w:rPr>
          <w:rFonts w:hint="eastAsia" w:ascii="宋体" w:hAnsi="宋体"/>
          <w:b/>
          <w:color w:val="auto"/>
          <w:highlight w:val="none"/>
        </w:rPr>
        <w:t>(五)履约（质量）保证金及付款方式</w:t>
      </w:r>
    </w:p>
    <w:p>
      <w:pPr>
        <w:pStyle w:val="167"/>
        <w:spacing w:line="480" w:lineRule="auto"/>
        <w:ind w:firstLine="480"/>
        <w:rPr>
          <w:rFonts w:ascii="宋体" w:hAnsi="宋体" w:cs="宋体"/>
          <w:color w:val="auto"/>
          <w:szCs w:val="24"/>
          <w:highlight w:val="none"/>
        </w:rPr>
      </w:pPr>
      <w:r>
        <w:rPr>
          <w:rFonts w:hint="eastAsia" w:ascii="宋体" w:hAnsi="宋体" w:cs="宋体"/>
          <w:color w:val="auto"/>
          <w:szCs w:val="24"/>
          <w:highlight w:val="none"/>
        </w:rPr>
        <w:t>进口设备部分：</w:t>
      </w:r>
    </w:p>
    <w:p>
      <w:pPr>
        <w:pStyle w:val="167"/>
        <w:spacing w:line="480" w:lineRule="auto"/>
        <w:ind w:firstLine="480"/>
        <w:rPr>
          <w:rFonts w:ascii="宋体" w:hAnsi="宋体" w:cs="宋体"/>
          <w:color w:val="auto"/>
          <w:szCs w:val="24"/>
          <w:highlight w:val="none"/>
        </w:rPr>
      </w:pPr>
      <w:r>
        <w:rPr>
          <w:rFonts w:hint="eastAsia" w:ascii="宋体" w:hAnsi="宋体" w:cs="宋体"/>
          <w:color w:val="auto"/>
          <w:szCs w:val="24"/>
          <w:highlight w:val="none"/>
        </w:rPr>
        <w:t>1）合同总价的5%作为履约保证金，合同签订后七个工作日内由供应商交入采购人账户，货物验收合格交付采购人正常使用12个月后，经采购人书面确认货物无质量问题、无售后服务问题和无约行为后，由采购人无息退回。</w:t>
      </w:r>
    </w:p>
    <w:p>
      <w:pPr>
        <w:pStyle w:val="167"/>
        <w:spacing w:line="480" w:lineRule="auto"/>
        <w:ind w:firstLine="480"/>
        <w:rPr>
          <w:rFonts w:ascii="宋体" w:hAnsi="宋体" w:cs="宋体"/>
          <w:color w:val="auto"/>
          <w:szCs w:val="24"/>
          <w:highlight w:val="none"/>
        </w:rPr>
      </w:pPr>
      <w:r>
        <w:rPr>
          <w:rFonts w:hint="eastAsia" w:ascii="宋体" w:hAnsi="宋体" w:cs="宋体"/>
          <w:color w:val="auto"/>
          <w:szCs w:val="24"/>
          <w:highlight w:val="none"/>
        </w:rPr>
        <w:t>2）合同总价的10%作为履约保证金，合同签订后两天内由进口代理机构提交给采购人账户，供应商同意采购人将100%货款支付给进口代理机构，同时进口代理机构及时对外支付30%货款；货物经采购人验收合格后，进口代理机构收到采购人支付指令后方可对外支付70%货款。采购人付款后，进口代理机构应及时开具并向采购人交付正规发票。进口代理机构与供应商的结算，与采购人无涉。合同履行完毕经采购人确认进口代理机构无违约行为后无息退回进口代理机构方的履约保证金。</w:t>
      </w:r>
    </w:p>
    <w:p>
      <w:pPr>
        <w:pStyle w:val="167"/>
        <w:spacing w:line="480" w:lineRule="auto"/>
        <w:ind w:firstLine="480"/>
        <w:rPr>
          <w:rFonts w:ascii="宋体" w:hAnsi="宋体" w:cs="宋体"/>
          <w:color w:val="auto"/>
          <w:szCs w:val="24"/>
          <w:highlight w:val="none"/>
        </w:rPr>
      </w:pPr>
      <w:r>
        <w:rPr>
          <w:rFonts w:hint="eastAsia" w:ascii="宋体" w:hAnsi="宋体" w:cs="宋体"/>
          <w:color w:val="auto"/>
          <w:szCs w:val="24"/>
          <w:highlight w:val="none"/>
        </w:rPr>
        <w:t>国产设备部分：</w:t>
      </w:r>
    </w:p>
    <w:p>
      <w:pPr>
        <w:ind w:firstLine="480"/>
        <w:rPr>
          <w:rFonts w:ascii="宋体" w:hAnsi="宋体" w:cs="宋体"/>
          <w:color w:val="auto"/>
          <w:szCs w:val="32"/>
          <w:highlight w:val="none"/>
        </w:rPr>
      </w:pPr>
      <w:r>
        <w:rPr>
          <w:rFonts w:hint="eastAsia" w:ascii="宋体" w:hAnsi="宋体" w:cs="宋体"/>
          <w:color w:val="auto"/>
          <w:szCs w:val="32"/>
          <w:highlight w:val="none"/>
        </w:rPr>
        <w:t>中标单位须于合同签订后向采购人支付合同总价5% 的履约保证金，履约保证金在交货验收后自动转为质量保证金。质量保证金自货物交付验收合格后12个月内无质量问题索赔和售后服务问题，无息退回，质量保证金应以银行转账或电汇形式。</w:t>
      </w:r>
    </w:p>
    <w:p>
      <w:pPr>
        <w:ind w:firstLine="480"/>
        <w:rPr>
          <w:rFonts w:ascii="宋体" w:hAnsi="宋体" w:cs="宋体"/>
          <w:color w:val="auto"/>
          <w:szCs w:val="32"/>
          <w:highlight w:val="none"/>
        </w:rPr>
      </w:pPr>
      <w:r>
        <w:rPr>
          <w:rFonts w:hint="eastAsia" w:ascii="宋体" w:hAnsi="宋体" w:cs="宋体"/>
          <w:color w:val="auto"/>
          <w:szCs w:val="32"/>
          <w:highlight w:val="none"/>
        </w:rPr>
        <w:t>履约保证金的交付方式：支票、汇票、保函等非现金方式。</w:t>
      </w:r>
    </w:p>
    <w:p>
      <w:pPr>
        <w:ind w:firstLine="480"/>
        <w:rPr>
          <w:rFonts w:ascii="宋体" w:hAnsi="宋体" w:cs="宋体"/>
          <w:color w:val="auto"/>
          <w:szCs w:val="32"/>
          <w:highlight w:val="none"/>
        </w:rPr>
      </w:pPr>
      <w:r>
        <w:rPr>
          <w:rFonts w:ascii="宋体" w:hAnsi="宋体" w:cs="宋体"/>
          <w:color w:val="auto"/>
          <w:szCs w:val="32"/>
          <w:highlight w:val="none"/>
        </w:rPr>
        <w:t>货到安装、调试验收合格后15个工作日内，由中标人提供中标人开具的全额发票后，采购人向中标人支付合同总价100%的货款。</w:t>
      </w:r>
    </w:p>
    <w:p>
      <w:pPr>
        <w:ind w:firstLine="482"/>
        <w:rPr>
          <w:rFonts w:ascii="宋体" w:hAnsi="宋体"/>
          <w:b/>
          <w:color w:val="auto"/>
          <w:highlight w:val="none"/>
        </w:rPr>
      </w:pPr>
      <w:r>
        <w:rPr>
          <w:rFonts w:hint="eastAsia" w:ascii="宋体" w:hAnsi="宋体"/>
          <w:b/>
          <w:color w:val="auto"/>
          <w:highlight w:val="none"/>
        </w:rPr>
        <w:t>(六)培训：</w:t>
      </w:r>
    </w:p>
    <w:p>
      <w:pPr>
        <w:pStyle w:val="167"/>
        <w:spacing w:line="480" w:lineRule="auto"/>
        <w:ind w:firstLine="480"/>
        <w:rPr>
          <w:rFonts w:ascii="宋体" w:hAnsi="宋体" w:cs="宋体"/>
          <w:color w:val="auto"/>
          <w:szCs w:val="24"/>
          <w:highlight w:val="none"/>
        </w:rPr>
      </w:pPr>
      <w:r>
        <w:rPr>
          <w:rFonts w:hint="eastAsia" w:ascii="宋体" w:hAnsi="宋体" w:cs="宋体"/>
          <w:color w:val="auto"/>
          <w:szCs w:val="24"/>
          <w:highlight w:val="none"/>
        </w:rPr>
        <w:t>对采购人的操作人员、维修人员免费进行培训，提供相应的培训计划。</w:t>
      </w:r>
    </w:p>
    <w:p>
      <w:pPr>
        <w:pStyle w:val="167"/>
        <w:spacing w:line="480" w:lineRule="auto"/>
        <w:ind w:firstLine="480"/>
        <w:rPr>
          <w:rFonts w:ascii="宋体" w:hAnsi="宋体" w:cs="宋体"/>
          <w:color w:val="auto"/>
          <w:szCs w:val="24"/>
          <w:highlight w:val="none"/>
        </w:rPr>
      </w:pPr>
      <w:r>
        <w:rPr>
          <w:rFonts w:hint="eastAsia" w:ascii="宋体" w:hAnsi="宋体" w:cs="宋体"/>
          <w:color w:val="auto"/>
          <w:szCs w:val="24"/>
          <w:highlight w:val="none"/>
        </w:rPr>
        <w:t>供应商应对上述内容的实现方式、地点、人数、时间在投标文件中详细说明。</w:t>
      </w:r>
    </w:p>
    <w:p>
      <w:pPr>
        <w:ind w:firstLine="482"/>
        <w:rPr>
          <w:rFonts w:ascii="宋体" w:hAnsi="宋体"/>
          <w:b/>
          <w:color w:val="auto"/>
          <w:highlight w:val="none"/>
        </w:rPr>
      </w:pPr>
      <w:bookmarkStart w:id="64" w:name="_Toc1878"/>
      <w:r>
        <w:rPr>
          <w:rFonts w:hint="eastAsia" w:ascii="宋体" w:hAnsi="宋体"/>
          <w:b/>
          <w:color w:val="auto"/>
          <w:highlight w:val="none"/>
        </w:rPr>
        <w:t>（七）安装调试</w:t>
      </w:r>
      <w:bookmarkEnd w:id="64"/>
    </w:p>
    <w:p>
      <w:pPr>
        <w:ind w:firstLine="480"/>
        <w:rPr>
          <w:rFonts w:ascii="宋体" w:hAnsi="宋体"/>
          <w:bCs/>
          <w:color w:val="auto"/>
          <w:szCs w:val="21"/>
          <w:highlight w:val="none"/>
        </w:rPr>
      </w:pPr>
      <w:r>
        <w:rPr>
          <w:rFonts w:hint="eastAsia" w:ascii="宋体" w:hAnsi="宋体"/>
          <w:bCs/>
          <w:color w:val="auto"/>
          <w:szCs w:val="21"/>
          <w:highlight w:val="none"/>
        </w:rPr>
        <w:t>安装地点：采购人指定地点。</w:t>
      </w:r>
    </w:p>
    <w:p>
      <w:pPr>
        <w:ind w:firstLine="480"/>
        <w:rPr>
          <w:rFonts w:ascii="宋体" w:hAnsi="宋体"/>
          <w:bCs/>
          <w:color w:val="auto"/>
          <w:szCs w:val="21"/>
          <w:highlight w:val="none"/>
        </w:rPr>
      </w:pPr>
      <w:r>
        <w:rPr>
          <w:rFonts w:hint="eastAsia" w:ascii="宋体" w:hAnsi="宋体"/>
          <w:bCs/>
          <w:color w:val="auto"/>
          <w:szCs w:val="21"/>
          <w:highlight w:val="none"/>
        </w:rPr>
        <w:t>安装完成时间：接到用户电话通知后在7日内完成安装和调试（“投标人须知前附表”有规定的除外），如在规定的时间内由于中标人的原因不能完成安装和调试，中标人应承担由此给采购人造成的损失。</w:t>
      </w:r>
    </w:p>
    <w:p>
      <w:pPr>
        <w:ind w:firstLine="480"/>
        <w:rPr>
          <w:rFonts w:ascii="宋体" w:hAnsi="宋体"/>
          <w:bCs/>
          <w:color w:val="auto"/>
          <w:szCs w:val="21"/>
          <w:highlight w:val="none"/>
        </w:rPr>
      </w:pPr>
      <w:r>
        <w:rPr>
          <w:rFonts w:hint="eastAsia" w:ascii="宋体" w:hAnsi="宋体"/>
          <w:bCs/>
          <w:color w:val="auto"/>
          <w:szCs w:val="21"/>
          <w:highlight w:val="none"/>
        </w:rPr>
        <w:t>安装标准：符合我国国家有关技术规范要求和技术标准，所有的软件和硬件必须保证同时安装到位。</w:t>
      </w:r>
    </w:p>
    <w:p>
      <w:pPr>
        <w:ind w:firstLine="480"/>
        <w:rPr>
          <w:rFonts w:ascii="宋体" w:hAnsi="宋体"/>
          <w:bCs/>
          <w:color w:val="auto"/>
          <w:szCs w:val="21"/>
          <w:highlight w:val="none"/>
        </w:rPr>
      </w:pPr>
      <w:r>
        <w:rPr>
          <w:rFonts w:hint="eastAsia" w:ascii="宋体" w:hAnsi="宋体"/>
          <w:bCs/>
          <w:color w:val="auto"/>
          <w:szCs w:val="21"/>
          <w:highlight w:val="none"/>
        </w:rPr>
        <w:t>中标人应免费提供合同货物的安装服务。</w:t>
      </w:r>
    </w:p>
    <w:p>
      <w:pPr>
        <w:ind w:firstLine="480"/>
        <w:rPr>
          <w:rFonts w:ascii="宋体" w:hAnsi="宋体"/>
          <w:bCs/>
          <w:color w:val="auto"/>
          <w:szCs w:val="21"/>
          <w:highlight w:val="none"/>
        </w:rPr>
      </w:pPr>
      <w:r>
        <w:rPr>
          <w:rFonts w:hint="eastAsia" w:ascii="宋体" w:hAnsi="宋体"/>
          <w:bCs/>
          <w:color w:val="auto"/>
          <w:szCs w:val="21"/>
          <w:highlight w:val="none"/>
        </w:rPr>
        <w:t>中标人在投标文件中应提供安装调试计划、对安装场地和环境的要求。</w:t>
      </w:r>
    </w:p>
    <w:p>
      <w:pPr>
        <w:ind w:firstLine="482"/>
        <w:rPr>
          <w:rFonts w:ascii="宋体" w:hAnsi="宋体"/>
          <w:b/>
          <w:color w:val="auto"/>
          <w:highlight w:val="none"/>
        </w:rPr>
      </w:pPr>
      <w:r>
        <w:rPr>
          <w:rFonts w:hint="eastAsia" w:ascii="宋体" w:hAnsi="宋体"/>
          <w:b/>
          <w:color w:val="auto"/>
          <w:highlight w:val="none"/>
        </w:rPr>
        <w:t>（八）合同履行</w:t>
      </w:r>
    </w:p>
    <w:p>
      <w:pPr>
        <w:ind w:firstLine="480"/>
        <w:rPr>
          <w:rFonts w:ascii="宋体" w:hAnsi="宋体"/>
          <w:bCs/>
          <w:color w:val="auto"/>
          <w:szCs w:val="21"/>
          <w:highlight w:val="none"/>
        </w:rPr>
      </w:pPr>
      <w:r>
        <w:rPr>
          <w:rFonts w:hint="eastAsia" w:ascii="宋体" w:hAnsi="宋体"/>
          <w:color w:val="auto"/>
          <w:highlight w:val="none"/>
        </w:rPr>
        <w:t>必须由投标主体履行合同。</w:t>
      </w:r>
    </w:p>
    <w:p>
      <w:pPr>
        <w:pStyle w:val="2"/>
        <w:rPr>
          <w:rFonts w:ascii="宋体" w:hAnsi="宋体" w:cs="宋体"/>
          <w:color w:val="auto"/>
          <w:highlight w:val="none"/>
        </w:rPr>
      </w:pPr>
    </w:p>
    <w:p>
      <w:pPr>
        <w:pStyle w:val="2"/>
        <w:rPr>
          <w:rFonts w:ascii="宋体" w:hAnsi="宋体" w:cs="宋体"/>
          <w:color w:val="auto"/>
          <w:highlight w:val="none"/>
        </w:rPr>
        <w:sectPr>
          <w:headerReference r:id="rId10" w:type="first"/>
          <w:footerReference r:id="rId12" w:type="first"/>
          <w:footerReference r:id="rId11" w:type="default"/>
          <w:pgSz w:w="11907" w:h="16840"/>
          <w:pgMar w:top="1247" w:right="1304" w:bottom="1021" w:left="1304" w:header="720" w:footer="720" w:gutter="0"/>
          <w:cols w:space="720" w:num="1"/>
          <w:docGrid w:linePitch="326" w:charSpace="0"/>
        </w:sectPr>
      </w:pPr>
    </w:p>
    <w:bookmarkEnd w:id="30"/>
    <w:p>
      <w:pPr>
        <w:pStyle w:val="4"/>
        <w:rPr>
          <w:color w:val="auto"/>
          <w:highlight w:val="none"/>
        </w:rPr>
      </w:pPr>
      <w:bookmarkStart w:id="65" w:name="_Toc25392"/>
      <w:r>
        <w:rPr>
          <w:rFonts w:hint="eastAsia" w:cs="宋体"/>
          <w:color w:val="auto"/>
          <w:highlight w:val="none"/>
        </w:rPr>
        <w:t>第三章 投标人须知</w:t>
      </w:r>
      <w:bookmarkEnd w:id="65"/>
    </w:p>
    <w:p>
      <w:pPr>
        <w:pStyle w:val="5"/>
        <w:jc w:val="center"/>
        <w:rPr>
          <w:rFonts w:ascii="宋体" w:hAnsi="宋体" w:cs="宋体"/>
          <w:color w:val="auto"/>
          <w:highlight w:val="none"/>
        </w:rPr>
      </w:pPr>
      <w:bookmarkStart w:id="66" w:name="_Toc21699"/>
      <w:bookmarkStart w:id="67" w:name="_Toc2290"/>
      <w:bookmarkStart w:id="68" w:name="_Toc452457413"/>
      <w:bookmarkStart w:id="69" w:name="_Toc9363"/>
      <w:r>
        <w:rPr>
          <w:rFonts w:hint="eastAsia" w:ascii="宋体" w:hAnsi="宋体" w:cs="宋体"/>
          <w:color w:val="auto"/>
          <w:highlight w:val="none"/>
        </w:rPr>
        <w:t>前 附 表</w:t>
      </w:r>
      <w:bookmarkEnd w:id="66"/>
      <w:bookmarkEnd w:id="67"/>
      <w:bookmarkEnd w:id="68"/>
      <w:bookmarkEnd w:id="69"/>
    </w:p>
    <w:tbl>
      <w:tblPr>
        <w:tblStyle w:val="39"/>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ind w:firstLine="0" w:firstLineChars="0"/>
              <w:jc w:val="center"/>
              <w:rPr>
                <w:color w:val="auto"/>
                <w:highlight w:val="none"/>
              </w:rPr>
            </w:pPr>
            <w:r>
              <w:rPr>
                <w:rFonts w:hint="eastAsia"/>
                <w:color w:val="auto"/>
                <w:highlight w:val="none"/>
              </w:rPr>
              <w:t>序号</w:t>
            </w:r>
          </w:p>
        </w:tc>
        <w:tc>
          <w:tcPr>
            <w:tcW w:w="1944" w:type="dxa"/>
            <w:vAlign w:val="center"/>
          </w:tcPr>
          <w:p>
            <w:pPr>
              <w:ind w:firstLine="0" w:firstLineChars="0"/>
              <w:jc w:val="center"/>
              <w:rPr>
                <w:color w:val="auto"/>
                <w:highlight w:val="none"/>
                <w:lang w:val="zh-CN"/>
              </w:rPr>
            </w:pPr>
            <w:r>
              <w:rPr>
                <w:rFonts w:hint="eastAsia"/>
                <w:color w:val="auto"/>
                <w:highlight w:val="none"/>
                <w:lang w:val="zh-CN"/>
              </w:rPr>
              <w:t>事项</w:t>
            </w:r>
          </w:p>
        </w:tc>
        <w:tc>
          <w:tcPr>
            <w:tcW w:w="6670" w:type="dxa"/>
            <w:vAlign w:val="center"/>
          </w:tcPr>
          <w:p>
            <w:pPr>
              <w:ind w:firstLine="0" w:firstLineChars="0"/>
              <w:jc w:val="center"/>
              <w:rPr>
                <w:color w:val="auto"/>
                <w:highlight w:val="none"/>
                <w:lang w:val="zh-CN"/>
              </w:rPr>
            </w:pPr>
            <w:r>
              <w:rPr>
                <w:rFonts w:hint="eastAsia"/>
                <w:color w:val="auto"/>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25"/>
              </w:numPr>
              <w:ind w:firstLineChars="0"/>
              <w:jc w:val="center"/>
              <w:rPr>
                <w:rFonts w:ascii="宋体" w:hAnsi="宋体" w:cs="宋体"/>
                <w:color w:val="auto"/>
                <w:highlight w:val="none"/>
              </w:rPr>
            </w:pPr>
          </w:p>
        </w:tc>
        <w:tc>
          <w:tcPr>
            <w:tcW w:w="1944" w:type="dxa"/>
          </w:tcPr>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r>
              <w:rPr>
                <w:rFonts w:hint="eastAsia"/>
                <w:color w:val="auto"/>
                <w:highlight w:val="none"/>
              </w:rPr>
              <w:t>报价要求</w:t>
            </w:r>
          </w:p>
          <w:p>
            <w:pPr>
              <w:pStyle w:val="2"/>
              <w:jc w:val="center"/>
              <w:rPr>
                <w:rFonts w:ascii="仿宋" w:hAnsi="仿宋" w:eastAsia="仿宋" w:cs="仿宋_GB2312"/>
                <w:b/>
                <w:color w:val="auto"/>
                <w:highlight w:val="none"/>
              </w:rPr>
            </w:pPr>
          </w:p>
        </w:tc>
        <w:tc>
          <w:tcPr>
            <w:tcW w:w="6670" w:type="dxa"/>
          </w:tcPr>
          <w:p>
            <w:pPr>
              <w:spacing w:line="312" w:lineRule="auto"/>
              <w:ind w:firstLine="480"/>
              <w:rPr>
                <w:rFonts w:ascii="宋体" w:hAnsi="宋体"/>
                <w:color w:val="auto"/>
                <w:highlight w:val="none"/>
              </w:rPr>
            </w:pPr>
            <w:r>
              <w:rPr>
                <w:rFonts w:hint="eastAsia" w:ascii="宋体" w:hAnsi="宋体"/>
                <w:color w:val="auto"/>
                <w:highlight w:val="none"/>
              </w:rPr>
              <w:t>★1.投标文件只允许有一个报价，投标报价应按采购文件中相关附表格式填报；报价条件为CIP浙江中医药大学，即所有的投标报价均为货物到采购人指定的工地价。</w:t>
            </w:r>
          </w:p>
          <w:p>
            <w:pPr>
              <w:spacing w:line="312" w:lineRule="auto"/>
              <w:ind w:firstLine="48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rPr>
              <w:t>凡投标进口设备采用美元报价，国产设备采用人民币报价，对于根据国家相关规定不能享受进口免税政策的设备采用人民币报价，对于不能免税的部分也应予以明示。</w:t>
            </w:r>
          </w:p>
          <w:p>
            <w:pPr>
              <w:spacing w:line="312" w:lineRule="auto"/>
              <w:ind w:firstLine="480"/>
              <w:rPr>
                <w:rFonts w:ascii="宋体" w:hAnsi="宋体"/>
                <w:color w:val="auto"/>
                <w:highlight w:val="none"/>
              </w:rPr>
            </w:pPr>
            <w:r>
              <w:rPr>
                <w:rFonts w:hint="eastAsia" w:ascii="宋体" w:hAnsi="宋体"/>
                <w:color w:val="auto"/>
                <w:highlight w:val="none"/>
              </w:rPr>
              <w:t>3. 投标报价是指投标供应商在正确地完全履行合同义务后采购人应支付给投标供应商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投标总价。投标进口产品时，投标人在报价时还应知悉以下因素：</w:t>
            </w:r>
          </w:p>
          <w:p>
            <w:pPr>
              <w:spacing w:line="312" w:lineRule="auto"/>
              <w:ind w:firstLine="480"/>
              <w:rPr>
                <w:rFonts w:ascii="宋体" w:hAnsi="宋体"/>
                <w:color w:val="auto"/>
                <w:highlight w:val="none"/>
              </w:rPr>
            </w:pPr>
            <w:r>
              <w:rPr>
                <w:rFonts w:hint="eastAsia" w:ascii="宋体" w:hAnsi="宋体"/>
                <w:color w:val="auto"/>
                <w:highlight w:val="none"/>
              </w:rPr>
              <w:t>（1）根据《财政部 海关总署 国家税务总局关于公布进口科学研究、科技开发和教学用品免税清单的通知》（财关税〔2016〕72号）文件的规定，采购人浙江中医药大学进口该文件附件“进口科学研究、科技开发和教学用品免税清单”所列产品均可予免征进口关税和进口环节增值税、消费税，投标供应商的投标报价不得包含进口关税及进口环节增值税、消费税。</w:t>
            </w:r>
          </w:p>
          <w:p>
            <w:pPr>
              <w:spacing w:line="312" w:lineRule="auto"/>
              <w:ind w:firstLine="480"/>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rPr>
              <w:t>进口代理机构由采购人指定，外贸代理费由投标人支付，外贸代理费（人民币）不高于美元报价*0.15，评审价及实际结算均以响应文件开启时中国银行美元现钞卖出价换算，换算方式为：人民币价格=投标外币价*（开标当日现钞卖出价+0.15）；进口设备如遇免税无法办出则采购人有权终止合同。</w:t>
            </w:r>
          </w:p>
          <w:p>
            <w:pPr>
              <w:spacing w:line="312" w:lineRule="auto"/>
              <w:ind w:firstLine="480"/>
              <w:rPr>
                <w:rFonts w:ascii="宋体" w:hAnsi="宋体"/>
                <w:color w:val="auto"/>
                <w:highlight w:val="none"/>
              </w:rPr>
            </w:pPr>
            <w:r>
              <w:rPr>
                <w:rFonts w:hint="eastAsia" w:ascii="宋体" w:hAnsi="宋体"/>
                <w:color w:val="auto"/>
                <w:highlight w:val="none"/>
              </w:rPr>
              <w:t>★（3）因贸易战产生的额外关税由投标人承担。</w:t>
            </w:r>
          </w:p>
          <w:p>
            <w:pPr>
              <w:spacing w:line="312" w:lineRule="auto"/>
              <w:ind w:firstLine="480"/>
              <w:rPr>
                <w:rFonts w:ascii="宋体" w:hAnsi="宋体"/>
                <w:color w:val="auto"/>
                <w:highlight w:val="none"/>
              </w:rPr>
            </w:pPr>
            <w:r>
              <w:rPr>
                <w:rFonts w:hint="eastAsia" w:ascii="宋体" w:hAnsi="宋体"/>
                <w:color w:val="auto"/>
                <w:highlight w:val="none"/>
              </w:rPr>
              <w:t>4. 若既有国产设备，又有进口设备，须按照人民币、美元分别报价。</w:t>
            </w:r>
          </w:p>
          <w:p>
            <w:pPr>
              <w:spacing w:line="312" w:lineRule="auto"/>
              <w:ind w:firstLine="480"/>
              <w:rPr>
                <w:rFonts w:ascii="宋体" w:hAnsi="宋体"/>
                <w:color w:val="auto"/>
                <w:highlight w:val="none"/>
              </w:rPr>
            </w:pPr>
            <w:r>
              <w:rPr>
                <w:rFonts w:hint="eastAsia" w:ascii="宋体" w:hAnsi="宋体"/>
                <w:color w:val="auto"/>
                <w:highlight w:val="none"/>
              </w:rPr>
              <w:t>5.合同履行过程中的汇率风险由成交供应商承担，由进口代理机构与成交供应商结算。</w:t>
            </w:r>
          </w:p>
          <w:p>
            <w:pPr>
              <w:ind w:firstLine="480"/>
              <w:rPr>
                <w:rFonts w:ascii="仿宋" w:hAnsi="仿宋" w:eastAsia="仿宋" w:cs="仿宋_GB2312"/>
                <w:b/>
                <w:color w:val="auto"/>
                <w:highlight w:val="none"/>
              </w:rPr>
            </w:pPr>
            <w:r>
              <w:rPr>
                <w:rFonts w:hint="eastAsia" w:ascii="宋体" w:hAnsi="宋体"/>
                <w:color w:val="auto"/>
                <w:highlight w:val="none"/>
              </w:rPr>
              <w:t>6. 进口产品原则上要求从国外直接发货，在中国境内保税区发货的，若产生额外报关费用由供应商承担。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25"/>
              </w:numPr>
              <w:ind w:firstLineChars="0"/>
              <w:jc w:val="center"/>
              <w:rPr>
                <w:rFonts w:ascii="宋体" w:hAnsi="宋体" w:cs="宋体"/>
                <w:color w:val="auto"/>
                <w:kern w:val="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信息公告及评标结果公告媒体</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szCs w:val="32"/>
                <w:highlight w:val="none"/>
              </w:rPr>
              <w:t>浙江省政府采购网（http://www.zjzfcg.gov.cn/）</w:t>
            </w:r>
            <w:r>
              <w:rPr>
                <w:rFonts w:hint="eastAsia"/>
                <w:color w:val="auto"/>
                <w:highlight w:val="none"/>
              </w:rPr>
              <w:t>及浙江中医药大学官网http://www.zcmu.edu.cn/</w:t>
            </w:r>
            <w:r>
              <w:rPr>
                <w:rFonts w:hint="eastAsia" w:ascii="宋体" w:hAnsi="宋体" w:cs="宋体"/>
                <w:color w:val="auto"/>
                <w:szCs w:val="32"/>
                <w:highlight w:val="none"/>
              </w:rPr>
              <w:t>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25"/>
              </w:numPr>
              <w:ind w:firstLineChars="0"/>
              <w:jc w:val="center"/>
              <w:rPr>
                <w:rFonts w:ascii="宋体" w:hAnsi="宋体" w:cs="宋体"/>
                <w:color w:val="auto"/>
                <w:kern w:val="0"/>
                <w:highlight w:val="none"/>
              </w:rPr>
            </w:pPr>
          </w:p>
        </w:tc>
        <w:tc>
          <w:tcPr>
            <w:tcW w:w="1944" w:type="dxa"/>
          </w:tcPr>
          <w:p>
            <w:pPr>
              <w:ind w:firstLine="0" w:firstLineChars="0"/>
              <w:jc w:val="center"/>
              <w:rPr>
                <w:color w:val="auto"/>
                <w:highlight w:val="none"/>
              </w:rPr>
            </w:pPr>
            <w:r>
              <w:rPr>
                <w:rFonts w:hint="eastAsia"/>
                <w:color w:val="auto"/>
                <w:highlight w:val="none"/>
              </w:rPr>
              <w:t>经批准或确认的本次采购方式</w:t>
            </w:r>
          </w:p>
        </w:tc>
        <w:tc>
          <w:tcPr>
            <w:tcW w:w="6670" w:type="dxa"/>
          </w:tcPr>
          <w:p>
            <w:pPr>
              <w:pStyle w:val="2"/>
              <w:rPr>
                <w:color w:val="auto"/>
                <w:highlight w:val="none"/>
              </w:rPr>
            </w:pPr>
          </w:p>
          <w:p>
            <w:pPr>
              <w:pStyle w:val="2"/>
              <w:rPr>
                <w:color w:val="auto"/>
                <w:highlight w:val="none"/>
              </w:rPr>
            </w:pPr>
            <w:r>
              <w:rPr>
                <w:rFonts w:hint="eastAsia" w:ascii="宋体" w:hAnsi="宋体" w:eastAsia="宋体" w:cs="宋体"/>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25"/>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color w:val="auto"/>
                <w:highlight w:val="none"/>
              </w:rPr>
            </w:pPr>
            <w:r>
              <w:rPr>
                <w:rFonts w:hint="eastAsia"/>
                <w:color w:val="auto"/>
                <w:highlight w:val="none"/>
              </w:rPr>
              <w:t>分包或转包</w:t>
            </w:r>
          </w:p>
        </w:tc>
        <w:tc>
          <w:tcPr>
            <w:tcW w:w="6670" w:type="dxa"/>
            <w:vAlign w:val="center"/>
          </w:tcPr>
          <w:p>
            <w:pPr>
              <w:numPr>
                <w:ilvl w:val="0"/>
                <w:numId w:val="26"/>
              </w:numPr>
              <w:ind w:firstLine="0" w:firstLineChars="0"/>
              <w:rPr>
                <w:color w:val="auto"/>
                <w:highlight w:val="none"/>
              </w:rPr>
            </w:pPr>
            <w:r>
              <w:rPr>
                <w:rFonts w:hint="eastAsia"/>
                <w:color w:val="auto"/>
                <w:highlight w:val="none"/>
              </w:rPr>
              <w:t>采购人不同意分包。</w:t>
            </w:r>
          </w:p>
          <w:p>
            <w:pPr>
              <w:pStyle w:val="9"/>
              <w:ind w:firstLine="0"/>
              <w:rPr>
                <w:color w:val="auto"/>
                <w:highlight w:val="none"/>
              </w:rPr>
            </w:pPr>
            <w:r>
              <w:rPr>
                <w:rFonts w:hint="eastAsia"/>
                <w:color w:val="auto"/>
                <w:sz w:val="24"/>
                <w:highlight w:val="none"/>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25"/>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投标人应当提供的资格证明文件、报价文件和商务技术文件</w:t>
            </w:r>
          </w:p>
        </w:tc>
        <w:tc>
          <w:tcPr>
            <w:tcW w:w="6670" w:type="dxa"/>
            <w:vAlign w:val="center"/>
          </w:tcPr>
          <w:p>
            <w:pPr>
              <w:ind w:firstLine="0" w:firstLineChars="0"/>
              <w:rPr>
                <w:color w:val="auto"/>
                <w:highlight w:val="none"/>
              </w:rPr>
            </w:pPr>
            <w:r>
              <w:rPr>
                <w:rFonts w:hint="eastAsia"/>
                <w:color w:val="auto"/>
                <w:highlight w:val="none"/>
              </w:rPr>
              <w:t>（1）资格证明文件：见本章第三节。</w:t>
            </w:r>
          </w:p>
          <w:p>
            <w:pPr>
              <w:ind w:firstLine="0" w:firstLineChars="0"/>
              <w:rPr>
                <w:color w:val="auto"/>
                <w:highlight w:val="none"/>
              </w:rPr>
            </w:pPr>
            <w:r>
              <w:rPr>
                <w:rFonts w:hint="eastAsia"/>
                <w:color w:val="auto"/>
                <w:highlight w:val="none"/>
              </w:rPr>
              <w:t>（2）报价文件和商务技术文：见本章第三节。</w:t>
            </w:r>
          </w:p>
          <w:p>
            <w:pPr>
              <w:ind w:firstLine="0" w:firstLineChars="0"/>
              <w:rPr>
                <w:color w:val="auto"/>
                <w:highlight w:val="none"/>
              </w:rPr>
            </w:pPr>
            <w:r>
              <w:rPr>
                <w:rFonts w:hint="eastAsia"/>
                <w:color w:val="auto"/>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25"/>
              </w:numPr>
              <w:ind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投标文件份数</w:t>
            </w:r>
          </w:p>
        </w:tc>
        <w:tc>
          <w:tcPr>
            <w:tcW w:w="6670" w:type="dxa"/>
            <w:vAlign w:val="center"/>
          </w:tcPr>
          <w:p>
            <w:pPr>
              <w:ind w:firstLine="0" w:firstLineChars="0"/>
              <w:rPr>
                <w:color w:val="auto"/>
                <w:highlight w:val="none"/>
              </w:rPr>
            </w:pPr>
            <w:r>
              <w:rPr>
                <w:rFonts w:hint="eastAsia"/>
                <w:color w:val="auto"/>
                <w:highlight w:val="none"/>
              </w:rPr>
              <w:t>（1）纸质版：资格证明文件正本一份，副本无需提供；报价文件正本一份，副本四份；商务技术文件正本一份，副本四份。</w:t>
            </w:r>
          </w:p>
          <w:p>
            <w:pPr>
              <w:ind w:firstLine="0" w:firstLineChars="0"/>
              <w:rPr>
                <w:color w:val="auto"/>
                <w:highlight w:val="none"/>
              </w:rPr>
            </w:pPr>
            <w:r>
              <w:rPr>
                <w:rFonts w:hint="eastAsia"/>
                <w:color w:val="auto"/>
                <w:highlight w:val="none"/>
              </w:rPr>
              <w:t>（2）电子版：一份，内容为已签字盖章的商务技术纸质响应文件正本的扫描件，PDF格式，U盘存储。</w:t>
            </w:r>
          </w:p>
          <w:p>
            <w:pPr>
              <w:ind w:firstLine="0" w:firstLineChars="0"/>
              <w:rPr>
                <w:color w:val="auto"/>
                <w:highlight w:val="none"/>
              </w:rPr>
            </w:pPr>
            <w:r>
              <w:rPr>
                <w:rFonts w:hint="eastAsia"/>
                <w:b/>
                <w:bCs/>
                <w:color w:val="auto"/>
                <w:highlight w:val="none"/>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25"/>
              </w:numPr>
              <w:ind w:firstLineChars="0"/>
              <w:jc w:val="center"/>
              <w:rPr>
                <w:rFonts w:ascii="宋体" w:hAnsi="宋体" w:cs="宋体"/>
                <w:color w:val="auto"/>
                <w:kern w:val="0"/>
                <w:highlight w:val="none"/>
              </w:rPr>
            </w:pPr>
          </w:p>
        </w:tc>
        <w:tc>
          <w:tcPr>
            <w:tcW w:w="1944" w:type="dxa"/>
          </w:tcPr>
          <w:p>
            <w:pPr>
              <w:ind w:firstLine="0" w:firstLineChars="0"/>
              <w:jc w:val="center"/>
              <w:rPr>
                <w:rFonts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w:t>
            </w:r>
          </w:p>
        </w:tc>
        <w:tc>
          <w:tcPr>
            <w:tcW w:w="6670" w:type="dxa"/>
          </w:tcPr>
          <w:p>
            <w:pPr>
              <w:ind w:firstLine="0" w:firstLineChars="0"/>
              <w:rPr>
                <w:rFonts w:ascii="宋体" w:hAnsi="宋体" w:cs="宋体"/>
                <w:bCs/>
                <w:color w:val="auto"/>
                <w:kern w:val="0"/>
                <w:szCs w:val="21"/>
                <w:highlight w:val="none"/>
              </w:rPr>
            </w:pPr>
            <w:r>
              <w:rPr>
                <w:rFonts w:hint="eastAsia" w:ascii="宋体" w:hAnsi="宋体" w:cs="宋体"/>
                <w:color w:val="auto"/>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25"/>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开标前答疑会或现场考察</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25"/>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样品提供</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25"/>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现场演示</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25"/>
              </w:numPr>
              <w:ind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采购机构代理费用</w:t>
            </w:r>
          </w:p>
        </w:tc>
        <w:tc>
          <w:tcPr>
            <w:tcW w:w="6670" w:type="dxa"/>
            <w:vAlign w:val="center"/>
          </w:tcPr>
          <w:p>
            <w:pPr>
              <w:numPr>
                <w:ilvl w:val="0"/>
                <w:numId w:val="27"/>
              </w:numPr>
              <w:ind w:firstLine="0" w:firstLineChars="0"/>
              <w:rPr>
                <w:color w:val="auto"/>
                <w:highlight w:val="none"/>
              </w:rPr>
            </w:pPr>
            <w:r>
              <w:rPr>
                <w:rFonts w:hint="eastAsia"/>
                <w:color w:val="auto"/>
                <w:highlight w:val="none"/>
              </w:rPr>
              <w:t>参照浙价服[2003]77号文规定的招标费率6.3折收取，按照中标通知书确定的金额，向中标人收取服务费，不足2000按2000收取。</w:t>
            </w:r>
          </w:p>
          <w:p>
            <w:pPr>
              <w:numPr>
                <w:ilvl w:val="0"/>
                <w:numId w:val="27"/>
              </w:numPr>
              <w:ind w:firstLine="0" w:firstLineChars="0"/>
              <w:rPr>
                <w:color w:val="auto"/>
                <w:highlight w:val="none"/>
              </w:rPr>
            </w:pPr>
            <w:r>
              <w:rPr>
                <w:rFonts w:hint="eastAsia"/>
                <w:color w:val="auto"/>
                <w:highlight w:val="none"/>
              </w:rPr>
              <w:t>中标人在领取中标通知书前，应向采购代理机构交纳招标代理服务费。</w:t>
            </w:r>
          </w:p>
          <w:p>
            <w:pPr>
              <w:numPr>
                <w:ilvl w:val="0"/>
                <w:numId w:val="27"/>
              </w:numPr>
              <w:ind w:firstLine="0" w:firstLineChars="0"/>
              <w:rPr>
                <w:color w:val="auto"/>
                <w:highlight w:val="none"/>
              </w:rPr>
            </w:pPr>
            <w:r>
              <w:rPr>
                <w:rFonts w:hint="eastAsia"/>
                <w:color w:val="auto"/>
                <w:highlight w:val="none"/>
              </w:rPr>
              <w:t>招标代理服务费以电汇方式支付。</w:t>
            </w:r>
          </w:p>
          <w:p>
            <w:pPr>
              <w:numPr>
                <w:ilvl w:val="0"/>
                <w:numId w:val="27"/>
              </w:numPr>
              <w:ind w:firstLine="0" w:firstLineChars="0"/>
              <w:rPr>
                <w:color w:val="auto"/>
                <w:highlight w:val="none"/>
              </w:rPr>
            </w:pPr>
            <w:r>
              <w:rPr>
                <w:rFonts w:hint="eastAsia"/>
                <w:color w:val="auto"/>
                <w:highlight w:val="none"/>
              </w:rPr>
              <w:t>服务费缴纳账号：</w:t>
            </w:r>
          </w:p>
          <w:p>
            <w:pPr>
              <w:ind w:firstLine="0" w:firstLineChars="0"/>
              <w:rPr>
                <w:color w:val="auto"/>
                <w:highlight w:val="none"/>
              </w:rPr>
            </w:pPr>
            <w:r>
              <w:rPr>
                <w:rFonts w:hint="eastAsia"/>
                <w:color w:val="auto"/>
                <w:highlight w:val="none"/>
              </w:rPr>
              <w:t>单位名称：浙江五石工程咨询有限公司萧山分公司</w:t>
            </w:r>
          </w:p>
          <w:p>
            <w:pPr>
              <w:ind w:firstLine="0" w:firstLineChars="0"/>
              <w:rPr>
                <w:color w:val="auto"/>
                <w:highlight w:val="none"/>
              </w:rPr>
            </w:pPr>
            <w:r>
              <w:rPr>
                <w:rFonts w:hint="eastAsia"/>
                <w:color w:val="auto"/>
                <w:highlight w:val="none"/>
              </w:rPr>
              <w:t>开户银行：浙江民泰商业银行杭州钱江新城支行</w:t>
            </w:r>
          </w:p>
          <w:p>
            <w:pPr>
              <w:ind w:firstLine="0" w:firstLineChars="0"/>
              <w:rPr>
                <w:rFonts w:ascii="宋体" w:hAnsi="宋体" w:cs="宋体"/>
                <w:color w:val="auto"/>
                <w:highlight w:val="none"/>
              </w:rPr>
            </w:pPr>
            <w:r>
              <w:rPr>
                <w:rFonts w:hint="eastAsia"/>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25"/>
              </w:numPr>
              <w:ind w:firstLineChars="0"/>
              <w:jc w:val="center"/>
              <w:rPr>
                <w:rFonts w:ascii="宋体" w:hAnsi="宋体" w:cs="宋体"/>
                <w:color w:val="auto"/>
                <w:kern w:val="0"/>
                <w:highlight w:val="none"/>
              </w:rPr>
            </w:pPr>
          </w:p>
        </w:tc>
        <w:tc>
          <w:tcPr>
            <w:tcW w:w="1944" w:type="dxa"/>
            <w:vAlign w:val="center"/>
          </w:tcPr>
          <w:p>
            <w:pPr>
              <w:ind w:firstLine="0" w:firstLineChars="0"/>
              <w:rPr>
                <w:rFonts w:ascii="宋体" w:hAnsi="宋体" w:cs="宋体"/>
                <w:color w:val="auto"/>
                <w:highlight w:val="none"/>
              </w:rPr>
            </w:pPr>
            <w:r>
              <w:rPr>
                <w:rFonts w:hint="eastAsia" w:ascii="宋体" w:hAnsi="宋体"/>
                <w:color w:val="auto"/>
                <w:highlight w:val="none"/>
              </w:rPr>
              <w:t>中标后注意事项</w:t>
            </w:r>
          </w:p>
        </w:tc>
        <w:tc>
          <w:tcPr>
            <w:tcW w:w="6670" w:type="dxa"/>
            <w:vAlign w:val="center"/>
          </w:tcPr>
          <w:p>
            <w:pPr>
              <w:numPr>
                <w:ilvl w:val="0"/>
                <w:numId w:val="28"/>
              </w:numPr>
              <w:tabs>
                <w:tab w:val="left" w:pos="312"/>
              </w:tabs>
              <w:ind w:firstLine="0" w:firstLineChars="0"/>
              <w:rPr>
                <w:rFonts w:ascii="宋体" w:hAnsi="宋体"/>
                <w:color w:val="auto"/>
                <w:highlight w:val="none"/>
              </w:rPr>
            </w:pPr>
            <w:r>
              <w:rPr>
                <w:rFonts w:hint="eastAsia" w:ascii="宋体" w:hAnsi="宋体"/>
                <w:color w:val="auto"/>
                <w:highlight w:val="none"/>
              </w:rPr>
              <w:t>成交人在中标之后领取通知书之前，应向招标代理机构交纳招标代理服务费。</w:t>
            </w:r>
          </w:p>
          <w:p>
            <w:pPr>
              <w:numPr>
                <w:ilvl w:val="0"/>
                <w:numId w:val="28"/>
              </w:numPr>
              <w:tabs>
                <w:tab w:val="left" w:pos="312"/>
              </w:tabs>
              <w:ind w:firstLine="0" w:firstLineChars="0"/>
              <w:rPr>
                <w:rFonts w:ascii="宋体" w:hAnsi="宋体"/>
                <w:color w:val="auto"/>
                <w:highlight w:val="none"/>
              </w:rPr>
            </w:pPr>
            <w:r>
              <w:rPr>
                <w:rFonts w:hint="eastAsia" w:ascii="宋体" w:hAnsi="宋体"/>
                <w:color w:val="auto"/>
                <w:highlight w:val="none"/>
              </w:rPr>
              <w:t>若中标人未在约定时间内支付招标代理服务费，从逾期之日起按日利率千分之一承担违约金。</w:t>
            </w:r>
          </w:p>
          <w:p>
            <w:pPr>
              <w:numPr>
                <w:ilvl w:val="0"/>
                <w:numId w:val="28"/>
              </w:numPr>
              <w:ind w:firstLine="0" w:firstLineChars="0"/>
              <w:rPr>
                <w:rFonts w:ascii="宋体" w:hAnsi="宋体" w:cs="宋体"/>
                <w:color w:val="auto"/>
                <w:highlight w:val="none"/>
              </w:rPr>
            </w:pPr>
            <w:r>
              <w:rPr>
                <w:rFonts w:hint="eastAsia" w:ascii="宋体" w:hAnsi="宋体"/>
                <w:color w:val="auto"/>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46" w:type="dxa"/>
            <w:vAlign w:val="center"/>
          </w:tcPr>
          <w:p>
            <w:pPr>
              <w:numPr>
                <w:ilvl w:val="0"/>
                <w:numId w:val="25"/>
              </w:numPr>
              <w:ind w:firstLineChars="0"/>
              <w:jc w:val="center"/>
              <w:rPr>
                <w:rFonts w:ascii="宋体" w:hAnsi="宋体" w:cs="宋体"/>
                <w:color w:val="auto"/>
                <w:kern w:val="0"/>
                <w:highlight w:val="none"/>
              </w:rPr>
            </w:pPr>
          </w:p>
        </w:tc>
        <w:tc>
          <w:tcPr>
            <w:tcW w:w="1944" w:type="dxa"/>
            <w:vAlign w:val="center"/>
          </w:tcPr>
          <w:p>
            <w:pPr>
              <w:ind w:firstLine="240" w:firstLineChars="100"/>
              <w:jc w:val="center"/>
              <w:rPr>
                <w:rFonts w:ascii="宋体" w:hAnsi="宋体" w:cs="宋体"/>
                <w:color w:val="auto"/>
                <w:highlight w:val="none"/>
              </w:rPr>
            </w:pPr>
            <w:r>
              <w:rPr>
                <w:rFonts w:hint="eastAsia" w:ascii="宋体" w:hAnsi="宋体" w:cs="宋体"/>
                <w:color w:val="auto"/>
                <w:highlight w:val="none"/>
              </w:rPr>
              <w:t>质疑与投诉</w:t>
            </w:r>
          </w:p>
          <w:p>
            <w:pPr>
              <w:ind w:firstLine="0" w:firstLineChars="0"/>
              <w:jc w:val="center"/>
              <w:rPr>
                <w:rFonts w:ascii="宋体" w:hAnsi="宋体" w:cs="宋体"/>
                <w:color w:val="auto"/>
                <w:szCs w:val="32"/>
                <w:highlight w:val="none"/>
              </w:rPr>
            </w:pP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1）质疑：根据《政府采购法》第五十二条的规定，投标人认为招标文件、采购过程和中标、成交结果使自己的权益受到损害的，可以在知道或者应知其权益受到损害之日起七个工作日内，以书面形式向招标人、采购代理机构提出质疑（格式详见附件十六）。</w:t>
            </w:r>
          </w:p>
          <w:p>
            <w:pPr>
              <w:ind w:firstLine="0" w:firstLineChars="0"/>
              <w:rPr>
                <w:rFonts w:ascii="宋体" w:hAnsi="宋体" w:cs="宋体"/>
                <w:color w:val="auto"/>
                <w:highlight w:val="none"/>
              </w:rPr>
            </w:pPr>
            <w:r>
              <w:rPr>
                <w:rFonts w:hint="eastAsia" w:ascii="宋体" w:hAnsi="宋体" w:cs="宋体"/>
                <w:color w:val="auto"/>
                <w:highlight w:val="none"/>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szCs w:val="32"/>
                <w:highlight w:val="none"/>
              </w:rPr>
            </w:pPr>
            <w:r>
              <w:rPr>
                <w:rFonts w:hint="eastAsia" w:ascii="宋体" w:hAnsi="宋体" w:cs="宋体"/>
                <w:color w:val="auto"/>
                <w:highlight w:val="none"/>
              </w:rPr>
              <w:t>（4）投诉：根据《政府采购法》第五十五条的规定，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25"/>
              </w:numPr>
              <w:ind w:firstLineChars="0"/>
              <w:jc w:val="center"/>
              <w:rPr>
                <w:rFonts w:ascii="宋体" w:hAnsi="宋体" w:cs="宋体"/>
                <w:color w:val="auto"/>
                <w:kern w:val="0"/>
                <w:szCs w:val="32"/>
                <w:highlight w:val="none"/>
              </w:rPr>
            </w:pPr>
          </w:p>
        </w:tc>
        <w:tc>
          <w:tcPr>
            <w:tcW w:w="1944" w:type="dxa"/>
            <w:vAlign w:val="center"/>
          </w:tcPr>
          <w:p>
            <w:pPr>
              <w:ind w:firstLine="0" w:firstLineChars="0"/>
              <w:jc w:val="center"/>
              <w:rPr>
                <w:color w:val="auto"/>
                <w:highlight w:val="none"/>
              </w:rPr>
            </w:pPr>
            <w:r>
              <w:rPr>
                <w:rFonts w:hint="eastAsia"/>
                <w:color w:val="auto"/>
                <w:highlight w:val="none"/>
                <w:lang w:val="zh-CN"/>
              </w:rPr>
              <w:t>实质性条款</w:t>
            </w:r>
          </w:p>
        </w:tc>
        <w:tc>
          <w:tcPr>
            <w:tcW w:w="6670" w:type="dxa"/>
            <w:vAlign w:val="center"/>
          </w:tcPr>
          <w:p>
            <w:pPr>
              <w:ind w:firstLine="0" w:firstLineChars="0"/>
              <w:rPr>
                <w:rFonts w:ascii="宋体" w:hAnsi="宋体" w:cs="宋体"/>
                <w:color w:val="auto"/>
                <w:spacing w:val="-6"/>
                <w:highlight w:val="none"/>
              </w:rPr>
            </w:pPr>
            <w:r>
              <w:rPr>
                <w:rFonts w:hint="eastAsia"/>
                <w:color w:val="auto"/>
                <w:highlight w:val="none"/>
                <w:lang w:val="zh-CN"/>
              </w:rPr>
              <w:t>带“</w:t>
            </w:r>
            <w:r>
              <w:rPr>
                <w:rFonts w:hint="eastAsia"/>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46" w:type="dxa"/>
            <w:vAlign w:val="center"/>
          </w:tcPr>
          <w:p>
            <w:pPr>
              <w:numPr>
                <w:ilvl w:val="0"/>
                <w:numId w:val="25"/>
              </w:numPr>
              <w:ind w:firstLineChars="0"/>
              <w:jc w:val="center"/>
              <w:rPr>
                <w:rFonts w:ascii="宋体" w:hAnsi="宋体" w:cs="宋体"/>
                <w:color w:val="auto"/>
                <w:szCs w:val="32"/>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解释权</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本招标文件解释权属于采购人和采购代理机构。</w:t>
            </w:r>
          </w:p>
        </w:tc>
      </w:tr>
    </w:tbl>
    <w:p>
      <w:pPr>
        <w:pStyle w:val="5"/>
        <w:jc w:val="center"/>
        <w:rPr>
          <w:rFonts w:ascii="宋体" w:hAnsi="宋体" w:cs="宋体"/>
          <w:color w:val="auto"/>
          <w:highlight w:val="none"/>
        </w:rPr>
      </w:pPr>
      <w:bookmarkStart w:id="70" w:name="_Toc246996175"/>
      <w:bookmarkStart w:id="71" w:name="_Toc452457414"/>
      <w:bookmarkStart w:id="72" w:name="_Toc152045529"/>
      <w:bookmarkStart w:id="73" w:name="_Toc152042305"/>
      <w:bookmarkStart w:id="74" w:name="_Toc247085689"/>
      <w:bookmarkStart w:id="75" w:name="_Toc246996918"/>
      <w:bookmarkStart w:id="76" w:name="_Toc296602420"/>
      <w:bookmarkStart w:id="77" w:name="_Toc179632546"/>
      <w:bookmarkStart w:id="78" w:name="_Toc144974497"/>
      <w:r>
        <w:rPr>
          <w:rFonts w:hint="eastAsia" w:ascii="宋体" w:hAnsi="宋体" w:cs="宋体"/>
          <w:color w:val="auto"/>
          <w:highlight w:val="none"/>
        </w:rPr>
        <w:br w:type="page"/>
      </w:r>
      <w:bookmarkEnd w:id="70"/>
      <w:bookmarkEnd w:id="71"/>
      <w:bookmarkEnd w:id="72"/>
      <w:bookmarkEnd w:id="73"/>
      <w:bookmarkEnd w:id="74"/>
      <w:bookmarkEnd w:id="75"/>
      <w:bookmarkEnd w:id="76"/>
      <w:bookmarkEnd w:id="77"/>
      <w:bookmarkEnd w:id="78"/>
      <w:bookmarkStart w:id="79" w:name="_Toc2440"/>
      <w:bookmarkStart w:id="80" w:name="_Toc22147"/>
      <w:bookmarkStart w:id="81" w:name="_Toc11415"/>
      <w:bookmarkStart w:id="82" w:name="_Toc247085690"/>
      <w:bookmarkStart w:id="83" w:name="_Toc144974498"/>
      <w:bookmarkStart w:id="84" w:name="_Toc152045530"/>
      <w:bookmarkStart w:id="85" w:name="_Toc152042306"/>
      <w:bookmarkStart w:id="86" w:name="_Toc179632547"/>
      <w:bookmarkStart w:id="87" w:name="_Toc246996176"/>
      <w:bookmarkStart w:id="88" w:name="_Toc246996919"/>
      <w:bookmarkStart w:id="89" w:name="_Toc296602421"/>
      <w:r>
        <w:rPr>
          <w:rFonts w:hint="eastAsia" w:ascii="宋体" w:hAnsi="宋体" w:cs="宋体"/>
          <w:color w:val="auto"/>
          <w:highlight w:val="none"/>
        </w:rPr>
        <w:t>第一节 总 则</w:t>
      </w:r>
      <w:bookmarkEnd w:id="79"/>
      <w:bookmarkEnd w:id="80"/>
      <w:bookmarkEnd w:id="81"/>
    </w:p>
    <w:p>
      <w:pPr>
        <w:pStyle w:val="6"/>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本招标文件适用于该项目的招标、投标、开标、资格审查及信用信息查询、评标、定标、合同、验收等行为（法律、法规另有规定的，从其规定）。</w:t>
      </w:r>
    </w:p>
    <w:p>
      <w:pPr>
        <w:pStyle w:val="6"/>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1.“采购人”系指浙江中医药大学。</w:t>
      </w:r>
    </w:p>
    <w:p>
      <w:pPr>
        <w:ind w:firstLine="480"/>
        <w:rPr>
          <w:rFonts w:ascii="宋体" w:hAnsi="宋体" w:cs="宋体"/>
          <w:color w:val="auto"/>
          <w:highlight w:val="none"/>
        </w:rPr>
      </w:pPr>
      <w:r>
        <w:rPr>
          <w:rFonts w:hint="eastAsia" w:ascii="宋体" w:hAnsi="宋体" w:cs="宋体"/>
          <w:color w:val="auto"/>
          <w:highlight w:val="none"/>
        </w:rPr>
        <w:t>2.“采购代理机构”系组织本次招标的浙江五石工程咨询有限公司。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3.“投标人”和“投标人”系指参加本次招标活动符合资格条件的供应商。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ind w:firstLine="456"/>
        <w:jc w:val="left"/>
        <w:rPr>
          <w:rFonts w:ascii="宋体" w:hAnsi="宋体"/>
          <w:color w:val="auto"/>
          <w:spacing w:val="-6"/>
          <w:highlight w:val="none"/>
        </w:rPr>
      </w:pPr>
      <w:r>
        <w:rPr>
          <w:rFonts w:hint="eastAsia" w:ascii="宋体" w:hAnsi="宋体"/>
          <w:color w:val="auto"/>
          <w:spacing w:val="-6"/>
          <w:highlight w:val="none"/>
        </w:rPr>
        <w:t>6.联合体：</w:t>
      </w:r>
    </w:p>
    <w:p>
      <w:pPr>
        <w:ind w:firstLine="456"/>
        <w:jc w:val="left"/>
        <w:rPr>
          <w:rFonts w:ascii="宋体" w:hAnsi="宋体"/>
          <w:color w:val="auto"/>
          <w:spacing w:val="-6"/>
          <w:highlight w:val="none"/>
        </w:rPr>
      </w:pPr>
      <w:r>
        <w:rPr>
          <w:rFonts w:hint="eastAsia" w:ascii="宋体" w:hAnsi="宋体"/>
          <w:color w:val="auto"/>
          <w:spacing w:val="-6"/>
          <w:highlight w:val="none"/>
        </w:rPr>
        <w:t>联合体投标的，应遵守以下规定：</w:t>
      </w:r>
    </w:p>
    <w:p>
      <w:pPr>
        <w:ind w:firstLine="456"/>
        <w:jc w:val="left"/>
        <w:rPr>
          <w:rFonts w:ascii="宋体" w:hAnsi="宋体"/>
          <w:color w:val="auto"/>
          <w:spacing w:val="-6"/>
          <w:highlight w:val="none"/>
        </w:rPr>
      </w:pPr>
      <w:r>
        <w:rPr>
          <w:rFonts w:hint="eastAsia" w:ascii="宋体" w:hAnsi="宋体"/>
          <w:color w:val="auto"/>
          <w:spacing w:val="-6"/>
          <w:highlight w:val="none"/>
        </w:rPr>
        <w:t>1）两个以上供应商可以组成一个联合体，以一个供应商的身份共同参加政府采购；</w:t>
      </w:r>
    </w:p>
    <w:p>
      <w:pPr>
        <w:ind w:firstLine="456"/>
        <w:jc w:val="left"/>
        <w:rPr>
          <w:rFonts w:ascii="宋体" w:hAnsi="宋体"/>
          <w:color w:val="auto"/>
          <w:spacing w:val="-6"/>
          <w:highlight w:val="none"/>
        </w:rPr>
      </w:pPr>
      <w:r>
        <w:rPr>
          <w:rFonts w:hint="eastAsia" w:ascii="宋体" w:hAnsi="宋体"/>
          <w:color w:val="auto"/>
          <w:spacing w:val="-6"/>
          <w:highlight w:val="none"/>
        </w:rPr>
        <w:t>2）组成联合体参加本项目的，须在购买招标文件时做出相关声明，否则不予接受。</w:t>
      </w:r>
    </w:p>
    <w:p>
      <w:pPr>
        <w:ind w:firstLine="456"/>
        <w:jc w:val="left"/>
        <w:rPr>
          <w:rFonts w:ascii="宋体" w:hAnsi="宋体"/>
          <w:color w:val="auto"/>
          <w:spacing w:val="-6"/>
          <w:highlight w:val="none"/>
        </w:rPr>
      </w:pPr>
      <w:r>
        <w:rPr>
          <w:rFonts w:hint="eastAsia" w:ascii="宋体" w:hAnsi="宋体"/>
          <w:color w:val="auto"/>
          <w:spacing w:val="-6"/>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ascii="宋体" w:hAnsi="宋体"/>
          <w:color w:val="auto"/>
          <w:spacing w:val="-6"/>
          <w:highlight w:val="none"/>
        </w:rPr>
      </w:pPr>
      <w:r>
        <w:rPr>
          <w:rFonts w:hint="eastAsia" w:ascii="宋体" w:hAnsi="宋体"/>
          <w:color w:val="auto"/>
          <w:spacing w:val="-6"/>
          <w:highlight w:val="none"/>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ascii="宋体" w:hAnsi="宋体"/>
          <w:color w:val="auto"/>
          <w:spacing w:val="-6"/>
          <w:highlight w:val="none"/>
        </w:rPr>
      </w:pPr>
      <w:r>
        <w:rPr>
          <w:rFonts w:hint="eastAsia" w:ascii="宋体" w:hAnsi="宋体"/>
          <w:color w:val="auto"/>
          <w:spacing w:val="-6"/>
          <w:highlight w:val="none"/>
        </w:rPr>
        <w:t>5）联合体各方签订联合协议后，不得再以自己名义单独在同一项目中参加投标，也不得组成新的联合体参加同一项目投标；</w:t>
      </w:r>
    </w:p>
    <w:p>
      <w:pPr>
        <w:ind w:firstLine="456"/>
        <w:jc w:val="left"/>
        <w:rPr>
          <w:rFonts w:ascii="宋体" w:hAnsi="宋体"/>
          <w:color w:val="auto"/>
          <w:spacing w:val="-6"/>
          <w:highlight w:val="none"/>
        </w:rPr>
      </w:pPr>
      <w:r>
        <w:rPr>
          <w:rFonts w:hint="eastAsia" w:ascii="宋体" w:hAnsi="宋体"/>
          <w:color w:val="auto"/>
          <w:spacing w:val="-6"/>
          <w:highlight w:val="none"/>
        </w:rPr>
        <w:t>6）联合体各方应当共同与采购人签订采购合同，就采购合同约定的事项对采购人承担连带责任；</w:t>
      </w:r>
    </w:p>
    <w:p>
      <w:pPr>
        <w:ind w:firstLine="456"/>
        <w:jc w:val="left"/>
        <w:rPr>
          <w:rFonts w:ascii="宋体" w:hAnsi="宋体"/>
          <w:color w:val="auto"/>
          <w:spacing w:val="-6"/>
          <w:highlight w:val="none"/>
        </w:rPr>
      </w:pPr>
      <w:r>
        <w:rPr>
          <w:rFonts w:hint="eastAsia" w:ascii="宋体" w:hAnsi="宋体"/>
          <w:color w:val="auto"/>
          <w:spacing w:val="-6"/>
          <w:highlight w:val="none"/>
        </w:rPr>
        <w:t>7）投标文件须由主办人盖章及其代表签署。</w:t>
      </w:r>
    </w:p>
    <w:p>
      <w:pPr>
        <w:ind w:firstLine="456"/>
        <w:jc w:val="left"/>
        <w:rPr>
          <w:color w:val="auto"/>
          <w:highlight w:val="none"/>
        </w:rPr>
      </w:pPr>
      <w:r>
        <w:rPr>
          <w:rFonts w:hint="eastAsia" w:ascii="宋体" w:hAnsi="宋体"/>
          <w:color w:val="auto"/>
          <w:spacing w:val="-6"/>
          <w:highlight w:val="none"/>
        </w:rPr>
        <w:t>8）联合体投标，投标文件中供应商名称应注明“成员单位名称1和成员单位名称2的联合体”。</w:t>
      </w:r>
    </w:p>
    <w:p>
      <w:pPr>
        <w:pStyle w:val="6"/>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6"/>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1.无论投标结果如何，投标人自行承担所有与参加投标有关的全部费用。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2.中标人在领取中标通知书前，应向采购代理机构交纳招标代理服务费，收费标准见“第一章投标人须知前附表-11”。</w:t>
      </w:r>
    </w:p>
    <w:p>
      <w:pPr>
        <w:pStyle w:val="6"/>
        <w:rPr>
          <w:rFonts w:ascii="宋体" w:hAnsi="宋体" w:cs="宋体"/>
          <w:color w:val="auto"/>
          <w:highlight w:val="none"/>
        </w:rPr>
      </w:pPr>
      <w:r>
        <w:rPr>
          <w:rFonts w:hint="eastAsia" w:ascii="宋体" w:hAnsi="宋体" w:cs="宋体"/>
          <w:color w:val="auto"/>
          <w:highlight w:val="none"/>
        </w:rPr>
        <w:t>五、采购项目需要落实的政府采购政策</w:t>
      </w:r>
    </w:p>
    <w:p>
      <w:pPr>
        <w:ind w:firstLine="480"/>
        <w:rPr>
          <w:rFonts w:ascii="宋体" w:hAnsi="宋体" w:cs="宋体"/>
          <w:color w:val="auto"/>
          <w:highlight w:val="none"/>
        </w:rPr>
      </w:pPr>
      <w:r>
        <w:rPr>
          <w:rFonts w:hint="eastAsia" w:ascii="宋体" w:hAnsi="宋体" w:cs="宋体"/>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highlight w:val="none"/>
        </w:rPr>
        <w:t>小型、微型</w:t>
      </w:r>
      <w:r>
        <w:rPr>
          <w:rFonts w:hint="eastAsia" w:ascii="宋体" w:hAnsi="宋体" w:cs="宋体"/>
          <w:color w:val="auto"/>
          <w:highlight w:val="none"/>
        </w:rPr>
        <w:t>企业价格扣除。</w:t>
      </w:r>
    </w:p>
    <w:p>
      <w:pPr>
        <w:ind w:firstLine="480"/>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小型、微型企业应当同时符合以下条件：</w:t>
      </w:r>
    </w:p>
    <w:p>
      <w:pPr>
        <w:ind w:firstLine="720" w:firstLineChars="300"/>
        <w:rPr>
          <w:rFonts w:ascii="宋体" w:hAnsi="宋体" w:cs="宋体"/>
          <w:bCs/>
          <w:color w:val="auto"/>
          <w:highlight w:val="none"/>
        </w:rPr>
      </w:pPr>
      <w:r>
        <w:rPr>
          <w:rFonts w:hint="eastAsia" w:ascii="宋体" w:hAnsi="宋体" w:cs="宋体"/>
          <w:bCs/>
          <w:color w:val="auto"/>
          <w:highlight w:val="none"/>
        </w:rPr>
        <w:t>1）符合中小企业划分标准；</w:t>
      </w:r>
    </w:p>
    <w:p>
      <w:pPr>
        <w:ind w:firstLine="720" w:firstLineChars="300"/>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
          <w:bCs/>
          <w:color w:val="auto"/>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ascii="宋体" w:hAnsi="宋体" w:cs="宋体"/>
          <w:color w:val="auto"/>
          <w:highlight w:val="none"/>
        </w:rPr>
      </w:pPr>
      <w:r>
        <w:rPr>
          <w:rFonts w:hint="eastAsia" w:ascii="宋体" w:hAnsi="宋体" w:cs="宋体"/>
          <w:color w:val="auto"/>
          <w:highlight w:val="none"/>
        </w:rPr>
        <w:t>（2）小型、微型企业应按照招标文件格式要求提供《中小企业声明函》。</w:t>
      </w:r>
    </w:p>
    <w:p>
      <w:pPr>
        <w:ind w:firstLine="480"/>
        <w:rPr>
          <w:rFonts w:ascii="宋体" w:hAnsi="宋体" w:cs="宋体"/>
          <w:color w:val="auto"/>
          <w:highlight w:val="none"/>
        </w:rPr>
      </w:pPr>
      <w:r>
        <w:rPr>
          <w:rFonts w:hint="eastAsia" w:ascii="宋体" w:hAnsi="宋体" w:cs="宋体"/>
          <w:color w:val="auto"/>
          <w:highlight w:val="none"/>
        </w:rPr>
        <w:t>（3）对于非专门面向此类企业的项目，对小型和微型企业产品的投标价格给予6 %的扣除，用扣除后的价格参与评审。</w:t>
      </w:r>
    </w:p>
    <w:p>
      <w:pPr>
        <w:ind w:firstLine="480"/>
        <w:rPr>
          <w:rFonts w:ascii="宋体" w:hAnsi="宋体" w:cs="宋体"/>
          <w:color w:val="auto"/>
          <w:highlight w:val="none"/>
        </w:rPr>
      </w:pPr>
      <w:r>
        <w:rPr>
          <w:rFonts w:hint="eastAsia" w:ascii="宋体" w:hAnsi="宋体" w:cs="宋体"/>
          <w:color w:val="auto"/>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pPr>
        <w:ind w:firstLine="480"/>
        <w:rPr>
          <w:rFonts w:ascii="宋体" w:hAnsi="宋体" w:cs="宋体"/>
          <w:color w:val="auto"/>
          <w:highlight w:val="none"/>
        </w:rPr>
      </w:pPr>
      <w:r>
        <w:rPr>
          <w:rFonts w:hint="eastAsia" w:ascii="宋体" w:hAnsi="宋体" w:cs="宋体"/>
          <w:color w:val="auto"/>
          <w:highlight w:val="none"/>
        </w:rPr>
        <w:t>（5）符合《关于促进残疾人就业政府采购政策的通知》（财库〔2017〕141号）规定的条件并提供《残疾人福利性单位声明函》的残疾人福利性单位视同小型、微型企业；</w:t>
      </w:r>
    </w:p>
    <w:p>
      <w:pPr>
        <w:ind w:firstLine="480"/>
        <w:rPr>
          <w:rFonts w:ascii="宋体" w:hAnsi="宋体" w:cs="宋体"/>
          <w:color w:val="auto"/>
          <w:highlight w:val="none"/>
        </w:rPr>
      </w:pPr>
      <w:r>
        <w:rPr>
          <w:rFonts w:hint="eastAsia" w:ascii="宋体" w:hAnsi="宋体" w:cs="宋体"/>
          <w:color w:val="auto"/>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6"/>
        <w:rPr>
          <w:rFonts w:ascii="宋体" w:hAnsi="宋体" w:cs="宋体"/>
          <w:color w:val="auto"/>
          <w:highlight w:val="none"/>
        </w:rPr>
      </w:pPr>
      <w:r>
        <w:rPr>
          <w:rFonts w:hint="eastAsia" w:ascii="宋体" w:hAnsi="宋体" w:cs="宋体"/>
          <w:color w:val="auto"/>
          <w:highlight w:val="none"/>
        </w:rPr>
        <w:t>六、询问、质疑、投诉</w:t>
      </w:r>
    </w:p>
    <w:p>
      <w:pPr>
        <w:autoSpaceDE w:val="0"/>
        <w:autoSpaceDN w:val="0"/>
        <w:ind w:firstLine="48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供应商询问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20"/>
        <w:spacing w:line="360" w:lineRule="auto"/>
        <w:ind w:firstLine="480" w:firstLineChars="200"/>
        <w:rPr>
          <w:rFonts w:hAnsi="宋体" w:cs="宋体"/>
          <w:color w:val="auto"/>
          <w:sz w:val="24"/>
          <w:szCs w:val="24"/>
          <w:highlight w:val="none"/>
          <w:lang w:val="zh-CN"/>
        </w:rPr>
      </w:pPr>
      <w:r>
        <w:rPr>
          <w:rFonts w:hint="eastAsia" w:hAnsi="宋体" w:cs="宋体"/>
          <w:color w:val="auto"/>
          <w:sz w:val="24"/>
          <w:szCs w:val="24"/>
          <w:highlight w:val="none"/>
        </w:rPr>
        <w:t>2.</w:t>
      </w:r>
      <w:r>
        <w:rPr>
          <w:rFonts w:hint="eastAsia" w:hAnsi="宋体" w:cs="宋体"/>
          <w:color w:val="auto"/>
          <w:sz w:val="24"/>
          <w:szCs w:val="24"/>
          <w:highlight w:val="none"/>
          <w:lang w:val="zh-CN"/>
        </w:rPr>
        <w:t>供应商质疑（</w:t>
      </w:r>
      <w:r>
        <w:rPr>
          <w:rFonts w:hint="eastAsia" w:hAnsi="宋体" w:cs="宋体"/>
          <w:color w:val="auto"/>
          <w:sz w:val="24"/>
          <w:szCs w:val="24"/>
          <w:highlight w:val="none"/>
        </w:rPr>
        <w:t>根据财政部第94号《政府采购质疑和投诉办法》规定）</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1</w:t>
      </w:r>
      <w:r>
        <w:rPr>
          <w:rFonts w:hint="eastAsia" w:hAnsi="宋体" w:cs="宋体"/>
          <w:color w:val="auto"/>
          <w:sz w:val="24"/>
          <w:szCs w:val="24"/>
          <w:highlight w:val="none"/>
          <w:lang w:val="zh-CN"/>
        </w:rPr>
        <w:t>）</w:t>
      </w:r>
      <w:r>
        <w:rPr>
          <w:rFonts w:hint="eastAsia" w:hAnsi="宋体" w:cs="宋体"/>
          <w:color w:val="auto"/>
          <w:sz w:val="24"/>
          <w:szCs w:val="24"/>
          <w:highlight w:val="none"/>
        </w:rPr>
        <w:t>提出质疑的供应商应当是参与所质疑项目采购活动的供应商。潜在供应商已依法获取其可质疑的采购文件的，可以对该文件提出质疑。</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2</w:t>
      </w:r>
      <w:r>
        <w:rPr>
          <w:rFonts w:hint="eastAsia" w:hAnsi="宋体" w:cs="宋体"/>
          <w:color w:val="auto"/>
          <w:sz w:val="24"/>
          <w:szCs w:val="24"/>
          <w:highlight w:val="none"/>
          <w:lang w:val="zh-CN"/>
        </w:rPr>
        <w:t>）</w:t>
      </w:r>
      <w:r>
        <w:rPr>
          <w:rFonts w:hint="eastAsia" w:hAnsi="宋体" w:cs="宋体"/>
          <w:color w:val="auto"/>
          <w:sz w:val="24"/>
          <w:szCs w:val="24"/>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1）对招标公告信息（含投标人资格条件）提出质疑的，质疑期限自采购公告发布之日起计算。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2）对招标文件提出质疑的，质疑期限自投标人获得招标文件之日起计算（发售时间期限截止日之后报名的投标人，质疑起算日期以发售时间期限截止日起计算）。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3）对招标过程提出质疑的，为各招标程序环节结束之日。否则，被质疑人可不予接受。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4）对采购结果提出质疑的，质疑期限自采购结果公告（包括公示、预公告、结果变更公告等）之日起计算。</w:t>
      </w:r>
    </w:p>
    <w:p>
      <w:pPr>
        <w:pStyle w:val="20"/>
        <w:spacing w:line="360" w:lineRule="auto"/>
        <w:ind w:firstLine="240" w:firstLineChars="1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3）供应商提出质疑应当提交质疑函和必要的证明材料。质疑函应当包括下列内容：</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1）供应商的姓名或者名称、地址、邮编、联系人及联系电话；</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2）质疑项目的名称、编号；</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3）具体、明确的质疑事项和与质疑事项相关的请求；</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4）事实依据；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5）必要的法律依据；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6）提出质疑的日期。</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2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质疑函范本及制作说明详见附件2。</w:t>
      </w:r>
    </w:p>
    <w:p>
      <w:pPr>
        <w:pStyle w:val="20"/>
        <w:numPr>
          <w:ilvl w:val="0"/>
          <w:numId w:val="29"/>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0"/>
        <w:numPr>
          <w:ilvl w:val="0"/>
          <w:numId w:val="29"/>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询问或者质疑事项可能影响采购结果的，采购人应当暂停签订合同，已经签订合同的，应当中止履行合同。</w:t>
      </w:r>
    </w:p>
    <w:p>
      <w:pPr>
        <w:pStyle w:val="20"/>
        <w:numPr>
          <w:ilvl w:val="0"/>
          <w:numId w:val="29"/>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质疑接收人：毛先生；联系电话：0571-87805727，</w:t>
      </w:r>
    </w:p>
    <w:p>
      <w:pPr>
        <w:pStyle w:val="20"/>
        <w:spacing w:line="360" w:lineRule="auto"/>
        <w:ind w:firstLine="2640" w:firstLineChars="1100"/>
        <w:rPr>
          <w:rFonts w:hAnsi="宋体" w:cs="宋体"/>
          <w:color w:val="auto"/>
          <w:sz w:val="24"/>
          <w:szCs w:val="24"/>
          <w:highlight w:val="none"/>
        </w:rPr>
      </w:pPr>
      <w:r>
        <w:rPr>
          <w:rFonts w:hint="eastAsia" w:hAnsi="宋体" w:cs="宋体"/>
          <w:color w:val="auto"/>
          <w:sz w:val="24"/>
          <w:szCs w:val="24"/>
          <w:highlight w:val="none"/>
        </w:rPr>
        <w:t>地  址：杭州市东信大道66号启迪楼1207室。</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zh-CN"/>
        </w:rPr>
        <w:t>供应商投诉（</w:t>
      </w:r>
      <w:r>
        <w:rPr>
          <w:rFonts w:hint="eastAsia" w:hAnsi="宋体" w:cs="宋体"/>
          <w:color w:val="auto"/>
          <w:sz w:val="24"/>
          <w:szCs w:val="24"/>
          <w:highlight w:val="none"/>
        </w:rPr>
        <w:t>根据财政部第94号《政府采购质疑和投诉办法》规定）</w:t>
      </w:r>
    </w:p>
    <w:p>
      <w:pPr>
        <w:pStyle w:val="20"/>
        <w:numPr>
          <w:ilvl w:val="0"/>
          <w:numId w:val="30"/>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20"/>
        <w:numPr>
          <w:ilvl w:val="0"/>
          <w:numId w:val="30"/>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供应商投诉的事项不得超出已质疑事项的范围，基于质疑答复内容提出的投诉事项除外。</w:t>
      </w:r>
    </w:p>
    <w:p>
      <w:pPr>
        <w:pStyle w:val="20"/>
        <w:numPr>
          <w:ilvl w:val="0"/>
          <w:numId w:val="30"/>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供应商投诉应当有明确的请求和必要的证明材料。</w:t>
      </w:r>
    </w:p>
    <w:p>
      <w:pPr>
        <w:pStyle w:val="20"/>
        <w:numPr>
          <w:ilvl w:val="0"/>
          <w:numId w:val="30"/>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以联合体形式参加政府采购活动的，其投诉应当由组成联合体的所有供应商共同提出。</w:t>
      </w:r>
    </w:p>
    <w:p>
      <w:pPr>
        <w:ind w:firstLine="480"/>
        <w:rPr>
          <w:rFonts w:ascii="宋体" w:hAnsi="宋体" w:cs="宋体"/>
          <w:color w:val="auto"/>
          <w:highlight w:val="none"/>
        </w:rPr>
      </w:pPr>
      <w:r>
        <w:rPr>
          <w:rFonts w:hint="eastAsia" w:ascii="宋体" w:hAnsi="宋体" w:cs="宋体"/>
          <w:color w:val="auto"/>
          <w:highlight w:val="none"/>
        </w:rPr>
        <w:t>投诉书范本及制作说明详见附件3。</w:t>
      </w:r>
    </w:p>
    <w:p>
      <w:pPr>
        <w:pStyle w:val="6"/>
        <w:rPr>
          <w:rFonts w:ascii="宋体" w:hAnsi="宋体" w:cs="宋体"/>
          <w:color w:val="auto"/>
          <w:highlight w:val="none"/>
        </w:rPr>
      </w:pPr>
      <w:r>
        <w:rPr>
          <w:rFonts w:hint="eastAsia" w:ascii="宋体" w:hAnsi="宋体" w:cs="宋体"/>
          <w:color w:val="auto"/>
          <w:highlight w:val="none"/>
        </w:rPr>
        <w:t>七、特别说明</w:t>
      </w:r>
    </w:p>
    <w:p>
      <w:pPr>
        <w:ind w:firstLine="480"/>
        <w:rPr>
          <w:rFonts w:ascii="宋体" w:hAnsi="宋体" w:cs="宋体"/>
          <w:color w:val="auto"/>
          <w:highlight w:val="none"/>
        </w:rPr>
      </w:pPr>
      <w:r>
        <w:rPr>
          <w:rFonts w:hint="eastAsia" w:ascii="宋体" w:hAnsi="宋体" w:cs="宋体"/>
          <w:color w:val="auto"/>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color w:val="auto"/>
          <w:highlight w:val="none"/>
        </w:rPr>
      </w:pPr>
      <w:r>
        <w:rPr>
          <w:rFonts w:hint="eastAsia" w:ascii="宋体" w:hAnsi="宋体" w:cs="宋体"/>
          <w:color w:val="auto"/>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highlight w:val="none"/>
        </w:rPr>
        <w:tab/>
      </w:r>
    </w:p>
    <w:p>
      <w:pPr>
        <w:ind w:firstLine="480"/>
        <w:rPr>
          <w:rFonts w:ascii="宋体" w:hAnsi="宋体" w:cs="宋体"/>
          <w:color w:val="auto"/>
          <w:highlight w:val="none"/>
        </w:rPr>
      </w:pPr>
      <w:r>
        <w:rPr>
          <w:rFonts w:hint="eastAsia" w:ascii="宋体" w:hAnsi="宋体" w:cs="宋体"/>
          <w:color w:val="auto"/>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color w:val="auto"/>
          <w:highlight w:val="none"/>
        </w:rPr>
      </w:pPr>
      <w:r>
        <w:rPr>
          <w:rFonts w:hint="eastAsia" w:ascii="宋体" w:hAnsi="宋体" w:cs="宋体"/>
          <w:color w:val="auto"/>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color w:val="auto"/>
          <w:highlight w:val="none"/>
        </w:rPr>
      </w:pPr>
      <w:r>
        <w:rPr>
          <w:rFonts w:hint="eastAsia" w:ascii="宋体" w:hAnsi="宋体" w:cs="宋体"/>
          <w:color w:val="auto"/>
          <w:highlight w:val="none"/>
        </w:rPr>
        <w:t>5.单位负责人为同一人或者存在直接控股、管理关系的不同供应商，不得参加同一合同项下的政府采购活动。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6.为采购项目提供整体设计、规范编制或者项目管理、监理、检测等服务的供应商，不得再参加该采购项目的其他采购活动。</w:t>
      </w:r>
    </w:p>
    <w:p>
      <w:pPr>
        <w:ind w:firstLine="480"/>
        <w:rPr>
          <w:rFonts w:ascii="宋体" w:hAnsi="宋体" w:cs="宋体"/>
          <w:color w:val="auto"/>
          <w:highlight w:val="none"/>
        </w:rPr>
      </w:pPr>
      <w:r>
        <w:rPr>
          <w:rFonts w:hint="eastAsia" w:ascii="宋体" w:hAnsi="宋体" w:cs="宋体"/>
          <w:color w:val="auto"/>
          <w:highlight w:val="none"/>
        </w:rPr>
        <w:t>7.关于要求原厂商授权的说明</w:t>
      </w:r>
    </w:p>
    <w:p>
      <w:pPr>
        <w:ind w:firstLine="480"/>
        <w:rPr>
          <w:rFonts w:ascii="宋体" w:hAnsi="宋体" w:cs="宋体"/>
          <w:color w:val="auto"/>
          <w:highlight w:val="none"/>
        </w:rPr>
      </w:pPr>
      <w:r>
        <w:rPr>
          <w:rFonts w:hint="eastAsia" w:ascii="宋体" w:hAnsi="宋体" w:cs="宋体"/>
          <w:color w:val="auto"/>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color w:val="auto"/>
          <w:highlight w:val="none"/>
        </w:rPr>
      </w:pPr>
      <w:r>
        <w:rPr>
          <w:rFonts w:hint="eastAsia" w:ascii="宋体" w:hAnsi="宋体" w:cs="宋体"/>
          <w:color w:val="auto"/>
          <w:highlight w:val="none"/>
        </w:rPr>
        <w:t>8.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非单一产品采购项目，多家投标人提供的核心产品品牌相同的，按前款规定处理。</w:t>
      </w:r>
    </w:p>
    <w:p>
      <w:pPr>
        <w:numPr>
          <w:ilvl w:val="0"/>
          <w:numId w:val="31"/>
        </w:numPr>
        <w:ind w:firstLine="480"/>
        <w:rPr>
          <w:rFonts w:ascii="宋体" w:hAnsi="宋体" w:cs="宋体"/>
          <w:color w:val="auto"/>
          <w:highlight w:val="none"/>
        </w:rPr>
      </w:pPr>
      <w:r>
        <w:rPr>
          <w:rFonts w:hint="eastAsia" w:ascii="宋体" w:hAnsi="宋体" w:cs="宋体"/>
          <w:color w:val="auto"/>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2"/>
        <w:rPr>
          <w:rFonts w:ascii="宋体" w:hAnsi="宋体" w:eastAsia="宋体" w:cs="宋体"/>
          <w:b/>
          <w:bCs/>
          <w:color w:val="auto"/>
          <w:kern w:val="2"/>
          <w:sz w:val="28"/>
          <w:szCs w:val="32"/>
          <w:highlight w:val="none"/>
        </w:rPr>
      </w:pPr>
    </w:p>
    <w:p>
      <w:pPr>
        <w:ind w:firstLine="562"/>
        <w:jc w:val="center"/>
        <w:outlineLvl w:val="0"/>
        <w:rPr>
          <w:rFonts w:ascii="宋体" w:hAnsi="宋体" w:cs="宋体"/>
          <w:b/>
          <w:bCs/>
          <w:color w:val="auto"/>
          <w:sz w:val="28"/>
          <w:szCs w:val="32"/>
          <w:highlight w:val="none"/>
        </w:rPr>
      </w:pPr>
      <w:bookmarkStart w:id="90" w:name="_Toc91899879"/>
      <w:bookmarkStart w:id="91" w:name="_Toc16985"/>
      <w:bookmarkStart w:id="92" w:name="_Toc17266"/>
      <w:r>
        <w:rPr>
          <w:rFonts w:hint="eastAsia" w:ascii="宋体" w:hAnsi="宋体" w:cs="宋体"/>
          <w:b/>
          <w:bCs/>
          <w:color w:val="auto"/>
          <w:sz w:val="28"/>
          <w:szCs w:val="32"/>
          <w:highlight w:val="none"/>
        </w:rPr>
        <w:t>第二节 招标文件</w:t>
      </w:r>
      <w:bookmarkEnd w:id="90"/>
      <w:r>
        <w:rPr>
          <w:rFonts w:hint="eastAsia" w:ascii="宋体" w:hAnsi="宋体" w:cs="宋体"/>
          <w:b/>
          <w:bCs/>
          <w:color w:val="auto"/>
          <w:sz w:val="28"/>
          <w:szCs w:val="32"/>
          <w:highlight w:val="none"/>
        </w:rPr>
        <w:t>的构成、澄清、修改</w:t>
      </w:r>
      <w:bookmarkEnd w:id="91"/>
      <w:bookmarkEnd w:id="92"/>
    </w:p>
    <w:p>
      <w:pPr>
        <w:pStyle w:val="6"/>
        <w:rPr>
          <w:rFonts w:ascii="宋体" w:hAnsi="宋体" w:cs="宋体"/>
          <w:color w:val="auto"/>
          <w:highlight w:val="none"/>
        </w:rPr>
      </w:pPr>
      <w:bookmarkStart w:id="93" w:name="_Toc91899880"/>
      <w:bookmarkStart w:id="94" w:name="_Hlt74730307"/>
      <w:r>
        <w:rPr>
          <w:rFonts w:hint="eastAsia" w:ascii="宋体" w:hAnsi="宋体" w:cs="宋体"/>
          <w:color w:val="auto"/>
          <w:highlight w:val="none"/>
        </w:rPr>
        <w:t>一、招标文件的构成</w:t>
      </w:r>
      <w:bookmarkEnd w:id="93"/>
    </w:p>
    <w:bookmarkEnd w:id="94"/>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1.招标文件包括下列文件及附件</w:t>
      </w:r>
    </w:p>
    <w:p>
      <w:pPr>
        <w:pStyle w:val="20"/>
        <w:numPr>
          <w:ilvl w:val="0"/>
          <w:numId w:val="32"/>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hAnsi="宋体" w:cs="宋体"/>
          <w:color w:val="auto"/>
          <w:sz w:val="24"/>
          <w:szCs w:val="24"/>
          <w:highlight w:val="none"/>
        </w:rPr>
        <w:t>第一章 招标公告</w:t>
      </w:r>
      <w:r>
        <w:rPr>
          <w:rFonts w:hint="eastAsia" w:hAnsi="宋体" w:cs="宋体"/>
          <w:color w:val="auto"/>
          <w:sz w:val="24"/>
          <w:szCs w:val="24"/>
          <w:highlight w:val="none"/>
        </w:rPr>
        <w:fldChar w:fldCharType="end"/>
      </w:r>
    </w:p>
    <w:p>
      <w:pPr>
        <w:pStyle w:val="20"/>
        <w:numPr>
          <w:ilvl w:val="0"/>
          <w:numId w:val="32"/>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hAnsi="宋体" w:cs="宋体"/>
          <w:color w:val="auto"/>
          <w:sz w:val="24"/>
          <w:szCs w:val="24"/>
          <w:highlight w:val="none"/>
        </w:rPr>
        <w:t>第二章 项目需求说明</w:t>
      </w:r>
      <w:r>
        <w:rPr>
          <w:rFonts w:hint="eastAsia" w:hAnsi="宋体" w:cs="宋体"/>
          <w:color w:val="auto"/>
          <w:sz w:val="24"/>
          <w:szCs w:val="24"/>
          <w:highlight w:val="none"/>
        </w:rPr>
        <w:fldChar w:fldCharType="end"/>
      </w:r>
    </w:p>
    <w:p>
      <w:pPr>
        <w:pStyle w:val="20"/>
        <w:numPr>
          <w:ilvl w:val="0"/>
          <w:numId w:val="32"/>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hAnsi="宋体" w:cs="宋体"/>
          <w:color w:val="auto"/>
          <w:sz w:val="24"/>
          <w:szCs w:val="24"/>
          <w:highlight w:val="none"/>
        </w:rPr>
        <w:t>第三章 投标人须知</w:t>
      </w:r>
      <w:r>
        <w:rPr>
          <w:rFonts w:hint="eastAsia" w:hAnsi="宋体" w:cs="宋体"/>
          <w:color w:val="auto"/>
          <w:sz w:val="24"/>
          <w:szCs w:val="24"/>
          <w:highlight w:val="none"/>
        </w:rPr>
        <w:fldChar w:fldCharType="end"/>
      </w:r>
    </w:p>
    <w:p>
      <w:pPr>
        <w:pStyle w:val="20"/>
        <w:numPr>
          <w:ilvl w:val="0"/>
          <w:numId w:val="32"/>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hAnsi="宋体" w:cs="宋体"/>
          <w:color w:val="auto"/>
          <w:sz w:val="24"/>
          <w:szCs w:val="24"/>
          <w:highlight w:val="none"/>
        </w:rPr>
        <w:t>第四章 评标办法及评分标准</w:t>
      </w:r>
      <w:r>
        <w:rPr>
          <w:rFonts w:hint="eastAsia" w:hAnsi="宋体" w:cs="宋体"/>
          <w:color w:val="auto"/>
          <w:sz w:val="24"/>
          <w:szCs w:val="24"/>
          <w:highlight w:val="none"/>
        </w:rPr>
        <w:fldChar w:fldCharType="end"/>
      </w:r>
    </w:p>
    <w:p>
      <w:pPr>
        <w:pStyle w:val="20"/>
        <w:numPr>
          <w:ilvl w:val="0"/>
          <w:numId w:val="32"/>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hAnsi="宋体" w:cs="宋体"/>
          <w:color w:val="auto"/>
          <w:sz w:val="24"/>
          <w:szCs w:val="24"/>
          <w:highlight w:val="none"/>
        </w:rPr>
        <w:t>第五章 合同格式</w:t>
      </w:r>
      <w:r>
        <w:rPr>
          <w:rFonts w:hint="eastAsia" w:hAnsi="宋体" w:cs="宋体"/>
          <w:color w:val="auto"/>
          <w:sz w:val="24"/>
          <w:szCs w:val="24"/>
          <w:highlight w:val="none"/>
        </w:rPr>
        <w:fldChar w:fldCharType="end"/>
      </w:r>
    </w:p>
    <w:p>
      <w:pPr>
        <w:pStyle w:val="20"/>
        <w:numPr>
          <w:ilvl w:val="0"/>
          <w:numId w:val="32"/>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hAnsi="宋体" w:cs="宋体"/>
          <w:color w:val="auto"/>
          <w:sz w:val="24"/>
          <w:szCs w:val="24"/>
          <w:highlight w:val="none"/>
        </w:rPr>
        <w:t>第六章 投标文件格式/</w:t>
      </w:r>
      <w:r>
        <w:rPr>
          <w:rFonts w:hint="eastAsia" w:hAnsi="宋体" w:cs="宋体"/>
          <w:color w:val="auto"/>
          <w:sz w:val="24"/>
          <w:szCs w:val="24"/>
          <w:highlight w:val="none"/>
        </w:rPr>
        <w:fldChar w:fldCharType="end"/>
      </w:r>
      <w:r>
        <w:rPr>
          <w:rFonts w:hint="eastAsia" w:hAnsi="宋体" w:cs="宋体"/>
          <w:color w:val="auto"/>
          <w:sz w:val="24"/>
          <w:szCs w:val="24"/>
          <w:highlight w:val="none"/>
        </w:rPr>
        <w:t>应提交的有关格式范例</w:t>
      </w:r>
    </w:p>
    <w:p>
      <w:pPr>
        <w:ind w:firstLine="480"/>
        <w:rPr>
          <w:rFonts w:ascii="宋体" w:hAnsi="宋体" w:cs="宋体"/>
          <w:color w:val="auto"/>
          <w:highlight w:val="none"/>
        </w:rPr>
      </w:pPr>
      <w:r>
        <w:rPr>
          <w:rFonts w:hint="eastAsia" w:ascii="宋体" w:hAnsi="宋体" w:cs="宋体"/>
          <w:color w:val="auto"/>
          <w:highlight w:val="none"/>
        </w:rPr>
        <w:t>2.与本项目有关的</w:t>
      </w:r>
      <w:r>
        <w:rPr>
          <w:rFonts w:hint="eastAsia" w:ascii="宋体" w:hAnsi="宋体" w:cs="宋体"/>
          <w:bCs/>
          <w:color w:val="auto"/>
          <w:highlight w:val="none"/>
        </w:rPr>
        <w:t>澄清或者修改的内容为招标文件的组成部分</w:t>
      </w:r>
      <w:r>
        <w:rPr>
          <w:rFonts w:hint="eastAsia" w:ascii="宋体" w:hAnsi="宋体" w:cs="宋体"/>
          <w:color w:val="auto"/>
          <w:highlight w:val="none"/>
        </w:rPr>
        <w:t>。</w:t>
      </w:r>
    </w:p>
    <w:p>
      <w:pPr>
        <w:pStyle w:val="20"/>
        <w:spacing w:line="360" w:lineRule="auto"/>
        <w:rPr>
          <w:rFonts w:hAnsi="宋体" w:cs="宋体"/>
          <w:b/>
          <w:color w:val="auto"/>
          <w:sz w:val="24"/>
          <w:szCs w:val="24"/>
          <w:highlight w:val="none"/>
        </w:rPr>
      </w:pPr>
      <w:r>
        <w:rPr>
          <w:rFonts w:hint="eastAsia" w:hAnsi="宋体" w:cs="宋体"/>
          <w:b/>
          <w:color w:val="auto"/>
          <w:sz w:val="24"/>
          <w:szCs w:val="24"/>
          <w:highlight w:val="none"/>
        </w:rPr>
        <w:t>二、招标文件的澄清、修改</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color w:val="auto"/>
          <w:szCs w:val="21"/>
          <w:highlight w:val="none"/>
        </w:rPr>
      </w:pPr>
      <w:r>
        <w:rPr>
          <w:rFonts w:hint="eastAsia" w:ascii="宋体" w:hAnsi="宋体" w:cs="宋体"/>
          <w:bCs/>
          <w:color w:val="auto"/>
          <w:kern w:val="0"/>
          <w:szCs w:val="21"/>
          <w:highlight w:val="none"/>
        </w:rPr>
        <w:t>★</w:t>
      </w:r>
      <w:r>
        <w:rPr>
          <w:rFonts w:hint="eastAsia" w:ascii="宋体" w:hAnsi="宋体" w:cs="宋体"/>
          <w:b/>
          <w:color w:val="auto"/>
          <w:szCs w:val="21"/>
          <w:highlight w:val="none"/>
        </w:rPr>
        <w:t>投标文件未按招标文件的澄清、修改的内容编制，又不符合实质性要求的，投标无效。</w:t>
      </w:r>
    </w:p>
    <w:p>
      <w:pPr>
        <w:pStyle w:val="2"/>
        <w:rPr>
          <w:color w:val="auto"/>
          <w:highlight w:val="none"/>
        </w:rPr>
      </w:pPr>
    </w:p>
    <w:p>
      <w:pPr>
        <w:pStyle w:val="5"/>
        <w:jc w:val="center"/>
        <w:rPr>
          <w:rFonts w:ascii="宋体" w:hAnsi="宋体" w:cs="宋体"/>
          <w:color w:val="auto"/>
          <w:highlight w:val="none"/>
        </w:rPr>
      </w:pPr>
      <w:bookmarkStart w:id="95" w:name="_Toc204"/>
      <w:bookmarkStart w:id="96" w:name="_Toc82338241"/>
      <w:bookmarkStart w:id="97" w:name="_Toc1096"/>
      <w:bookmarkStart w:id="98" w:name="_Toc450840075"/>
      <w:bookmarkStart w:id="99" w:name="_Toc82873324"/>
      <w:bookmarkStart w:id="100" w:name="_Toc30686"/>
      <w:r>
        <w:rPr>
          <w:rFonts w:hint="eastAsia" w:ascii="宋体" w:hAnsi="宋体" w:cs="宋体"/>
          <w:color w:val="auto"/>
          <w:highlight w:val="none"/>
        </w:rPr>
        <w:t>第三节 投标文件</w:t>
      </w:r>
      <w:bookmarkEnd w:id="95"/>
      <w:bookmarkEnd w:id="96"/>
      <w:bookmarkEnd w:id="97"/>
      <w:bookmarkEnd w:id="98"/>
      <w:bookmarkEnd w:id="99"/>
      <w:bookmarkEnd w:id="100"/>
    </w:p>
    <w:p>
      <w:pPr>
        <w:pStyle w:val="6"/>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6"/>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二、投标文件的组成（资格证明文件、报价文件和商务技术文件三部分组成并单独密封包装）：</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w:t>
      </w:r>
      <w:r>
        <w:rPr>
          <w:rFonts w:hint="eastAsia" w:ascii="宋体" w:hAnsi="宋体" w:cs="宋体"/>
          <w:color w:val="auto"/>
          <w:szCs w:val="32"/>
          <w:highlight w:val="none"/>
        </w:rPr>
        <w:t>按A4幅面，统一格式填写、编码、装订成册，包括：</w:t>
      </w:r>
    </w:p>
    <w:p>
      <w:pPr>
        <w:ind w:firstLine="480"/>
        <w:rPr>
          <w:rFonts w:ascii="宋体" w:hAnsi="宋体"/>
          <w:b/>
          <w:bCs/>
          <w:color w:val="auto"/>
          <w:highlight w:val="none"/>
        </w:rPr>
      </w:pPr>
      <w:r>
        <w:rPr>
          <w:rFonts w:hint="eastAsia" w:ascii="宋体" w:hAnsi="宋体"/>
          <w:color w:val="auto"/>
          <w:highlight w:val="none"/>
        </w:rPr>
        <w:t>1.资格审查材料（详见招标文件“第六章</w:t>
      </w:r>
      <w:r>
        <w:rPr>
          <w:rFonts w:hint="eastAsia" w:cs="宋体"/>
          <w:color w:val="auto"/>
          <w:highlight w:val="none"/>
        </w:rPr>
        <w:t>投标文件格式</w:t>
      </w:r>
      <w:r>
        <w:rPr>
          <w:rFonts w:hint="eastAsia" w:ascii="宋体" w:hAnsi="宋体"/>
          <w:color w:val="auto"/>
          <w:highlight w:val="none"/>
        </w:rPr>
        <w:t>”中的“格式一：资格审查材料 ”）</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4.《中小企业声明函》及相关证明材料（非小微企业不需要提供）；（附件四）</w:t>
      </w:r>
    </w:p>
    <w:p>
      <w:pPr>
        <w:ind w:firstLine="480"/>
        <w:rPr>
          <w:rFonts w:ascii="宋体" w:hAnsi="宋体" w:cs="宋体"/>
          <w:color w:val="auto"/>
          <w:highlight w:val="none"/>
        </w:rPr>
      </w:pPr>
      <w:r>
        <w:rPr>
          <w:rFonts w:hint="eastAsia" w:ascii="宋体" w:hAnsi="宋体" w:cs="宋体"/>
          <w:color w:val="auto"/>
          <w:highlight w:val="none"/>
        </w:rPr>
        <w:t>5.投标人认为需要的其他文件资料。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r>
        <w:rPr>
          <w:rFonts w:hint="eastAsia" w:ascii="宋体" w:hAnsi="宋体" w:cs="宋体"/>
          <w:color w:val="auto"/>
          <w:szCs w:val="32"/>
          <w:highlight w:val="none"/>
        </w:rPr>
        <w:t>按A4幅面，统一格式填写、编码、装订成册，包括：</w:t>
      </w:r>
    </w:p>
    <w:p>
      <w:pPr>
        <w:numPr>
          <w:ilvl w:val="0"/>
          <w:numId w:val="33"/>
        </w:numPr>
        <w:ind w:firstLineChars="0"/>
        <w:rPr>
          <w:rFonts w:ascii="宋体" w:hAnsi="宋体" w:cs="宋体"/>
          <w:color w:val="auto"/>
          <w:highlight w:val="none"/>
        </w:rPr>
      </w:pPr>
      <w:r>
        <w:rPr>
          <w:rFonts w:hint="eastAsia" w:ascii="宋体" w:hAnsi="宋体" w:cs="宋体"/>
          <w:color w:val="auto"/>
          <w:highlight w:val="none"/>
        </w:rPr>
        <w:t>法定代表人资格证明书和法定代表人授权委托书（投标人的代表若为非法定代表人的，必须提交法人资格证明书和法定代表人授权书；身份证复印件、授权委托人社保证明（至少开标前三个月任1个月的社保证明）；（附件五）</w:t>
      </w:r>
    </w:p>
    <w:p>
      <w:pPr>
        <w:numPr>
          <w:ilvl w:val="0"/>
          <w:numId w:val="33"/>
        </w:numPr>
        <w:ind w:firstLineChars="0"/>
        <w:rPr>
          <w:rFonts w:ascii="宋体" w:hAnsi="宋体" w:cs="宋体"/>
          <w:color w:val="auto"/>
          <w:highlight w:val="none"/>
        </w:rPr>
      </w:pPr>
      <w:r>
        <w:rPr>
          <w:rFonts w:hint="eastAsia" w:ascii="宋体" w:hAnsi="宋体" w:cs="宋体"/>
          <w:color w:val="auto"/>
          <w:highlight w:val="none"/>
        </w:rPr>
        <w:t>投标声明书（附件六）</w:t>
      </w:r>
    </w:p>
    <w:p>
      <w:pPr>
        <w:numPr>
          <w:ilvl w:val="0"/>
          <w:numId w:val="33"/>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提供有效的经营执照复印件并加盖公司公章</w:t>
      </w:r>
      <w:r>
        <w:rPr>
          <w:rFonts w:hint="eastAsia" w:ascii="宋体" w:hAnsi="宋体" w:cs="宋体"/>
          <w:color w:val="auto"/>
          <w:highlight w:val="none"/>
        </w:rPr>
        <w:t>；</w:t>
      </w:r>
    </w:p>
    <w:p>
      <w:pPr>
        <w:numPr>
          <w:ilvl w:val="0"/>
          <w:numId w:val="33"/>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质量管理体系（如有）、环境管理体系（如有）、职业健康及安全管理体系（如有）等三体系认证证书；资质证书复印件（按照资格条件要求提供，如有）；</w:t>
      </w:r>
    </w:p>
    <w:p>
      <w:pPr>
        <w:numPr>
          <w:ilvl w:val="0"/>
          <w:numId w:val="33"/>
        </w:numPr>
        <w:ind w:firstLineChars="0"/>
        <w:rPr>
          <w:rFonts w:ascii="宋体" w:hAnsi="宋体" w:cs="宋体"/>
          <w:color w:val="auto"/>
          <w:highlight w:val="none"/>
        </w:rPr>
      </w:pPr>
      <w:r>
        <w:rPr>
          <w:rFonts w:hint="eastAsia" w:ascii="宋体" w:hAnsi="宋体" w:cs="宋体"/>
          <w:color w:val="auto"/>
          <w:highlight w:val="none"/>
        </w:rPr>
        <w:t>廉政承诺书；（附件七）</w:t>
      </w:r>
    </w:p>
    <w:p>
      <w:pPr>
        <w:numPr>
          <w:ilvl w:val="0"/>
          <w:numId w:val="33"/>
        </w:numPr>
        <w:ind w:firstLineChars="0"/>
        <w:rPr>
          <w:rFonts w:ascii="宋体" w:hAnsi="宋体" w:cs="宋体"/>
          <w:color w:val="auto"/>
          <w:highlight w:val="none"/>
        </w:rPr>
      </w:pPr>
      <w:r>
        <w:rPr>
          <w:rFonts w:hint="eastAsia" w:ascii="宋体" w:hAnsi="宋体" w:cs="宋体"/>
          <w:color w:val="auto"/>
          <w:highlight w:val="none"/>
        </w:rPr>
        <w:t>商务条款偏离表（附件八）</w:t>
      </w:r>
    </w:p>
    <w:p>
      <w:pPr>
        <w:numPr>
          <w:ilvl w:val="0"/>
          <w:numId w:val="33"/>
        </w:numPr>
        <w:ind w:firstLineChars="0"/>
        <w:rPr>
          <w:rFonts w:ascii="宋体" w:hAnsi="宋体" w:cs="宋体"/>
          <w:color w:val="auto"/>
          <w:highlight w:val="none"/>
        </w:rPr>
      </w:pPr>
      <w:r>
        <w:rPr>
          <w:rFonts w:hint="eastAsia" w:ascii="宋体" w:hAnsi="宋体" w:cs="宋体"/>
          <w:color w:val="auto"/>
          <w:highlight w:val="none"/>
        </w:rPr>
        <w:t>投标人情况表（附件九）</w:t>
      </w:r>
    </w:p>
    <w:p>
      <w:pPr>
        <w:numPr>
          <w:ilvl w:val="0"/>
          <w:numId w:val="33"/>
        </w:numPr>
        <w:ind w:firstLineChars="0"/>
        <w:rPr>
          <w:rFonts w:ascii="宋体" w:hAnsi="宋体" w:cs="宋体"/>
          <w:color w:val="auto"/>
          <w:highlight w:val="none"/>
        </w:rPr>
      </w:pPr>
      <w:r>
        <w:rPr>
          <w:rFonts w:hint="eastAsia" w:ascii="宋体" w:hAnsi="宋体" w:cs="宋体"/>
          <w:color w:val="auto"/>
          <w:highlight w:val="none"/>
        </w:rPr>
        <w:t>同类项目实施情况一览表：2016年1月（以合同签订时间为准）至今实施的类似项目合同复印件（加盖公章），相关实施经验及成功案例介绍（要求提供有关情况，包括：项目名称、项目基本内容、业主名称、联系人及电话，项目金额、实施日期等，附件十三）</w:t>
      </w:r>
    </w:p>
    <w:p>
      <w:pPr>
        <w:numPr>
          <w:ilvl w:val="0"/>
          <w:numId w:val="33"/>
        </w:numPr>
        <w:ind w:firstLineChars="0"/>
        <w:rPr>
          <w:rFonts w:ascii="宋体" w:hAnsi="宋体" w:cs="宋体"/>
          <w:color w:val="auto"/>
          <w:highlight w:val="none"/>
        </w:rPr>
      </w:pPr>
      <w:r>
        <w:rPr>
          <w:rFonts w:ascii="宋体" w:hAnsi="宋体" w:cs="宋体"/>
          <w:color w:val="auto"/>
          <w:highlight w:val="none"/>
        </w:rPr>
        <w:t>技术规范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color w:val="auto"/>
          <w:highlight w:val="none"/>
        </w:rPr>
        <w:t>具体章节及页码</w:t>
      </w:r>
      <w:r>
        <w:rPr>
          <w:rFonts w:ascii="宋体" w:hAnsi="宋体" w:cs="宋体"/>
          <w:color w:val="auto"/>
          <w:highlight w:val="none"/>
        </w:rPr>
        <w:t>。任何含糊不清的表示对评标结果的影响将是投标人的责任</w:t>
      </w:r>
      <w:r>
        <w:rPr>
          <w:rFonts w:hint="eastAsia" w:ascii="宋体" w:hAnsi="宋体" w:cs="宋体"/>
          <w:color w:val="auto"/>
          <w:highlight w:val="none"/>
        </w:rPr>
        <w:t>（附件十）</w:t>
      </w:r>
    </w:p>
    <w:p>
      <w:pPr>
        <w:numPr>
          <w:ilvl w:val="0"/>
          <w:numId w:val="33"/>
        </w:numPr>
        <w:ind w:firstLineChars="0"/>
        <w:rPr>
          <w:rFonts w:ascii="宋体" w:hAnsi="宋体" w:cs="宋体"/>
          <w:color w:val="auto"/>
          <w:highlight w:val="none"/>
        </w:rPr>
      </w:pPr>
      <w:r>
        <w:rPr>
          <w:rFonts w:hint="eastAsia" w:ascii="宋体" w:hAnsi="宋体" w:cs="宋体"/>
          <w:color w:val="auto"/>
          <w:highlight w:val="none"/>
        </w:rPr>
        <w:t>货物配置清单（不含报价，包含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附件十一）</w:t>
      </w:r>
    </w:p>
    <w:p>
      <w:pPr>
        <w:numPr>
          <w:ilvl w:val="0"/>
          <w:numId w:val="33"/>
        </w:numPr>
        <w:ind w:firstLineChars="0"/>
        <w:rPr>
          <w:rFonts w:ascii="宋体" w:hAnsi="宋体" w:cs="宋体"/>
          <w:color w:val="auto"/>
          <w:highlight w:val="none"/>
        </w:rPr>
      </w:pPr>
      <w:r>
        <w:rPr>
          <w:rFonts w:hint="eastAsia" w:ascii="宋体" w:hAnsi="宋体" w:cs="宋体"/>
          <w:color w:val="auto"/>
          <w:highlight w:val="none"/>
        </w:rPr>
        <w:t>投标产品技术支持资料</w:t>
      </w:r>
    </w:p>
    <w:p>
      <w:pPr>
        <w:numPr>
          <w:ilvl w:val="0"/>
          <w:numId w:val="33"/>
        </w:numPr>
        <w:ind w:firstLineChars="0"/>
        <w:rPr>
          <w:rFonts w:ascii="宋体" w:hAnsi="宋体" w:cs="宋体"/>
          <w:color w:val="auto"/>
          <w:highlight w:val="none"/>
        </w:rPr>
      </w:pPr>
      <w:r>
        <w:rPr>
          <w:rFonts w:hint="eastAsia" w:ascii="宋体" w:hAnsi="宋体" w:cs="宋体"/>
          <w:color w:val="auto"/>
          <w:highlight w:val="none"/>
        </w:rPr>
        <w:t>项目实施方案</w:t>
      </w:r>
    </w:p>
    <w:p>
      <w:pPr>
        <w:numPr>
          <w:ilvl w:val="0"/>
          <w:numId w:val="33"/>
        </w:numPr>
        <w:ind w:firstLineChars="0"/>
        <w:rPr>
          <w:rFonts w:ascii="宋体" w:hAnsi="宋体" w:cs="宋体"/>
          <w:color w:val="auto"/>
          <w:highlight w:val="none"/>
        </w:rPr>
      </w:pPr>
      <w:r>
        <w:rPr>
          <w:rFonts w:hint="eastAsia" w:ascii="宋体" w:hAnsi="宋体" w:cs="宋体"/>
          <w:color w:val="auto"/>
          <w:highlight w:val="none"/>
        </w:rPr>
        <w:t>售后服务方案，包括机构介绍、优惠承诺、各项服务承诺、合理化建议等；</w:t>
      </w:r>
    </w:p>
    <w:p>
      <w:pPr>
        <w:numPr>
          <w:ilvl w:val="0"/>
          <w:numId w:val="33"/>
        </w:numPr>
        <w:ind w:firstLineChars="0"/>
        <w:rPr>
          <w:rFonts w:ascii="宋体" w:hAnsi="宋体" w:cs="宋体"/>
          <w:color w:val="auto"/>
          <w:highlight w:val="none"/>
        </w:rPr>
      </w:pPr>
      <w:r>
        <w:rPr>
          <w:rFonts w:hint="eastAsia" w:ascii="宋体" w:hAnsi="宋体" w:cs="宋体"/>
          <w:color w:val="auto"/>
          <w:highlight w:val="none"/>
        </w:rPr>
        <w:t>培训方案</w:t>
      </w:r>
    </w:p>
    <w:p>
      <w:pPr>
        <w:numPr>
          <w:ilvl w:val="0"/>
          <w:numId w:val="33"/>
        </w:numPr>
        <w:ind w:firstLineChars="0"/>
        <w:rPr>
          <w:rFonts w:ascii="宋体" w:hAnsi="宋体" w:cs="宋体"/>
          <w:color w:val="auto"/>
          <w:highlight w:val="none"/>
        </w:rPr>
      </w:pPr>
      <w:r>
        <w:rPr>
          <w:rFonts w:hint="eastAsia" w:ascii="宋体" w:hAnsi="宋体" w:cs="宋体"/>
          <w:color w:val="auto"/>
          <w:highlight w:val="none"/>
        </w:rPr>
        <w:t>保期满后备品备件的配置清单</w:t>
      </w:r>
    </w:p>
    <w:p>
      <w:pPr>
        <w:numPr>
          <w:ilvl w:val="0"/>
          <w:numId w:val="33"/>
        </w:numPr>
        <w:ind w:firstLineChars="0"/>
        <w:rPr>
          <w:rFonts w:ascii="宋体" w:hAnsi="宋体" w:cs="宋体"/>
          <w:color w:val="auto"/>
          <w:highlight w:val="none"/>
        </w:rPr>
      </w:pPr>
      <w:r>
        <w:rPr>
          <w:rFonts w:hint="eastAsia" w:ascii="宋体" w:hAnsi="宋体" w:cs="宋体"/>
          <w:color w:val="auto"/>
          <w:highlight w:val="none"/>
        </w:rPr>
        <w:t>其它本招标文件评分表要求提供的材料或投标人认为需要的其他技术文件资料或说明。（格式自拟）</w:t>
      </w: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1.投标报价是指一次性报出不得更改的价格；</w:t>
      </w:r>
    </w:p>
    <w:p>
      <w:pPr>
        <w:ind w:firstLine="480"/>
        <w:rPr>
          <w:rFonts w:ascii="宋体" w:hAnsi="宋体" w:cs="宋体"/>
          <w:color w:val="auto"/>
          <w:highlight w:val="none"/>
        </w:rPr>
      </w:pPr>
      <w:r>
        <w:rPr>
          <w:rFonts w:hint="eastAsia" w:ascii="宋体" w:hAnsi="宋体" w:cs="宋体"/>
          <w:color w:val="auto"/>
          <w:highlight w:val="none"/>
        </w:rPr>
        <w:t>2.投标报价是履行合同的最终价格，将人工费、材料费、机械费、管理费、税金、利润、直至达到使用要求及质量标准、质保期服务所需的全部费用及招标代理服务费均包含在总价之中。</w:t>
      </w:r>
    </w:p>
    <w:p>
      <w:pPr>
        <w:pStyle w:val="6"/>
        <w:rPr>
          <w:rFonts w:ascii="宋体" w:hAnsi="宋体" w:cs="宋体"/>
          <w:color w:val="auto"/>
          <w:highlight w:val="none"/>
        </w:rPr>
      </w:pPr>
      <w:r>
        <w:rPr>
          <w:rFonts w:hint="eastAsia" w:ascii="宋体" w:hAnsi="宋体" w:cs="宋体"/>
          <w:color w:val="auto"/>
          <w:highlight w:val="none"/>
        </w:rPr>
        <w:t>四、投标文件的签署及规定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2.投标人应资格证明文件和报价文件单独装订成册、商务技术文件合并装订成册（含</w:t>
      </w:r>
      <w:r>
        <w:rPr>
          <w:rFonts w:hint="eastAsia" w:ascii="宋体" w:hAnsi="宋体" w:cs="宋体"/>
          <w:b/>
          <w:bCs/>
          <w:color w:val="auto"/>
          <w:highlight w:val="none"/>
        </w:rPr>
        <w:t>电子文档</w:t>
      </w:r>
      <w:r>
        <w:rPr>
          <w:rFonts w:hint="eastAsia" w:ascii="宋体" w:hAnsi="宋体" w:cs="宋体"/>
          <w:color w:val="auto"/>
          <w:highlight w:val="none"/>
        </w:rPr>
        <w:t>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、投标人名称、投标人地址、投标人授权代表签字及日期。</w:t>
      </w:r>
    </w:p>
    <w:p>
      <w:pPr>
        <w:ind w:firstLine="240" w:firstLineChars="100"/>
        <w:rPr>
          <w:rFonts w:ascii="宋体" w:hAnsi="宋体" w:cs="宋体"/>
          <w:color w:val="auto"/>
          <w:highlight w:val="none"/>
        </w:rPr>
      </w:pP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5"/>
        <w:jc w:val="center"/>
        <w:rPr>
          <w:rFonts w:ascii="宋体" w:hAnsi="宋体" w:cs="宋体"/>
          <w:color w:val="auto"/>
          <w:highlight w:val="none"/>
        </w:rPr>
      </w:pPr>
      <w:bookmarkStart w:id="101" w:name="_Toc12521"/>
      <w:bookmarkStart w:id="102" w:name="_Toc1"/>
      <w:bookmarkStart w:id="103" w:name="_Toc7823"/>
      <w:r>
        <w:rPr>
          <w:rFonts w:hint="eastAsia" w:ascii="宋体" w:hAnsi="宋体" w:cs="宋体"/>
          <w:color w:val="auto"/>
          <w:highlight w:val="none"/>
        </w:rPr>
        <w:t>第四节 投标文件的递交</w:t>
      </w:r>
      <w:bookmarkEnd w:id="101"/>
      <w:bookmarkEnd w:id="102"/>
      <w:bookmarkEnd w:id="103"/>
    </w:p>
    <w:p>
      <w:pPr>
        <w:pStyle w:val="6"/>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1.将全部投标文件（资格证明文件、报价文件、商务技术文件三部分）分别包装。</w:t>
      </w:r>
    </w:p>
    <w:p>
      <w:pPr>
        <w:ind w:firstLine="480"/>
        <w:rPr>
          <w:rFonts w:ascii="宋体" w:hAnsi="宋体" w:cs="宋体"/>
          <w:color w:val="auto"/>
          <w:highlight w:val="none"/>
        </w:rPr>
      </w:pPr>
      <w:r>
        <w:rPr>
          <w:rFonts w:hint="eastAsia" w:ascii="宋体" w:hAnsi="宋体" w:cs="宋体"/>
          <w:color w:val="auto"/>
          <w:highlight w:val="none"/>
        </w:rPr>
        <w:t>2.投标文件（资格证明文件、商务技术文件、报价文件）应按以下办法分别装袋密封：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相同部分的投标文件密封袋内装投标文件正副本。外层封皮上写明采购人名称、招标编号、招标项目名称、投标文件名称</w:t>
      </w:r>
      <w:r>
        <w:rPr>
          <w:rFonts w:hint="eastAsia" w:ascii="宋体" w:hAnsi="宋体" w:cs="宋体"/>
          <w:color w:val="auto"/>
          <w:spacing w:val="-6"/>
          <w:szCs w:val="21"/>
          <w:highlight w:val="none"/>
        </w:rPr>
        <w:t>（资格证明文件、报价文件、商务技术文件）</w:t>
      </w:r>
      <w:r>
        <w:rPr>
          <w:rFonts w:hint="eastAsia" w:ascii="宋体" w:hAnsi="宋体" w:cs="宋体"/>
          <w:color w:val="auto"/>
          <w:highlight w:val="none"/>
        </w:rPr>
        <w:t>、投标人名称、投标人地址、投标人授权代表签字及日期并注明“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3.商务技术文件密封袋内含</w:t>
      </w:r>
      <w:r>
        <w:rPr>
          <w:rFonts w:hint="eastAsia" w:ascii="宋体" w:hAnsi="宋体" w:cs="宋体"/>
          <w:b/>
          <w:bCs/>
          <w:color w:val="auto"/>
          <w:highlight w:val="none"/>
        </w:rPr>
        <w:t>电子文档</w:t>
      </w:r>
      <w:r>
        <w:rPr>
          <w:rFonts w:hint="eastAsia" w:ascii="宋体" w:hAnsi="宋体" w:cs="宋体"/>
          <w:color w:val="auto"/>
          <w:highlight w:val="none"/>
        </w:rPr>
        <w:t>一份，必须与提供已签字盖章的纸质商务技术文件正本一致的扫描件，PDF格式，</w:t>
      </w:r>
      <w:r>
        <w:rPr>
          <w:rFonts w:hint="eastAsia" w:ascii="宋体" w:hAnsi="宋体" w:cs="宋体"/>
          <w:b/>
          <w:bCs/>
          <w:color w:val="auto"/>
          <w:highlight w:val="none"/>
        </w:rPr>
        <w:t>U盘</w:t>
      </w:r>
      <w:r>
        <w:rPr>
          <w:rFonts w:hint="eastAsia" w:ascii="宋体" w:hAnsi="宋体" w:cs="宋体"/>
          <w:color w:val="auto"/>
          <w:highlight w:val="none"/>
        </w:rPr>
        <w:t>存储。</w:t>
      </w:r>
    </w:p>
    <w:p>
      <w:pPr>
        <w:ind w:firstLine="480"/>
        <w:rPr>
          <w:rFonts w:ascii="宋体" w:hAnsi="宋体" w:cs="宋体"/>
          <w:color w:val="auto"/>
          <w:highlight w:val="none"/>
        </w:rPr>
      </w:pPr>
      <w:r>
        <w:rPr>
          <w:rFonts w:hint="eastAsia" w:ascii="宋体" w:hAnsi="宋体" w:cs="宋体"/>
          <w:color w:val="auto"/>
          <w:highlight w:val="none"/>
        </w:rPr>
        <w:t>4.如果投标人未按上述要求密封及加写标记，招标方对投标文件的误投和提前启封概不负责。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rPr>
        <w:t>6.招标方对投标文件在邮寄过程中的遗失或损坏不负责任。</w:t>
      </w:r>
    </w:p>
    <w:p>
      <w:pPr>
        <w:pStyle w:val="6"/>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1.投标以后，如果投标人在投标截止时间前提出补充、修改或撤回要求，必须提供有法人代表或全权代表签署的要求撤回投标的正式文件，本招标代理公司将予以接受。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2.投标人修改投标文件的书面村料，须密封送达招标方，同时应在封套上标明“修改投标文件（并注明招标编号）”和“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3.开标后投标人不得撤回投标，投标文件不予退还。</w:t>
      </w:r>
    </w:p>
    <w:p>
      <w:pPr>
        <w:pStyle w:val="5"/>
        <w:jc w:val="center"/>
        <w:rPr>
          <w:rFonts w:ascii="宋体" w:hAnsi="宋体" w:cs="宋体"/>
          <w:color w:val="auto"/>
          <w:highlight w:val="none"/>
        </w:rPr>
      </w:pPr>
      <w:bookmarkStart w:id="104" w:name="_Toc20835"/>
      <w:bookmarkStart w:id="105" w:name="_Toc27893"/>
      <w:bookmarkStart w:id="106" w:name="_Toc4563"/>
      <w:r>
        <w:rPr>
          <w:rFonts w:hint="eastAsia" w:ascii="宋体" w:hAnsi="宋体" w:cs="宋体"/>
          <w:color w:val="auto"/>
          <w:highlight w:val="none"/>
        </w:rPr>
        <w:t>第五节 开标</w:t>
      </w:r>
      <w:bookmarkEnd w:id="104"/>
      <w:bookmarkEnd w:id="105"/>
      <w:bookmarkEnd w:id="106"/>
    </w:p>
    <w:p>
      <w:pPr>
        <w:pStyle w:val="6"/>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color w:val="auto"/>
          <w:highlight w:val="none"/>
        </w:rPr>
      </w:pPr>
      <w:r>
        <w:rPr>
          <w:rFonts w:hint="eastAsia" w:ascii="宋体" w:hAnsi="宋体" w:cs="宋体"/>
          <w:color w:val="auto"/>
          <w:highlight w:val="none"/>
        </w:rPr>
        <w:t>（4请投标人或者其推选的代表查验投标文件密封情况。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6"/>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5"/>
        <w:jc w:val="center"/>
        <w:rPr>
          <w:rFonts w:ascii="宋体" w:hAnsi="宋体" w:cs="宋体"/>
          <w:color w:val="auto"/>
          <w:highlight w:val="none"/>
        </w:rPr>
      </w:pPr>
      <w:bookmarkStart w:id="107" w:name="_Toc13357"/>
      <w:bookmarkStart w:id="108" w:name="_Toc13687"/>
      <w:bookmarkStart w:id="109" w:name="_Toc10353"/>
      <w:r>
        <w:rPr>
          <w:rFonts w:hint="eastAsia" w:ascii="宋体" w:hAnsi="宋体" w:cs="宋体"/>
          <w:color w:val="auto"/>
          <w:highlight w:val="none"/>
        </w:rPr>
        <w:t>第六节 评标</w:t>
      </w:r>
      <w:bookmarkEnd w:id="107"/>
      <w:bookmarkEnd w:id="108"/>
      <w:bookmarkEnd w:id="109"/>
    </w:p>
    <w:p>
      <w:pPr>
        <w:pStyle w:val="6"/>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本项目采用不公开方式评标，评标的依据为招标文件和投标文件。不考虑投标人在开标后提交的任何的补充声明、修正方案。</w:t>
      </w:r>
    </w:p>
    <w:p>
      <w:pPr>
        <w:pStyle w:val="6"/>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6"/>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6"/>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6"/>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w:t>
      </w:r>
      <w:r>
        <w:rPr>
          <w:rFonts w:hint="eastAsia" w:ascii="宋体" w:hAnsi="宋体" w:cs="宋体"/>
          <w:bCs/>
          <w:color w:val="auto"/>
          <w:kern w:val="0"/>
          <w:szCs w:val="21"/>
          <w:highlight w:val="none"/>
        </w:rPr>
        <w:t>★</w:t>
      </w:r>
      <w:r>
        <w:rPr>
          <w:rFonts w:hint="eastAsia" w:ascii="宋体" w:hAnsi="宋体" w:cs="宋体"/>
          <w:color w:val="auto"/>
          <w:highlight w:val="none"/>
        </w:rPr>
        <w:t>”的项目发生实质性偏离的；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（7）投标技术方案不明确，存在一个或一个以上备选（替代）投标人案的；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pStyle w:val="6"/>
        <w:rPr>
          <w:rFonts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color w:val="auto"/>
          <w:highlight w:val="none"/>
        </w:rPr>
      </w:pPr>
      <w:r>
        <w:rPr>
          <w:rFonts w:hint="eastAsia" w:ascii="宋体" w:hAnsi="宋体" w:cs="宋体"/>
          <w:color w:val="auto"/>
          <w:highlight w:val="none"/>
        </w:rPr>
        <w:t>使用综合评分法的采购项目，提供相同品牌型号产品且通过资格审查、符合性审查的不同投标人参加同一合同项下投标的，按一家投标人计算，评审后得分最高的同品牌型号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6"/>
        <w:rPr>
          <w:rFonts w:ascii="宋体" w:hAnsi="宋体" w:cs="宋体"/>
          <w:color w:val="auto"/>
          <w:highlight w:val="none"/>
        </w:rPr>
      </w:pPr>
      <w:r>
        <w:rPr>
          <w:rFonts w:hint="eastAsia" w:ascii="宋体" w:hAnsi="宋体" w:cs="宋体"/>
          <w:color w:val="auto"/>
          <w:highlight w:val="none"/>
        </w:rPr>
        <w:t>八、投标的澄清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2.投标人应对需要澄清的问题作书面回答，该书面回答应有投标人全权代表（或法定代表人）的签字（或盖章），书面澄清将作为投标内容的一部分。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3.投标人对投标文件的澄清不得超出投标文件的范围或改变投标价格等投标文件的实质性内容。否则，不予接受。</w:t>
      </w:r>
    </w:p>
    <w:p>
      <w:pPr>
        <w:pStyle w:val="6"/>
        <w:rPr>
          <w:rFonts w:ascii="宋体" w:hAnsi="宋体" w:cs="宋体"/>
          <w:color w:val="auto"/>
          <w:highlight w:val="none"/>
        </w:rPr>
      </w:pPr>
      <w:r>
        <w:rPr>
          <w:rFonts w:hint="eastAsia" w:ascii="宋体" w:hAnsi="宋体" w:cs="宋体"/>
          <w:color w:val="auto"/>
          <w:highlight w:val="none"/>
        </w:rPr>
        <w:t>九、评标办法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5"/>
        <w:jc w:val="center"/>
        <w:rPr>
          <w:rFonts w:ascii="宋体" w:hAnsi="宋体" w:cs="宋体"/>
          <w:color w:val="auto"/>
          <w:highlight w:val="none"/>
        </w:rPr>
      </w:pPr>
      <w:bookmarkStart w:id="110" w:name="_Toc31535"/>
      <w:bookmarkStart w:id="111" w:name="_Toc24239"/>
      <w:bookmarkStart w:id="112" w:name="_Toc24580"/>
      <w:r>
        <w:rPr>
          <w:rFonts w:hint="eastAsia" w:ascii="宋体" w:hAnsi="宋体" w:cs="宋体"/>
          <w:color w:val="auto"/>
          <w:highlight w:val="none"/>
        </w:rPr>
        <w:t>第七节 授予合同</w:t>
      </w:r>
      <w:bookmarkEnd w:id="110"/>
      <w:bookmarkEnd w:id="111"/>
      <w:bookmarkEnd w:id="112"/>
    </w:p>
    <w:p>
      <w:pPr>
        <w:pStyle w:val="6"/>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2.采购代理机构自中标供应商确定之日起2个工作日内，发出中标通知书，并在浙江中医药大学采购网等相关网站或媒体上公告中标结果。中标公告期限为1个工作日。</w:t>
      </w:r>
    </w:p>
    <w:p>
      <w:pPr>
        <w:pStyle w:val="6"/>
        <w:rPr>
          <w:rFonts w:ascii="宋体" w:hAnsi="宋体" w:cs="宋体"/>
          <w:color w:val="auto"/>
          <w:highlight w:val="none"/>
        </w:rPr>
      </w:pPr>
      <w:r>
        <w:rPr>
          <w:rFonts w:hint="eastAsia" w:ascii="宋体" w:hAnsi="宋体" w:cs="宋体"/>
          <w:color w:val="auto"/>
          <w:highlight w:val="none"/>
        </w:rPr>
        <w:t>二、签订合同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pStyle w:val="2"/>
        <w:rPr>
          <w:rFonts w:ascii="宋体" w:hAnsi="宋体" w:cs="宋体"/>
          <w:color w:val="auto"/>
          <w:highlight w:val="none"/>
        </w:rPr>
      </w:pPr>
    </w:p>
    <w:p>
      <w:pPr>
        <w:pStyle w:val="5"/>
        <w:jc w:val="center"/>
        <w:rPr>
          <w:rFonts w:ascii="宋体" w:hAnsi="宋体" w:cs="宋体"/>
          <w:color w:val="auto"/>
          <w:highlight w:val="none"/>
        </w:rPr>
      </w:pPr>
      <w:bookmarkStart w:id="113" w:name="_Toc12481"/>
      <w:bookmarkStart w:id="114" w:name="_Toc15220"/>
      <w:bookmarkStart w:id="115" w:name="_Toc8433"/>
      <w:r>
        <w:rPr>
          <w:rFonts w:hint="eastAsia" w:ascii="宋体" w:hAnsi="宋体" w:cs="宋体"/>
          <w:color w:val="auto"/>
          <w:highlight w:val="none"/>
        </w:rPr>
        <w:t>第八节 例外处理</w:t>
      </w:r>
      <w:bookmarkEnd w:id="113"/>
      <w:bookmarkEnd w:id="114"/>
      <w:bookmarkEnd w:id="115"/>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3"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4"/>
        <w:rPr>
          <w:color w:val="auto"/>
          <w:highlight w:val="none"/>
        </w:rPr>
      </w:pPr>
      <w:bookmarkStart w:id="116" w:name="_Toc450840079"/>
      <w:bookmarkStart w:id="117" w:name="_Toc82338233"/>
      <w:bookmarkStart w:id="118" w:name="_Toc82873316"/>
      <w:bookmarkStart w:id="119" w:name="_Toc22886"/>
      <w:r>
        <w:rPr>
          <w:rFonts w:hint="eastAsia" w:cs="宋体"/>
          <w:color w:val="auto"/>
          <w:highlight w:val="none"/>
        </w:rPr>
        <w:t xml:space="preserve">第四章 </w:t>
      </w:r>
      <w:bookmarkEnd w:id="116"/>
      <w:bookmarkEnd w:id="117"/>
      <w:bookmarkEnd w:id="118"/>
      <w:r>
        <w:rPr>
          <w:rFonts w:hint="eastAsia" w:cs="宋体"/>
          <w:color w:val="auto"/>
          <w:highlight w:val="none"/>
        </w:rPr>
        <w:t>评标办法及评分标准</w:t>
      </w:r>
      <w:bookmarkEnd w:id="119"/>
    </w:p>
    <w:p>
      <w:pPr>
        <w:pStyle w:val="5"/>
        <w:rPr>
          <w:rFonts w:ascii="宋体" w:hAnsi="宋体" w:cs="宋体"/>
          <w:color w:val="auto"/>
          <w:highlight w:val="none"/>
        </w:rPr>
      </w:pPr>
      <w:bookmarkStart w:id="120" w:name="_Toc11391"/>
      <w:bookmarkStart w:id="121" w:name="_Toc3811"/>
      <w:bookmarkStart w:id="122" w:name="_Toc26565"/>
      <w:bookmarkStart w:id="123" w:name="_Toc3110"/>
      <w:bookmarkStart w:id="124" w:name="OLE_LINK3"/>
      <w:r>
        <w:rPr>
          <w:rFonts w:hint="eastAsia" w:ascii="宋体" w:hAnsi="宋体" w:cs="宋体"/>
          <w:color w:val="auto"/>
          <w:highlight w:val="none"/>
        </w:rPr>
        <w:t>一、评分总则</w:t>
      </w:r>
      <w:bookmarkEnd w:id="120"/>
      <w:bookmarkEnd w:id="121"/>
      <w:bookmarkEnd w:id="122"/>
    </w:p>
    <w:p>
      <w:pPr>
        <w:ind w:firstLine="480"/>
        <w:rPr>
          <w:rFonts w:ascii="宋体" w:hAnsi="宋体" w:cs="宋体"/>
          <w:color w:val="auto"/>
          <w:highlight w:val="none"/>
        </w:rPr>
      </w:pPr>
      <w:r>
        <w:rPr>
          <w:rFonts w:hint="eastAsia" w:ascii="宋体" w:hAnsi="宋体" w:cs="宋体"/>
          <w:color w:val="auto"/>
          <w:highlight w:val="none"/>
        </w:rPr>
        <w:t>以招标文件要求为基础，考虑各项相关因素的影响，将相关因素以定量计算的办法转换成分数表示形式，以最高“评标分数”确定评标结果顺序。</w:t>
      </w:r>
    </w:p>
    <w:p>
      <w:pPr>
        <w:ind w:firstLine="480"/>
        <w:rPr>
          <w:rFonts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ascii="宋体" w:hAnsi="宋体" w:cs="宋体"/>
          <w:color w:val="auto"/>
          <w:highlight w:val="none"/>
        </w:rPr>
      </w:pPr>
      <w:r>
        <w:rPr>
          <w:rFonts w:hint="eastAsia" w:ascii="宋体" w:hAnsi="宋体" w:cs="宋体"/>
          <w:color w:val="auto"/>
          <w:highlight w:val="none"/>
        </w:rPr>
        <w:t>投标人评标综合得分=商务资信分+技术分+价格分</w:t>
      </w:r>
    </w:p>
    <w:p>
      <w:pPr>
        <w:ind w:firstLine="480"/>
        <w:rPr>
          <w:rFonts w:ascii="宋体" w:hAnsi="宋体" w:cs="宋体"/>
          <w:color w:val="auto"/>
          <w:highlight w:val="none"/>
        </w:rPr>
      </w:pPr>
      <w:r>
        <w:rPr>
          <w:rFonts w:hint="eastAsia" w:ascii="宋体" w:hAnsi="宋体" w:cs="宋体"/>
          <w:color w:val="auto"/>
          <w:highlight w:val="none"/>
        </w:rPr>
        <w:t>商务技术分按照评标委员会成员的独立评分结果的算术平均分计算，计算公式为：商务技术分=（评标委员会所有成员评分合计数）/（评标委员会组成人员数）</w:t>
      </w:r>
    </w:p>
    <w:p>
      <w:pPr>
        <w:pStyle w:val="5"/>
        <w:rPr>
          <w:rFonts w:ascii="宋体" w:hAnsi="宋体" w:cs="宋体"/>
          <w:color w:val="auto"/>
          <w:highlight w:val="none"/>
        </w:rPr>
      </w:pPr>
      <w:bookmarkStart w:id="125" w:name="_Toc7789"/>
      <w:bookmarkStart w:id="126" w:name="_Toc22816"/>
      <w:r>
        <w:rPr>
          <w:rFonts w:hint="eastAsia" w:ascii="宋体" w:hAnsi="宋体" w:cs="宋体"/>
          <w:color w:val="auto"/>
          <w:highlight w:val="none"/>
        </w:rPr>
        <w:t>二、评分内容及标准</w:t>
      </w:r>
      <w:bookmarkEnd w:id="123"/>
      <w:bookmarkEnd w:id="125"/>
      <w:r>
        <w:rPr>
          <w:rFonts w:hint="eastAsia" w:ascii="宋体" w:hAnsi="宋体" w:cs="宋体"/>
          <w:color w:val="auto"/>
          <w:highlight w:val="none"/>
        </w:rPr>
        <w:t>(技术分)</w:t>
      </w:r>
      <w:bookmarkEnd w:id="126"/>
    </w:p>
    <w:bookmarkEnd w:id="124"/>
    <w:p>
      <w:pPr>
        <w:ind w:firstLine="480"/>
        <w:rPr>
          <w:rFonts w:ascii="宋体" w:hAnsi="宋体" w:cs="宋体"/>
          <w:color w:val="auto"/>
          <w:szCs w:val="32"/>
          <w:highlight w:val="none"/>
        </w:rPr>
      </w:pPr>
      <w:bookmarkStart w:id="127" w:name="_Toc82338234"/>
      <w:bookmarkStart w:id="128" w:name="_Toc82873317"/>
      <w:r>
        <w:rPr>
          <w:rFonts w:hint="eastAsia" w:ascii="宋体" w:hAnsi="宋体" w:cs="宋体"/>
          <w:color w:val="auto"/>
          <w:szCs w:val="32"/>
          <w:highlight w:val="none"/>
        </w:rPr>
        <w:t>本评标标准是对 “投标人须知”中”“</w:t>
      </w:r>
      <w:r>
        <w:rPr>
          <w:rFonts w:hint="eastAsia" w:ascii="宋体" w:hAnsi="宋体" w:cs="宋体"/>
          <w:b/>
          <w:color w:val="auto"/>
          <w:szCs w:val="32"/>
          <w:highlight w:val="none"/>
        </w:rPr>
        <w:t>第五节开标</w:t>
      </w:r>
      <w:r>
        <w:rPr>
          <w:rFonts w:hint="eastAsia" w:ascii="宋体" w:hAnsi="宋体" w:cs="宋体"/>
          <w:color w:val="auto"/>
          <w:szCs w:val="32"/>
          <w:highlight w:val="none"/>
        </w:rPr>
        <w:t>”、“</w:t>
      </w:r>
      <w:r>
        <w:rPr>
          <w:rFonts w:hint="eastAsia" w:ascii="宋体" w:hAnsi="宋体" w:cs="宋体"/>
          <w:b/>
          <w:color w:val="auto"/>
          <w:szCs w:val="32"/>
          <w:highlight w:val="none"/>
        </w:rPr>
        <w:t>第六节评标</w:t>
      </w:r>
      <w:r>
        <w:rPr>
          <w:rFonts w:hint="eastAsia" w:ascii="宋体" w:hAnsi="宋体" w:cs="宋体"/>
          <w:color w:val="auto"/>
          <w:szCs w:val="32"/>
          <w:highlight w:val="none"/>
        </w:rPr>
        <w:t>”以及其他相关条款的具体补充，如有矛盾，以本评标标准为：</w:t>
      </w:r>
    </w:p>
    <w:tbl>
      <w:tblPr>
        <w:tblStyle w:val="39"/>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688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bookmarkStart w:id="129" w:name="_Toc450840083"/>
            <w:r>
              <w:rPr>
                <w:rFonts w:hint="eastAsia" w:ascii="宋体" w:hAnsi="宋体" w:cs="宋体"/>
                <w:color w:val="auto"/>
                <w:highlight w:val="none"/>
              </w:rPr>
              <w:t>内容</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评分标准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价格分</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（30分）</w:t>
            </w:r>
          </w:p>
        </w:tc>
        <w:tc>
          <w:tcPr>
            <w:tcW w:w="6888" w:type="dxa"/>
            <w:tcBorders>
              <w:top w:val="single" w:color="auto" w:sz="4" w:space="0"/>
              <w:left w:val="single" w:color="auto" w:sz="4" w:space="0"/>
              <w:bottom w:val="single" w:color="auto" w:sz="4" w:space="0"/>
              <w:right w:val="single" w:color="auto" w:sz="4" w:space="0"/>
            </w:tcBorders>
            <w:vAlign w:val="center"/>
          </w:tcPr>
          <w:p>
            <w:pPr>
              <w:pStyle w:val="15"/>
              <w:widowControl w:val="0"/>
              <w:autoSpaceDE/>
              <w:autoSpaceDN/>
              <w:snapToGrid/>
              <w:spacing w:line="240" w:lineRule="auto"/>
              <w:ind w:firstLine="0"/>
              <w:rPr>
                <w:rFonts w:hAnsi="宋体" w:cs="宋体"/>
                <w:color w:val="auto"/>
                <w:szCs w:val="24"/>
                <w:highlight w:val="none"/>
              </w:rPr>
            </w:pPr>
            <w:r>
              <w:rPr>
                <w:rFonts w:hint="eastAsia" w:hAnsi="宋体" w:cs="宋体"/>
                <w:color w:val="auto"/>
                <w:szCs w:val="24"/>
                <w:highlight w:val="none"/>
              </w:rPr>
              <w:t>价格分计算，满足招标文件要求且投标价格最低的投标报价为评标基准价，其他投标单位的价格分按照下列公式计算：</w:t>
            </w: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价格分=（评标基准价/投标报价）×30%×100</w:t>
            </w:r>
          </w:p>
          <w:p>
            <w:pPr>
              <w:pStyle w:val="169"/>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注：投标人的</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报价超过</w:t>
            </w:r>
            <w:r>
              <w:rPr>
                <w:rFonts w:hint="eastAsia" w:ascii="宋体" w:hAnsi="宋体" w:eastAsia="宋体" w:cs="宋体"/>
                <w:color w:val="auto"/>
                <w:sz w:val="24"/>
                <w:szCs w:val="24"/>
                <w:highlight w:val="none"/>
              </w:rPr>
              <w:t>预算金额或</w:t>
            </w:r>
            <w:r>
              <w:rPr>
                <w:rFonts w:hint="eastAsia" w:ascii="宋体" w:hAnsi="宋体" w:eastAsia="宋体" w:cs="宋体"/>
                <w:color w:val="auto"/>
                <w:sz w:val="24"/>
                <w:szCs w:val="24"/>
                <w:highlight w:val="none"/>
                <w:lang w:val="zh-CN"/>
              </w:rPr>
              <w:t>最高限价（不含</w:t>
            </w:r>
            <w:r>
              <w:rPr>
                <w:rFonts w:hint="eastAsia" w:ascii="宋体" w:hAnsi="宋体" w:eastAsia="宋体" w:cs="宋体"/>
                <w:color w:val="auto"/>
                <w:sz w:val="24"/>
                <w:szCs w:val="24"/>
                <w:highlight w:val="none"/>
              </w:rPr>
              <w:t>本数</w:t>
            </w:r>
            <w:r>
              <w:rPr>
                <w:rFonts w:hint="eastAsia" w:ascii="宋体" w:hAnsi="宋体" w:eastAsia="宋体" w:cs="宋体"/>
                <w:color w:val="auto"/>
                <w:sz w:val="24"/>
                <w:szCs w:val="24"/>
                <w:highlight w:val="none"/>
                <w:lang w:val="zh-CN"/>
              </w:rPr>
              <w:t>）的为无效报价。</w:t>
            </w:r>
          </w:p>
          <w:p>
            <w:pPr>
              <w:spacing w:line="240" w:lineRule="auto"/>
              <w:ind w:firstLine="0" w:firstLineChars="0"/>
              <w:rPr>
                <w:rFonts w:ascii="宋体" w:hAnsi="宋体" w:cs="宋体"/>
                <w:color w:val="auto"/>
                <w:highlight w:val="none"/>
              </w:rPr>
            </w:pPr>
            <w:r>
              <w:rPr>
                <w:rFonts w:hint="eastAsia" w:ascii="宋体" w:hAnsi="宋体" w:cs="宋体"/>
                <w:b/>
                <w:bCs/>
                <w:color w:val="auto"/>
                <w:sz w:val="22"/>
                <w:szCs w:val="22"/>
                <w:highlight w:val="none"/>
              </w:rPr>
              <w:t>本项目根据《政府采购促进中小企业发展暂行办法》（财库【2011】181号）规定，对小型和微型企业的价格给予6%的扣除，用扣除后的价格参与评审。监狱企业视同小型、微型企业。投标报价得分=(评标基准价／投标报价*94%)×30。</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商务资信</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（10分）</w:t>
            </w: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szCs w:val="21"/>
                <w:highlight w:val="none"/>
              </w:rPr>
              <w:t>自2016年1月份以来同类业绩，每个有效业绩得1分，最高得5分；（以合同签订时间为准，需提供合同复印件并加盖公章，原件备查）</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r>
              <w:rPr>
                <w:rFonts w:hint="eastAsia" w:ascii="宋体" w:hAnsi="宋体" w:cs="宋体"/>
                <w:color w:val="auto"/>
                <w:szCs w:val="21"/>
                <w:highlight w:val="none"/>
              </w:rPr>
              <w:t>质保期满足招标文件，且每增加十二个月加1分，增加不足十二个月的不加分；本项最高得3分。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所投产品属于品目清单范围，且提供国家确定的认证机构出具的处于有效期之内的节能产品认证证书（复印件加盖公章），得1分；所投产品属于品目清单范围，且提供国家确定的认证机构出具的处于有效期之内的环境标志产品认证证书（复印件加盖公章），得1分；</w:t>
            </w:r>
          </w:p>
          <w:p>
            <w:pPr>
              <w:spacing w:line="24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否则得0分。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技术方案</w:t>
            </w:r>
          </w:p>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（60分）</w:t>
            </w: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投标产品的基本功能、技术指标与需求的吻合程度和偏差情况（除★以外）（包括所投标产品的详细配置、主要技术参数、随机软件等，是否能够满足投标文件要求。</w:t>
            </w:r>
          </w:p>
          <w:p>
            <w:pPr>
              <w:autoSpaceDE w:val="0"/>
              <w:autoSpaceDN w:val="0"/>
              <w:adjustRightInd w:val="0"/>
              <w:snapToGrid w:val="0"/>
              <w:spacing w:line="312" w:lineRule="auto"/>
              <w:ind w:firstLine="0" w:firstLineChars="0"/>
              <w:rPr>
                <w:color w:val="auto"/>
                <w:highlight w:val="none"/>
              </w:rPr>
            </w:pPr>
            <w:r>
              <w:rPr>
                <w:rFonts w:hint="eastAsia"/>
                <w:color w:val="auto"/>
                <w:highlight w:val="none"/>
              </w:rPr>
              <w:t>全部满足或明显优于招标文件要求得30分；(非标注“</w:t>
            </w:r>
            <w:r>
              <w:rPr>
                <w:rFonts w:ascii="Arial" w:hAnsi="Arial" w:cs="Arial"/>
                <w:color w:val="auto"/>
                <w:highlight w:val="none"/>
              </w:rPr>
              <w:t>▲</w:t>
            </w:r>
            <w:r>
              <w:rPr>
                <w:rFonts w:hint="eastAsia"/>
                <w:color w:val="auto"/>
                <w:highlight w:val="none"/>
              </w:rPr>
              <w:t>”技术条款低于技术要求（负偏离）的每条扣1分,标注“</w:t>
            </w:r>
            <w:r>
              <w:rPr>
                <w:rFonts w:ascii="Arial" w:hAnsi="Arial" w:cs="Arial"/>
                <w:color w:val="auto"/>
                <w:highlight w:val="none"/>
              </w:rPr>
              <w:t>▲</w:t>
            </w:r>
            <w:r>
              <w:rPr>
                <w:rFonts w:hint="eastAsia"/>
                <w:color w:val="auto"/>
                <w:highlight w:val="none"/>
              </w:rPr>
              <w:t>”的技术条款低于技术要求（负偏离）的每条扣3分，扣完为止。（采购需求偏离表技术要求中响应规格与技术资料不一致的经评标委员会讨论后可被认定为负偏离）。每个标项下允许偏离的技术条款低于技术要求（负偏离）达到１６条以上的投标无效。</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投标产品的技术支持资料数量、技术详尽程度。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投标产品的技术支持资料对响应技术指标的佐证程度。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投标产品配置的先进性、完整性和适用性。</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项目实施计划、生产排期详细完整程度，符合项目进度要求，投入人员数量和综合素质。</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售后服务方案的完整性、合理性、针对性，专业服务力量和服务保障方案的详细程度。</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s="宋体"/>
                <w:color w:val="auto"/>
                <w:highlight w:val="none"/>
              </w:rPr>
            </w:pPr>
          </w:p>
        </w:tc>
        <w:tc>
          <w:tcPr>
            <w:tcW w:w="68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12" w:lineRule="auto"/>
              <w:ind w:firstLine="0" w:firstLineChars="0"/>
              <w:rPr>
                <w:color w:val="auto"/>
                <w:highlight w:val="none"/>
              </w:rPr>
            </w:pPr>
            <w:r>
              <w:rPr>
                <w:rFonts w:hint="eastAsia"/>
                <w:color w:val="auto"/>
                <w:highlight w:val="none"/>
              </w:rPr>
              <w:t>技术服务、培训计划内容合理性、详细程度，培训范围，实施计划的针对性。</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highlight w:val="none"/>
              </w:rPr>
            </w:pPr>
            <w:r>
              <w:rPr>
                <w:rFonts w:hint="eastAsia" w:ascii="宋体" w:hAnsi="宋体" w:cs="宋体"/>
                <w:color w:val="auto"/>
                <w:highlight w:val="none"/>
              </w:rPr>
              <w:t>5分</w:t>
            </w:r>
          </w:p>
        </w:tc>
      </w:tr>
    </w:tbl>
    <w:p>
      <w:pPr>
        <w:ind w:firstLine="0" w:firstLineChars="0"/>
        <w:rPr>
          <w:rFonts w:ascii="宋体" w:hAnsi="宋体"/>
          <w:color w:val="auto"/>
          <w:highlight w:val="none"/>
        </w:rPr>
      </w:pPr>
    </w:p>
    <w:p>
      <w:pPr>
        <w:ind w:firstLine="0" w:firstLineChars="0"/>
        <w:rPr>
          <w:color w:val="auto"/>
          <w:highlight w:val="none"/>
        </w:rPr>
      </w:pPr>
    </w:p>
    <w:p>
      <w:pPr>
        <w:pStyle w:val="2"/>
        <w:rPr>
          <w:rFonts w:ascii="宋体" w:hAnsi="宋体" w:eastAsia="宋体" w:cs="宋体"/>
          <w:color w:val="auto"/>
          <w:highlight w:val="none"/>
        </w:rPr>
        <w:sectPr>
          <w:footerReference r:id="rId14" w:type="default"/>
          <w:pgSz w:w="11907" w:h="16840"/>
          <w:pgMar w:top="1247" w:right="1304" w:bottom="1021" w:left="1304" w:header="720" w:footer="720" w:gutter="0"/>
          <w:cols w:space="720" w:num="1"/>
          <w:docGrid w:linePitch="286" w:charSpace="0"/>
        </w:sectPr>
      </w:pPr>
    </w:p>
    <w:bookmarkEnd w:id="127"/>
    <w:bookmarkEnd w:id="128"/>
    <w:bookmarkEnd w:id="129"/>
    <w:p>
      <w:pPr>
        <w:pStyle w:val="4"/>
        <w:ind w:firstLine="643"/>
        <w:rPr>
          <w:color w:val="auto"/>
          <w:szCs w:val="24"/>
          <w:highlight w:val="none"/>
        </w:rPr>
      </w:pPr>
      <w:bookmarkStart w:id="130" w:name="_Toc9368"/>
      <w:r>
        <w:rPr>
          <w:rFonts w:hint="eastAsia" w:cs="宋体"/>
          <w:color w:val="auto"/>
          <w:szCs w:val="32"/>
          <w:highlight w:val="none"/>
        </w:rPr>
        <w:t>第五章 合同格式</w:t>
      </w:r>
      <w:bookmarkEnd w:id="130"/>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line="288" w:lineRule="auto"/>
        <w:ind w:firstLine="538"/>
        <w:jc w:val="center"/>
        <w:rPr>
          <w:rFonts w:ascii="Times New Roman" w:hAnsi="Times New Roman"/>
          <w:b/>
          <w:bCs/>
          <w:color w:val="auto"/>
          <w:spacing w:val="-6"/>
          <w:sz w:val="28"/>
          <w:szCs w:val="28"/>
          <w:highlight w:val="none"/>
        </w:rPr>
      </w:pPr>
      <w:bookmarkStart w:id="131" w:name="_Toc450840088"/>
      <w:r>
        <w:rPr>
          <w:rFonts w:hint="eastAsia" w:ascii="Times New Roman" w:hAnsi="Times New Roman"/>
          <w:b/>
          <w:bCs/>
          <w:color w:val="auto"/>
          <w:spacing w:val="-6"/>
          <w:sz w:val="28"/>
          <w:szCs w:val="28"/>
          <w:highlight w:val="none"/>
        </w:rPr>
        <w:t>进口货物合同</w:t>
      </w:r>
    </w:p>
    <w:p>
      <w:pPr>
        <w:spacing w:line="288" w:lineRule="auto"/>
        <w:ind w:firstLine="416"/>
        <w:rPr>
          <w:rFonts w:hint="eastAsia" w:ascii="Times New Roman" w:hAnsi="Times New Roman"/>
          <w:color w:val="auto"/>
          <w:spacing w:val="-6"/>
          <w:sz w:val="22"/>
          <w:szCs w:val="22"/>
          <w:highlight w:val="none"/>
        </w:rPr>
      </w:pPr>
    </w:p>
    <w:p>
      <w:pPr>
        <w:spacing w:line="288" w:lineRule="auto"/>
        <w:ind w:firstLine="416"/>
        <w:rPr>
          <w:rFonts w:hint="eastAsia" w:ascii="Times New Roman" w:hAnsi="Times New Roman"/>
          <w:color w:val="auto"/>
          <w:spacing w:val="-6"/>
          <w:sz w:val="22"/>
          <w:szCs w:val="22"/>
          <w:highlight w:val="none"/>
        </w:rPr>
      </w:pPr>
      <w:r>
        <w:rPr>
          <w:rFonts w:hint="eastAsia" w:ascii="Times New Roman" w:hAnsi="Times New Roman"/>
          <w:color w:val="auto"/>
          <w:spacing w:val="-6"/>
          <w:sz w:val="22"/>
          <w:szCs w:val="22"/>
          <w:highlight w:val="none"/>
        </w:rPr>
        <w:t>确认书号：[2019]48761号、[2019]49787号</w:t>
      </w:r>
    </w:p>
    <w:p>
      <w:pPr>
        <w:spacing w:line="288" w:lineRule="auto"/>
        <w:ind w:firstLine="416"/>
        <w:rPr>
          <w:rFonts w:hint="eastAsia" w:ascii="Times New Roman" w:hAnsi="Times New Roman"/>
          <w:color w:val="auto"/>
          <w:spacing w:val="-6"/>
          <w:sz w:val="22"/>
          <w:szCs w:val="22"/>
          <w:highlight w:val="none"/>
        </w:rPr>
      </w:pPr>
      <w:r>
        <w:rPr>
          <w:rFonts w:hint="eastAsia" w:ascii="Times New Roman" w:hAnsi="Times New Roman"/>
          <w:color w:val="auto"/>
          <w:spacing w:val="-6"/>
          <w:sz w:val="22"/>
          <w:szCs w:val="22"/>
          <w:highlight w:val="none"/>
        </w:rPr>
        <w:t>招标编号：ZJWSBJ-ZYY-201934G</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甲方（需方）：浙江中医药大学</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 xml:space="preserve">乙方（供方）： </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丙方（进口代理机构）：</w:t>
      </w:r>
      <w:r>
        <w:rPr>
          <w:rFonts w:ascii="Times New Roman" w:hAnsi="Times New Roman"/>
          <w:color w:val="auto"/>
          <w:sz w:val="22"/>
          <w:szCs w:val="22"/>
          <w:highlight w:val="none"/>
        </w:rPr>
        <w:t>浙江省科学器材进出口有限责任公司</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采购代理机构（鉴证方）：</w:t>
      </w:r>
      <w:r>
        <w:rPr>
          <w:rFonts w:hint="eastAsia" w:ascii="Times New Roman" w:hAnsi="Times New Roman"/>
          <w:color w:val="auto"/>
          <w:spacing w:val="-6"/>
          <w:sz w:val="22"/>
          <w:szCs w:val="22"/>
          <w:highlight w:val="none"/>
        </w:rPr>
        <w:t>浙江五石工程咨询有限公司</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经政府采购代理机构（鉴证方）对</w:t>
      </w:r>
      <w:r>
        <w:rPr>
          <w:rFonts w:hint="eastAsia" w:ascii="Times New Roman" w:hAnsi="Times New Roman"/>
          <w:color w:val="auto"/>
          <w:spacing w:val="-6"/>
          <w:sz w:val="22"/>
          <w:szCs w:val="22"/>
          <w:highlight w:val="none"/>
          <w:u w:val="single"/>
        </w:rPr>
        <w:t xml:space="preserve">      </w:t>
      </w:r>
      <w:r>
        <w:rPr>
          <w:rFonts w:hint="eastAsia" w:ascii="Times New Roman" w:hAnsi="Times New Roman"/>
          <w:color w:val="auto"/>
          <w:spacing w:val="-6"/>
          <w:sz w:val="22"/>
          <w:szCs w:val="22"/>
          <w:highlight w:val="none"/>
        </w:rPr>
        <w:t>项目</w:t>
      </w:r>
      <w:r>
        <w:rPr>
          <w:rFonts w:ascii="Times New Roman" w:hAnsi="Times New Roman"/>
          <w:color w:val="auto"/>
          <w:spacing w:val="-6"/>
          <w:sz w:val="22"/>
          <w:szCs w:val="22"/>
          <w:highlight w:val="none"/>
        </w:rPr>
        <w:t>经过</w:t>
      </w:r>
      <w:r>
        <w:rPr>
          <w:rFonts w:hint="eastAsia" w:ascii="Times New Roman" w:hAnsi="Times New Roman"/>
          <w:color w:val="auto"/>
          <w:spacing w:val="-6"/>
          <w:sz w:val="22"/>
          <w:szCs w:val="22"/>
          <w:highlight w:val="none"/>
        </w:rPr>
        <w:t>公开招标</w:t>
      </w:r>
      <w:r>
        <w:rPr>
          <w:rFonts w:ascii="Times New Roman" w:hAnsi="Times New Roman"/>
          <w:color w:val="auto"/>
          <w:spacing w:val="-6"/>
          <w:sz w:val="22"/>
          <w:szCs w:val="22"/>
          <w:highlight w:val="none"/>
        </w:rPr>
        <w:t>方式</w:t>
      </w:r>
      <w:r>
        <w:rPr>
          <w:rFonts w:ascii="Times New Roman" w:hAnsi="Times New Roman"/>
          <w:color w:val="auto"/>
          <w:spacing w:val="-6"/>
          <w:sz w:val="22"/>
          <w:szCs w:val="22"/>
          <w:highlight w:val="none"/>
        </w:rPr>
        <w:t>采购，确定</w:t>
      </w:r>
      <w:r>
        <w:rPr>
          <w:rFonts w:hint="eastAsia" w:ascii="Times New Roman" w:hAnsi="Times New Roman"/>
          <w:color w:val="auto"/>
          <w:spacing w:val="-6"/>
          <w:sz w:val="22"/>
          <w:szCs w:val="22"/>
          <w:highlight w:val="none"/>
          <w:u w:val="single"/>
        </w:rPr>
        <w:t xml:space="preserve">     </w:t>
      </w:r>
      <w:r>
        <w:rPr>
          <w:rFonts w:ascii="Times New Roman" w:hAnsi="Times New Roman"/>
          <w:color w:val="auto"/>
          <w:spacing w:val="-6"/>
          <w:sz w:val="22"/>
          <w:szCs w:val="22"/>
          <w:highlight w:val="none"/>
        </w:rPr>
        <w:t>为</w:t>
      </w:r>
      <w:r>
        <w:rPr>
          <w:rFonts w:hint="eastAsia" w:ascii="Times New Roman" w:hAnsi="Times New Roman"/>
          <w:color w:val="auto"/>
          <w:spacing w:val="-6"/>
          <w:sz w:val="22"/>
          <w:szCs w:val="22"/>
          <w:highlight w:val="none"/>
        </w:rPr>
        <w:t>中标</w:t>
      </w:r>
      <w:r>
        <w:rPr>
          <w:rFonts w:ascii="Times New Roman" w:hAnsi="Times New Roman"/>
          <w:color w:val="auto"/>
          <w:spacing w:val="-6"/>
          <w:sz w:val="22"/>
          <w:szCs w:val="22"/>
          <w:highlight w:val="none"/>
        </w:rPr>
        <w:t>供应商</w:t>
      </w:r>
      <w:r>
        <w:rPr>
          <w:rFonts w:hint="eastAsia" w:ascii="Times New Roman" w:hAnsi="Times New Roman"/>
          <w:color w:val="auto"/>
          <w:spacing w:val="-6"/>
          <w:sz w:val="22"/>
          <w:szCs w:val="22"/>
          <w:highlight w:val="none"/>
        </w:rPr>
        <w:t>，</w:t>
      </w:r>
      <w:r>
        <w:rPr>
          <w:rFonts w:ascii="Times New Roman" w:hAnsi="Times New Roman"/>
          <w:color w:val="auto"/>
          <w:spacing w:val="-6"/>
          <w:sz w:val="22"/>
          <w:szCs w:val="22"/>
          <w:highlight w:val="none"/>
        </w:rPr>
        <w:t>由丙方代理进口本合同乙方提供的进口商品</w:t>
      </w:r>
      <w:r>
        <w:rPr>
          <w:rFonts w:hint="eastAsia" w:ascii="Times New Roman" w:hAnsi="Times New Roman"/>
          <w:color w:val="auto"/>
          <w:spacing w:val="-6"/>
          <w:sz w:val="22"/>
          <w:szCs w:val="22"/>
          <w:highlight w:val="none"/>
        </w:rPr>
        <w:t>。</w:t>
      </w:r>
      <w:r>
        <w:rPr>
          <w:rFonts w:ascii="Times New Roman" w:hAnsi="Times New Roman"/>
          <w:color w:val="auto"/>
          <w:spacing w:val="-6"/>
          <w:sz w:val="22"/>
          <w:szCs w:val="22"/>
          <w:highlight w:val="none"/>
        </w:rPr>
        <w:t>甲方、乙方、丙方和鉴证方四方根据采购结果，签署本合同。</w:t>
      </w:r>
    </w:p>
    <w:p>
      <w:pPr>
        <w:spacing w:line="288" w:lineRule="auto"/>
        <w:ind w:firstLine="418"/>
        <w:rPr>
          <w:rFonts w:ascii="Times New Roman" w:hAnsi="Times New Roman"/>
          <w:b/>
          <w:bCs/>
          <w:color w:val="auto"/>
          <w:spacing w:val="-6"/>
          <w:sz w:val="22"/>
          <w:szCs w:val="22"/>
          <w:highlight w:val="none"/>
        </w:rPr>
      </w:pPr>
      <w:r>
        <w:rPr>
          <w:rFonts w:ascii="Times New Roman" w:hAnsi="Times New Roman"/>
          <w:b/>
          <w:bCs/>
          <w:color w:val="auto"/>
          <w:spacing w:val="-6"/>
          <w:sz w:val="22"/>
          <w:szCs w:val="22"/>
          <w:highlight w:val="none"/>
        </w:rPr>
        <w:t>第一条：采购商品清单及合同价格</w:t>
      </w:r>
    </w:p>
    <w:tbl>
      <w:tblPr>
        <w:tblStyle w:val="39"/>
        <w:tblW w:w="9432" w:type="dxa"/>
        <w:jc w:val="center"/>
        <w:tblInd w:w="0" w:type="dxa"/>
        <w:tblLayout w:type="fixed"/>
        <w:tblCellMar>
          <w:top w:w="0" w:type="dxa"/>
          <w:left w:w="10" w:type="dxa"/>
          <w:bottom w:w="0" w:type="dxa"/>
          <w:right w:w="10" w:type="dxa"/>
        </w:tblCellMar>
      </w:tblPr>
      <w:tblGrid>
        <w:gridCol w:w="605"/>
        <w:gridCol w:w="808"/>
        <w:gridCol w:w="1135"/>
        <w:gridCol w:w="992"/>
        <w:gridCol w:w="992"/>
        <w:gridCol w:w="791"/>
        <w:gridCol w:w="343"/>
        <w:gridCol w:w="1276"/>
        <w:gridCol w:w="1418"/>
        <w:gridCol w:w="1072"/>
      </w:tblGrid>
      <w:tr>
        <w:tblPrEx>
          <w:tblLayout w:type="fixed"/>
          <w:tblCellMar>
            <w:top w:w="0" w:type="dxa"/>
            <w:left w:w="10" w:type="dxa"/>
            <w:bottom w:w="0" w:type="dxa"/>
            <w:right w:w="10" w:type="dxa"/>
          </w:tblCellMar>
        </w:tblPrEx>
        <w:trPr>
          <w:trHeight w:val="340" w:hRule="atLeast"/>
          <w:jc w:val="center"/>
        </w:trPr>
        <w:tc>
          <w:tcPr>
            <w:tcW w:w="605"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序号</w:t>
            </w:r>
          </w:p>
        </w:tc>
        <w:tc>
          <w:tcPr>
            <w:tcW w:w="808"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进口货物名称</w:t>
            </w:r>
          </w:p>
        </w:tc>
        <w:tc>
          <w:tcPr>
            <w:tcW w:w="1135"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厂家</w:t>
            </w:r>
            <w:r>
              <w:rPr>
                <w:rFonts w:hint="eastAsia" w:ascii="Times New Roman" w:hAnsi="Times New Roman"/>
                <w:b/>
                <w:bCs/>
                <w:color w:val="auto"/>
                <w:sz w:val="22"/>
                <w:szCs w:val="22"/>
                <w:highlight w:val="none"/>
              </w:rPr>
              <w:t>（全称）</w:t>
            </w:r>
          </w:p>
        </w:tc>
        <w:tc>
          <w:tcPr>
            <w:tcW w:w="992"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品牌</w:t>
            </w:r>
          </w:p>
        </w:tc>
        <w:tc>
          <w:tcPr>
            <w:tcW w:w="992"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规格型号</w:t>
            </w:r>
          </w:p>
        </w:tc>
        <w:tc>
          <w:tcPr>
            <w:tcW w:w="791"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产地</w:t>
            </w:r>
          </w:p>
        </w:tc>
        <w:tc>
          <w:tcPr>
            <w:tcW w:w="343"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数量</w:t>
            </w:r>
          </w:p>
        </w:tc>
        <w:tc>
          <w:tcPr>
            <w:tcW w:w="1276"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中标价</w:t>
            </w:r>
          </w:p>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（USD）</w:t>
            </w:r>
          </w:p>
        </w:tc>
        <w:tc>
          <w:tcPr>
            <w:tcW w:w="1418"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含税总价</w:t>
            </w:r>
          </w:p>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（人民币元）</w:t>
            </w:r>
          </w:p>
        </w:tc>
        <w:tc>
          <w:tcPr>
            <w:tcW w:w="1072" w:type="dxa"/>
            <w:tcBorders>
              <w:top w:val="single" w:color="auto" w:sz="4" w:space="0"/>
              <w:left w:val="single" w:color="auto" w:sz="4" w:space="0"/>
              <w:right w:val="single" w:color="auto" w:sz="4" w:space="0"/>
            </w:tcBorders>
            <w:shd w:val="clear" w:color="auto" w:fill="FFFFFF"/>
            <w:vAlign w:val="center"/>
          </w:tcPr>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外贸</w:t>
            </w:r>
          </w:p>
          <w:p>
            <w:pPr>
              <w:spacing w:line="288" w:lineRule="auto"/>
              <w:ind w:firstLine="0" w:firstLineChars="0"/>
              <w:jc w:val="center"/>
              <w:rPr>
                <w:rFonts w:ascii="Times New Roman" w:hAnsi="Times New Roman"/>
                <w:b/>
                <w:bCs/>
                <w:color w:val="auto"/>
                <w:sz w:val="22"/>
                <w:szCs w:val="22"/>
                <w:highlight w:val="none"/>
              </w:rPr>
            </w:pPr>
            <w:r>
              <w:rPr>
                <w:rFonts w:ascii="Times New Roman" w:hAnsi="Times New Roman"/>
                <w:b/>
                <w:bCs/>
                <w:color w:val="auto"/>
                <w:sz w:val="22"/>
                <w:szCs w:val="22"/>
                <w:highlight w:val="none"/>
              </w:rPr>
              <w:t>合同号</w:t>
            </w:r>
          </w:p>
        </w:tc>
      </w:tr>
      <w:tr>
        <w:tblPrEx>
          <w:tblLayout w:type="fixed"/>
          <w:tblCellMar>
            <w:top w:w="0" w:type="dxa"/>
            <w:left w:w="10" w:type="dxa"/>
            <w:bottom w:w="0" w:type="dxa"/>
            <w:right w:w="10" w:type="dxa"/>
          </w:tblCellMar>
        </w:tblPrEx>
        <w:trPr>
          <w:trHeight w:val="340" w:hRule="atLeast"/>
          <w:jc w:val="center"/>
        </w:trPr>
        <w:tc>
          <w:tcPr>
            <w:tcW w:w="605"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r>
              <w:rPr>
                <w:rFonts w:ascii="Times New Roman" w:hAnsi="Times New Roman"/>
                <w:color w:val="auto"/>
                <w:sz w:val="22"/>
                <w:szCs w:val="22"/>
                <w:highlight w:val="none"/>
              </w:rPr>
              <w:t>1</w:t>
            </w:r>
          </w:p>
        </w:tc>
        <w:tc>
          <w:tcPr>
            <w:tcW w:w="808"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p>
        </w:tc>
        <w:tc>
          <w:tcPr>
            <w:tcW w:w="1135"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p>
        </w:tc>
        <w:tc>
          <w:tcPr>
            <w:tcW w:w="992"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p>
        </w:tc>
        <w:tc>
          <w:tcPr>
            <w:tcW w:w="992"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p>
        </w:tc>
        <w:tc>
          <w:tcPr>
            <w:tcW w:w="791"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p>
        </w:tc>
        <w:tc>
          <w:tcPr>
            <w:tcW w:w="343"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p>
        </w:tc>
        <w:tc>
          <w:tcPr>
            <w:tcW w:w="1276" w:type="dxa"/>
            <w:tcBorders>
              <w:top w:val="single" w:color="auto" w:sz="4" w:space="0"/>
              <w:left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p>
        </w:tc>
        <w:tc>
          <w:tcPr>
            <w:tcW w:w="1418" w:type="dxa"/>
            <w:tcBorders>
              <w:top w:val="single" w:color="auto" w:sz="4" w:space="0"/>
              <w:left w:val="single" w:color="auto" w:sz="4" w:space="0"/>
            </w:tcBorders>
            <w:shd w:val="clear" w:color="auto" w:fill="FFFFFF"/>
            <w:vAlign w:val="center"/>
          </w:tcPr>
          <w:p>
            <w:pPr>
              <w:widowControl/>
              <w:spacing w:line="288" w:lineRule="auto"/>
              <w:ind w:firstLine="0" w:firstLineChars="0"/>
              <w:jc w:val="center"/>
              <w:textAlignment w:val="center"/>
              <w:rPr>
                <w:rFonts w:ascii="Times New Roman" w:hAnsi="Times New Roman"/>
                <w:color w:val="auto"/>
                <w:sz w:val="22"/>
                <w:szCs w:val="22"/>
                <w:highlight w:val="none"/>
              </w:rPr>
            </w:pPr>
          </w:p>
        </w:tc>
        <w:tc>
          <w:tcPr>
            <w:tcW w:w="1072" w:type="dxa"/>
            <w:tcBorders>
              <w:top w:val="single" w:color="auto" w:sz="4" w:space="0"/>
              <w:left w:val="single" w:color="auto" w:sz="4" w:space="0"/>
              <w:right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p>
        </w:tc>
      </w:tr>
      <w:tr>
        <w:tblPrEx>
          <w:tblLayout w:type="fixed"/>
          <w:tblCellMar>
            <w:top w:w="0" w:type="dxa"/>
            <w:left w:w="10" w:type="dxa"/>
            <w:bottom w:w="0" w:type="dxa"/>
            <w:right w:w="10" w:type="dxa"/>
          </w:tblCellMar>
        </w:tblPrEx>
        <w:trPr>
          <w:trHeight w:val="340" w:hRule="atLeast"/>
          <w:jc w:val="center"/>
        </w:trPr>
        <w:tc>
          <w:tcPr>
            <w:tcW w:w="1413" w:type="dxa"/>
            <w:gridSpan w:val="2"/>
            <w:tcBorders>
              <w:top w:val="single" w:color="auto" w:sz="4" w:space="0"/>
              <w:left w:val="single" w:color="auto" w:sz="4" w:space="0"/>
              <w:bottom w:val="single" w:color="auto" w:sz="4" w:space="0"/>
            </w:tcBorders>
            <w:shd w:val="clear" w:color="auto" w:fill="FFFFFF"/>
            <w:vAlign w:val="center"/>
          </w:tcPr>
          <w:p>
            <w:pPr>
              <w:spacing w:line="288" w:lineRule="auto"/>
              <w:ind w:firstLine="0" w:firstLineChars="0"/>
              <w:jc w:val="center"/>
              <w:rPr>
                <w:rFonts w:ascii="Times New Roman" w:hAnsi="Times New Roman"/>
                <w:color w:val="auto"/>
                <w:sz w:val="22"/>
                <w:szCs w:val="22"/>
                <w:highlight w:val="none"/>
              </w:rPr>
            </w:pPr>
            <w:r>
              <w:rPr>
                <w:rFonts w:ascii="Times New Roman" w:hAnsi="Times New Roman"/>
                <w:color w:val="auto"/>
                <w:spacing w:val="-6"/>
                <w:sz w:val="22"/>
                <w:szCs w:val="22"/>
                <w:highlight w:val="none"/>
              </w:rPr>
              <w:t>含税合同总价</w:t>
            </w:r>
          </w:p>
        </w:tc>
        <w:tc>
          <w:tcPr>
            <w:tcW w:w="801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spacing w:line="288" w:lineRule="auto"/>
              <w:ind w:firstLine="0" w:firstLineChars="0"/>
              <w:rPr>
                <w:rFonts w:ascii="Times New Roman" w:hAnsi="Times New Roman"/>
                <w:color w:val="auto"/>
                <w:sz w:val="22"/>
                <w:szCs w:val="22"/>
                <w:highlight w:val="none"/>
              </w:rPr>
            </w:pPr>
            <w:r>
              <w:rPr>
                <w:rFonts w:hint="eastAsia" w:ascii="Times New Roman" w:hAnsi="Times New Roman"/>
                <w:color w:val="auto"/>
                <w:spacing w:val="-6"/>
                <w:sz w:val="22"/>
                <w:szCs w:val="22"/>
                <w:highlight w:val="none"/>
              </w:rPr>
              <w:t>美金：</w:t>
            </w:r>
            <w:r>
              <w:rPr>
                <w:rFonts w:hint="eastAsia" w:ascii="Times New Roman" w:hAnsi="Times New Roman"/>
                <w:color w:val="auto"/>
                <w:spacing w:val="-6"/>
                <w:sz w:val="22"/>
                <w:szCs w:val="22"/>
                <w:highlight w:val="none"/>
              </w:rPr>
              <w:t>USD</w:t>
            </w:r>
            <w:r>
              <w:rPr>
                <w:rFonts w:ascii="Times New Roman" w:hAnsi="Times New Roman"/>
                <w:color w:val="auto"/>
                <w:spacing w:val="-6"/>
                <w:sz w:val="22"/>
                <w:szCs w:val="22"/>
                <w:highlight w:val="none"/>
              </w:rPr>
              <w:t xml:space="preserve"> </w:t>
            </w:r>
            <w:r>
              <w:rPr>
                <w:rFonts w:ascii="Times New Roman" w:hAnsi="Times New Roman"/>
                <w:color w:val="auto"/>
                <w:spacing w:val="-6"/>
                <w:sz w:val="22"/>
                <w:szCs w:val="22"/>
                <w:highlight w:val="none"/>
                <w:u w:val="single"/>
              </w:rPr>
              <w:t xml:space="preserve">        </w:t>
            </w:r>
            <w:r>
              <w:rPr>
                <w:rFonts w:ascii="Times New Roman" w:hAnsi="Times New Roman"/>
                <w:color w:val="auto"/>
                <w:spacing w:val="-6"/>
                <w:sz w:val="22"/>
                <w:szCs w:val="22"/>
                <w:highlight w:val="none"/>
              </w:rPr>
              <w:t xml:space="preserve"> </w:t>
            </w:r>
            <w:r>
              <w:rPr>
                <w:rFonts w:ascii="Times New Roman" w:hAnsi="Times New Roman"/>
                <w:color w:val="auto"/>
                <w:spacing w:val="-6"/>
                <w:sz w:val="22"/>
                <w:szCs w:val="22"/>
                <w:highlight w:val="none"/>
              </w:rPr>
              <w:t xml:space="preserve"> RMB：</w:t>
            </w:r>
            <w:r>
              <w:rPr>
                <w:rFonts w:hint="eastAsia" w:ascii="Times New Roman" w:hAnsi="Times New Roman"/>
                <w:color w:val="auto"/>
                <w:spacing w:val="-6"/>
                <w:sz w:val="22"/>
                <w:szCs w:val="22"/>
                <w:highlight w:val="none"/>
                <w:u w:val="single"/>
              </w:rPr>
              <w:t xml:space="preserve">     </w:t>
            </w:r>
            <w:r>
              <w:rPr>
                <w:rFonts w:hint="eastAsia" w:ascii="Times New Roman" w:hAnsi="Times New Roman"/>
                <w:color w:val="auto"/>
                <w:spacing w:val="-6"/>
                <w:sz w:val="22"/>
                <w:szCs w:val="22"/>
                <w:highlight w:val="none"/>
              </w:rPr>
              <w:t>元</w:t>
            </w:r>
            <w:r>
              <w:rPr>
                <w:rFonts w:ascii="Times New Roman" w:hAnsi="Times New Roman"/>
                <w:color w:val="auto"/>
                <w:spacing w:val="-6"/>
                <w:sz w:val="22"/>
                <w:szCs w:val="22"/>
                <w:highlight w:val="none"/>
              </w:rPr>
              <w:t>，人民币大写</w:t>
            </w:r>
            <w:r>
              <w:rPr>
                <w:rFonts w:hint="eastAsia" w:ascii="Times New Roman" w:hAnsi="Times New Roman"/>
                <w:color w:val="auto"/>
                <w:spacing w:val="-6"/>
                <w:sz w:val="22"/>
                <w:szCs w:val="22"/>
                <w:highlight w:val="none"/>
                <w:u w:val="single"/>
              </w:rPr>
              <w:t xml:space="preserve">     </w:t>
            </w:r>
            <w:r>
              <w:rPr>
                <w:rFonts w:ascii="Times New Roman" w:hAnsi="Times New Roman"/>
                <w:color w:val="auto"/>
                <w:spacing w:val="-6"/>
                <w:sz w:val="22"/>
                <w:szCs w:val="22"/>
                <w:highlight w:val="none"/>
              </w:rPr>
              <w:t>元整</w:t>
            </w:r>
          </w:p>
        </w:tc>
      </w:tr>
    </w:tbl>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注：1.</w:t>
      </w:r>
      <w:r>
        <w:rPr>
          <w:rFonts w:ascii="Times New Roman" w:hAnsi="Times New Roman"/>
          <w:color w:val="auto"/>
          <w:sz w:val="22"/>
          <w:szCs w:val="22"/>
          <w:highlight w:val="none"/>
        </w:rPr>
        <w:t>合同总价系以响应文件开启当日外汇美元牌价1：</w:t>
      </w:r>
      <w:r>
        <w:rPr>
          <w:rFonts w:hint="eastAsia" w:ascii="Times New Roman" w:hAnsi="Times New Roman"/>
          <w:color w:val="auto"/>
          <w:sz w:val="22"/>
          <w:szCs w:val="22"/>
          <w:highlight w:val="none"/>
          <w:u w:val="single"/>
        </w:rPr>
        <w:t xml:space="preserve">    </w:t>
      </w:r>
      <w:r>
        <w:rPr>
          <w:rFonts w:ascii="Times New Roman" w:hAnsi="Times New Roman"/>
          <w:color w:val="auto"/>
          <w:sz w:val="22"/>
          <w:szCs w:val="22"/>
          <w:highlight w:val="none"/>
        </w:rPr>
        <w:t>计算，并已加0.15个点计算的外贸代理费，即乙方、丙方系按1：</w:t>
      </w:r>
      <w:r>
        <w:rPr>
          <w:rFonts w:hint="eastAsia" w:ascii="Times New Roman" w:hAnsi="Times New Roman"/>
          <w:color w:val="auto"/>
          <w:sz w:val="22"/>
          <w:szCs w:val="22"/>
          <w:highlight w:val="none"/>
          <w:u w:val="single"/>
        </w:rPr>
        <w:t xml:space="preserve">     </w:t>
      </w:r>
      <w:r>
        <w:rPr>
          <w:rFonts w:ascii="Times New Roman" w:hAnsi="Times New Roman"/>
          <w:color w:val="auto"/>
          <w:sz w:val="22"/>
          <w:szCs w:val="22"/>
          <w:highlight w:val="none"/>
        </w:rPr>
        <w:t>的美元人民币兑换比与甲方结算合同价款。2.配置清单和服务承诺详见附件。</w:t>
      </w:r>
      <w:r>
        <w:rPr>
          <w:rFonts w:ascii="Times New Roman" w:hAnsi="Times New Roman"/>
          <w:color w:val="auto"/>
          <w:spacing w:val="-6"/>
          <w:sz w:val="22"/>
          <w:szCs w:val="22"/>
          <w:highlight w:val="none"/>
        </w:rPr>
        <w:t>3.</w:t>
      </w:r>
      <w:r>
        <w:rPr>
          <w:rFonts w:ascii="Times New Roman" w:hAnsi="Times New Roman"/>
          <w:color w:val="auto"/>
          <w:sz w:val="22"/>
          <w:szCs w:val="22"/>
          <w:highlight w:val="none"/>
        </w:rPr>
        <w:t>合同履行过程中的汇率风险由乙方承担，丙方与乙方的款项结算由其自行办理。</w:t>
      </w:r>
    </w:p>
    <w:p>
      <w:pPr>
        <w:spacing w:line="288" w:lineRule="auto"/>
        <w:ind w:firstLine="418"/>
        <w:rPr>
          <w:rFonts w:ascii="Times New Roman" w:hAnsi="Times New Roman"/>
          <w:b/>
          <w:bCs/>
          <w:color w:val="auto"/>
          <w:spacing w:val="-6"/>
          <w:sz w:val="22"/>
          <w:szCs w:val="22"/>
          <w:highlight w:val="none"/>
        </w:rPr>
      </w:pPr>
      <w:r>
        <w:rPr>
          <w:rFonts w:ascii="Times New Roman" w:hAnsi="Times New Roman"/>
          <w:b/>
          <w:bCs/>
          <w:color w:val="auto"/>
          <w:spacing w:val="-6"/>
          <w:sz w:val="22"/>
          <w:szCs w:val="22"/>
          <w:highlight w:val="none"/>
        </w:rPr>
        <w:t>第二条：质量保证及售后服务</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1.乙方应按照磋商文件规定的性能、技术要求、质量标准向甲方提供未经使用、符合国家法律规定和技术标准的原厂最新生产的全新原装合格产品；进口商品是获得国家商检局颁布安全许可证的出厂原装进口合格产品。如发生所供商品与合同不符，甲方有权拒收或随时退货，乙方应全额退还甲方所付款项，并按合同价款金额的10%支付违约金，由此产生的其他一切责任和后果也由乙方承担。</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2.乙方提供的货物在质保期内因货物本身的质量问题发生故障，乙方应负责免费更换。对达不到技术要求者，根据实际情况，甲方有权自行选择以下办法处理：</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（1）更换：由乙方在10个工作日内负责更换，并承担所发生的全部费用。</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（2）退货处理：乙方应全额退还甲方支付的价款，同时应承担该货物的直接费用（运输、保险、检验、货款利息及银行手续费等），并支付合同价款20%的违约金。</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3.如在使用过程中发生质量问题，乙方在接到甲方通知后在</w:t>
      </w:r>
      <w:r>
        <w:rPr>
          <w:rFonts w:hint="eastAsia" w:ascii="Times New Roman" w:hAnsi="Times New Roman"/>
          <w:color w:val="auto"/>
          <w:spacing w:val="-6"/>
          <w:sz w:val="22"/>
          <w:szCs w:val="22"/>
          <w:highlight w:val="none"/>
          <w:u w:val="single"/>
        </w:rPr>
        <w:t xml:space="preserve"> </w:t>
      </w:r>
      <w:r>
        <w:rPr>
          <w:rFonts w:ascii="Times New Roman" w:hAnsi="Times New Roman"/>
          <w:color w:val="auto"/>
          <w:spacing w:val="-6"/>
          <w:sz w:val="22"/>
          <w:szCs w:val="22"/>
          <w:highlight w:val="none"/>
          <w:u w:val="single"/>
        </w:rPr>
        <w:t xml:space="preserve">  </w:t>
      </w:r>
      <w:r>
        <w:rPr>
          <w:rFonts w:ascii="Times New Roman" w:hAnsi="Times New Roman"/>
          <w:color w:val="auto"/>
          <w:spacing w:val="-6"/>
          <w:sz w:val="22"/>
          <w:szCs w:val="22"/>
          <w:highlight w:val="none"/>
        </w:rPr>
        <w:t>小时内到达甲方现场，最迟在个工作日内解决，同时采取临时替换等措施，以确保甲方的正常使用。</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4.在质保期内，乙方应对货物出现的质量及安全问题负责处理解决并承担一切费用。</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5.货物自验收合格交付使用后</w:t>
      </w:r>
      <w:r>
        <w:rPr>
          <w:rFonts w:ascii="Times New Roman" w:hAnsi="Times New Roman"/>
          <w:color w:val="auto"/>
          <w:spacing w:val="-6"/>
          <w:sz w:val="22"/>
          <w:szCs w:val="22"/>
          <w:highlight w:val="none"/>
          <w:u w:val="single"/>
        </w:rPr>
        <w:t>1</w:t>
      </w:r>
      <w:r>
        <w:rPr>
          <w:rFonts w:ascii="Times New Roman" w:hAnsi="Times New Roman"/>
          <w:color w:val="auto"/>
          <w:spacing w:val="-6"/>
          <w:sz w:val="22"/>
          <w:szCs w:val="22"/>
          <w:highlight w:val="none"/>
        </w:rPr>
        <w:t>年内确保制造商原厂或有资质售后工程师上门质保。软件终身免费升级。故障响应时间</w:t>
      </w:r>
      <w:r>
        <w:rPr>
          <w:rFonts w:ascii="Times New Roman" w:hAnsi="Times New Roman"/>
          <w:color w:val="auto"/>
          <w:spacing w:val="-6"/>
          <w:sz w:val="22"/>
          <w:szCs w:val="22"/>
          <w:highlight w:val="none"/>
          <w:u w:val="single"/>
        </w:rPr>
        <w:t>4</w:t>
      </w:r>
      <w:r>
        <w:rPr>
          <w:rFonts w:ascii="Times New Roman" w:hAnsi="Times New Roman"/>
          <w:color w:val="auto"/>
          <w:spacing w:val="-6"/>
          <w:sz w:val="22"/>
          <w:szCs w:val="22"/>
          <w:highlight w:val="none"/>
        </w:rPr>
        <w:t>小时以内，每日24小时电话技术支持；若需上门，则</w:t>
      </w:r>
      <w:r>
        <w:rPr>
          <w:rFonts w:ascii="Times New Roman" w:hAnsi="Times New Roman"/>
          <w:color w:val="auto"/>
          <w:spacing w:val="-6"/>
          <w:sz w:val="22"/>
          <w:szCs w:val="22"/>
          <w:highlight w:val="none"/>
          <w:u w:val="single"/>
        </w:rPr>
        <w:t>12</w:t>
      </w:r>
      <w:r>
        <w:rPr>
          <w:rFonts w:ascii="Times New Roman" w:hAnsi="Times New Roman"/>
          <w:color w:val="auto"/>
          <w:spacing w:val="-6"/>
          <w:sz w:val="22"/>
          <w:szCs w:val="22"/>
          <w:highlight w:val="none"/>
        </w:rPr>
        <w:t>小时内到达现场并完成故障排除；保修期后，乙方继续为甲方服务，仅收取零配件成本费。保修期内出现无法排除的故障，乙方须无条件为甲方更换同型号全新产品，并承担相应违约责任。保修或维保应确保2天内排除故障。</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第三条：技术资料</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1.乙方应按磋商文件规定的时间向甲方提供合同货物的有关技术资料和必备的附件，进口产品还需提供全套中英文对照的技术资料。</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第四条：知识产权</w:t>
      </w:r>
    </w:p>
    <w:p>
      <w:pPr>
        <w:pStyle w:val="174"/>
        <w:spacing w:line="288" w:lineRule="auto"/>
        <w:ind w:firstLine="396"/>
        <w:rPr>
          <w:rFonts w:ascii="Times New Roman" w:hAnsi="Times New Roman" w:cs="Times New Roman"/>
          <w:color w:val="auto"/>
          <w:spacing w:val="-6"/>
          <w:sz w:val="21"/>
          <w:szCs w:val="22"/>
          <w:highlight w:val="none"/>
        </w:rPr>
      </w:pPr>
      <w:r>
        <w:rPr>
          <w:rFonts w:ascii="Times New Roman" w:hAnsi="Times New Roman" w:cs="Times New Roman"/>
          <w:color w:val="auto"/>
          <w:spacing w:val="-6"/>
          <w:sz w:val="21"/>
          <w:szCs w:val="22"/>
          <w:highlight w:val="none"/>
        </w:rPr>
        <w:t>乙方应保证所提供的货物含软件或其任何一部分均不会侵犯任何第三方的知识产权，否则乙方应承担包括但不限于侵权赔偿款、诉讼费、律师费、向甲方退还已收全款并按合同总价的20%支付违约金等责任。</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第五条：交货时间、地点</w:t>
      </w:r>
    </w:p>
    <w:p>
      <w:pPr>
        <w:pStyle w:val="174"/>
        <w:spacing w:line="288" w:lineRule="auto"/>
        <w:ind w:firstLine="420"/>
        <w:rPr>
          <w:rFonts w:ascii="Times New Roman" w:hAnsi="Times New Roman" w:cs="Times New Roman"/>
          <w:color w:val="auto"/>
          <w:spacing w:val="-6"/>
          <w:sz w:val="21"/>
          <w:szCs w:val="22"/>
          <w:highlight w:val="none"/>
        </w:rPr>
      </w:pPr>
      <w:r>
        <w:rPr>
          <w:rFonts w:ascii="Times New Roman" w:hAnsi="Times New Roman" w:cs="Times New Roman"/>
          <w:color w:val="auto"/>
          <w:sz w:val="21"/>
          <w:szCs w:val="22"/>
          <w:highlight w:val="none"/>
        </w:rPr>
        <w:t>乙方应于</w:t>
      </w:r>
      <w:r>
        <w:rPr>
          <w:rFonts w:hint="eastAsia" w:ascii="Times New Roman" w:hAnsi="Times New Roman" w:cs="Times New Roman"/>
          <w:color w:val="auto"/>
          <w:sz w:val="21"/>
          <w:szCs w:val="22"/>
          <w:highlight w:val="none"/>
        </w:rPr>
        <w:t>本</w:t>
      </w:r>
      <w:r>
        <w:rPr>
          <w:rFonts w:ascii="Times New Roman" w:hAnsi="Times New Roman" w:cs="Times New Roman"/>
          <w:color w:val="auto"/>
          <w:spacing w:val="-6"/>
          <w:sz w:val="21"/>
          <w:szCs w:val="22"/>
          <w:highlight w:val="none"/>
        </w:rPr>
        <w:t>合同签订后</w:t>
      </w:r>
      <w:r>
        <w:rPr>
          <w:rFonts w:ascii="Times New Roman" w:hAnsi="Times New Roman" w:cs="Times New Roman"/>
          <w:color w:val="auto"/>
          <w:spacing w:val="-6"/>
          <w:sz w:val="21"/>
          <w:szCs w:val="22"/>
          <w:highlight w:val="none"/>
          <w:u w:val="single"/>
        </w:rPr>
        <w:t>90</w:t>
      </w:r>
      <w:r>
        <w:rPr>
          <w:rFonts w:ascii="Times New Roman" w:hAnsi="Times New Roman" w:cs="Times New Roman"/>
          <w:color w:val="auto"/>
          <w:spacing w:val="-6"/>
          <w:sz w:val="21"/>
          <w:szCs w:val="22"/>
          <w:highlight w:val="none"/>
        </w:rPr>
        <w:t>天内</w:t>
      </w:r>
      <w:r>
        <w:rPr>
          <w:rFonts w:ascii="Times New Roman" w:hAnsi="Times New Roman" w:cs="Times New Roman"/>
          <w:color w:val="auto"/>
          <w:sz w:val="21"/>
          <w:szCs w:val="22"/>
          <w:highlight w:val="none"/>
        </w:rPr>
        <w:t>将所供商品按时、安全运至甲方指定地点，并于一周内安装调试完毕后交甲方验收。</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第六条：调试与验收</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1.甲方对乙方提交的货物依据磋商文件上的技术规格要求和有关质量标准进行现场到货验收，外观、说明书符合磋商文件技术要求的，给予签收，到货验收不合格的不予签收。到货验收并非最终验收，乙方安装调试完毕后的验收方为最终验收。</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2.乙方交货前应对产品作出全面检查和对验收文件进行整理，并列出清单，作为甲方收货验收和使用的技术条件依据，检验的结果应随货物交甲方。</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3.甲方对乙方提供的货物在使用前进行调试时，乙方须事先负责安装达到合同规定的技术要求，同时负责培训甲方的使用操作人员，做好甲方现场调试的指导，直到符合技术要求，甲方才进行交付验收，在交付验收合格前，乙方负责承担相应风险。</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4.对技术复杂的货物，甲方应请国家认可的专业检测机构参与到货验收及交付验收，并由其出具质量检测报告。</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5.验收时乙方必须在现场，验收完毕后作出验收结果报告；验收费用由乙方负责。</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6.合同商品从验收合格交付使用次日起30天内，出现非甲方人为因素造成的无法排除的故障，由乙方予以整机调换或者退货退款，并承担相应的违约责任。</w:t>
      </w:r>
    </w:p>
    <w:p>
      <w:pPr>
        <w:pStyle w:val="174"/>
        <w:spacing w:line="288" w:lineRule="auto"/>
        <w:ind w:firstLine="396"/>
        <w:rPr>
          <w:rFonts w:ascii="Times New Roman" w:hAnsi="Times New Roman" w:cs="Times New Roman"/>
          <w:color w:val="auto"/>
          <w:spacing w:val="-6"/>
          <w:sz w:val="21"/>
          <w:szCs w:val="22"/>
          <w:highlight w:val="none"/>
        </w:rPr>
      </w:pPr>
      <w:r>
        <w:rPr>
          <w:rFonts w:ascii="Times New Roman" w:hAnsi="Times New Roman" w:cs="Times New Roman"/>
          <w:color w:val="auto"/>
          <w:spacing w:val="-6"/>
          <w:sz w:val="21"/>
          <w:szCs w:val="22"/>
          <w:highlight w:val="none"/>
        </w:rPr>
        <w:t>7.如发现有重大的质量问题，甲乙双方均同意提请国家法定检测机构鉴定，如检测结果证明产品无质量问题，由甲方承担检测费用；如检测结果证明产品有质量问题，由乙方承担检测费用，同时乙方同意甲方无条件退货，乙方应退还甲方全款并支付总价款20%的赔偿金。</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第七条：货款的支付</w:t>
      </w:r>
    </w:p>
    <w:p>
      <w:pPr>
        <w:spacing w:line="288" w:lineRule="auto"/>
        <w:ind w:firstLine="440"/>
        <w:rPr>
          <w:rFonts w:ascii="Times New Roman" w:hAnsi="Times New Roman"/>
          <w:color w:val="auto"/>
          <w:sz w:val="22"/>
          <w:szCs w:val="22"/>
          <w:highlight w:val="none"/>
        </w:rPr>
      </w:pPr>
      <w:r>
        <w:rPr>
          <w:rFonts w:ascii="Times New Roman" w:hAnsi="Times New Roman"/>
          <w:color w:val="auto"/>
          <w:sz w:val="22"/>
          <w:szCs w:val="22"/>
          <w:highlight w:val="none"/>
        </w:rPr>
        <w:t>1.合同总价的5%作为履约保证金，合同签订后七个工作日内由乙方</w:t>
      </w:r>
      <w:r>
        <w:rPr>
          <w:rFonts w:hint="eastAsia" w:ascii="Times New Roman" w:hAnsi="Times New Roman"/>
          <w:color w:val="auto"/>
          <w:sz w:val="22"/>
          <w:szCs w:val="22"/>
          <w:highlight w:val="none"/>
        </w:rPr>
        <w:t>支付</w:t>
      </w:r>
      <w:r>
        <w:rPr>
          <w:rFonts w:ascii="Times New Roman" w:hAnsi="Times New Roman"/>
          <w:color w:val="auto"/>
          <w:sz w:val="22"/>
          <w:szCs w:val="22"/>
          <w:highlight w:val="none"/>
        </w:rPr>
        <w:t>给甲方，货物验收合格</w:t>
      </w:r>
      <w:r>
        <w:rPr>
          <w:rFonts w:hint="eastAsia" w:ascii="Times New Roman" w:hAnsi="Times New Roman"/>
          <w:color w:val="auto"/>
          <w:sz w:val="22"/>
          <w:szCs w:val="22"/>
          <w:highlight w:val="none"/>
        </w:rPr>
        <w:t>交付甲方正常使用</w:t>
      </w:r>
      <w:r>
        <w:rPr>
          <w:rFonts w:ascii="Times New Roman" w:hAnsi="Times New Roman"/>
          <w:color w:val="auto"/>
          <w:sz w:val="22"/>
          <w:szCs w:val="22"/>
          <w:highlight w:val="none"/>
        </w:rPr>
        <w:t>12个月</w:t>
      </w:r>
      <w:r>
        <w:rPr>
          <w:rFonts w:hint="eastAsia" w:ascii="Times New Roman" w:hAnsi="Times New Roman"/>
          <w:color w:val="auto"/>
          <w:sz w:val="22"/>
          <w:szCs w:val="22"/>
          <w:highlight w:val="none"/>
        </w:rPr>
        <w:t>后，经甲方书面确认货物</w:t>
      </w:r>
      <w:r>
        <w:rPr>
          <w:rFonts w:ascii="Times New Roman" w:hAnsi="Times New Roman"/>
          <w:color w:val="auto"/>
          <w:sz w:val="22"/>
          <w:szCs w:val="22"/>
          <w:highlight w:val="none"/>
        </w:rPr>
        <w:t>无质量问题</w:t>
      </w:r>
      <w:r>
        <w:rPr>
          <w:rFonts w:hint="eastAsia" w:ascii="Times New Roman" w:hAnsi="Times New Roman"/>
          <w:color w:val="auto"/>
          <w:sz w:val="22"/>
          <w:szCs w:val="22"/>
          <w:highlight w:val="none"/>
        </w:rPr>
        <w:t>、无</w:t>
      </w:r>
      <w:r>
        <w:rPr>
          <w:rFonts w:ascii="Times New Roman" w:hAnsi="Times New Roman"/>
          <w:color w:val="auto"/>
          <w:sz w:val="22"/>
          <w:szCs w:val="22"/>
          <w:highlight w:val="none"/>
        </w:rPr>
        <w:t>售后服务问题和</w:t>
      </w:r>
      <w:r>
        <w:rPr>
          <w:rFonts w:hint="eastAsia" w:ascii="Times New Roman" w:hAnsi="Times New Roman"/>
          <w:color w:val="auto"/>
          <w:sz w:val="22"/>
          <w:szCs w:val="22"/>
          <w:highlight w:val="none"/>
        </w:rPr>
        <w:t>乙方无</w:t>
      </w:r>
      <w:r>
        <w:rPr>
          <w:rFonts w:ascii="Times New Roman" w:hAnsi="Times New Roman"/>
          <w:color w:val="auto"/>
          <w:sz w:val="22"/>
          <w:szCs w:val="22"/>
          <w:highlight w:val="none"/>
        </w:rPr>
        <w:t>违约行为</w:t>
      </w:r>
      <w:r>
        <w:rPr>
          <w:rFonts w:hint="eastAsia" w:ascii="Times New Roman" w:hAnsi="Times New Roman"/>
          <w:color w:val="auto"/>
          <w:sz w:val="22"/>
          <w:szCs w:val="22"/>
          <w:highlight w:val="none"/>
        </w:rPr>
        <w:t>后</w:t>
      </w:r>
      <w:r>
        <w:rPr>
          <w:rFonts w:ascii="Times New Roman" w:hAnsi="Times New Roman"/>
          <w:color w:val="auto"/>
          <w:sz w:val="22"/>
          <w:szCs w:val="22"/>
          <w:highlight w:val="none"/>
        </w:rPr>
        <w:t>，由甲方无息退回乙方。</w:t>
      </w:r>
    </w:p>
    <w:p>
      <w:pPr>
        <w:spacing w:line="288" w:lineRule="auto"/>
        <w:ind w:firstLine="440"/>
        <w:rPr>
          <w:rFonts w:ascii="Times New Roman" w:hAnsi="Times New Roman"/>
          <w:color w:val="auto"/>
          <w:sz w:val="22"/>
          <w:szCs w:val="22"/>
          <w:highlight w:val="none"/>
        </w:rPr>
      </w:pPr>
      <w:r>
        <w:rPr>
          <w:rFonts w:ascii="Times New Roman" w:hAnsi="Times New Roman"/>
          <w:color w:val="auto"/>
          <w:sz w:val="22"/>
          <w:szCs w:val="22"/>
          <w:highlight w:val="none"/>
        </w:rPr>
        <w:t>2.合同总价的10%作为履约保证金，合同签订后两天内由丙方提交给甲方，乙方同意甲方将100%货款支付给丙方，同时丙方及时对外支付30%货款；货物</w:t>
      </w:r>
      <w:r>
        <w:rPr>
          <w:rFonts w:hint="eastAsia" w:ascii="Times New Roman" w:hAnsi="Times New Roman"/>
          <w:color w:val="auto"/>
          <w:sz w:val="22"/>
          <w:szCs w:val="22"/>
          <w:highlight w:val="none"/>
        </w:rPr>
        <w:t>经甲方</w:t>
      </w:r>
      <w:r>
        <w:rPr>
          <w:rFonts w:ascii="Times New Roman" w:hAnsi="Times New Roman"/>
          <w:color w:val="auto"/>
          <w:sz w:val="22"/>
          <w:szCs w:val="22"/>
          <w:highlight w:val="none"/>
        </w:rPr>
        <w:t>验收合格后，丙方收到甲方支付指令后方可对外支付70%货款。甲方付款后，丙方应及时开具并向甲方交付正规发票。丙方与乙方的结算，与甲方无涉。合同履行完毕经甲方确认丙方无违约行为后无息退回丙方的履约保证金。</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第八条：其他条款约定</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1.甲方、乙方协助丙方做好有关进口审批及到货前办理好进口免税手续。</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2.乙方负责根据本次采购结果向丙方提供已确认的进口货物的品名、型号规格、配置配件、技术要求、价格、制造厂商或生产国别、售后服务等相关书面资料，以便丙方及时对外签订进口合同。</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3.丙方负责对外签订合同、协助商谈运输方式、到货地点，办理法定商检、对外承付货款、办理进口报关、到货后通知乙方安装调试并送货上门等事宜。</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4.丙方应根据进口合同积极实施对外履约，并及时向甲方和乙方书面通报进口合同的执行情况，特别是货物备妥期、装运期、预计抵达情况，以便甲方及时了解供货进度，乙方及时做好接货准备。</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5.对需办理《机电产品进口许可证》的设备，丙方应协助甲方办理网上申报等有关事宜，并及时领取进口批件。</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6.丙方应协助甲方催缴供应商的履约保证金。</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7.进口设备到货后，丙方应向甲方提供一套完整的进口单证。如进口设备发生质量、数量与进口合同不符，应协助甲方和乙方做好商检，并及时启动索赔程序，负责向有关责任人交涉及索赔，责任人赔付后，丙方应立即将款项拨付给甲方。</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8.如由于丙方工作失误，造成进口货物不能及时清关而产生的海关滞报金，超期仓储费等额外费用由丙方自行承担。</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9.丙方应协助甲方完成海关等政府主管部门履行年检、抽检及其他相关工作并提供相关检查资料。</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第九条：违约责任</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1.乙方具有不按合同要求供货、提供的货物未经甲方就本合同委托丙方办理进口审批、单方面不履行合同义务等违约行为的，乙方除退还甲方所付全部款项外，还应支付给甲方合同总货款20%的违约赔偿金。</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2.乙方逾期履行合同义务的，自逾期之日起，向甲方偿付合同总价万分之五每日的违约金。</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3.甲方逾期支付价款的，自逾期之日起，向乙方偿付逾期价款万分之五每日的违约金。</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4.如验收不能达到质量功能（性能）标准，合同标的物由乙方在验收后一周内运离安装地点，所需费用由乙方承担。如乙方在一个月内不处理（搬走）合同标的物，视为乙方放弃其所有权，甲方有权自行处置（包括作废物处理）。同时，乙方除退还甲方</w:t>
      </w:r>
      <w:r>
        <w:rPr>
          <w:rFonts w:hint="eastAsia" w:ascii="Times New Roman" w:hAnsi="Times New Roman"/>
          <w:color w:val="auto"/>
          <w:spacing w:val="-6"/>
          <w:sz w:val="22"/>
          <w:szCs w:val="22"/>
          <w:highlight w:val="none"/>
        </w:rPr>
        <w:t>已</w:t>
      </w:r>
      <w:r>
        <w:rPr>
          <w:rFonts w:ascii="Times New Roman" w:hAnsi="Times New Roman"/>
          <w:color w:val="auto"/>
          <w:spacing w:val="-6"/>
          <w:sz w:val="22"/>
          <w:szCs w:val="22"/>
          <w:highlight w:val="none"/>
        </w:rPr>
        <w:t>付全部款项外，还应支付给甲方总货款20%的违约赔偿金。</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5.乙方所交的货物品种、型号、规格、技术参数、质量不符合合同规定及磋商文件规定标准的，甲方有权拒收或随时退还该货物，乙方愿意更换货物但逾期交货的，按乙方逾期交货处理。乙方拒绝更换货物的，甲方可单方面解除合同，要求乙方退还</w:t>
      </w:r>
      <w:r>
        <w:rPr>
          <w:rFonts w:hint="eastAsia" w:ascii="Times New Roman" w:hAnsi="Times New Roman"/>
          <w:color w:val="auto"/>
          <w:spacing w:val="-6"/>
          <w:sz w:val="22"/>
          <w:szCs w:val="22"/>
          <w:highlight w:val="none"/>
        </w:rPr>
        <w:t>甲方已付</w:t>
      </w:r>
      <w:r>
        <w:rPr>
          <w:rFonts w:ascii="Times New Roman" w:hAnsi="Times New Roman"/>
          <w:color w:val="auto"/>
          <w:spacing w:val="-6"/>
          <w:sz w:val="22"/>
          <w:szCs w:val="22"/>
          <w:highlight w:val="none"/>
        </w:rPr>
        <w:t>合同价款并</w:t>
      </w:r>
      <w:r>
        <w:rPr>
          <w:rFonts w:hint="eastAsia" w:ascii="Times New Roman" w:hAnsi="Times New Roman"/>
          <w:color w:val="auto"/>
          <w:spacing w:val="-6"/>
          <w:sz w:val="22"/>
          <w:szCs w:val="22"/>
          <w:highlight w:val="none"/>
        </w:rPr>
        <w:t>按合同</w:t>
      </w:r>
      <w:r>
        <w:rPr>
          <w:rFonts w:ascii="Times New Roman" w:hAnsi="Times New Roman"/>
          <w:color w:val="auto"/>
          <w:spacing w:val="-6"/>
          <w:sz w:val="22"/>
          <w:szCs w:val="22"/>
          <w:highlight w:val="none"/>
        </w:rPr>
        <w:t>总价款的20%</w:t>
      </w:r>
      <w:r>
        <w:rPr>
          <w:rFonts w:hint="eastAsia" w:ascii="Times New Roman" w:hAnsi="Times New Roman"/>
          <w:color w:val="auto"/>
          <w:spacing w:val="-6"/>
          <w:sz w:val="22"/>
          <w:szCs w:val="22"/>
          <w:highlight w:val="none"/>
        </w:rPr>
        <w:t>向甲方支付</w:t>
      </w:r>
      <w:r>
        <w:rPr>
          <w:rFonts w:ascii="Times New Roman" w:hAnsi="Times New Roman"/>
          <w:color w:val="auto"/>
          <w:spacing w:val="-6"/>
          <w:sz w:val="22"/>
          <w:szCs w:val="22"/>
          <w:highlight w:val="none"/>
        </w:rPr>
        <w:t>违约金，同时没收乙方的履约保证金。</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第十条：不可抗力事件处理</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1.在合同有效期内，任何一方因不可抗力事件导致不能履行合同，则合同履行期可延长，其延长期与不可抗力影响期相同。</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2.不可抗力事件发生后，应立即通知对方，并寄送有关权威机构出具的证明。</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3.不可抗力事件延续20天以上，双方应通过友好协商，确定是否继续履行合同。</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第十一条：争议解决</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本合同未尽事宜及纠纷由四方协商解决，并签订书面协议。如协商不成，由甲方所在地人民法院诉讼解决。</w:t>
      </w:r>
    </w:p>
    <w:p>
      <w:pPr>
        <w:pStyle w:val="174"/>
        <w:spacing w:line="288" w:lineRule="auto"/>
        <w:ind w:firstLine="398"/>
        <w:rPr>
          <w:rFonts w:ascii="Times New Roman" w:hAnsi="Times New Roman" w:cs="Times New Roman"/>
          <w:b/>
          <w:bCs/>
          <w:color w:val="auto"/>
          <w:spacing w:val="-6"/>
          <w:sz w:val="21"/>
          <w:szCs w:val="22"/>
          <w:highlight w:val="none"/>
        </w:rPr>
      </w:pPr>
      <w:r>
        <w:rPr>
          <w:rFonts w:ascii="Times New Roman" w:hAnsi="Times New Roman" w:cs="Times New Roman"/>
          <w:b/>
          <w:bCs/>
          <w:color w:val="auto"/>
          <w:spacing w:val="-6"/>
          <w:sz w:val="21"/>
          <w:szCs w:val="22"/>
          <w:highlight w:val="none"/>
        </w:rPr>
        <w:t>第十二条：合同生效</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1.合同经甲、乙、丙和鉴证方(采购代理机构)四方法定代表人或授权代表签字并加盖单位公章，乙方履约保证金提交后生效。</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2.合同执行中涉及采购资金和采购内容修改或补充的，须经财政部门审批，并签书面补充协议报政府采购监督管理部门备案，方可作为主合同不可分割的一部分。</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3.本合同未尽事宜，遵照《中华人民共和国合同法》有关条文执行。</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4.本合同一式捌份，甲方执伍份，乙方、丙方、鉴证方(采购代理机构)各执壹份，具有同等法律效力。</w:t>
      </w:r>
    </w:p>
    <w:p>
      <w:pPr>
        <w:spacing w:line="288" w:lineRule="auto"/>
        <w:ind w:firstLine="416"/>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5.相关磋商文件、响应文件、磋商记录、产品配置清单等与本合同具有同等法律效力。</w:t>
      </w:r>
    </w:p>
    <w:tbl>
      <w:tblPr>
        <w:tblStyle w:val="39"/>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4"/>
        <w:gridCol w:w="4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4844" w:type="dxa"/>
            <w:vAlign w:val="center"/>
          </w:tcPr>
          <w:p>
            <w:pPr>
              <w:ind w:firstLine="0" w:firstLineChars="0"/>
              <w:rPr>
                <w:rFonts w:ascii="Times New Roman" w:hAnsi="Times New Roman"/>
                <w:b/>
                <w:bCs/>
                <w:color w:val="auto"/>
                <w:sz w:val="22"/>
                <w:szCs w:val="22"/>
                <w:highlight w:val="none"/>
              </w:rPr>
            </w:pPr>
            <w:r>
              <w:rPr>
                <w:rFonts w:ascii="Times New Roman" w:hAnsi="Times New Roman"/>
                <w:b/>
                <w:bCs/>
                <w:color w:val="auto"/>
                <w:sz w:val="22"/>
                <w:szCs w:val="22"/>
                <w:highlight w:val="none"/>
              </w:rPr>
              <w:t>甲方（盖章）：浙江中医药大学</w:t>
            </w:r>
          </w:p>
        </w:tc>
        <w:tc>
          <w:tcPr>
            <w:tcW w:w="4856" w:type="dxa"/>
            <w:vAlign w:val="center"/>
          </w:tcPr>
          <w:p>
            <w:pPr>
              <w:ind w:firstLine="0" w:firstLineChars="0"/>
              <w:rPr>
                <w:rFonts w:ascii="Times New Roman" w:hAnsi="Times New Roman"/>
                <w:b/>
                <w:bCs/>
                <w:color w:val="auto"/>
                <w:sz w:val="22"/>
                <w:szCs w:val="22"/>
                <w:highlight w:val="none"/>
              </w:rPr>
            </w:pPr>
            <w:r>
              <w:rPr>
                <w:rFonts w:ascii="Times New Roman" w:hAnsi="Times New Roman"/>
                <w:b/>
                <w:color w:val="auto"/>
                <w:spacing w:val="-6"/>
                <w:sz w:val="22"/>
                <w:szCs w:val="22"/>
                <w:highlight w:val="none"/>
              </w:rPr>
              <w:t>乙方（盖章）:</w:t>
            </w:r>
            <w:r>
              <w:rPr>
                <w:rFonts w:hint="eastAsia" w:ascii="Times New Roman" w:hAnsi="Times New Roman"/>
                <w:color w:val="auto"/>
                <w:spacing w:val="-6"/>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甲方法定代表人或受委托人(签字）：</w:t>
            </w:r>
          </w:p>
        </w:tc>
        <w:tc>
          <w:tcPr>
            <w:tcW w:w="4856" w:type="dxa"/>
            <w:vAlign w:val="center"/>
          </w:tcPr>
          <w:p>
            <w:pPr>
              <w:spacing w:line="360" w:lineRule="exact"/>
              <w:ind w:firstLine="0" w:firstLineChars="0"/>
              <w:jc w:val="left"/>
              <w:rPr>
                <w:rFonts w:ascii="Times New Roman" w:hAnsi="Times New Roman"/>
                <w:color w:val="auto"/>
                <w:spacing w:val="-6"/>
                <w:sz w:val="22"/>
                <w:szCs w:val="22"/>
                <w:highlight w:val="none"/>
              </w:rPr>
            </w:pPr>
            <w:r>
              <w:rPr>
                <w:rFonts w:ascii="Times New Roman" w:hAnsi="Times New Roman"/>
                <w:color w:val="auto"/>
                <w:spacing w:val="-6"/>
                <w:sz w:val="22"/>
                <w:szCs w:val="22"/>
                <w:highlight w:val="none"/>
              </w:rPr>
              <w:t>乙方法定代表人或受委托人（签字）：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地址：杭州市滨文路548号</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pacing w:val="-6"/>
                <w:sz w:val="22"/>
                <w:szCs w:val="22"/>
                <w:highlight w:val="none"/>
              </w:rPr>
              <w:t>地址：</w:t>
            </w:r>
            <w:r>
              <w:rPr>
                <w:rFonts w:hint="eastAsia" w:ascii="Times New Roman" w:hAnsi="Times New Roman"/>
                <w:color w:val="auto"/>
                <w:spacing w:val="-6"/>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电话：0571-86633113</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pacing w:val="-6"/>
                <w:sz w:val="22"/>
                <w:szCs w:val="22"/>
                <w:highlight w:val="none"/>
              </w:rPr>
              <w:t>电话：</w:t>
            </w:r>
            <w:r>
              <w:rPr>
                <w:rFonts w:hint="eastAsia" w:ascii="Times New Roman" w:hAnsi="Times New Roman"/>
                <w:color w:val="auto"/>
                <w:spacing w:val="-6"/>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传真：</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pacing w:val="-6"/>
                <w:sz w:val="22"/>
                <w:szCs w:val="22"/>
                <w:highlight w:val="none"/>
              </w:rPr>
              <w:t>传真：</w:t>
            </w:r>
            <w:r>
              <w:rPr>
                <w:rFonts w:hint="eastAsia" w:ascii="Times New Roman" w:hAnsi="Times New Roman"/>
                <w:color w:val="auto"/>
                <w:spacing w:val="-6"/>
                <w:sz w:val="22"/>
                <w:szCs w:val="22"/>
                <w:highlight w:val="none"/>
              </w:rPr>
              <w:t xml:space="preserve"> </w:t>
            </w:r>
            <w:r>
              <w:rPr>
                <w:rFonts w:ascii="Times New Roman" w:hAnsi="Times New Roman"/>
                <w:color w:val="auto"/>
                <w:spacing w:val="-6"/>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开户银行：工商银行景江苑支行</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pacing w:val="-6"/>
                <w:sz w:val="22"/>
                <w:szCs w:val="22"/>
                <w:highlight w:val="none"/>
              </w:rPr>
              <w:t>开户银行：</w:t>
            </w:r>
            <w:r>
              <w:rPr>
                <w:rFonts w:hint="eastAsia" w:ascii="Times New Roman" w:hAnsi="Times New Roman"/>
                <w:color w:val="auto"/>
                <w:spacing w:val="-6"/>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帐号：12020 23419100001174</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pacing w:val="-6"/>
                <w:sz w:val="22"/>
                <w:szCs w:val="22"/>
                <w:highlight w:val="none"/>
              </w:rPr>
              <w:t>帐号：</w:t>
            </w:r>
            <w:r>
              <w:rPr>
                <w:rFonts w:hint="eastAsia" w:ascii="Times New Roman" w:hAnsi="Times New Roman"/>
                <w:color w:val="auto"/>
                <w:sz w:val="22"/>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签字日期：</w:t>
            </w:r>
            <w:r>
              <w:rPr>
                <w:rFonts w:hint="eastAsia" w:ascii="Times New Roman" w:hAnsi="Times New Roman"/>
                <w:color w:val="auto"/>
                <w:sz w:val="22"/>
                <w:szCs w:val="22"/>
                <w:highlight w:val="none"/>
              </w:rPr>
              <w:t xml:space="preserve">            2019</w:t>
            </w:r>
            <w:r>
              <w:rPr>
                <w:rFonts w:ascii="Times New Roman" w:hAnsi="Times New Roman"/>
                <w:color w:val="auto"/>
                <w:sz w:val="22"/>
                <w:szCs w:val="22"/>
                <w:highlight w:val="none"/>
              </w:rPr>
              <w:t>年</w:t>
            </w:r>
            <w:r>
              <w:rPr>
                <w:rFonts w:hint="eastAsia" w:ascii="Times New Roman" w:hAnsi="Times New Roman"/>
                <w:color w:val="auto"/>
                <w:sz w:val="22"/>
                <w:szCs w:val="22"/>
                <w:highlight w:val="none"/>
              </w:rPr>
              <w:t xml:space="preserve">   </w:t>
            </w:r>
            <w:r>
              <w:rPr>
                <w:rFonts w:ascii="Times New Roman" w:hAnsi="Times New Roman"/>
                <w:color w:val="auto"/>
                <w:sz w:val="22"/>
                <w:szCs w:val="22"/>
                <w:highlight w:val="none"/>
              </w:rPr>
              <w:t>月</w:t>
            </w:r>
            <w:r>
              <w:rPr>
                <w:rFonts w:hint="eastAsia" w:ascii="Times New Roman" w:hAnsi="Times New Roman"/>
                <w:color w:val="auto"/>
                <w:sz w:val="22"/>
                <w:szCs w:val="22"/>
                <w:highlight w:val="none"/>
              </w:rPr>
              <w:t xml:space="preserve">    </w:t>
            </w:r>
            <w:r>
              <w:rPr>
                <w:rFonts w:ascii="Times New Roman" w:hAnsi="Times New Roman"/>
                <w:color w:val="auto"/>
                <w:sz w:val="22"/>
                <w:szCs w:val="22"/>
                <w:highlight w:val="none"/>
              </w:rPr>
              <w:t>日</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签字日期：</w:t>
            </w:r>
            <w:r>
              <w:rPr>
                <w:rFonts w:hint="eastAsia" w:ascii="Times New Roman" w:hAnsi="Times New Roman"/>
                <w:color w:val="auto"/>
                <w:sz w:val="22"/>
                <w:szCs w:val="22"/>
                <w:highlight w:val="none"/>
              </w:rPr>
              <w:t xml:space="preserve">              </w:t>
            </w:r>
            <w:r>
              <w:rPr>
                <w:rFonts w:ascii="Times New Roman" w:hAnsi="Times New Roman"/>
                <w:color w:val="auto"/>
                <w:sz w:val="22"/>
                <w:szCs w:val="22"/>
                <w:highlight w:val="none"/>
              </w:rPr>
              <w:t>2019年</w:t>
            </w:r>
            <w:r>
              <w:rPr>
                <w:rFonts w:hint="eastAsia" w:ascii="Times New Roman" w:hAnsi="Times New Roman"/>
                <w:color w:val="auto"/>
                <w:sz w:val="22"/>
                <w:szCs w:val="22"/>
                <w:highlight w:val="none"/>
              </w:rPr>
              <w:t xml:space="preserve">    </w:t>
            </w:r>
            <w:r>
              <w:rPr>
                <w:rFonts w:ascii="Times New Roman" w:hAnsi="Times New Roman"/>
                <w:color w:val="auto"/>
                <w:sz w:val="22"/>
                <w:szCs w:val="22"/>
                <w:highlight w:val="none"/>
              </w:rPr>
              <w:t>月</w:t>
            </w:r>
            <w:r>
              <w:rPr>
                <w:rFonts w:hint="eastAsia" w:ascii="Times New Roman" w:hAnsi="Times New Roman"/>
                <w:color w:val="auto"/>
                <w:sz w:val="22"/>
                <w:szCs w:val="22"/>
                <w:highlight w:val="none"/>
              </w:rPr>
              <w:t xml:space="preserve">    </w:t>
            </w:r>
            <w:r>
              <w:rPr>
                <w:rFonts w:ascii="Times New Roman" w:hAnsi="Times New Roman"/>
                <w:color w:val="auto"/>
                <w:sz w:val="22"/>
                <w:szCs w:val="22"/>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b/>
                <w:bCs/>
                <w:color w:val="auto"/>
                <w:sz w:val="22"/>
                <w:szCs w:val="22"/>
                <w:highlight w:val="none"/>
              </w:rPr>
            </w:pPr>
            <w:r>
              <w:rPr>
                <w:rFonts w:ascii="Times New Roman" w:hAnsi="Times New Roman"/>
                <w:b/>
                <w:bCs/>
                <w:color w:val="auto"/>
                <w:sz w:val="22"/>
                <w:szCs w:val="22"/>
                <w:highlight w:val="none"/>
              </w:rPr>
              <w:t>丙方(盖章)：浙江省科学器材进出口有限责任公司</w:t>
            </w:r>
          </w:p>
        </w:tc>
        <w:tc>
          <w:tcPr>
            <w:tcW w:w="4856" w:type="dxa"/>
            <w:vAlign w:val="center"/>
          </w:tcPr>
          <w:p>
            <w:pPr>
              <w:ind w:firstLine="0" w:firstLineChars="0"/>
              <w:rPr>
                <w:rFonts w:ascii="Times New Roman" w:hAnsi="Times New Roman"/>
                <w:b/>
                <w:bCs/>
                <w:color w:val="auto"/>
                <w:sz w:val="22"/>
                <w:szCs w:val="22"/>
                <w:highlight w:val="none"/>
              </w:rPr>
            </w:pPr>
            <w:r>
              <w:rPr>
                <w:rFonts w:ascii="Times New Roman" w:hAnsi="Times New Roman"/>
                <w:b/>
                <w:bCs/>
                <w:color w:val="auto"/>
                <w:sz w:val="22"/>
                <w:szCs w:val="22"/>
                <w:highlight w:val="none"/>
              </w:rPr>
              <w:t>鉴证方（采购代理机构）（盖章）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法定代表人或受委托人：（签字）</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法定代表人或受委托人：（签字）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地址：天目山路97号</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地址：</w:t>
            </w:r>
            <w:r>
              <w:rPr>
                <w:rFonts w:hint="eastAsia" w:ascii="Times New Roman" w:hAnsi="Times New Roman"/>
                <w:color w:val="auto"/>
                <w:sz w:val="22"/>
                <w:szCs w:val="22"/>
                <w:highlight w:val="none"/>
              </w:rPr>
              <w:t>杭州市滨江区东信大道66号东方通信科技园启迪楼1207室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邮编：310000</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邮编：310007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电话：0571-87967088</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电话：0571-8</w:t>
            </w:r>
            <w:r>
              <w:rPr>
                <w:rFonts w:hint="eastAsia" w:ascii="Times New Roman" w:hAnsi="Times New Roman"/>
                <w:color w:val="auto"/>
                <w:sz w:val="22"/>
                <w:szCs w:val="22"/>
                <w:highlight w:val="none"/>
              </w:rPr>
              <w:t>6098397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传真：0571-87967115</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开户银行：工行保俶支行</w:t>
            </w:r>
          </w:p>
        </w:tc>
        <w:tc>
          <w:tcPr>
            <w:tcW w:w="4856" w:type="dxa"/>
            <w:vAlign w:val="center"/>
          </w:tcPr>
          <w:p>
            <w:pPr>
              <w:ind w:firstLine="0" w:firstLineChars="0"/>
              <w:rPr>
                <w:rFonts w:ascii="Times New Roman" w:hAnsi="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帐号：1202022709006500176</w:t>
            </w:r>
          </w:p>
        </w:tc>
        <w:tc>
          <w:tcPr>
            <w:tcW w:w="4856" w:type="dxa"/>
            <w:vAlign w:val="center"/>
          </w:tcPr>
          <w:p>
            <w:pPr>
              <w:ind w:firstLine="0" w:firstLineChars="0"/>
              <w:rPr>
                <w:rFonts w:ascii="Times New Roman" w:hAnsi="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4844"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签约时间：</w:t>
            </w:r>
            <w:r>
              <w:rPr>
                <w:rFonts w:hint="eastAsia" w:ascii="Times New Roman" w:hAnsi="Times New Roman"/>
                <w:color w:val="auto"/>
                <w:sz w:val="22"/>
                <w:szCs w:val="22"/>
                <w:highlight w:val="none"/>
              </w:rPr>
              <w:t xml:space="preserve">               2019</w:t>
            </w:r>
            <w:r>
              <w:rPr>
                <w:rFonts w:ascii="Times New Roman" w:hAnsi="Times New Roman"/>
                <w:color w:val="auto"/>
                <w:sz w:val="22"/>
                <w:szCs w:val="22"/>
                <w:highlight w:val="none"/>
              </w:rPr>
              <w:t>年</w:t>
            </w:r>
            <w:r>
              <w:rPr>
                <w:rFonts w:hint="eastAsia" w:ascii="Times New Roman" w:hAnsi="Times New Roman"/>
                <w:color w:val="auto"/>
                <w:sz w:val="22"/>
                <w:szCs w:val="22"/>
                <w:highlight w:val="none"/>
              </w:rPr>
              <w:t xml:space="preserve">   </w:t>
            </w:r>
            <w:r>
              <w:rPr>
                <w:rFonts w:ascii="Times New Roman" w:hAnsi="Times New Roman"/>
                <w:color w:val="auto"/>
                <w:sz w:val="22"/>
                <w:szCs w:val="22"/>
                <w:highlight w:val="none"/>
              </w:rPr>
              <w:t>月</w:t>
            </w:r>
            <w:r>
              <w:rPr>
                <w:rFonts w:hint="eastAsia" w:ascii="Times New Roman" w:hAnsi="Times New Roman"/>
                <w:color w:val="auto"/>
                <w:sz w:val="22"/>
                <w:szCs w:val="22"/>
                <w:highlight w:val="none"/>
              </w:rPr>
              <w:t xml:space="preserve">    </w:t>
            </w:r>
            <w:r>
              <w:rPr>
                <w:rFonts w:ascii="Times New Roman" w:hAnsi="Times New Roman"/>
                <w:color w:val="auto"/>
                <w:sz w:val="22"/>
                <w:szCs w:val="22"/>
                <w:highlight w:val="none"/>
              </w:rPr>
              <w:t>日</w:t>
            </w:r>
          </w:p>
        </w:tc>
        <w:tc>
          <w:tcPr>
            <w:tcW w:w="4856" w:type="dxa"/>
            <w:vAlign w:val="center"/>
          </w:tcPr>
          <w:p>
            <w:pPr>
              <w:ind w:firstLine="0" w:firstLineChars="0"/>
              <w:rPr>
                <w:rFonts w:ascii="Times New Roman" w:hAnsi="Times New Roman"/>
                <w:color w:val="auto"/>
                <w:sz w:val="22"/>
                <w:szCs w:val="22"/>
                <w:highlight w:val="none"/>
              </w:rPr>
            </w:pPr>
            <w:r>
              <w:rPr>
                <w:rFonts w:ascii="Times New Roman" w:hAnsi="Times New Roman"/>
                <w:color w:val="auto"/>
                <w:sz w:val="22"/>
                <w:szCs w:val="22"/>
                <w:highlight w:val="none"/>
              </w:rPr>
              <w:t>鉴证时间：</w:t>
            </w:r>
            <w:r>
              <w:rPr>
                <w:rFonts w:hint="eastAsia" w:ascii="Times New Roman" w:hAnsi="Times New Roman"/>
                <w:color w:val="auto"/>
                <w:sz w:val="22"/>
                <w:szCs w:val="22"/>
                <w:highlight w:val="none"/>
              </w:rPr>
              <w:t xml:space="preserve">             2019</w:t>
            </w:r>
            <w:r>
              <w:rPr>
                <w:rFonts w:ascii="Times New Roman" w:hAnsi="Times New Roman"/>
                <w:color w:val="auto"/>
                <w:sz w:val="22"/>
                <w:szCs w:val="22"/>
                <w:highlight w:val="none"/>
              </w:rPr>
              <w:t>年</w:t>
            </w:r>
            <w:r>
              <w:rPr>
                <w:rFonts w:hint="eastAsia" w:ascii="Times New Roman" w:hAnsi="Times New Roman"/>
                <w:color w:val="auto"/>
                <w:sz w:val="22"/>
                <w:szCs w:val="22"/>
                <w:highlight w:val="none"/>
              </w:rPr>
              <w:t xml:space="preserve">   </w:t>
            </w:r>
            <w:r>
              <w:rPr>
                <w:rFonts w:ascii="Times New Roman" w:hAnsi="Times New Roman"/>
                <w:color w:val="auto"/>
                <w:sz w:val="22"/>
                <w:szCs w:val="22"/>
                <w:highlight w:val="none"/>
              </w:rPr>
              <w:t>月</w:t>
            </w:r>
            <w:r>
              <w:rPr>
                <w:rFonts w:hint="eastAsia" w:ascii="Times New Roman" w:hAnsi="Times New Roman"/>
                <w:color w:val="auto"/>
                <w:sz w:val="22"/>
                <w:szCs w:val="22"/>
                <w:highlight w:val="none"/>
              </w:rPr>
              <w:t xml:space="preserve">    </w:t>
            </w:r>
            <w:r>
              <w:rPr>
                <w:rFonts w:ascii="Times New Roman" w:hAnsi="Times New Roman"/>
                <w:color w:val="auto"/>
                <w:sz w:val="22"/>
                <w:szCs w:val="22"/>
                <w:highlight w:val="none"/>
              </w:rPr>
              <w:t>日</w:t>
            </w:r>
          </w:p>
        </w:tc>
      </w:tr>
    </w:tbl>
    <w:p>
      <w:pPr>
        <w:spacing w:line="288" w:lineRule="auto"/>
        <w:ind w:firstLine="560"/>
        <w:rPr>
          <w:rFonts w:ascii="Times New Roman" w:hAnsi="Times New Roman"/>
          <w:color w:val="auto"/>
          <w:sz w:val="28"/>
          <w:szCs w:val="32"/>
          <w:highlight w:val="none"/>
        </w:rPr>
      </w:pPr>
    </w:p>
    <w:p>
      <w:pPr>
        <w:spacing w:line="288" w:lineRule="auto"/>
        <w:ind w:firstLine="560"/>
        <w:rPr>
          <w:rFonts w:ascii="Times New Roman" w:hAnsi="Times New Roman"/>
          <w:color w:val="auto"/>
          <w:sz w:val="28"/>
          <w:szCs w:val="32"/>
          <w:highlight w:val="none"/>
        </w:rPr>
      </w:pPr>
    </w:p>
    <w:p>
      <w:pPr>
        <w:spacing w:line="288" w:lineRule="auto"/>
        <w:ind w:firstLine="560"/>
        <w:rPr>
          <w:rFonts w:ascii="Times New Roman" w:hAnsi="Times New Roman"/>
          <w:color w:val="auto"/>
          <w:sz w:val="28"/>
          <w:szCs w:val="32"/>
          <w:highlight w:val="none"/>
        </w:rPr>
      </w:pPr>
      <w:r>
        <w:rPr>
          <w:rFonts w:ascii="Times New Roman" w:hAnsi="Times New Roman"/>
          <w:color w:val="auto"/>
          <w:sz w:val="28"/>
          <w:szCs w:val="32"/>
          <w:highlight w:val="none"/>
        </w:rPr>
        <w:t>附件：</w:t>
      </w:r>
    </w:p>
    <w:p>
      <w:pPr>
        <w:numPr>
          <w:ilvl w:val="0"/>
          <w:numId w:val="34"/>
        </w:numPr>
        <w:spacing w:line="288" w:lineRule="auto"/>
        <w:ind w:firstLine="442"/>
        <w:rPr>
          <w:rFonts w:ascii="Times New Roman" w:hAnsi="Times New Roman"/>
          <w:b/>
          <w:color w:val="auto"/>
          <w:sz w:val="22"/>
          <w:szCs w:val="22"/>
          <w:highlight w:val="none"/>
        </w:rPr>
      </w:pPr>
      <w:bookmarkStart w:id="132" w:name="_Toc27825"/>
      <w:r>
        <w:rPr>
          <w:rFonts w:ascii="Times New Roman" w:hAnsi="Times New Roman"/>
          <w:b/>
          <w:color w:val="auto"/>
          <w:sz w:val="22"/>
          <w:szCs w:val="22"/>
          <w:highlight w:val="none"/>
        </w:rPr>
        <w:t>配置清单</w:t>
      </w:r>
      <w:bookmarkEnd w:id="132"/>
    </w:p>
    <w:p>
      <w:pPr>
        <w:pStyle w:val="2"/>
        <w:rPr>
          <w:color w:val="auto"/>
          <w:highlight w:val="none"/>
        </w:rPr>
      </w:pPr>
    </w:p>
    <w:p>
      <w:pPr>
        <w:spacing w:line="288" w:lineRule="auto"/>
        <w:ind w:firstLine="442"/>
        <w:rPr>
          <w:rFonts w:ascii="Times New Roman" w:hAnsi="Times New Roman"/>
          <w:b/>
          <w:color w:val="auto"/>
          <w:sz w:val="22"/>
          <w:szCs w:val="22"/>
          <w:highlight w:val="none"/>
        </w:rPr>
      </w:pPr>
      <w:bookmarkStart w:id="133" w:name="_Toc16974"/>
      <w:r>
        <w:rPr>
          <w:rFonts w:ascii="Times New Roman" w:hAnsi="Times New Roman"/>
          <w:b/>
          <w:color w:val="auto"/>
          <w:sz w:val="22"/>
          <w:szCs w:val="22"/>
          <w:highlight w:val="none"/>
        </w:rPr>
        <w:t>二、服务承诺</w:t>
      </w:r>
      <w:bookmarkEnd w:id="133"/>
    </w:p>
    <w:p>
      <w:pPr>
        <w:ind w:firstLine="538"/>
        <w:rPr>
          <w:rFonts w:ascii="Times New Roman" w:hAnsi="Times New Roman"/>
          <w:b/>
          <w:bCs/>
          <w:color w:val="auto"/>
          <w:spacing w:val="-6"/>
          <w:sz w:val="28"/>
          <w:szCs w:val="28"/>
          <w:highlight w:val="none"/>
        </w:rPr>
      </w:pPr>
      <w:r>
        <w:rPr>
          <w:rFonts w:hint="eastAsia" w:ascii="Times New Roman" w:hAnsi="Times New Roman"/>
          <w:b/>
          <w:bCs/>
          <w:color w:val="auto"/>
          <w:spacing w:val="-6"/>
          <w:sz w:val="28"/>
          <w:szCs w:val="28"/>
          <w:highlight w:val="none"/>
        </w:rPr>
        <w:br w:type="page"/>
      </w:r>
    </w:p>
    <w:p>
      <w:pPr>
        <w:spacing w:line="288" w:lineRule="auto"/>
        <w:ind w:firstLine="618"/>
        <w:jc w:val="center"/>
        <w:rPr>
          <w:b/>
          <w:bCs/>
          <w:color w:val="auto"/>
          <w:spacing w:val="-6"/>
          <w:sz w:val="32"/>
          <w:szCs w:val="32"/>
          <w:highlight w:val="none"/>
        </w:rPr>
      </w:pPr>
      <w:r>
        <w:rPr>
          <w:b/>
          <w:bCs/>
          <w:color w:val="auto"/>
          <w:spacing w:val="-6"/>
          <w:sz w:val="32"/>
          <w:szCs w:val="32"/>
          <w:highlight w:val="none"/>
        </w:rPr>
        <w:t>货物采购合同</w:t>
      </w:r>
    </w:p>
    <w:p>
      <w:pPr>
        <w:spacing w:line="288" w:lineRule="auto"/>
        <w:ind w:left="5841" w:hanging="5841" w:hangingChars="2950"/>
        <w:rPr>
          <w:color w:val="auto"/>
          <w:spacing w:val="-6"/>
          <w:sz w:val="21"/>
          <w:szCs w:val="21"/>
          <w:highlight w:val="none"/>
        </w:rPr>
      </w:pPr>
    </w:p>
    <w:p>
      <w:pPr>
        <w:spacing w:line="288" w:lineRule="auto"/>
        <w:ind w:firstLine="396"/>
        <w:rPr>
          <w:rFonts w:hint="default" w:eastAsia="宋体"/>
          <w:color w:val="auto"/>
          <w:spacing w:val="-6"/>
          <w:sz w:val="21"/>
          <w:szCs w:val="21"/>
          <w:highlight w:val="none"/>
          <w:lang w:val="en-US" w:eastAsia="zh-CN"/>
        </w:rPr>
      </w:pPr>
      <w:r>
        <w:rPr>
          <w:rFonts w:hint="eastAsia"/>
          <w:color w:val="auto"/>
          <w:spacing w:val="-6"/>
          <w:sz w:val="21"/>
          <w:szCs w:val="21"/>
          <w:highlight w:val="none"/>
        </w:rPr>
        <w:t>确认书号：[2019]48761号、[2019]49787号</w:t>
      </w:r>
      <w:r>
        <w:rPr>
          <w:rFonts w:hint="eastAsia"/>
          <w:color w:val="auto"/>
          <w:spacing w:val="-6"/>
          <w:sz w:val="21"/>
          <w:szCs w:val="21"/>
          <w:highlight w:val="none"/>
          <w:lang w:val="en-US" w:eastAsia="zh-CN"/>
        </w:rPr>
        <w:t xml:space="preserve">                   标段：</w:t>
      </w:r>
    </w:p>
    <w:p>
      <w:pPr>
        <w:spacing w:line="288" w:lineRule="auto"/>
        <w:ind w:firstLine="396"/>
        <w:rPr>
          <w:rFonts w:hint="eastAsia"/>
          <w:color w:val="auto"/>
          <w:spacing w:val="-6"/>
          <w:sz w:val="21"/>
          <w:szCs w:val="21"/>
          <w:highlight w:val="none"/>
        </w:rPr>
      </w:pPr>
      <w:r>
        <w:rPr>
          <w:rFonts w:hint="eastAsia"/>
          <w:color w:val="auto"/>
          <w:spacing w:val="-6"/>
          <w:sz w:val="21"/>
          <w:szCs w:val="21"/>
          <w:highlight w:val="none"/>
        </w:rPr>
        <w:t>招标编号：ZJWSBJ-ZYY-201934G</w:t>
      </w:r>
    </w:p>
    <w:p>
      <w:pPr>
        <w:spacing w:line="288" w:lineRule="auto"/>
        <w:ind w:firstLine="396"/>
        <w:rPr>
          <w:color w:val="auto"/>
          <w:spacing w:val="-6"/>
          <w:sz w:val="21"/>
          <w:szCs w:val="21"/>
          <w:highlight w:val="none"/>
        </w:rPr>
      </w:pPr>
      <w:r>
        <w:rPr>
          <w:color w:val="auto"/>
          <w:spacing w:val="-6"/>
          <w:sz w:val="21"/>
          <w:szCs w:val="21"/>
          <w:highlight w:val="none"/>
        </w:rPr>
        <w:t>甲方（采购人）：</w:t>
      </w:r>
      <w:r>
        <w:rPr>
          <w:color w:val="auto"/>
          <w:spacing w:val="-6"/>
          <w:sz w:val="21"/>
          <w:szCs w:val="21"/>
          <w:highlight w:val="none"/>
          <w:u w:val="single"/>
        </w:rPr>
        <w:t>浙江中医药大学</w:t>
      </w:r>
    </w:p>
    <w:p>
      <w:pPr>
        <w:spacing w:line="288" w:lineRule="auto"/>
        <w:ind w:firstLine="396"/>
        <w:rPr>
          <w:color w:val="auto"/>
          <w:spacing w:val="-6"/>
          <w:sz w:val="21"/>
          <w:szCs w:val="21"/>
          <w:highlight w:val="none"/>
        </w:rPr>
      </w:pPr>
      <w:r>
        <w:rPr>
          <w:color w:val="auto"/>
          <w:spacing w:val="-6"/>
          <w:sz w:val="21"/>
          <w:szCs w:val="21"/>
          <w:highlight w:val="none"/>
        </w:rPr>
        <w:t xml:space="preserve">乙方（供应商）： </w:t>
      </w:r>
    </w:p>
    <w:p>
      <w:pPr>
        <w:spacing w:line="288" w:lineRule="auto"/>
        <w:ind w:firstLine="396"/>
        <w:rPr>
          <w:color w:val="auto"/>
          <w:spacing w:val="-6"/>
          <w:sz w:val="21"/>
          <w:szCs w:val="21"/>
          <w:highlight w:val="none"/>
        </w:rPr>
      </w:pPr>
      <w:r>
        <w:rPr>
          <w:color w:val="auto"/>
          <w:spacing w:val="-6"/>
          <w:sz w:val="21"/>
          <w:szCs w:val="21"/>
          <w:highlight w:val="none"/>
        </w:rPr>
        <w:t>采购代理机构（鉴证方）：</w:t>
      </w:r>
      <w:bookmarkStart w:id="134" w:name="B07_项目编号"/>
      <w:r>
        <w:rPr>
          <w:rFonts w:hint="eastAsia"/>
          <w:color w:val="auto"/>
          <w:spacing w:val="-6"/>
          <w:sz w:val="21"/>
          <w:szCs w:val="21"/>
          <w:highlight w:val="none"/>
        </w:rPr>
        <w:t>浙江五石工程咨询有限公司</w:t>
      </w:r>
    </w:p>
    <w:p>
      <w:pPr>
        <w:spacing w:line="288" w:lineRule="auto"/>
        <w:ind w:firstLine="420"/>
        <w:rPr>
          <w:color w:val="auto"/>
          <w:sz w:val="21"/>
          <w:szCs w:val="21"/>
          <w:highlight w:val="none"/>
        </w:rPr>
      </w:pPr>
      <w:r>
        <w:rPr>
          <w:color w:val="auto"/>
          <w:sz w:val="21"/>
          <w:szCs w:val="21"/>
          <w:highlight w:val="none"/>
        </w:rPr>
        <w:t>经采购代理机构对</w:t>
      </w:r>
      <w:r>
        <w:rPr>
          <w:rFonts w:hint="eastAsia"/>
          <w:color w:val="auto"/>
          <w:sz w:val="21"/>
          <w:szCs w:val="21"/>
          <w:highlight w:val="none"/>
          <w:u w:val="single"/>
        </w:rPr>
        <w:t xml:space="preserve">             </w:t>
      </w:r>
      <w:r>
        <w:rPr>
          <w:rFonts w:hint="eastAsia"/>
          <w:color w:val="auto"/>
          <w:sz w:val="21"/>
          <w:szCs w:val="21"/>
          <w:highlight w:val="none"/>
        </w:rPr>
        <w:t>采购项目</w:t>
      </w:r>
      <w:r>
        <w:rPr>
          <w:color w:val="auto"/>
          <w:sz w:val="21"/>
          <w:szCs w:val="21"/>
          <w:highlight w:val="none"/>
        </w:rPr>
        <w:t>通过</w:t>
      </w:r>
      <w:r>
        <w:rPr>
          <w:color w:val="auto"/>
          <w:sz w:val="21"/>
          <w:szCs w:val="21"/>
          <w:highlight w:val="none"/>
          <w:u w:val="single"/>
        </w:rPr>
        <w:t xml:space="preserve"> </w:t>
      </w:r>
      <w:r>
        <w:rPr>
          <w:rFonts w:hint="eastAsia"/>
          <w:color w:val="auto"/>
          <w:sz w:val="21"/>
          <w:szCs w:val="21"/>
          <w:highlight w:val="none"/>
          <w:u w:val="single"/>
        </w:rPr>
        <w:t xml:space="preserve"> 公开招标   </w:t>
      </w:r>
      <w:r>
        <w:rPr>
          <w:color w:val="auto"/>
          <w:sz w:val="21"/>
          <w:szCs w:val="21"/>
          <w:highlight w:val="none"/>
        </w:rPr>
        <w:t>方式采购</w:t>
      </w:r>
      <w:bookmarkEnd w:id="134"/>
      <w:r>
        <w:rPr>
          <w:color w:val="auto"/>
          <w:sz w:val="21"/>
          <w:szCs w:val="21"/>
          <w:highlight w:val="none"/>
        </w:rPr>
        <w:t>，确定</w:t>
      </w:r>
      <w:r>
        <w:rPr>
          <w:rFonts w:hint="eastAsia"/>
          <w:color w:val="auto"/>
          <w:spacing w:val="-6"/>
          <w:sz w:val="21"/>
          <w:szCs w:val="21"/>
          <w:highlight w:val="none"/>
          <w:u w:val="single"/>
        </w:rPr>
        <w:t xml:space="preserve">           </w:t>
      </w:r>
      <w:r>
        <w:rPr>
          <w:color w:val="auto"/>
          <w:sz w:val="21"/>
          <w:szCs w:val="21"/>
          <w:highlight w:val="none"/>
        </w:rPr>
        <w:t>为中标单位，甲</w:t>
      </w:r>
      <w:r>
        <w:rPr>
          <w:rFonts w:hint="eastAsia"/>
          <w:color w:val="auto"/>
          <w:sz w:val="21"/>
          <w:szCs w:val="21"/>
          <w:highlight w:val="none"/>
        </w:rPr>
        <w:t>、</w:t>
      </w:r>
      <w:r>
        <w:rPr>
          <w:color w:val="auto"/>
          <w:sz w:val="21"/>
          <w:szCs w:val="21"/>
          <w:highlight w:val="none"/>
        </w:rPr>
        <w:t>乙双方友好协商，达成以下条款：</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第一条：采购商品清单及合同价格</w:t>
      </w:r>
      <w:r>
        <w:rPr>
          <w:rFonts w:ascii="Times New Roman" w:hAnsi="Times New Roman"/>
          <w:b/>
          <w:color w:val="auto"/>
          <w:szCs w:val="21"/>
          <w:highlight w:val="none"/>
        </w:rPr>
        <w:t xml:space="preserve">     </w:t>
      </w:r>
      <w:r>
        <w:rPr>
          <w:rFonts w:ascii="Times New Roman" w:hAnsi="Times New Roman"/>
          <w:color w:val="auto"/>
          <w:szCs w:val="21"/>
          <w:highlight w:val="none"/>
        </w:rPr>
        <w:t xml:space="preserve">                               </w:t>
      </w:r>
      <w:r>
        <w:rPr>
          <w:rFonts w:hAnsi="宋体"/>
          <w:color w:val="auto"/>
          <w:szCs w:val="21"/>
          <w:highlight w:val="none"/>
        </w:rPr>
        <w:t>单位：元</w:t>
      </w:r>
    </w:p>
    <w:tbl>
      <w:tblPr>
        <w:tblStyle w:val="39"/>
        <w:tblW w:w="9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276"/>
        <w:gridCol w:w="850"/>
        <w:gridCol w:w="1843"/>
        <w:gridCol w:w="992"/>
        <w:gridCol w:w="116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688" w:type="dxa"/>
            <w:vAlign w:val="center"/>
          </w:tcPr>
          <w:p>
            <w:pPr>
              <w:spacing w:line="288" w:lineRule="auto"/>
              <w:ind w:firstLine="0" w:firstLineChars="0"/>
              <w:jc w:val="center"/>
              <w:rPr>
                <w:color w:val="auto"/>
                <w:sz w:val="21"/>
                <w:szCs w:val="21"/>
                <w:highlight w:val="none"/>
              </w:rPr>
            </w:pPr>
            <w:r>
              <w:rPr>
                <w:color w:val="auto"/>
                <w:sz w:val="21"/>
                <w:szCs w:val="21"/>
                <w:highlight w:val="none"/>
              </w:rPr>
              <w:t>产品名称</w:t>
            </w:r>
          </w:p>
        </w:tc>
        <w:tc>
          <w:tcPr>
            <w:tcW w:w="1276" w:type="dxa"/>
            <w:vAlign w:val="center"/>
          </w:tcPr>
          <w:p>
            <w:pPr>
              <w:spacing w:line="288" w:lineRule="auto"/>
              <w:ind w:firstLine="0" w:firstLineChars="0"/>
              <w:jc w:val="center"/>
              <w:rPr>
                <w:color w:val="auto"/>
                <w:sz w:val="21"/>
                <w:szCs w:val="21"/>
                <w:highlight w:val="none"/>
              </w:rPr>
            </w:pPr>
            <w:r>
              <w:rPr>
                <w:color w:val="auto"/>
                <w:sz w:val="21"/>
                <w:szCs w:val="21"/>
                <w:highlight w:val="none"/>
              </w:rPr>
              <w:t>厂家</w:t>
            </w:r>
            <w:r>
              <w:rPr>
                <w:rFonts w:hint="eastAsia"/>
                <w:color w:val="auto"/>
                <w:sz w:val="21"/>
                <w:szCs w:val="21"/>
                <w:highlight w:val="none"/>
              </w:rPr>
              <w:t>（全称）</w:t>
            </w:r>
          </w:p>
        </w:tc>
        <w:tc>
          <w:tcPr>
            <w:tcW w:w="850" w:type="dxa"/>
            <w:vAlign w:val="center"/>
          </w:tcPr>
          <w:p>
            <w:pPr>
              <w:spacing w:line="288" w:lineRule="auto"/>
              <w:ind w:firstLine="0" w:firstLineChars="0"/>
              <w:jc w:val="center"/>
              <w:rPr>
                <w:color w:val="auto"/>
                <w:sz w:val="21"/>
                <w:szCs w:val="21"/>
                <w:highlight w:val="none"/>
              </w:rPr>
            </w:pPr>
            <w:r>
              <w:rPr>
                <w:color w:val="auto"/>
                <w:sz w:val="21"/>
                <w:szCs w:val="21"/>
                <w:highlight w:val="none"/>
              </w:rPr>
              <w:t>品牌</w:t>
            </w:r>
          </w:p>
        </w:tc>
        <w:tc>
          <w:tcPr>
            <w:tcW w:w="1843" w:type="dxa"/>
            <w:vAlign w:val="center"/>
          </w:tcPr>
          <w:p>
            <w:pPr>
              <w:spacing w:line="288" w:lineRule="auto"/>
              <w:ind w:firstLine="0" w:firstLineChars="0"/>
              <w:jc w:val="center"/>
              <w:rPr>
                <w:color w:val="auto"/>
                <w:sz w:val="21"/>
                <w:szCs w:val="21"/>
                <w:highlight w:val="none"/>
              </w:rPr>
            </w:pPr>
            <w:r>
              <w:rPr>
                <w:color w:val="auto"/>
                <w:sz w:val="21"/>
                <w:szCs w:val="21"/>
                <w:highlight w:val="none"/>
              </w:rPr>
              <w:t>规格型号</w:t>
            </w:r>
            <w:r>
              <w:rPr>
                <w:rFonts w:hint="eastAsia"/>
                <w:color w:val="auto"/>
                <w:sz w:val="21"/>
                <w:szCs w:val="21"/>
                <w:highlight w:val="none"/>
              </w:rPr>
              <w:t>、</w:t>
            </w:r>
            <w:r>
              <w:rPr>
                <w:color w:val="auto"/>
                <w:sz w:val="21"/>
                <w:szCs w:val="21"/>
                <w:highlight w:val="none"/>
              </w:rPr>
              <w:t>材质</w:t>
            </w:r>
          </w:p>
        </w:tc>
        <w:tc>
          <w:tcPr>
            <w:tcW w:w="992" w:type="dxa"/>
            <w:vAlign w:val="center"/>
          </w:tcPr>
          <w:p>
            <w:pPr>
              <w:spacing w:line="288" w:lineRule="auto"/>
              <w:ind w:firstLine="0" w:firstLineChars="0"/>
              <w:jc w:val="center"/>
              <w:rPr>
                <w:color w:val="auto"/>
                <w:sz w:val="21"/>
                <w:szCs w:val="21"/>
                <w:highlight w:val="none"/>
              </w:rPr>
            </w:pPr>
            <w:r>
              <w:rPr>
                <w:color w:val="auto"/>
                <w:sz w:val="21"/>
                <w:szCs w:val="21"/>
                <w:highlight w:val="none"/>
              </w:rPr>
              <w:t>数量</w:t>
            </w:r>
          </w:p>
        </w:tc>
        <w:tc>
          <w:tcPr>
            <w:tcW w:w="1160" w:type="dxa"/>
            <w:vAlign w:val="center"/>
          </w:tcPr>
          <w:p>
            <w:pPr>
              <w:spacing w:line="288" w:lineRule="auto"/>
              <w:ind w:firstLine="0" w:firstLineChars="0"/>
              <w:jc w:val="center"/>
              <w:rPr>
                <w:color w:val="auto"/>
                <w:sz w:val="21"/>
                <w:szCs w:val="21"/>
                <w:highlight w:val="none"/>
              </w:rPr>
            </w:pPr>
            <w:r>
              <w:rPr>
                <w:color w:val="auto"/>
                <w:sz w:val="21"/>
                <w:szCs w:val="21"/>
                <w:highlight w:val="none"/>
              </w:rPr>
              <w:t>含税单价</w:t>
            </w:r>
          </w:p>
        </w:tc>
        <w:tc>
          <w:tcPr>
            <w:tcW w:w="1327" w:type="dxa"/>
            <w:vAlign w:val="center"/>
          </w:tcPr>
          <w:p>
            <w:pPr>
              <w:spacing w:line="288" w:lineRule="auto"/>
              <w:ind w:firstLine="0" w:firstLineChars="0"/>
              <w:jc w:val="center"/>
              <w:rPr>
                <w:color w:val="auto"/>
                <w:sz w:val="21"/>
                <w:szCs w:val="21"/>
                <w:highlight w:val="none"/>
              </w:rPr>
            </w:pPr>
            <w:r>
              <w:rPr>
                <w:rFonts w:hint="eastAsia"/>
                <w:color w:val="auto"/>
                <w:sz w:val="21"/>
                <w:szCs w:val="21"/>
                <w:highlight w:val="none"/>
              </w:rPr>
              <w:t>含税</w:t>
            </w:r>
            <w:r>
              <w:rPr>
                <w:color w:val="auto"/>
                <w:sz w:val="21"/>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jc w:val="center"/>
        </w:trPr>
        <w:tc>
          <w:tcPr>
            <w:tcW w:w="1688" w:type="dxa"/>
            <w:vAlign w:val="center"/>
          </w:tcPr>
          <w:p>
            <w:pPr>
              <w:adjustRightInd w:val="0"/>
              <w:snapToGrid w:val="0"/>
              <w:ind w:firstLine="0" w:firstLineChars="0"/>
              <w:jc w:val="left"/>
              <w:rPr>
                <w:color w:val="auto"/>
                <w:spacing w:val="20"/>
                <w:sz w:val="21"/>
                <w:szCs w:val="21"/>
                <w:highlight w:val="none"/>
              </w:rPr>
            </w:pPr>
          </w:p>
        </w:tc>
        <w:tc>
          <w:tcPr>
            <w:tcW w:w="1276" w:type="dxa"/>
            <w:vAlign w:val="center"/>
          </w:tcPr>
          <w:p>
            <w:pPr>
              <w:widowControl/>
              <w:ind w:firstLine="0" w:firstLineChars="0"/>
              <w:jc w:val="center"/>
              <w:rPr>
                <w:color w:val="auto"/>
                <w:kern w:val="0"/>
                <w:sz w:val="21"/>
                <w:szCs w:val="21"/>
                <w:highlight w:val="none"/>
              </w:rPr>
            </w:pPr>
          </w:p>
        </w:tc>
        <w:tc>
          <w:tcPr>
            <w:tcW w:w="850" w:type="dxa"/>
            <w:vAlign w:val="center"/>
          </w:tcPr>
          <w:p>
            <w:pPr>
              <w:widowControl/>
              <w:ind w:firstLine="0" w:firstLineChars="0"/>
              <w:jc w:val="center"/>
              <w:rPr>
                <w:color w:val="auto"/>
                <w:kern w:val="0"/>
                <w:sz w:val="21"/>
                <w:szCs w:val="21"/>
                <w:highlight w:val="none"/>
              </w:rPr>
            </w:pPr>
          </w:p>
        </w:tc>
        <w:tc>
          <w:tcPr>
            <w:tcW w:w="1843" w:type="dxa"/>
            <w:vAlign w:val="center"/>
          </w:tcPr>
          <w:p>
            <w:pPr>
              <w:widowControl/>
              <w:ind w:left="-118" w:leftChars="-49" w:firstLine="0" w:firstLineChars="0"/>
              <w:jc w:val="center"/>
              <w:rPr>
                <w:color w:val="auto"/>
                <w:kern w:val="0"/>
                <w:sz w:val="21"/>
                <w:szCs w:val="21"/>
                <w:highlight w:val="none"/>
              </w:rPr>
            </w:pPr>
          </w:p>
        </w:tc>
        <w:tc>
          <w:tcPr>
            <w:tcW w:w="992" w:type="dxa"/>
            <w:vAlign w:val="center"/>
          </w:tcPr>
          <w:p>
            <w:pPr>
              <w:adjustRightInd w:val="0"/>
              <w:snapToGrid w:val="0"/>
              <w:ind w:firstLine="0" w:firstLineChars="0"/>
              <w:jc w:val="center"/>
              <w:rPr>
                <w:color w:val="auto"/>
                <w:spacing w:val="20"/>
                <w:sz w:val="21"/>
                <w:szCs w:val="21"/>
                <w:highlight w:val="none"/>
              </w:rPr>
            </w:pPr>
          </w:p>
        </w:tc>
        <w:tc>
          <w:tcPr>
            <w:tcW w:w="1160" w:type="dxa"/>
            <w:vAlign w:val="center"/>
          </w:tcPr>
          <w:p>
            <w:pPr>
              <w:widowControl/>
              <w:ind w:firstLine="0" w:firstLineChars="0"/>
              <w:rPr>
                <w:color w:val="auto"/>
                <w:kern w:val="0"/>
                <w:sz w:val="21"/>
                <w:szCs w:val="21"/>
                <w:highlight w:val="none"/>
              </w:rPr>
            </w:pPr>
          </w:p>
        </w:tc>
        <w:tc>
          <w:tcPr>
            <w:tcW w:w="1327" w:type="dxa"/>
            <w:vAlign w:val="center"/>
          </w:tcPr>
          <w:p>
            <w:pPr>
              <w:widowControl/>
              <w:ind w:firstLine="0" w:firstLineChars="0"/>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jc w:val="center"/>
        </w:trPr>
        <w:tc>
          <w:tcPr>
            <w:tcW w:w="7809" w:type="dxa"/>
            <w:gridSpan w:val="6"/>
            <w:vAlign w:val="center"/>
          </w:tcPr>
          <w:p>
            <w:pPr>
              <w:spacing w:line="288" w:lineRule="auto"/>
              <w:ind w:firstLine="0" w:firstLineChars="0"/>
              <w:rPr>
                <w:color w:val="auto"/>
                <w:sz w:val="21"/>
                <w:szCs w:val="21"/>
                <w:highlight w:val="none"/>
              </w:rPr>
            </w:pPr>
            <w:r>
              <w:rPr>
                <w:color w:val="auto"/>
                <w:sz w:val="21"/>
                <w:szCs w:val="21"/>
                <w:highlight w:val="none"/>
              </w:rPr>
              <w:t>合计：</w:t>
            </w:r>
          </w:p>
        </w:tc>
        <w:tc>
          <w:tcPr>
            <w:tcW w:w="1327" w:type="dxa"/>
            <w:vAlign w:val="center"/>
          </w:tcPr>
          <w:p>
            <w:pPr>
              <w:spacing w:line="288" w:lineRule="auto"/>
              <w:ind w:firstLine="0" w:firstLineChars="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 w:hRule="atLeast"/>
          <w:jc w:val="center"/>
        </w:trPr>
        <w:tc>
          <w:tcPr>
            <w:tcW w:w="9136" w:type="dxa"/>
            <w:gridSpan w:val="7"/>
            <w:vAlign w:val="center"/>
          </w:tcPr>
          <w:p>
            <w:pPr>
              <w:spacing w:line="288" w:lineRule="auto"/>
              <w:ind w:firstLine="0" w:firstLineChars="0"/>
              <w:rPr>
                <w:color w:val="auto"/>
                <w:sz w:val="21"/>
                <w:szCs w:val="21"/>
                <w:highlight w:val="none"/>
              </w:rPr>
            </w:pPr>
            <w:r>
              <w:rPr>
                <w:color w:val="auto"/>
                <w:sz w:val="21"/>
                <w:szCs w:val="21"/>
                <w:highlight w:val="none"/>
              </w:rPr>
              <w:t xml:space="preserve">合同总价（人民币大写）： </w:t>
            </w:r>
          </w:p>
        </w:tc>
      </w:tr>
    </w:tbl>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注：以上合同总价包括完成所有产品供货及履行所有规定服务所产生的全部税费，型号规格材质在清单中未标明的，以投标文件、招标文件标注的为准。</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第二条：质量保证</w:t>
      </w:r>
    </w:p>
    <w:p>
      <w:pPr>
        <w:pStyle w:val="20"/>
        <w:spacing w:line="288" w:lineRule="auto"/>
        <w:ind w:firstLine="420" w:firstLineChars="200"/>
        <w:rPr>
          <w:rFonts w:hAnsi="宋体"/>
          <w:color w:val="auto"/>
          <w:szCs w:val="21"/>
          <w:highlight w:val="none"/>
        </w:rPr>
      </w:pPr>
      <w:r>
        <w:rPr>
          <w:rFonts w:hAnsi="宋体"/>
          <w:color w:val="auto"/>
          <w:szCs w:val="21"/>
          <w:highlight w:val="none"/>
        </w:rPr>
        <w:t>乙方保证所供货物是</w:t>
      </w:r>
      <w:r>
        <w:rPr>
          <w:rFonts w:ascii="Times New Roman" w:hAnsi="Times New Roman"/>
          <w:color w:val="auto"/>
          <w:szCs w:val="21"/>
          <w:highlight w:val="none"/>
        </w:rPr>
        <w:t>20</w:t>
      </w:r>
      <w:r>
        <w:rPr>
          <w:rFonts w:ascii="Times New Roman" w:hAnsi="Times New Roman"/>
          <w:color w:val="auto"/>
          <w:szCs w:val="21"/>
          <w:highlight w:val="none"/>
          <w:u w:val="single"/>
        </w:rPr>
        <w:t>1</w:t>
      </w:r>
      <w:r>
        <w:rPr>
          <w:rFonts w:hint="eastAsia" w:ascii="Times New Roman" w:hAnsi="Times New Roman"/>
          <w:color w:val="auto"/>
          <w:szCs w:val="21"/>
          <w:highlight w:val="none"/>
          <w:u w:val="single"/>
        </w:rPr>
        <w:t xml:space="preserve">  </w:t>
      </w:r>
      <w:r>
        <w:rPr>
          <w:rFonts w:hAnsi="宋体"/>
          <w:color w:val="auto"/>
          <w:szCs w:val="21"/>
          <w:highlight w:val="none"/>
        </w:rPr>
        <w:t>年</w:t>
      </w:r>
      <w:r>
        <w:rPr>
          <w:rFonts w:hint="eastAsia" w:ascii="Times New Roman" w:hAnsi="Times New Roman"/>
          <w:color w:val="auto"/>
          <w:szCs w:val="21"/>
          <w:highlight w:val="none"/>
          <w:u w:val="single"/>
        </w:rPr>
        <w:t xml:space="preserve">   </w:t>
      </w:r>
      <w:r>
        <w:rPr>
          <w:rFonts w:hAnsi="宋体"/>
          <w:color w:val="auto"/>
          <w:szCs w:val="21"/>
          <w:highlight w:val="none"/>
        </w:rPr>
        <w:t>月份后生产的符合本合同约定和国家技术标准的原厂全新合格产品；否则，甲方有权拒收或有权随时退货并要求乙方退还全款和支付总价款</w:t>
      </w:r>
      <w:r>
        <w:rPr>
          <w:rFonts w:ascii="Times New Roman" w:hAnsi="Times New Roman"/>
          <w:color w:val="auto"/>
          <w:szCs w:val="21"/>
          <w:highlight w:val="none"/>
        </w:rPr>
        <w:t>20%</w:t>
      </w:r>
      <w:r>
        <w:rPr>
          <w:rFonts w:hAnsi="宋体"/>
          <w:color w:val="auto"/>
          <w:szCs w:val="21"/>
          <w:highlight w:val="none"/>
        </w:rPr>
        <w:t>的违约金，由此产生的一切责任和后果由乙方承担。</w:t>
      </w:r>
    </w:p>
    <w:p>
      <w:pPr>
        <w:pStyle w:val="20"/>
        <w:spacing w:line="288" w:lineRule="auto"/>
        <w:ind w:firstLine="420" w:firstLineChars="200"/>
        <w:rPr>
          <w:rFonts w:hAnsi="宋体"/>
          <w:color w:val="auto"/>
          <w:szCs w:val="21"/>
          <w:highlight w:val="none"/>
        </w:rPr>
      </w:pPr>
      <w:r>
        <w:rPr>
          <w:rFonts w:hint="eastAsia" w:hAnsi="宋体"/>
          <w:color w:val="auto"/>
          <w:szCs w:val="21"/>
          <w:highlight w:val="none"/>
        </w:rPr>
        <w:t>乙方应根据运输距离及货物防潮、防锈、防震、防水、防破损等要求对货物实行包装，确保货物安全、完好送达甲方。</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第三条：交货时间、地点</w:t>
      </w:r>
    </w:p>
    <w:p>
      <w:pPr>
        <w:pStyle w:val="20"/>
        <w:spacing w:line="288" w:lineRule="auto"/>
        <w:ind w:left="34" w:firstLine="420" w:firstLineChars="200"/>
        <w:rPr>
          <w:rFonts w:ascii="Times New Roman" w:hAnsi="Times New Roman"/>
          <w:color w:val="auto"/>
          <w:szCs w:val="21"/>
          <w:highlight w:val="none"/>
        </w:rPr>
      </w:pPr>
      <w:r>
        <w:rPr>
          <w:rFonts w:hAnsi="宋体"/>
          <w:color w:val="auto"/>
          <w:szCs w:val="21"/>
          <w:highlight w:val="none"/>
        </w:rPr>
        <w:t>乙方应在</w:t>
      </w:r>
      <w:r>
        <w:rPr>
          <w:rFonts w:ascii="Times New Roman" w:hAnsi="Times New Roman"/>
          <w:color w:val="auto"/>
          <w:szCs w:val="21"/>
          <w:highlight w:val="none"/>
        </w:rPr>
        <w:t>20</w:t>
      </w:r>
      <w:r>
        <w:rPr>
          <w:rFonts w:ascii="Times New Roman" w:hAnsi="Times New Roman"/>
          <w:color w:val="auto"/>
          <w:szCs w:val="21"/>
          <w:highlight w:val="none"/>
          <w:u w:val="single"/>
        </w:rPr>
        <w:t>1</w:t>
      </w:r>
      <w:r>
        <w:rPr>
          <w:rFonts w:hint="eastAsia" w:ascii="Times New Roman" w:hAnsi="Times New Roman"/>
          <w:color w:val="auto"/>
          <w:szCs w:val="21"/>
          <w:highlight w:val="none"/>
          <w:u w:val="single"/>
        </w:rPr>
        <w:t xml:space="preserve">  </w:t>
      </w:r>
      <w:r>
        <w:rPr>
          <w:rFonts w:hAnsi="宋体"/>
          <w:color w:val="auto"/>
          <w:szCs w:val="21"/>
          <w:highlight w:val="none"/>
        </w:rPr>
        <w:t>年</w:t>
      </w:r>
      <w:r>
        <w:rPr>
          <w:rFonts w:hint="eastAsia" w:hAnsi="宋体"/>
          <w:color w:val="auto"/>
          <w:szCs w:val="21"/>
          <w:highlight w:val="none"/>
          <w:u w:val="single"/>
        </w:rPr>
        <w:t xml:space="preserve">   </w:t>
      </w:r>
      <w:r>
        <w:rPr>
          <w:rFonts w:hAnsi="宋体"/>
          <w:color w:val="auto"/>
          <w:szCs w:val="21"/>
          <w:highlight w:val="none"/>
        </w:rPr>
        <w:t>月</w:t>
      </w:r>
      <w:r>
        <w:rPr>
          <w:rFonts w:hint="eastAsia" w:ascii="Times New Roman" w:hAnsi="Times New Roman"/>
          <w:color w:val="auto"/>
          <w:szCs w:val="21"/>
          <w:highlight w:val="none"/>
          <w:u w:val="single"/>
        </w:rPr>
        <w:t xml:space="preserve">    </w:t>
      </w:r>
      <w:r>
        <w:rPr>
          <w:rFonts w:hAnsi="宋体"/>
          <w:color w:val="auto"/>
          <w:szCs w:val="21"/>
          <w:highlight w:val="none"/>
        </w:rPr>
        <w:t>日前，将货物运送至甲方</w:t>
      </w:r>
      <w:r>
        <w:rPr>
          <w:rFonts w:hint="eastAsia" w:hAnsi="宋体"/>
          <w:color w:val="auto"/>
          <w:szCs w:val="21"/>
          <w:highlight w:val="none"/>
          <w:u w:val="single"/>
        </w:rPr>
        <w:t xml:space="preserve">     </w:t>
      </w:r>
      <w:r>
        <w:rPr>
          <w:rFonts w:hint="eastAsia" w:hAnsi="宋体"/>
          <w:color w:val="auto"/>
          <w:szCs w:val="21"/>
          <w:highlight w:val="none"/>
        </w:rPr>
        <w:t>校区</w:t>
      </w:r>
      <w:r>
        <w:rPr>
          <w:rFonts w:hAnsi="宋体"/>
          <w:color w:val="auto"/>
          <w:szCs w:val="21"/>
          <w:highlight w:val="none"/>
        </w:rPr>
        <w:t>所在地，并完成安装调试摆放</w:t>
      </w:r>
      <w:r>
        <w:rPr>
          <w:rFonts w:hint="eastAsia" w:hAnsi="宋体"/>
          <w:color w:val="auto"/>
          <w:szCs w:val="21"/>
          <w:highlight w:val="none"/>
        </w:rPr>
        <w:t>，经甲方验收合格</w:t>
      </w:r>
      <w:r>
        <w:rPr>
          <w:rFonts w:hAnsi="宋体"/>
          <w:color w:val="auto"/>
          <w:szCs w:val="21"/>
          <w:highlight w:val="none"/>
        </w:rPr>
        <w:t>。同时向甲方提供货物的</w:t>
      </w:r>
      <w:r>
        <w:rPr>
          <w:rFonts w:hint="eastAsia" w:hAnsi="宋体"/>
          <w:color w:val="auto"/>
          <w:szCs w:val="21"/>
          <w:highlight w:val="none"/>
        </w:rPr>
        <w:t>合格证、质量保证书或保修卡</w:t>
      </w:r>
      <w:r>
        <w:rPr>
          <w:rFonts w:hAnsi="宋体"/>
          <w:color w:val="auto"/>
          <w:szCs w:val="21"/>
          <w:highlight w:val="none"/>
        </w:rPr>
        <w:t>、使用说明等必备资料和必备配附件。</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第四条：售后服务</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Ansi="宋体"/>
          <w:color w:val="auto"/>
          <w:szCs w:val="21"/>
          <w:highlight w:val="none"/>
        </w:rPr>
        <w:t>乙方提供的货物质保期为</w:t>
      </w:r>
      <w:r>
        <w:rPr>
          <w:rFonts w:hint="eastAsia" w:ascii="Times New Roman" w:hAnsi="Times New Roman"/>
          <w:color w:val="auto"/>
          <w:szCs w:val="21"/>
          <w:highlight w:val="none"/>
          <w:u w:val="single"/>
        </w:rPr>
        <w:t xml:space="preserve">    </w:t>
      </w:r>
      <w:r>
        <w:rPr>
          <w:rFonts w:hAnsi="宋体"/>
          <w:color w:val="auto"/>
          <w:szCs w:val="21"/>
          <w:highlight w:val="none"/>
        </w:rPr>
        <w:t>年，从货物验收合格交付甲方</w:t>
      </w:r>
      <w:r>
        <w:rPr>
          <w:rFonts w:hint="eastAsia" w:hAnsi="宋体"/>
          <w:color w:val="auto"/>
          <w:szCs w:val="21"/>
          <w:highlight w:val="none"/>
        </w:rPr>
        <w:t>正常</w:t>
      </w:r>
      <w:r>
        <w:rPr>
          <w:rFonts w:hAnsi="宋体"/>
          <w:color w:val="auto"/>
          <w:szCs w:val="21"/>
          <w:highlight w:val="none"/>
        </w:rPr>
        <w:t>使用之日起算，除人为原因造成的故障外，保修包换；质保期满后，乙方负责提供配件和维修服务，酌收备件成本费用，易损件长期提供。</w:t>
      </w:r>
    </w:p>
    <w:p>
      <w:pPr>
        <w:pStyle w:val="20"/>
        <w:spacing w:line="288" w:lineRule="auto"/>
        <w:ind w:right="-125" w:rightChars="-52"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Ansi="宋体"/>
          <w:color w:val="auto"/>
          <w:szCs w:val="21"/>
          <w:highlight w:val="none"/>
        </w:rPr>
        <w:t>乙方保证所供货物发生故障时，最迟在</w:t>
      </w:r>
      <w:r>
        <w:rPr>
          <w:rFonts w:ascii="Times New Roman" w:hAnsi="Times New Roman"/>
          <w:color w:val="auto"/>
          <w:szCs w:val="21"/>
          <w:highlight w:val="none"/>
        </w:rPr>
        <w:t>48</w:t>
      </w:r>
      <w:r>
        <w:rPr>
          <w:rFonts w:hAnsi="宋体"/>
          <w:color w:val="auto"/>
          <w:szCs w:val="21"/>
          <w:highlight w:val="none"/>
        </w:rPr>
        <w:t>小时内修复，并采取提供临时替用品等措施，以保证甲方的正常工作。</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第五条：验收</w:t>
      </w:r>
    </w:p>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乙方将所供货物运至甲方并完成安装调试后，由甲方组织验收。货物从验收合格交付甲方使用次日起</w:t>
      </w:r>
      <w:r>
        <w:rPr>
          <w:rFonts w:ascii="Times New Roman" w:hAnsi="Times New Roman"/>
          <w:color w:val="auto"/>
          <w:szCs w:val="21"/>
          <w:highlight w:val="none"/>
        </w:rPr>
        <w:t>30</w:t>
      </w:r>
      <w:r>
        <w:rPr>
          <w:rFonts w:hAnsi="宋体"/>
          <w:color w:val="auto"/>
          <w:szCs w:val="21"/>
          <w:highlight w:val="none"/>
        </w:rPr>
        <w:t>天内（不含修理期），出现非甲方人为因素造成的无法排除的故障，或经两次修理后仍不能使用的，乙方除调换或退货外，还应向甲方支付合同总价款</w:t>
      </w:r>
      <w:r>
        <w:rPr>
          <w:rFonts w:ascii="Times New Roman" w:hAnsi="Times New Roman"/>
          <w:color w:val="auto"/>
          <w:szCs w:val="21"/>
          <w:highlight w:val="none"/>
        </w:rPr>
        <w:t>20%</w:t>
      </w:r>
      <w:r>
        <w:rPr>
          <w:rFonts w:hAnsi="宋体"/>
          <w:color w:val="auto"/>
          <w:szCs w:val="21"/>
          <w:highlight w:val="none"/>
        </w:rPr>
        <w:t>的违约金。</w:t>
      </w:r>
    </w:p>
    <w:p>
      <w:pPr>
        <w:spacing w:line="288" w:lineRule="auto"/>
        <w:ind w:firstLine="422"/>
        <w:rPr>
          <w:rFonts w:ascii="宋体" w:hAnsi="宋体" w:cs="宋体"/>
          <w:b/>
          <w:color w:val="auto"/>
          <w:sz w:val="21"/>
          <w:szCs w:val="21"/>
          <w:highlight w:val="none"/>
        </w:rPr>
      </w:pPr>
      <w:r>
        <w:rPr>
          <w:rFonts w:hint="eastAsia" w:ascii="宋体" w:hAnsi="宋体" w:cs="宋体"/>
          <w:b/>
          <w:color w:val="auto"/>
          <w:sz w:val="21"/>
          <w:szCs w:val="21"/>
          <w:highlight w:val="none"/>
        </w:rPr>
        <w:t>第六条：履约保证金</w:t>
      </w:r>
    </w:p>
    <w:p>
      <w:pPr>
        <w:pStyle w:val="20"/>
        <w:spacing w:line="288" w:lineRule="auto"/>
        <w:ind w:firstLine="420" w:firstLineChars="200"/>
        <w:rPr>
          <w:rFonts w:hAnsi="宋体"/>
          <w:color w:val="auto"/>
          <w:szCs w:val="21"/>
          <w:highlight w:val="none"/>
        </w:rPr>
      </w:pPr>
      <w:r>
        <w:rPr>
          <w:rFonts w:hint="eastAsia" w:hAnsi="宋体"/>
          <w:color w:val="auto"/>
          <w:szCs w:val="21"/>
          <w:highlight w:val="none"/>
        </w:rPr>
        <w:t>合同总价的5%作为履约保证金，合同签订后七个工作日内由乙方交入甲方账户，在甲方验收合格并正常使用满一年后确认乙方无违约行为后无息返还给乙方（遇寒暑假及国定假日顺延）。</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第七条：付款方式</w:t>
      </w:r>
    </w:p>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货物自乙方送达甲方指定地点，安装调试摆放完毕并经甲方验收合格和正常运行</w:t>
      </w:r>
      <w:r>
        <w:rPr>
          <w:rFonts w:hint="eastAsia" w:hAnsi="宋体"/>
          <w:color w:val="auto"/>
          <w:szCs w:val="21"/>
          <w:highlight w:val="none"/>
        </w:rPr>
        <w:t>（使用）</w:t>
      </w:r>
      <w:r>
        <w:rPr>
          <w:rFonts w:hAnsi="宋体"/>
          <w:color w:val="auto"/>
          <w:szCs w:val="21"/>
          <w:highlight w:val="none"/>
        </w:rPr>
        <w:t>后的两周内，甲方收到乙方开具的正规发票后向乙方全额支付合同总额，即</w:t>
      </w:r>
      <w:r>
        <w:rPr>
          <w:rFonts w:ascii="Times New Roman" w:hAnsi="Times New Roman"/>
          <w:color w:val="auto"/>
          <w:szCs w:val="21"/>
          <w:highlight w:val="none"/>
        </w:rPr>
        <w:t>¥</w:t>
      </w:r>
      <w:r>
        <w:rPr>
          <w:rFonts w:hint="eastAsia" w:ascii="Times New Roman" w:hAnsi="Times New Roman"/>
          <w:color w:val="auto"/>
          <w:szCs w:val="21"/>
          <w:highlight w:val="none"/>
          <w:u w:val="single"/>
        </w:rPr>
        <w:t xml:space="preserve">    </w:t>
      </w:r>
      <w:r>
        <w:rPr>
          <w:rFonts w:hAnsi="宋体"/>
          <w:color w:val="auto"/>
          <w:szCs w:val="21"/>
          <w:highlight w:val="none"/>
        </w:rPr>
        <w:t>元（大写：</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整 </w:t>
      </w:r>
      <w:r>
        <w:rPr>
          <w:rFonts w:hAnsi="宋体"/>
          <w:color w:val="auto"/>
          <w:szCs w:val="21"/>
          <w:highlight w:val="none"/>
        </w:rPr>
        <w:t>）。</w:t>
      </w:r>
    </w:p>
    <w:p>
      <w:pPr>
        <w:pStyle w:val="20"/>
        <w:spacing w:line="288" w:lineRule="auto"/>
        <w:ind w:firstLine="422" w:firstLineChars="200"/>
        <w:rPr>
          <w:rFonts w:hAnsi="宋体"/>
          <w:b/>
          <w:color w:val="auto"/>
          <w:szCs w:val="21"/>
          <w:highlight w:val="none"/>
        </w:rPr>
      </w:pPr>
      <w:r>
        <w:rPr>
          <w:rFonts w:hAnsi="宋体"/>
          <w:b/>
          <w:color w:val="auto"/>
          <w:szCs w:val="21"/>
          <w:highlight w:val="none"/>
        </w:rPr>
        <w:t>第八条：违约责任</w:t>
      </w:r>
    </w:p>
    <w:p>
      <w:pPr>
        <w:pStyle w:val="20"/>
        <w:spacing w:line="288"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1.乙方具有不按合同要求供货、单方面不履行合同义务等违约行为的，乙方除退还甲方所付全部款项外，还应支付给甲方合同总货款20％的违约赔偿金。</w:t>
      </w:r>
    </w:p>
    <w:p>
      <w:pPr>
        <w:pStyle w:val="20"/>
        <w:spacing w:line="288"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2</w:t>
      </w:r>
      <w:r>
        <w:rPr>
          <w:rFonts w:ascii="Times New Roman" w:hAnsi="Times New Roman"/>
          <w:color w:val="auto"/>
          <w:szCs w:val="21"/>
          <w:highlight w:val="none"/>
        </w:rPr>
        <w:t>.</w:t>
      </w:r>
      <w:r>
        <w:rPr>
          <w:rFonts w:hAnsi="宋体"/>
          <w:color w:val="auto"/>
          <w:szCs w:val="21"/>
          <w:highlight w:val="none"/>
        </w:rPr>
        <w:t>乙方逾期履行合同义务的，应向甲方偿付合同总价万分之五每日的违约金。</w:t>
      </w:r>
      <w:r>
        <w:rPr>
          <w:rFonts w:hint="eastAsia" w:hAnsi="宋体"/>
          <w:color w:val="auto"/>
          <w:szCs w:val="21"/>
          <w:highlight w:val="none"/>
        </w:rPr>
        <w:t>逾期超5天以上的，逾期部分应向甲方偿付合同总价千分之五每日的违约金。</w:t>
      </w:r>
    </w:p>
    <w:p>
      <w:pPr>
        <w:pStyle w:val="20"/>
        <w:spacing w:line="288"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3</w:t>
      </w:r>
      <w:r>
        <w:rPr>
          <w:rFonts w:ascii="Times New Roman" w:hAnsi="Times New Roman"/>
          <w:color w:val="auto"/>
          <w:szCs w:val="21"/>
          <w:highlight w:val="none"/>
        </w:rPr>
        <w:t>.</w:t>
      </w:r>
      <w:r>
        <w:rPr>
          <w:rFonts w:hAnsi="宋体"/>
          <w:color w:val="auto"/>
          <w:szCs w:val="21"/>
          <w:highlight w:val="none"/>
        </w:rPr>
        <w:t>甲方逾期支付合同</w:t>
      </w:r>
      <w:r>
        <w:rPr>
          <w:rFonts w:hint="eastAsia" w:hAnsi="宋体"/>
          <w:color w:val="auto"/>
          <w:szCs w:val="21"/>
          <w:highlight w:val="none"/>
        </w:rPr>
        <w:t>价款</w:t>
      </w:r>
      <w:r>
        <w:rPr>
          <w:rFonts w:hAnsi="宋体"/>
          <w:color w:val="auto"/>
          <w:szCs w:val="21"/>
          <w:highlight w:val="none"/>
        </w:rPr>
        <w:t>的，应向乙方偿付逾期金额万分之五每日的</w:t>
      </w:r>
      <w:r>
        <w:rPr>
          <w:rFonts w:hint="eastAsia" w:hAnsi="宋体"/>
          <w:color w:val="auto"/>
          <w:szCs w:val="21"/>
          <w:highlight w:val="none"/>
        </w:rPr>
        <w:t>违约金</w:t>
      </w:r>
      <w:r>
        <w:rPr>
          <w:rFonts w:hAnsi="宋体"/>
          <w:color w:val="auto"/>
          <w:szCs w:val="21"/>
          <w:highlight w:val="none"/>
        </w:rPr>
        <w:t>。</w:t>
      </w:r>
    </w:p>
    <w:p>
      <w:pPr>
        <w:pStyle w:val="20"/>
        <w:spacing w:line="288" w:lineRule="auto"/>
        <w:ind w:firstLine="420" w:firstLineChars="200"/>
        <w:rPr>
          <w:rFonts w:hAnsi="宋体"/>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w:t>
      </w:r>
      <w:r>
        <w:rPr>
          <w:rFonts w:hAnsi="宋体"/>
          <w:color w:val="auto"/>
          <w:szCs w:val="21"/>
          <w:highlight w:val="none"/>
        </w:rPr>
        <w:t>货物验收合格交付正常使用之日起一年内，乙方未能全面履行合同约定或有违约行为的，履约保证金不予退还，并按合同价款的</w:t>
      </w:r>
      <w:r>
        <w:rPr>
          <w:rFonts w:hint="eastAsia" w:hAnsi="宋体"/>
          <w:color w:val="auto"/>
          <w:szCs w:val="21"/>
          <w:highlight w:val="none"/>
        </w:rPr>
        <w:t>20%支付违约金</w:t>
      </w:r>
      <w:r>
        <w:rPr>
          <w:rFonts w:hAnsi="宋体"/>
          <w:color w:val="auto"/>
          <w:szCs w:val="21"/>
          <w:highlight w:val="none"/>
        </w:rPr>
        <w:t>。</w:t>
      </w:r>
    </w:p>
    <w:p>
      <w:pPr>
        <w:pStyle w:val="20"/>
        <w:spacing w:line="288" w:lineRule="auto"/>
        <w:ind w:firstLine="420" w:firstLineChars="200"/>
        <w:rPr>
          <w:rFonts w:hAnsi="宋体"/>
          <w:color w:val="auto"/>
          <w:szCs w:val="21"/>
          <w:highlight w:val="none"/>
        </w:rPr>
      </w:pPr>
      <w:r>
        <w:rPr>
          <w:rFonts w:hint="eastAsia" w:hAnsi="宋体"/>
          <w:color w:val="auto"/>
          <w:szCs w:val="21"/>
          <w:highlight w:val="none"/>
        </w:rPr>
        <w:t>5.本合同货物须由乙方直接供应，不得转让、转包、分包他人供应；否则，甲方有权解除合同、拒付（或要求退还）合同价款、没收履约保证金，并要求乙方支付合同价款20%的违约金。</w:t>
      </w:r>
    </w:p>
    <w:p>
      <w:pPr>
        <w:pStyle w:val="20"/>
        <w:spacing w:line="288" w:lineRule="auto"/>
        <w:ind w:firstLine="420" w:firstLineChars="200"/>
        <w:rPr>
          <w:rFonts w:ascii="Times New Roman" w:hAnsi="Times New Roman"/>
          <w:color w:val="auto"/>
          <w:szCs w:val="21"/>
          <w:highlight w:val="none"/>
        </w:rPr>
      </w:pPr>
      <w:r>
        <w:rPr>
          <w:rFonts w:hint="eastAsia" w:hAnsi="宋体"/>
          <w:color w:val="auto"/>
          <w:szCs w:val="21"/>
          <w:highlight w:val="none"/>
        </w:rPr>
        <w:t>6.乙方所供货物侵犯第三方知识产权的，乙方应承担由此造成的所有损失（包括但不限于侵权赔偿款、诉讼费、律师费、向甲方退还已收全款并按合同价款的20%支付违约金等）。</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第九条：争议的解决</w:t>
      </w:r>
    </w:p>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本合同纠纷由双方协商解决，协商不成，由甲方所在地人民法院诉讼解决。</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第十条：合同的生效</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Ansi="宋体"/>
          <w:color w:val="auto"/>
          <w:szCs w:val="21"/>
          <w:highlight w:val="none"/>
        </w:rPr>
        <w:t>本合同经甲、乙双方法定代表人或其委托代理人签字并加盖单位印章后生效。</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Ansi="宋体"/>
          <w:color w:val="auto"/>
          <w:szCs w:val="21"/>
          <w:highlight w:val="none"/>
        </w:rPr>
        <w:t>本合同一式陆份，甲方执肆份，乙方和鉴证方各执壹份，具有同等法律效力。</w:t>
      </w:r>
    </w:p>
    <w:p>
      <w:pPr>
        <w:pStyle w:val="20"/>
        <w:spacing w:line="288" w:lineRule="auto"/>
        <w:ind w:firstLine="420" w:firstLineChars="200"/>
        <w:rPr>
          <w:rFonts w:hAnsi="宋体"/>
          <w:color w:val="auto"/>
          <w:szCs w:val="21"/>
          <w:highlight w:val="none"/>
        </w:rPr>
      </w:pPr>
      <w:r>
        <w:rPr>
          <w:rFonts w:ascii="Times New Roman" w:hAnsi="Times New Roman"/>
          <w:color w:val="auto"/>
          <w:szCs w:val="21"/>
          <w:highlight w:val="none"/>
        </w:rPr>
        <w:t>3.</w:t>
      </w:r>
      <w:r>
        <w:rPr>
          <w:rFonts w:hAnsi="宋体"/>
          <w:color w:val="auto"/>
          <w:szCs w:val="21"/>
          <w:highlight w:val="none"/>
        </w:rPr>
        <w:t>本合同附件及双方的</w:t>
      </w:r>
      <w:r>
        <w:rPr>
          <w:rFonts w:hint="eastAsia" w:hAnsi="宋体"/>
          <w:color w:val="auto"/>
          <w:szCs w:val="21"/>
          <w:highlight w:val="none"/>
        </w:rPr>
        <w:t>招标</w:t>
      </w:r>
      <w:r>
        <w:rPr>
          <w:rFonts w:hAnsi="宋体"/>
          <w:color w:val="auto"/>
          <w:szCs w:val="21"/>
          <w:highlight w:val="none"/>
        </w:rPr>
        <w:t>文件、响应文件、</w:t>
      </w:r>
      <w:r>
        <w:rPr>
          <w:rFonts w:hint="eastAsia" w:hAnsi="宋体"/>
          <w:color w:val="auto"/>
          <w:szCs w:val="21"/>
          <w:highlight w:val="none"/>
        </w:rPr>
        <w:t>询标纪要</w:t>
      </w:r>
      <w:r>
        <w:rPr>
          <w:rFonts w:hAnsi="宋体"/>
          <w:color w:val="auto"/>
          <w:szCs w:val="21"/>
          <w:highlight w:val="none"/>
        </w:rPr>
        <w:t>等系本合同的组成部分。</w:t>
      </w:r>
    </w:p>
    <w:tbl>
      <w:tblPr>
        <w:tblStyle w:val="39"/>
        <w:tblpPr w:leftFromText="180" w:rightFromText="180" w:vertAnchor="text" w:horzAnchor="page" w:tblpX="1255" w:tblpY="132"/>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2"/>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甲方（公章）：</w:t>
            </w:r>
            <w:r>
              <w:rPr>
                <w:rFonts w:hAnsi="宋体"/>
                <w:b/>
                <w:bCs/>
                <w:color w:val="auto"/>
                <w:sz w:val="21"/>
                <w:szCs w:val="21"/>
                <w:highlight w:val="none"/>
              </w:rPr>
              <w:t>浙江中医药大学</w:t>
            </w:r>
          </w:p>
        </w:tc>
        <w:tc>
          <w:tcPr>
            <w:tcW w:w="4533" w:type="dxa"/>
            <w:vAlign w:val="center"/>
          </w:tcPr>
          <w:p>
            <w:pPr>
              <w:ind w:firstLine="396"/>
              <w:rPr>
                <w:color w:val="auto"/>
                <w:spacing w:val="-6"/>
                <w:sz w:val="21"/>
                <w:szCs w:val="21"/>
                <w:highlight w:val="none"/>
              </w:rPr>
            </w:pPr>
            <w:r>
              <w:rPr>
                <w:rFonts w:hAnsi="宋体"/>
                <w:color w:val="auto"/>
                <w:spacing w:val="-6"/>
                <w:sz w:val="21"/>
                <w:szCs w:val="21"/>
                <w:highlight w:val="none"/>
              </w:rPr>
              <w:t>乙方（公章）：</w:t>
            </w:r>
            <w:r>
              <w:rPr>
                <w:color w:val="auto"/>
                <w:spacing w:val="-6"/>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法定代表人或其委托代理人：</w:t>
            </w:r>
          </w:p>
          <w:p>
            <w:pPr>
              <w:ind w:firstLine="396"/>
              <w:rPr>
                <w:color w:val="auto"/>
                <w:spacing w:val="-6"/>
                <w:sz w:val="21"/>
                <w:szCs w:val="21"/>
                <w:highlight w:val="none"/>
              </w:rPr>
            </w:pPr>
            <w:r>
              <w:rPr>
                <w:color w:val="auto"/>
                <w:spacing w:val="-6"/>
                <w:sz w:val="21"/>
                <w:szCs w:val="21"/>
                <w:highlight w:val="none"/>
              </w:rPr>
              <w:t>(</w:t>
            </w:r>
            <w:r>
              <w:rPr>
                <w:rFonts w:hAnsi="宋体"/>
                <w:color w:val="auto"/>
                <w:spacing w:val="-6"/>
                <w:sz w:val="21"/>
                <w:szCs w:val="21"/>
                <w:highlight w:val="none"/>
              </w:rPr>
              <w:t>签字）</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法定代表人或其委托代理人：</w:t>
            </w:r>
          </w:p>
          <w:p>
            <w:pPr>
              <w:ind w:firstLine="396"/>
              <w:rPr>
                <w:rFonts w:hAnsi="宋体"/>
                <w:color w:val="auto"/>
                <w:spacing w:val="-6"/>
                <w:sz w:val="21"/>
                <w:szCs w:val="21"/>
                <w:highlight w:val="none"/>
              </w:rPr>
            </w:pPr>
            <w:r>
              <w:rPr>
                <w:rFonts w:hAnsi="宋体"/>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地址：浙江省杭州市滨江滨文路</w:t>
            </w:r>
            <w:r>
              <w:rPr>
                <w:color w:val="auto"/>
                <w:spacing w:val="-6"/>
                <w:sz w:val="21"/>
                <w:szCs w:val="21"/>
                <w:highlight w:val="none"/>
              </w:rPr>
              <w:t>548</w:t>
            </w:r>
            <w:r>
              <w:rPr>
                <w:rFonts w:hAnsi="宋体"/>
                <w:color w:val="auto"/>
                <w:spacing w:val="-6"/>
                <w:sz w:val="21"/>
                <w:szCs w:val="21"/>
                <w:highlight w:val="none"/>
              </w:rPr>
              <w:t>号</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邮编：</w:t>
            </w:r>
            <w:r>
              <w:rPr>
                <w:color w:val="auto"/>
                <w:sz w:val="21"/>
                <w:szCs w:val="21"/>
                <w:highlight w:val="none"/>
              </w:rPr>
              <w:t>310053</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电话：</w:t>
            </w:r>
            <w:r>
              <w:rPr>
                <w:color w:val="auto"/>
                <w:sz w:val="21"/>
                <w:szCs w:val="21"/>
                <w:highlight w:val="none"/>
              </w:rPr>
              <w:t>0571--86613563</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传真：</w:t>
            </w:r>
            <w:r>
              <w:rPr>
                <w:color w:val="auto"/>
                <w:sz w:val="21"/>
                <w:szCs w:val="21"/>
                <w:highlight w:val="none"/>
              </w:rPr>
              <w:t>0571--86613563</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传真：</w:t>
            </w:r>
            <w:r>
              <w:rPr>
                <w:rFonts w:hAnsi="宋体"/>
                <w:color w:val="auto"/>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电子邮箱：</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开户银行：</w:t>
            </w:r>
            <w:r>
              <w:rPr>
                <w:rFonts w:hAnsi="宋体"/>
                <w:color w:val="auto"/>
                <w:sz w:val="21"/>
                <w:szCs w:val="21"/>
                <w:highlight w:val="none"/>
              </w:rPr>
              <w:t>工商银行景江苑支行</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vAlign w:val="center"/>
          </w:tcPr>
          <w:p>
            <w:pPr>
              <w:ind w:firstLine="396"/>
              <w:rPr>
                <w:color w:val="auto"/>
                <w:spacing w:val="-6"/>
                <w:sz w:val="21"/>
                <w:szCs w:val="21"/>
                <w:highlight w:val="none"/>
              </w:rPr>
            </w:pPr>
            <w:r>
              <w:rPr>
                <w:rFonts w:hAnsi="宋体"/>
                <w:color w:val="auto"/>
                <w:spacing w:val="-6"/>
                <w:sz w:val="21"/>
                <w:szCs w:val="21"/>
                <w:highlight w:val="none"/>
              </w:rPr>
              <w:t>帐号：</w:t>
            </w:r>
            <w:r>
              <w:rPr>
                <w:color w:val="auto"/>
                <w:sz w:val="21"/>
                <w:szCs w:val="21"/>
                <w:highlight w:val="none"/>
              </w:rPr>
              <w:t>1202023419100001174</w:t>
            </w:r>
          </w:p>
        </w:tc>
        <w:tc>
          <w:tcPr>
            <w:tcW w:w="4533" w:type="dxa"/>
            <w:vAlign w:val="center"/>
          </w:tcPr>
          <w:p>
            <w:pPr>
              <w:ind w:firstLine="396"/>
              <w:rPr>
                <w:rFonts w:hAnsi="宋体"/>
                <w:color w:val="auto"/>
                <w:spacing w:val="-6"/>
                <w:sz w:val="21"/>
                <w:szCs w:val="21"/>
                <w:highlight w:val="none"/>
              </w:rPr>
            </w:pPr>
            <w:r>
              <w:rPr>
                <w:rFonts w:hAnsi="宋体"/>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合同签订地点：浙江省杭州市滨江滨文路</w:t>
            </w:r>
            <w:r>
              <w:rPr>
                <w:color w:val="auto"/>
                <w:spacing w:val="-6"/>
                <w:sz w:val="21"/>
                <w:szCs w:val="21"/>
                <w:highlight w:val="none"/>
              </w:rPr>
              <w:t>548</w:t>
            </w:r>
            <w:r>
              <w:rPr>
                <w:rFonts w:hAnsi="宋体"/>
                <w:color w:val="auto"/>
                <w:spacing w:val="-6"/>
                <w:sz w:val="21"/>
                <w:szCs w:val="21"/>
                <w:highlight w:val="none"/>
              </w:rPr>
              <w:t>号</w:t>
            </w:r>
            <w:r>
              <w:rPr>
                <w:color w:val="auto"/>
                <w:spacing w:val="-6"/>
                <w:sz w:val="21"/>
                <w:szCs w:val="21"/>
                <w:highlight w:val="none"/>
              </w:rPr>
              <w:t xml:space="preserve">              </w:t>
            </w:r>
            <w:r>
              <w:rPr>
                <w:rFonts w:hAnsi="宋体"/>
                <w:color w:val="auto"/>
                <w:spacing w:val="-6"/>
                <w:sz w:val="21"/>
                <w:szCs w:val="21"/>
                <w:highlight w:val="none"/>
              </w:rPr>
              <w:t>签订时间：</w:t>
            </w:r>
            <w:r>
              <w:rPr>
                <w:color w:val="auto"/>
                <w:spacing w:val="-6"/>
                <w:sz w:val="21"/>
                <w:szCs w:val="21"/>
                <w:highlight w:val="none"/>
              </w:rPr>
              <w:t xml:space="preserve">      </w:t>
            </w:r>
            <w:r>
              <w:rPr>
                <w:rFonts w:hint="eastAsia"/>
                <w:color w:val="auto"/>
                <w:spacing w:val="-6"/>
                <w:sz w:val="21"/>
                <w:szCs w:val="21"/>
                <w:highlight w:val="none"/>
              </w:rPr>
              <w:t xml:space="preserve"> </w:t>
            </w:r>
            <w:r>
              <w:rPr>
                <w:rFonts w:hAnsi="宋体"/>
                <w:color w:val="auto"/>
                <w:spacing w:val="-6"/>
                <w:sz w:val="21"/>
                <w:szCs w:val="21"/>
                <w:highlight w:val="none"/>
              </w:rPr>
              <w:t>年</w:t>
            </w:r>
            <w:r>
              <w:rPr>
                <w:color w:val="auto"/>
                <w:spacing w:val="-6"/>
                <w:sz w:val="21"/>
                <w:szCs w:val="21"/>
                <w:highlight w:val="none"/>
              </w:rPr>
              <w:t xml:space="preserve"> </w:t>
            </w:r>
            <w:r>
              <w:rPr>
                <w:rFonts w:hint="eastAsia"/>
                <w:color w:val="auto"/>
                <w:spacing w:val="-6"/>
                <w:sz w:val="21"/>
                <w:szCs w:val="21"/>
                <w:highlight w:val="none"/>
              </w:rPr>
              <w:t xml:space="preserve"> </w:t>
            </w:r>
            <w:r>
              <w:rPr>
                <w:color w:val="auto"/>
                <w:spacing w:val="-6"/>
                <w:sz w:val="21"/>
                <w:szCs w:val="21"/>
                <w:highlight w:val="none"/>
              </w:rPr>
              <w:t xml:space="preserve"> </w:t>
            </w:r>
            <w:r>
              <w:rPr>
                <w:rFonts w:hAnsi="宋体"/>
                <w:color w:val="auto"/>
                <w:spacing w:val="-6"/>
                <w:sz w:val="21"/>
                <w:szCs w:val="21"/>
                <w:highlight w:val="none"/>
              </w:rPr>
              <w:t>月</w:t>
            </w:r>
            <w:r>
              <w:rPr>
                <w:color w:val="auto"/>
                <w:spacing w:val="-6"/>
                <w:sz w:val="21"/>
                <w:szCs w:val="21"/>
                <w:highlight w:val="none"/>
              </w:rPr>
              <w:t xml:space="preserve"> </w:t>
            </w:r>
            <w:r>
              <w:rPr>
                <w:rFonts w:hint="eastAsia"/>
                <w:color w:val="auto"/>
                <w:spacing w:val="-6"/>
                <w:sz w:val="21"/>
                <w:szCs w:val="21"/>
                <w:highlight w:val="none"/>
              </w:rPr>
              <w:t xml:space="preserve"> </w:t>
            </w:r>
            <w:r>
              <w:rPr>
                <w:color w:val="auto"/>
                <w:spacing w:val="-6"/>
                <w:sz w:val="21"/>
                <w:szCs w:val="21"/>
                <w:highlight w:val="none"/>
              </w:rPr>
              <w:t xml:space="preserve"> </w:t>
            </w:r>
            <w:r>
              <w:rPr>
                <w:rFonts w:hAnsi="宋体"/>
                <w:color w:val="auto"/>
                <w:spacing w:val="-6"/>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合同鉴证方（公章）：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420"/>
              <w:rPr>
                <w:color w:val="auto"/>
                <w:spacing w:val="-6"/>
                <w:sz w:val="21"/>
                <w:szCs w:val="21"/>
                <w:highlight w:val="none"/>
              </w:rPr>
            </w:pPr>
            <w:r>
              <w:rPr>
                <w:rFonts w:hAnsi="宋体"/>
                <w:color w:val="auto"/>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代表人：</w:t>
            </w:r>
          </w:p>
          <w:p>
            <w:pPr>
              <w:ind w:firstLine="396"/>
              <w:rPr>
                <w:color w:val="auto"/>
                <w:spacing w:val="-6"/>
                <w:sz w:val="21"/>
                <w:szCs w:val="21"/>
                <w:highlight w:val="none"/>
              </w:rPr>
            </w:pPr>
            <w:r>
              <w:rPr>
                <w:color w:val="auto"/>
                <w:spacing w:val="-6"/>
                <w:sz w:val="21"/>
                <w:szCs w:val="21"/>
                <w:highlight w:val="none"/>
              </w:rPr>
              <w:t>(</w:t>
            </w:r>
            <w:r>
              <w:rPr>
                <w:rFonts w:hAnsi="宋体"/>
                <w:color w:val="auto"/>
                <w:spacing w:val="-6"/>
                <w:sz w:val="21"/>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vAlign w:val="center"/>
          </w:tcPr>
          <w:p>
            <w:pPr>
              <w:ind w:firstLine="396"/>
              <w:rPr>
                <w:color w:val="auto"/>
                <w:spacing w:val="-6"/>
                <w:sz w:val="21"/>
                <w:szCs w:val="21"/>
                <w:highlight w:val="none"/>
              </w:rPr>
            </w:pPr>
            <w:r>
              <w:rPr>
                <w:rFonts w:hAnsi="宋体"/>
                <w:color w:val="auto"/>
                <w:spacing w:val="-6"/>
                <w:sz w:val="21"/>
                <w:szCs w:val="21"/>
                <w:highlight w:val="none"/>
              </w:rPr>
              <w:t>电话：</w:t>
            </w:r>
            <w:r>
              <w:rPr>
                <w:color w:val="auto"/>
                <w:spacing w:val="-6"/>
                <w:sz w:val="21"/>
                <w:szCs w:val="21"/>
                <w:highlight w:val="none"/>
              </w:rPr>
              <w:t xml:space="preserve">                                </w:t>
            </w:r>
            <w:r>
              <w:rPr>
                <w:rFonts w:hAnsi="宋体"/>
                <w:color w:val="auto"/>
                <w:spacing w:val="-6"/>
                <w:sz w:val="21"/>
                <w:szCs w:val="21"/>
                <w:highlight w:val="none"/>
              </w:rPr>
              <w:t>鉴证时间：</w:t>
            </w:r>
            <w:r>
              <w:rPr>
                <w:color w:val="auto"/>
                <w:spacing w:val="-6"/>
                <w:sz w:val="21"/>
                <w:szCs w:val="21"/>
                <w:highlight w:val="none"/>
              </w:rPr>
              <w:t xml:space="preserve">    </w:t>
            </w:r>
            <w:r>
              <w:rPr>
                <w:rFonts w:hAnsi="宋体"/>
                <w:color w:val="auto"/>
                <w:spacing w:val="-6"/>
                <w:sz w:val="21"/>
                <w:szCs w:val="21"/>
                <w:highlight w:val="none"/>
              </w:rPr>
              <w:t>年</w:t>
            </w:r>
            <w:r>
              <w:rPr>
                <w:color w:val="auto"/>
                <w:spacing w:val="-6"/>
                <w:sz w:val="21"/>
                <w:szCs w:val="21"/>
                <w:highlight w:val="none"/>
              </w:rPr>
              <w:t xml:space="preserve">   </w:t>
            </w:r>
            <w:r>
              <w:rPr>
                <w:rFonts w:hAnsi="宋体"/>
                <w:color w:val="auto"/>
                <w:spacing w:val="-6"/>
                <w:sz w:val="21"/>
                <w:szCs w:val="21"/>
                <w:highlight w:val="none"/>
              </w:rPr>
              <w:t>月</w:t>
            </w:r>
            <w:r>
              <w:rPr>
                <w:color w:val="auto"/>
                <w:spacing w:val="-6"/>
                <w:sz w:val="21"/>
                <w:szCs w:val="21"/>
                <w:highlight w:val="none"/>
              </w:rPr>
              <w:t xml:space="preserve">   </w:t>
            </w:r>
            <w:r>
              <w:rPr>
                <w:rFonts w:hAnsi="宋体"/>
                <w:color w:val="auto"/>
                <w:spacing w:val="-6"/>
                <w:sz w:val="21"/>
                <w:szCs w:val="21"/>
                <w:highlight w:val="none"/>
              </w:rPr>
              <w:t>日</w:t>
            </w:r>
          </w:p>
        </w:tc>
      </w:tr>
    </w:tbl>
    <w:p>
      <w:pPr>
        <w:ind w:firstLine="440"/>
        <w:rPr>
          <w:color w:val="auto"/>
          <w:sz w:val="22"/>
          <w:szCs w:val="22"/>
          <w:highlight w:val="none"/>
        </w:rPr>
      </w:pPr>
      <w:r>
        <w:rPr>
          <w:color w:val="auto"/>
          <w:sz w:val="22"/>
          <w:szCs w:val="22"/>
          <w:highlight w:val="none"/>
        </w:rPr>
        <w:t>附件</w:t>
      </w:r>
      <w:r>
        <w:rPr>
          <w:rFonts w:hint="eastAsia"/>
          <w:color w:val="auto"/>
          <w:sz w:val="22"/>
          <w:szCs w:val="22"/>
          <w:highlight w:val="none"/>
        </w:rPr>
        <w:t>（</w:t>
      </w:r>
      <w:r>
        <w:rPr>
          <w:rFonts w:hint="eastAsia"/>
          <w:b/>
          <w:color w:val="auto"/>
          <w:sz w:val="22"/>
          <w:szCs w:val="22"/>
          <w:highlight w:val="none"/>
        </w:rPr>
        <w:t>请严格按照投标文件和询标纪要填写</w:t>
      </w:r>
      <w:r>
        <w:rPr>
          <w:rFonts w:hint="eastAsia"/>
          <w:color w:val="auto"/>
          <w:sz w:val="22"/>
          <w:szCs w:val="22"/>
          <w:highlight w:val="none"/>
        </w:rPr>
        <w:t>配置清单和服务承诺）：</w:t>
      </w:r>
    </w:p>
    <w:p>
      <w:pPr>
        <w:ind w:firstLine="442"/>
        <w:rPr>
          <w:b/>
          <w:color w:val="auto"/>
          <w:sz w:val="22"/>
          <w:szCs w:val="22"/>
          <w:highlight w:val="none"/>
        </w:rPr>
      </w:pPr>
      <w:r>
        <w:rPr>
          <w:rFonts w:hint="eastAsia"/>
          <w:b/>
          <w:color w:val="auto"/>
          <w:sz w:val="22"/>
          <w:szCs w:val="22"/>
          <w:highlight w:val="none"/>
        </w:rPr>
        <w:t>一、配置清单</w:t>
      </w:r>
    </w:p>
    <w:p>
      <w:pPr>
        <w:ind w:firstLine="442"/>
        <w:rPr>
          <w:rFonts w:ascii="宋体" w:hAnsi="宋体" w:cs="宋体"/>
          <w:color w:val="auto"/>
          <w:highlight w:val="none"/>
        </w:rPr>
        <w:sectPr>
          <w:pgSz w:w="11907" w:h="16840"/>
          <w:pgMar w:top="1247" w:right="1304" w:bottom="1021" w:left="1304" w:header="720" w:footer="720" w:gutter="0"/>
          <w:cols w:space="720" w:num="1"/>
          <w:docGrid w:linePitch="286" w:charSpace="0"/>
        </w:sectPr>
      </w:pPr>
      <w:r>
        <w:rPr>
          <w:rFonts w:hint="eastAsia"/>
          <w:b/>
          <w:color w:val="auto"/>
          <w:sz w:val="22"/>
          <w:szCs w:val="22"/>
          <w:highlight w:val="none"/>
        </w:rPr>
        <w:t>二、服务承诺</w:t>
      </w:r>
      <w:r>
        <w:rPr>
          <w:rFonts w:hint="eastAsia"/>
          <w:color w:val="auto"/>
          <w:highlight w:val="none"/>
        </w:rPr>
        <w:br w:type="page"/>
      </w:r>
    </w:p>
    <w:p>
      <w:pPr>
        <w:pStyle w:val="4"/>
        <w:rPr>
          <w:color w:val="auto"/>
          <w:highlight w:val="none"/>
        </w:rPr>
      </w:pPr>
      <w:bookmarkStart w:id="135" w:name="_Toc17612"/>
      <w:r>
        <w:rPr>
          <w:rFonts w:hint="eastAsia" w:cs="宋体"/>
          <w:color w:val="auto"/>
          <w:highlight w:val="none"/>
        </w:rPr>
        <w:t>第六章 投标文件格式</w:t>
      </w:r>
      <w:bookmarkEnd w:id="131"/>
      <w:bookmarkEnd w:id="135"/>
    </w:p>
    <w:p>
      <w:pPr>
        <w:pStyle w:val="20"/>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6"/>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标项名称：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标项编号：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20"/>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3"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1A6M9gAAAAKAQAADwAAAAAAAAABACAAAAAiAAAAZHJzL2Rvd25yZXYueG1sUEsBAhQAFAAA&#10;AAgAh07iQOpnc8TvAQAA6AMAAA4AAAAAAAAAAQAgAAAAJwEAAGRycy9lMm9Eb2MueG1sUEsFBgAA&#10;AAAGAAYAWQEAAIg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color w:val="auto"/>
          <w:spacing w:val="-6"/>
          <w:highlight w:val="none"/>
        </w:rPr>
        <w:t xml:space="preserve"> </w:t>
      </w:r>
    </w:p>
    <w:p>
      <w:pPr>
        <w:pStyle w:val="6"/>
        <w:rPr>
          <w:rFonts w:ascii="宋体" w:hAnsi="宋体" w:cs="宋体"/>
          <w:color w:val="auto"/>
          <w:highlight w:val="none"/>
        </w:rPr>
      </w:pPr>
      <w:r>
        <w:rPr>
          <w:rFonts w:hint="eastAsia" w:ascii="宋体" w:hAnsi="宋体" w:cs="宋体"/>
          <w:color w:val="auto"/>
          <w:highlight w:val="none"/>
        </w:rPr>
        <w:t>资格证明文件封面</w:t>
      </w:r>
    </w:p>
    <w:p>
      <w:pPr>
        <w:ind w:firstLine="880"/>
        <w:rPr>
          <w:rFonts w:ascii="宋体" w:hAnsi="宋体" w:cs="宋体"/>
          <w:color w:val="auto"/>
          <w:sz w:val="44"/>
          <w:szCs w:val="32"/>
          <w:highlight w:val="none"/>
        </w:rPr>
      </w:pPr>
    </w:p>
    <w:p>
      <w:pPr>
        <w:ind w:firstLine="3614" w:firstLineChars="1200"/>
        <w:rPr>
          <w:rFonts w:ascii="宋体" w:hAnsi="宋体" w:cs="宋体"/>
          <w:color w:val="auto"/>
          <w:sz w:val="30"/>
          <w:szCs w:val="30"/>
          <w:highlight w:val="none"/>
        </w:rPr>
      </w:pPr>
      <w:r>
        <w:rPr>
          <w:rFonts w:hint="eastAsia" w:ascii="宋体" w:hAnsi="宋体" w:cs="宋体"/>
          <w:b/>
          <w:bCs/>
          <w:color w:val="auto"/>
          <w:sz w:val="30"/>
          <w:szCs w:val="30"/>
          <w:highlight w:val="none"/>
        </w:rPr>
        <w:t>资格证明文件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标项名称：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标项编号：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日期：    年  月  日</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36"/>
        <w:ind w:firstLine="2982" w:firstLineChars="900"/>
        <w:rPr>
          <w:b/>
          <w:color w:val="auto"/>
          <w:sz w:val="33"/>
          <w:szCs w:val="33"/>
          <w:highlight w:val="none"/>
        </w:rPr>
      </w:pPr>
      <w:r>
        <w:rPr>
          <w:b/>
          <w:color w:val="auto"/>
          <w:sz w:val="33"/>
          <w:szCs w:val="33"/>
          <w:highlight w:val="none"/>
        </w:rPr>
        <w:t xml:space="preserve">格式一：资格审查材料 </w:t>
      </w:r>
    </w:p>
    <w:tbl>
      <w:tblPr>
        <w:tblStyle w:val="39"/>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序号</w:t>
            </w:r>
          </w:p>
        </w:tc>
        <w:tc>
          <w:tcPr>
            <w:tcW w:w="2740"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资格条件要求</w:t>
            </w:r>
          </w:p>
        </w:tc>
        <w:tc>
          <w:tcPr>
            <w:tcW w:w="5955"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1</w:t>
            </w:r>
          </w:p>
        </w:tc>
        <w:tc>
          <w:tcPr>
            <w:tcW w:w="2740" w:type="dxa"/>
          </w:tcPr>
          <w:p>
            <w:pPr>
              <w:spacing w:line="400" w:lineRule="exact"/>
              <w:ind w:firstLine="0" w:firstLineChars="0"/>
              <w:rPr>
                <w:rFonts w:ascii="宋体" w:hAnsi="宋体"/>
                <w:b/>
                <w:color w:val="auto"/>
                <w:highlight w:val="none"/>
              </w:rPr>
            </w:pPr>
            <w:r>
              <w:rPr>
                <w:rFonts w:hint="eastAsia" w:ascii="宋体" w:hAnsi="宋体"/>
                <w:color w:val="auto"/>
                <w:highlight w:val="none"/>
              </w:rPr>
              <w:t>具有独立承担民事责任的能力</w:t>
            </w:r>
          </w:p>
        </w:tc>
        <w:tc>
          <w:tcPr>
            <w:tcW w:w="5955" w:type="dxa"/>
          </w:tcPr>
          <w:p>
            <w:pPr>
              <w:pStyle w:val="36"/>
              <w:numPr>
                <w:ilvl w:val="0"/>
                <w:numId w:val="35"/>
              </w:numPr>
              <w:rPr>
                <w:color w:val="auto"/>
                <w:highlight w:val="none"/>
              </w:rPr>
            </w:pPr>
            <w:r>
              <w:rPr>
                <w:color w:val="auto"/>
                <w:highlight w:val="none"/>
              </w:rPr>
              <w:t>如</w:t>
            </w:r>
            <w:r>
              <w:rPr>
                <w:rFonts w:hint="eastAsia"/>
                <w:color w:val="auto"/>
                <w:highlight w:val="none"/>
              </w:rPr>
              <w:t>投标人</w:t>
            </w:r>
            <w:r>
              <w:rPr>
                <w:color w:val="auto"/>
                <w:highlight w:val="none"/>
              </w:rPr>
              <w:t>是企业（包括合伙企业），提供在工商部门注册的有效“企业法人营业执照”或“营业执照”；</w:t>
            </w:r>
          </w:p>
          <w:p>
            <w:pPr>
              <w:pStyle w:val="36"/>
              <w:numPr>
                <w:ilvl w:val="0"/>
                <w:numId w:val="35"/>
              </w:numPr>
              <w:rPr>
                <w:color w:val="auto"/>
                <w:highlight w:val="none"/>
              </w:rPr>
            </w:pPr>
            <w:r>
              <w:rPr>
                <w:color w:val="auto"/>
                <w:highlight w:val="none"/>
              </w:rPr>
              <w:t>如</w:t>
            </w:r>
            <w:r>
              <w:rPr>
                <w:rFonts w:hint="eastAsia"/>
                <w:color w:val="auto"/>
                <w:highlight w:val="none"/>
              </w:rPr>
              <w:t>投标人</w:t>
            </w:r>
            <w:r>
              <w:rPr>
                <w:color w:val="auto"/>
                <w:highlight w:val="none"/>
              </w:rPr>
              <w:t>是事业单位，提供有效的“事业单位法人证书”；</w:t>
            </w:r>
          </w:p>
          <w:p>
            <w:pPr>
              <w:pStyle w:val="36"/>
              <w:numPr>
                <w:ilvl w:val="0"/>
                <w:numId w:val="35"/>
              </w:numPr>
              <w:rPr>
                <w:color w:val="auto"/>
                <w:highlight w:val="none"/>
              </w:rPr>
            </w:pPr>
            <w:r>
              <w:rPr>
                <w:color w:val="auto"/>
                <w:highlight w:val="none"/>
              </w:rPr>
              <w:t>如</w:t>
            </w:r>
            <w:r>
              <w:rPr>
                <w:rFonts w:hint="eastAsia"/>
                <w:color w:val="auto"/>
                <w:highlight w:val="none"/>
              </w:rPr>
              <w:t>投标人</w:t>
            </w:r>
            <w:r>
              <w:rPr>
                <w:color w:val="auto"/>
                <w:highlight w:val="none"/>
              </w:rPr>
              <w:t>是非企业专业服务机构的，提供执业许可证等证明文件；</w:t>
            </w:r>
          </w:p>
          <w:p>
            <w:pPr>
              <w:pStyle w:val="36"/>
              <w:numPr>
                <w:ilvl w:val="0"/>
                <w:numId w:val="35"/>
              </w:numPr>
              <w:rPr>
                <w:color w:val="auto"/>
                <w:highlight w:val="none"/>
              </w:rPr>
            </w:pPr>
            <w:r>
              <w:rPr>
                <w:color w:val="auto"/>
                <w:highlight w:val="none"/>
              </w:rPr>
              <w:t>如</w:t>
            </w:r>
            <w:r>
              <w:rPr>
                <w:rFonts w:hint="eastAsia"/>
                <w:color w:val="auto"/>
                <w:highlight w:val="none"/>
              </w:rPr>
              <w:t>投标人</w:t>
            </w:r>
            <w:r>
              <w:rPr>
                <w:color w:val="auto"/>
                <w:highlight w:val="none"/>
              </w:rPr>
              <w:t>是个体工商户，提供有效的“个体工商户营业执照”；</w:t>
            </w:r>
          </w:p>
          <w:p>
            <w:pPr>
              <w:pStyle w:val="36"/>
              <w:numPr>
                <w:ilvl w:val="0"/>
                <w:numId w:val="35"/>
              </w:numPr>
              <w:rPr>
                <w:color w:val="auto"/>
                <w:highlight w:val="none"/>
              </w:rPr>
            </w:pPr>
            <w:r>
              <w:rPr>
                <w:color w:val="auto"/>
                <w:highlight w:val="none"/>
              </w:rPr>
              <w:t>如投标人是自然人，提供有效的自然人身份证明。</w:t>
            </w:r>
          </w:p>
          <w:p>
            <w:pPr>
              <w:pStyle w:val="36"/>
              <w:rPr>
                <w:b/>
                <w:color w:val="auto"/>
                <w:highlight w:val="none"/>
              </w:rPr>
            </w:pPr>
            <w:r>
              <w:rPr>
                <w:rFonts w:hint="eastAsia"/>
                <w:color w:val="auto"/>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1"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2</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具有良好的商业信誉和健全的财务会计制度</w:t>
            </w:r>
          </w:p>
        </w:tc>
        <w:tc>
          <w:tcPr>
            <w:tcW w:w="5955" w:type="dxa"/>
          </w:tcPr>
          <w:p>
            <w:pPr>
              <w:pStyle w:val="36"/>
              <w:numPr>
                <w:ilvl w:val="0"/>
                <w:numId w:val="36"/>
              </w:numPr>
              <w:rPr>
                <w:color w:val="auto"/>
                <w:highlight w:val="none"/>
              </w:rPr>
            </w:pPr>
            <w:r>
              <w:rPr>
                <w:rFonts w:hint="eastAsia"/>
                <w:color w:val="auto"/>
                <w:highlight w:val="none"/>
              </w:rPr>
              <w:t>投标人</w:t>
            </w:r>
            <w:r>
              <w:rPr>
                <w:color w:val="auto"/>
                <w:highlight w:val="none"/>
              </w:rPr>
              <w:t>是法人的，应</w:t>
            </w:r>
            <w:r>
              <w:rPr>
                <w:b/>
                <w:bCs/>
                <w:color w:val="auto"/>
                <w:highlight w:val="none"/>
              </w:rPr>
              <w:t>提供上一年度经第三方审计的财务报告</w:t>
            </w:r>
            <w:r>
              <w:rPr>
                <w:color w:val="auto"/>
                <w:highlight w:val="none"/>
              </w:rPr>
              <w:t>（若投标时间为 1-6 月，上一年度财务审计报告还未完成的，须提供再上一年度的财务审计报告），即资产负债表、利润表、现金流量表、所有者权益变动表等相关内容；</w:t>
            </w:r>
            <w:r>
              <w:rPr>
                <w:b/>
                <w:bCs/>
                <w:color w:val="auto"/>
                <w:highlight w:val="none"/>
              </w:rPr>
              <w:t>未经审计的，提供近 6 个月任意一月财务报表（资产负债表、利润表）或开标前三个月内其基本开户银行出具的资信证明</w:t>
            </w:r>
            <w:r>
              <w:rPr>
                <w:b/>
                <w:color w:val="auto"/>
                <w:highlight w:val="none"/>
              </w:rPr>
              <w:t>（若资信证明中注明复</w:t>
            </w:r>
            <w:r>
              <w:rPr>
                <w:b/>
                <w:bCs/>
                <w:color w:val="auto"/>
                <w:highlight w:val="none"/>
              </w:rPr>
              <w:t>印无效，需提交正本</w:t>
            </w:r>
            <w:r>
              <w:rPr>
                <w:color w:val="auto"/>
                <w:highlight w:val="none"/>
              </w:rPr>
              <w:t>），并加盖公章或财政部门认可的采购专业担保机构出具的投标担保函；</w:t>
            </w:r>
          </w:p>
          <w:p>
            <w:pPr>
              <w:pStyle w:val="36"/>
              <w:numPr>
                <w:ilvl w:val="0"/>
                <w:numId w:val="36"/>
              </w:numPr>
              <w:rPr>
                <w:color w:val="auto"/>
                <w:highlight w:val="none"/>
              </w:rPr>
            </w:pPr>
            <w:r>
              <w:rPr>
                <w:color w:val="auto"/>
                <w:highlight w:val="none"/>
              </w:rPr>
              <w:t>部分其他组织和自然人没有财务状况报告的，可以提供银行出具的资信证明(若资信证明中注明复印无效，需提交正本),并加盖公章；</w:t>
            </w:r>
          </w:p>
          <w:p>
            <w:pPr>
              <w:pStyle w:val="36"/>
              <w:numPr>
                <w:ilvl w:val="0"/>
                <w:numId w:val="36"/>
              </w:numPr>
              <w:rPr>
                <w:color w:val="auto"/>
                <w:highlight w:val="none"/>
              </w:rPr>
            </w:pPr>
            <w:r>
              <w:rPr>
                <w:color w:val="auto"/>
                <w:highlight w:val="none"/>
              </w:rPr>
              <w:t>银行资信证明应能说明投标人与银行之间业务往来正常，企业信誉良好等，银行出具的存款证明不能替代</w:t>
            </w:r>
            <w:r>
              <w:rPr>
                <w:b/>
                <w:color w:val="auto"/>
                <w:highlight w:val="none"/>
              </w:rPr>
              <w:t>银行资信证明。</w:t>
            </w:r>
          </w:p>
          <w:p>
            <w:pPr>
              <w:pStyle w:val="36"/>
              <w:numPr>
                <w:ilvl w:val="0"/>
                <w:numId w:val="36"/>
              </w:numPr>
              <w:rPr>
                <w:color w:val="auto"/>
                <w:highlight w:val="none"/>
              </w:rPr>
            </w:pPr>
            <w:r>
              <w:rPr>
                <w:rFonts w:hint="eastAsia"/>
                <w:color w:val="auto"/>
                <w:highlight w:val="none"/>
              </w:rPr>
              <w:t>投标人</w:t>
            </w:r>
            <w:r>
              <w:rPr>
                <w:color w:val="auto"/>
                <w:highlight w:val="none"/>
              </w:rPr>
              <w:t>因新注册成立等原因无法提供相关材料的，应在投标文件中提交如实的情况说明</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3</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w:t>
            </w:r>
          </w:p>
        </w:tc>
        <w:tc>
          <w:tcPr>
            <w:tcW w:w="5955" w:type="dxa"/>
          </w:tcPr>
          <w:p>
            <w:pPr>
              <w:snapToGrid w:val="0"/>
              <w:ind w:firstLine="480"/>
              <w:rPr>
                <w:color w:val="auto"/>
                <w:highlight w:val="none"/>
              </w:rPr>
            </w:pPr>
            <w:r>
              <w:rPr>
                <w:rFonts w:hint="eastAsia" w:ascii="宋体" w:hAnsi="宋体"/>
                <w:color w:val="auto"/>
                <w:highlight w:val="none"/>
              </w:rPr>
              <w:t>具有良好商业信誉特别声明</w:t>
            </w:r>
            <w:r>
              <w:rPr>
                <w:rFonts w:hint="eastAsia"/>
                <w:color w:val="auto"/>
                <w:highlight w:val="none"/>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4</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具有履行合同所必需的设备和专业技术能力</w:t>
            </w:r>
          </w:p>
        </w:tc>
        <w:tc>
          <w:tcPr>
            <w:tcW w:w="5955" w:type="dxa"/>
          </w:tcPr>
          <w:p>
            <w:pPr>
              <w:pStyle w:val="36"/>
              <w:rPr>
                <w:color w:val="auto"/>
                <w:highlight w:val="none"/>
              </w:rPr>
            </w:pPr>
            <w:r>
              <w:rPr>
                <w:color w:val="auto"/>
                <w:highlight w:val="none"/>
              </w:rPr>
              <w:t>具有履行合同所必需的设备和专业技术能力的承诺函</w:t>
            </w:r>
            <w:r>
              <w:rPr>
                <w:rFonts w:hint="eastAsia"/>
                <w:color w:val="auto"/>
                <w:highlight w:val="none"/>
              </w:rPr>
              <w:t>--</w:t>
            </w:r>
            <w:r>
              <w:rPr>
                <w:color w:val="auto"/>
                <w:highlight w:val="none"/>
              </w:rPr>
              <w:t>详见附件</w:t>
            </w:r>
            <w:r>
              <w:rPr>
                <w:rFonts w:hint="eastAsia"/>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5</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有依法缴纳税收和社会保障资金的良好记录</w:t>
            </w:r>
          </w:p>
        </w:tc>
        <w:tc>
          <w:tcPr>
            <w:tcW w:w="5955" w:type="dxa"/>
          </w:tcPr>
          <w:p>
            <w:pPr>
              <w:pStyle w:val="36"/>
              <w:numPr>
                <w:ilvl w:val="0"/>
                <w:numId w:val="37"/>
              </w:numPr>
              <w:rPr>
                <w:color w:val="auto"/>
                <w:highlight w:val="none"/>
              </w:rPr>
            </w:pPr>
            <w:r>
              <w:rPr>
                <w:color w:val="auto"/>
                <w:highlight w:val="none"/>
              </w:rPr>
              <w:t>最近六个月任意一月依法缴纳税收的证明材料指</w:t>
            </w:r>
            <w:r>
              <w:rPr>
                <w:rFonts w:hint="eastAsia"/>
                <w:color w:val="auto"/>
                <w:highlight w:val="none"/>
              </w:rPr>
              <w:t>投标人</w:t>
            </w:r>
            <w:r>
              <w:rPr>
                <w:color w:val="auto"/>
                <w:highlight w:val="none"/>
              </w:rPr>
              <w:t>参加政府采购活动前最近六个月任意一月内依法缴纳税收的凭据（完税证明或纳税证明或银行电子缴税付款凭证等）；</w:t>
            </w:r>
          </w:p>
          <w:p>
            <w:pPr>
              <w:pStyle w:val="36"/>
              <w:numPr>
                <w:ilvl w:val="0"/>
                <w:numId w:val="37"/>
              </w:numPr>
              <w:rPr>
                <w:color w:val="auto"/>
                <w:highlight w:val="none"/>
              </w:rPr>
            </w:pPr>
            <w:r>
              <w:rPr>
                <w:color w:val="auto"/>
                <w:highlight w:val="none"/>
              </w:rPr>
              <w:t>依法免税的</w:t>
            </w:r>
            <w:r>
              <w:rPr>
                <w:rFonts w:hint="eastAsia"/>
                <w:color w:val="auto"/>
                <w:highlight w:val="none"/>
              </w:rPr>
              <w:t>投标人</w:t>
            </w:r>
            <w:r>
              <w:rPr>
                <w:color w:val="auto"/>
                <w:highlight w:val="none"/>
              </w:rPr>
              <w:t>，应提供相应文件证明其依法免税；</w:t>
            </w:r>
          </w:p>
          <w:p>
            <w:pPr>
              <w:pStyle w:val="36"/>
              <w:numPr>
                <w:ilvl w:val="0"/>
                <w:numId w:val="37"/>
              </w:numPr>
              <w:rPr>
                <w:color w:val="auto"/>
                <w:highlight w:val="none"/>
              </w:rPr>
            </w:pPr>
            <w:r>
              <w:rPr>
                <w:color w:val="auto"/>
                <w:highlight w:val="none"/>
              </w:rPr>
              <w:t>最近六个月任意一月依法缴纳社会保障资金的证明</w:t>
            </w:r>
            <w:r>
              <w:rPr>
                <w:b/>
                <w:color w:val="auto"/>
                <w:highlight w:val="none"/>
              </w:rPr>
              <w:t>材料指</w:t>
            </w:r>
            <w:r>
              <w:rPr>
                <w:rFonts w:hint="eastAsia"/>
                <w:b/>
                <w:color w:val="auto"/>
                <w:highlight w:val="none"/>
              </w:rPr>
              <w:t>投标人</w:t>
            </w:r>
            <w:r>
              <w:rPr>
                <w:b/>
                <w:color w:val="auto"/>
                <w:highlight w:val="none"/>
              </w:rPr>
              <w:t>参加政府采购活动前最近六个月任意一月内依法缴纳社会保险的凭</w:t>
            </w:r>
            <w:r>
              <w:rPr>
                <w:color w:val="auto"/>
                <w:highlight w:val="none"/>
              </w:rPr>
              <w:t>据（社保缴费专用收据或银行电子缴税付款凭证或社会保险缴纳清单等）；</w:t>
            </w:r>
          </w:p>
          <w:p>
            <w:pPr>
              <w:pStyle w:val="36"/>
              <w:numPr>
                <w:ilvl w:val="0"/>
                <w:numId w:val="37"/>
              </w:numPr>
              <w:rPr>
                <w:color w:val="auto"/>
                <w:highlight w:val="none"/>
              </w:rPr>
            </w:pPr>
            <w:r>
              <w:rPr>
                <w:color w:val="auto"/>
                <w:highlight w:val="none"/>
              </w:rPr>
              <w:t>依法不需要缴纳社会保障资金的投标人，应提供相应文件证明其依法不需要缴纳社会保障资金；</w:t>
            </w:r>
          </w:p>
          <w:p>
            <w:pPr>
              <w:pStyle w:val="36"/>
              <w:numPr>
                <w:ilvl w:val="0"/>
                <w:numId w:val="37"/>
              </w:numPr>
              <w:rPr>
                <w:color w:val="auto"/>
                <w:highlight w:val="none"/>
              </w:rPr>
            </w:pPr>
            <w:r>
              <w:rPr>
                <w:color w:val="auto"/>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6</w:t>
            </w:r>
          </w:p>
        </w:tc>
        <w:tc>
          <w:tcPr>
            <w:tcW w:w="2740" w:type="dxa"/>
          </w:tcPr>
          <w:p>
            <w:pPr>
              <w:pStyle w:val="36"/>
              <w:rPr>
                <w:color w:val="auto"/>
                <w:kern w:val="2"/>
                <w:highlight w:val="none"/>
              </w:rPr>
            </w:pPr>
            <w:r>
              <w:rPr>
                <w:rFonts w:hint="eastAsia"/>
                <w:color w:val="auto"/>
                <w:kern w:val="2"/>
                <w:highlight w:val="none"/>
              </w:rPr>
              <w:t>参加政府采购活动前三年内（新成立不满三年的公司自成立之日起算）在经营活动中没有重大违法记录</w:t>
            </w:r>
          </w:p>
        </w:tc>
        <w:tc>
          <w:tcPr>
            <w:tcW w:w="5955" w:type="dxa"/>
          </w:tcPr>
          <w:p>
            <w:pPr>
              <w:pStyle w:val="36"/>
              <w:rPr>
                <w:color w:val="auto"/>
                <w:kern w:val="2"/>
                <w:highlight w:val="none"/>
              </w:rPr>
            </w:pPr>
            <w:r>
              <w:rPr>
                <w:rFonts w:hint="eastAsia"/>
                <w:color w:val="auto"/>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7</w:t>
            </w:r>
          </w:p>
        </w:tc>
        <w:tc>
          <w:tcPr>
            <w:tcW w:w="2740" w:type="dxa"/>
          </w:tcPr>
          <w:p>
            <w:pPr>
              <w:spacing w:line="240" w:lineRule="auto"/>
              <w:ind w:firstLine="0" w:firstLineChars="0"/>
              <w:rPr>
                <w:rFonts w:ascii="宋体" w:hAnsi="宋体"/>
                <w:color w:val="auto"/>
                <w:kern w:val="0"/>
                <w:highlight w:val="none"/>
              </w:rPr>
            </w:pPr>
            <w:r>
              <w:rPr>
                <w:rFonts w:hint="eastAsia" w:ascii="宋体" w:hAnsi="宋体"/>
                <w:color w:val="auto"/>
                <w:kern w:val="0"/>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kern w:val="0"/>
                <w:highlight w:val="none"/>
              </w:rPr>
              <w:t>www.creditchina.gov.cn</w:t>
            </w:r>
            <w:r>
              <w:rPr>
                <w:rFonts w:hint="eastAsia" w:ascii="宋体" w:hAnsi="宋体"/>
                <w:color w:val="auto"/>
                <w:kern w:val="0"/>
                <w:highlight w:val="none"/>
              </w:rPr>
              <w:fldChar w:fldCharType="end"/>
            </w:r>
            <w:r>
              <w:rPr>
                <w:rFonts w:hint="eastAsia" w:ascii="宋体" w:hAnsi="宋体"/>
                <w:color w:val="auto"/>
                <w:kern w:val="0"/>
                <w:highlight w:val="none"/>
              </w:rPr>
              <w:t>）列入失信被执行人、重大税收违法案件当事人名单，未被中国政府采购网（www.ccgp.gov.cn）列入政府采购严重违法失信行为记录名单。</w:t>
            </w:r>
          </w:p>
        </w:tc>
        <w:tc>
          <w:tcPr>
            <w:tcW w:w="5955" w:type="dxa"/>
          </w:tcPr>
          <w:p>
            <w:pPr>
              <w:pStyle w:val="36"/>
              <w:rPr>
                <w:color w:val="auto"/>
                <w:highlight w:val="none"/>
              </w:rPr>
            </w:pPr>
            <w:r>
              <w:rPr>
                <w:rFonts w:hint="eastAsia"/>
                <w:color w:val="auto"/>
                <w:highlight w:val="none"/>
              </w:rPr>
              <w:t>提供响应文件递交截止日前1日历天17:00（北京时间）的查询信息网站截图（2个）：查询渠道：“信用中国”（www.creditchina.gov.cn）、“中国政府采购网”（www.ccgp.gov.cn）。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8</w:t>
            </w:r>
          </w:p>
        </w:tc>
        <w:tc>
          <w:tcPr>
            <w:tcW w:w="2740" w:type="dxa"/>
          </w:tcPr>
          <w:p>
            <w:pPr>
              <w:pStyle w:val="36"/>
              <w:spacing w:before="75" w:beforeAutospacing="0" w:after="75" w:afterAutospacing="0"/>
              <w:rPr>
                <w:color w:val="auto"/>
                <w:highlight w:val="none"/>
              </w:rPr>
            </w:pPr>
            <w:r>
              <w:rPr>
                <w:rFonts w:hint="eastAsia"/>
                <w:color w:val="auto"/>
                <w:highlight w:val="none"/>
              </w:rPr>
              <w:t>单位负责人为同一人或者存在直接控股、管理关系的不同供应商，不得参加同一合同项下的政府采购活动。</w:t>
            </w:r>
          </w:p>
        </w:tc>
        <w:tc>
          <w:tcPr>
            <w:tcW w:w="5955" w:type="dxa"/>
          </w:tcPr>
          <w:p>
            <w:pPr>
              <w:numPr>
                <w:ilvl w:val="0"/>
                <w:numId w:val="38"/>
              </w:numPr>
              <w:ind w:firstLine="0" w:firstLineChars="0"/>
              <w:rPr>
                <w:rFonts w:ascii="宋体" w:hAnsi="宋体"/>
                <w:color w:val="auto"/>
                <w:kern w:val="0"/>
                <w:sz w:val="22"/>
                <w:szCs w:val="22"/>
                <w:highlight w:val="none"/>
              </w:rPr>
            </w:pPr>
            <w:r>
              <w:rPr>
                <w:rFonts w:hint="eastAsia" w:ascii="宋体" w:hAnsi="宋体"/>
                <w:color w:val="auto"/>
                <w:kern w:val="0"/>
                <w:sz w:val="22"/>
                <w:szCs w:val="22"/>
                <w:highlight w:val="none"/>
              </w:rPr>
              <w:t>提供响应文件递交截止日前1日历天17:00（北京时间）的查询信息网站截图，查询渠道：“国家企业信用信息公示系统”（w</w:t>
            </w:r>
            <w:r>
              <w:rPr>
                <w:color w:val="auto"/>
                <w:highlight w:val="none"/>
              </w:rPr>
              <w:fldChar w:fldCharType="begin"/>
            </w:r>
            <w:r>
              <w:rPr>
                <w:color w:val="auto"/>
                <w:highlight w:val="none"/>
              </w:rPr>
              <w:instrText xml:space="preserve"> HYPERLINK "http://www.gsxt.gov.cn/corp-query-homepage.html" </w:instrText>
            </w:r>
            <w:r>
              <w:rPr>
                <w:color w:val="auto"/>
                <w:highlight w:val="none"/>
              </w:rPr>
              <w:fldChar w:fldCharType="separate"/>
            </w:r>
            <w:r>
              <w:rPr>
                <w:rFonts w:hint="eastAsia" w:ascii="宋体" w:hAnsi="宋体"/>
                <w:color w:val="auto"/>
                <w:kern w:val="0"/>
                <w:sz w:val="22"/>
                <w:szCs w:val="22"/>
                <w:highlight w:val="none"/>
              </w:rPr>
              <w:t>ww.gsxt.gov.cn/corp-query-homepage.html</w:t>
            </w:r>
            <w:r>
              <w:rPr>
                <w:rFonts w:hint="eastAsia" w:ascii="宋体" w:hAnsi="宋体"/>
                <w:color w:val="auto"/>
                <w:kern w:val="0"/>
                <w:sz w:val="22"/>
                <w:szCs w:val="22"/>
                <w:highlight w:val="none"/>
              </w:rPr>
              <w:fldChar w:fldCharType="end"/>
            </w:r>
            <w:r>
              <w:rPr>
                <w:rFonts w:hint="eastAsia" w:ascii="宋体" w:hAnsi="宋体"/>
                <w:color w:val="auto"/>
                <w:kern w:val="0"/>
                <w:sz w:val="22"/>
                <w:szCs w:val="22"/>
                <w:highlight w:val="none"/>
              </w:rPr>
              <w:t>）</w:t>
            </w:r>
          </w:p>
          <w:p>
            <w:pPr>
              <w:numPr>
                <w:ilvl w:val="0"/>
                <w:numId w:val="38"/>
              </w:numPr>
              <w:ind w:firstLine="0" w:firstLineChars="0"/>
              <w:rPr>
                <w:color w:val="auto"/>
                <w:highlight w:val="none"/>
              </w:rPr>
            </w:pPr>
            <w:r>
              <w:rPr>
                <w:rFonts w:hint="eastAsia" w:ascii="宋体" w:hAnsi="宋体"/>
                <w:color w:val="auto"/>
                <w:kern w:val="0"/>
                <w:highlight w:val="none"/>
              </w:rPr>
              <w:t>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20" w:type="dxa"/>
          </w:tcPr>
          <w:p>
            <w:pPr>
              <w:pStyle w:val="2"/>
              <w:rPr>
                <w:rFonts w:ascii="宋体" w:hAnsi="宋体" w:eastAsia="宋体" w:cs="宋体"/>
                <w:bCs/>
                <w:color w:val="auto"/>
                <w:highlight w:val="none"/>
              </w:rPr>
            </w:pPr>
            <w:r>
              <w:rPr>
                <w:rFonts w:hint="eastAsia" w:ascii="宋体" w:hAnsi="宋体" w:eastAsia="宋体" w:cs="宋体"/>
                <w:bCs/>
                <w:color w:val="auto"/>
                <w:highlight w:val="none"/>
              </w:rPr>
              <w:t xml:space="preserve"> 9</w:t>
            </w:r>
          </w:p>
        </w:tc>
        <w:tc>
          <w:tcPr>
            <w:tcW w:w="2740" w:type="dxa"/>
            <w:vAlign w:val="center"/>
          </w:tcPr>
          <w:p>
            <w:pPr>
              <w:pStyle w:val="36"/>
              <w:rPr>
                <w:color w:val="auto"/>
                <w:highlight w:val="none"/>
              </w:rPr>
            </w:pPr>
            <w:r>
              <w:rPr>
                <w:color w:val="auto"/>
                <w:highlight w:val="none"/>
              </w:rPr>
              <w:t xml:space="preserve"> 特定资格</w:t>
            </w:r>
            <w:r>
              <w:rPr>
                <w:rFonts w:hint="eastAsia"/>
                <w:color w:val="auto"/>
                <w:highlight w:val="none"/>
              </w:rPr>
              <w:t>要求</w:t>
            </w:r>
          </w:p>
        </w:tc>
        <w:tc>
          <w:tcPr>
            <w:tcW w:w="5955" w:type="dxa"/>
            <w:vAlign w:val="center"/>
          </w:tcPr>
          <w:p>
            <w:pPr>
              <w:pStyle w:val="36"/>
              <w:rPr>
                <w:color w:val="auto"/>
                <w:highlight w:val="none"/>
              </w:rPr>
            </w:pPr>
            <w:r>
              <w:rPr>
                <w:color w:val="auto"/>
                <w:highlight w:val="none"/>
              </w:rPr>
              <w:t>须提供符合“第一</w:t>
            </w:r>
            <w:r>
              <w:rPr>
                <w:rFonts w:hint="eastAsia"/>
                <w:color w:val="auto"/>
                <w:highlight w:val="none"/>
              </w:rPr>
              <w:t>章</w:t>
            </w:r>
            <w:r>
              <w:rPr>
                <w:color w:val="auto"/>
                <w:highlight w:val="none"/>
              </w:rPr>
              <w:t xml:space="preserve"> </w:t>
            </w:r>
            <w:r>
              <w:rPr>
                <w:rFonts w:hint="eastAsia"/>
                <w:color w:val="auto"/>
                <w:highlight w:val="none"/>
              </w:rPr>
              <w:t>招标</w:t>
            </w:r>
            <w:r>
              <w:rPr>
                <w:color w:val="auto"/>
                <w:highlight w:val="none"/>
              </w:rPr>
              <w:t>公告”中“四</w:t>
            </w:r>
            <w:r>
              <w:rPr>
                <w:rFonts w:hint="eastAsia"/>
                <w:color w:val="auto"/>
                <w:highlight w:val="none"/>
              </w:rPr>
              <w:t>、投标人资格</w:t>
            </w:r>
            <w:r>
              <w:rPr>
                <w:color w:val="auto"/>
                <w:highlight w:val="none"/>
              </w:rPr>
              <w:t>要求”上列明的</w:t>
            </w:r>
            <w:r>
              <w:rPr>
                <w:rFonts w:hint="eastAsia"/>
                <w:color w:val="auto"/>
                <w:highlight w:val="none"/>
              </w:rPr>
              <w:t>“</w:t>
            </w:r>
            <w:r>
              <w:rPr>
                <w:color w:val="auto"/>
                <w:highlight w:val="none"/>
              </w:rPr>
              <w:t>特定资格</w:t>
            </w:r>
            <w:r>
              <w:rPr>
                <w:rFonts w:hint="eastAsia"/>
                <w:color w:val="auto"/>
                <w:highlight w:val="none"/>
              </w:rPr>
              <w:t>要求”</w:t>
            </w:r>
            <w:r>
              <w:rPr>
                <w:color w:val="auto"/>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10</w:t>
            </w:r>
          </w:p>
        </w:tc>
        <w:tc>
          <w:tcPr>
            <w:tcW w:w="2740" w:type="dxa"/>
            <w:vAlign w:val="center"/>
          </w:tcPr>
          <w:p>
            <w:pPr>
              <w:spacing w:line="400" w:lineRule="exact"/>
              <w:ind w:firstLine="0" w:firstLineChars="0"/>
              <w:rPr>
                <w:color w:val="auto"/>
                <w:highlight w:val="none"/>
              </w:rPr>
            </w:pPr>
            <w:r>
              <w:rPr>
                <w:rFonts w:hint="eastAsia" w:ascii="宋体" w:hAnsi="宋体"/>
                <w:color w:val="auto"/>
                <w:highlight w:val="none"/>
              </w:rPr>
              <w:t>供应商是否为联合体</w:t>
            </w:r>
          </w:p>
        </w:tc>
        <w:tc>
          <w:tcPr>
            <w:tcW w:w="5955" w:type="dxa"/>
            <w:vAlign w:val="center"/>
          </w:tcPr>
          <w:p>
            <w:pPr>
              <w:spacing w:line="400" w:lineRule="exact"/>
              <w:ind w:firstLine="0" w:firstLineChars="0"/>
              <w:rPr>
                <w:rFonts w:ascii="宋体" w:hAnsi="宋体"/>
                <w:color w:val="auto"/>
                <w:highlight w:val="none"/>
              </w:rPr>
            </w:pPr>
            <w:r>
              <w:rPr>
                <w:rFonts w:hint="eastAsia" w:ascii="宋体" w:hAnsi="宋体"/>
                <w:color w:val="auto"/>
                <w:highlight w:val="none"/>
              </w:rPr>
              <w:t>本项目不接受联合图投标。</w:t>
            </w:r>
          </w:p>
        </w:tc>
      </w:tr>
    </w:tbl>
    <w:p>
      <w:pPr>
        <w:pStyle w:val="36"/>
        <w:rPr>
          <w:b/>
          <w:color w:val="auto"/>
          <w:sz w:val="28"/>
          <w:szCs w:val="28"/>
          <w:highlight w:val="none"/>
        </w:rPr>
      </w:pPr>
      <w:r>
        <w:rPr>
          <w:b/>
          <w:color w:val="auto"/>
          <w:sz w:val="28"/>
          <w:szCs w:val="28"/>
          <w:highlight w:val="none"/>
        </w:rPr>
        <w:t xml:space="preserve">注：请按以上顺序编排所需资格文件并填写页码，表后附上相关证明文件。未提供上述材料任何一项或未完整提供或无法证明是否符合资格要求的均按无效标处理。 </w:t>
      </w: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附件1：</w:t>
      </w:r>
    </w:p>
    <w:p>
      <w:pPr>
        <w:snapToGrid w:val="0"/>
        <w:ind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具有良好商业信誉特别声明</w:t>
      </w:r>
    </w:p>
    <w:p>
      <w:pPr>
        <w:snapToGrid w:val="0"/>
        <w:ind w:firstLine="0" w:firstLineChars="0"/>
        <w:rPr>
          <w:rFonts w:ascii="宋体" w:hAnsi="宋体"/>
          <w:color w:val="auto"/>
          <w:highlight w:val="none"/>
        </w:rPr>
      </w:pPr>
      <w:r>
        <w:rPr>
          <w:rFonts w:hint="eastAsia" w:ascii="宋体" w:hAnsi="宋体"/>
          <w:color w:val="auto"/>
          <w:highlight w:val="none"/>
        </w:rPr>
        <w:t>浙江中医药大学、浙江五石工程咨询有限公司：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rPr>
        <w:t>截至投标截止时间，我方具有良好的商业信誉，不存在下列情形（包括但不限于）。否则，我方将承担在资格审查时不被通过的后果。</w:t>
      </w:r>
    </w:p>
    <w:p>
      <w:pPr>
        <w:snapToGrid w:val="0"/>
        <w:ind w:firstLine="480"/>
        <w:rPr>
          <w:rFonts w:ascii="宋体" w:hAnsi="宋体"/>
          <w:color w:val="auto"/>
          <w:highlight w:val="none"/>
        </w:rPr>
      </w:pPr>
      <w:r>
        <w:rPr>
          <w:rFonts w:hint="eastAsia" w:ascii="宋体" w:hAnsi="宋体"/>
          <w:color w:val="auto"/>
          <w:highlight w:val="none"/>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color w:val="auto"/>
          <w:highlight w:val="none"/>
        </w:rPr>
      </w:pPr>
      <w:r>
        <w:rPr>
          <w:rFonts w:hint="eastAsia" w:ascii="宋体" w:hAnsi="宋体"/>
          <w:color w:val="auto"/>
          <w:highlight w:val="none"/>
        </w:rPr>
        <w:t xml:space="preserve">2、截至投标截止时间，因违反《浙江省政府采购供应商注册及诚信管理暂行办法》而被列入‘黑名单’，在处罚有效期内。 </w:t>
      </w:r>
    </w:p>
    <w:p>
      <w:pPr>
        <w:ind w:right="-934" w:rightChars="-389" w:firstLine="456"/>
        <w:rPr>
          <w:rFonts w:ascii="宋体" w:hAnsi="宋体"/>
          <w:color w:val="auto"/>
          <w:spacing w:val="-6"/>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pStyle w:val="2"/>
        <w:rPr>
          <w:rFonts w:ascii="仿宋" w:hAnsi="仿宋" w:eastAsia="仿宋" w:cs="仿宋_GB2312"/>
          <w:color w:val="auto"/>
          <w:sz w:val="36"/>
          <w:szCs w:val="36"/>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附件2：</w:t>
      </w:r>
    </w:p>
    <w:p>
      <w:pPr>
        <w:snapToGrid w:val="0"/>
        <w:ind w:right="480"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具有履行合同所必需的设备和专业技术能力的承诺函</w:t>
      </w:r>
    </w:p>
    <w:p>
      <w:pPr>
        <w:snapToGrid w:val="0"/>
        <w:ind w:firstLine="0" w:firstLineChars="0"/>
        <w:rPr>
          <w:rFonts w:ascii="宋体" w:hAnsi="宋体"/>
          <w:color w:val="auto"/>
          <w:highlight w:val="none"/>
        </w:rPr>
      </w:pPr>
      <w:r>
        <w:rPr>
          <w:rFonts w:hint="eastAsia" w:ascii="宋体" w:hAnsi="宋体"/>
          <w:color w:val="auto"/>
          <w:highlight w:val="none"/>
        </w:rPr>
        <w:t>浙江中医药大学、浙江五石工程咨询有限公司：</w:t>
      </w:r>
    </w:p>
    <w:p>
      <w:pPr>
        <w:ind w:firstLine="480"/>
        <w:rPr>
          <w:rFonts w:ascii="宋体" w:hAnsi="宋体"/>
          <w:color w:val="auto"/>
          <w:highlight w:val="none"/>
        </w:rPr>
      </w:pPr>
      <w:r>
        <w:rPr>
          <w:rFonts w:hint="eastAsia" w:ascii="宋体" w:hAnsi="宋体"/>
          <w:color w:val="auto"/>
          <w:highlight w:val="none"/>
        </w:rPr>
        <w:t>我方郑重承诺，我方具有履行</w:t>
      </w:r>
      <w:r>
        <w:rPr>
          <w:rFonts w:hint="eastAsia" w:ascii="宋体" w:hAnsi="宋体"/>
          <w:color w:val="auto"/>
          <w:highlight w:val="none"/>
          <w:u w:val="single"/>
        </w:rPr>
        <w:t>（标项名称：）（项目编号：）</w:t>
      </w:r>
      <w:r>
        <w:rPr>
          <w:rFonts w:hint="eastAsia" w:ascii="宋体" w:hAnsi="宋体"/>
          <w:color w:val="auto"/>
          <w:highlight w:val="none"/>
        </w:rPr>
        <w:t>合同所必需的设备和专业技术能力。如中标，我方将保证合同顺利履行。</w:t>
      </w:r>
    </w:p>
    <w:p>
      <w:pPr>
        <w:ind w:firstLine="480"/>
        <w:rPr>
          <w:rFonts w:ascii="宋体" w:hAnsi="宋体"/>
          <w:color w:val="auto"/>
          <w:highlight w:val="none"/>
          <w:lang w:val="zh-CN"/>
        </w:rPr>
      </w:pPr>
      <w:r>
        <w:rPr>
          <w:rFonts w:hint="eastAsia" w:ascii="宋体" w:hAnsi="宋体"/>
          <w:color w:val="auto"/>
          <w:highlight w:val="none"/>
          <w:lang w:val="zh-CN"/>
        </w:rPr>
        <w:t xml:space="preserve"> </w:t>
      </w: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b/>
          <w:color w:val="auto"/>
          <w:kern w:val="0"/>
          <w:sz w:val="32"/>
          <w:szCs w:val="32"/>
          <w:highlight w:val="none"/>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ind w:firstLine="480"/>
        <w:rPr>
          <w:color w:val="auto"/>
          <w:highlight w:val="none"/>
        </w:rPr>
      </w:pPr>
      <w:r>
        <w:rPr>
          <w:rFonts w:hint="eastAsia"/>
          <w:color w:val="auto"/>
          <w:highlight w:val="none"/>
        </w:rPr>
        <w:br w:type="page"/>
      </w:r>
    </w:p>
    <w:p>
      <w:pPr>
        <w:pStyle w:val="9"/>
        <w:rPr>
          <w:color w:val="auto"/>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附件3：</w:t>
      </w:r>
    </w:p>
    <w:p>
      <w:pPr>
        <w:pStyle w:val="36"/>
        <w:jc w:val="center"/>
        <w:rPr>
          <w:b/>
          <w:color w:val="auto"/>
          <w:sz w:val="32"/>
          <w:szCs w:val="32"/>
          <w:highlight w:val="none"/>
        </w:rPr>
      </w:pPr>
      <w:r>
        <w:rPr>
          <w:rFonts w:hint="eastAsia"/>
          <w:b/>
          <w:color w:val="auto"/>
          <w:sz w:val="32"/>
          <w:szCs w:val="32"/>
          <w:highlight w:val="none"/>
        </w:rPr>
        <w:t>没有重大违法记录承诺函</w:t>
      </w:r>
    </w:p>
    <w:p>
      <w:pPr>
        <w:snapToGrid w:val="0"/>
        <w:ind w:firstLine="0" w:firstLineChars="0"/>
        <w:rPr>
          <w:rFonts w:ascii="宋体" w:hAnsi="宋体"/>
          <w:color w:val="auto"/>
          <w:highlight w:val="none"/>
        </w:rPr>
      </w:pPr>
      <w:r>
        <w:rPr>
          <w:rFonts w:hint="eastAsia" w:ascii="宋体" w:hAnsi="宋体"/>
          <w:color w:val="auto"/>
          <w:highlight w:val="none"/>
        </w:rPr>
        <w:t>浙江中医药大学、浙江五石工程咨询有限公司：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lang w:val="zh-CN"/>
        </w:rPr>
        <w:t>我公司</w:t>
      </w:r>
      <w:r>
        <w:rPr>
          <w:rFonts w:hint="eastAsia" w:ascii="宋体" w:hAnsi="宋体"/>
          <w:color w:val="auto"/>
          <w:highlight w:val="none"/>
        </w:rPr>
        <w:t>声明截止投标时间近三年以来，在政府采购领域中，在项目招标、投标和合同履约期间无任何不良行为记录和违法、违规行为</w:t>
      </w:r>
      <w:r>
        <w:rPr>
          <w:rFonts w:hint="eastAsia" w:ascii="宋体" w:hAnsi="宋体"/>
          <w:color w:val="auto"/>
          <w:highlight w:val="none"/>
          <w:lang w:val="zh-CN"/>
        </w:rPr>
        <w:t>。</w:t>
      </w:r>
    </w:p>
    <w:p>
      <w:pPr>
        <w:snapToGrid w:val="0"/>
        <w:ind w:firstLine="480"/>
        <w:rPr>
          <w:rFonts w:ascii="宋体" w:hAnsi="宋体"/>
          <w:color w:val="auto"/>
          <w:highlight w:val="none"/>
          <w:lang w:val="zh-CN"/>
        </w:rPr>
      </w:pPr>
      <w:r>
        <w:rPr>
          <w:rFonts w:hint="eastAsia" w:ascii="宋体" w:hAnsi="宋体"/>
          <w:color w:val="auto"/>
          <w:highlight w:val="none"/>
          <w:lang w:val="zh-CN"/>
        </w:rPr>
        <w:t>我公司自愿参加（</w:t>
      </w:r>
      <w:r>
        <w:rPr>
          <w:rFonts w:hint="eastAsia" w:ascii="宋体" w:hAnsi="宋体"/>
          <w:color w:val="auto"/>
          <w:highlight w:val="none"/>
        </w:rPr>
        <w:t>标项名称）（项目编号）</w:t>
      </w:r>
      <w:r>
        <w:rPr>
          <w:rFonts w:hint="eastAsia" w:ascii="宋体" w:hAnsi="宋体"/>
          <w:color w:val="auto"/>
          <w:highlight w:val="none"/>
          <w:lang w:val="zh-CN"/>
        </w:rPr>
        <w:t>的投标，并保证投标文件中所列举的投标报价文件及相关资料和公司基本情况资料是真实的、合法的。</w:t>
      </w:r>
    </w:p>
    <w:p>
      <w:pPr>
        <w:snapToGrid w:val="0"/>
        <w:ind w:firstLine="480"/>
        <w:rPr>
          <w:rFonts w:ascii="宋体" w:hAnsi="宋体"/>
          <w:color w:val="auto"/>
          <w:highlight w:val="none"/>
          <w:lang w:val="zh-CN"/>
        </w:rPr>
      </w:pPr>
      <w:r>
        <w:rPr>
          <w:rFonts w:hint="eastAsia" w:ascii="宋体" w:hAnsi="宋体"/>
          <w:color w:val="auto"/>
          <w:highlight w:val="none"/>
          <w:lang w:val="zh-CN"/>
        </w:rPr>
        <w:t>我公司已详细阅读全部“招标文件”，包括修改文件（如果有）以及全部招标资料和相关附件，并已了解我公司在招投标过程中的权利和义务。</w:t>
      </w:r>
    </w:p>
    <w:p>
      <w:pPr>
        <w:snapToGrid w:val="0"/>
        <w:ind w:firstLine="480"/>
        <w:rPr>
          <w:rFonts w:ascii="宋体" w:hAnsi="宋体"/>
          <w:color w:val="auto"/>
          <w:highlight w:val="none"/>
        </w:rPr>
      </w:pPr>
      <w:r>
        <w:rPr>
          <w:rFonts w:hint="eastAsia" w:ascii="宋体" w:hAnsi="宋体"/>
          <w:color w:val="auto"/>
          <w:highlight w:val="none"/>
          <w:lang w:val="zh-CN"/>
        </w:rPr>
        <w:t>我公司理解并接受招标文件的各项规定和要求，同意此次招标文件中的各项内容，</w:t>
      </w:r>
      <w:r>
        <w:rPr>
          <w:rFonts w:hint="eastAsia" w:ascii="宋体" w:hAnsi="宋体"/>
          <w:color w:val="auto"/>
          <w:highlight w:val="none"/>
        </w:rPr>
        <w:t>并</w:t>
      </w:r>
      <w:r>
        <w:rPr>
          <w:rFonts w:hint="eastAsia" w:ascii="宋体" w:hAnsi="宋体"/>
          <w:color w:val="auto"/>
          <w:highlight w:val="none"/>
          <w:lang w:val="zh-CN"/>
        </w:rPr>
        <w:t>同意提供按照贵方可能要求的与投标有关的一切数据或资料等。</w:t>
      </w:r>
    </w:p>
    <w:p>
      <w:pPr>
        <w:snapToGrid w:val="0"/>
        <w:ind w:firstLine="480"/>
        <w:rPr>
          <w:rFonts w:ascii="宋体" w:hAnsi="宋体"/>
          <w:color w:val="auto"/>
          <w:highlight w:val="none"/>
          <w:lang w:val="zh-CN"/>
        </w:rPr>
      </w:pPr>
      <w:r>
        <w:rPr>
          <w:rFonts w:hint="eastAsia" w:ascii="宋体" w:hAnsi="宋体"/>
          <w:color w:val="auto"/>
          <w:highlight w:val="none"/>
          <w:lang w:val="zh-CN"/>
        </w:rPr>
        <w:t>本公司如中标，保证按照投标文件的承诺与贵方签订合同，保证履行合同条款并缴纳履约保证金。</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s="宋体"/>
          <w:color w:val="auto"/>
          <w:sz w:val="30"/>
          <w:szCs w:val="30"/>
          <w:highlight w:val="none"/>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pStyle w:val="2"/>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7216"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1"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251657216;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177LDZAAAACQEAAA8AAAAAAAAAAQAgAAAAIgAAAGRycy9kb3ducmV2LnhtbFBLAQIUABQA&#10;AAAIAIdO4kAc5Lqd7wEAAOgDAAAOAAAAAAAAAAEAIAAAACgBAABkcnMvZTJvRG9jLnhtbFBLBQYA&#10;AAAABgAGAFkBAACJ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报价</w:t>
      </w:r>
      <w:r>
        <w:rPr>
          <w:rFonts w:hint="eastAsia" w:ascii="宋体" w:hAnsi="宋体" w:cs="宋体"/>
          <w:color w:val="auto"/>
          <w:highlight w:val="none"/>
        </w:rPr>
        <w:t>文件封面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报价文件</w:t>
      </w:r>
    </w:p>
    <w:p>
      <w:pPr>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标项：</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标项名称：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标项编号：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ind w:firstLine="723"/>
        <w:jc w:val="center"/>
        <w:outlineLvl w:val="0"/>
        <w:rPr>
          <w:rFonts w:ascii="宋体" w:hAnsi="宋体" w:cs="宋体"/>
          <w:b/>
          <w:color w:val="auto"/>
          <w:kern w:val="0"/>
          <w:sz w:val="36"/>
          <w:highlight w:val="none"/>
        </w:rPr>
      </w:pPr>
      <w:bookmarkStart w:id="136" w:name="_Toc6136"/>
      <w:bookmarkStart w:id="137" w:name="_Toc30921"/>
      <w:r>
        <w:rPr>
          <w:rFonts w:hint="eastAsia" w:ascii="宋体" w:hAnsi="宋体" w:cs="宋体"/>
          <w:b/>
          <w:color w:val="auto"/>
          <w:kern w:val="0"/>
          <w:sz w:val="36"/>
          <w:highlight w:val="none"/>
        </w:rPr>
        <w:t>报价文件目录</w:t>
      </w:r>
      <w:bookmarkEnd w:id="136"/>
      <w:bookmarkEnd w:id="137"/>
    </w:p>
    <w:p>
      <w:pPr>
        <w:ind w:firstLine="480"/>
        <w:outlineLvl w:val="0"/>
        <w:rPr>
          <w:rFonts w:ascii="宋体" w:hAnsi="宋体" w:cs="宋体"/>
          <w:color w:val="auto"/>
          <w:kern w:val="0"/>
          <w:highlight w:val="none"/>
        </w:rPr>
      </w:pPr>
      <w:bookmarkStart w:id="138" w:name="_Toc16666"/>
      <w:bookmarkStart w:id="139" w:name="_Toc2482"/>
      <w:r>
        <w:rPr>
          <w:rFonts w:hint="eastAsia" w:ascii="宋体" w:hAnsi="宋体" w:cs="宋体"/>
          <w:color w:val="auto"/>
          <w:kern w:val="0"/>
          <w:highlight w:val="none"/>
        </w:rPr>
        <w:t>（1）投标响应函………………………………………………………………（页码）</w:t>
      </w:r>
      <w:bookmarkEnd w:id="138"/>
      <w:bookmarkEnd w:id="139"/>
    </w:p>
    <w:p>
      <w:pPr>
        <w:ind w:firstLine="480"/>
        <w:outlineLvl w:val="0"/>
        <w:rPr>
          <w:rFonts w:ascii="宋体" w:hAnsi="宋体" w:cs="宋体"/>
          <w:color w:val="auto"/>
          <w:kern w:val="0"/>
          <w:highlight w:val="none"/>
        </w:rPr>
      </w:pPr>
      <w:bookmarkStart w:id="140" w:name="_Toc9814"/>
      <w:bookmarkStart w:id="141" w:name="_Toc20554"/>
      <w:r>
        <w:rPr>
          <w:rFonts w:hint="eastAsia" w:ascii="宋体" w:hAnsi="宋体" w:cs="宋体"/>
          <w:color w:val="auto"/>
          <w:kern w:val="0"/>
          <w:highlight w:val="none"/>
        </w:rPr>
        <w:t>（2）开标一览表………………………………………………………………（页码）</w:t>
      </w:r>
      <w:bookmarkEnd w:id="140"/>
      <w:bookmarkEnd w:id="141"/>
    </w:p>
    <w:p>
      <w:pPr>
        <w:ind w:firstLine="480"/>
        <w:outlineLvl w:val="0"/>
        <w:rPr>
          <w:rFonts w:ascii="宋体" w:hAnsi="宋体" w:cs="宋体"/>
          <w:color w:val="auto"/>
          <w:kern w:val="0"/>
          <w:highlight w:val="none"/>
        </w:rPr>
      </w:pPr>
      <w:bookmarkStart w:id="142" w:name="_Toc10349"/>
      <w:bookmarkStart w:id="143" w:name="_Toc20667"/>
      <w:r>
        <w:rPr>
          <w:rFonts w:hint="eastAsia" w:ascii="宋体" w:hAnsi="宋体" w:cs="宋体"/>
          <w:color w:val="auto"/>
          <w:kern w:val="0"/>
          <w:highlight w:val="none"/>
        </w:rPr>
        <w:t>（3）投标报价明细表…………………………………………………………（页码）</w:t>
      </w:r>
      <w:bookmarkEnd w:id="142"/>
      <w:bookmarkEnd w:id="143"/>
    </w:p>
    <w:p>
      <w:pPr>
        <w:ind w:firstLine="480"/>
        <w:outlineLvl w:val="0"/>
        <w:rPr>
          <w:rFonts w:ascii="宋体" w:hAnsi="宋体" w:cs="宋体"/>
          <w:color w:val="auto"/>
          <w:highlight w:val="none"/>
        </w:rPr>
      </w:pPr>
      <w:bookmarkStart w:id="144" w:name="_Toc20916"/>
      <w:bookmarkStart w:id="145" w:name="_Toc21037"/>
      <w:r>
        <w:rPr>
          <w:rFonts w:hint="eastAsia" w:ascii="宋体" w:hAnsi="宋体" w:cs="宋体"/>
          <w:color w:val="auto"/>
          <w:highlight w:val="none"/>
        </w:rPr>
        <w:t>（4）《中小企业声明函》、（中、小微企业资格证明材料）、监狱企业资格证明材料、《残疾人福利性单位声明函》（如果有）………………</w:t>
      </w:r>
      <w:r>
        <w:rPr>
          <w:rFonts w:hint="eastAsia" w:ascii="宋体" w:hAnsi="宋体" w:cs="宋体"/>
          <w:color w:val="auto"/>
          <w:kern w:val="0"/>
          <w:highlight w:val="none"/>
        </w:rPr>
        <w:t>…</w:t>
      </w:r>
      <w:r>
        <w:rPr>
          <w:rFonts w:hint="eastAsia" w:ascii="宋体" w:hAnsi="宋体" w:cs="宋体"/>
          <w:color w:val="auto"/>
          <w:highlight w:val="none"/>
        </w:rPr>
        <w:t>…………………（页码）</w:t>
      </w:r>
      <w:bookmarkEnd w:id="144"/>
      <w:bookmarkEnd w:id="145"/>
    </w:p>
    <w:p>
      <w:pPr>
        <w:pStyle w:val="6"/>
        <w:rPr>
          <w:rFonts w:ascii="宋体" w:hAnsi="宋体" w:cs="宋体"/>
          <w:color w:val="auto"/>
          <w:highlight w:val="none"/>
        </w:rPr>
        <w:sectPr>
          <w:headerReference r:id="rId15" w:type="default"/>
          <w:footerReference r:id="rId16" w:type="default"/>
          <w:pgSz w:w="11907" w:h="16840"/>
          <w:pgMar w:top="1247" w:right="1304" w:bottom="1021" w:left="1304" w:header="720" w:footer="720" w:gutter="0"/>
          <w:cols w:space="720" w:num="1"/>
          <w:docGrid w:linePitch="286" w:charSpace="0"/>
        </w:sectPr>
      </w:pPr>
    </w:p>
    <w:p>
      <w:pPr>
        <w:pStyle w:val="6"/>
        <w:rPr>
          <w:rFonts w:ascii="仿宋_GB2312" w:eastAsia="仿宋_GB2312"/>
          <w:color w:val="auto"/>
          <w:sz w:val="32"/>
          <w:highlight w:val="none"/>
        </w:rPr>
      </w:pPr>
      <w:r>
        <w:rPr>
          <w:rFonts w:hint="eastAsia" w:ascii="宋体" w:hAnsi="宋体" w:cs="宋体"/>
          <w:color w:val="auto"/>
          <w:highlight w:val="none"/>
        </w:rPr>
        <w:t xml:space="preserve">附件一 投标响应函   </w:t>
      </w:r>
    </w:p>
    <w:p>
      <w:pPr>
        <w:snapToGrid w:val="0"/>
        <w:ind w:firstLine="643"/>
        <w:jc w:val="center"/>
        <w:rPr>
          <w:rFonts w:ascii="仿宋_GB2312" w:hAnsi="仿宋_GB2312" w:eastAsia="仿宋_GB2312" w:cs="仿宋_GB2312"/>
          <w:color w:val="auto"/>
          <w:highlight w:val="none"/>
        </w:rPr>
      </w:pPr>
      <w:r>
        <w:rPr>
          <w:rFonts w:hint="eastAsia" w:ascii="仿宋_GB2312" w:hAnsi="宋体" w:eastAsia="仿宋_GB2312"/>
          <w:b/>
          <w:color w:val="auto"/>
          <w:kern w:val="0"/>
          <w:sz w:val="32"/>
          <w:highlight w:val="none"/>
        </w:rPr>
        <w:t>投标响应</w:t>
      </w:r>
      <w:r>
        <w:rPr>
          <w:rFonts w:hint="eastAsia" w:ascii="仿宋_GB2312" w:hAnsi="宋体" w:eastAsia="仿宋_GB2312"/>
          <w:b/>
          <w:color w:val="auto"/>
          <w:sz w:val="32"/>
          <w:highlight w:val="none"/>
        </w:rPr>
        <w:t>函</w:t>
      </w: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浙江中医药大学、浙江五石工程咨询有限公司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snapToGrid w:val="0"/>
        <w:ind w:firstLine="480"/>
        <w:rPr>
          <w:rFonts w:ascii="宋体" w:hAnsi="宋体" w:cs="宋体"/>
          <w:color w:val="auto"/>
          <w:highlight w:val="none"/>
        </w:rPr>
      </w:pP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(投标人全称)授权</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(全权代表姓名)</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(职务、职称)为全权代表，参加贵方组织的</w:t>
      </w:r>
      <w:r>
        <w:rPr>
          <w:rFonts w:hint="eastAsia" w:ascii="宋体" w:hAnsi="宋体" w:cs="宋体"/>
          <w:color w:val="auto"/>
          <w:highlight w:val="none"/>
          <w:u w:val="single"/>
        </w:rPr>
        <w:t>（标项名称）（项目编号）</w:t>
      </w:r>
      <w:r>
        <w:rPr>
          <w:rFonts w:hint="eastAsia" w:ascii="宋体" w:hAnsi="宋体" w:cs="宋体"/>
          <w:color w:val="auto"/>
          <w:highlight w:val="none"/>
        </w:rPr>
        <w:t>招标的有关活动，并对此项目进行投标。为此：</w:t>
      </w:r>
    </w:p>
    <w:p>
      <w:pPr>
        <w:snapToGrid w:val="0"/>
        <w:ind w:firstLine="480"/>
        <w:rPr>
          <w:rFonts w:ascii="宋体" w:hAnsi="宋体" w:cs="宋体"/>
          <w:color w:val="auto"/>
          <w:highlight w:val="none"/>
        </w:rPr>
      </w:pPr>
      <w:r>
        <w:rPr>
          <w:rFonts w:hint="eastAsia" w:ascii="宋体" w:hAnsi="宋体" w:cs="宋体"/>
          <w:color w:val="auto"/>
          <w:highlight w:val="none"/>
        </w:rPr>
        <w:t>1、我方同意在投标人</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规定的开标日期起遵守本投标文件中的承诺且在投标有效期满之前均具有约束力。</w:t>
      </w:r>
    </w:p>
    <w:p>
      <w:pPr>
        <w:snapToGrid w:val="0"/>
        <w:ind w:firstLine="480"/>
        <w:rPr>
          <w:rFonts w:ascii="宋体" w:hAnsi="宋体" w:cs="宋体"/>
          <w:color w:val="auto"/>
          <w:highlight w:val="none"/>
        </w:rPr>
      </w:pPr>
      <w:r>
        <w:rPr>
          <w:rFonts w:hint="eastAsia" w:ascii="宋体" w:hAnsi="宋体" w:cs="宋体"/>
          <w:color w:val="auto"/>
          <w:highlight w:val="none"/>
        </w:rPr>
        <w:t>2、我方承诺已经具备《中华人民共和国政府采购法》中规定的参加政府采购活动的供应商应当具备的条件：</w:t>
      </w:r>
    </w:p>
    <w:p>
      <w:pPr>
        <w:snapToGrid w:val="0"/>
        <w:ind w:firstLine="480"/>
        <w:rPr>
          <w:rFonts w:ascii="宋体" w:hAnsi="宋体" w:cs="宋体"/>
          <w:color w:val="auto"/>
          <w:highlight w:val="none"/>
        </w:rPr>
      </w:pPr>
      <w:r>
        <w:rPr>
          <w:rFonts w:hint="eastAsia" w:ascii="宋体" w:hAnsi="宋体" w:cs="宋体"/>
          <w:color w:val="auto"/>
          <w:highlight w:val="none"/>
        </w:rPr>
        <w:t>(1)具有独立承担民事责任的能力；</w:t>
      </w:r>
    </w:p>
    <w:p>
      <w:pPr>
        <w:snapToGrid w:val="0"/>
        <w:ind w:firstLine="480"/>
        <w:rPr>
          <w:rFonts w:ascii="宋体" w:hAnsi="宋体" w:cs="宋体"/>
          <w:color w:val="auto"/>
          <w:highlight w:val="none"/>
        </w:rPr>
      </w:pPr>
      <w:r>
        <w:rPr>
          <w:rFonts w:hint="eastAsia" w:ascii="宋体" w:hAnsi="宋体" w:cs="宋体"/>
          <w:color w:val="auto"/>
          <w:highlight w:val="none"/>
        </w:rPr>
        <w:t>(2)遵守国家法律、行政法规，具有良好的信誉和商业道德；</w:t>
      </w:r>
    </w:p>
    <w:p>
      <w:pPr>
        <w:snapToGrid w:val="0"/>
        <w:ind w:firstLine="480"/>
        <w:rPr>
          <w:rFonts w:ascii="宋体" w:hAnsi="宋体" w:cs="宋体"/>
          <w:color w:val="auto"/>
          <w:highlight w:val="none"/>
        </w:rPr>
      </w:pPr>
      <w:r>
        <w:rPr>
          <w:rFonts w:hint="eastAsia" w:ascii="宋体" w:hAnsi="宋体" w:cs="宋体"/>
          <w:color w:val="auto"/>
          <w:highlight w:val="none"/>
        </w:rPr>
        <w:t>(3)具有履行合同的能力和良好的履行合同记录；</w:t>
      </w:r>
    </w:p>
    <w:p>
      <w:pPr>
        <w:snapToGrid w:val="0"/>
        <w:ind w:firstLine="480"/>
        <w:rPr>
          <w:rFonts w:ascii="宋体" w:hAnsi="宋体" w:cs="宋体"/>
          <w:color w:val="auto"/>
          <w:highlight w:val="none"/>
        </w:rPr>
      </w:pPr>
      <w:r>
        <w:rPr>
          <w:rFonts w:hint="eastAsia" w:ascii="宋体" w:hAnsi="宋体" w:cs="宋体"/>
          <w:color w:val="auto"/>
          <w:highlight w:val="none"/>
        </w:rPr>
        <w:t>(4)良好的资金、财务状况；</w:t>
      </w:r>
    </w:p>
    <w:p>
      <w:pPr>
        <w:snapToGrid w:val="0"/>
        <w:ind w:firstLine="480"/>
        <w:rPr>
          <w:rFonts w:ascii="宋体" w:hAnsi="宋体" w:cs="宋体"/>
          <w:color w:val="auto"/>
          <w:highlight w:val="none"/>
        </w:rPr>
      </w:pPr>
      <w:r>
        <w:rPr>
          <w:rFonts w:hint="eastAsia" w:ascii="宋体" w:hAnsi="宋体" w:cs="宋体"/>
          <w:color w:val="auto"/>
          <w:highlight w:val="none"/>
        </w:rPr>
        <w:t>(5)产品及生产所需装备符合中国政府规定的相应技术标准和环保标准；</w:t>
      </w:r>
    </w:p>
    <w:p>
      <w:pPr>
        <w:snapToGrid w:val="0"/>
        <w:ind w:firstLine="480"/>
        <w:rPr>
          <w:rFonts w:ascii="宋体" w:hAnsi="宋体" w:cs="宋体"/>
          <w:color w:val="auto"/>
          <w:highlight w:val="none"/>
        </w:rPr>
      </w:pPr>
      <w:r>
        <w:rPr>
          <w:rFonts w:hint="eastAsia" w:ascii="宋体" w:hAnsi="宋体" w:cs="宋体"/>
          <w:color w:val="auto"/>
          <w:highlight w:val="none"/>
        </w:rPr>
        <w:t>(6)没有违反政府采购法规、政策的记录；</w:t>
      </w:r>
    </w:p>
    <w:p>
      <w:pPr>
        <w:snapToGrid w:val="0"/>
        <w:ind w:firstLine="480"/>
        <w:rPr>
          <w:rFonts w:ascii="宋体" w:hAnsi="宋体" w:cs="宋体"/>
          <w:color w:val="auto"/>
          <w:highlight w:val="none"/>
        </w:rPr>
      </w:pPr>
      <w:r>
        <w:rPr>
          <w:rFonts w:hint="eastAsia" w:ascii="宋体" w:hAnsi="宋体" w:cs="宋体"/>
          <w:color w:val="auto"/>
          <w:highlight w:val="none"/>
        </w:rPr>
        <w:t>(7)没有发生重大经济纠纷和走私犯罪记录。</w:t>
      </w:r>
    </w:p>
    <w:p>
      <w:pPr>
        <w:pStyle w:val="20"/>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3、提供</w:t>
      </w:r>
      <w:r>
        <w:rPr>
          <w:rFonts w:hint="eastAsia" w:hAnsi="宋体" w:cs="宋体"/>
          <w:color w:val="auto"/>
          <w:kern w:val="44"/>
          <w:sz w:val="24"/>
          <w:highlight w:val="none"/>
        </w:rPr>
        <w:t>编制和提交采购响应文件须知</w:t>
      </w:r>
      <w:r>
        <w:rPr>
          <w:rFonts w:hint="eastAsia" w:hAnsi="宋体" w:cs="宋体"/>
          <w:color w:val="auto"/>
          <w:sz w:val="24"/>
          <w:highlight w:val="none"/>
        </w:rPr>
        <w:t>规定的全部投标文件，包括</w:t>
      </w:r>
      <w:r>
        <w:rPr>
          <w:rFonts w:hint="eastAsia" w:hAnsi="宋体" w:cs="宋体"/>
          <w:b/>
          <w:color w:val="auto"/>
          <w:sz w:val="24"/>
          <w:szCs w:val="24"/>
          <w:highlight w:val="none"/>
        </w:rPr>
        <w:t>资格文件正本1份；报价文件正本1份，副本</w:t>
      </w:r>
      <w:r>
        <w:rPr>
          <w:rFonts w:hint="eastAsia" w:hAnsi="宋体" w:cs="宋体"/>
          <w:color w:val="auto"/>
          <w:kern w:val="0"/>
          <w:sz w:val="24"/>
          <w:highlight w:val="none"/>
          <w:u w:val="single"/>
        </w:rPr>
        <w:t>4</w:t>
      </w:r>
      <w:r>
        <w:rPr>
          <w:rFonts w:hint="eastAsia" w:hAnsi="宋体" w:cs="宋体"/>
          <w:b/>
          <w:color w:val="auto"/>
          <w:sz w:val="24"/>
          <w:szCs w:val="24"/>
          <w:highlight w:val="none"/>
        </w:rPr>
        <w:t>份；商务技术文件正本1份，副本</w:t>
      </w:r>
      <w:r>
        <w:rPr>
          <w:rFonts w:hint="eastAsia" w:hAnsi="宋体" w:cs="宋体"/>
          <w:color w:val="auto"/>
          <w:kern w:val="0"/>
          <w:sz w:val="24"/>
          <w:highlight w:val="none"/>
          <w:u w:val="single"/>
          <w:lang w:val="zh-CN"/>
        </w:rPr>
        <w:t xml:space="preserve"> </w:t>
      </w:r>
      <w:r>
        <w:rPr>
          <w:rFonts w:hint="eastAsia" w:hAnsi="宋体" w:cs="宋体"/>
          <w:color w:val="auto"/>
          <w:kern w:val="0"/>
          <w:sz w:val="24"/>
          <w:highlight w:val="none"/>
          <w:u w:val="single"/>
        </w:rPr>
        <w:t>4</w:t>
      </w:r>
      <w:r>
        <w:rPr>
          <w:rFonts w:hint="eastAsia" w:hAnsi="宋体" w:cs="宋体"/>
          <w:b/>
          <w:color w:val="auto"/>
          <w:sz w:val="24"/>
          <w:szCs w:val="24"/>
          <w:highlight w:val="none"/>
        </w:rPr>
        <w:t>份；电子版</w:t>
      </w:r>
      <w:r>
        <w:rPr>
          <w:rFonts w:hint="eastAsia" w:hAnsi="宋体" w:cs="宋体"/>
          <w:b/>
          <w:color w:val="auto"/>
          <w:sz w:val="24"/>
          <w:szCs w:val="24"/>
          <w:highlight w:val="none"/>
          <w:u w:val="single"/>
        </w:rPr>
        <w:t>1</w:t>
      </w:r>
      <w:r>
        <w:rPr>
          <w:rFonts w:hint="eastAsia" w:hAnsi="宋体" w:cs="宋体"/>
          <w:b/>
          <w:color w:val="auto"/>
          <w:sz w:val="24"/>
          <w:szCs w:val="24"/>
          <w:highlight w:val="none"/>
        </w:rPr>
        <w:t>份。</w:t>
      </w:r>
      <w:r>
        <w:rPr>
          <w:rFonts w:hint="eastAsia" w:hAnsi="宋体" w:cs="宋体"/>
          <w:color w:val="auto"/>
          <w:sz w:val="24"/>
          <w:highlight w:val="none"/>
        </w:rPr>
        <w:t>具体内容为：</w:t>
      </w:r>
    </w:p>
    <w:p>
      <w:pPr>
        <w:snapToGrid w:val="0"/>
        <w:ind w:firstLine="480"/>
        <w:rPr>
          <w:rFonts w:ascii="宋体" w:hAnsi="宋体" w:cs="宋体"/>
          <w:color w:val="auto"/>
          <w:highlight w:val="none"/>
        </w:rPr>
      </w:pPr>
      <w:r>
        <w:rPr>
          <w:rFonts w:hint="eastAsia" w:ascii="宋体" w:hAnsi="宋体" w:cs="宋体"/>
          <w:color w:val="auto"/>
          <w:highlight w:val="none"/>
        </w:rPr>
        <w:t>(1)开标一览表及投标报价明细清单；</w:t>
      </w:r>
    </w:p>
    <w:p>
      <w:pPr>
        <w:snapToGrid w:val="0"/>
        <w:ind w:firstLine="480"/>
        <w:rPr>
          <w:rFonts w:ascii="宋体" w:hAnsi="宋体" w:cs="宋体"/>
          <w:color w:val="auto"/>
          <w:highlight w:val="none"/>
        </w:rPr>
      </w:pPr>
      <w:r>
        <w:rPr>
          <w:rFonts w:hint="eastAsia" w:ascii="宋体" w:hAnsi="宋体" w:cs="宋体"/>
          <w:color w:val="auto"/>
          <w:highlight w:val="none"/>
        </w:rPr>
        <w:t>(2)投标商务</w:t>
      </w:r>
      <w:r>
        <w:rPr>
          <w:rFonts w:hint="eastAsia" w:ascii="宋体" w:hAnsi="宋体" w:cs="宋体"/>
          <w:color w:val="auto"/>
          <w:kern w:val="0"/>
          <w:highlight w:val="none"/>
          <w:lang w:val="zh-CN"/>
        </w:rPr>
        <w:t>技术文件和</w:t>
      </w:r>
      <w:r>
        <w:rPr>
          <w:rFonts w:hint="eastAsia" w:ascii="宋体" w:hAnsi="宋体" w:cs="宋体"/>
          <w:color w:val="auto"/>
          <w:highlight w:val="none"/>
          <w:lang w:val="zh-CN"/>
        </w:rPr>
        <w:t>资格文件</w:t>
      </w:r>
      <w:r>
        <w:rPr>
          <w:rFonts w:hint="eastAsia" w:ascii="宋体" w:hAnsi="宋体" w:cs="宋体"/>
          <w:color w:val="auto"/>
          <w:highlight w:val="none"/>
        </w:rPr>
        <w:t>；</w:t>
      </w:r>
    </w:p>
    <w:p>
      <w:pPr>
        <w:snapToGrid w:val="0"/>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要求投标人提交的全部文件；</w:t>
      </w:r>
    </w:p>
    <w:p>
      <w:pPr>
        <w:snapToGrid w:val="0"/>
        <w:ind w:firstLine="480"/>
        <w:rPr>
          <w:rFonts w:ascii="宋体" w:hAnsi="宋体" w:cs="宋体"/>
          <w:color w:val="auto"/>
          <w:highlight w:val="none"/>
        </w:rPr>
      </w:pPr>
      <w:r>
        <w:rPr>
          <w:rFonts w:hint="eastAsia" w:ascii="宋体" w:hAnsi="宋体" w:cs="宋体"/>
          <w:color w:val="auto"/>
          <w:highlight w:val="none"/>
        </w:rPr>
        <w:t>(4)按招标文件要求提供和交付的货物和服务的投标报价详见投标(开标)一览表；</w:t>
      </w:r>
    </w:p>
    <w:p>
      <w:pPr>
        <w:snapToGrid w:val="0"/>
        <w:ind w:firstLine="480"/>
        <w:rPr>
          <w:rFonts w:ascii="宋体" w:hAnsi="宋体" w:cs="宋体"/>
          <w:color w:val="auto"/>
          <w:highlight w:val="none"/>
        </w:rPr>
      </w:pPr>
      <w:r>
        <w:rPr>
          <w:rFonts w:hint="eastAsia" w:ascii="宋体" w:hAnsi="宋体" w:cs="宋体"/>
          <w:color w:val="auto"/>
          <w:highlight w:val="none"/>
        </w:rPr>
        <w:t>(5)保证忠实地执行双方所签订的合同，并承担合同规定的责任和义务；</w:t>
      </w:r>
    </w:p>
    <w:p>
      <w:pPr>
        <w:snapToGrid w:val="0"/>
        <w:ind w:firstLine="480"/>
        <w:rPr>
          <w:rFonts w:ascii="宋体" w:hAnsi="宋体" w:cs="宋体"/>
          <w:color w:val="auto"/>
          <w:highlight w:val="none"/>
        </w:rPr>
      </w:pPr>
      <w:r>
        <w:rPr>
          <w:rFonts w:hint="eastAsia" w:ascii="宋体" w:hAnsi="宋体" w:cs="宋体"/>
          <w:color w:val="auto"/>
          <w:highlight w:val="none"/>
        </w:rPr>
        <w:t>(6)保证遵守招标文件中的其他有关规定。</w:t>
      </w:r>
    </w:p>
    <w:p>
      <w:pPr>
        <w:snapToGrid w:val="0"/>
        <w:ind w:firstLine="480"/>
        <w:rPr>
          <w:rFonts w:ascii="宋体" w:hAnsi="宋体" w:cs="宋体"/>
          <w:color w:val="auto"/>
          <w:highlight w:val="none"/>
        </w:rPr>
      </w:pPr>
      <w:r>
        <w:rPr>
          <w:rFonts w:hint="eastAsia" w:ascii="宋体" w:hAnsi="宋体" w:cs="宋体"/>
          <w:color w:val="auto"/>
          <w:highlight w:val="none"/>
        </w:rPr>
        <w:t>4、我方承诺投标有效期从提交投标文件的截止之日起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天，不少于招标文件中载明的投标有效期（从提交投标文件的截止之日起90天）。</w:t>
      </w:r>
    </w:p>
    <w:p>
      <w:pPr>
        <w:snapToGrid w:val="0"/>
        <w:ind w:firstLine="480"/>
        <w:rPr>
          <w:rFonts w:ascii="宋体" w:hAnsi="宋体" w:cs="宋体"/>
          <w:color w:val="auto"/>
          <w:highlight w:val="none"/>
        </w:rPr>
      </w:pPr>
      <w:r>
        <w:rPr>
          <w:rFonts w:hint="eastAsia" w:ascii="宋体" w:hAnsi="宋体" w:cs="宋体"/>
          <w:color w:val="auto"/>
          <w:highlight w:val="none"/>
        </w:rPr>
        <w:t>5、我方完全理解贵方不一定要接受最低价的投标。</w:t>
      </w:r>
    </w:p>
    <w:p>
      <w:pPr>
        <w:snapToGrid w:val="0"/>
        <w:ind w:firstLine="480"/>
        <w:rPr>
          <w:rFonts w:ascii="宋体" w:hAnsi="宋体" w:cs="宋体"/>
          <w:color w:val="auto"/>
          <w:highlight w:val="none"/>
        </w:rPr>
      </w:pPr>
      <w:r>
        <w:rPr>
          <w:rFonts w:hint="eastAsia" w:ascii="宋体" w:hAnsi="宋体" w:cs="宋体"/>
          <w:color w:val="auto"/>
          <w:highlight w:val="none"/>
        </w:rPr>
        <w:t>6、我方愿意向贵方提供任何与该项投标有关的数据、情况和技术资料。若贵方需要，我方愿意提供我方作出的一切承诺的证明材料。</w:t>
      </w:r>
    </w:p>
    <w:p>
      <w:pPr>
        <w:snapToGrid w:val="0"/>
        <w:ind w:firstLine="480"/>
        <w:rPr>
          <w:rFonts w:ascii="宋体" w:hAnsi="宋体" w:cs="宋体"/>
          <w:color w:val="auto"/>
          <w:highlight w:val="none"/>
        </w:rPr>
      </w:pPr>
      <w:r>
        <w:rPr>
          <w:rFonts w:hint="eastAsia" w:ascii="宋体" w:hAnsi="宋体" w:cs="宋体"/>
          <w:color w:val="auto"/>
          <w:highlight w:val="none"/>
        </w:rPr>
        <w:t>7、我方已详细审核全部招标文件，包括招标文件修改书(如果有)、参考资料及有关附件，确认无误。</w:t>
      </w:r>
    </w:p>
    <w:p>
      <w:pPr>
        <w:snapToGrid w:val="0"/>
        <w:ind w:firstLine="480"/>
        <w:rPr>
          <w:rFonts w:ascii="宋体" w:hAnsi="宋体" w:cs="宋体"/>
          <w:color w:val="auto"/>
          <w:highlight w:val="none"/>
        </w:rPr>
      </w:pPr>
      <w:r>
        <w:rPr>
          <w:rFonts w:hint="eastAsia" w:ascii="宋体" w:hAnsi="宋体" w:cs="宋体"/>
          <w:color w:val="auto"/>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color w:val="auto"/>
          <w:highlight w:val="none"/>
        </w:rPr>
      </w:pPr>
      <w:r>
        <w:rPr>
          <w:rFonts w:hint="eastAsia" w:ascii="宋体" w:hAnsi="宋体" w:cs="宋体"/>
          <w:color w:val="auto"/>
          <w:highlight w:val="none"/>
        </w:rPr>
        <w:t>a)提供虚假材料谋取中标、成交的；</w:t>
      </w:r>
    </w:p>
    <w:p>
      <w:pPr>
        <w:snapToGrid w:val="0"/>
        <w:ind w:firstLine="480"/>
        <w:rPr>
          <w:rFonts w:ascii="宋体" w:hAnsi="宋体" w:cs="宋体"/>
          <w:color w:val="auto"/>
          <w:highlight w:val="none"/>
        </w:rPr>
      </w:pPr>
      <w:r>
        <w:rPr>
          <w:rFonts w:hint="eastAsia" w:ascii="宋体" w:hAnsi="宋体" w:cs="宋体"/>
          <w:color w:val="auto"/>
          <w:highlight w:val="none"/>
        </w:rPr>
        <w:t>b)采取不正当手段诋毁、排挤其他供应商的；</w:t>
      </w:r>
    </w:p>
    <w:p>
      <w:pPr>
        <w:snapToGrid w:val="0"/>
        <w:ind w:firstLine="480"/>
        <w:rPr>
          <w:rFonts w:ascii="宋体" w:hAnsi="宋体" w:cs="宋体"/>
          <w:color w:val="auto"/>
          <w:highlight w:val="none"/>
        </w:rPr>
      </w:pPr>
      <w:r>
        <w:rPr>
          <w:rFonts w:hint="eastAsia" w:ascii="宋体" w:hAnsi="宋体" w:cs="宋体"/>
          <w:color w:val="auto"/>
          <w:highlight w:val="none"/>
        </w:rPr>
        <w:t>c)与采购人、其它供应商或者采购代理机构恶意串通的；</w:t>
      </w:r>
    </w:p>
    <w:p>
      <w:pPr>
        <w:snapToGrid w:val="0"/>
        <w:ind w:firstLine="480"/>
        <w:rPr>
          <w:rFonts w:ascii="宋体" w:hAnsi="宋体" w:cs="宋体"/>
          <w:color w:val="auto"/>
          <w:highlight w:val="none"/>
        </w:rPr>
      </w:pPr>
      <w:r>
        <w:rPr>
          <w:rFonts w:hint="eastAsia" w:ascii="宋体" w:hAnsi="宋体" w:cs="宋体"/>
          <w:color w:val="auto"/>
          <w:highlight w:val="none"/>
        </w:rPr>
        <w:t>d)向采购人、采购代理机构行贿或者提供其他不正当利益的；</w:t>
      </w:r>
    </w:p>
    <w:p>
      <w:pPr>
        <w:snapToGrid w:val="0"/>
        <w:ind w:firstLine="480"/>
        <w:rPr>
          <w:rFonts w:ascii="宋体" w:hAnsi="宋体" w:cs="宋体"/>
          <w:color w:val="auto"/>
          <w:highlight w:val="none"/>
        </w:rPr>
      </w:pPr>
      <w:r>
        <w:rPr>
          <w:rFonts w:hint="eastAsia" w:ascii="宋体" w:hAnsi="宋体" w:cs="宋体"/>
          <w:color w:val="auto"/>
          <w:highlight w:val="none"/>
        </w:rPr>
        <w:t>e)在招标采购过程中与采购人进行协商谈判的；</w:t>
      </w:r>
    </w:p>
    <w:p>
      <w:pPr>
        <w:snapToGrid w:val="0"/>
        <w:ind w:firstLine="480"/>
        <w:rPr>
          <w:rFonts w:ascii="宋体" w:hAnsi="宋体" w:cs="宋体"/>
          <w:color w:val="auto"/>
          <w:highlight w:val="none"/>
        </w:rPr>
      </w:pPr>
      <w:r>
        <w:rPr>
          <w:rFonts w:hint="eastAsia" w:ascii="宋体" w:hAnsi="宋体" w:cs="宋体"/>
          <w:color w:val="auto"/>
          <w:highlight w:val="none"/>
        </w:rPr>
        <w:t>f)拒绝有关部门监督检查或提供虚假情况的。</w:t>
      </w:r>
    </w:p>
    <w:p>
      <w:pPr>
        <w:snapToGrid w:val="0"/>
        <w:ind w:firstLine="480"/>
        <w:rPr>
          <w:rFonts w:ascii="宋体" w:hAnsi="宋体" w:cs="宋体"/>
          <w:color w:val="auto"/>
          <w:highlight w:val="none"/>
        </w:rPr>
      </w:pPr>
      <w:r>
        <w:rPr>
          <w:rFonts w:hint="eastAsia" w:ascii="宋体" w:hAnsi="宋体" w:cs="宋体"/>
          <w:color w:val="auto"/>
          <w:highlight w:val="none"/>
        </w:rPr>
        <w:t>供应商有前款第a)至e)项情形之一的，中标、成交无效。</w:t>
      </w:r>
    </w:p>
    <w:p>
      <w:pPr>
        <w:ind w:firstLine="3600" w:firstLineChars="1500"/>
        <w:rPr>
          <w:rFonts w:ascii="宋体" w:hAnsi="宋体" w:cs="宋体"/>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napToGrid w:val="0"/>
        <w:ind w:left="480" w:leftChars="200" w:firstLine="4200" w:firstLineChars="1750"/>
        <w:rPr>
          <w:rFonts w:ascii="宋体" w:hAnsi="宋体" w:cs="宋体"/>
          <w:color w:val="auto"/>
          <w:kern w:val="0"/>
          <w:highlight w:val="none"/>
          <w:u w:val="single"/>
          <w:lang w:val="zh-CN"/>
        </w:rPr>
      </w:pPr>
    </w:p>
    <w:p>
      <w:pPr>
        <w:ind w:firstLine="480"/>
        <w:rPr>
          <w:rFonts w:ascii="宋体" w:hAnsi="宋体" w:cs="宋体"/>
          <w:color w:val="auto"/>
          <w:highlight w:val="none"/>
        </w:rPr>
      </w:pPr>
      <w:r>
        <w:rPr>
          <w:rFonts w:hint="eastAsia" w:ascii="宋体" w:hAnsi="宋体" w:cs="宋体"/>
          <w:color w:val="auto"/>
          <w:highlight w:val="none"/>
          <w:lang w:val="zh-CN"/>
        </w:rPr>
        <w:t xml:space="preserve">联系人：                           联系电话：                 </w:t>
      </w:r>
    </w:p>
    <w:p>
      <w:pPr>
        <w:ind w:firstLine="480"/>
        <w:rPr>
          <w:rFonts w:ascii="宋体" w:hAnsi="宋体" w:cs="宋体"/>
          <w:color w:val="auto"/>
          <w:highlight w:val="none"/>
        </w:rPr>
      </w:pPr>
      <w:r>
        <w:rPr>
          <w:rFonts w:hint="eastAsia" w:ascii="宋体" w:hAnsi="宋体" w:cs="宋体"/>
          <w:color w:val="auto"/>
          <w:highlight w:val="none"/>
          <w:lang w:val="zh-CN"/>
        </w:rPr>
        <w:t xml:space="preserve">联系地址：                                                    </w:t>
      </w:r>
    </w:p>
    <w:p>
      <w:pPr>
        <w:ind w:firstLine="480"/>
        <w:rPr>
          <w:rFonts w:ascii="宋体" w:hAnsi="宋体" w:cs="宋体"/>
          <w:color w:val="auto"/>
          <w:highlight w:val="none"/>
        </w:rPr>
      </w:pPr>
      <w:r>
        <w:rPr>
          <w:rFonts w:hint="eastAsia" w:ascii="宋体" w:hAnsi="宋体" w:cs="宋体"/>
          <w:color w:val="auto"/>
          <w:highlight w:val="none"/>
          <w:lang w:val="zh-CN"/>
        </w:rPr>
        <w:t xml:space="preserve">邮政编码：                     传真号码：                     </w:t>
      </w:r>
    </w:p>
    <w:p>
      <w:pPr>
        <w:ind w:firstLine="482"/>
        <w:rPr>
          <w:rFonts w:ascii="宋体" w:hAnsi="宋体" w:cs="宋体"/>
          <w:b/>
          <w:bCs/>
          <w:color w:val="auto"/>
          <w:highlight w:val="none"/>
          <w:lang w:val="zh-CN"/>
        </w:rPr>
      </w:pPr>
    </w:p>
    <w:p>
      <w:pPr>
        <w:ind w:firstLine="482"/>
        <w:rPr>
          <w:rFonts w:ascii="宋体" w:hAnsi="宋体" w:cs="宋体"/>
          <w:b/>
          <w:bCs/>
          <w:color w:val="auto"/>
          <w:highlight w:val="none"/>
          <w:lang w:val="zh-CN"/>
        </w:rPr>
      </w:pPr>
      <w:r>
        <w:rPr>
          <w:rFonts w:hint="eastAsia" w:ascii="宋体" w:hAnsi="宋体" w:cs="宋体"/>
          <w:b/>
          <w:bCs/>
          <w:color w:val="auto"/>
          <w:highlight w:val="none"/>
          <w:lang w:val="zh-CN"/>
        </w:rPr>
        <w:t>注：未按照本投标响应函要求填报的将被视为非实质性响应投标，从而可能导致该投标被拒绝。</w:t>
      </w: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6"/>
        <w:rPr>
          <w:rFonts w:ascii="宋体" w:hAnsi="宋体" w:cs="宋体"/>
          <w:color w:val="auto"/>
          <w:highlight w:val="none"/>
        </w:rPr>
      </w:pP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pStyle w:val="170"/>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146" w:name="_Toc14446"/>
      <w:bookmarkStart w:id="147" w:name="_Toc1847"/>
      <w:r>
        <w:rPr>
          <w:rFonts w:hint="eastAsia" w:ascii="宋体" w:hAnsi="宋体" w:eastAsia="宋体" w:cs="宋体"/>
          <w:bCs/>
          <w:color w:val="auto"/>
          <w:kern w:val="2"/>
          <w:sz w:val="24"/>
          <w:szCs w:val="32"/>
          <w:highlight w:val="none"/>
        </w:rPr>
        <w:t>开标一览表</w:t>
      </w:r>
      <w:bookmarkEnd w:id="146"/>
      <w:bookmarkEnd w:id="147"/>
    </w:p>
    <w:p>
      <w:pPr>
        <w:pStyle w:val="170"/>
        <w:keepNext w:val="0"/>
        <w:pageBreakBefore w:val="0"/>
        <w:tabs>
          <w:tab w:val="clear" w:pos="720"/>
        </w:tabs>
        <w:spacing w:line="460" w:lineRule="exact"/>
        <w:ind w:firstLine="482"/>
        <w:outlineLvl w:val="9"/>
        <w:rPr>
          <w:rFonts w:ascii="宋体" w:hAnsi="宋体" w:eastAsia="宋体" w:cs="宋体"/>
          <w:color w:val="auto"/>
          <w:kern w:val="2"/>
          <w:sz w:val="2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rPr>
        <w:t>浙江中医药大学、浙江五石工程咨询有限公司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pStyle w:val="170"/>
        <w:keepNext w:val="0"/>
        <w:pageBreakBefore w:val="0"/>
        <w:tabs>
          <w:tab w:val="clear" w:pos="720"/>
        </w:tabs>
        <w:ind w:firstLine="480"/>
        <w:jc w:val="both"/>
        <w:outlineLvl w:val="9"/>
        <w:rPr>
          <w:rFonts w:ascii="宋体" w:hAnsi="宋体" w:eastAsia="宋体" w:cs="宋体"/>
          <w:b w:val="0"/>
          <w:color w:val="auto"/>
          <w:kern w:val="0"/>
          <w:sz w:val="24"/>
          <w:highlight w:val="none"/>
          <w:lang w:val="zh-CN"/>
        </w:rPr>
      </w:pPr>
      <w:bookmarkStart w:id="148" w:name="_Toc18686"/>
      <w:bookmarkStart w:id="149" w:name="_Toc14051"/>
      <w:r>
        <w:rPr>
          <w:rFonts w:hint="eastAsia" w:ascii="宋体" w:hAnsi="宋体" w:eastAsia="宋体" w:cs="宋体"/>
          <w:b w:val="0"/>
          <w:color w:val="auto"/>
          <w:kern w:val="0"/>
          <w:sz w:val="24"/>
          <w:highlight w:val="none"/>
          <w:lang w:val="zh-CN"/>
        </w:rPr>
        <w:t>按招标文件要求，我方（</w:t>
      </w:r>
      <w:r>
        <w:rPr>
          <w:rFonts w:hint="eastAsia" w:ascii="宋体" w:hAnsi="宋体" w:eastAsia="宋体" w:cs="宋体"/>
          <w:b w:val="0"/>
          <w:color w:val="auto"/>
          <w:kern w:val="0"/>
          <w:sz w:val="24"/>
          <w:highlight w:val="none"/>
        </w:rPr>
        <w:t>投标人</w:t>
      </w:r>
      <w:r>
        <w:rPr>
          <w:rFonts w:hint="eastAsia" w:ascii="宋体" w:hAnsi="宋体" w:eastAsia="宋体" w:cs="宋体"/>
          <w:b w:val="0"/>
          <w:color w:val="auto"/>
          <w:kern w:val="0"/>
          <w:sz w:val="24"/>
          <w:highlight w:val="none"/>
          <w:lang w:val="zh-CN"/>
        </w:rPr>
        <w:t>）承诺按照如下开标一览表的价格完成[</w:t>
      </w:r>
      <w:r>
        <w:rPr>
          <w:rFonts w:hint="eastAsia" w:ascii="宋体" w:hAnsi="宋体" w:eastAsia="宋体" w:cs="宋体"/>
          <w:b w:val="0"/>
          <w:color w:val="auto"/>
          <w:kern w:val="0"/>
          <w:sz w:val="24"/>
          <w:highlight w:val="none"/>
        </w:rPr>
        <w:t>项目</w:t>
      </w:r>
      <w:r>
        <w:rPr>
          <w:rFonts w:hint="eastAsia" w:ascii="宋体" w:hAnsi="宋体" w:eastAsia="宋体" w:cs="宋体"/>
          <w:b w:val="0"/>
          <w:color w:val="auto"/>
          <w:kern w:val="0"/>
          <w:sz w:val="24"/>
          <w:highlight w:val="none"/>
          <w:lang w:val="zh-CN"/>
        </w:rPr>
        <w:t>编号：</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w:t>
      </w:r>
      <w:r>
        <w:rPr>
          <w:rFonts w:hint="eastAsia" w:ascii="宋体" w:hAnsi="宋体" w:eastAsia="宋体" w:cs="宋体"/>
          <w:b w:val="0"/>
          <w:color w:val="auto"/>
          <w:kern w:val="0"/>
          <w:sz w:val="24"/>
          <w:highlight w:val="none"/>
        </w:rPr>
        <w:t>标项</w:t>
      </w:r>
      <w:r>
        <w:rPr>
          <w:rFonts w:hint="eastAsia" w:ascii="宋体" w:hAnsi="宋体" w:eastAsia="宋体" w:cs="宋体"/>
          <w:b w:val="0"/>
          <w:color w:val="auto"/>
          <w:kern w:val="0"/>
          <w:sz w:val="24"/>
          <w:highlight w:val="none"/>
          <w:lang w:val="zh-CN"/>
        </w:rPr>
        <w:t>名称：</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kern w:val="0"/>
          <w:sz w:val="24"/>
          <w:highlight w:val="none"/>
          <w:lang w:val="zh-CN"/>
        </w:rPr>
        <w:t>]标项：</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的</w:t>
      </w:r>
      <w:r>
        <w:rPr>
          <w:rFonts w:hint="eastAsia" w:ascii="宋体" w:hAnsi="宋体" w:eastAsia="宋体" w:cs="宋体"/>
          <w:b w:val="0"/>
          <w:color w:val="auto"/>
          <w:kern w:val="0"/>
          <w:sz w:val="24"/>
          <w:highlight w:val="none"/>
        </w:rPr>
        <w:t>内容</w:t>
      </w:r>
      <w:r>
        <w:rPr>
          <w:rFonts w:hint="eastAsia" w:ascii="宋体" w:hAnsi="宋体" w:eastAsia="宋体" w:cs="宋体"/>
          <w:b w:val="0"/>
          <w:color w:val="auto"/>
          <w:kern w:val="0"/>
          <w:sz w:val="24"/>
          <w:highlight w:val="none"/>
          <w:lang w:val="zh-CN"/>
        </w:rPr>
        <w:t>实施。</w:t>
      </w:r>
      <w:bookmarkEnd w:id="148"/>
      <w:bookmarkEnd w:id="149"/>
    </w:p>
    <w:p>
      <w:pPr>
        <w:ind w:firstLine="482"/>
        <w:jc w:val="center"/>
        <w:rPr>
          <w:rFonts w:ascii="宋体" w:hAnsi="宋体" w:cs="宋体"/>
          <w:b/>
          <w:color w:val="auto"/>
          <w:kern w:val="0"/>
          <w:highlight w:val="none"/>
          <w:lang w:val="zh-CN"/>
        </w:rPr>
      </w:pPr>
      <w:r>
        <w:rPr>
          <w:rFonts w:hint="eastAsia" w:ascii="宋体" w:hAnsi="宋体" w:cs="宋体"/>
          <w:b/>
          <w:color w:val="auto"/>
          <w:kern w:val="0"/>
          <w:highlight w:val="none"/>
          <w:lang w:val="zh-CN"/>
        </w:rPr>
        <w:t>开标一览表</w:t>
      </w:r>
    </w:p>
    <w:p>
      <w:pPr>
        <w:pStyle w:val="20"/>
        <w:wordWrap w:val="0"/>
        <w:snapToGrid w:val="0"/>
        <w:spacing w:line="360" w:lineRule="auto"/>
        <w:ind w:firstLine="480"/>
        <w:jc w:val="center"/>
        <w:rPr>
          <w:rFonts w:hAnsi="宋体" w:cs="宋体"/>
          <w:color w:val="auto"/>
          <w:sz w:val="24"/>
          <w:szCs w:val="24"/>
          <w:highlight w:val="none"/>
        </w:rPr>
      </w:pPr>
      <w:r>
        <w:rPr>
          <w:rFonts w:hint="eastAsia" w:hAnsi="宋体" w:cs="宋体"/>
          <w:b/>
          <w:bCs/>
          <w:color w:val="auto"/>
          <w:sz w:val="24"/>
          <w:szCs w:val="24"/>
          <w:highlight w:val="none"/>
        </w:rPr>
        <w:t xml:space="preserve">                                                            </w:t>
      </w:r>
      <w:r>
        <w:rPr>
          <w:rFonts w:hint="eastAsia" w:hAnsi="宋体" w:cs="宋体"/>
          <w:color w:val="auto"/>
          <w:sz w:val="24"/>
          <w:szCs w:val="24"/>
          <w:highlight w:val="none"/>
        </w:rPr>
        <w:t xml:space="preserve"> </w:t>
      </w:r>
    </w:p>
    <w:tbl>
      <w:tblPr>
        <w:tblStyle w:val="39"/>
        <w:tblW w:w="93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3123"/>
        <w:gridCol w:w="4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03" w:hRule="atLeast"/>
        </w:trPr>
        <w:tc>
          <w:tcPr>
            <w:tcW w:w="9380"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6"/>
                <w:highlight w:val="none"/>
                <w:u w:val="single"/>
              </w:rPr>
            </w:pPr>
            <w:r>
              <w:rPr>
                <w:rFonts w:hint="eastAsia" w:ascii="宋体" w:hAnsi="宋体"/>
                <w:b/>
                <w:color w:val="auto"/>
                <w:spacing w:val="-6"/>
                <w:highlight w:val="none"/>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58" w:hRule="atLeast"/>
        </w:trPr>
        <w:tc>
          <w:tcPr>
            <w:tcW w:w="17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b/>
                <w:color w:val="auto"/>
                <w:spacing w:val="-6"/>
                <w:highlight w:val="none"/>
              </w:rPr>
            </w:pPr>
            <w:r>
              <w:rPr>
                <w:rFonts w:hint="eastAsia" w:ascii="宋体" w:hAnsi="宋体"/>
                <w:b/>
                <w:color w:val="auto"/>
                <w:spacing w:val="-6"/>
                <w:highlight w:val="none"/>
              </w:rPr>
              <w:t>总报价</w:t>
            </w:r>
          </w:p>
        </w:tc>
        <w:tc>
          <w:tcPr>
            <w:tcW w:w="3123"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inorEastAsia" w:hAnsiTheme="minorEastAsia" w:cstheme="minorEastAsia"/>
                <w:color w:val="auto"/>
                <w:highlight w:val="none"/>
              </w:rPr>
            </w:pPr>
            <w:r>
              <w:rPr>
                <w:rFonts w:hint="eastAsia" w:hAnsi="宋体" w:cs="宋体"/>
                <w:b/>
                <w:bCs/>
                <w:color w:val="auto"/>
                <w:highlight w:val="none"/>
              </w:rPr>
              <w:t>金额单位： 美元</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进口设备部分：</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大写：</w:t>
            </w:r>
          </w:p>
          <w:p>
            <w:pPr>
              <w:ind w:firstLine="0" w:firstLineChars="0"/>
              <w:rPr>
                <w:rFonts w:ascii="宋体" w:hAnsi="宋体"/>
                <w:b/>
                <w:color w:val="auto"/>
                <w:spacing w:val="-6"/>
                <w:highlight w:val="none"/>
              </w:rPr>
            </w:pPr>
            <w:r>
              <w:rPr>
                <w:rFonts w:hint="eastAsia" w:asciiTheme="minorEastAsia" w:hAnsiTheme="minorEastAsia" w:cstheme="minorEastAsia"/>
                <w:color w:val="auto"/>
                <w:highlight w:val="none"/>
              </w:rPr>
              <w:t>小写：</w:t>
            </w:r>
          </w:p>
        </w:tc>
        <w:tc>
          <w:tcPr>
            <w:tcW w:w="4529"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inorEastAsia" w:hAnsiTheme="minorEastAsia" w:cstheme="minorEastAsia"/>
                <w:color w:val="auto"/>
                <w:highlight w:val="none"/>
              </w:rPr>
            </w:pPr>
            <w:r>
              <w:rPr>
                <w:rFonts w:hint="eastAsia" w:hAnsi="宋体" w:cs="宋体"/>
                <w:b/>
                <w:bCs/>
                <w:color w:val="auto"/>
                <w:highlight w:val="none"/>
              </w:rPr>
              <w:t>金额单位： 人民币/元</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国产设备部分:</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大写：</w:t>
            </w:r>
          </w:p>
          <w:p>
            <w:pPr>
              <w:ind w:firstLine="0" w:firstLineChars="0"/>
              <w:rPr>
                <w:rFonts w:ascii="宋体" w:hAnsi="宋体"/>
                <w:bCs/>
                <w:color w:val="auto"/>
                <w:spacing w:val="-6"/>
                <w:highlight w:val="none"/>
              </w:rPr>
            </w:pPr>
            <w:r>
              <w:rPr>
                <w:rFonts w:hint="eastAsia" w:asciiTheme="minorEastAsia" w:hAnsiTheme="minorEastAsia" w:cstheme="minorEastAsia"/>
                <w:color w:val="auto"/>
                <w:highlight w:val="none"/>
              </w:rPr>
              <w:t>小写：</w:t>
            </w:r>
          </w:p>
        </w:tc>
      </w:tr>
    </w:tbl>
    <w:p>
      <w:pPr>
        <w:pStyle w:val="20"/>
        <w:wordWrap w:val="0"/>
        <w:snapToGrid w:val="0"/>
        <w:spacing w:line="360" w:lineRule="auto"/>
        <w:ind w:firstLine="480"/>
        <w:jc w:val="center"/>
        <w:rPr>
          <w:rFonts w:hAnsi="宋体" w:cs="宋体"/>
          <w:color w:val="auto"/>
          <w:sz w:val="24"/>
          <w:szCs w:val="24"/>
          <w:highlight w:val="none"/>
        </w:rPr>
      </w:pPr>
    </w:p>
    <w:p>
      <w:pPr>
        <w:pStyle w:val="20"/>
        <w:wordWrap w:val="0"/>
        <w:snapToGrid w:val="0"/>
        <w:spacing w:line="360" w:lineRule="auto"/>
        <w:ind w:firstLine="480"/>
        <w:jc w:val="center"/>
        <w:rPr>
          <w:rFonts w:hAnsi="宋体" w:cs="宋体"/>
          <w:color w:val="auto"/>
          <w:sz w:val="24"/>
          <w:szCs w:val="24"/>
          <w:highlight w:val="none"/>
          <w:lang w:val="zh-CN"/>
        </w:rPr>
      </w:pPr>
    </w:p>
    <w:p>
      <w:pPr>
        <w:snapToGrid w:val="0"/>
        <w:ind w:firstLine="0" w:firstLineChars="0"/>
        <w:rPr>
          <w:rFonts w:ascii="宋体" w:hAnsi="宋体" w:cs="宋体"/>
          <w:b/>
          <w:color w:val="auto"/>
          <w:kern w:val="0"/>
          <w:highlight w:val="none"/>
          <w:lang w:val="zh-CN"/>
        </w:rPr>
      </w:pPr>
    </w:p>
    <w:p>
      <w:pPr>
        <w:snapToGrid w:val="0"/>
        <w:ind w:firstLine="0" w:firstLineChars="0"/>
        <w:rPr>
          <w:rFonts w:ascii="宋体" w:hAnsi="宋体" w:cs="宋体"/>
          <w:color w:val="auto"/>
          <w:kern w:val="0"/>
          <w:highlight w:val="none"/>
          <w:lang w:val="zh-CN"/>
        </w:rPr>
      </w:pPr>
      <w:r>
        <w:rPr>
          <w:rFonts w:hint="eastAsia" w:ascii="宋体" w:hAnsi="宋体" w:cs="宋体"/>
          <w:b/>
          <w:color w:val="auto"/>
          <w:kern w:val="0"/>
          <w:highlight w:val="none"/>
          <w:lang w:val="zh-CN"/>
        </w:rPr>
        <w:t>注：</w:t>
      </w:r>
      <w:r>
        <w:rPr>
          <w:rFonts w:hint="eastAsia" w:ascii="宋体" w:hAnsi="宋体" w:cs="宋体"/>
          <w:color w:val="auto"/>
          <w:kern w:val="0"/>
          <w:highlight w:val="none"/>
          <w:lang w:val="zh-CN"/>
        </w:rPr>
        <w:t>1、投标人需按本表格式填写，不得自行更改。</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2、有关本项目实施所涉及的一切费用（详见前附表）均计入报价。</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3、以上表格要求细分项目及报价。</w:t>
      </w:r>
    </w:p>
    <w:p>
      <w:pPr>
        <w:snapToGrid w:val="0"/>
        <w:ind w:firstLine="482"/>
        <w:rPr>
          <w:rFonts w:ascii="宋体" w:hAnsi="宋体" w:cs="宋体"/>
          <w:b/>
          <w:color w:val="auto"/>
          <w:kern w:val="0"/>
          <w:highlight w:val="none"/>
          <w:lang w:val="zh-CN"/>
        </w:rPr>
      </w:pPr>
      <w:r>
        <w:rPr>
          <w:rFonts w:hint="eastAsia" w:ascii="宋体" w:hAnsi="宋体" w:cs="宋体"/>
          <w:b/>
          <w:color w:val="auto"/>
          <w:kern w:val="0"/>
          <w:highlight w:val="none"/>
          <w:lang w:val="zh-CN"/>
        </w:rPr>
        <w:t>4、特别提示：采购机构将对</w:t>
      </w:r>
      <w:r>
        <w:rPr>
          <w:rFonts w:hint="eastAsia" w:ascii="宋体" w:hAnsi="宋体" w:cs="宋体"/>
          <w:b/>
          <w:color w:val="auto"/>
          <w:kern w:val="0"/>
          <w:highlight w:val="none"/>
        </w:rPr>
        <w:t>项目名称和项目编号，中标供应商名称、地址和中标金额，主要中标标的的名称、规格型号、数量、单价、服务要求等</w:t>
      </w:r>
      <w:r>
        <w:rPr>
          <w:rFonts w:hint="eastAsia" w:ascii="宋体" w:hAnsi="宋体" w:cs="宋体"/>
          <w:b/>
          <w:color w:val="auto"/>
          <w:kern w:val="0"/>
          <w:highlight w:val="none"/>
          <w:lang w:val="zh-CN"/>
        </w:rPr>
        <w:t>予以公示。</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footerReference r:id="rId17" w:type="default"/>
          <w:pgSz w:w="11907" w:h="16840"/>
          <w:pgMar w:top="1247" w:right="1304" w:bottom="1021" w:left="1304" w:header="720" w:footer="720" w:gutter="0"/>
          <w:cols w:space="720" w:num="1"/>
          <w:docGrid w:linePitch="286" w:charSpace="0"/>
        </w:sectPr>
      </w:pPr>
    </w:p>
    <w:p>
      <w:pPr>
        <w:pStyle w:val="6"/>
        <w:rPr>
          <w:rFonts w:ascii="宋体" w:hAnsi="宋体" w:cs="宋体"/>
          <w:b w:val="0"/>
          <w:bCs w:val="0"/>
          <w:color w:val="auto"/>
          <w:highlight w:val="none"/>
        </w:rPr>
      </w:pPr>
      <w:r>
        <w:rPr>
          <w:rFonts w:hint="eastAsia" w:ascii="宋体" w:hAnsi="宋体" w:cs="宋体"/>
          <w:color w:val="auto"/>
          <w:highlight w:val="none"/>
        </w:rPr>
        <w:t>附件三 投标报价明细表</w:t>
      </w:r>
    </w:p>
    <w:p>
      <w:pPr>
        <w:pStyle w:val="170"/>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150" w:name="_Toc17346"/>
      <w:bookmarkStart w:id="151" w:name="_Toc2738"/>
      <w:r>
        <w:rPr>
          <w:rFonts w:hint="eastAsia" w:ascii="宋体" w:hAnsi="宋体" w:eastAsia="宋体" w:cs="宋体"/>
          <w:bCs/>
          <w:color w:val="auto"/>
          <w:kern w:val="2"/>
          <w:sz w:val="24"/>
          <w:szCs w:val="32"/>
          <w:highlight w:val="none"/>
        </w:rPr>
        <w:t>投标报价明细表</w:t>
      </w:r>
      <w:bookmarkEnd w:id="150"/>
      <w:bookmarkEnd w:id="151"/>
    </w:p>
    <w:p>
      <w:pPr>
        <w:pStyle w:val="20"/>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标项名称：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项目编号：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20"/>
        <w:snapToGrid w:val="0"/>
        <w:spacing w:line="360" w:lineRule="auto"/>
        <w:ind w:firstLine="480"/>
        <w:rPr>
          <w:rFonts w:hAnsi="宋体" w:cs="宋体"/>
          <w:color w:val="auto"/>
          <w:sz w:val="24"/>
          <w:szCs w:val="24"/>
          <w:highlight w:val="none"/>
        </w:rPr>
      </w:pPr>
      <w:r>
        <w:rPr>
          <w:rFonts w:hint="eastAsia" w:hAnsi="宋体" w:cs="宋体"/>
          <w:color w:val="auto"/>
          <w:sz w:val="24"/>
          <w:szCs w:val="24"/>
          <w:highlight w:val="none"/>
        </w:rPr>
        <w:t xml:space="preserve">标项：      </w:t>
      </w:r>
    </w:p>
    <w:p>
      <w:pPr>
        <w:pStyle w:val="20"/>
        <w:wordWrap w:val="0"/>
        <w:snapToGrid w:val="0"/>
        <w:spacing w:line="360" w:lineRule="auto"/>
        <w:ind w:firstLine="480"/>
        <w:jc w:val="right"/>
        <w:rPr>
          <w:rFonts w:hAnsi="宋体" w:cs="宋体"/>
          <w:color w:val="auto"/>
          <w:sz w:val="24"/>
          <w:szCs w:val="24"/>
          <w:highlight w:val="none"/>
        </w:rPr>
      </w:pPr>
      <w:r>
        <w:rPr>
          <w:rFonts w:hint="eastAsia" w:hAnsi="宋体" w:cs="宋体"/>
          <w:b/>
          <w:bCs/>
          <w:color w:val="auto"/>
          <w:sz w:val="24"/>
          <w:szCs w:val="24"/>
          <w:highlight w:val="none"/>
        </w:rPr>
        <w:t xml:space="preserve">金额单位：     </w:t>
      </w:r>
      <w:r>
        <w:rPr>
          <w:rFonts w:hint="eastAsia" w:hAnsi="宋体" w:cs="宋体"/>
          <w:color w:val="auto"/>
          <w:sz w:val="24"/>
          <w:szCs w:val="24"/>
          <w:highlight w:val="none"/>
        </w:rPr>
        <w:t xml:space="preserve"> </w:t>
      </w:r>
    </w:p>
    <w:tbl>
      <w:tblPr>
        <w:tblStyle w:val="39"/>
        <w:tblW w:w="80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21"/>
        <w:gridCol w:w="1442"/>
        <w:gridCol w:w="1122"/>
        <w:gridCol w:w="943"/>
        <w:gridCol w:w="826"/>
        <w:gridCol w:w="1134"/>
        <w:gridCol w:w="92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709" w:type="dxa"/>
            <w:tcBorders>
              <w:top w:val="double" w:color="auto" w:sz="4" w:space="0"/>
              <w:left w:val="doub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序号</w:t>
            </w:r>
          </w:p>
        </w:tc>
        <w:tc>
          <w:tcPr>
            <w:tcW w:w="921"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名   称</w:t>
            </w:r>
          </w:p>
        </w:tc>
        <w:tc>
          <w:tcPr>
            <w:tcW w:w="1442"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投标报价</w:t>
            </w:r>
          </w:p>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   )</w:t>
            </w:r>
          </w:p>
        </w:tc>
        <w:tc>
          <w:tcPr>
            <w:tcW w:w="1122"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规格型号</w:t>
            </w:r>
          </w:p>
        </w:tc>
        <w:tc>
          <w:tcPr>
            <w:tcW w:w="943"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品牌</w:t>
            </w:r>
          </w:p>
        </w:tc>
        <w:tc>
          <w:tcPr>
            <w:tcW w:w="826"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宋体" w:hAnsi="宋体"/>
                <w:color w:val="auto"/>
                <w:spacing w:val="20"/>
                <w:highlight w:val="none"/>
              </w:rPr>
            </w:pPr>
            <w:r>
              <w:rPr>
                <w:rFonts w:hint="eastAsia" w:ascii="宋体" w:hAnsi="宋体"/>
                <w:color w:val="auto"/>
                <w:spacing w:val="20"/>
                <w:highlight w:val="none"/>
              </w:rPr>
              <w:t>原产地</w:t>
            </w:r>
          </w:p>
        </w:tc>
        <w:tc>
          <w:tcPr>
            <w:tcW w:w="1134" w:type="dxa"/>
            <w:tcBorders>
              <w:top w:val="doub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质保期</w:t>
            </w:r>
          </w:p>
        </w:tc>
        <w:tc>
          <w:tcPr>
            <w:tcW w:w="923" w:type="dxa"/>
            <w:tcBorders>
              <w:top w:val="double" w:color="auto" w:sz="4" w:space="0"/>
              <w:left w:val="single" w:color="auto" w:sz="4" w:space="0"/>
              <w:bottom w:val="single" w:color="auto" w:sz="4" w:space="0"/>
              <w:right w:val="double" w:color="auto" w:sz="4" w:space="0"/>
            </w:tcBorders>
            <w:vAlign w:val="center"/>
          </w:tcPr>
          <w:p>
            <w:pPr>
              <w:spacing w:line="240" w:lineRule="auto"/>
              <w:ind w:firstLine="0" w:firstLineChars="0"/>
              <w:jc w:val="center"/>
              <w:rPr>
                <w:rFonts w:ascii="宋体" w:hAnsi="宋体"/>
                <w:color w:val="auto"/>
                <w:spacing w:val="20"/>
                <w:highlight w:val="none"/>
              </w:rPr>
            </w:pPr>
            <w:r>
              <w:rPr>
                <w:rFonts w:hint="eastAsia" w:ascii="宋体" w:hAnsi="宋体"/>
                <w:color w:val="auto"/>
                <w:spacing w:val="20"/>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1</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2</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3</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ascii="宋体" w:hAnsi="宋体"/>
                <w:color w:val="auto"/>
                <w:spacing w:val="20"/>
                <w:highlight w:val="none"/>
              </w:rPr>
              <w:t>……</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709" w:type="dxa"/>
            <w:tcBorders>
              <w:top w:val="double" w:color="auto" w:sz="4" w:space="0"/>
              <w:left w:val="doub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r>
              <w:rPr>
                <w:rFonts w:hint="eastAsia" w:ascii="宋体" w:hAnsi="宋体"/>
                <w:color w:val="auto"/>
                <w:spacing w:val="20"/>
                <w:highlight w:val="none"/>
              </w:rPr>
              <w:t>合计</w:t>
            </w:r>
          </w:p>
        </w:tc>
        <w:tc>
          <w:tcPr>
            <w:tcW w:w="921"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144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22"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943"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826" w:type="dxa"/>
            <w:tcBorders>
              <w:top w:val="double" w:color="auto" w:sz="4" w:space="0"/>
              <w:left w:val="single" w:color="auto" w:sz="4" w:space="0"/>
              <w:bottom w:val="single" w:color="auto" w:sz="4" w:space="0"/>
              <w:right w:val="single" w:color="auto" w:sz="4" w:space="0"/>
            </w:tcBorders>
            <w:vAlign w:val="center"/>
          </w:tcPr>
          <w:p>
            <w:pPr>
              <w:ind w:firstLine="0" w:firstLineChars="0"/>
              <w:rPr>
                <w:rFonts w:ascii="宋体" w:hAnsi="宋体"/>
                <w:color w:val="auto"/>
                <w:spacing w:val="20"/>
                <w:highlight w:val="none"/>
              </w:rPr>
            </w:pPr>
          </w:p>
        </w:tc>
        <w:tc>
          <w:tcPr>
            <w:tcW w:w="1134" w:type="dxa"/>
            <w:tcBorders>
              <w:top w:val="doub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spacing w:val="20"/>
                <w:highlight w:val="none"/>
              </w:rPr>
            </w:pPr>
          </w:p>
        </w:tc>
        <w:tc>
          <w:tcPr>
            <w:tcW w:w="923" w:type="dxa"/>
            <w:tcBorders>
              <w:top w:val="double" w:color="auto" w:sz="4" w:space="0"/>
              <w:left w:val="single" w:color="auto" w:sz="4" w:space="0"/>
              <w:bottom w:val="single" w:color="auto" w:sz="4" w:space="0"/>
              <w:right w:val="double" w:color="auto" w:sz="4" w:space="0"/>
            </w:tcBorders>
            <w:vAlign w:val="center"/>
          </w:tcPr>
          <w:p>
            <w:pPr>
              <w:ind w:firstLine="0" w:firstLineChars="0"/>
              <w:jc w:val="center"/>
              <w:rPr>
                <w:rFonts w:ascii="宋体" w:hAns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1630" w:type="dxa"/>
            <w:gridSpan w:val="2"/>
            <w:vAlign w:val="center"/>
          </w:tcPr>
          <w:p>
            <w:pPr>
              <w:ind w:firstLine="0" w:firstLineChars="0"/>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总报价</w:t>
            </w:r>
          </w:p>
        </w:tc>
        <w:tc>
          <w:tcPr>
            <w:tcW w:w="2564" w:type="dxa"/>
            <w:gridSpan w:val="2"/>
            <w:vAlign w:val="center"/>
          </w:tcPr>
          <w:p>
            <w:pPr>
              <w:ind w:firstLine="0" w:firstLineChars="0"/>
              <w:jc w:val="left"/>
              <w:rPr>
                <w:rFonts w:asciiTheme="minorEastAsia" w:hAnsiTheme="minorEastAsia" w:cstheme="minorEastAsia"/>
                <w:color w:val="auto"/>
                <w:highlight w:val="none"/>
              </w:rPr>
            </w:pPr>
            <w:r>
              <w:rPr>
                <w:rFonts w:hint="eastAsia" w:hAnsi="宋体" w:cs="宋体"/>
                <w:b/>
                <w:bCs/>
                <w:color w:val="auto"/>
                <w:highlight w:val="none"/>
              </w:rPr>
              <w:t xml:space="preserve">金额单位： </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进口设备部分：</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大写：</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小写：</w:t>
            </w:r>
          </w:p>
        </w:tc>
        <w:tc>
          <w:tcPr>
            <w:tcW w:w="3826" w:type="dxa"/>
            <w:gridSpan w:val="4"/>
            <w:vAlign w:val="center"/>
          </w:tcPr>
          <w:p>
            <w:pPr>
              <w:ind w:firstLine="0" w:firstLineChars="0"/>
              <w:jc w:val="left"/>
              <w:rPr>
                <w:rFonts w:asciiTheme="minorEastAsia" w:hAnsiTheme="minorEastAsia" w:cstheme="minorEastAsia"/>
                <w:color w:val="auto"/>
                <w:highlight w:val="none"/>
              </w:rPr>
            </w:pPr>
            <w:r>
              <w:rPr>
                <w:rFonts w:hint="eastAsia" w:hAnsi="宋体" w:cs="宋体"/>
                <w:b/>
                <w:bCs/>
                <w:color w:val="auto"/>
                <w:highlight w:val="none"/>
              </w:rPr>
              <w:t xml:space="preserve">金额单位： </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国产设备部分：</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大写：</w:t>
            </w:r>
          </w:p>
          <w:p>
            <w:pPr>
              <w:ind w:firstLine="0" w:firstLineChars="0"/>
              <w:jc w:val="left"/>
              <w:rPr>
                <w:rFonts w:asciiTheme="minorEastAsia" w:hAnsiTheme="minorEastAsia" w:cstheme="minorEastAsia"/>
                <w:color w:val="auto"/>
                <w:highlight w:val="none"/>
              </w:rPr>
            </w:pPr>
            <w:r>
              <w:rPr>
                <w:rFonts w:hint="eastAsia" w:asciiTheme="minorEastAsia" w:hAnsiTheme="minorEastAsia" w:cstheme="minorEastAsia"/>
                <w:color w:val="auto"/>
                <w:highlight w:val="none"/>
              </w:rPr>
              <w:t>小写：</w:t>
            </w:r>
          </w:p>
        </w:tc>
      </w:tr>
    </w:tbl>
    <w:p>
      <w:pPr>
        <w:pStyle w:val="20"/>
        <w:adjustRightInd w:val="0"/>
        <w:snapToGrid w:val="0"/>
        <w:spacing w:line="360" w:lineRule="auto"/>
        <w:jc w:val="left"/>
        <w:rPr>
          <w:rFonts w:ascii="Arial" w:hAnsi="宋体" w:cs="Arial"/>
          <w:b/>
          <w:bCs/>
          <w:color w:val="auto"/>
          <w:kern w:val="0"/>
          <w:szCs w:val="21"/>
          <w:highlight w:val="none"/>
        </w:rPr>
      </w:pPr>
    </w:p>
    <w:p>
      <w:pPr>
        <w:pStyle w:val="20"/>
        <w:adjustRightInd w:val="0"/>
        <w:snapToGrid w:val="0"/>
        <w:spacing w:line="360" w:lineRule="auto"/>
        <w:jc w:val="left"/>
        <w:rPr>
          <w:rFonts w:hAnsi="宋体" w:cs="宋体"/>
          <w:b/>
          <w:bCs/>
          <w:color w:val="auto"/>
          <w:szCs w:val="21"/>
          <w:highlight w:val="none"/>
        </w:rPr>
      </w:pPr>
    </w:p>
    <w:p>
      <w:pPr>
        <w:tabs>
          <w:tab w:val="left" w:pos="1418"/>
        </w:tabs>
        <w:snapToGrid w:val="0"/>
        <w:ind w:firstLine="0" w:firstLineChars="0"/>
        <w:rPr>
          <w:rFonts w:ascii="宋体" w:hAnsi="宋体" w:cs="宋体"/>
          <w:color w:val="auto"/>
          <w:spacing w:val="20"/>
          <w:highlight w:val="none"/>
          <w:u w:val="single"/>
        </w:rPr>
      </w:pPr>
    </w:p>
    <w:p>
      <w:pPr>
        <w:ind w:firstLine="480"/>
        <w:rPr>
          <w:rFonts w:ascii="宋体" w:hAnsi="宋体" w:cs="宋体"/>
          <w:color w:val="auto"/>
          <w:highlight w:val="none"/>
        </w:rPr>
      </w:pPr>
      <w:r>
        <w:rPr>
          <w:rFonts w:hint="eastAsia" w:ascii="宋体" w:hAnsi="宋体" w:cs="宋体"/>
          <w:color w:val="auto"/>
          <w:highlight w:val="none"/>
        </w:rPr>
        <w:t>投标人名称（盖章）：</w:t>
      </w:r>
    </w:p>
    <w:p>
      <w:pPr>
        <w:ind w:firstLine="480"/>
        <w:rPr>
          <w:rFonts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宋体" w:hAnsi="宋体" w:cs="宋体"/>
          <w:color w:val="auto"/>
          <w:highlight w:val="none"/>
        </w:rPr>
        <w:sectPr>
          <w:footerReference r:id="rId18" w:type="default"/>
          <w:pgSz w:w="11906" w:h="16838"/>
          <w:pgMar w:top="1440" w:right="1797" w:bottom="1440" w:left="1797" w:header="851" w:footer="851" w:gutter="0"/>
          <w:cols w:space="720" w:num="1"/>
          <w:docGrid w:linePitch="312" w:charSpace="0"/>
        </w:sectPr>
      </w:pPr>
    </w:p>
    <w:p>
      <w:pPr>
        <w:pStyle w:val="6"/>
        <w:rPr>
          <w:rFonts w:ascii="仿宋_GB2312" w:hAnsi="微软雅黑" w:eastAsia="仿宋_GB2312"/>
          <w:color w:val="auto"/>
          <w:highlight w:val="none"/>
        </w:rPr>
      </w:pPr>
      <w:r>
        <w:rPr>
          <w:rFonts w:hint="eastAsia" w:ascii="仿宋_GB2312" w:eastAsia="仿宋_GB2312"/>
          <w:color w:val="auto"/>
          <w:sz w:val="32"/>
          <w:highlight w:val="none"/>
        </w:rPr>
        <w:t>附件四《中小企业声明函》、（中、小微企业资格证明材料）、监狱企业资格证明材料、《残疾人福利性单位声明函》（如果有）</w:t>
      </w:r>
    </w:p>
    <w:p>
      <w:pPr>
        <w:ind w:firstLine="480"/>
        <w:rPr>
          <w:rFonts w:ascii="仿宋_GB2312" w:hAnsi="仿宋_GB2312" w:eastAsia="仿宋_GB2312" w:cs="仿宋_GB2312"/>
          <w:color w:val="auto"/>
          <w:highlight w:val="none"/>
        </w:rPr>
      </w:pPr>
    </w:p>
    <w:p>
      <w:pPr>
        <w:ind w:firstLine="480"/>
        <w:rPr>
          <w:rFonts w:ascii="仿宋_GB2312" w:hAnsi="仿宋_GB2312" w:eastAsia="仿宋_GB2312" w:cs="仿宋_GB2312"/>
          <w:color w:val="auto"/>
          <w:highlight w:val="none"/>
        </w:rPr>
      </w:pPr>
    </w:p>
    <w:p>
      <w:pPr>
        <w:pStyle w:val="6"/>
        <w:jc w:val="center"/>
        <w:rPr>
          <w:rFonts w:ascii="宋体" w:hAnsi="宋体" w:cs="宋体"/>
          <w:color w:val="auto"/>
          <w:highlight w:val="none"/>
        </w:rPr>
      </w:pPr>
      <w:r>
        <w:rPr>
          <w:rFonts w:hint="eastAsia" w:ascii="宋体" w:hAnsi="宋体" w:cs="宋体"/>
          <w:color w:val="auto"/>
          <w:highlight w:val="none"/>
        </w:rPr>
        <w:t>中小企业声明函</w:t>
      </w:r>
    </w:p>
    <w:p>
      <w:pPr>
        <w:pStyle w:val="29"/>
        <w:spacing w:line="360" w:lineRule="auto"/>
        <w:ind w:left="169" w:hanging="169" w:hangingChars="74"/>
        <w:jc w:val="center"/>
        <w:rPr>
          <w:rFonts w:ascii="宋体" w:hAnsi="宋体" w:cs="宋体"/>
          <w:b/>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color w:val="auto"/>
          <w:highlight w:val="none"/>
        </w:rPr>
      </w:pPr>
      <w:r>
        <w:rPr>
          <w:rFonts w:hint="eastAsia" w:ascii="宋体" w:hAnsi="宋体" w:cs="宋体"/>
          <w:color w:val="auto"/>
          <w:highlight w:val="none"/>
        </w:rPr>
        <w:t>2.本公司参加浙江中医药大学</w:t>
      </w:r>
      <w:r>
        <w:rPr>
          <w:rFonts w:hint="eastAsia" w:ascii="宋体" w:hAnsi="宋体" w:cs="宋体"/>
          <w:color w:val="auto"/>
          <w:highlight w:val="none"/>
          <w:u w:val="single"/>
        </w:rPr>
        <w:t xml:space="preserve">           </w:t>
      </w:r>
      <w:r>
        <w:rPr>
          <w:rFonts w:hint="eastAsia" w:ascii="宋体" w:hAnsi="宋体" w:cs="宋体"/>
          <w:color w:val="auto"/>
          <w:highlight w:val="none"/>
        </w:rPr>
        <w:t>（项目名称）采购活动（按投标形式选择填写）：</w:t>
      </w:r>
    </w:p>
    <w:p>
      <w:pPr>
        <w:ind w:firstLine="480"/>
        <w:rPr>
          <w:rFonts w:ascii="宋体" w:hAnsi="宋体" w:cs="宋体"/>
          <w:color w:val="auto"/>
          <w:highlight w:val="none"/>
        </w:rPr>
      </w:pPr>
      <w:r>
        <w:rPr>
          <w:rFonts w:hint="eastAsia" w:ascii="宋体" w:hAnsi="宋体" w:cs="宋体"/>
          <w:color w:val="auto"/>
          <w:highlight w:val="none"/>
        </w:rPr>
        <w:t>（1）□本公司为直接投标人提供本企业提供的货物。</w:t>
      </w:r>
    </w:p>
    <w:p>
      <w:pPr>
        <w:ind w:firstLine="480"/>
        <w:rPr>
          <w:rFonts w:ascii="宋体" w:hAnsi="宋体"/>
          <w:color w:val="auto"/>
          <w:highlight w:val="none"/>
        </w:rPr>
      </w:pPr>
      <w:r>
        <w:rPr>
          <w:rFonts w:hint="eastAsia" w:ascii="宋体" w:hAnsi="宋体"/>
          <w:color w:val="auto"/>
          <w:highlight w:val="none"/>
        </w:rPr>
        <w:t>（2）□本公司为代理商，提供其他______（请填写：中型、小型、微型）企业制造的货物。本条所称货物不包括使用大型企业注册商标的货物。</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企业名称（盖章）：                                 </w:t>
      </w:r>
    </w:p>
    <w:p>
      <w:pPr>
        <w:ind w:firstLine="480"/>
        <w:rPr>
          <w:rFonts w:ascii="宋体" w:hAnsi="宋体" w:cs="宋体"/>
          <w:color w:val="auto"/>
          <w:highlight w:val="none"/>
        </w:rPr>
      </w:pPr>
      <w:r>
        <w:rPr>
          <w:rFonts w:hint="eastAsia" w:ascii="宋体" w:hAnsi="宋体" w:cs="宋体"/>
          <w:color w:val="auto"/>
          <w:highlight w:val="none"/>
        </w:rPr>
        <w:t xml:space="preserve">日期：     年     月   日 </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jc w:val="center"/>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b/>
          <w:color w:val="auto"/>
          <w:highlight w:val="none"/>
        </w:rPr>
      </w:pPr>
      <w:r>
        <w:rPr>
          <w:rFonts w:hint="eastAsia" w:ascii="宋体" w:hAnsi="宋体"/>
          <w:b/>
          <w:color w:val="auto"/>
          <w:sz w:val="32"/>
          <w:szCs w:val="32"/>
          <w:highlight w:val="none"/>
        </w:rPr>
        <w:t>中、小微企业资格证明材料（满足以下其一即可）</w:t>
      </w:r>
    </w:p>
    <w:p>
      <w:pPr>
        <w:ind w:firstLine="480"/>
        <w:rPr>
          <w:rFonts w:ascii="宋体" w:hAnsi="宋体"/>
          <w:color w:val="auto"/>
          <w:highlight w:val="none"/>
        </w:rPr>
      </w:pPr>
      <w:r>
        <w:rPr>
          <w:rFonts w:hint="eastAsia" w:ascii="宋体" w:hAnsi="宋体"/>
          <w:color w:val="auto"/>
          <w:highlight w:val="none"/>
        </w:rPr>
        <w:t>（1）供应商和所有报价产品生产企业在当地中小企业行政主管部门的确认意见书或《中小企业申明函》。</w:t>
      </w:r>
    </w:p>
    <w:p>
      <w:pPr>
        <w:ind w:firstLine="480"/>
        <w:rPr>
          <w:rFonts w:ascii="宋体" w:hAnsi="宋体"/>
          <w:color w:val="auto"/>
          <w:highlight w:val="none"/>
        </w:rPr>
      </w:pPr>
      <w:r>
        <w:rPr>
          <w:rFonts w:hint="eastAsia" w:ascii="宋体" w:hAnsi="宋体"/>
          <w:color w:val="auto"/>
          <w:highlight w:val="none"/>
        </w:rPr>
        <w:t>（2）供应商和所有报价产品生产企业相关网站的网页打印件并（网页打印件应当显示为小型或微型企业）加盖公章。相关网站：小微企业名录（http://xwqy.gsxt.gov.cn/）或浙江省政府采购网（http://www.zjzfcg.gov.cn/）</w:t>
      </w:r>
    </w:p>
    <w:p>
      <w:pPr>
        <w:ind w:firstLine="480"/>
        <w:rPr>
          <w:rFonts w:ascii="宋体" w:hAnsi="宋体"/>
          <w:color w:val="auto"/>
          <w:highlight w:val="none"/>
        </w:rPr>
      </w:pPr>
      <w:r>
        <w:rPr>
          <w:rFonts w:hint="eastAsia" w:ascii="宋体" w:hAnsi="宋体"/>
          <w:color w:val="auto"/>
          <w:highlight w:val="none"/>
        </w:rPr>
        <w:t>（3） 供应商和所有报价产品生产企业已通过浙江政府采购网申请注册并成为正式入库供应商的网页打印件并（网页打印件应当显示为小型或微型企业）加盖公章。</w:t>
      </w:r>
    </w:p>
    <w:p>
      <w:pPr>
        <w:ind w:firstLine="482"/>
        <w:rPr>
          <w:rFonts w:ascii="宋体" w:hAnsi="宋体"/>
          <w:b/>
          <w:bCs/>
          <w:color w:val="auto"/>
          <w:szCs w:val="21"/>
          <w:highlight w:val="none"/>
        </w:rPr>
      </w:pPr>
    </w:p>
    <w:p>
      <w:pPr>
        <w:pStyle w:val="2"/>
        <w:rPr>
          <w:color w:val="auto"/>
          <w:highlight w:val="none"/>
        </w:rPr>
      </w:pPr>
    </w:p>
    <w:p>
      <w:pPr>
        <w:ind w:firstLine="643"/>
        <w:jc w:val="center"/>
        <w:rPr>
          <w:rFonts w:ascii="宋体" w:hAnsi="宋体"/>
          <w:b/>
          <w:color w:val="auto"/>
          <w:sz w:val="32"/>
          <w:szCs w:val="32"/>
          <w:highlight w:val="none"/>
        </w:rPr>
      </w:pPr>
      <w:r>
        <w:rPr>
          <w:rFonts w:hint="eastAsia" w:ascii="宋体" w:hAnsi="宋体"/>
          <w:b/>
          <w:color w:val="auto"/>
          <w:sz w:val="32"/>
          <w:szCs w:val="32"/>
          <w:highlight w:val="none"/>
        </w:rPr>
        <w:t>小企业资格确认意见书</w:t>
      </w:r>
    </w:p>
    <w:p>
      <w:pPr>
        <w:ind w:firstLine="480"/>
        <w:rPr>
          <w:rFonts w:ascii="宋体" w:hAnsi="宋体"/>
          <w:color w:val="auto"/>
          <w:szCs w:val="21"/>
          <w:highlight w:val="none"/>
        </w:rPr>
      </w:pPr>
    </w:p>
    <w:p>
      <w:pPr>
        <w:ind w:firstLine="480"/>
        <w:rPr>
          <w:rFonts w:ascii="宋体" w:hAnsi="宋体"/>
          <w:color w:val="auto"/>
          <w:highlight w:val="none"/>
        </w:rPr>
      </w:pPr>
      <w:r>
        <w:rPr>
          <w:rFonts w:hint="eastAsia" w:ascii="宋体" w:hAnsi="宋体"/>
          <w:color w:val="auto"/>
          <w:highlight w:val="none"/>
        </w:rPr>
        <w:t>根据《工业和信息化部、国家统计局、国家发展和改革委员会、财政部关于印发中小企业划型标准规定的通知》（工信部联企业[2011]300号）规定的划分标准，兹确认</w:t>
      </w:r>
      <w:r>
        <w:rPr>
          <w:rFonts w:hint="eastAsia" w:ascii="宋体" w:hAnsi="宋体"/>
          <w:color w:val="auto"/>
          <w:highlight w:val="none"/>
          <w:u w:val="single"/>
        </w:rPr>
        <w:t xml:space="preserve">    </w:t>
      </w:r>
      <w:r>
        <w:rPr>
          <w:rFonts w:hint="eastAsia" w:ascii="宋体" w:hAnsi="宋体"/>
          <w:color w:val="auto"/>
          <w:highlight w:val="none"/>
        </w:rPr>
        <w:t>公司为</w:t>
      </w:r>
      <w:r>
        <w:rPr>
          <w:rFonts w:hint="eastAsia" w:ascii="宋体" w:hAnsi="宋体"/>
          <w:color w:val="auto"/>
          <w:highlight w:val="none"/>
          <w:u w:val="single"/>
        </w:rPr>
        <w:t xml:space="preserve">     </w:t>
      </w:r>
      <w:r>
        <w:rPr>
          <w:rFonts w:hint="eastAsia" w:ascii="宋体" w:hAnsi="宋体"/>
          <w:color w:val="auto"/>
          <w:highlight w:val="none"/>
        </w:rPr>
        <w:t>行业的</w:t>
      </w:r>
      <w:r>
        <w:rPr>
          <w:rFonts w:hint="eastAsia" w:ascii="宋体" w:hAnsi="宋体"/>
          <w:color w:val="auto"/>
          <w:highlight w:val="none"/>
          <w:u w:val="single"/>
        </w:rPr>
        <w:t xml:space="preserve">   </w:t>
      </w:r>
      <w:r>
        <w:rPr>
          <w:rFonts w:hint="eastAsia" w:ascii="宋体" w:hAnsi="宋体"/>
          <w:color w:val="auto"/>
          <w:highlight w:val="none"/>
        </w:rPr>
        <w:t>（请填写：中型、小型、微型）企业</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2880" w:firstLineChars="1200"/>
        <w:rPr>
          <w:rFonts w:ascii="宋体" w:hAnsi="宋体"/>
          <w:color w:val="auto"/>
          <w:highlight w:val="none"/>
        </w:rPr>
      </w:pPr>
      <w:r>
        <w:rPr>
          <w:rFonts w:hint="eastAsia" w:ascii="宋体" w:hAnsi="宋体"/>
          <w:color w:val="auto"/>
          <w:highlight w:val="none"/>
        </w:rPr>
        <w:t>省（市、县、区）中小企业局或其他具有认定资格的职能部门</w:t>
      </w:r>
    </w:p>
    <w:p>
      <w:pPr>
        <w:ind w:firstLine="480"/>
        <w:rPr>
          <w:rFonts w:ascii="宋体" w:hAnsi="宋体"/>
          <w:color w:val="auto"/>
          <w:highlight w:val="none"/>
        </w:rPr>
      </w:pPr>
    </w:p>
    <w:p>
      <w:pPr>
        <w:ind w:firstLine="5520" w:firstLineChars="2300"/>
        <w:rPr>
          <w:rFonts w:ascii="宋体" w:hAnsi="宋体"/>
          <w:color w:val="auto"/>
          <w:highlight w:val="none"/>
        </w:rPr>
      </w:pPr>
      <w:r>
        <w:rPr>
          <w:rFonts w:hint="eastAsia" w:ascii="宋体" w:hAnsi="宋体"/>
          <w:color w:val="auto"/>
          <w:highlight w:val="none"/>
        </w:rPr>
        <w:t>年     月     日</w:t>
      </w:r>
    </w:p>
    <w:p>
      <w:pPr>
        <w:ind w:firstLine="480"/>
        <w:rPr>
          <w:rFonts w:ascii="宋体" w:hAnsi="宋体"/>
          <w:color w:val="auto"/>
          <w:highlight w:val="none"/>
        </w:rPr>
        <w:sectPr>
          <w:headerReference r:id="rId19" w:type="default"/>
          <w:footerReference r:id="rId20" w:type="default"/>
          <w:pgSz w:w="11907" w:h="16840"/>
          <w:pgMar w:top="1247" w:right="1304" w:bottom="1021" w:left="1304" w:header="720" w:footer="720" w:gutter="0"/>
          <w:cols w:space="720" w:num="1"/>
          <w:docGrid w:linePitch="286" w:charSpace="0"/>
        </w:sectPr>
      </w:pPr>
    </w:p>
    <w:p>
      <w:pPr>
        <w:pStyle w:val="6"/>
        <w:jc w:val="center"/>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说明：监狱企业视同小型、微型企业。</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6"/>
        <w:jc w:val="center"/>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rPr>
        <w:t>浙江中医药大学</w:t>
      </w:r>
      <w:r>
        <w:rPr>
          <w:rFonts w:hint="eastAsia" w:ascii="宋体" w:hAnsi="宋体" w:cs="宋体"/>
          <w:color w:val="auto"/>
          <w:spacing w:val="6"/>
          <w:highlight w:val="none"/>
        </w:rPr>
        <w:t>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提供本单位制造的货物，或者提供其他残疾人福利性单位制造的货物（不包括使用非残疾人福利性单位注册商标的货物）。</w:t>
      </w:r>
    </w:p>
    <w:p>
      <w:pPr>
        <w:ind w:firstLine="50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ascii="宋体" w:hAnsi="宋体" w:cs="宋体"/>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288" w:lineRule="auto"/>
        <w:ind w:firstLine="506"/>
        <w:jc w:val="left"/>
        <w:rPr>
          <w:rFonts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spacing w:line="288" w:lineRule="auto"/>
        <w:ind w:firstLine="456"/>
        <w:rPr>
          <w:rFonts w:ascii="宋体" w:hAnsi="宋体" w:cs="宋体"/>
          <w:color w:val="auto"/>
          <w:spacing w:val="-6"/>
          <w:highlight w:val="none"/>
        </w:rPr>
      </w:pPr>
    </w:p>
    <w:p>
      <w:pPr>
        <w:spacing w:line="288" w:lineRule="auto"/>
        <w:ind w:firstLine="482"/>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288" w:lineRule="auto"/>
        <w:ind w:firstLine="480"/>
        <w:jc w:val="left"/>
        <w:rPr>
          <w:rFonts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ind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251658240"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251658240;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e+yw2QAAAAkBAAAPAAAAAAAAAAEAIAAAACIAAABkcnMvZG93bnJldi54bWxQSwECFAAU&#10;AAAACACHTuJABIbGFvABAADoAwAADgAAAAAAAAABACAAAAAoAQAAZHJzL2Uyb0RvYy54bWxQSwUG&#10;AAAAAAYABgBZAQAAig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商务技术文件</w:t>
      </w:r>
      <w:r>
        <w:rPr>
          <w:rFonts w:hint="eastAsia" w:ascii="宋体" w:hAnsi="宋体" w:cs="宋体"/>
          <w:color w:val="auto"/>
          <w:highlight w:val="none"/>
        </w:rPr>
        <w:t>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商务技术文件</w:t>
      </w:r>
    </w:p>
    <w:p>
      <w:pPr>
        <w:ind w:firstLine="602"/>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标项：</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标项名称：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标项编号：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6"/>
        <w:rPr>
          <w:rFonts w:ascii="宋体" w:hAnsi="宋体" w:cs="宋体"/>
          <w:color w:val="auto"/>
          <w:highlight w:val="none"/>
        </w:rPr>
      </w:pPr>
      <w:bookmarkStart w:id="152" w:name="_Toc7692"/>
      <w:r>
        <w:rPr>
          <w:rFonts w:hint="eastAsia" w:ascii="宋体" w:hAnsi="宋体" w:cs="宋体"/>
          <w:color w:val="auto"/>
          <w:highlight w:val="none"/>
        </w:rPr>
        <w:t>资信技术评分索引表（请放在目录前页）</w:t>
      </w:r>
    </w:p>
    <w:tbl>
      <w:tblPr>
        <w:tblStyle w:val="39"/>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w:t>
            </w:r>
          </w:p>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ascii="宋体" w:hAnsi="宋体"/>
                <w:color w:val="auto"/>
                <w:szCs w:val="32"/>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ascii="宋体" w:hAnsi="宋体"/>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ascii="宋体" w:hAnsi="宋体"/>
                <w:color w:val="auto"/>
                <w:kern w:val="0"/>
                <w:szCs w:val="21"/>
                <w:highlight w:val="none"/>
              </w:rPr>
            </w:pPr>
          </w:p>
        </w:tc>
      </w:tr>
    </w:tbl>
    <w:p>
      <w:pPr>
        <w:ind w:firstLine="482"/>
        <w:rPr>
          <w:rFonts w:ascii="宋体" w:hAnsi="宋体" w:cs="宋体"/>
          <w:b/>
          <w:color w:val="auto"/>
          <w:kern w:val="0"/>
          <w:szCs w:val="20"/>
          <w:highlight w:val="none"/>
        </w:rPr>
      </w:pPr>
      <w:r>
        <w:rPr>
          <w:rFonts w:hint="eastAsia" w:ascii="宋体" w:hAnsi="宋体" w:cs="宋体"/>
          <w:b/>
          <w:color w:val="auto"/>
          <w:kern w:val="0"/>
          <w:szCs w:val="20"/>
          <w:highlight w:val="none"/>
        </w:rPr>
        <w:t>根据评分标准自行调整。</w:t>
      </w:r>
    </w:p>
    <w:p>
      <w:pPr>
        <w:ind w:firstLine="723"/>
        <w:rPr>
          <w:rFonts w:ascii="宋体" w:hAnsi="宋体" w:cs="宋体"/>
          <w:b/>
          <w:color w:val="auto"/>
          <w:kern w:val="0"/>
          <w:sz w:val="36"/>
          <w:highlight w:val="none"/>
        </w:rPr>
      </w:pPr>
      <w:r>
        <w:rPr>
          <w:rFonts w:hint="eastAsia" w:ascii="宋体" w:hAnsi="宋体" w:cs="宋体"/>
          <w:b/>
          <w:color w:val="auto"/>
          <w:kern w:val="0"/>
          <w:sz w:val="36"/>
          <w:highlight w:val="none"/>
        </w:rPr>
        <w:br w:type="page"/>
      </w:r>
    </w:p>
    <w:p>
      <w:pPr>
        <w:ind w:firstLine="723"/>
        <w:jc w:val="center"/>
        <w:outlineLvl w:val="0"/>
        <w:rPr>
          <w:rFonts w:ascii="宋体" w:hAnsi="宋体" w:cs="宋体"/>
          <w:b/>
          <w:color w:val="auto"/>
          <w:kern w:val="0"/>
          <w:sz w:val="36"/>
          <w:highlight w:val="none"/>
        </w:rPr>
      </w:pPr>
      <w:bookmarkStart w:id="153" w:name="_Toc14654"/>
      <w:r>
        <w:rPr>
          <w:rFonts w:hint="eastAsia" w:ascii="宋体" w:hAnsi="宋体" w:cs="宋体"/>
          <w:b/>
          <w:color w:val="auto"/>
          <w:kern w:val="0"/>
          <w:sz w:val="36"/>
          <w:highlight w:val="none"/>
        </w:rPr>
        <w:t>商务技术文件目录</w:t>
      </w:r>
      <w:bookmarkEnd w:id="152"/>
      <w:bookmarkEnd w:id="153"/>
      <w:r>
        <w:rPr>
          <w:rFonts w:hint="eastAsia" w:ascii="宋体" w:hAnsi="宋体" w:cs="宋体"/>
          <w:b/>
          <w:color w:val="auto"/>
          <w:kern w:val="0"/>
          <w:sz w:val="36"/>
          <w:highlight w:val="none"/>
        </w:rPr>
        <w:t xml:space="preserve"> </w:t>
      </w:r>
    </w:p>
    <w:p>
      <w:pPr>
        <w:numPr>
          <w:ilvl w:val="0"/>
          <w:numId w:val="39"/>
        </w:numPr>
        <w:tabs>
          <w:tab w:val="left" w:pos="312"/>
        </w:tabs>
        <w:ind w:firstLineChars="0"/>
        <w:rPr>
          <w:rFonts w:ascii="宋体" w:hAnsi="宋体" w:cs="宋体"/>
          <w:color w:val="auto"/>
          <w:highlight w:val="none"/>
        </w:rPr>
      </w:pPr>
      <w:r>
        <w:rPr>
          <w:rFonts w:hint="eastAsia" w:ascii="宋体" w:hAnsi="宋体" w:cs="宋体"/>
          <w:color w:val="auto"/>
          <w:highlight w:val="none"/>
        </w:rPr>
        <w:t>法定代表资格证明书和法定代表人授权委托书</w:t>
      </w:r>
      <w:r>
        <w:rPr>
          <w:rFonts w:hint="eastAsia" w:ascii="宋体" w:hAnsi="宋体" w:cs="宋体"/>
          <w:color w:val="auto"/>
          <w:kern w:val="0"/>
          <w:highlight w:val="none"/>
        </w:rPr>
        <w:t>……………   ………………（页码）</w:t>
      </w:r>
    </w:p>
    <w:p>
      <w:pPr>
        <w:numPr>
          <w:ilvl w:val="0"/>
          <w:numId w:val="39"/>
        </w:numPr>
        <w:tabs>
          <w:tab w:val="left" w:pos="312"/>
        </w:tabs>
        <w:ind w:firstLineChars="0"/>
        <w:rPr>
          <w:rFonts w:ascii="宋体" w:hAnsi="宋体" w:cs="宋体"/>
          <w:color w:val="auto"/>
          <w:highlight w:val="none"/>
        </w:rPr>
      </w:pPr>
      <w:r>
        <w:rPr>
          <w:rFonts w:hint="eastAsia" w:ascii="宋体" w:hAnsi="宋体" w:cs="宋体"/>
          <w:color w:val="auto"/>
          <w:highlight w:val="none"/>
        </w:rPr>
        <w:t>投标声明书</w:t>
      </w:r>
      <w:r>
        <w:rPr>
          <w:rFonts w:hint="eastAsia" w:ascii="宋体" w:hAnsi="宋体" w:cs="宋体"/>
          <w:color w:val="auto"/>
          <w:kern w:val="0"/>
          <w:highlight w:val="none"/>
        </w:rPr>
        <w:t>……………………………………………………   ………………（页码）</w:t>
      </w:r>
    </w:p>
    <w:p>
      <w:pPr>
        <w:numPr>
          <w:ilvl w:val="0"/>
          <w:numId w:val="39"/>
        </w:numPr>
        <w:ind w:firstLineChars="0"/>
        <w:rPr>
          <w:rFonts w:ascii="宋体" w:hAnsi="宋体" w:cs="宋体"/>
          <w:color w:val="auto"/>
          <w:highlight w:val="none"/>
        </w:rPr>
      </w:pPr>
      <w:r>
        <w:rPr>
          <w:rFonts w:hint="eastAsia" w:ascii="宋体" w:hAnsi="宋体" w:cs="宋体"/>
          <w:color w:val="auto"/>
          <w:szCs w:val="32"/>
          <w:highlight w:val="none"/>
        </w:rPr>
        <w:t>提供有效的经营执照复印件</w:t>
      </w:r>
      <w:r>
        <w:rPr>
          <w:rFonts w:hint="eastAsia" w:ascii="宋体" w:hAnsi="宋体" w:cs="宋体"/>
          <w:color w:val="auto"/>
          <w:kern w:val="0"/>
          <w:highlight w:val="none"/>
        </w:rPr>
        <w:t>……………………………………………………（页码）</w:t>
      </w:r>
    </w:p>
    <w:p>
      <w:pPr>
        <w:numPr>
          <w:ilvl w:val="0"/>
          <w:numId w:val="39"/>
        </w:numPr>
        <w:ind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w:t>
      </w:r>
      <w:r>
        <w:rPr>
          <w:rFonts w:hint="eastAsia" w:ascii="宋体" w:hAnsi="宋体" w:cs="宋体"/>
          <w:color w:val="auto"/>
          <w:kern w:val="0"/>
          <w:highlight w:val="none"/>
        </w:rPr>
        <w:t>…………………………………………（页码）</w:t>
      </w:r>
    </w:p>
    <w:p>
      <w:pPr>
        <w:numPr>
          <w:ilvl w:val="0"/>
          <w:numId w:val="39"/>
        </w:numPr>
        <w:ind w:firstLineChars="0"/>
        <w:rPr>
          <w:rFonts w:ascii="宋体" w:hAnsi="宋体" w:cs="宋体"/>
          <w:color w:val="auto"/>
          <w:highlight w:val="none"/>
        </w:rPr>
      </w:pPr>
      <w:r>
        <w:rPr>
          <w:rFonts w:hint="eastAsia" w:ascii="宋体" w:hAnsi="宋体" w:cs="宋体"/>
          <w:color w:val="auto"/>
          <w:highlight w:val="none"/>
        </w:rPr>
        <w:t>廉政承诺书</w:t>
      </w:r>
      <w:r>
        <w:rPr>
          <w:rFonts w:hint="eastAsia" w:ascii="宋体" w:hAnsi="宋体" w:cs="宋体"/>
          <w:color w:val="auto"/>
          <w:kern w:val="0"/>
          <w:highlight w:val="none"/>
        </w:rPr>
        <w:t>…………………………………………… ………………… ……（页码）</w:t>
      </w:r>
    </w:p>
    <w:p>
      <w:pPr>
        <w:numPr>
          <w:ilvl w:val="0"/>
          <w:numId w:val="39"/>
        </w:numPr>
        <w:ind w:firstLineChars="0"/>
        <w:rPr>
          <w:rFonts w:ascii="宋体" w:hAnsi="宋体" w:cs="宋体"/>
          <w:color w:val="auto"/>
          <w:kern w:val="0"/>
          <w:highlight w:val="none"/>
        </w:rPr>
      </w:pPr>
      <w:r>
        <w:rPr>
          <w:rFonts w:hint="eastAsia" w:ascii="宋体" w:hAnsi="宋体" w:cs="宋体"/>
          <w:color w:val="auto"/>
          <w:highlight w:val="none"/>
        </w:rPr>
        <w:t>商务条款偏离表</w:t>
      </w:r>
      <w:r>
        <w:rPr>
          <w:rFonts w:hint="eastAsia" w:ascii="宋体" w:hAnsi="宋体" w:cs="宋体"/>
          <w:color w:val="auto"/>
          <w:kern w:val="0"/>
          <w:highlight w:val="none"/>
        </w:rPr>
        <w:t>……………………………………… …………………………（页码）</w:t>
      </w:r>
    </w:p>
    <w:p>
      <w:pPr>
        <w:numPr>
          <w:ilvl w:val="0"/>
          <w:numId w:val="39"/>
        </w:numPr>
        <w:ind w:firstLineChars="0"/>
        <w:rPr>
          <w:rFonts w:ascii="宋体" w:hAnsi="宋体" w:cs="宋体"/>
          <w:color w:val="auto"/>
          <w:kern w:val="0"/>
          <w:highlight w:val="none"/>
        </w:rPr>
      </w:pPr>
      <w:r>
        <w:rPr>
          <w:rFonts w:hint="eastAsia" w:ascii="宋体" w:hAnsi="宋体" w:cs="宋体"/>
          <w:color w:val="auto"/>
          <w:highlight w:val="none"/>
        </w:rPr>
        <w:t>投标人情况表</w:t>
      </w:r>
      <w:r>
        <w:rPr>
          <w:rFonts w:hint="eastAsia" w:ascii="宋体" w:hAnsi="宋体" w:cs="宋体"/>
          <w:color w:val="auto"/>
          <w:kern w:val="0"/>
          <w:highlight w:val="none"/>
        </w:rPr>
        <w:t>……………………………………… ……………………………（页码）</w:t>
      </w:r>
    </w:p>
    <w:p>
      <w:pPr>
        <w:numPr>
          <w:ilvl w:val="0"/>
          <w:numId w:val="39"/>
        </w:numPr>
        <w:ind w:firstLineChars="0"/>
        <w:rPr>
          <w:rFonts w:ascii="宋体" w:hAnsi="宋体" w:cs="宋体"/>
          <w:color w:val="auto"/>
          <w:kern w:val="0"/>
          <w:highlight w:val="none"/>
        </w:rPr>
      </w:pPr>
      <w:r>
        <w:rPr>
          <w:rFonts w:hint="eastAsia" w:ascii="宋体" w:hAnsi="宋体" w:cs="宋体"/>
          <w:color w:val="auto"/>
          <w:highlight w:val="none"/>
        </w:rPr>
        <w:t>同类项目实施情况一览表</w:t>
      </w:r>
      <w:r>
        <w:rPr>
          <w:rFonts w:hint="eastAsia" w:ascii="宋体" w:hAnsi="宋体" w:cs="宋体"/>
          <w:color w:val="auto"/>
          <w:kern w:val="0"/>
          <w:highlight w:val="none"/>
        </w:rPr>
        <w:t>………………………………………………………  （页码）</w:t>
      </w:r>
    </w:p>
    <w:p>
      <w:pPr>
        <w:numPr>
          <w:ilvl w:val="0"/>
          <w:numId w:val="39"/>
        </w:numPr>
        <w:ind w:firstLineChars="0"/>
        <w:rPr>
          <w:color w:val="auto"/>
          <w:highlight w:val="none"/>
        </w:rPr>
      </w:pPr>
      <w:r>
        <w:rPr>
          <w:rFonts w:ascii="宋体" w:hAnsi="宋体" w:cs="宋体"/>
          <w:color w:val="auto"/>
          <w:highlight w:val="none"/>
        </w:rPr>
        <w:t>技术规范偏离表</w:t>
      </w:r>
      <w:r>
        <w:rPr>
          <w:rFonts w:hint="eastAsia" w:ascii="宋体" w:hAnsi="宋体" w:cs="宋体"/>
          <w:color w:val="auto"/>
          <w:kern w:val="0"/>
          <w:highlight w:val="none"/>
        </w:rPr>
        <w:t>……………………………………………………………   …（页码）</w:t>
      </w:r>
    </w:p>
    <w:p>
      <w:pPr>
        <w:numPr>
          <w:ilvl w:val="0"/>
          <w:numId w:val="39"/>
        </w:numPr>
        <w:ind w:firstLineChars="0"/>
        <w:rPr>
          <w:color w:val="auto"/>
          <w:highlight w:val="none"/>
        </w:rPr>
      </w:pPr>
      <w:r>
        <w:rPr>
          <w:rFonts w:hint="eastAsia" w:ascii="宋体" w:hAnsi="宋体" w:cs="宋体"/>
          <w:color w:val="auto"/>
          <w:kern w:val="0"/>
          <w:highlight w:val="none"/>
        </w:rPr>
        <w:t>货物配置清单………………………………………………………………………（页码）</w:t>
      </w:r>
    </w:p>
    <w:p>
      <w:pPr>
        <w:numPr>
          <w:ilvl w:val="0"/>
          <w:numId w:val="39"/>
        </w:numPr>
        <w:ind w:firstLineChars="0"/>
        <w:rPr>
          <w:color w:val="auto"/>
          <w:highlight w:val="none"/>
        </w:rPr>
      </w:pPr>
      <w:r>
        <w:rPr>
          <w:rFonts w:hint="eastAsia" w:ascii="宋体" w:hAnsi="宋体" w:cs="宋体"/>
          <w:color w:val="auto"/>
          <w:kern w:val="0"/>
          <w:highlight w:val="none"/>
        </w:rPr>
        <w:t>投标产品技术支持资料……………………………………………………………（页码）</w:t>
      </w:r>
    </w:p>
    <w:p>
      <w:pPr>
        <w:numPr>
          <w:ilvl w:val="0"/>
          <w:numId w:val="39"/>
        </w:numPr>
        <w:ind w:firstLineChars="0"/>
        <w:rPr>
          <w:color w:val="auto"/>
          <w:highlight w:val="none"/>
        </w:rPr>
      </w:pPr>
      <w:r>
        <w:rPr>
          <w:rFonts w:hint="eastAsia" w:ascii="宋体" w:hAnsi="宋体" w:cs="宋体"/>
          <w:color w:val="auto"/>
          <w:kern w:val="0"/>
          <w:highlight w:val="none"/>
        </w:rPr>
        <w:t>项目实施方案………………………………………………………………  ……（页码）</w:t>
      </w:r>
    </w:p>
    <w:p>
      <w:pPr>
        <w:numPr>
          <w:ilvl w:val="0"/>
          <w:numId w:val="39"/>
        </w:numPr>
        <w:ind w:firstLineChars="0"/>
        <w:rPr>
          <w:rFonts w:ascii="宋体" w:hAnsi="宋体" w:cs="宋体"/>
          <w:color w:val="auto"/>
          <w:highlight w:val="none"/>
        </w:rPr>
      </w:pPr>
      <w:r>
        <w:rPr>
          <w:rFonts w:hint="eastAsia" w:ascii="宋体" w:hAnsi="宋体" w:cs="宋体"/>
          <w:color w:val="auto"/>
          <w:highlight w:val="none"/>
        </w:rPr>
        <w:t>售后服务方案</w:t>
      </w:r>
      <w:r>
        <w:rPr>
          <w:rFonts w:hint="eastAsia" w:ascii="宋体" w:hAnsi="宋体" w:cs="宋体"/>
          <w:color w:val="auto"/>
          <w:kern w:val="0"/>
          <w:highlight w:val="none"/>
        </w:rPr>
        <w:t>……………………………………………………………… ……（页码）</w:t>
      </w:r>
    </w:p>
    <w:p>
      <w:pPr>
        <w:numPr>
          <w:ilvl w:val="0"/>
          <w:numId w:val="39"/>
        </w:numPr>
        <w:ind w:firstLineChars="0"/>
        <w:rPr>
          <w:rFonts w:ascii="宋体" w:hAnsi="宋体" w:cs="宋体"/>
          <w:color w:val="auto"/>
          <w:highlight w:val="none"/>
        </w:rPr>
      </w:pPr>
      <w:r>
        <w:rPr>
          <w:rFonts w:hint="eastAsia" w:ascii="宋体" w:hAnsi="宋体" w:cs="宋体"/>
          <w:color w:val="auto"/>
          <w:kern w:val="0"/>
          <w:highlight w:val="none"/>
        </w:rPr>
        <w:t>培训方案…………………………………………………………………………（页码）</w:t>
      </w:r>
    </w:p>
    <w:p>
      <w:pPr>
        <w:numPr>
          <w:ilvl w:val="0"/>
          <w:numId w:val="39"/>
        </w:numPr>
        <w:ind w:firstLineChars="0"/>
        <w:rPr>
          <w:rFonts w:ascii="宋体" w:hAnsi="宋体" w:cs="宋体"/>
          <w:color w:val="auto"/>
          <w:kern w:val="0"/>
          <w:highlight w:val="none"/>
        </w:rPr>
      </w:pPr>
      <w:r>
        <w:rPr>
          <w:rFonts w:hint="eastAsia" w:ascii="宋体" w:hAnsi="宋体" w:cs="宋体"/>
          <w:color w:val="auto"/>
          <w:highlight w:val="none"/>
        </w:rPr>
        <w:t>售后服务方案</w:t>
      </w:r>
      <w:r>
        <w:rPr>
          <w:rFonts w:hint="eastAsia" w:ascii="宋体" w:hAnsi="宋体" w:cs="宋体"/>
          <w:color w:val="auto"/>
          <w:kern w:val="0"/>
          <w:highlight w:val="none"/>
        </w:rPr>
        <w:t>……………………………………………………………  ………（页码）</w:t>
      </w:r>
    </w:p>
    <w:p>
      <w:pPr>
        <w:numPr>
          <w:ilvl w:val="0"/>
          <w:numId w:val="39"/>
        </w:numPr>
        <w:ind w:firstLineChars="0"/>
        <w:rPr>
          <w:rFonts w:ascii="宋体" w:hAnsi="宋体" w:cs="宋体"/>
          <w:color w:val="auto"/>
          <w:kern w:val="0"/>
          <w:highlight w:val="none"/>
        </w:rPr>
      </w:pPr>
      <w:r>
        <w:rPr>
          <w:rFonts w:hint="eastAsia" w:ascii="宋体" w:hAnsi="宋体" w:cs="宋体"/>
          <w:color w:val="auto"/>
          <w:kern w:val="0"/>
          <w:highlight w:val="none"/>
        </w:rPr>
        <w:t>其他……</w:t>
      </w:r>
    </w:p>
    <w:p>
      <w:pPr>
        <w:pStyle w:val="9"/>
        <w:rPr>
          <w:color w:val="auto"/>
          <w:highlight w:val="none"/>
        </w:rPr>
      </w:pPr>
      <w:r>
        <w:rPr>
          <w:rFonts w:hint="eastAsia" w:ascii="宋体" w:hAnsi="宋体" w:cs="宋体"/>
          <w:color w:val="auto"/>
          <w:kern w:val="0"/>
          <w:highlight w:val="none"/>
        </w:rPr>
        <w:t>……</w:t>
      </w:r>
    </w:p>
    <w:p>
      <w:pPr>
        <w:pStyle w:val="2"/>
        <w:rPr>
          <w:rFonts w:ascii="宋体" w:hAnsi="宋体" w:eastAsia="宋体" w:cs="宋体"/>
          <w:color w:val="auto"/>
          <w:highlight w:val="none"/>
        </w:rPr>
      </w:pPr>
    </w:p>
    <w:p>
      <w:pPr>
        <w:ind w:firstLine="480"/>
        <w:rPr>
          <w:rFonts w:ascii="宋体" w:hAnsi="宋体" w:cs="宋体"/>
          <w:iCs/>
          <w:color w:val="auto"/>
          <w:highlight w:val="none"/>
        </w:rPr>
      </w:pPr>
      <w:r>
        <w:rPr>
          <w:rFonts w:hint="eastAsia" w:ascii="宋体" w:hAnsi="宋体" w:cs="宋体"/>
          <w:iCs/>
          <w:color w:val="auto"/>
          <w:highlight w:val="none"/>
        </w:rPr>
        <w:br w:type="page"/>
      </w:r>
    </w:p>
    <w:p>
      <w:pPr>
        <w:pStyle w:val="6"/>
        <w:rPr>
          <w:rFonts w:ascii="宋体" w:hAnsi="宋体" w:cs="宋体"/>
          <w:color w:val="auto"/>
          <w:highlight w:val="none"/>
        </w:rPr>
      </w:pPr>
      <w:r>
        <w:rPr>
          <w:rFonts w:hint="eastAsia" w:ascii="宋体" w:hAnsi="宋体" w:cs="宋体"/>
          <w:iCs/>
          <w:color w:val="auto"/>
          <w:highlight w:val="none"/>
        </w:rPr>
        <w:t>附件五：法定代表人资格证明书、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b/>
          <w:color w:val="auto"/>
          <w:spacing w:val="-6"/>
          <w:highlight w:val="none"/>
        </w:rPr>
      </w:pPr>
      <w:r>
        <w:rPr>
          <w:rFonts w:ascii="宋体" w:hAnsi="宋体"/>
          <w:b/>
          <w:color w:val="auto"/>
          <w:spacing w:val="-6"/>
          <w:highlight w:val="none"/>
        </w:rPr>
        <w:t>法定代表人资格证明书</w:t>
      </w:r>
    </w:p>
    <w:p>
      <w:pPr>
        <w:ind w:firstLine="456"/>
        <w:rPr>
          <w:rFonts w:ascii="宋体" w:hAnsi="宋体"/>
          <w:bCs/>
          <w:color w:val="auto"/>
          <w:spacing w:val="-6"/>
          <w:highlight w:val="none"/>
        </w:rPr>
      </w:pPr>
      <w:r>
        <w:rPr>
          <w:rFonts w:hint="eastAsia" w:ascii="宋体" w:hAnsi="宋体"/>
          <w:bCs/>
          <w:color w:val="auto"/>
          <w:spacing w:val="-6"/>
          <w:highlight w:val="none"/>
        </w:rPr>
        <w:t>致：</w:t>
      </w:r>
      <w:r>
        <w:rPr>
          <w:rFonts w:hint="eastAsia" w:ascii="宋体" w:hAnsi="宋体" w:cs="宋体"/>
          <w:color w:val="auto"/>
          <w:spacing w:val="-6"/>
          <w:highlight w:val="none"/>
          <w:u w:val="single"/>
        </w:rPr>
        <w:t>浙江中医药大学、浙江五石工程咨询有限公司</w:t>
      </w:r>
    </w:p>
    <w:p>
      <w:pPr>
        <w:ind w:firstLine="456"/>
        <w:rPr>
          <w:rFonts w:ascii="宋体" w:hAnsi="宋体"/>
          <w:bCs/>
          <w:color w:val="auto"/>
          <w:spacing w:val="-6"/>
          <w:highlight w:val="none"/>
        </w:rPr>
      </w:pPr>
      <w:r>
        <w:rPr>
          <w:rFonts w:hint="eastAsia" w:ascii="宋体" w:hAnsi="宋体"/>
          <w:bCs/>
          <w:color w:val="auto"/>
          <w:spacing w:val="-6"/>
          <w:highlight w:val="none"/>
        </w:rPr>
        <w:t>我</w:t>
      </w:r>
      <w:r>
        <w:rPr>
          <w:rFonts w:ascii="宋体" w:hAnsi="宋体"/>
          <w:color w:val="auto"/>
          <w:spacing w:val="-6"/>
          <w:highlight w:val="none"/>
        </w:rPr>
        <w:t>________________</w:t>
      </w:r>
      <w:r>
        <w:rPr>
          <w:rFonts w:ascii="宋体" w:hAnsi="宋体"/>
          <w:bCs/>
          <w:color w:val="auto"/>
          <w:spacing w:val="-6"/>
          <w:highlight w:val="none"/>
        </w:rPr>
        <w:t>（姓名）系</w:t>
      </w:r>
      <w:r>
        <w:rPr>
          <w:rFonts w:hint="eastAsia" w:ascii="宋体" w:hAnsi="宋体"/>
          <w:bCs/>
          <w:color w:val="auto"/>
          <w:spacing w:val="-6"/>
          <w:highlight w:val="none"/>
        </w:rPr>
        <w:t>_________________________投标人名称）</w:t>
      </w:r>
      <w:r>
        <w:rPr>
          <w:rFonts w:ascii="宋体" w:hAnsi="宋体"/>
          <w:bCs/>
          <w:color w:val="auto"/>
          <w:spacing w:val="-6"/>
          <w:highlight w:val="none"/>
        </w:rPr>
        <w:t>的法定代表人，身份证</w:t>
      </w:r>
      <w:r>
        <w:rPr>
          <w:rFonts w:hint="eastAsia" w:ascii="宋体" w:hAnsi="宋体"/>
          <w:bCs/>
          <w:color w:val="auto"/>
          <w:spacing w:val="-6"/>
          <w:highlight w:val="none"/>
        </w:rPr>
        <w:t>号码：_________________________________。</w:t>
      </w:r>
    </w:p>
    <w:p>
      <w:pPr>
        <w:ind w:firstLine="456"/>
        <w:rPr>
          <w:rFonts w:ascii="宋体" w:hAnsi="宋体"/>
          <w:bCs/>
          <w:color w:val="auto"/>
          <w:spacing w:val="-6"/>
          <w:highlight w:val="none"/>
        </w:rPr>
      </w:pPr>
      <w:r>
        <w:rPr>
          <w:rFonts w:ascii="宋体" w:hAnsi="宋体"/>
          <w:bCs/>
          <w:color w:val="auto"/>
          <w:spacing w:val="-6"/>
          <w:highlight w:val="none"/>
        </w:rPr>
        <w:t>特此证明。</w:t>
      </w:r>
    </w:p>
    <w:p>
      <w:pPr>
        <w:ind w:firstLine="456"/>
        <w:rPr>
          <w:rFonts w:ascii="宋体" w:hAnsi="宋体"/>
          <w:bCs/>
          <w:color w:val="auto"/>
          <w:spacing w:val="-6"/>
          <w:highlight w:val="none"/>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color w:val="auto"/>
                <w:highlight w:val="none"/>
              </w:rPr>
            </w:pPr>
            <w:r>
              <w:rPr>
                <w:rFonts w:hint="eastAsia" w:ascii="新宋体" w:hAnsi="新宋体" w:eastAsia="新宋体"/>
                <w:color w:val="auto"/>
                <w:highlight w:val="none"/>
              </w:rPr>
              <w:t>法定代表人</w:t>
            </w:r>
            <w:r>
              <w:rPr>
                <w:rFonts w:hint="eastAsia" w:ascii="宋体" w:hAnsi="宋体"/>
                <w:color w:val="auto"/>
                <w:highlight w:val="none"/>
              </w:rPr>
              <w:t>身份证：</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r>
              <w:rPr>
                <w:rFonts w:hint="eastAsia" w:ascii="宋体" w:hAnsi="宋体"/>
                <w:color w:val="auto"/>
                <w:highlight w:val="none"/>
              </w:rPr>
              <w:t>复印件粘贴处</w:t>
            </w:r>
          </w:p>
          <w:p>
            <w:pPr>
              <w:ind w:firstLine="456"/>
              <w:rPr>
                <w:rFonts w:ascii="宋体" w:hAnsi="宋体"/>
                <w:bCs/>
                <w:color w:val="auto"/>
                <w:spacing w:val="-6"/>
                <w:highlight w:val="none"/>
              </w:rPr>
            </w:pPr>
          </w:p>
        </w:tc>
      </w:tr>
    </w:tbl>
    <w:p>
      <w:pPr>
        <w:ind w:firstLine="456"/>
        <w:rPr>
          <w:rFonts w:ascii="宋体" w:hAnsi="宋体"/>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right="456" w:firstLine="456"/>
        <w:rPr>
          <w:rFonts w:ascii="宋体" w:hAnsi="宋体"/>
          <w:bCs/>
          <w:color w:val="auto"/>
          <w:spacing w:val="-6"/>
          <w:highlight w:val="none"/>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rPr>
        <w:t>浙江中医药大学、浙江五石工程咨询有限公司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（投标人全称）法定代表人</w:t>
      </w:r>
      <w:r>
        <w:rPr>
          <w:rFonts w:hint="eastAsia" w:ascii="宋体" w:hAnsi="宋体" w:cs="宋体"/>
          <w:color w:val="auto"/>
          <w:highlight w:val="none"/>
          <w:u w:val="singl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（全权代表姓名、职务）为全权代表，参加贵方组织的</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日签署生效，特此声明。</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附法定代表人、授权委托人身份证复印件正反面及社保证明。</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投标人名称（公章）：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pStyle w:val="2"/>
        <w:rPr>
          <w:rFonts w:ascii="宋体" w:hAnsi="宋体" w:eastAsia="宋体" w:cs="宋体"/>
          <w:color w:val="auto"/>
          <w:highlight w:val="none"/>
        </w:rPr>
      </w:pPr>
      <w:r>
        <w:rPr>
          <w:rFonts w:hint="eastAsia" w:ascii="宋体" w:hAnsi="宋体" w:eastAsia="宋体" w:cs="宋体"/>
          <w:color w:val="auto"/>
          <w:highlight w:val="none"/>
        </w:rPr>
        <w:t>说明：</w:t>
      </w:r>
    </w:p>
    <w:p>
      <w:pPr>
        <w:pStyle w:val="20"/>
        <w:spacing w:before="120" w:after="120" w:line="360" w:lineRule="auto"/>
        <w:rPr>
          <w:rFonts w:hAnsi="宋体"/>
          <w:b/>
          <w:color w:val="auto"/>
          <w:spacing w:val="-6"/>
          <w:highlight w:val="none"/>
        </w:rPr>
      </w:pPr>
      <w:r>
        <w:rPr>
          <w:rFonts w:hint="eastAsia" w:hAnsi="宋体"/>
          <w:b/>
          <w:color w:val="auto"/>
          <w:spacing w:val="-6"/>
          <w:highlight w:val="none"/>
        </w:rPr>
        <w:t>一、法定代表人参加投标的，须在响应文件中提供：法定代表人资格证明书；</w:t>
      </w:r>
    </w:p>
    <w:p>
      <w:pPr>
        <w:pStyle w:val="20"/>
        <w:spacing w:before="120" w:after="120" w:line="360" w:lineRule="auto"/>
        <w:rPr>
          <w:rFonts w:hAnsi="宋体"/>
          <w:b/>
          <w:color w:val="auto"/>
          <w:spacing w:val="-6"/>
          <w:highlight w:val="none"/>
        </w:rPr>
      </w:pPr>
      <w:r>
        <w:rPr>
          <w:rFonts w:hint="eastAsia" w:hAnsi="宋体"/>
          <w:b/>
          <w:color w:val="auto"/>
          <w:spacing w:val="-6"/>
          <w:highlight w:val="none"/>
        </w:rPr>
        <w:t>二、</w:t>
      </w:r>
      <w:r>
        <w:rPr>
          <w:rFonts w:hint="eastAsia" w:hAnsi="宋体"/>
          <w:color w:val="auto"/>
          <w:kern w:val="0"/>
          <w:highlight w:val="none"/>
        </w:rPr>
        <w:t>★</w:t>
      </w:r>
      <w:r>
        <w:rPr>
          <w:rFonts w:hint="eastAsia" w:hAnsi="宋体"/>
          <w:b/>
          <w:color w:val="auto"/>
          <w:spacing w:val="-6"/>
          <w:highlight w:val="none"/>
        </w:rPr>
        <w:t>法定代表人委托授权代表参加投标，须在响应文件中提供：法定代表人资格证明书和法定代表人授权委托书及</w:t>
      </w:r>
      <w:r>
        <w:rPr>
          <w:rFonts w:hint="eastAsia" w:hAnsi="宋体"/>
          <w:b/>
          <w:color w:val="auto"/>
          <w:spacing w:val="-6"/>
          <w:sz w:val="30"/>
          <w:szCs w:val="30"/>
          <w:highlight w:val="none"/>
        </w:rPr>
        <w:t>社保缴纳证明</w:t>
      </w:r>
      <w:r>
        <w:rPr>
          <w:rFonts w:hint="eastAsia" w:hAnsi="宋体"/>
          <w:b/>
          <w:color w:val="auto"/>
          <w:spacing w:val="-6"/>
          <w:highlight w:val="none"/>
        </w:rPr>
        <w:t>。</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附件六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snapToGrid w:val="0"/>
        <w:ind w:firstLine="0" w:firstLineChars="0"/>
        <w:rPr>
          <w:rFonts w:ascii="宋体" w:hAnsi="宋体" w:cs="宋体"/>
          <w:color w:val="auto"/>
          <w:highlight w:val="none"/>
        </w:rPr>
      </w:pPr>
      <w:r>
        <w:rPr>
          <w:rFonts w:hint="eastAsia" w:ascii="宋体" w:hAnsi="宋体" w:cs="宋体"/>
          <w:color w:val="auto"/>
          <w:highlight w:val="none"/>
        </w:rPr>
        <w:t>浙江中医药大学、浙江五石工程咨询有限公司：</w:t>
      </w:r>
    </w:p>
    <w:p>
      <w:pPr>
        <w:ind w:firstLine="480"/>
        <w:rPr>
          <w:rFonts w:ascii="宋体" w:hAnsi="宋体" w:cs="宋体"/>
          <w:color w:val="auto"/>
          <w:highlight w:val="none"/>
        </w:rPr>
      </w:pPr>
      <w:r>
        <w:rPr>
          <w:rFonts w:hint="eastAsia" w:ascii="宋体" w:hAnsi="宋体" w:cs="宋体"/>
          <w:color w:val="auto"/>
          <w:kern w:val="0"/>
          <w:highlight w:val="none"/>
          <w:lang w:val="zh-CN"/>
        </w:rPr>
        <w:t>我公司</w:t>
      </w:r>
      <w:r>
        <w:rPr>
          <w:rFonts w:hint="eastAsia" w:ascii="宋体" w:hAnsi="宋体" w:cs="宋体"/>
          <w:color w:val="auto"/>
          <w:highlight w:val="none"/>
        </w:rPr>
        <w:t>声明截止投标时间近三年以来，在</w:t>
      </w:r>
      <w:r>
        <w:rPr>
          <w:rFonts w:hint="eastAsia" w:ascii="宋体" w:hAnsi="宋体" w:cs="宋体"/>
          <w:color w:val="auto"/>
          <w:kern w:val="0"/>
          <w:highlight w:val="none"/>
        </w:rPr>
        <w:t>政府采购领域中</w:t>
      </w:r>
      <w:r>
        <w:rPr>
          <w:rFonts w:hint="eastAsia" w:ascii="宋体" w:hAnsi="宋体" w:cs="宋体"/>
          <w:color w:val="auto"/>
          <w:highlight w:val="none"/>
        </w:rPr>
        <w:t>，在项目招标、投标和合同履约期间无任何不良行为记录和违法、违规行为</w:t>
      </w:r>
      <w:r>
        <w:rPr>
          <w:rFonts w:hint="eastAsia" w:ascii="宋体" w:hAnsi="宋体" w:cs="宋体"/>
          <w:color w:val="auto"/>
          <w:kern w:val="0"/>
          <w:highlight w:val="none"/>
          <w:lang w:val="zh-CN"/>
        </w:rPr>
        <w:t>。</w:t>
      </w:r>
    </w:p>
    <w:p>
      <w:pPr>
        <w:ind w:firstLine="480"/>
        <w:rPr>
          <w:rFonts w:ascii="宋体" w:hAnsi="宋体" w:cs="宋体"/>
          <w:color w:val="auto"/>
          <w:highlight w:val="none"/>
        </w:rPr>
      </w:pPr>
      <w:r>
        <w:rPr>
          <w:rFonts w:hint="eastAsia" w:ascii="宋体" w:hAnsi="宋体" w:cs="宋体"/>
          <w:color w:val="auto"/>
          <w:highlight w:val="none"/>
        </w:rPr>
        <w:t>我公司自愿参加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项目[招标编号： </w:t>
      </w:r>
      <w:r>
        <w:rPr>
          <w:rFonts w:hint="eastAsia" w:ascii="宋体" w:hAnsi="宋体" w:cs="宋体"/>
          <w:color w:val="auto"/>
          <w:highlight w:val="none"/>
          <w:u w:val="single"/>
        </w:rPr>
        <w:t xml:space="preserve">            </w:t>
      </w:r>
      <w:r>
        <w:rPr>
          <w:rFonts w:hint="eastAsia" w:ascii="宋体" w:hAnsi="宋体" w:cs="宋体"/>
          <w:color w:val="auto"/>
          <w:highlight w:val="none"/>
        </w:rPr>
        <w:t>]的投标，并保证投标文件中所列举的投标报价文件及相关资料和公司基本情况资料是真实的、合法的。</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我公司已详细阅读全部“招标文件”，包括修改文件（如果有）以及全部招标资料和相关附件，并已了解我公司在招投标过程中的权利和义务。</w:t>
      </w:r>
    </w:p>
    <w:p>
      <w:pPr>
        <w:ind w:firstLine="480"/>
        <w:rPr>
          <w:rFonts w:ascii="宋体" w:hAnsi="宋体" w:cs="宋体"/>
          <w:color w:val="auto"/>
          <w:highlight w:val="none"/>
        </w:rPr>
      </w:pPr>
      <w:r>
        <w:rPr>
          <w:rFonts w:hint="eastAsia" w:ascii="宋体" w:hAnsi="宋体" w:cs="宋体"/>
          <w:color w:val="auto"/>
          <w:kern w:val="0"/>
          <w:highlight w:val="none"/>
          <w:lang w:val="zh-CN"/>
        </w:rPr>
        <w:t>我公司理解并接受招标文件的各项规定和要求，同意此次招标文件中的各项内容，</w:t>
      </w:r>
      <w:r>
        <w:rPr>
          <w:rFonts w:hint="eastAsia" w:ascii="宋体" w:hAnsi="宋体" w:cs="宋体"/>
          <w:color w:val="auto"/>
          <w:kern w:val="0"/>
          <w:highlight w:val="none"/>
        </w:rPr>
        <w:t>并</w:t>
      </w:r>
      <w:r>
        <w:rPr>
          <w:rFonts w:hint="eastAsia" w:ascii="宋体" w:hAnsi="宋体" w:cs="宋体"/>
          <w:color w:val="auto"/>
          <w:kern w:val="0"/>
          <w:highlight w:val="none"/>
          <w:lang w:val="zh-CN"/>
        </w:rPr>
        <w:t>同意提供按照贵方可能要求的与投标有关的一切数据或资料等。</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本公司如中标，保证按照投标文件的承诺与贵方签订合同，保证履行合同条款并缴纳履约保证金。</w:t>
      </w: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eastAsia="宋体" w:cs="宋体"/>
          <w:color w:val="auto"/>
          <w:highlight w:val="none"/>
        </w:rPr>
      </w:pPr>
      <w:r>
        <w:rPr>
          <w:rFonts w:hint="eastAsia" w:ascii="宋体" w:hAnsi="宋体" w:eastAsia="宋体" w:cs="宋体"/>
          <w:color w:val="auto"/>
          <w:highlight w:val="none"/>
        </w:rPr>
        <w:t xml:space="preserve">                 </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br w:type="page"/>
      </w:r>
    </w:p>
    <w:p>
      <w:pPr>
        <w:pStyle w:val="6"/>
        <w:rPr>
          <w:rFonts w:ascii="宋体" w:hAnsi="宋体" w:cs="宋体"/>
          <w:color w:val="auto"/>
          <w:highlight w:val="none"/>
        </w:rPr>
      </w:pPr>
      <w:r>
        <w:rPr>
          <w:rFonts w:hint="eastAsia" w:ascii="宋体" w:hAnsi="宋体" w:cs="宋体"/>
          <w:color w:val="auto"/>
          <w:highlight w:val="none"/>
        </w:rPr>
        <w:t>附件七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color w:val="auto"/>
          <w:highlight w:val="none"/>
        </w:rPr>
      </w:pPr>
      <w:r>
        <w:rPr>
          <w:rFonts w:hint="eastAsia" w:ascii="宋体" w:hAnsi="宋体" w:cs="宋体"/>
          <w:color w:val="auto"/>
          <w:highlight w:val="none"/>
        </w:rPr>
        <w:t>浙江中医药大学：</w:t>
      </w: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228" w:firstLineChars="95"/>
        <w:jc w:val="left"/>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附件八 商务条款偏离表</w:t>
      </w:r>
    </w:p>
    <w:p>
      <w:pPr>
        <w:ind w:firstLine="480"/>
        <w:rPr>
          <w:color w:val="auto"/>
          <w:highlight w:val="none"/>
        </w:rPr>
      </w:pPr>
      <w:r>
        <w:rPr>
          <w:rFonts w:hint="eastAsia" w:ascii="宋体" w:hAnsi="宋体" w:cs="宋体"/>
          <w:color w:val="auto"/>
          <w:highlight w:val="none"/>
        </w:rPr>
        <w:t xml:space="preserve">                            商务条款偏离表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12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303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8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500" w:lineRule="exact"/>
        <w:ind w:firstLine="720"/>
        <w:rPr>
          <w:rFonts w:ascii="宋体" w:hAnsi="宋体" w:cs="宋体"/>
          <w:color w:val="auto"/>
          <w:sz w:val="36"/>
          <w:szCs w:val="32"/>
          <w:highlight w:val="none"/>
        </w:rPr>
      </w:pPr>
    </w:p>
    <w:p>
      <w:pPr>
        <w:ind w:firstLine="640"/>
        <w:rPr>
          <w:rFonts w:ascii="宋体" w:hAnsi="宋体" w:cs="宋体"/>
          <w:color w:val="auto"/>
          <w:sz w:val="32"/>
          <w:szCs w:val="32"/>
          <w:highlight w:val="none"/>
        </w:rPr>
      </w:pPr>
    </w:p>
    <w:p>
      <w:pPr>
        <w:ind w:firstLine="0" w:firstLineChars="0"/>
        <w:rPr>
          <w:rFonts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附件九 投标人情况表</w:t>
      </w:r>
    </w:p>
    <w:p>
      <w:pPr>
        <w:spacing w:line="240" w:lineRule="auto"/>
        <w:ind w:firstLine="0" w:firstLineChars="0"/>
        <w:jc w:val="right"/>
        <w:rPr>
          <w:rFonts w:ascii="宋体" w:hAnsi="宋体" w:cs="宋体"/>
          <w:color w:val="auto"/>
          <w:sz w:val="28"/>
          <w:highlight w:val="none"/>
        </w:rPr>
      </w:pPr>
    </w:p>
    <w:p>
      <w:pPr>
        <w:spacing w:line="240" w:lineRule="auto"/>
        <w:ind w:firstLine="0" w:firstLineChars="0"/>
        <w:jc w:val="right"/>
        <w:rPr>
          <w:rFonts w:ascii="宋体" w:hAnsi="宋体" w:cs="宋体"/>
          <w:b/>
          <w:bCs/>
          <w:color w:val="auto"/>
          <w:sz w:val="28"/>
          <w:highlight w:val="none"/>
        </w:rPr>
      </w:pPr>
    </w:p>
    <w:p>
      <w:pPr>
        <w:spacing w:line="240" w:lineRule="auto"/>
        <w:ind w:firstLine="0" w:firstLineChars="0"/>
        <w:jc w:val="center"/>
        <w:rPr>
          <w:rFonts w:ascii="宋体" w:hAnsi="宋体" w:cs="宋体"/>
          <w:b/>
          <w:bCs/>
          <w:color w:val="auto"/>
          <w:sz w:val="28"/>
          <w:highlight w:val="none"/>
        </w:rPr>
      </w:pPr>
      <w:r>
        <w:rPr>
          <w:rFonts w:hint="eastAsia" w:ascii="宋体" w:hAnsi="宋体" w:cs="宋体"/>
          <w:b/>
          <w:bCs/>
          <w:color w:val="auto"/>
          <w:highlight w:val="none"/>
        </w:rPr>
        <w:t>投标人情况表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6"/>
        <w:rPr>
          <w:rFonts w:ascii="宋体" w:hAnsi="宋体" w:cs="宋体"/>
          <w:color w:val="auto"/>
          <w:highlight w:val="none"/>
        </w:rPr>
      </w:pPr>
      <w:r>
        <w:rPr>
          <w:rFonts w:hint="eastAsia" w:ascii="宋体" w:hAnsi="宋体" w:cs="宋体"/>
          <w:color w:val="auto"/>
          <w:highlight w:val="none"/>
        </w:rPr>
        <w:t>附件十 技术规范偏离表</w:t>
      </w:r>
    </w:p>
    <w:p>
      <w:pPr>
        <w:ind w:firstLine="482"/>
        <w:jc w:val="center"/>
        <w:rPr>
          <w:rFonts w:ascii="宋体" w:hAnsi="宋体" w:cs="宋体"/>
          <w:b/>
          <w:bCs/>
          <w:color w:val="auto"/>
          <w:szCs w:val="32"/>
          <w:highlight w:val="none"/>
        </w:rPr>
      </w:pPr>
      <w:r>
        <w:rPr>
          <w:rFonts w:hint="eastAsia" w:ascii="宋体" w:hAnsi="宋体" w:cs="宋体"/>
          <w:b/>
          <w:bCs/>
          <w:color w:val="auto"/>
          <w:highlight w:val="none"/>
        </w:rPr>
        <w:t>技术规范偏离表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1892"/>
        <w:gridCol w:w="1524"/>
      </w:tblGrid>
      <w:tr>
        <w:tblPrEx>
          <w:tblLayout w:type="fixed"/>
          <w:tblCellMar>
            <w:top w:w="0" w:type="dxa"/>
            <w:left w:w="108" w:type="dxa"/>
            <w:bottom w:w="0" w:type="dxa"/>
            <w:right w:w="108" w:type="dxa"/>
          </w:tblCellMar>
        </w:tblPrEx>
        <w:tc>
          <w:tcPr>
            <w:tcW w:w="66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400"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产品名称</w:t>
            </w:r>
          </w:p>
        </w:tc>
        <w:tc>
          <w:tcPr>
            <w:tcW w:w="1621"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37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189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c>
          <w:tcPr>
            <w:tcW w:w="152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技术支持资料（页码）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1892" w:type="dxa"/>
          </w:tcPr>
          <w:p>
            <w:pPr>
              <w:ind w:firstLine="0" w:firstLineChars="0"/>
              <w:rPr>
                <w:rFonts w:ascii="宋体" w:hAnsi="宋体" w:cs="宋体"/>
                <w:color w:val="auto"/>
                <w:highlight w:val="none"/>
              </w:rPr>
            </w:pPr>
          </w:p>
        </w:tc>
        <w:tc>
          <w:tcPr>
            <w:tcW w:w="1524"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注：1.逐项按照招标文件要求填写响应规格；</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2.表后需提供</w:t>
      </w:r>
      <w:r>
        <w:rPr>
          <w:rFonts w:hint="eastAsia" w:ascii="宋体" w:hAnsi="宋体" w:cs="宋体"/>
          <w:b/>
          <w:bCs/>
          <w:color w:val="auto"/>
          <w:sz w:val="22"/>
          <w:szCs w:val="21"/>
          <w:highlight w:val="none"/>
        </w:rPr>
        <w:t>技术支持资料</w:t>
      </w:r>
      <w:r>
        <w:rPr>
          <w:rFonts w:hint="eastAsia" w:ascii="宋体" w:hAnsi="宋体"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3.投标人可提供同等于或优于招标文件要求的设备和服务。</w:t>
      </w:r>
    </w:p>
    <w:p>
      <w:pPr>
        <w:pStyle w:val="2"/>
        <w:rPr>
          <w:color w:val="auto"/>
          <w:highlight w:val="none"/>
        </w:rPr>
      </w:pPr>
    </w:p>
    <w:p>
      <w:pPr>
        <w:pStyle w:val="2"/>
        <w:rPr>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ind w:firstLine="480"/>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br w:type="page"/>
      </w:r>
    </w:p>
    <w:p>
      <w:pPr>
        <w:pStyle w:val="6"/>
        <w:rPr>
          <w:rFonts w:ascii="宋体" w:hAnsi="宋体" w:cs="宋体"/>
          <w:color w:val="auto"/>
          <w:highlight w:val="none"/>
        </w:rPr>
      </w:pPr>
      <w:r>
        <w:rPr>
          <w:rFonts w:hint="eastAsia" w:ascii="宋体" w:hAnsi="宋体" w:cs="宋体"/>
          <w:color w:val="auto"/>
          <w:highlight w:val="none"/>
        </w:rPr>
        <w:t>附件十一 产品规格配置清单</w:t>
      </w:r>
    </w:p>
    <w:p>
      <w:pPr>
        <w:ind w:firstLine="643"/>
        <w:rPr>
          <w:b/>
          <w:color w:val="auto"/>
          <w:sz w:val="32"/>
          <w:szCs w:val="32"/>
          <w:highlight w:val="none"/>
        </w:rPr>
      </w:pPr>
    </w:p>
    <w:p>
      <w:pPr>
        <w:pStyle w:val="2"/>
        <w:rPr>
          <w:color w:val="auto"/>
          <w:highlight w:val="none"/>
        </w:rPr>
      </w:pPr>
    </w:p>
    <w:p>
      <w:pPr>
        <w:ind w:firstLine="456"/>
        <w:rPr>
          <w:rFonts w:ascii="宋体" w:hAnsi="宋体"/>
          <w:bCs/>
          <w:color w:val="auto"/>
          <w:spacing w:val="-6"/>
          <w:highlight w:val="none"/>
        </w:rPr>
      </w:pPr>
      <w:r>
        <w:rPr>
          <w:rFonts w:hint="eastAsia" w:ascii="宋体" w:hAnsi="宋体"/>
          <w:bCs/>
          <w:color w:val="auto"/>
          <w:spacing w:val="-6"/>
          <w:highlight w:val="none"/>
        </w:rPr>
        <w:t>项目名称：                                               项目编号：</w:t>
      </w:r>
    </w:p>
    <w:p>
      <w:pPr>
        <w:ind w:firstLine="480"/>
        <w:rPr>
          <w:color w:val="auto"/>
          <w:highlight w:val="none"/>
        </w:rPr>
      </w:pPr>
    </w:p>
    <w:tbl>
      <w:tblPr>
        <w:tblStyle w:val="39"/>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203"/>
        <w:gridCol w:w="3107"/>
        <w:gridCol w:w="1554"/>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060"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序号</w:t>
            </w:r>
          </w:p>
        </w:tc>
        <w:tc>
          <w:tcPr>
            <w:tcW w:w="2203"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设备名称</w:t>
            </w:r>
          </w:p>
        </w:tc>
        <w:tc>
          <w:tcPr>
            <w:tcW w:w="3107"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投标品牌及型号</w:t>
            </w:r>
          </w:p>
        </w:tc>
        <w:tc>
          <w:tcPr>
            <w:tcW w:w="1554"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数量</w:t>
            </w:r>
          </w:p>
        </w:tc>
        <w:tc>
          <w:tcPr>
            <w:tcW w:w="1916"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60"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1</w:t>
            </w:r>
          </w:p>
        </w:tc>
        <w:tc>
          <w:tcPr>
            <w:tcW w:w="2203" w:type="dxa"/>
            <w:vAlign w:val="center"/>
          </w:tcPr>
          <w:p>
            <w:pPr>
              <w:ind w:firstLine="0" w:firstLineChars="0"/>
              <w:rPr>
                <w:rFonts w:ascii="宋体" w:hAnsi="宋体"/>
                <w:bCs/>
                <w:color w:val="auto"/>
                <w:spacing w:val="-6"/>
                <w:highlight w:val="none"/>
              </w:rPr>
            </w:pPr>
          </w:p>
        </w:tc>
        <w:tc>
          <w:tcPr>
            <w:tcW w:w="3107" w:type="dxa"/>
            <w:vAlign w:val="center"/>
          </w:tcPr>
          <w:p>
            <w:pPr>
              <w:ind w:firstLine="0" w:firstLineChars="0"/>
              <w:rPr>
                <w:rFonts w:ascii="宋体" w:hAnsi="宋体"/>
                <w:bCs/>
                <w:color w:val="auto"/>
                <w:spacing w:val="-6"/>
                <w:highlight w:val="none"/>
              </w:rPr>
            </w:pPr>
          </w:p>
        </w:tc>
        <w:tc>
          <w:tcPr>
            <w:tcW w:w="1554" w:type="dxa"/>
            <w:vAlign w:val="center"/>
          </w:tcPr>
          <w:p>
            <w:pPr>
              <w:ind w:firstLine="0" w:firstLineChars="0"/>
              <w:rPr>
                <w:rFonts w:ascii="宋体" w:hAnsi="宋体"/>
                <w:bCs/>
                <w:color w:val="auto"/>
                <w:spacing w:val="-6"/>
                <w:highlight w:val="none"/>
              </w:rPr>
            </w:pPr>
          </w:p>
        </w:tc>
        <w:tc>
          <w:tcPr>
            <w:tcW w:w="1916" w:type="dxa"/>
            <w:vAlign w:val="center"/>
          </w:tcPr>
          <w:p>
            <w:pPr>
              <w:ind w:firstLine="0" w:firstLineChars="0"/>
              <w:rPr>
                <w:rFonts w:ascii="宋体" w:hAnsi="宋体"/>
                <w:bCs/>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060"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2</w:t>
            </w:r>
          </w:p>
        </w:tc>
        <w:tc>
          <w:tcPr>
            <w:tcW w:w="2203" w:type="dxa"/>
            <w:vAlign w:val="center"/>
          </w:tcPr>
          <w:p>
            <w:pPr>
              <w:ind w:firstLine="0" w:firstLineChars="0"/>
              <w:rPr>
                <w:rFonts w:ascii="宋体" w:hAnsi="宋体"/>
                <w:bCs/>
                <w:color w:val="auto"/>
                <w:spacing w:val="-6"/>
                <w:highlight w:val="none"/>
              </w:rPr>
            </w:pPr>
          </w:p>
        </w:tc>
        <w:tc>
          <w:tcPr>
            <w:tcW w:w="3107" w:type="dxa"/>
            <w:vAlign w:val="center"/>
          </w:tcPr>
          <w:p>
            <w:pPr>
              <w:ind w:firstLine="0" w:firstLineChars="0"/>
              <w:rPr>
                <w:rFonts w:ascii="宋体" w:hAnsi="宋体"/>
                <w:bCs/>
                <w:color w:val="auto"/>
                <w:spacing w:val="-6"/>
                <w:highlight w:val="none"/>
              </w:rPr>
            </w:pPr>
          </w:p>
        </w:tc>
        <w:tc>
          <w:tcPr>
            <w:tcW w:w="1554" w:type="dxa"/>
            <w:vAlign w:val="center"/>
          </w:tcPr>
          <w:p>
            <w:pPr>
              <w:ind w:firstLine="0" w:firstLineChars="0"/>
              <w:rPr>
                <w:rFonts w:ascii="宋体" w:hAnsi="宋体"/>
                <w:bCs/>
                <w:color w:val="auto"/>
                <w:spacing w:val="-6"/>
                <w:highlight w:val="none"/>
              </w:rPr>
            </w:pPr>
          </w:p>
        </w:tc>
        <w:tc>
          <w:tcPr>
            <w:tcW w:w="1916" w:type="dxa"/>
            <w:vAlign w:val="center"/>
          </w:tcPr>
          <w:p>
            <w:pPr>
              <w:ind w:firstLine="0" w:firstLineChars="0"/>
              <w:rPr>
                <w:rFonts w:ascii="宋体" w:hAnsi="宋体"/>
                <w:bCs/>
                <w:color w:val="auto"/>
                <w:spacing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060" w:type="dxa"/>
            <w:vAlign w:val="center"/>
          </w:tcPr>
          <w:p>
            <w:pPr>
              <w:ind w:firstLine="0" w:firstLineChars="0"/>
              <w:rPr>
                <w:rFonts w:ascii="宋体" w:hAnsi="宋体"/>
                <w:bCs/>
                <w:color w:val="auto"/>
                <w:spacing w:val="-6"/>
                <w:highlight w:val="none"/>
              </w:rPr>
            </w:pPr>
            <w:r>
              <w:rPr>
                <w:rFonts w:hint="eastAsia" w:ascii="宋体" w:hAnsi="宋体"/>
                <w:bCs/>
                <w:color w:val="auto"/>
                <w:spacing w:val="-6"/>
                <w:highlight w:val="none"/>
              </w:rPr>
              <w:t>……</w:t>
            </w:r>
          </w:p>
        </w:tc>
        <w:tc>
          <w:tcPr>
            <w:tcW w:w="2203" w:type="dxa"/>
            <w:vAlign w:val="center"/>
          </w:tcPr>
          <w:p>
            <w:pPr>
              <w:ind w:firstLine="0" w:firstLineChars="0"/>
              <w:rPr>
                <w:rFonts w:ascii="宋体" w:hAnsi="宋体"/>
                <w:bCs/>
                <w:color w:val="auto"/>
                <w:spacing w:val="-6"/>
                <w:highlight w:val="none"/>
              </w:rPr>
            </w:pPr>
          </w:p>
        </w:tc>
        <w:tc>
          <w:tcPr>
            <w:tcW w:w="3107" w:type="dxa"/>
            <w:vAlign w:val="center"/>
          </w:tcPr>
          <w:p>
            <w:pPr>
              <w:ind w:firstLine="0" w:firstLineChars="0"/>
              <w:rPr>
                <w:rFonts w:ascii="宋体" w:hAnsi="宋体"/>
                <w:bCs/>
                <w:color w:val="auto"/>
                <w:spacing w:val="-6"/>
                <w:highlight w:val="none"/>
              </w:rPr>
            </w:pPr>
          </w:p>
        </w:tc>
        <w:tc>
          <w:tcPr>
            <w:tcW w:w="1554" w:type="dxa"/>
            <w:vAlign w:val="center"/>
          </w:tcPr>
          <w:p>
            <w:pPr>
              <w:ind w:firstLine="0" w:firstLineChars="0"/>
              <w:rPr>
                <w:rFonts w:ascii="宋体" w:hAnsi="宋体"/>
                <w:bCs/>
                <w:color w:val="auto"/>
                <w:spacing w:val="-6"/>
                <w:highlight w:val="none"/>
              </w:rPr>
            </w:pPr>
          </w:p>
        </w:tc>
        <w:tc>
          <w:tcPr>
            <w:tcW w:w="1916" w:type="dxa"/>
            <w:vAlign w:val="center"/>
          </w:tcPr>
          <w:p>
            <w:pPr>
              <w:ind w:firstLine="0" w:firstLineChars="0"/>
              <w:rPr>
                <w:rFonts w:ascii="宋体" w:hAnsi="宋体"/>
                <w:bCs/>
                <w:color w:val="auto"/>
                <w:spacing w:val="-6"/>
                <w:highlight w:val="none"/>
              </w:rPr>
            </w:pPr>
          </w:p>
        </w:tc>
      </w:tr>
    </w:tbl>
    <w:p>
      <w:pPr>
        <w:pStyle w:val="2"/>
        <w:rPr>
          <w:rFonts w:ascii="宋体" w:hAnsi="宋体"/>
          <w:b/>
          <w:color w:val="auto"/>
          <w:highlight w:val="none"/>
        </w:rPr>
      </w:pPr>
    </w:p>
    <w:p>
      <w:pPr>
        <w:pStyle w:val="2"/>
        <w:rPr>
          <w:color w:val="auto"/>
          <w:highlight w:val="none"/>
        </w:rPr>
      </w:pPr>
    </w:p>
    <w:p>
      <w:pPr>
        <w:spacing w:line="440" w:lineRule="exact"/>
        <w:ind w:firstLine="456"/>
        <w:jc w:val="left"/>
        <w:rPr>
          <w:rFonts w:ascii="宋体" w:hAnsi="宋体"/>
          <w:color w:val="auto"/>
          <w:spacing w:val="-6"/>
          <w:highlight w:val="none"/>
        </w:rPr>
      </w:pPr>
      <w:r>
        <w:rPr>
          <w:rFonts w:hint="eastAsia" w:ascii="宋体" w:hAnsi="宋体"/>
          <w:color w:val="auto"/>
          <w:spacing w:val="-6"/>
          <w:highlight w:val="none"/>
        </w:rPr>
        <w:t>所投标的货物的完整配置方案，详细列明投标货物的所有技术指标（包括所投标货物的品牌、规格型号、详细配置、主要技术参数、随机软件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pStyle w:val="2"/>
        <w:rPr>
          <w:color w:val="auto"/>
          <w:highlight w:val="none"/>
        </w:rPr>
      </w:pPr>
    </w:p>
    <w:p>
      <w:pPr>
        <w:pStyle w:val="2"/>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rFonts w:ascii="宋体" w:hAnsi="宋体" w:cs="宋体"/>
          <w:color w:val="auto"/>
          <w:highlight w:val="none"/>
        </w:rPr>
      </w:pPr>
      <w:r>
        <w:rPr>
          <w:rFonts w:ascii="宋体" w:hAnsi="宋体" w:cs="宋体"/>
          <w:color w:val="auto"/>
          <w:highlight w:val="none"/>
        </w:rPr>
        <w:br w:type="page"/>
      </w:r>
    </w:p>
    <w:p>
      <w:pPr>
        <w:pStyle w:val="3"/>
        <w:rPr>
          <w:color w:val="auto"/>
          <w:highlight w:val="none"/>
        </w:rPr>
      </w:pPr>
    </w:p>
    <w:p>
      <w:pPr>
        <w:pStyle w:val="6"/>
        <w:rPr>
          <w:rFonts w:ascii="宋体" w:hAnsi="宋体" w:cs="宋体"/>
          <w:color w:val="auto"/>
          <w:highlight w:val="none"/>
        </w:rPr>
      </w:pPr>
      <w:r>
        <w:rPr>
          <w:rFonts w:hint="eastAsia" w:ascii="宋体" w:hAnsi="宋体" w:cs="宋体"/>
          <w:color w:val="auto"/>
          <w:highlight w:val="none"/>
        </w:rPr>
        <w:t>附件十二 实施技术人员一览表</w:t>
      </w:r>
    </w:p>
    <w:p>
      <w:pPr>
        <w:ind w:left="-720" w:right="-965" w:firstLine="0" w:firstLineChars="0"/>
        <w:jc w:val="center"/>
        <w:rPr>
          <w:rFonts w:ascii="宋体" w:hAnsi="宋体"/>
          <w:b/>
          <w:bCs/>
          <w:color w:val="auto"/>
          <w:spacing w:val="30"/>
          <w:highlight w:val="none"/>
        </w:rPr>
      </w:pPr>
      <w:r>
        <w:rPr>
          <w:rFonts w:hint="eastAsia" w:ascii="宋体" w:hAnsi="宋体"/>
          <w:b/>
          <w:bCs/>
          <w:color w:val="auto"/>
          <w:spacing w:val="30"/>
          <w:highlight w:val="none"/>
        </w:rPr>
        <w:t>项目负责人情况表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bl>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实施技术人员一览表</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备</w:t>
            </w:r>
            <w:r>
              <w:rPr>
                <w:rFonts w:ascii="宋体" w:hAnsi="宋体"/>
                <w:color w:val="auto"/>
                <w:highlight w:val="none"/>
                <w:lang w:val="zh-CN"/>
              </w:rPr>
              <w:t xml:space="preserve"> </w:t>
            </w:r>
            <w:r>
              <w:rPr>
                <w:rFonts w:hint="eastAsia" w:ascii="宋体" w:hAnsi="宋体"/>
                <w:color w:val="auto"/>
                <w:highlight w:val="none"/>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bl>
    <w:p>
      <w:pPr>
        <w:ind w:firstLine="0" w:firstLineChars="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6"/>
        <w:rPr>
          <w:rFonts w:ascii="宋体" w:hAnsi="宋体" w:cs="宋体"/>
          <w:color w:val="auto"/>
          <w:highlight w:val="none"/>
        </w:rPr>
      </w:pPr>
      <w:r>
        <w:rPr>
          <w:rFonts w:hint="eastAsia" w:ascii="宋体" w:hAnsi="宋体" w:cs="宋体"/>
          <w:color w:val="auto"/>
          <w:highlight w:val="none"/>
        </w:rPr>
        <w:t>附件十三 售后服务方案</w:t>
      </w:r>
    </w:p>
    <w:p>
      <w:pPr>
        <w:spacing w:line="200" w:lineRule="atLeast"/>
        <w:ind w:left="-720" w:right="-965" w:firstLine="602"/>
        <w:jc w:val="center"/>
        <w:rPr>
          <w:rFonts w:ascii="宋体" w:hAnsi="宋体" w:cs="宋体"/>
          <w:b/>
          <w:bCs/>
          <w:color w:val="auto"/>
          <w:spacing w:val="30"/>
          <w:highlight w:val="none"/>
        </w:rPr>
      </w:pPr>
      <w:r>
        <w:rPr>
          <w:rFonts w:hint="eastAsia" w:ascii="宋体" w:hAnsi="宋体" w:cs="宋体"/>
          <w:b/>
          <w:bCs/>
          <w:color w:val="auto"/>
          <w:spacing w:val="30"/>
          <w:highlight w:val="none"/>
        </w:rPr>
        <w:t>售后服务方案</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（若不够填写可附页，格式可自拟）</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color w:val="auto"/>
          <w:highlight w:val="none"/>
        </w:rPr>
      </w:pPr>
    </w:p>
    <w:p>
      <w:pPr>
        <w:ind w:left="-720" w:right="-958" w:firstLine="0" w:firstLineChars="0"/>
        <w:rPr>
          <w:rFonts w:ascii="宋体" w:hAnsi="宋体" w:cs="宋体"/>
          <w:color w:val="auto"/>
          <w:szCs w:val="32"/>
          <w:highlight w:val="none"/>
        </w:rPr>
      </w:pPr>
      <w:r>
        <w:rPr>
          <w:rFonts w:hint="eastAsia" w:ascii="宋体" w:hAnsi="宋体" w:cs="宋体"/>
          <w:color w:val="auto"/>
          <w:szCs w:val="32"/>
          <w:highlight w:val="none"/>
        </w:rPr>
        <w:t xml:space="preserve"> </w:t>
      </w:r>
    </w:p>
    <w:p>
      <w:pPr>
        <w:pStyle w:val="6"/>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附件十四 同类项目实施情况一览表</w:t>
      </w:r>
    </w:p>
    <w:p>
      <w:pPr>
        <w:ind w:firstLine="0" w:firstLineChars="0"/>
        <w:jc w:val="center"/>
        <w:rPr>
          <w:rFonts w:ascii="宋体" w:hAnsi="宋体" w:cs="宋体"/>
          <w:b/>
          <w:bCs/>
          <w:color w:val="auto"/>
          <w:highlight w:val="none"/>
        </w:rPr>
      </w:pPr>
      <w:r>
        <w:rPr>
          <w:rFonts w:hint="eastAsia" w:ascii="宋体" w:hAnsi="宋体" w:cs="宋体"/>
          <w:b/>
          <w:bCs/>
          <w:color w:val="auto"/>
          <w:highlight w:val="none"/>
        </w:rPr>
        <w:t>同类项目实施情况一览表</w:t>
      </w: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项目名称：                   项目编号：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458"/>
        <w:rPr>
          <w:rFonts w:ascii="宋体" w:hAnsi="宋体"/>
          <w:b/>
          <w:color w:val="auto"/>
          <w:spacing w:val="-6"/>
          <w:highlight w:val="none"/>
        </w:rPr>
      </w:pPr>
      <w:r>
        <w:rPr>
          <w:rFonts w:hint="eastAsia" w:ascii="宋体" w:hAnsi="宋体"/>
          <w:b/>
          <w:color w:val="auto"/>
          <w:spacing w:val="-6"/>
          <w:highlight w:val="none"/>
        </w:rPr>
        <w:t>说明：</w:t>
      </w:r>
    </w:p>
    <w:p>
      <w:pPr>
        <w:ind w:firstLine="458"/>
        <w:rPr>
          <w:rFonts w:ascii="宋体" w:hAnsi="宋体"/>
          <w:b/>
          <w:color w:val="auto"/>
          <w:spacing w:val="-6"/>
          <w:highlight w:val="none"/>
        </w:rPr>
      </w:pPr>
      <w:r>
        <w:rPr>
          <w:rFonts w:hint="eastAsia" w:ascii="宋体" w:hAnsi="宋体"/>
          <w:b/>
          <w:color w:val="auto"/>
          <w:spacing w:val="-6"/>
          <w:highlight w:val="none"/>
        </w:rPr>
        <w:t>1、投标人须按照评分标准要求提交相应证明材料；</w:t>
      </w:r>
    </w:p>
    <w:p>
      <w:pPr>
        <w:ind w:firstLine="458"/>
        <w:rPr>
          <w:rFonts w:ascii="宋体" w:hAnsi="宋体"/>
          <w:b/>
          <w:color w:val="auto"/>
          <w:spacing w:val="-6"/>
          <w:highlight w:val="none"/>
        </w:rPr>
      </w:pPr>
      <w:r>
        <w:rPr>
          <w:rFonts w:hint="eastAsia" w:ascii="宋体" w:hAnsi="宋体"/>
          <w:b/>
          <w:color w:val="auto"/>
          <w:spacing w:val="-6"/>
          <w:highlight w:val="none"/>
        </w:rPr>
        <w:t>2、所有证明材料复印件应清晰，应能体现签订时间、双方签字盖章等内容；</w:t>
      </w:r>
    </w:p>
    <w:p>
      <w:pPr>
        <w:ind w:firstLine="458"/>
        <w:rPr>
          <w:rFonts w:ascii="宋体" w:hAnsi="宋体"/>
          <w:b/>
          <w:color w:val="auto"/>
          <w:spacing w:val="-6"/>
          <w:highlight w:val="none"/>
        </w:rPr>
      </w:pPr>
      <w:r>
        <w:rPr>
          <w:rFonts w:hint="eastAsia" w:ascii="宋体" w:hAnsi="宋体"/>
          <w:b/>
          <w:color w:val="auto"/>
          <w:spacing w:val="-6"/>
          <w:highlight w:val="none"/>
        </w:rPr>
        <w:t>3、投标人应在不涉及商业秘密的前提下尽可能提供详细的复印件内容。</w:t>
      </w:r>
    </w:p>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ind w:firstLine="480"/>
        <w:rPr>
          <w:color w:val="auto"/>
          <w:highlight w:val="none"/>
        </w:rPr>
      </w:pPr>
      <w:r>
        <w:rPr>
          <w:rFonts w:hint="eastAsia"/>
          <w:color w:val="auto"/>
          <w:highlight w:val="none"/>
        </w:rPr>
        <w:br w:type="page"/>
      </w:r>
    </w:p>
    <w:p>
      <w:pPr>
        <w:pStyle w:val="6"/>
        <w:rPr>
          <w:rFonts w:ascii="宋体" w:hAnsi="宋体" w:cs="宋体"/>
          <w:color w:val="auto"/>
          <w:highlight w:val="none"/>
        </w:rPr>
      </w:pPr>
      <w:r>
        <w:rPr>
          <w:rFonts w:hint="eastAsia" w:ascii="宋体" w:hAnsi="宋体" w:cs="宋体"/>
          <w:color w:val="auto"/>
          <w:highlight w:val="none"/>
        </w:rPr>
        <w:t>附件十五 质保期满后备品备件的配置清单</w:t>
      </w:r>
    </w:p>
    <w:p>
      <w:pPr>
        <w:ind w:firstLine="480"/>
        <w:rPr>
          <w:color w:val="auto"/>
          <w:highlight w:val="none"/>
        </w:rPr>
      </w:pPr>
    </w:p>
    <w:p>
      <w:pPr>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质保期满后备品备件的配置清单</w:t>
      </w:r>
    </w:p>
    <w:tbl>
      <w:tblPr>
        <w:tblStyle w:val="39"/>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r>
              <w:rPr>
                <w:rFonts w:hint="eastAsia" w:ascii="宋体" w:hAnsi="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r>
              <w:rPr>
                <w:rFonts w:ascii="宋体" w:eastAsia="宋体"/>
                <w:b/>
                <w:color w:val="auto"/>
                <w:highlight w:val="none"/>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r>
              <w:rPr>
                <w:rFonts w:ascii="宋体" w:eastAsia="宋体"/>
                <w:b/>
                <w:color w:val="auto"/>
                <w:kern w:val="2"/>
                <w:highlight w:val="none"/>
              </w:rPr>
              <w:t>单价</w:t>
            </w: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r>
              <w:rPr>
                <w:rFonts w:ascii="宋体" w:eastAsia="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ascii="宋体" w:hAnsi="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noWrap/>
            <w:vAlign w:val="center"/>
          </w:tcPr>
          <w:p>
            <w:pPr>
              <w:pStyle w:val="127"/>
              <w:widowControl w:val="0"/>
              <w:spacing w:before="0" w:beforeAutospacing="0" w:after="0" w:afterAutospacing="0"/>
              <w:rPr>
                <w:rFonts w:hint="default" w:ascii="宋体" w:eastAsia="宋体"/>
                <w:b/>
                <w:color w:val="auto"/>
                <w:kern w:val="2"/>
                <w:highlight w:val="none"/>
              </w:rPr>
            </w:pPr>
          </w:p>
        </w:tc>
      </w:tr>
    </w:tbl>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color w:val="auto"/>
          <w:highlight w:val="none"/>
        </w:rPr>
      </w:pPr>
      <w:r>
        <w:rPr>
          <w:rFonts w:hint="eastAsia"/>
          <w:color w:val="auto"/>
          <w:highlight w:val="none"/>
        </w:rPr>
        <w:br w:type="page"/>
      </w:r>
    </w:p>
    <w:bookmarkEnd w:id="82"/>
    <w:bookmarkEnd w:id="83"/>
    <w:bookmarkEnd w:id="84"/>
    <w:bookmarkEnd w:id="85"/>
    <w:bookmarkEnd w:id="86"/>
    <w:bookmarkEnd w:id="87"/>
    <w:bookmarkEnd w:id="88"/>
    <w:bookmarkEnd w:id="89"/>
    <w:p>
      <w:pPr>
        <w:pStyle w:val="6"/>
        <w:rPr>
          <w:rFonts w:ascii="宋体" w:hAnsi="宋体" w:cs="宋体"/>
          <w:color w:val="auto"/>
          <w:highlight w:val="none"/>
        </w:rPr>
      </w:pPr>
      <w:r>
        <w:rPr>
          <w:rFonts w:hint="eastAsia" w:ascii="宋体" w:hAnsi="宋体" w:cs="宋体"/>
          <w:color w:val="auto"/>
          <w:highlight w:val="none"/>
        </w:rPr>
        <w:t>附件十六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312"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r>
        <w:rPr>
          <w:rFonts w:hint="eastAsia" w:ascii="宋体" w:hAnsi="宋体" w:cs="宋体"/>
          <w:color w:val="auto"/>
          <w:highlight w:val="none"/>
          <w:u w:val="single"/>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footerReference r:id="rId21"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MT Extra">
    <w:panose1 w:val="05050102010205020202"/>
    <w:charset w:val="00"/>
    <w:family w:val="decorative"/>
    <w:pitch w:val="default"/>
    <w:sig w:usb0="80000000" w:usb1="00000000" w:usb2="00000000" w:usb3="00000000" w:csb0="00000000" w:csb1="00000000"/>
  </w:font>
  <w:font w:name="Agilent TT Cond">
    <w:altName w:val="Calibri"/>
    <w:panose1 w:val="00000000000000000000"/>
    <w:charset w:val="00"/>
    <w:family w:val="swiss"/>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3120;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TbS&#10;7dgAAAAMAQAADwAAAAAAAAABACAAAAAiAAAAZHJzL2Rvd25yZXYueG1sUEsBAhQAFAAAAAgAh07i&#10;QGuA+IGwAQAATAMAAA4AAAAAAAAAAQAgAAAAJwEAAGRycy9lMm9Eb2MueG1sUEsFBgAAAAAGAAYA&#10;WQEAAEkFA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47</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TgVWK8BAABN&#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49</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127KrgEAAE0D&#10;AAAOAAAAAAAAAAEAIAAAAB4BAABkcnMvZTJvRG9jLnhtbFBLBQYAAAAABgAGAFkBAAA+BQ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5Kv3LABAABMAwAADgAAAGRycy9lMm9Eb2MueG1srVPNahsxEL4H+g5C&#10;91prQ4N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9k+iX3pw+xxrTbgIlp+OYHnPPoj+jMsgcFNn9R&#10;EME4dnp36q4cEhH50Xw2n1cYEhgbL4jPXp8HiOm79JZko6GA4ytd5dubmA6pY0qu5vyVNqaM0Lh3&#10;DsTMHpa5HzhmKw2r4Sho5dsd6ulx8g11uJqUmGuHjc1LMhowGqvR2ATQ6w6pTQuvGL5u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OSr9y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l7zDu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q2q8BAABM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NhQH5bjFEe1/vOx//t7/eibTz7k/fYg1pj0FTEzDtR9wzqM/ojPLHhTY/EVB&#10;BOPY6d2pu3JIRORH89l8XmFIYGy8ID57fR4gpjvpLclGQwHHV7rKt19iOqSOKbma87famDJC4/5x&#10;IGb2sMz9wDFbaVgNR0Er3+5QT4+Tb6jD1aTE3DtsbF6S0YDRWI3GJoBed0htWnj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e/q2q8BAABM&#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86Xoq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69</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44</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i/>
        <w:iCs/>
        <w:sz w:val="24"/>
        <w:szCs w:val="24"/>
      </w:rPr>
    </w:pPr>
  </w:p>
  <w:p>
    <w:pPr>
      <w:pStyle w:val="25"/>
      <w:ind w:firstLine="0" w:firstLineChars="0"/>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4C5322"/>
    <w:multiLevelType w:val="singleLevel"/>
    <w:tmpl w:val="814C5322"/>
    <w:lvl w:ilvl="0" w:tentative="0">
      <w:start w:val="1"/>
      <w:numFmt w:val="decimal"/>
      <w:lvlText w:val="%1."/>
      <w:lvlJc w:val="left"/>
      <w:pPr>
        <w:tabs>
          <w:tab w:val="left" w:pos="312"/>
        </w:tabs>
      </w:pPr>
    </w:lvl>
  </w:abstractNum>
  <w:abstractNum w:abstractNumId="1">
    <w:nsid w:val="83A0C9B5"/>
    <w:multiLevelType w:val="singleLevel"/>
    <w:tmpl w:val="83A0C9B5"/>
    <w:lvl w:ilvl="0" w:tentative="0">
      <w:start w:val="13"/>
      <w:numFmt w:val="decimal"/>
      <w:suff w:val="space"/>
      <w:lvlText w:val="%1."/>
      <w:lvlJc w:val="left"/>
    </w:lvl>
  </w:abstractNum>
  <w:abstractNum w:abstractNumId="2">
    <w:nsid w:val="9A97B493"/>
    <w:multiLevelType w:val="singleLevel"/>
    <w:tmpl w:val="9A97B493"/>
    <w:lvl w:ilvl="0" w:tentative="0">
      <w:start w:val="1"/>
      <w:numFmt w:val="decimal"/>
      <w:lvlText w:val="(%1)"/>
      <w:lvlJc w:val="left"/>
      <w:pPr>
        <w:ind w:left="425" w:hanging="425"/>
      </w:pPr>
      <w:rPr>
        <w:rFonts w:hint="default"/>
      </w:rPr>
    </w:lvl>
  </w:abstractNum>
  <w:abstractNum w:abstractNumId="3">
    <w:nsid w:val="9B89128C"/>
    <w:multiLevelType w:val="singleLevel"/>
    <w:tmpl w:val="9B89128C"/>
    <w:lvl w:ilvl="0" w:tentative="0">
      <w:start w:val="1"/>
      <w:numFmt w:val="decimal"/>
      <w:suff w:val="nothing"/>
      <w:lvlText w:val="（%1）"/>
      <w:lvlJc w:val="left"/>
    </w:lvl>
  </w:abstractNum>
  <w:abstractNum w:abstractNumId="4">
    <w:nsid w:val="A523208E"/>
    <w:multiLevelType w:val="singleLevel"/>
    <w:tmpl w:val="A523208E"/>
    <w:lvl w:ilvl="0" w:tentative="0">
      <w:start w:val="1"/>
      <w:numFmt w:val="decimal"/>
      <w:suff w:val="nothing"/>
      <w:lvlText w:val="（%1）"/>
      <w:lvlJc w:val="left"/>
    </w:lvl>
  </w:abstractNum>
  <w:abstractNum w:abstractNumId="5">
    <w:nsid w:val="A52AF1D9"/>
    <w:multiLevelType w:val="multilevel"/>
    <w:tmpl w:val="A52AF1D9"/>
    <w:lvl w:ilvl="0" w:tentative="0">
      <w:start w:val="1"/>
      <w:numFmt w:val="decimal"/>
      <w:lvlText w:val="%1."/>
      <w:lvlJc w:val="left"/>
      <w:pPr>
        <w:ind w:left="420" w:hanging="420"/>
      </w:pPr>
      <w:rPr>
        <w:rFonts w:ascii="仿宋" w:hAnsi="仿宋" w:eastAsia="仿宋"/>
        <w:b w:val="0"/>
        <w:sz w:val="24"/>
        <w:szCs w:val="24"/>
      </w:rPr>
    </w:lvl>
    <w:lvl w:ilvl="1" w:tentative="0">
      <w:start w:val="1"/>
      <w:numFmt w:val="decimal"/>
      <w:suff w:val="space"/>
      <w:lvlText w:val="%2)"/>
      <w:lvlJc w:val="left"/>
      <w:pPr>
        <w:ind w:left="624"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ABE61FD2"/>
    <w:multiLevelType w:val="singleLevel"/>
    <w:tmpl w:val="ABE61FD2"/>
    <w:lvl w:ilvl="0" w:tentative="0">
      <w:start w:val="1"/>
      <w:numFmt w:val="decimal"/>
      <w:lvlText w:val="%1."/>
      <w:lvlJc w:val="left"/>
      <w:pPr>
        <w:tabs>
          <w:tab w:val="left" w:pos="312"/>
        </w:tabs>
      </w:pPr>
    </w:lvl>
  </w:abstractNum>
  <w:abstractNum w:abstractNumId="7">
    <w:nsid w:val="B780C782"/>
    <w:multiLevelType w:val="singleLevel"/>
    <w:tmpl w:val="B780C782"/>
    <w:lvl w:ilvl="0" w:tentative="0">
      <w:start w:val="1"/>
      <w:numFmt w:val="decimal"/>
      <w:lvlText w:val="%1."/>
      <w:lvlJc w:val="left"/>
      <w:pPr>
        <w:tabs>
          <w:tab w:val="left" w:pos="312"/>
        </w:tabs>
      </w:pPr>
    </w:lvl>
  </w:abstractNum>
  <w:abstractNum w:abstractNumId="8">
    <w:nsid w:val="B9FECD7A"/>
    <w:multiLevelType w:val="singleLevel"/>
    <w:tmpl w:val="B9FECD7A"/>
    <w:lvl w:ilvl="0" w:tentative="0">
      <w:start w:val="1"/>
      <w:numFmt w:val="decimal"/>
      <w:lvlText w:val="(%1)"/>
      <w:lvlJc w:val="left"/>
      <w:pPr>
        <w:ind w:left="425" w:hanging="425"/>
      </w:pPr>
      <w:rPr>
        <w:rFonts w:hint="default"/>
      </w:rPr>
    </w:lvl>
  </w:abstractNum>
  <w:abstractNum w:abstractNumId="9">
    <w:nsid w:val="BB30D5A7"/>
    <w:multiLevelType w:val="singleLevel"/>
    <w:tmpl w:val="BB30D5A7"/>
    <w:lvl w:ilvl="0" w:tentative="0">
      <w:start w:val="1"/>
      <w:numFmt w:val="decimal"/>
      <w:lvlText w:val="%1."/>
      <w:lvlJc w:val="left"/>
      <w:pPr>
        <w:ind w:left="425" w:hanging="425"/>
      </w:pPr>
      <w:rPr>
        <w:rFonts w:hint="default"/>
      </w:rPr>
    </w:lvl>
  </w:abstractNum>
  <w:abstractNum w:abstractNumId="10">
    <w:nsid w:val="C9753911"/>
    <w:multiLevelType w:val="singleLevel"/>
    <w:tmpl w:val="C9753911"/>
    <w:lvl w:ilvl="0" w:tentative="0">
      <w:start w:val="1"/>
      <w:numFmt w:val="decimal"/>
      <w:suff w:val="nothing"/>
      <w:lvlText w:val="（%1）"/>
      <w:lvlJc w:val="left"/>
    </w:lvl>
  </w:abstractNum>
  <w:abstractNum w:abstractNumId="11">
    <w:nsid w:val="C9B6B4D9"/>
    <w:multiLevelType w:val="singleLevel"/>
    <w:tmpl w:val="C9B6B4D9"/>
    <w:lvl w:ilvl="0" w:tentative="0">
      <w:start w:val="1"/>
      <w:numFmt w:val="decimal"/>
      <w:lvlText w:val="%1."/>
      <w:lvlJc w:val="left"/>
      <w:pPr>
        <w:tabs>
          <w:tab w:val="left" w:pos="312"/>
        </w:tabs>
      </w:pPr>
    </w:lvl>
  </w:abstractNum>
  <w:abstractNum w:abstractNumId="12">
    <w:nsid w:val="D9CA0DB3"/>
    <w:multiLevelType w:val="singleLevel"/>
    <w:tmpl w:val="D9CA0DB3"/>
    <w:lvl w:ilvl="0" w:tentative="0">
      <w:start w:val="1"/>
      <w:numFmt w:val="chineseCounting"/>
      <w:suff w:val="nothing"/>
      <w:lvlText w:val="%1、"/>
      <w:lvlJc w:val="left"/>
      <w:rPr>
        <w:rFonts w:hint="eastAsia"/>
      </w:rPr>
    </w:lvl>
  </w:abstractNum>
  <w:abstractNum w:abstractNumId="13">
    <w:nsid w:val="EC2A4EFD"/>
    <w:multiLevelType w:val="singleLevel"/>
    <w:tmpl w:val="EC2A4EFD"/>
    <w:lvl w:ilvl="0" w:tentative="0">
      <w:start w:val="1"/>
      <w:numFmt w:val="decimal"/>
      <w:lvlText w:val="%1."/>
      <w:lvlJc w:val="left"/>
      <w:pPr>
        <w:ind w:left="425" w:hanging="425"/>
      </w:pPr>
      <w:rPr>
        <w:rFonts w:hint="default"/>
      </w:rPr>
    </w:lvl>
  </w:abstractNum>
  <w:abstractNum w:abstractNumId="14">
    <w:nsid w:val="F56FB2D7"/>
    <w:multiLevelType w:val="singleLevel"/>
    <w:tmpl w:val="F56FB2D7"/>
    <w:lvl w:ilvl="0" w:tentative="0">
      <w:start w:val="4"/>
      <w:numFmt w:val="decimal"/>
      <w:suff w:val="nothing"/>
      <w:lvlText w:val="（%1）"/>
      <w:lvlJc w:val="left"/>
    </w:lvl>
  </w:abstractNum>
  <w:abstractNum w:abstractNumId="15">
    <w:nsid w:val="F6D5FE6C"/>
    <w:multiLevelType w:val="singleLevel"/>
    <w:tmpl w:val="F6D5FE6C"/>
    <w:lvl w:ilvl="0" w:tentative="0">
      <w:start w:val="1"/>
      <w:numFmt w:val="decimal"/>
      <w:lvlText w:val="%1."/>
      <w:lvlJc w:val="left"/>
      <w:pPr>
        <w:ind w:left="425" w:hanging="425"/>
      </w:pPr>
      <w:rPr>
        <w:rFonts w:hint="default"/>
      </w:rPr>
    </w:lvl>
  </w:abstractNum>
  <w:abstractNum w:abstractNumId="16">
    <w:nsid w:val="F81965CD"/>
    <w:multiLevelType w:val="singleLevel"/>
    <w:tmpl w:val="F81965CD"/>
    <w:lvl w:ilvl="0" w:tentative="0">
      <w:start w:val="1"/>
      <w:numFmt w:val="decimal"/>
      <w:suff w:val="nothing"/>
      <w:lvlText w:val="（%1）"/>
      <w:lvlJc w:val="left"/>
    </w:lvl>
  </w:abstractNum>
  <w:abstractNum w:abstractNumId="17">
    <w:nsid w:val="F882CDA0"/>
    <w:multiLevelType w:val="singleLevel"/>
    <w:tmpl w:val="F882CDA0"/>
    <w:lvl w:ilvl="0" w:tentative="0">
      <w:start w:val="1"/>
      <w:numFmt w:val="decimal"/>
      <w:lvlText w:val="%1."/>
      <w:lvlJc w:val="left"/>
      <w:pPr>
        <w:tabs>
          <w:tab w:val="left" w:pos="312"/>
        </w:tabs>
      </w:pPr>
    </w:lvl>
  </w:abstractNum>
  <w:abstractNum w:abstractNumId="18">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9">
    <w:nsid w:val="02B09879"/>
    <w:multiLevelType w:val="singleLevel"/>
    <w:tmpl w:val="02B09879"/>
    <w:lvl w:ilvl="0" w:tentative="0">
      <w:start w:val="1"/>
      <w:numFmt w:val="decimal"/>
      <w:suff w:val="nothing"/>
      <w:lvlText w:val="（%1）"/>
      <w:lvlJc w:val="left"/>
    </w:lvl>
  </w:abstractNum>
  <w:abstractNum w:abstractNumId="20">
    <w:nsid w:val="0BE88E13"/>
    <w:multiLevelType w:val="singleLevel"/>
    <w:tmpl w:val="0BE88E13"/>
    <w:lvl w:ilvl="0" w:tentative="0">
      <w:start w:val="1"/>
      <w:numFmt w:val="decimal"/>
      <w:lvlText w:val="%1."/>
      <w:lvlJc w:val="left"/>
      <w:pPr>
        <w:tabs>
          <w:tab w:val="left" w:pos="312"/>
        </w:tabs>
      </w:pPr>
    </w:lvl>
  </w:abstractNum>
  <w:abstractNum w:abstractNumId="21">
    <w:nsid w:val="179EAB26"/>
    <w:multiLevelType w:val="singleLevel"/>
    <w:tmpl w:val="179EAB26"/>
    <w:lvl w:ilvl="0" w:tentative="0">
      <w:start w:val="5"/>
      <w:numFmt w:val="decimal"/>
      <w:suff w:val="nothing"/>
      <w:lvlText w:val="%1、"/>
      <w:lvlJc w:val="left"/>
    </w:lvl>
  </w:abstractNum>
  <w:abstractNum w:abstractNumId="22">
    <w:nsid w:val="2B1A34EB"/>
    <w:multiLevelType w:val="multilevel"/>
    <w:tmpl w:val="2B1A34EB"/>
    <w:lvl w:ilvl="0" w:tentative="0">
      <w:start w:val="1"/>
      <w:numFmt w:val="decimal"/>
      <w:lvlText w:val="%1."/>
      <w:lvlJc w:val="left"/>
      <w:pPr>
        <w:ind w:left="420" w:hanging="420"/>
      </w:pPr>
    </w:lvl>
    <w:lvl w:ilvl="1" w:tentative="0">
      <w:start w:val="1"/>
      <w:numFmt w:val="lowerLetter"/>
      <w:pStyle w:val="138"/>
      <w:lvlText w:val="%2)"/>
      <w:lvlJc w:val="left"/>
      <w:pPr>
        <w:ind w:left="840" w:hanging="420"/>
      </w:pPr>
    </w:lvl>
    <w:lvl w:ilvl="2" w:tentative="0">
      <w:start w:val="1"/>
      <w:numFmt w:val="lowerRoman"/>
      <w:pStyle w:val="13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376A3B4"/>
    <w:multiLevelType w:val="singleLevel"/>
    <w:tmpl w:val="3376A3B4"/>
    <w:lvl w:ilvl="0" w:tentative="0">
      <w:start w:val="1"/>
      <w:numFmt w:val="decimal"/>
      <w:lvlText w:val="%1."/>
      <w:lvlJc w:val="left"/>
      <w:pPr>
        <w:tabs>
          <w:tab w:val="left" w:pos="312"/>
        </w:tabs>
      </w:pPr>
    </w:lvl>
  </w:abstractNum>
  <w:abstractNum w:abstractNumId="24">
    <w:nsid w:val="3734733B"/>
    <w:multiLevelType w:val="multilevel"/>
    <w:tmpl w:val="3734733B"/>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3B303744"/>
    <w:multiLevelType w:val="singleLevel"/>
    <w:tmpl w:val="3B303744"/>
    <w:lvl w:ilvl="0" w:tentative="0">
      <w:start w:val="1"/>
      <w:numFmt w:val="decimal"/>
      <w:lvlText w:val="%1."/>
      <w:lvlJc w:val="left"/>
      <w:pPr>
        <w:tabs>
          <w:tab w:val="left" w:pos="312"/>
        </w:tabs>
      </w:pPr>
    </w:lvl>
  </w:abstractNum>
  <w:abstractNum w:abstractNumId="26">
    <w:nsid w:val="4068A08C"/>
    <w:multiLevelType w:val="singleLevel"/>
    <w:tmpl w:val="4068A08C"/>
    <w:lvl w:ilvl="0" w:tentative="0">
      <w:start w:val="1"/>
      <w:numFmt w:val="decimal"/>
      <w:lvlText w:val="%1."/>
      <w:lvlJc w:val="left"/>
      <w:pPr>
        <w:ind w:left="425" w:hanging="425"/>
      </w:pPr>
      <w:rPr>
        <w:rFonts w:hint="default"/>
      </w:rPr>
    </w:lvl>
  </w:abstractNum>
  <w:abstractNum w:abstractNumId="27">
    <w:nsid w:val="41C5F5BA"/>
    <w:multiLevelType w:val="singleLevel"/>
    <w:tmpl w:val="41C5F5BA"/>
    <w:lvl w:ilvl="0" w:tentative="0">
      <w:start w:val="1"/>
      <w:numFmt w:val="decimal"/>
      <w:lvlText w:val="%1."/>
      <w:lvlJc w:val="left"/>
      <w:pPr>
        <w:ind w:left="425" w:hanging="425"/>
      </w:pPr>
      <w:rPr>
        <w:rFonts w:hint="default"/>
      </w:rPr>
    </w:lvl>
  </w:abstractNum>
  <w:abstractNum w:abstractNumId="28">
    <w:nsid w:val="491B5D3B"/>
    <w:multiLevelType w:val="multilevel"/>
    <w:tmpl w:val="491B5D3B"/>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BFDDBFF"/>
    <w:multiLevelType w:val="singleLevel"/>
    <w:tmpl w:val="4BFDDBFF"/>
    <w:lvl w:ilvl="0" w:tentative="0">
      <w:start w:val="1"/>
      <w:numFmt w:val="decimal"/>
      <w:suff w:val="nothing"/>
      <w:lvlText w:val="（%1）"/>
      <w:lvlJc w:val="left"/>
    </w:lvl>
  </w:abstractNum>
  <w:abstractNum w:abstractNumId="30">
    <w:nsid w:val="4F2332B8"/>
    <w:multiLevelType w:val="multilevel"/>
    <w:tmpl w:val="4F2332B8"/>
    <w:lvl w:ilvl="0" w:tentative="0">
      <w:start w:val="1"/>
      <w:numFmt w:val="decimal"/>
      <w:lvlText w:val="%1."/>
      <w:lvlJc w:val="left"/>
      <w:pPr>
        <w:ind w:left="360" w:hanging="360"/>
      </w:pPr>
      <w:rPr>
        <w:rFonts w:hint="default" w:cs="Times New Roman"/>
      </w:rPr>
    </w:lvl>
    <w:lvl w:ilvl="1" w:tentative="0">
      <w:start w:val="1"/>
      <w:numFmt w:val="decimal"/>
      <w:isLgl/>
      <w:lvlText w:val="%1.%2"/>
      <w:lvlJc w:val="left"/>
      <w:pPr>
        <w:ind w:left="372" w:hanging="372"/>
      </w:pPr>
      <w:rPr>
        <w:rFonts w:hint="default" w:cs="Times New Roman"/>
        <w:b w:val="0"/>
        <w:sz w:val="22"/>
      </w:rPr>
    </w:lvl>
    <w:lvl w:ilvl="2" w:tentative="0">
      <w:start w:val="1"/>
      <w:numFmt w:val="decimal"/>
      <w:isLgl/>
      <w:lvlText w:val="%1.%2.%3"/>
      <w:lvlJc w:val="left"/>
      <w:pPr>
        <w:ind w:left="720" w:hanging="720"/>
      </w:pPr>
      <w:rPr>
        <w:rFonts w:hint="default" w:cs="Times New Roman"/>
      </w:rPr>
    </w:lvl>
    <w:lvl w:ilvl="3" w:tentative="0">
      <w:start w:val="1"/>
      <w:numFmt w:val="decimal"/>
      <w:isLgl/>
      <w:lvlText w:val="%1.%2.%3.%4"/>
      <w:lvlJc w:val="left"/>
      <w:pPr>
        <w:ind w:left="720" w:hanging="720"/>
      </w:pPr>
      <w:rPr>
        <w:rFonts w:hint="default" w:cs="Times New Roman"/>
      </w:rPr>
    </w:lvl>
    <w:lvl w:ilvl="4" w:tentative="0">
      <w:start w:val="1"/>
      <w:numFmt w:val="decimal"/>
      <w:isLgl/>
      <w:lvlText w:val="%1.%2.%3.%4.%5"/>
      <w:lvlJc w:val="left"/>
      <w:pPr>
        <w:ind w:left="1080" w:hanging="1080"/>
      </w:pPr>
      <w:rPr>
        <w:rFonts w:hint="default" w:cs="Times New Roman"/>
      </w:rPr>
    </w:lvl>
    <w:lvl w:ilvl="5" w:tentative="0">
      <w:start w:val="1"/>
      <w:numFmt w:val="decimal"/>
      <w:isLgl/>
      <w:lvlText w:val="%1.%2.%3.%4.%5.%6"/>
      <w:lvlJc w:val="left"/>
      <w:pPr>
        <w:ind w:left="1080" w:hanging="1080"/>
      </w:pPr>
      <w:rPr>
        <w:rFonts w:hint="default" w:cs="Times New Roman"/>
      </w:rPr>
    </w:lvl>
    <w:lvl w:ilvl="6" w:tentative="0">
      <w:start w:val="1"/>
      <w:numFmt w:val="decimal"/>
      <w:isLgl/>
      <w:lvlText w:val="%1.%2.%3.%4.%5.%6.%7"/>
      <w:lvlJc w:val="left"/>
      <w:pPr>
        <w:ind w:left="1080" w:hanging="1080"/>
      </w:pPr>
      <w:rPr>
        <w:rFonts w:hint="default" w:cs="Times New Roman"/>
      </w:rPr>
    </w:lvl>
    <w:lvl w:ilvl="7" w:tentative="0">
      <w:start w:val="1"/>
      <w:numFmt w:val="decimal"/>
      <w:isLgl/>
      <w:lvlText w:val="%1.%2.%3.%4.%5.%6.%7.%8"/>
      <w:lvlJc w:val="left"/>
      <w:pPr>
        <w:ind w:left="1440" w:hanging="1440"/>
      </w:pPr>
      <w:rPr>
        <w:rFonts w:hint="default" w:cs="Times New Roman"/>
      </w:rPr>
    </w:lvl>
    <w:lvl w:ilvl="8" w:tentative="0">
      <w:start w:val="1"/>
      <w:numFmt w:val="decimal"/>
      <w:isLgl/>
      <w:lvlText w:val="%1.%2.%3.%4.%5.%6.%7.%8.%9"/>
      <w:lvlJc w:val="left"/>
      <w:pPr>
        <w:ind w:left="1440" w:hanging="1440"/>
      </w:pPr>
      <w:rPr>
        <w:rFonts w:hint="default" w:cs="Times New Roman"/>
      </w:rPr>
    </w:lvl>
  </w:abstractNum>
  <w:abstractNum w:abstractNumId="31">
    <w:nsid w:val="61FC8B23"/>
    <w:multiLevelType w:val="singleLevel"/>
    <w:tmpl w:val="61FC8B23"/>
    <w:lvl w:ilvl="0" w:tentative="0">
      <w:start w:val="10"/>
      <w:numFmt w:val="decimal"/>
      <w:lvlText w:val="%1."/>
      <w:lvlJc w:val="left"/>
      <w:pPr>
        <w:tabs>
          <w:tab w:val="left" w:pos="312"/>
        </w:tabs>
      </w:pPr>
    </w:lvl>
  </w:abstractNum>
  <w:abstractNum w:abstractNumId="32">
    <w:nsid w:val="641723FF"/>
    <w:multiLevelType w:val="multilevel"/>
    <w:tmpl w:val="641723F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680432A5"/>
    <w:multiLevelType w:val="multilevel"/>
    <w:tmpl w:val="680432A5"/>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DE11870"/>
    <w:multiLevelType w:val="multilevel"/>
    <w:tmpl w:val="6DE1187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6DFBE4A8"/>
    <w:multiLevelType w:val="multilevel"/>
    <w:tmpl w:val="6DFBE4A8"/>
    <w:lvl w:ilvl="0" w:tentative="0">
      <w:start w:val="7"/>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6">
    <w:nsid w:val="6F2F40C8"/>
    <w:multiLevelType w:val="multilevel"/>
    <w:tmpl w:val="6F2F40C8"/>
    <w:lvl w:ilvl="0" w:tentative="0">
      <w:start w:val="1"/>
      <w:numFmt w:val="decimal"/>
      <w:lvlText w:val="%1."/>
      <w:lvlJc w:val="left"/>
      <w:pPr>
        <w:ind w:left="420" w:hanging="420"/>
      </w:pPr>
      <w:rPr>
        <w:rFonts w:ascii="仿宋" w:hAnsi="仿宋" w:eastAsia="仿宋"/>
        <w:b w:val="0"/>
        <w:sz w:val="24"/>
        <w:szCs w:val="24"/>
      </w:rPr>
    </w:lvl>
    <w:lvl w:ilvl="1" w:tentative="0">
      <w:start w:val="1"/>
      <w:numFmt w:val="decimal"/>
      <w:suff w:val="space"/>
      <w:lvlText w:val="%2)"/>
      <w:lvlJc w:val="left"/>
      <w:pPr>
        <w:ind w:left="624" w:hanging="204"/>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CFC1FA2"/>
    <w:multiLevelType w:val="multilevel"/>
    <w:tmpl w:val="7CFC1FA2"/>
    <w:lvl w:ilvl="0" w:tentative="0">
      <w:start w:val="2"/>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E76112D"/>
    <w:multiLevelType w:val="singleLevel"/>
    <w:tmpl w:val="7E76112D"/>
    <w:lvl w:ilvl="0" w:tentative="0">
      <w:start w:val="9"/>
      <w:numFmt w:val="decimal"/>
      <w:lvlText w:val="%1."/>
      <w:lvlJc w:val="left"/>
      <w:pPr>
        <w:tabs>
          <w:tab w:val="left" w:pos="312"/>
        </w:tabs>
      </w:pPr>
    </w:lvl>
  </w:abstractNum>
  <w:num w:numId="1">
    <w:abstractNumId w:val="32"/>
  </w:num>
  <w:num w:numId="2">
    <w:abstractNumId w:val="34"/>
  </w:num>
  <w:num w:numId="3">
    <w:abstractNumId w:val="22"/>
  </w:num>
  <w:num w:numId="4">
    <w:abstractNumId w:val="37"/>
  </w:num>
  <w:num w:numId="5">
    <w:abstractNumId w:val="30"/>
  </w:num>
  <w:num w:numId="6">
    <w:abstractNumId w:val="21"/>
  </w:num>
  <w:num w:numId="7">
    <w:abstractNumId w:val="28"/>
  </w:num>
  <w:num w:numId="8">
    <w:abstractNumId w:val="1"/>
  </w:num>
  <w:num w:numId="9">
    <w:abstractNumId w:val="33"/>
  </w:num>
  <w:num w:numId="10">
    <w:abstractNumId w:val="9"/>
  </w:num>
  <w:num w:numId="11">
    <w:abstractNumId w:val="23"/>
  </w:num>
  <w:num w:numId="12">
    <w:abstractNumId w:val="35"/>
  </w:num>
  <w:num w:numId="13">
    <w:abstractNumId w:val="11"/>
  </w:num>
  <w:num w:numId="14">
    <w:abstractNumId w:val="25"/>
  </w:num>
  <w:num w:numId="15">
    <w:abstractNumId w:val="31"/>
  </w:num>
  <w:num w:numId="16">
    <w:abstractNumId w:val="17"/>
  </w:num>
  <w:num w:numId="17">
    <w:abstractNumId w:val="20"/>
  </w:num>
  <w:num w:numId="18">
    <w:abstractNumId w:val="0"/>
  </w:num>
  <w:num w:numId="19">
    <w:abstractNumId w:val="7"/>
  </w:num>
  <w:num w:numId="20">
    <w:abstractNumId w:val="6"/>
  </w:num>
  <w:num w:numId="21">
    <w:abstractNumId w:val="24"/>
  </w:num>
  <w:num w:numId="22">
    <w:abstractNumId w:val="13"/>
  </w:num>
  <w:num w:numId="23">
    <w:abstractNumId w:val="36"/>
  </w:num>
  <w:num w:numId="24">
    <w:abstractNumId w:val="5"/>
  </w:num>
  <w:num w:numId="25">
    <w:abstractNumId w:val="27"/>
  </w:num>
  <w:num w:numId="26">
    <w:abstractNumId w:val="29"/>
  </w:num>
  <w:num w:numId="27">
    <w:abstractNumId w:val="2"/>
  </w:num>
  <w:num w:numId="28">
    <w:abstractNumId w:val="8"/>
  </w:num>
  <w:num w:numId="29">
    <w:abstractNumId w:val="14"/>
  </w:num>
  <w:num w:numId="30">
    <w:abstractNumId w:val="4"/>
  </w:num>
  <w:num w:numId="31">
    <w:abstractNumId w:val="38"/>
  </w:num>
  <w:num w:numId="32">
    <w:abstractNumId w:val="18"/>
  </w:num>
  <w:num w:numId="33">
    <w:abstractNumId w:val="15"/>
  </w:num>
  <w:num w:numId="34">
    <w:abstractNumId w:val="12"/>
  </w:num>
  <w:num w:numId="35">
    <w:abstractNumId w:val="16"/>
  </w:num>
  <w:num w:numId="36">
    <w:abstractNumId w:val="3"/>
  </w:num>
  <w:num w:numId="37">
    <w:abstractNumId w:val="10"/>
  </w:num>
  <w:num w:numId="38">
    <w:abstractNumId w:val="1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BE"/>
    <w:rsid w:val="0000025A"/>
    <w:rsid w:val="00001CC1"/>
    <w:rsid w:val="000035F4"/>
    <w:rsid w:val="000037F0"/>
    <w:rsid w:val="00011585"/>
    <w:rsid w:val="00011721"/>
    <w:rsid w:val="000138E8"/>
    <w:rsid w:val="00015136"/>
    <w:rsid w:val="0001591E"/>
    <w:rsid w:val="00015D46"/>
    <w:rsid w:val="00017060"/>
    <w:rsid w:val="00025F4A"/>
    <w:rsid w:val="00026A02"/>
    <w:rsid w:val="00030E74"/>
    <w:rsid w:val="00031467"/>
    <w:rsid w:val="0003254D"/>
    <w:rsid w:val="00032E39"/>
    <w:rsid w:val="00034AF2"/>
    <w:rsid w:val="00036D69"/>
    <w:rsid w:val="000404A4"/>
    <w:rsid w:val="00041C10"/>
    <w:rsid w:val="00042B4E"/>
    <w:rsid w:val="00042EB3"/>
    <w:rsid w:val="00045487"/>
    <w:rsid w:val="00047DBA"/>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1E04"/>
    <w:rsid w:val="0006421C"/>
    <w:rsid w:val="00064331"/>
    <w:rsid w:val="0006488C"/>
    <w:rsid w:val="00066FF5"/>
    <w:rsid w:val="00071D0C"/>
    <w:rsid w:val="00073925"/>
    <w:rsid w:val="000745F6"/>
    <w:rsid w:val="0007498A"/>
    <w:rsid w:val="00080A0E"/>
    <w:rsid w:val="00083904"/>
    <w:rsid w:val="000839F9"/>
    <w:rsid w:val="00084E75"/>
    <w:rsid w:val="00085C83"/>
    <w:rsid w:val="00087CAA"/>
    <w:rsid w:val="0009057D"/>
    <w:rsid w:val="00090D1F"/>
    <w:rsid w:val="00090FF6"/>
    <w:rsid w:val="0009249B"/>
    <w:rsid w:val="00092B40"/>
    <w:rsid w:val="00093CEB"/>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250F"/>
    <w:rsid w:val="000C2DAF"/>
    <w:rsid w:val="000C30E1"/>
    <w:rsid w:val="000C37C9"/>
    <w:rsid w:val="000C3EDD"/>
    <w:rsid w:val="000C5DBD"/>
    <w:rsid w:val="000C61EA"/>
    <w:rsid w:val="000C7CF9"/>
    <w:rsid w:val="000D2071"/>
    <w:rsid w:val="000D331A"/>
    <w:rsid w:val="000D434F"/>
    <w:rsid w:val="000D4D96"/>
    <w:rsid w:val="000D57D1"/>
    <w:rsid w:val="000D788C"/>
    <w:rsid w:val="000D7C23"/>
    <w:rsid w:val="000D7FEC"/>
    <w:rsid w:val="000E1852"/>
    <w:rsid w:val="000E1EAA"/>
    <w:rsid w:val="000E1EEA"/>
    <w:rsid w:val="000E3154"/>
    <w:rsid w:val="000E77D9"/>
    <w:rsid w:val="000F1211"/>
    <w:rsid w:val="000F12CA"/>
    <w:rsid w:val="000F3297"/>
    <w:rsid w:val="000F444F"/>
    <w:rsid w:val="000F4473"/>
    <w:rsid w:val="000F58E0"/>
    <w:rsid w:val="000F6102"/>
    <w:rsid w:val="000F64D5"/>
    <w:rsid w:val="0010080A"/>
    <w:rsid w:val="0010157A"/>
    <w:rsid w:val="00105C5E"/>
    <w:rsid w:val="0011181B"/>
    <w:rsid w:val="0011211A"/>
    <w:rsid w:val="00112B47"/>
    <w:rsid w:val="00113108"/>
    <w:rsid w:val="001148C6"/>
    <w:rsid w:val="00115094"/>
    <w:rsid w:val="001200F0"/>
    <w:rsid w:val="001241A6"/>
    <w:rsid w:val="0012516A"/>
    <w:rsid w:val="001266F7"/>
    <w:rsid w:val="00127E3B"/>
    <w:rsid w:val="00134E45"/>
    <w:rsid w:val="0013546A"/>
    <w:rsid w:val="0013792B"/>
    <w:rsid w:val="00140519"/>
    <w:rsid w:val="001443A3"/>
    <w:rsid w:val="0014477F"/>
    <w:rsid w:val="00144E22"/>
    <w:rsid w:val="00145FC1"/>
    <w:rsid w:val="00153938"/>
    <w:rsid w:val="00154FA3"/>
    <w:rsid w:val="001568D6"/>
    <w:rsid w:val="00160020"/>
    <w:rsid w:val="001603BB"/>
    <w:rsid w:val="00160F1A"/>
    <w:rsid w:val="001613F6"/>
    <w:rsid w:val="00161AB9"/>
    <w:rsid w:val="00162AC7"/>
    <w:rsid w:val="00163CF5"/>
    <w:rsid w:val="00163D3F"/>
    <w:rsid w:val="00164038"/>
    <w:rsid w:val="0016454E"/>
    <w:rsid w:val="00164B17"/>
    <w:rsid w:val="00166F73"/>
    <w:rsid w:val="0017056C"/>
    <w:rsid w:val="001719C5"/>
    <w:rsid w:val="0017260C"/>
    <w:rsid w:val="0017509E"/>
    <w:rsid w:val="00176C19"/>
    <w:rsid w:val="0018166E"/>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7ED"/>
    <w:rsid w:val="001A0A45"/>
    <w:rsid w:val="001A1F36"/>
    <w:rsid w:val="001A24A9"/>
    <w:rsid w:val="001A5AD8"/>
    <w:rsid w:val="001A6141"/>
    <w:rsid w:val="001A6304"/>
    <w:rsid w:val="001B0AEC"/>
    <w:rsid w:val="001B4607"/>
    <w:rsid w:val="001B4ACA"/>
    <w:rsid w:val="001B6084"/>
    <w:rsid w:val="001B68D8"/>
    <w:rsid w:val="001C031F"/>
    <w:rsid w:val="001C09CF"/>
    <w:rsid w:val="001C0A17"/>
    <w:rsid w:val="001C42CD"/>
    <w:rsid w:val="001C441C"/>
    <w:rsid w:val="001C4DD1"/>
    <w:rsid w:val="001C4DE4"/>
    <w:rsid w:val="001C597A"/>
    <w:rsid w:val="001C6E99"/>
    <w:rsid w:val="001C78A7"/>
    <w:rsid w:val="001D25B6"/>
    <w:rsid w:val="001D2793"/>
    <w:rsid w:val="001D6435"/>
    <w:rsid w:val="001D67D5"/>
    <w:rsid w:val="001E4700"/>
    <w:rsid w:val="001E6BA1"/>
    <w:rsid w:val="001F1D58"/>
    <w:rsid w:val="001F2B86"/>
    <w:rsid w:val="001F3632"/>
    <w:rsid w:val="001F3B28"/>
    <w:rsid w:val="001F4CF7"/>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7FC"/>
    <w:rsid w:val="00242A24"/>
    <w:rsid w:val="002434B6"/>
    <w:rsid w:val="002447B7"/>
    <w:rsid w:val="00244F98"/>
    <w:rsid w:val="002452ED"/>
    <w:rsid w:val="0025013F"/>
    <w:rsid w:val="002510A9"/>
    <w:rsid w:val="0025343D"/>
    <w:rsid w:val="002539A2"/>
    <w:rsid w:val="00254E25"/>
    <w:rsid w:val="0026022B"/>
    <w:rsid w:val="0026685D"/>
    <w:rsid w:val="0026688A"/>
    <w:rsid w:val="00266937"/>
    <w:rsid w:val="00267608"/>
    <w:rsid w:val="00267B23"/>
    <w:rsid w:val="00267CCE"/>
    <w:rsid w:val="00270528"/>
    <w:rsid w:val="002714CF"/>
    <w:rsid w:val="0027327B"/>
    <w:rsid w:val="00277B3D"/>
    <w:rsid w:val="00281B19"/>
    <w:rsid w:val="00282430"/>
    <w:rsid w:val="00283762"/>
    <w:rsid w:val="00283A95"/>
    <w:rsid w:val="00283DBA"/>
    <w:rsid w:val="00287043"/>
    <w:rsid w:val="002A0C08"/>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C27"/>
    <w:rsid w:val="002D4D08"/>
    <w:rsid w:val="002D6292"/>
    <w:rsid w:val="002D6B47"/>
    <w:rsid w:val="002D7284"/>
    <w:rsid w:val="002D73CD"/>
    <w:rsid w:val="002E2BEE"/>
    <w:rsid w:val="002E3D90"/>
    <w:rsid w:val="002E41DB"/>
    <w:rsid w:val="002E5D7F"/>
    <w:rsid w:val="002F3D28"/>
    <w:rsid w:val="002F603A"/>
    <w:rsid w:val="002F7862"/>
    <w:rsid w:val="003034D2"/>
    <w:rsid w:val="00305221"/>
    <w:rsid w:val="00306305"/>
    <w:rsid w:val="0030784B"/>
    <w:rsid w:val="00311320"/>
    <w:rsid w:val="00312109"/>
    <w:rsid w:val="00313C6B"/>
    <w:rsid w:val="00314DA9"/>
    <w:rsid w:val="00317FBE"/>
    <w:rsid w:val="0032495C"/>
    <w:rsid w:val="00325B6A"/>
    <w:rsid w:val="0032613D"/>
    <w:rsid w:val="00327F94"/>
    <w:rsid w:val="00330393"/>
    <w:rsid w:val="0033149C"/>
    <w:rsid w:val="00335987"/>
    <w:rsid w:val="00335C34"/>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86948"/>
    <w:rsid w:val="003977AF"/>
    <w:rsid w:val="00397FCB"/>
    <w:rsid w:val="003A17D7"/>
    <w:rsid w:val="003A21C4"/>
    <w:rsid w:val="003A3CE9"/>
    <w:rsid w:val="003A52B2"/>
    <w:rsid w:val="003B0382"/>
    <w:rsid w:val="003B532D"/>
    <w:rsid w:val="003C0650"/>
    <w:rsid w:val="003C0693"/>
    <w:rsid w:val="003C0BA8"/>
    <w:rsid w:val="003C2BAA"/>
    <w:rsid w:val="003C430F"/>
    <w:rsid w:val="003C6FB6"/>
    <w:rsid w:val="003C70A4"/>
    <w:rsid w:val="003D111D"/>
    <w:rsid w:val="003D1A1D"/>
    <w:rsid w:val="003D441F"/>
    <w:rsid w:val="003D655A"/>
    <w:rsid w:val="003D71E5"/>
    <w:rsid w:val="003D79E7"/>
    <w:rsid w:val="003E284D"/>
    <w:rsid w:val="003E2AB8"/>
    <w:rsid w:val="003E3474"/>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276E1"/>
    <w:rsid w:val="0043001F"/>
    <w:rsid w:val="004341AA"/>
    <w:rsid w:val="00434380"/>
    <w:rsid w:val="00434685"/>
    <w:rsid w:val="00434C28"/>
    <w:rsid w:val="0043524F"/>
    <w:rsid w:val="00436270"/>
    <w:rsid w:val="00437350"/>
    <w:rsid w:val="0043763D"/>
    <w:rsid w:val="00440896"/>
    <w:rsid w:val="00445CFD"/>
    <w:rsid w:val="004468DE"/>
    <w:rsid w:val="00447A63"/>
    <w:rsid w:val="0045047B"/>
    <w:rsid w:val="00451AEA"/>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09BF"/>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850"/>
    <w:rsid w:val="004D29FF"/>
    <w:rsid w:val="004D41E3"/>
    <w:rsid w:val="004D626B"/>
    <w:rsid w:val="004D6905"/>
    <w:rsid w:val="004D6F27"/>
    <w:rsid w:val="004D7553"/>
    <w:rsid w:val="004D7C4C"/>
    <w:rsid w:val="004E0F9A"/>
    <w:rsid w:val="004E21F5"/>
    <w:rsid w:val="004E33DC"/>
    <w:rsid w:val="004E4CB6"/>
    <w:rsid w:val="004E6BA4"/>
    <w:rsid w:val="004E7787"/>
    <w:rsid w:val="004F0B26"/>
    <w:rsid w:val="004F0FCE"/>
    <w:rsid w:val="004F1426"/>
    <w:rsid w:val="004F1662"/>
    <w:rsid w:val="004F202B"/>
    <w:rsid w:val="004F3507"/>
    <w:rsid w:val="004F3EE4"/>
    <w:rsid w:val="004F42C4"/>
    <w:rsid w:val="004F5477"/>
    <w:rsid w:val="004F7E99"/>
    <w:rsid w:val="004F7FE8"/>
    <w:rsid w:val="0050000D"/>
    <w:rsid w:val="00500645"/>
    <w:rsid w:val="00503042"/>
    <w:rsid w:val="00503AA5"/>
    <w:rsid w:val="00504E09"/>
    <w:rsid w:val="00516827"/>
    <w:rsid w:val="00516B63"/>
    <w:rsid w:val="005206C3"/>
    <w:rsid w:val="00521C7F"/>
    <w:rsid w:val="00522CAF"/>
    <w:rsid w:val="00526755"/>
    <w:rsid w:val="00526C59"/>
    <w:rsid w:val="00530109"/>
    <w:rsid w:val="005306D3"/>
    <w:rsid w:val="00530BB1"/>
    <w:rsid w:val="0053248E"/>
    <w:rsid w:val="00532B43"/>
    <w:rsid w:val="00533248"/>
    <w:rsid w:val="005345B3"/>
    <w:rsid w:val="00537959"/>
    <w:rsid w:val="00541249"/>
    <w:rsid w:val="00541A28"/>
    <w:rsid w:val="00542FC6"/>
    <w:rsid w:val="00543072"/>
    <w:rsid w:val="005507B7"/>
    <w:rsid w:val="00550B70"/>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27"/>
    <w:rsid w:val="0058503E"/>
    <w:rsid w:val="0058622B"/>
    <w:rsid w:val="00587A9A"/>
    <w:rsid w:val="00592E21"/>
    <w:rsid w:val="00594717"/>
    <w:rsid w:val="005964EA"/>
    <w:rsid w:val="005A002A"/>
    <w:rsid w:val="005A010C"/>
    <w:rsid w:val="005A130D"/>
    <w:rsid w:val="005A1ACF"/>
    <w:rsid w:val="005A1B31"/>
    <w:rsid w:val="005A2AE3"/>
    <w:rsid w:val="005A7C49"/>
    <w:rsid w:val="005B6142"/>
    <w:rsid w:val="005C0C63"/>
    <w:rsid w:val="005C0E04"/>
    <w:rsid w:val="005C19C0"/>
    <w:rsid w:val="005C6222"/>
    <w:rsid w:val="005C6B3F"/>
    <w:rsid w:val="005D46CD"/>
    <w:rsid w:val="005D4A96"/>
    <w:rsid w:val="005D5E1B"/>
    <w:rsid w:val="005D6091"/>
    <w:rsid w:val="005E654C"/>
    <w:rsid w:val="005E7132"/>
    <w:rsid w:val="005F26B4"/>
    <w:rsid w:val="005F2D62"/>
    <w:rsid w:val="005F2D88"/>
    <w:rsid w:val="005F4D1B"/>
    <w:rsid w:val="005F4FB8"/>
    <w:rsid w:val="005F652D"/>
    <w:rsid w:val="005F6C39"/>
    <w:rsid w:val="005F77AA"/>
    <w:rsid w:val="005F79FD"/>
    <w:rsid w:val="00600341"/>
    <w:rsid w:val="0060094B"/>
    <w:rsid w:val="00602E21"/>
    <w:rsid w:val="00603612"/>
    <w:rsid w:val="0060380C"/>
    <w:rsid w:val="00603FC0"/>
    <w:rsid w:val="0060545C"/>
    <w:rsid w:val="00605622"/>
    <w:rsid w:val="00605AF4"/>
    <w:rsid w:val="00606E06"/>
    <w:rsid w:val="00607AAE"/>
    <w:rsid w:val="00610AEB"/>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5B0E"/>
    <w:rsid w:val="006566B1"/>
    <w:rsid w:val="0065776D"/>
    <w:rsid w:val="0066048B"/>
    <w:rsid w:val="006607A7"/>
    <w:rsid w:val="00664BDC"/>
    <w:rsid w:val="00665DFD"/>
    <w:rsid w:val="006730EC"/>
    <w:rsid w:val="006767DD"/>
    <w:rsid w:val="00682742"/>
    <w:rsid w:val="0068504F"/>
    <w:rsid w:val="006856E4"/>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B6A8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7C2"/>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3480E"/>
    <w:rsid w:val="00734F3F"/>
    <w:rsid w:val="00740830"/>
    <w:rsid w:val="00741369"/>
    <w:rsid w:val="007420A7"/>
    <w:rsid w:val="00742819"/>
    <w:rsid w:val="00742F45"/>
    <w:rsid w:val="0074328C"/>
    <w:rsid w:val="007454AA"/>
    <w:rsid w:val="00746A57"/>
    <w:rsid w:val="00747F36"/>
    <w:rsid w:val="00751D07"/>
    <w:rsid w:val="00751D77"/>
    <w:rsid w:val="00754AB3"/>
    <w:rsid w:val="007554E9"/>
    <w:rsid w:val="00756186"/>
    <w:rsid w:val="007647EC"/>
    <w:rsid w:val="00764B4B"/>
    <w:rsid w:val="007657EC"/>
    <w:rsid w:val="00765AAB"/>
    <w:rsid w:val="00770034"/>
    <w:rsid w:val="00770C70"/>
    <w:rsid w:val="00771DDD"/>
    <w:rsid w:val="0077232D"/>
    <w:rsid w:val="00772782"/>
    <w:rsid w:val="00772DBD"/>
    <w:rsid w:val="007739F2"/>
    <w:rsid w:val="0077469F"/>
    <w:rsid w:val="00774992"/>
    <w:rsid w:val="00776477"/>
    <w:rsid w:val="007805C7"/>
    <w:rsid w:val="00781678"/>
    <w:rsid w:val="0078362A"/>
    <w:rsid w:val="0078649D"/>
    <w:rsid w:val="00790F04"/>
    <w:rsid w:val="0079359D"/>
    <w:rsid w:val="007941ED"/>
    <w:rsid w:val="00794800"/>
    <w:rsid w:val="007949C9"/>
    <w:rsid w:val="00797076"/>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B5087"/>
    <w:rsid w:val="007C15BB"/>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06EBA"/>
    <w:rsid w:val="00813D5B"/>
    <w:rsid w:val="008143A5"/>
    <w:rsid w:val="00814A75"/>
    <w:rsid w:val="008153C6"/>
    <w:rsid w:val="00816D37"/>
    <w:rsid w:val="0081763F"/>
    <w:rsid w:val="00817EFC"/>
    <w:rsid w:val="00820225"/>
    <w:rsid w:val="00824D2A"/>
    <w:rsid w:val="00825638"/>
    <w:rsid w:val="00826D80"/>
    <w:rsid w:val="00831D3E"/>
    <w:rsid w:val="00834967"/>
    <w:rsid w:val="00835A5B"/>
    <w:rsid w:val="00836D1E"/>
    <w:rsid w:val="0083798E"/>
    <w:rsid w:val="00837C31"/>
    <w:rsid w:val="0084192B"/>
    <w:rsid w:val="00841B4E"/>
    <w:rsid w:val="00841F1F"/>
    <w:rsid w:val="008447E2"/>
    <w:rsid w:val="00845A18"/>
    <w:rsid w:val="0084601B"/>
    <w:rsid w:val="00850352"/>
    <w:rsid w:val="00850D6C"/>
    <w:rsid w:val="00852693"/>
    <w:rsid w:val="008527E2"/>
    <w:rsid w:val="00852A18"/>
    <w:rsid w:val="00853B02"/>
    <w:rsid w:val="008540D8"/>
    <w:rsid w:val="00854DBF"/>
    <w:rsid w:val="00854F0A"/>
    <w:rsid w:val="0085529A"/>
    <w:rsid w:val="008553F9"/>
    <w:rsid w:val="00856D3F"/>
    <w:rsid w:val="008571D4"/>
    <w:rsid w:val="00860099"/>
    <w:rsid w:val="00862E74"/>
    <w:rsid w:val="008630CF"/>
    <w:rsid w:val="00863205"/>
    <w:rsid w:val="00863AA6"/>
    <w:rsid w:val="00863E5C"/>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DCC"/>
    <w:rsid w:val="008B3EE4"/>
    <w:rsid w:val="008B4E9D"/>
    <w:rsid w:val="008B5DE4"/>
    <w:rsid w:val="008B63ED"/>
    <w:rsid w:val="008B72F5"/>
    <w:rsid w:val="008B7CD5"/>
    <w:rsid w:val="008B7DC8"/>
    <w:rsid w:val="008C3CCF"/>
    <w:rsid w:val="008C63E2"/>
    <w:rsid w:val="008C747E"/>
    <w:rsid w:val="008D0DFF"/>
    <w:rsid w:val="008D0E57"/>
    <w:rsid w:val="008D11C5"/>
    <w:rsid w:val="008D1CA5"/>
    <w:rsid w:val="008D2B04"/>
    <w:rsid w:val="008D3DC8"/>
    <w:rsid w:val="008D4A85"/>
    <w:rsid w:val="008D761B"/>
    <w:rsid w:val="008E071B"/>
    <w:rsid w:val="008E0F66"/>
    <w:rsid w:val="008E1797"/>
    <w:rsid w:val="008E62C8"/>
    <w:rsid w:val="008E67D2"/>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73"/>
    <w:rsid w:val="00917EF0"/>
    <w:rsid w:val="00921EB3"/>
    <w:rsid w:val="0092282C"/>
    <w:rsid w:val="00923A58"/>
    <w:rsid w:val="009249F8"/>
    <w:rsid w:val="00930BA8"/>
    <w:rsid w:val="00935C35"/>
    <w:rsid w:val="009361E1"/>
    <w:rsid w:val="0093785D"/>
    <w:rsid w:val="00940BBF"/>
    <w:rsid w:val="00943BC8"/>
    <w:rsid w:val="00944692"/>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93D"/>
    <w:rsid w:val="00965F40"/>
    <w:rsid w:val="00966CEF"/>
    <w:rsid w:val="00971572"/>
    <w:rsid w:val="0097252C"/>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22B8"/>
    <w:rsid w:val="009A3005"/>
    <w:rsid w:val="009A5355"/>
    <w:rsid w:val="009A627B"/>
    <w:rsid w:val="009A6D84"/>
    <w:rsid w:val="009A7882"/>
    <w:rsid w:val="009A7AE8"/>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3A16"/>
    <w:rsid w:val="009F4B23"/>
    <w:rsid w:val="009F4DCC"/>
    <w:rsid w:val="009F5A70"/>
    <w:rsid w:val="009F636D"/>
    <w:rsid w:val="00A02599"/>
    <w:rsid w:val="00A0280C"/>
    <w:rsid w:val="00A03400"/>
    <w:rsid w:val="00A06D5A"/>
    <w:rsid w:val="00A07964"/>
    <w:rsid w:val="00A101A3"/>
    <w:rsid w:val="00A1043F"/>
    <w:rsid w:val="00A12827"/>
    <w:rsid w:val="00A15FDB"/>
    <w:rsid w:val="00A208F6"/>
    <w:rsid w:val="00A26FA5"/>
    <w:rsid w:val="00A27D3E"/>
    <w:rsid w:val="00A27F2E"/>
    <w:rsid w:val="00A30680"/>
    <w:rsid w:val="00A31392"/>
    <w:rsid w:val="00A35E28"/>
    <w:rsid w:val="00A416A5"/>
    <w:rsid w:val="00A41CDC"/>
    <w:rsid w:val="00A4648E"/>
    <w:rsid w:val="00A4744B"/>
    <w:rsid w:val="00A47B0E"/>
    <w:rsid w:val="00A50315"/>
    <w:rsid w:val="00A51B5F"/>
    <w:rsid w:val="00A52FA5"/>
    <w:rsid w:val="00A558DC"/>
    <w:rsid w:val="00A55ABC"/>
    <w:rsid w:val="00A6086B"/>
    <w:rsid w:val="00A60970"/>
    <w:rsid w:val="00A61171"/>
    <w:rsid w:val="00A6337F"/>
    <w:rsid w:val="00A64FF4"/>
    <w:rsid w:val="00A71092"/>
    <w:rsid w:val="00A72D91"/>
    <w:rsid w:val="00A72EEC"/>
    <w:rsid w:val="00A767E4"/>
    <w:rsid w:val="00A775F2"/>
    <w:rsid w:val="00A7767F"/>
    <w:rsid w:val="00A825C8"/>
    <w:rsid w:val="00A82DC9"/>
    <w:rsid w:val="00A82E91"/>
    <w:rsid w:val="00A82F39"/>
    <w:rsid w:val="00A83F86"/>
    <w:rsid w:val="00A851FF"/>
    <w:rsid w:val="00A852A7"/>
    <w:rsid w:val="00A870A6"/>
    <w:rsid w:val="00A911BD"/>
    <w:rsid w:val="00A92DEE"/>
    <w:rsid w:val="00A93771"/>
    <w:rsid w:val="00A941EE"/>
    <w:rsid w:val="00A95E5E"/>
    <w:rsid w:val="00A95F9B"/>
    <w:rsid w:val="00A96504"/>
    <w:rsid w:val="00A97026"/>
    <w:rsid w:val="00AA0F8D"/>
    <w:rsid w:val="00AA36B8"/>
    <w:rsid w:val="00AA587A"/>
    <w:rsid w:val="00AB1F89"/>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35"/>
    <w:rsid w:val="00AE4371"/>
    <w:rsid w:val="00AE44AF"/>
    <w:rsid w:val="00AE45F5"/>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3C78"/>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54F"/>
    <w:rsid w:val="00B81E5E"/>
    <w:rsid w:val="00B8205F"/>
    <w:rsid w:val="00B83A8F"/>
    <w:rsid w:val="00B84D2E"/>
    <w:rsid w:val="00B86660"/>
    <w:rsid w:val="00B900EF"/>
    <w:rsid w:val="00B939AC"/>
    <w:rsid w:val="00B93C23"/>
    <w:rsid w:val="00B948A0"/>
    <w:rsid w:val="00B954D6"/>
    <w:rsid w:val="00B972D7"/>
    <w:rsid w:val="00B97D4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224C"/>
    <w:rsid w:val="00BD23F2"/>
    <w:rsid w:val="00BD4341"/>
    <w:rsid w:val="00BD6EF0"/>
    <w:rsid w:val="00BE073B"/>
    <w:rsid w:val="00BE1E83"/>
    <w:rsid w:val="00BE2CD7"/>
    <w:rsid w:val="00BE30C3"/>
    <w:rsid w:val="00BE3E96"/>
    <w:rsid w:val="00BE4293"/>
    <w:rsid w:val="00BF3167"/>
    <w:rsid w:val="00BF4E44"/>
    <w:rsid w:val="00BF5EF7"/>
    <w:rsid w:val="00BF7CD7"/>
    <w:rsid w:val="00C028CC"/>
    <w:rsid w:val="00C02E8B"/>
    <w:rsid w:val="00C12049"/>
    <w:rsid w:val="00C1235B"/>
    <w:rsid w:val="00C137F6"/>
    <w:rsid w:val="00C13BEA"/>
    <w:rsid w:val="00C1406E"/>
    <w:rsid w:val="00C1483A"/>
    <w:rsid w:val="00C14A02"/>
    <w:rsid w:val="00C15DA0"/>
    <w:rsid w:val="00C16FE9"/>
    <w:rsid w:val="00C178DB"/>
    <w:rsid w:val="00C201E6"/>
    <w:rsid w:val="00C2148D"/>
    <w:rsid w:val="00C22097"/>
    <w:rsid w:val="00C228FA"/>
    <w:rsid w:val="00C25B05"/>
    <w:rsid w:val="00C26519"/>
    <w:rsid w:val="00C26FC4"/>
    <w:rsid w:val="00C2766D"/>
    <w:rsid w:val="00C27CFE"/>
    <w:rsid w:val="00C305EB"/>
    <w:rsid w:val="00C30EEC"/>
    <w:rsid w:val="00C3196C"/>
    <w:rsid w:val="00C369E9"/>
    <w:rsid w:val="00C376AD"/>
    <w:rsid w:val="00C37E7D"/>
    <w:rsid w:val="00C416C2"/>
    <w:rsid w:val="00C426AE"/>
    <w:rsid w:val="00C4274A"/>
    <w:rsid w:val="00C43374"/>
    <w:rsid w:val="00C433DB"/>
    <w:rsid w:val="00C438F0"/>
    <w:rsid w:val="00C45722"/>
    <w:rsid w:val="00C47B02"/>
    <w:rsid w:val="00C53349"/>
    <w:rsid w:val="00C53C68"/>
    <w:rsid w:val="00C54AAD"/>
    <w:rsid w:val="00C564FA"/>
    <w:rsid w:val="00C5747E"/>
    <w:rsid w:val="00C57981"/>
    <w:rsid w:val="00C60E09"/>
    <w:rsid w:val="00C62C73"/>
    <w:rsid w:val="00C6573F"/>
    <w:rsid w:val="00C66F21"/>
    <w:rsid w:val="00C72AF5"/>
    <w:rsid w:val="00C75619"/>
    <w:rsid w:val="00C75EF1"/>
    <w:rsid w:val="00C7782D"/>
    <w:rsid w:val="00C82B0E"/>
    <w:rsid w:val="00C82F96"/>
    <w:rsid w:val="00C8440C"/>
    <w:rsid w:val="00C860FF"/>
    <w:rsid w:val="00C90A69"/>
    <w:rsid w:val="00C90D0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4710"/>
    <w:rsid w:val="00CB6D94"/>
    <w:rsid w:val="00CB6F74"/>
    <w:rsid w:val="00CB716F"/>
    <w:rsid w:val="00CC1016"/>
    <w:rsid w:val="00CC1641"/>
    <w:rsid w:val="00CC1A04"/>
    <w:rsid w:val="00CC1B34"/>
    <w:rsid w:val="00CC1B6E"/>
    <w:rsid w:val="00CC2E4E"/>
    <w:rsid w:val="00CC38DF"/>
    <w:rsid w:val="00CC3E73"/>
    <w:rsid w:val="00CC4133"/>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412A"/>
    <w:rsid w:val="00D044BD"/>
    <w:rsid w:val="00D05127"/>
    <w:rsid w:val="00D0616B"/>
    <w:rsid w:val="00D10DE4"/>
    <w:rsid w:val="00D115A1"/>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6D8B"/>
    <w:rsid w:val="00D57109"/>
    <w:rsid w:val="00D57421"/>
    <w:rsid w:val="00D575E6"/>
    <w:rsid w:val="00D61D10"/>
    <w:rsid w:val="00D62454"/>
    <w:rsid w:val="00D70AC4"/>
    <w:rsid w:val="00D74CF3"/>
    <w:rsid w:val="00D7640B"/>
    <w:rsid w:val="00D77E6B"/>
    <w:rsid w:val="00D818E5"/>
    <w:rsid w:val="00D822A3"/>
    <w:rsid w:val="00D8342B"/>
    <w:rsid w:val="00D83B39"/>
    <w:rsid w:val="00D84923"/>
    <w:rsid w:val="00D865C6"/>
    <w:rsid w:val="00D870D4"/>
    <w:rsid w:val="00D9046D"/>
    <w:rsid w:val="00D91581"/>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49AD"/>
    <w:rsid w:val="00DE4CFC"/>
    <w:rsid w:val="00DE5E1C"/>
    <w:rsid w:val="00DE6680"/>
    <w:rsid w:val="00DE74C7"/>
    <w:rsid w:val="00DE7EBE"/>
    <w:rsid w:val="00DF0ECA"/>
    <w:rsid w:val="00DF2D86"/>
    <w:rsid w:val="00DF4044"/>
    <w:rsid w:val="00DF6A10"/>
    <w:rsid w:val="00E00EA5"/>
    <w:rsid w:val="00E0462E"/>
    <w:rsid w:val="00E059D1"/>
    <w:rsid w:val="00E061C1"/>
    <w:rsid w:val="00E06CCA"/>
    <w:rsid w:val="00E116B6"/>
    <w:rsid w:val="00E1516B"/>
    <w:rsid w:val="00E1632D"/>
    <w:rsid w:val="00E16DE7"/>
    <w:rsid w:val="00E16F67"/>
    <w:rsid w:val="00E20612"/>
    <w:rsid w:val="00E221EF"/>
    <w:rsid w:val="00E27ED1"/>
    <w:rsid w:val="00E30ACB"/>
    <w:rsid w:val="00E32B9F"/>
    <w:rsid w:val="00E33708"/>
    <w:rsid w:val="00E33D15"/>
    <w:rsid w:val="00E35027"/>
    <w:rsid w:val="00E36879"/>
    <w:rsid w:val="00E37772"/>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4CEB"/>
    <w:rsid w:val="00E8502D"/>
    <w:rsid w:val="00E8545D"/>
    <w:rsid w:val="00E864DD"/>
    <w:rsid w:val="00E86E4B"/>
    <w:rsid w:val="00E873D5"/>
    <w:rsid w:val="00E90B0A"/>
    <w:rsid w:val="00E926BB"/>
    <w:rsid w:val="00E928D9"/>
    <w:rsid w:val="00E93C39"/>
    <w:rsid w:val="00E945CE"/>
    <w:rsid w:val="00E946AD"/>
    <w:rsid w:val="00E9697F"/>
    <w:rsid w:val="00E97BB5"/>
    <w:rsid w:val="00EA2074"/>
    <w:rsid w:val="00EA3335"/>
    <w:rsid w:val="00EA33AB"/>
    <w:rsid w:val="00EA3A6C"/>
    <w:rsid w:val="00EA6445"/>
    <w:rsid w:val="00EA773C"/>
    <w:rsid w:val="00EA78B6"/>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2F2"/>
    <w:rsid w:val="00EE4578"/>
    <w:rsid w:val="00EE47DC"/>
    <w:rsid w:val="00EF0786"/>
    <w:rsid w:val="00EF0B21"/>
    <w:rsid w:val="00EF2236"/>
    <w:rsid w:val="00EF34D3"/>
    <w:rsid w:val="00EF3E8B"/>
    <w:rsid w:val="00EF498F"/>
    <w:rsid w:val="00EF4F5D"/>
    <w:rsid w:val="00EF78A8"/>
    <w:rsid w:val="00F000C6"/>
    <w:rsid w:val="00F006BD"/>
    <w:rsid w:val="00F013B5"/>
    <w:rsid w:val="00F01936"/>
    <w:rsid w:val="00F05EC5"/>
    <w:rsid w:val="00F10401"/>
    <w:rsid w:val="00F15BDE"/>
    <w:rsid w:val="00F16CB9"/>
    <w:rsid w:val="00F17DAE"/>
    <w:rsid w:val="00F20EFD"/>
    <w:rsid w:val="00F25157"/>
    <w:rsid w:val="00F266D4"/>
    <w:rsid w:val="00F31F60"/>
    <w:rsid w:val="00F33890"/>
    <w:rsid w:val="00F33B48"/>
    <w:rsid w:val="00F34962"/>
    <w:rsid w:val="00F40F18"/>
    <w:rsid w:val="00F4120E"/>
    <w:rsid w:val="00F4128D"/>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189"/>
    <w:rsid w:val="00F627DC"/>
    <w:rsid w:val="00F629C7"/>
    <w:rsid w:val="00F63C23"/>
    <w:rsid w:val="00F655E3"/>
    <w:rsid w:val="00F70DE1"/>
    <w:rsid w:val="00F715F2"/>
    <w:rsid w:val="00F721E7"/>
    <w:rsid w:val="00F7362C"/>
    <w:rsid w:val="00F756C6"/>
    <w:rsid w:val="00F77980"/>
    <w:rsid w:val="00F779AA"/>
    <w:rsid w:val="00F81742"/>
    <w:rsid w:val="00F82AF1"/>
    <w:rsid w:val="00F83187"/>
    <w:rsid w:val="00F84082"/>
    <w:rsid w:val="00F86BA5"/>
    <w:rsid w:val="00F87C39"/>
    <w:rsid w:val="00F902D3"/>
    <w:rsid w:val="00F905B6"/>
    <w:rsid w:val="00F93A82"/>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D7D"/>
    <w:rsid w:val="00FC3F8F"/>
    <w:rsid w:val="00FC7C01"/>
    <w:rsid w:val="00FD0855"/>
    <w:rsid w:val="00FD0ED0"/>
    <w:rsid w:val="00FD1990"/>
    <w:rsid w:val="00FD1EC4"/>
    <w:rsid w:val="00FD5B33"/>
    <w:rsid w:val="00FD76AE"/>
    <w:rsid w:val="00FE166B"/>
    <w:rsid w:val="00FE1A60"/>
    <w:rsid w:val="00FE34AF"/>
    <w:rsid w:val="00FE3BF2"/>
    <w:rsid w:val="00FE6CE4"/>
    <w:rsid w:val="00FF1927"/>
    <w:rsid w:val="00FF1B75"/>
    <w:rsid w:val="00FF2A23"/>
    <w:rsid w:val="00FF2EAE"/>
    <w:rsid w:val="00FF3154"/>
    <w:rsid w:val="00FF5002"/>
    <w:rsid w:val="00FF60BC"/>
    <w:rsid w:val="00FF6519"/>
    <w:rsid w:val="01A01AFA"/>
    <w:rsid w:val="01A9153E"/>
    <w:rsid w:val="01CB5453"/>
    <w:rsid w:val="02132159"/>
    <w:rsid w:val="0269067C"/>
    <w:rsid w:val="02F01C71"/>
    <w:rsid w:val="03210061"/>
    <w:rsid w:val="03D21196"/>
    <w:rsid w:val="043B11C4"/>
    <w:rsid w:val="04415EE3"/>
    <w:rsid w:val="046B6B89"/>
    <w:rsid w:val="04DD2267"/>
    <w:rsid w:val="05273450"/>
    <w:rsid w:val="05B01605"/>
    <w:rsid w:val="05B83223"/>
    <w:rsid w:val="06322746"/>
    <w:rsid w:val="066A7233"/>
    <w:rsid w:val="06C705E9"/>
    <w:rsid w:val="06F32C4C"/>
    <w:rsid w:val="07221759"/>
    <w:rsid w:val="075323D6"/>
    <w:rsid w:val="07845EBA"/>
    <w:rsid w:val="078E7909"/>
    <w:rsid w:val="07996EB4"/>
    <w:rsid w:val="079E733B"/>
    <w:rsid w:val="07D945DC"/>
    <w:rsid w:val="082D669C"/>
    <w:rsid w:val="092D4ADB"/>
    <w:rsid w:val="09377810"/>
    <w:rsid w:val="094B0040"/>
    <w:rsid w:val="096D0679"/>
    <w:rsid w:val="0996153F"/>
    <w:rsid w:val="09A13A7B"/>
    <w:rsid w:val="09D51869"/>
    <w:rsid w:val="0A676977"/>
    <w:rsid w:val="0B5673B8"/>
    <w:rsid w:val="0BA33880"/>
    <w:rsid w:val="0BA7019A"/>
    <w:rsid w:val="0C032453"/>
    <w:rsid w:val="0CA8083B"/>
    <w:rsid w:val="0CD26A47"/>
    <w:rsid w:val="0CD81061"/>
    <w:rsid w:val="0D353A73"/>
    <w:rsid w:val="0DDE177A"/>
    <w:rsid w:val="0E3777BE"/>
    <w:rsid w:val="0ED85C5B"/>
    <w:rsid w:val="0EE43718"/>
    <w:rsid w:val="0EE90B68"/>
    <w:rsid w:val="0F333C8A"/>
    <w:rsid w:val="0F6D01FB"/>
    <w:rsid w:val="0FBC0D1A"/>
    <w:rsid w:val="102927A5"/>
    <w:rsid w:val="10475F34"/>
    <w:rsid w:val="104C58A2"/>
    <w:rsid w:val="11327805"/>
    <w:rsid w:val="11A842FF"/>
    <w:rsid w:val="120E0E48"/>
    <w:rsid w:val="123F4C14"/>
    <w:rsid w:val="12B1627A"/>
    <w:rsid w:val="12CB1F54"/>
    <w:rsid w:val="12F12AA5"/>
    <w:rsid w:val="137104DB"/>
    <w:rsid w:val="141A42B8"/>
    <w:rsid w:val="147A2410"/>
    <w:rsid w:val="14852C6F"/>
    <w:rsid w:val="15871E93"/>
    <w:rsid w:val="15F003C1"/>
    <w:rsid w:val="15F61009"/>
    <w:rsid w:val="15FC3115"/>
    <w:rsid w:val="16A01202"/>
    <w:rsid w:val="16DB4283"/>
    <w:rsid w:val="17445402"/>
    <w:rsid w:val="180F416C"/>
    <w:rsid w:val="18E00489"/>
    <w:rsid w:val="19282791"/>
    <w:rsid w:val="192C2D7A"/>
    <w:rsid w:val="19810432"/>
    <w:rsid w:val="19F45009"/>
    <w:rsid w:val="1A5E1863"/>
    <w:rsid w:val="1A7773CB"/>
    <w:rsid w:val="1AB83062"/>
    <w:rsid w:val="1AE23333"/>
    <w:rsid w:val="1B0613E2"/>
    <w:rsid w:val="1D7C153E"/>
    <w:rsid w:val="1E055C9E"/>
    <w:rsid w:val="1E646060"/>
    <w:rsid w:val="1E8D072E"/>
    <w:rsid w:val="1EE9006E"/>
    <w:rsid w:val="1F0136F8"/>
    <w:rsid w:val="1F8A0112"/>
    <w:rsid w:val="20015A6D"/>
    <w:rsid w:val="200C3AA1"/>
    <w:rsid w:val="20974516"/>
    <w:rsid w:val="20CB3924"/>
    <w:rsid w:val="21220D3E"/>
    <w:rsid w:val="214A3DCF"/>
    <w:rsid w:val="21BF72A1"/>
    <w:rsid w:val="21C3592D"/>
    <w:rsid w:val="21C55F53"/>
    <w:rsid w:val="21FC530F"/>
    <w:rsid w:val="225A2932"/>
    <w:rsid w:val="22A84E37"/>
    <w:rsid w:val="233A2E59"/>
    <w:rsid w:val="23594B35"/>
    <w:rsid w:val="23EA5690"/>
    <w:rsid w:val="244157BB"/>
    <w:rsid w:val="247240E4"/>
    <w:rsid w:val="24D54DB0"/>
    <w:rsid w:val="24F82B87"/>
    <w:rsid w:val="24FC1FAA"/>
    <w:rsid w:val="259879AE"/>
    <w:rsid w:val="25B476C9"/>
    <w:rsid w:val="25D27E7B"/>
    <w:rsid w:val="26700C16"/>
    <w:rsid w:val="2685715C"/>
    <w:rsid w:val="26FC58BF"/>
    <w:rsid w:val="27144105"/>
    <w:rsid w:val="274F2171"/>
    <w:rsid w:val="275E0F3C"/>
    <w:rsid w:val="27797DE0"/>
    <w:rsid w:val="27965B8B"/>
    <w:rsid w:val="282657F7"/>
    <w:rsid w:val="287F59EE"/>
    <w:rsid w:val="28FC2B68"/>
    <w:rsid w:val="29172B11"/>
    <w:rsid w:val="291C061C"/>
    <w:rsid w:val="29223179"/>
    <w:rsid w:val="29523F82"/>
    <w:rsid w:val="297F63E2"/>
    <w:rsid w:val="29AA4023"/>
    <w:rsid w:val="29DA0263"/>
    <w:rsid w:val="29FF498C"/>
    <w:rsid w:val="2A3B1864"/>
    <w:rsid w:val="2A456589"/>
    <w:rsid w:val="2A5B4807"/>
    <w:rsid w:val="2AC46B39"/>
    <w:rsid w:val="2ADE0C2E"/>
    <w:rsid w:val="2B16314B"/>
    <w:rsid w:val="2B53670E"/>
    <w:rsid w:val="2BA32ABB"/>
    <w:rsid w:val="2C0E274C"/>
    <w:rsid w:val="2C1864B9"/>
    <w:rsid w:val="2C3042EA"/>
    <w:rsid w:val="2C5466FC"/>
    <w:rsid w:val="2CE0472A"/>
    <w:rsid w:val="2CF51372"/>
    <w:rsid w:val="2D4477EE"/>
    <w:rsid w:val="2DC41DAC"/>
    <w:rsid w:val="2DD4300E"/>
    <w:rsid w:val="2E413F38"/>
    <w:rsid w:val="2EC14611"/>
    <w:rsid w:val="2FCC7A37"/>
    <w:rsid w:val="30300320"/>
    <w:rsid w:val="30531DC5"/>
    <w:rsid w:val="305E4CC4"/>
    <w:rsid w:val="311A734D"/>
    <w:rsid w:val="31EE4BAA"/>
    <w:rsid w:val="31F5436E"/>
    <w:rsid w:val="320107D3"/>
    <w:rsid w:val="32243194"/>
    <w:rsid w:val="3263631F"/>
    <w:rsid w:val="32A355BC"/>
    <w:rsid w:val="32C00D78"/>
    <w:rsid w:val="33222A9A"/>
    <w:rsid w:val="332D1CBE"/>
    <w:rsid w:val="33480719"/>
    <w:rsid w:val="339D5261"/>
    <w:rsid w:val="34821D01"/>
    <w:rsid w:val="34955EDA"/>
    <w:rsid w:val="349A334C"/>
    <w:rsid w:val="34CA78C0"/>
    <w:rsid w:val="35586223"/>
    <w:rsid w:val="35A418C4"/>
    <w:rsid w:val="360E290A"/>
    <w:rsid w:val="36253B84"/>
    <w:rsid w:val="36401A4A"/>
    <w:rsid w:val="368920CF"/>
    <w:rsid w:val="36FE5573"/>
    <w:rsid w:val="379F53BF"/>
    <w:rsid w:val="37BB39B9"/>
    <w:rsid w:val="37D078F7"/>
    <w:rsid w:val="37F76452"/>
    <w:rsid w:val="38735C94"/>
    <w:rsid w:val="38CE707C"/>
    <w:rsid w:val="38FB4AF5"/>
    <w:rsid w:val="39104B12"/>
    <w:rsid w:val="39C16CB7"/>
    <w:rsid w:val="3A1B760C"/>
    <w:rsid w:val="3A68233B"/>
    <w:rsid w:val="3B216441"/>
    <w:rsid w:val="3BFB42C7"/>
    <w:rsid w:val="3C21108C"/>
    <w:rsid w:val="3C54623C"/>
    <w:rsid w:val="3CAA46F7"/>
    <w:rsid w:val="3CE57D2D"/>
    <w:rsid w:val="3CE77BA9"/>
    <w:rsid w:val="3E217459"/>
    <w:rsid w:val="3E2805F5"/>
    <w:rsid w:val="3E2A4E15"/>
    <w:rsid w:val="3ED6751C"/>
    <w:rsid w:val="3F255D56"/>
    <w:rsid w:val="3F416A26"/>
    <w:rsid w:val="3FAC6794"/>
    <w:rsid w:val="3FEC5254"/>
    <w:rsid w:val="40223FBC"/>
    <w:rsid w:val="4082593F"/>
    <w:rsid w:val="41474308"/>
    <w:rsid w:val="41681941"/>
    <w:rsid w:val="41E47D60"/>
    <w:rsid w:val="42382E14"/>
    <w:rsid w:val="423D6569"/>
    <w:rsid w:val="42C06673"/>
    <w:rsid w:val="431261A5"/>
    <w:rsid w:val="433B6176"/>
    <w:rsid w:val="437B3C36"/>
    <w:rsid w:val="44560F40"/>
    <w:rsid w:val="44720E16"/>
    <w:rsid w:val="44B40707"/>
    <w:rsid w:val="44C41913"/>
    <w:rsid w:val="44D619FA"/>
    <w:rsid w:val="45E54860"/>
    <w:rsid w:val="466C6EAA"/>
    <w:rsid w:val="473D6B0A"/>
    <w:rsid w:val="481E4C35"/>
    <w:rsid w:val="48296C6B"/>
    <w:rsid w:val="482B2304"/>
    <w:rsid w:val="4853715D"/>
    <w:rsid w:val="48857FBF"/>
    <w:rsid w:val="48C21E3A"/>
    <w:rsid w:val="48DE11B8"/>
    <w:rsid w:val="491F55B7"/>
    <w:rsid w:val="49205619"/>
    <w:rsid w:val="4922547B"/>
    <w:rsid w:val="4981722D"/>
    <w:rsid w:val="49BE5030"/>
    <w:rsid w:val="49D54F3C"/>
    <w:rsid w:val="4A1F67CA"/>
    <w:rsid w:val="4AB7573A"/>
    <w:rsid w:val="4AC63524"/>
    <w:rsid w:val="4B8A72CF"/>
    <w:rsid w:val="4B963009"/>
    <w:rsid w:val="4B972445"/>
    <w:rsid w:val="4C1065B5"/>
    <w:rsid w:val="4C217E66"/>
    <w:rsid w:val="4C70027F"/>
    <w:rsid w:val="4CE93C16"/>
    <w:rsid w:val="4D943011"/>
    <w:rsid w:val="4DDF3F73"/>
    <w:rsid w:val="4E0653CB"/>
    <w:rsid w:val="4E7A3F24"/>
    <w:rsid w:val="4F8119B1"/>
    <w:rsid w:val="4F92238A"/>
    <w:rsid w:val="4FE062A3"/>
    <w:rsid w:val="4FE3303E"/>
    <w:rsid w:val="5043798C"/>
    <w:rsid w:val="50731BAF"/>
    <w:rsid w:val="50EB7D4E"/>
    <w:rsid w:val="510E0E2A"/>
    <w:rsid w:val="515B5BAE"/>
    <w:rsid w:val="51C25525"/>
    <w:rsid w:val="5298489A"/>
    <w:rsid w:val="529B1F2B"/>
    <w:rsid w:val="52E223AA"/>
    <w:rsid w:val="52F34B95"/>
    <w:rsid w:val="53576CBD"/>
    <w:rsid w:val="53FD089E"/>
    <w:rsid w:val="540369F0"/>
    <w:rsid w:val="54321EEE"/>
    <w:rsid w:val="54453B17"/>
    <w:rsid w:val="54555EFD"/>
    <w:rsid w:val="54765614"/>
    <w:rsid w:val="54963849"/>
    <w:rsid w:val="55062F17"/>
    <w:rsid w:val="55323649"/>
    <w:rsid w:val="556A2FD5"/>
    <w:rsid w:val="55746735"/>
    <w:rsid w:val="558E1659"/>
    <w:rsid w:val="55D634ED"/>
    <w:rsid w:val="56B332E9"/>
    <w:rsid w:val="571826D1"/>
    <w:rsid w:val="57733ECF"/>
    <w:rsid w:val="57C62622"/>
    <w:rsid w:val="585D5FB5"/>
    <w:rsid w:val="58674F92"/>
    <w:rsid w:val="58724A4D"/>
    <w:rsid w:val="593B0594"/>
    <w:rsid w:val="59BF3C49"/>
    <w:rsid w:val="5ACB2BAA"/>
    <w:rsid w:val="5B0C31E8"/>
    <w:rsid w:val="5B567A6D"/>
    <w:rsid w:val="5BC164C4"/>
    <w:rsid w:val="5BFF7AE6"/>
    <w:rsid w:val="5C0B789C"/>
    <w:rsid w:val="5C372F37"/>
    <w:rsid w:val="5C6526BE"/>
    <w:rsid w:val="5C927125"/>
    <w:rsid w:val="5CAB7727"/>
    <w:rsid w:val="5CC441E1"/>
    <w:rsid w:val="5CE760ED"/>
    <w:rsid w:val="5D311831"/>
    <w:rsid w:val="5D673A5A"/>
    <w:rsid w:val="5D8D5661"/>
    <w:rsid w:val="5E851E72"/>
    <w:rsid w:val="5EA14607"/>
    <w:rsid w:val="5EA62EF7"/>
    <w:rsid w:val="5EBA517D"/>
    <w:rsid w:val="5EEC4DA1"/>
    <w:rsid w:val="5F281498"/>
    <w:rsid w:val="5F2A05C2"/>
    <w:rsid w:val="5F5E09D2"/>
    <w:rsid w:val="5FFA1888"/>
    <w:rsid w:val="600960AF"/>
    <w:rsid w:val="60527BB4"/>
    <w:rsid w:val="62CE0974"/>
    <w:rsid w:val="62E0024A"/>
    <w:rsid w:val="63463232"/>
    <w:rsid w:val="64045B83"/>
    <w:rsid w:val="641724DD"/>
    <w:rsid w:val="644F09B6"/>
    <w:rsid w:val="648D32B0"/>
    <w:rsid w:val="648D4DC3"/>
    <w:rsid w:val="64937B40"/>
    <w:rsid w:val="64E414E0"/>
    <w:rsid w:val="64E63914"/>
    <w:rsid w:val="652C15E3"/>
    <w:rsid w:val="656B25DE"/>
    <w:rsid w:val="65991807"/>
    <w:rsid w:val="65A75D11"/>
    <w:rsid w:val="665F1C74"/>
    <w:rsid w:val="66730C34"/>
    <w:rsid w:val="66A43656"/>
    <w:rsid w:val="66BC280A"/>
    <w:rsid w:val="66C806BD"/>
    <w:rsid w:val="66EF7312"/>
    <w:rsid w:val="67822F4A"/>
    <w:rsid w:val="67A04650"/>
    <w:rsid w:val="680F0D3C"/>
    <w:rsid w:val="68F63773"/>
    <w:rsid w:val="69010518"/>
    <w:rsid w:val="691D2F8E"/>
    <w:rsid w:val="69440073"/>
    <w:rsid w:val="6AAC6B9E"/>
    <w:rsid w:val="6AF51DB1"/>
    <w:rsid w:val="6B0F2840"/>
    <w:rsid w:val="6B865118"/>
    <w:rsid w:val="6BA33D7F"/>
    <w:rsid w:val="6BC80A5C"/>
    <w:rsid w:val="6BF32268"/>
    <w:rsid w:val="6BFC2786"/>
    <w:rsid w:val="6C0D5A20"/>
    <w:rsid w:val="6C1E03F6"/>
    <w:rsid w:val="6C2C2459"/>
    <w:rsid w:val="6C887360"/>
    <w:rsid w:val="6D476454"/>
    <w:rsid w:val="6D9A6FB5"/>
    <w:rsid w:val="6E39307B"/>
    <w:rsid w:val="6E875598"/>
    <w:rsid w:val="6EE0783B"/>
    <w:rsid w:val="6F0247A4"/>
    <w:rsid w:val="6F2C13F5"/>
    <w:rsid w:val="6F6E15A0"/>
    <w:rsid w:val="70687FAC"/>
    <w:rsid w:val="70730315"/>
    <w:rsid w:val="709A551D"/>
    <w:rsid w:val="70E02698"/>
    <w:rsid w:val="71E963C9"/>
    <w:rsid w:val="724B2559"/>
    <w:rsid w:val="727B5CA9"/>
    <w:rsid w:val="727C1491"/>
    <w:rsid w:val="72A31F35"/>
    <w:rsid w:val="72B566B1"/>
    <w:rsid w:val="72BC0BF9"/>
    <w:rsid w:val="72D14842"/>
    <w:rsid w:val="73041021"/>
    <w:rsid w:val="730456BB"/>
    <w:rsid w:val="73CF5E6E"/>
    <w:rsid w:val="74425093"/>
    <w:rsid w:val="754E2BED"/>
    <w:rsid w:val="757C7A9C"/>
    <w:rsid w:val="758461E8"/>
    <w:rsid w:val="75DC2DB7"/>
    <w:rsid w:val="75E32B1D"/>
    <w:rsid w:val="766E3BB5"/>
    <w:rsid w:val="76C84CCD"/>
    <w:rsid w:val="76F01E2B"/>
    <w:rsid w:val="76F22868"/>
    <w:rsid w:val="77672932"/>
    <w:rsid w:val="78B06CFA"/>
    <w:rsid w:val="78E131DA"/>
    <w:rsid w:val="79316160"/>
    <w:rsid w:val="7A04734E"/>
    <w:rsid w:val="7AA01F48"/>
    <w:rsid w:val="7AF1010B"/>
    <w:rsid w:val="7B0A05EE"/>
    <w:rsid w:val="7C2562F7"/>
    <w:rsid w:val="7C4D5033"/>
    <w:rsid w:val="7C660A57"/>
    <w:rsid w:val="7C8B5068"/>
    <w:rsid w:val="7CEB0CBC"/>
    <w:rsid w:val="7CFB793B"/>
    <w:rsid w:val="7D95465E"/>
    <w:rsid w:val="7E192C83"/>
    <w:rsid w:val="7E9A116F"/>
    <w:rsid w:val="7EC915B8"/>
    <w:rsid w:val="7F753532"/>
    <w:rsid w:val="7FCD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link w:val="72"/>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link w:val="68"/>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link w:val="171"/>
    <w:qFormat/>
    <w:uiPriority w:val="0"/>
    <w:pPr>
      <w:keepNext/>
      <w:keepLines/>
      <w:ind w:firstLine="0" w:firstLineChars="0"/>
      <w:outlineLvl w:val="2"/>
    </w:pPr>
    <w:rPr>
      <w:b/>
      <w:bCs/>
      <w:szCs w:val="32"/>
    </w:rPr>
  </w:style>
  <w:style w:type="paragraph" w:styleId="7">
    <w:name w:val="heading 4"/>
    <w:basedOn w:val="1"/>
    <w:next w:val="1"/>
    <w:link w:val="97"/>
    <w:qFormat/>
    <w:uiPriority w:val="9"/>
    <w:pPr>
      <w:keepNext/>
      <w:keepLines/>
      <w:outlineLvl w:val="3"/>
    </w:pPr>
    <w:rPr>
      <w:rFonts w:ascii="Cambria" w:hAnsi="Cambria"/>
      <w:b/>
      <w:bCs/>
      <w:sz w:val="21"/>
      <w:szCs w:val="28"/>
    </w:rPr>
  </w:style>
  <w:style w:type="character" w:default="1" w:styleId="41">
    <w:name w:val="Default Paragraph Font"/>
    <w:semiHidden/>
    <w:unhideWhenUsed/>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61"/>
    <w:unhideWhenUsed/>
    <w:qFormat/>
    <w:uiPriority w:val="0"/>
    <w:pPr>
      <w:spacing w:line="240" w:lineRule="auto"/>
      <w:ind w:firstLine="420" w:firstLineChars="0"/>
    </w:pPr>
    <w:rPr>
      <w:sz w:val="21"/>
    </w:rPr>
  </w:style>
  <w:style w:type="paragraph" w:styleId="10">
    <w:name w:val="Document Map"/>
    <w:basedOn w:val="1"/>
    <w:link w:val="65"/>
    <w:unhideWhenUsed/>
    <w:qFormat/>
    <w:uiPriority w:val="0"/>
    <w:rPr>
      <w:rFonts w:ascii="宋体" w:hAnsi="Times New Roman"/>
      <w:kern w:val="0"/>
      <w:sz w:val="18"/>
      <w:szCs w:val="18"/>
    </w:rPr>
  </w:style>
  <w:style w:type="paragraph" w:styleId="11">
    <w:name w:val="annotation text"/>
    <w:basedOn w:val="1"/>
    <w:link w:val="80"/>
    <w:unhideWhenUsed/>
    <w:qFormat/>
    <w:uiPriority w:val="0"/>
    <w:pPr>
      <w:spacing w:line="240" w:lineRule="auto"/>
      <w:ind w:firstLine="0" w:firstLineChars="0"/>
      <w:jc w:val="left"/>
    </w:pPr>
    <w:rPr>
      <w:rFonts w:ascii="Times New Roman" w:hAnsi="Times New Roman"/>
      <w:sz w:val="21"/>
    </w:rPr>
  </w:style>
  <w:style w:type="paragraph" w:styleId="12">
    <w:name w:val="Body Text 3"/>
    <w:basedOn w:val="1"/>
    <w:link w:val="9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unhideWhenUsed/>
    <w:qFormat/>
    <w:uiPriority w:val="0"/>
    <w:pPr>
      <w:numPr>
        <w:ilvl w:val="0"/>
        <w:numId w:val="1"/>
      </w:numPr>
      <w:tabs>
        <w:tab w:val="left" w:pos="720"/>
      </w:tabs>
      <w:spacing w:line="240" w:lineRule="auto"/>
      <w:ind w:firstLine="0" w:firstLineChars="0"/>
    </w:pPr>
  </w:style>
  <w:style w:type="paragraph" w:styleId="14">
    <w:name w:val="Body Text"/>
    <w:basedOn w:val="1"/>
    <w:link w:val="69"/>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Body Text Indent"/>
    <w:basedOn w:val="1"/>
    <w:link w:val="78"/>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93"/>
    <w:unhideWhenUsed/>
    <w:qFormat/>
    <w:uiPriority w:val="0"/>
    <w:pPr>
      <w:spacing w:line="240" w:lineRule="auto"/>
      <w:ind w:firstLine="0" w:firstLineChars="0"/>
    </w:pPr>
    <w:rPr>
      <w:rFonts w:ascii="宋体"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99"/>
    <w:unhideWhenUsed/>
    <w:qFormat/>
    <w:uiPriority w:val="0"/>
    <w:pPr>
      <w:spacing w:line="240" w:lineRule="auto"/>
      <w:ind w:left="100" w:leftChars="2500" w:firstLine="0" w:firstLineChars="0"/>
    </w:pPr>
    <w:rPr>
      <w:rFonts w:ascii="Times New Roman" w:hAnsi="Times New Roman"/>
      <w:color w:val="000000"/>
    </w:rPr>
  </w:style>
  <w:style w:type="paragraph" w:styleId="23">
    <w:name w:val="Body Text Indent 2"/>
    <w:basedOn w:val="1"/>
    <w:link w:val="49"/>
    <w:unhideWhenUsed/>
    <w:qFormat/>
    <w:uiPriority w:val="0"/>
    <w:pPr>
      <w:widowControl/>
      <w:spacing w:line="480" w:lineRule="atLeast"/>
      <w:ind w:firstLine="480" w:firstLineChars="0"/>
    </w:pPr>
    <w:rPr>
      <w:rFonts w:ascii="宋体" w:hAnsi="Times New Roman"/>
      <w:kern w:val="0"/>
      <w:szCs w:val="20"/>
    </w:rPr>
  </w:style>
  <w:style w:type="paragraph" w:styleId="24">
    <w:name w:val="Balloon Text"/>
    <w:basedOn w:val="1"/>
    <w:link w:val="87"/>
    <w:unhideWhenUsed/>
    <w:qFormat/>
    <w:uiPriority w:val="0"/>
    <w:rPr>
      <w:rFonts w:ascii="Times New Roman" w:hAnsi="Times New Roman"/>
      <w:kern w:val="0"/>
      <w:sz w:val="18"/>
      <w:szCs w:val="18"/>
    </w:rPr>
  </w:style>
  <w:style w:type="paragraph" w:styleId="25">
    <w:name w:val="footer"/>
    <w:basedOn w:val="1"/>
    <w:link w:val="67"/>
    <w:unhideWhenUsed/>
    <w:qFormat/>
    <w:uiPriority w:val="99"/>
    <w:pPr>
      <w:tabs>
        <w:tab w:val="center" w:pos="4153"/>
        <w:tab w:val="right" w:pos="8306"/>
      </w:tabs>
      <w:snapToGrid w:val="0"/>
      <w:jc w:val="left"/>
    </w:pPr>
    <w:rPr>
      <w:kern w:val="0"/>
      <w:sz w:val="18"/>
      <w:szCs w:val="18"/>
    </w:rPr>
  </w:style>
  <w:style w:type="paragraph" w:styleId="26">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81"/>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77"/>
    <w:unhideWhenUsed/>
    <w:qFormat/>
    <w:uiPriority w:val="0"/>
    <w:pPr>
      <w:spacing w:line="240" w:lineRule="auto"/>
      <w:ind w:firstLine="0" w:firstLineChars="0"/>
    </w:pPr>
    <w:rPr>
      <w:rFonts w:ascii="Times New Roman" w:hAnsi="Times New Roman"/>
      <w:b/>
      <w:bCs/>
      <w:color w:val="000000"/>
      <w:sz w:val="28"/>
    </w:rPr>
  </w:style>
  <w:style w:type="paragraph" w:styleId="35">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7">
    <w:name w:val="Title"/>
    <w:basedOn w:val="1"/>
    <w:link w:val="96"/>
    <w:qFormat/>
    <w:uiPriority w:val="0"/>
    <w:pPr>
      <w:spacing w:line="240" w:lineRule="auto"/>
      <w:ind w:firstLine="0" w:firstLineChars="0"/>
      <w:jc w:val="center"/>
    </w:pPr>
    <w:rPr>
      <w:rFonts w:ascii="Times New Roman" w:hAnsi="Times New Roman"/>
      <w:sz w:val="30"/>
    </w:rPr>
  </w:style>
  <w:style w:type="paragraph" w:styleId="38">
    <w:name w:val="annotation subject"/>
    <w:basedOn w:val="11"/>
    <w:next w:val="11"/>
    <w:link w:val="54"/>
    <w:unhideWhenUsed/>
    <w:qFormat/>
    <w:uiPriority w:val="0"/>
    <w:rPr>
      <w:b/>
      <w:bC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customStyle="1" w:styleId="47">
    <w:name w:val="font71"/>
    <w:qFormat/>
    <w:uiPriority w:val="0"/>
    <w:rPr>
      <w:rFonts w:ascii="Arial" w:hAnsi="Arial" w:cs="Arial"/>
      <w:b/>
      <w:color w:val="333333"/>
      <w:sz w:val="20"/>
      <w:szCs w:val="20"/>
      <w:u w:val="none"/>
    </w:rPr>
  </w:style>
  <w:style w:type="character" w:customStyle="1" w:styleId="48">
    <w:name w:val="HTML 预设格式 字符"/>
    <w:link w:val="35"/>
    <w:semiHidden/>
    <w:qFormat/>
    <w:uiPriority w:val="0"/>
    <w:rPr>
      <w:rFonts w:ascii="Arial Unicode MS" w:hAnsi="Arial Unicode MS" w:eastAsia="Arial Unicode MS" w:cs="Arial Unicode MS"/>
    </w:rPr>
  </w:style>
  <w:style w:type="character" w:customStyle="1" w:styleId="49">
    <w:name w:val="正文文本缩进 2 字符"/>
    <w:link w:val="23"/>
    <w:semiHidden/>
    <w:qFormat/>
    <w:uiPriority w:val="0"/>
    <w:rPr>
      <w:rFonts w:ascii="宋体" w:hAnsi="Times New Roman"/>
      <w:sz w:val="24"/>
    </w:rPr>
  </w:style>
  <w:style w:type="character" w:customStyle="1" w:styleId="50">
    <w:name w:val="wz1"/>
    <w:basedOn w:val="41"/>
    <w:qFormat/>
    <w:uiPriority w:val="0"/>
  </w:style>
  <w:style w:type="character" w:customStyle="1" w:styleId="51">
    <w:name w:val="button1"/>
    <w:qFormat/>
    <w:uiPriority w:val="0"/>
    <w:rPr>
      <w:rFonts w:hint="default" w:ascii="Verdana" w:hAnsi="Verdana"/>
      <w:b/>
      <w:bCs/>
      <w:sz w:val="20"/>
      <w:szCs w:val="20"/>
    </w:rPr>
  </w:style>
  <w:style w:type="character" w:customStyle="1" w:styleId="52">
    <w:name w:val="font01"/>
    <w:qFormat/>
    <w:uiPriority w:val="0"/>
    <w:rPr>
      <w:rFonts w:hint="eastAsia" w:ascii="宋体" w:hAnsi="宋体" w:eastAsia="宋体" w:cs="宋体"/>
      <w:b/>
      <w:color w:val="333333"/>
      <w:sz w:val="20"/>
      <w:szCs w:val="20"/>
      <w:u w:val="none"/>
    </w:rPr>
  </w:style>
  <w:style w:type="character" w:customStyle="1" w:styleId="53">
    <w:name w:val="标题 3 字符"/>
    <w:qFormat/>
    <w:uiPriority w:val="0"/>
    <w:rPr>
      <w:b/>
      <w:bCs/>
      <w:kern w:val="2"/>
      <w:sz w:val="24"/>
      <w:szCs w:val="32"/>
    </w:rPr>
  </w:style>
  <w:style w:type="character" w:customStyle="1" w:styleId="54">
    <w:name w:val="批注主题 字符"/>
    <w:link w:val="38"/>
    <w:semiHidden/>
    <w:qFormat/>
    <w:uiPriority w:val="0"/>
    <w:rPr>
      <w:rFonts w:ascii="Times New Roman" w:hAnsi="Times New Roman"/>
      <w:b/>
      <w:bCs/>
      <w:kern w:val="2"/>
      <w:sz w:val="21"/>
      <w:szCs w:val="24"/>
    </w:rPr>
  </w:style>
  <w:style w:type="character" w:customStyle="1" w:styleId="55">
    <w:name w:val="标题 Char"/>
    <w:qFormat/>
    <w:uiPriority w:val="0"/>
    <w:rPr>
      <w:rFonts w:ascii="Cambria" w:hAnsi="Cambria" w:cs="Times New Roman"/>
      <w:b/>
      <w:bCs/>
      <w:kern w:val="2"/>
      <w:sz w:val="32"/>
      <w:szCs w:val="32"/>
    </w:rPr>
  </w:style>
  <w:style w:type="character" w:customStyle="1" w:styleId="56">
    <w:name w:val="search_result_snap1"/>
    <w:qFormat/>
    <w:uiPriority w:val="0"/>
    <w:rPr>
      <w:sz w:val="21"/>
      <w:szCs w:val="21"/>
    </w:rPr>
  </w:style>
  <w:style w:type="character" w:customStyle="1" w:styleId="57">
    <w:name w:val="l17"/>
    <w:basedOn w:val="41"/>
    <w:qFormat/>
    <w:uiPriority w:val="0"/>
  </w:style>
  <w:style w:type="character" w:customStyle="1" w:styleId="58">
    <w:name w:val="s"/>
    <w:basedOn w:val="41"/>
    <w:qFormat/>
    <w:uiPriority w:val="0"/>
  </w:style>
  <w:style w:type="character" w:customStyle="1" w:styleId="59">
    <w:name w:val="(aNormal) + 宋体 Char"/>
    <w:link w:val="60"/>
    <w:qFormat/>
    <w:locked/>
    <w:uiPriority w:val="0"/>
    <w:rPr>
      <w:rFonts w:ascii="宋体" w:hAnsi="宋体"/>
      <w:lang w:val="en-GB"/>
    </w:rPr>
  </w:style>
  <w:style w:type="paragraph" w:customStyle="1" w:styleId="60">
    <w:name w:val="(aNormal) + 宋体"/>
    <w:basedOn w:val="1"/>
    <w:link w:val="59"/>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1">
    <w:name w:val="正文缩进 字符"/>
    <w:link w:val="9"/>
    <w:semiHidden/>
    <w:qFormat/>
    <w:locked/>
    <w:uiPriority w:val="0"/>
    <w:rPr>
      <w:kern w:val="2"/>
      <w:sz w:val="21"/>
      <w:szCs w:val="24"/>
    </w:rPr>
  </w:style>
  <w:style w:type="character" w:customStyle="1" w:styleId="62">
    <w:name w:val="正文文本首行缩进 字符"/>
    <w:link w:val="63"/>
    <w:semiHidden/>
    <w:qFormat/>
    <w:uiPriority w:val="0"/>
    <w:rPr>
      <w:rFonts w:ascii="Times New Roman" w:hAnsi="Times New Roman" w:eastAsia="仿宋_GB2312"/>
      <w:kern w:val="2"/>
      <w:sz w:val="21"/>
      <w:szCs w:val="24"/>
    </w:rPr>
  </w:style>
  <w:style w:type="paragraph" w:customStyle="1" w:styleId="63">
    <w:name w:val="正文文本首行缩进1"/>
    <w:basedOn w:val="14"/>
    <w:link w:val="62"/>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4">
    <w:name w:val="huei12b1"/>
    <w:qFormat/>
    <w:uiPriority w:val="0"/>
    <w:rPr>
      <w:b/>
      <w:bCs/>
      <w:color w:val="333333"/>
      <w:sz w:val="20"/>
      <w:szCs w:val="20"/>
    </w:rPr>
  </w:style>
  <w:style w:type="character" w:customStyle="1" w:styleId="65">
    <w:name w:val="文档结构图 字符"/>
    <w:link w:val="10"/>
    <w:semiHidden/>
    <w:qFormat/>
    <w:uiPriority w:val="0"/>
    <w:rPr>
      <w:rFonts w:ascii="宋体" w:hAnsi="Times New Roman" w:eastAsia="宋体" w:cs="Times New Roman"/>
      <w:sz w:val="18"/>
      <w:szCs w:val="18"/>
    </w:rPr>
  </w:style>
  <w:style w:type="character" w:customStyle="1" w:styleId="66">
    <w:name w:val="content"/>
    <w:basedOn w:val="41"/>
    <w:qFormat/>
    <w:uiPriority w:val="0"/>
  </w:style>
  <w:style w:type="character" w:customStyle="1" w:styleId="67">
    <w:name w:val="页脚 字符1"/>
    <w:link w:val="25"/>
    <w:qFormat/>
    <w:uiPriority w:val="99"/>
    <w:rPr>
      <w:sz w:val="18"/>
      <w:szCs w:val="18"/>
    </w:rPr>
  </w:style>
  <w:style w:type="character" w:customStyle="1" w:styleId="68">
    <w:name w:val="标题 2 字符"/>
    <w:link w:val="5"/>
    <w:qFormat/>
    <w:uiPriority w:val="0"/>
    <w:rPr>
      <w:rFonts w:ascii="Cambria" w:hAnsi="Cambria" w:eastAsia="宋体"/>
      <w:b/>
      <w:bCs/>
      <w:kern w:val="2"/>
      <w:sz w:val="28"/>
      <w:szCs w:val="32"/>
    </w:rPr>
  </w:style>
  <w:style w:type="character" w:customStyle="1" w:styleId="69">
    <w:name w:val="正文文本 字符"/>
    <w:link w:val="14"/>
    <w:semiHidden/>
    <w:qFormat/>
    <w:uiPriority w:val="0"/>
    <w:rPr>
      <w:rFonts w:ascii="仿宋_GB2312" w:hAnsi="Times New Roman" w:eastAsia="仿宋_GB2312"/>
      <w:sz w:val="28"/>
    </w:rPr>
  </w:style>
  <w:style w:type="character" w:customStyle="1" w:styleId="70">
    <w:name w:val="style8"/>
    <w:basedOn w:val="41"/>
    <w:qFormat/>
    <w:uiPriority w:val="0"/>
  </w:style>
  <w:style w:type="character" w:customStyle="1" w:styleId="71">
    <w:name w:val="正文文本缩进 字符"/>
    <w:qFormat/>
    <w:uiPriority w:val="0"/>
    <w:rPr>
      <w:rFonts w:ascii="仿宋_GB2312" w:eastAsia="仿宋_GB2312"/>
      <w:kern w:val="2"/>
      <w:sz w:val="28"/>
      <w:lang w:val="en-US" w:eastAsia="zh-CN" w:bidi="ar-SA"/>
    </w:rPr>
  </w:style>
  <w:style w:type="character" w:customStyle="1" w:styleId="72">
    <w:name w:val="标题 1 字符"/>
    <w:link w:val="4"/>
    <w:qFormat/>
    <w:uiPriority w:val="0"/>
    <w:rPr>
      <w:rFonts w:ascii="宋体" w:hAnsi="宋体" w:cs="宋体"/>
      <w:b/>
      <w:bCs/>
      <w:kern w:val="44"/>
      <w:sz w:val="32"/>
      <w:szCs w:val="52"/>
    </w:rPr>
  </w:style>
  <w:style w:type="character" w:customStyle="1" w:styleId="73">
    <w:name w:val="页脚 字符"/>
    <w:qFormat/>
    <w:uiPriority w:val="99"/>
    <w:rPr>
      <w:rFonts w:eastAsia="宋体"/>
      <w:kern w:val="2"/>
      <w:sz w:val="18"/>
      <w:lang w:val="en-US" w:eastAsia="zh-CN" w:bidi="ar-SA"/>
    </w:rPr>
  </w:style>
  <w:style w:type="character" w:customStyle="1" w:styleId="74">
    <w:name w:val="不明显强调1"/>
    <w:qFormat/>
    <w:uiPriority w:val="0"/>
    <w:rPr>
      <w:i/>
      <w:iCs/>
      <w:color w:val="808080"/>
    </w:rPr>
  </w:style>
  <w:style w:type="character" w:customStyle="1" w:styleId="75">
    <w:name w:val="Char Char2"/>
    <w:qFormat/>
    <w:uiPriority w:val="0"/>
    <w:rPr>
      <w:rFonts w:hint="eastAsia" w:ascii="宋体" w:hAnsi="Courier New" w:eastAsia="宋体"/>
      <w:kern w:val="2"/>
      <w:sz w:val="21"/>
    </w:rPr>
  </w:style>
  <w:style w:type="character" w:customStyle="1" w:styleId="76">
    <w:name w:val="Char Char"/>
    <w:qFormat/>
    <w:uiPriority w:val="0"/>
    <w:rPr>
      <w:rFonts w:hint="eastAsia" w:ascii="宋体" w:hAnsi="Courier New" w:eastAsia="宋体"/>
      <w:kern w:val="2"/>
      <w:sz w:val="21"/>
      <w:lang w:val="en-US" w:eastAsia="zh-CN" w:bidi="ar-SA"/>
    </w:rPr>
  </w:style>
  <w:style w:type="character" w:customStyle="1" w:styleId="77">
    <w:name w:val="正文文本 2 字符"/>
    <w:link w:val="34"/>
    <w:semiHidden/>
    <w:qFormat/>
    <w:uiPriority w:val="0"/>
    <w:rPr>
      <w:rFonts w:ascii="Times New Roman" w:hAnsi="Times New Roman"/>
      <w:b/>
      <w:bCs/>
      <w:color w:val="000000"/>
      <w:kern w:val="2"/>
      <w:sz w:val="28"/>
      <w:szCs w:val="24"/>
    </w:rPr>
  </w:style>
  <w:style w:type="character" w:customStyle="1" w:styleId="78">
    <w:name w:val="正文文本缩进 字符1"/>
    <w:link w:val="15"/>
    <w:semiHidden/>
    <w:qFormat/>
    <w:uiPriority w:val="0"/>
    <w:rPr>
      <w:rFonts w:ascii="宋体" w:hAnsi="Times New Roman"/>
      <w:sz w:val="24"/>
    </w:rPr>
  </w:style>
  <w:style w:type="character" w:customStyle="1" w:styleId="79">
    <w:name w:val="纯文本 字符"/>
    <w:qFormat/>
    <w:uiPriority w:val="0"/>
    <w:rPr>
      <w:rFonts w:ascii="宋体" w:hAnsi="Courier New" w:eastAsia="宋体" w:cs="Courier New"/>
      <w:kern w:val="2"/>
      <w:sz w:val="21"/>
      <w:szCs w:val="21"/>
      <w:lang w:val="en-US" w:eastAsia="zh-CN" w:bidi="ar-SA"/>
    </w:rPr>
  </w:style>
  <w:style w:type="character" w:customStyle="1" w:styleId="80">
    <w:name w:val="批注文字 字符"/>
    <w:link w:val="11"/>
    <w:semiHidden/>
    <w:qFormat/>
    <w:uiPriority w:val="0"/>
    <w:rPr>
      <w:rFonts w:ascii="Times New Roman" w:hAnsi="Times New Roman"/>
      <w:kern w:val="2"/>
      <w:sz w:val="21"/>
      <w:szCs w:val="24"/>
    </w:rPr>
  </w:style>
  <w:style w:type="character" w:customStyle="1" w:styleId="81">
    <w:name w:val="正文文本缩进 3 字符"/>
    <w:link w:val="31"/>
    <w:semiHidden/>
    <w:qFormat/>
    <w:uiPriority w:val="0"/>
    <w:rPr>
      <w:rFonts w:ascii="Times New Roman" w:hAnsi="Times New Roman" w:eastAsia="黑体"/>
      <w:color w:val="000000"/>
      <w:kern w:val="2"/>
      <w:sz w:val="24"/>
      <w:szCs w:val="24"/>
    </w:rPr>
  </w:style>
  <w:style w:type="character" w:customStyle="1" w:styleId="82">
    <w:name w:val="无间隔 字符"/>
    <w:link w:val="83"/>
    <w:qFormat/>
    <w:locked/>
    <w:uiPriority w:val="0"/>
    <w:rPr>
      <w:rFonts w:cs="Calibri"/>
      <w:kern w:val="2"/>
      <w:sz w:val="21"/>
      <w:szCs w:val="22"/>
      <w:lang w:val="en-US" w:eastAsia="zh-CN" w:bidi="ar-SA"/>
    </w:rPr>
  </w:style>
  <w:style w:type="paragraph" w:styleId="83">
    <w:name w:val="No Spacing"/>
    <w:link w:val="82"/>
    <w:qFormat/>
    <w:uiPriority w:val="0"/>
    <w:pPr>
      <w:widowControl w:val="0"/>
      <w:jc w:val="both"/>
    </w:pPr>
    <w:rPr>
      <w:rFonts w:ascii="Calibri" w:hAnsi="Calibri" w:eastAsia="宋体" w:cs="Calibri"/>
      <w:kern w:val="2"/>
      <w:sz w:val="21"/>
      <w:szCs w:val="22"/>
      <w:lang w:val="en-US" w:eastAsia="zh-CN" w:bidi="ar-SA"/>
    </w:rPr>
  </w:style>
  <w:style w:type="character" w:customStyle="1" w:styleId="84">
    <w:name w:val="unnamed1"/>
    <w:basedOn w:val="41"/>
    <w:qFormat/>
    <w:uiPriority w:val="0"/>
  </w:style>
  <w:style w:type="character" w:customStyle="1" w:styleId="85">
    <w:name w:val="Char Char3"/>
    <w:qFormat/>
    <w:uiPriority w:val="0"/>
    <w:rPr>
      <w:rFonts w:hint="eastAsia" w:ascii="宋体" w:hAnsi="Courier New" w:eastAsia="宋体"/>
      <w:kern w:val="2"/>
      <w:sz w:val="21"/>
      <w:lang w:val="en-US" w:eastAsia="zh-CN" w:bidi="ar-SA"/>
    </w:rPr>
  </w:style>
  <w:style w:type="character" w:customStyle="1" w:styleId="86">
    <w:name w:val="纯文本 Char"/>
    <w:qFormat/>
    <w:uiPriority w:val="0"/>
    <w:rPr>
      <w:rFonts w:ascii="宋体" w:hAnsi="Courier New" w:cs="Courier New"/>
      <w:kern w:val="2"/>
      <w:sz w:val="21"/>
      <w:szCs w:val="21"/>
    </w:rPr>
  </w:style>
  <w:style w:type="character" w:customStyle="1" w:styleId="87">
    <w:name w:val="批注框文本 字符"/>
    <w:link w:val="24"/>
    <w:semiHidden/>
    <w:qFormat/>
    <w:uiPriority w:val="0"/>
    <w:rPr>
      <w:rFonts w:ascii="Times New Roman" w:hAnsi="Times New Roman" w:eastAsia="宋体" w:cs="Times New Roman"/>
      <w:sz w:val="18"/>
      <w:szCs w:val="18"/>
    </w:rPr>
  </w:style>
  <w:style w:type="character" w:customStyle="1" w:styleId="88">
    <w:name w:val="页眉 字符1"/>
    <w:link w:val="26"/>
    <w:qFormat/>
    <w:uiPriority w:val="99"/>
    <w:rPr>
      <w:sz w:val="18"/>
      <w:szCs w:val="18"/>
    </w:rPr>
  </w:style>
  <w:style w:type="character" w:customStyle="1" w:styleId="89">
    <w:name w:val="body001"/>
    <w:qFormat/>
    <w:uiPriority w:val="0"/>
    <w:rPr>
      <w:rFonts w:hint="default" w:ascii="ˎ̥" w:hAnsi="ˎ̥"/>
      <w:color w:val="333333"/>
      <w:sz w:val="18"/>
      <w:szCs w:val="18"/>
    </w:rPr>
  </w:style>
  <w:style w:type="character" w:customStyle="1" w:styleId="90">
    <w:name w:val="search_content1"/>
    <w:qFormat/>
    <w:uiPriority w:val="0"/>
    <w:rPr>
      <w:sz w:val="20"/>
      <w:szCs w:val="20"/>
    </w:rPr>
  </w:style>
  <w:style w:type="character" w:customStyle="1" w:styleId="91">
    <w:name w:val="apple-converted-space"/>
    <w:basedOn w:val="41"/>
    <w:qFormat/>
    <w:uiPriority w:val="0"/>
  </w:style>
  <w:style w:type="character" w:customStyle="1" w:styleId="92">
    <w:name w:val="style1"/>
    <w:basedOn w:val="41"/>
    <w:qFormat/>
    <w:uiPriority w:val="0"/>
  </w:style>
  <w:style w:type="character" w:customStyle="1" w:styleId="93">
    <w:name w:val="纯文本 字符1"/>
    <w:link w:val="20"/>
    <w:qFormat/>
    <w:locked/>
    <w:uiPriority w:val="0"/>
    <w:rPr>
      <w:rFonts w:ascii="宋体" w:hAnsi="Courier New"/>
      <w:kern w:val="2"/>
      <w:sz w:val="21"/>
    </w:rPr>
  </w:style>
  <w:style w:type="character" w:customStyle="1" w:styleId="94">
    <w:name w:val="hei16b1"/>
    <w:qFormat/>
    <w:uiPriority w:val="0"/>
    <w:rPr>
      <w:rFonts w:hint="default" w:ascii="Arial" w:hAnsi="Arial" w:cs="Arial"/>
      <w:b/>
      <w:bCs/>
      <w:color w:val="000000"/>
      <w:sz w:val="24"/>
      <w:szCs w:val="24"/>
    </w:rPr>
  </w:style>
  <w:style w:type="character" w:customStyle="1" w:styleId="95">
    <w:name w:val="正文文本 3 字符"/>
    <w:link w:val="12"/>
    <w:semiHidden/>
    <w:qFormat/>
    <w:uiPriority w:val="0"/>
    <w:rPr>
      <w:rFonts w:ascii="楷体_GB2312" w:hAnsi="Times New Roman" w:eastAsia="楷体_GB2312"/>
      <w:b/>
      <w:color w:val="000000"/>
      <w:kern w:val="2"/>
      <w:sz w:val="30"/>
      <w:szCs w:val="24"/>
    </w:rPr>
  </w:style>
  <w:style w:type="character" w:customStyle="1" w:styleId="96">
    <w:name w:val="标题 字符"/>
    <w:link w:val="37"/>
    <w:qFormat/>
    <w:locked/>
    <w:uiPriority w:val="0"/>
    <w:rPr>
      <w:rFonts w:ascii="Times New Roman" w:hAnsi="Times New Roman"/>
      <w:kern w:val="2"/>
      <w:sz w:val="30"/>
      <w:szCs w:val="24"/>
    </w:rPr>
  </w:style>
  <w:style w:type="character" w:customStyle="1" w:styleId="97">
    <w:name w:val="标题 4 字符"/>
    <w:link w:val="7"/>
    <w:qFormat/>
    <w:uiPriority w:val="9"/>
    <w:rPr>
      <w:rFonts w:ascii="Cambria" w:hAnsi="Cambria" w:eastAsia="宋体" w:cs="Times New Roman"/>
      <w:b/>
      <w:bCs/>
      <w:kern w:val="2"/>
      <w:sz w:val="21"/>
      <w:szCs w:val="28"/>
    </w:rPr>
  </w:style>
  <w:style w:type="character" w:customStyle="1" w:styleId="98">
    <w:name w:val="unnamed51"/>
    <w:qFormat/>
    <w:uiPriority w:val="0"/>
    <w:rPr>
      <w:sz w:val="22"/>
      <w:szCs w:val="22"/>
    </w:rPr>
  </w:style>
  <w:style w:type="character" w:customStyle="1" w:styleId="99">
    <w:name w:val="日期 字符"/>
    <w:link w:val="22"/>
    <w:semiHidden/>
    <w:qFormat/>
    <w:uiPriority w:val="0"/>
    <w:rPr>
      <w:rFonts w:ascii="Times New Roman" w:hAnsi="Times New Roman"/>
      <w:color w:val="000000"/>
      <w:kern w:val="2"/>
      <w:sz w:val="24"/>
      <w:szCs w:val="24"/>
    </w:rPr>
  </w:style>
  <w:style w:type="character" w:customStyle="1" w:styleId="100">
    <w:name w:val="页眉 字符"/>
    <w:qFormat/>
    <w:locked/>
    <w:uiPriority w:val="0"/>
    <w:rPr>
      <w:rFonts w:eastAsia="宋体"/>
      <w:kern w:val="2"/>
      <w:sz w:val="18"/>
      <w:lang w:val="en-US" w:eastAsia="zh-CN" w:bidi="ar-SA"/>
    </w:rPr>
  </w:style>
  <w:style w:type="paragraph" w:customStyle="1" w:styleId="1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4">
    <w:name w:val="标题3"/>
    <w:basedOn w:val="6"/>
    <w:qFormat/>
    <w:uiPriority w:val="0"/>
    <w:pPr>
      <w:spacing w:before="260" w:after="260" w:line="415" w:lineRule="auto"/>
    </w:pPr>
    <w:rPr>
      <w:rFonts w:ascii="宋体" w:hAnsi="宋体"/>
      <w:sz w:val="28"/>
      <w:szCs w:val="28"/>
    </w:rPr>
  </w:style>
  <w:style w:type="paragraph" w:customStyle="1" w:styleId="105">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6">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9">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0">
    <w:name w:val="样式1"/>
    <w:basedOn w:val="1"/>
    <w:qFormat/>
    <w:uiPriority w:val="0"/>
    <w:pPr>
      <w:spacing w:line="360" w:lineRule="exact"/>
    </w:pPr>
    <w:rPr>
      <w:rFonts w:ascii="Arial" w:hAnsi="Arial"/>
      <w:sz w:val="21"/>
    </w:rPr>
  </w:style>
  <w:style w:type="paragraph" w:customStyle="1" w:styleId="111">
    <w:name w:val="_Style 40"/>
    <w:basedOn w:val="1"/>
    <w:qFormat/>
    <w:uiPriority w:val="0"/>
    <w:pPr>
      <w:spacing w:line="240" w:lineRule="auto"/>
      <w:ind w:firstLine="0" w:firstLineChars="0"/>
    </w:pPr>
  </w:style>
  <w:style w:type="paragraph" w:customStyle="1" w:styleId="11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3">
    <w:name w:val="TOC 标题1"/>
    <w:basedOn w:val="5"/>
    <w:next w:val="1"/>
    <w:qFormat/>
    <w:uiPriority w:val="39"/>
    <w:pPr>
      <w:widowControl/>
      <w:spacing w:line="240" w:lineRule="auto"/>
      <w:outlineLvl w:val="9"/>
    </w:pPr>
    <w:rPr>
      <w:kern w:val="0"/>
      <w:sz w:val="21"/>
      <w:szCs w:val="28"/>
    </w:rPr>
  </w:style>
  <w:style w:type="paragraph" w:customStyle="1" w:styleId="11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7">
    <w:name w:val="列表段落1"/>
    <w:basedOn w:val="1"/>
    <w:qFormat/>
    <w:uiPriority w:val="0"/>
    <w:pPr>
      <w:ind w:firstLine="420"/>
    </w:pPr>
  </w:style>
  <w:style w:type="paragraph" w:customStyle="1" w:styleId="11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0">
    <w:name w:val="Char Char Char Char Char Char Char Char"/>
    <w:basedOn w:val="1"/>
    <w:qFormat/>
    <w:uiPriority w:val="0"/>
    <w:pPr>
      <w:tabs>
        <w:tab w:val="left" w:pos="360"/>
      </w:tabs>
      <w:spacing w:line="240" w:lineRule="auto"/>
      <w:ind w:firstLine="0" w:firstLineChars="0"/>
    </w:pPr>
    <w:rPr>
      <w:szCs w:val="20"/>
    </w:rPr>
  </w:style>
  <w:style w:type="paragraph" w:customStyle="1" w:styleId="121">
    <w:name w:val="正文格式"/>
    <w:basedOn w:val="1"/>
    <w:qFormat/>
    <w:uiPriority w:val="0"/>
    <w:pPr>
      <w:widowControl/>
      <w:adjustRightInd w:val="0"/>
      <w:snapToGrid w:val="0"/>
      <w:ind w:firstLine="482" w:firstLineChars="0"/>
    </w:pPr>
    <w:rPr>
      <w:kern w:val="0"/>
      <w:szCs w:val="20"/>
    </w:rPr>
  </w:style>
  <w:style w:type="paragraph" w:customStyle="1" w:styleId="12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3">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4">
    <w:name w:val="Char Char Char Char Char Char"/>
    <w:basedOn w:val="1"/>
    <w:qFormat/>
    <w:uiPriority w:val="0"/>
    <w:pPr>
      <w:spacing w:line="240" w:lineRule="auto"/>
    </w:pPr>
    <w:rPr>
      <w:rFonts w:ascii="Tahoma" w:hAnsi="Tahoma"/>
      <w:szCs w:val="20"/>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6">
    <w:name w:val="小标题2"/>
    <w:basedOn w:val="1"/>
    <w:next w:val="1"/>
    <w:qFormat/>
    <w:uiPriority w:val="0"/>
    <w:pPr>
      <w:spacing w:beforeLines="20" w:afterLines="20" w:line="400" w:lineRule="exact"/>
    </w:pPr>
    <w:rPr>
      <w:rFonts w:eastAsia="楷体_GB2312"/>
    </w:rPr>
  </w:style>
  <w:style w:type="paragraph" w:customStyle="1" w:styleId="127">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8">
    <w:name w:val="_Style 54"/>
    <w:basedOn w:val="1"/>
    <w:qFormat/>
    <w:uiPriority w:val="0"/>
    <w:pPr>
      <w:spacing w:line="240" w:lineRule="auto"/>
      <w:ind w:firstLine="0" w:firstLineChars="0"/>
    </w:pPr>
  </w:style>
  <w:style w:type="paragraph" w:customStyle="1" w:styleId="129">
    <w:name w:val="p16"/>
    <w:basedOn w:val="1"/>
    <w:qFormat/>
    <w:uiPriority w:val="0"/>
    <w:pPr>
      <w:widowControl/>
      <w:spacing w:line="240" w:lineRule="auto"/>
      <w:ind w:left="420" w:hanging="420" w:firstLineChars="0"/>
    </w:pPr>
    <w:rPr>
      <w:kern w:val="0"/>
      <w:szCs w:val="21"/>
    </w:rPr>
  </w:style>
  <w:style w:type="paragraph" w:customStyle="1" w:styleId="130">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3">
    <w:name w:val="head 1.1.1"/>
    <w:basedOn w:val="117"/>
    <w:qFormat/>
    <w:uiPriority w:val="0"/>
    <w:pPr>
      <w:numPr>
        <w:ilvl w:val="2"/>
        <w:numId w:val="3"/>
      </w:numPr>
      <w:spacing w:line="240" w:lineRule="auto"/>
      <w:ind w:firstLine="0" w:firstLineChars="0"/>
    </w:pPr>
    <w:rPr>
      <w:bCs/>
      <w:szCs w:val="22"/>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5">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36">
    <w:name w:val="默认段落字体 Para Char Char Char Char Char Char Char Char Char1 Char Char Char Char"/>
    <w:basedOn w:val="1"/>
    <w:qFormat/>
    <w:uiPriority w:val="0"/>
    <w:rPr>
      <w:rFonts w:ascii="Tahoma" w:hAnsi="Tahoma"/>
      <w:szCs w:val="20"/>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8">
    <w:name w:val="head 1.1"/>
    <w:basedOn w:val="117"/>
    <w:qFormat/>
    <w:uiPriority w:val="0"/>
    <w:pPr>
      <w:numPr>
        <w:ilvl w:val="1"/>
        <w:numId w:val="3"/>
      </w:numPr>
      <w:spacing w:before="260" w:after="260" w:line="240" w:lineRule="auto"/>
      <w:ind w:firstLine="0" w:firstLineChars="0"/>
    </w:pPr>
    <w:rPr>
      <w:rFonts w:ascii="宋体" w:hAnsi="宋体"/>
      <w:bCs/>
      <w:szCs w:val="22"/>
    </w:rPr>
  </w:style>
  <w:style w:type="paragraph" w:customStyle="1" w:styleId="139">
    <w:name w:val="Char2"/>
    <w:basedOn w:val="1"/>
    <w:qFormat/>
    <w:uiPriority w:val="0"/>
    <w:pPr>
      <w:spacing w:line="240" w:lineRule="auto"/>
      <w:ind w:firstLine="0" w:firstLineChars="0"/>
    </w:pPr>
    <w:rPr>
      <w:rFonts w:ascii="仿宋_GB2312" w:eastAsia="仿宋_GB2312"/>
      <w:b/>
      <w:sz w:val="32"/>
      <w:szCs w:val="32"/>
    </w:rPr>
  </w:style>
  <w:style w:type="paragraph" w:customStyle="1" w:styleId="140">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3">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144">
    <w:name w:val="p0"/>
    <w:basedOn w:val="1"/>
    <w:qFormat/>
    <w:uiPriority w:val="0"/>
    <w:pPr>
      <w:widowControl/>
      <w:spacing w:line="240" w:lineRule="auto"/>
      <w:ind w:firstLine="0" w:firstLineChars="0"/>
    </w:pPr>
    <w:rPr>
      <w:kern w:val="0"/>
      <w:szCs w:val="21"/>
    </w:rPr>
  </w:style>
  <w:style w:type="paragraph" w:customStyle="1" w:styleId="1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6">
    <w:name w:val="正文－恩普"/>
    <w:basedOn w:val="9"/>
    <w:qFormat/>
    <w:uiPriority w:val="0"/>
    <w:pPr>
      <w:widowControl/>
      <w:spacing w:afterLines="50" w:line="360" w:lineRule="auto"/>
      <w:ind w:firstLine="480" w:firstLineChars="200"/>
      <w:jc w:val="left"/>
    </w:p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8">
    <w:name w:val="1"/>
    <w:basedOn w:val="1"/>
    <w:next w:val="36"/>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0">
    <w:name w:val="Blockquote"/>
    <w:basedOn w:val="1"/>
    <w:qFormat/>
    <w:uiPriority w:val="0"/>
    <w:pPr>
      <w:autoSpaceDE w:val="0"/>
      <w:autoSpaceDN w:val="0"/>
      <w:adjustRightInd w:val="0"/>
      <w:spacing w:before="100" w:after="100"/>
      <w:ind w:left="360" w:right="360"/>
      <w:jc w:val="left"/>
    </w:pPr>
    <w:rPr>
      <w:kern w:val="0"/>
    </w:rPr>
  </w:style>
  <w:style w:type="paragraph" w:customStyle="1" w:styleId="151">
    <w:name w:val="Char Char Char"/>
    <w:basedOn w:val="1"/>
    <w:qFormat/>
    <w:uiPriority w:val="0"/>
    <w:pPr>
      <w:spacing w:line="240" w:lineRule="auto"/>
      <w:ind w:firstLine="0" w:firstLineChars="0"/>
    </w:pPr>
    <w:rPr>
      <w:rFonts w:ascii="Tahoma" w:hAnsi="Tahoma"/>
      <w:szCs w:val="20"/>
    </w:rPr>
  </w:style>
  <w:style w:type="paragraph" w:customStyle="1" w:styleId="152">
    <w:name w:val="列出段落1"/>
    <w:basedOn w:val="1"/>
    <w:qFormat/>
    <w:uiPriority w:val="0"/>
    <w:pPr>
      <w:spacing w:line="240" w:lineRule="auto"/>
      <w:ind w:firstLine="420"/>
    </w:pPr>
  </w:style>
  <w:style w:type="paragraph" w:customStyle="1" w:styleId="153">
    <w:name w:val="Char"/>
    <w:basedOn w:val="1"/>
    <w:qFormat/>
    <w:uiPriority w:val="0"/>
    <w:pPr>
      <w:spacing w:line="240" w:lineRule="auto"/>
      <w:ind w:firstLine="0" w:firstLineChars="0"/>
    </w:pPr>
    <w:rPr>
      <w:rFonts w:ascii="仿宋_GB2312" w:eastAsia="仿宋_GB2312"/>
      <w:b/>
      <w:sz w:val="32"/>
      <w:szCs w:val="32"/>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5">
    <w:name w:val="默认段落字体 Para Char"/>
    <w:basedOn w:val="1"/>
    <w:qFormat/>
    <w:uiPriority w:val="0"/>
    <w:pPr>
      <w:spacing w:line="240" w:lineRule="auto"/>
      <w:ind w:firstLine="0" w:firstLineChars="0"/>
    </w:pPr>
  </w:style>
  <w:style w:type="paragraph" w:customStyle="1" w:styleId="156">
    <w:name w:val="Char1"/>
    <w:basedOn w:val="1"/>
    <w:qFormat/>
    <w:uiPriority w:val="0"/>
    <w:rPr>
      <w:rFonts w:ascii="Tahoma" w:hAnsi="Tahoma"/>
      <w:szCs w:val="20"/>
    </w:rPr>
  </w:style>
  <w:style w:type="paragraph" w:customStyle="1" w:styleId="1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8">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9">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0">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4">
    <w:name w:val="font11"/>
    <w:qFormat/>
    <w:uiPriority w:val="0"/>
    <w:rPr>
      <w:rFonts w:hint="eastAsia" w:ascii="宋体" w:hAnsi="宋体" w:eastAsia="宋体" w:cs="宋体"/>
      <w:color w:val="000000"/>
      <w:sz w:val="40"/>
      <w:szCs w:val="40"/>
      <w:u w:val="none"/>
    </w:rPr>
  </w:style>
  <w:style w:type="character" w:customStyle="1" w:styleId="165">
    <w:name w:val="font101"/>
    <w:qFormat/>
    <w:uiPriority w:val="0"/>
    <w:rPr>
      <w:rFonts w:hint="eastAsia" w:ascii="宋体" w:hAnsi="宋体" w:eastAsia="宋体" w:cs="宋体"/>
      <w:color w:val="000000"/>
      <w:sz w:val="18"/>
      <w:szCs w:val="18"/>
      <w:u w:val="none"/>
    </w:rPr>
  </w:style>
  <w:style w:type="paragraph" w:customStyle="1" w:styleId="166">
    <w:name w:val="trs_editor"/>
    <w:basedOn w:val="1"/>
    <w:qFormat/>
    <w:uiPriority w:val="0"/>
    <w:pPr>
      <w:widowControl/>
      <w:spacing w:before="100" w:beforeAutospacing="1" w:after="100" w:afterAutospacing="1"/>
      <w:jc w:val="left"/>
    </w:pPr>
    <w:rPr>
      <w:rFonts w:ascii="宋体" w:hAnsi="宋体" w:cs="宋体"/>
      <w:kern w:val="0"/>
    </w:rPr>
  </w:style>
  <w:style w:type="paragraph" w:styleId="167">
    <w:name w:val="List Paragraph"/>
    <w:basedOn w:val="1"/>
    <w:qFormat/>
    <w:uiPriority w:val="34"/>
    <w:pPr>
      <w:ind w:firstLine="420"/>
    </w:pPr>
    <w:rPr>
      <w:szCs w:val="22"/>
    </w:rPr>
  </w:style>
  <w:style w:type="paragraph" w:customStyle="1" w:styleId="168">
    <w:name w:val="正文2"/>
    <w:basedOn w:val="1"/>
    <w:qFormat/>
    <w:uiPriority w:val="0"/>
    <w:pPr>
      <w:spacing w:before="156"/>
      <w:ind w:firstLine="510"/>
    </w:pPr>
    <w:rPr>
      <w:rFonts w:ascii="MT Extra" w:hAnsi="MT Extra" w:cs="MT Extra"/>
    </w:rPr>
  </w:style>
  <w:style w:type="paragraph" w:customStyle="1" w:styleId="169">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70">
    <w:name w:val="部分1"/>
    <w:basedOn w:val="1"/>
    <w:qFormat/>
    <w:uiPriority w:val="99"/>
    <w:pPr>
      <w:keepNext/>
      <w:pageBreakBefore/>
      <w:tabs>
        <w:tab w:val="left" w:pos="720"/>
      </w:tabs>
      <w:jc w:val="center"/>
      <w:outlineLvl w:val="0"/>
    </w:pPr>
    <w:rPr>
      <w:rFonts w:eastAsia="黑体"/>
      <w:b/>
      <w:kern w:val="44"/>
      <w:sz w:val="36"/>
    </w:rPr>
  </w:style>
  <w:style w:type="character" w:customStyle="1" w:styleId="171">
    <w:name w:val="标题 3 字符1"/>
    <w:link w:val="6"/>
    <w:qFormat/>
    <w:uiPriority w:val="0"/>
    <w:rPr>
      <w:rFonts w:ascii="Times New Roman" w:hAnsi="Times New Roman"/>
      <w:b/>
      <w:bCs/>
      <w:kern w:val="2"/>
      <w:sz w:val="21"/>
      <w:szCs w:val="32"/>
    </w:rPr>
  </w:style>
  <w:style w:type="paragraph" w:customStyle="1" w:styleId="172">
    <w:name w:val="_Style 3"/>
    <w:basedOn w:val="1"/>
    <w:next w:val="167"/>
    <w:qFormat/>
    <w:uiPriority w:val="34"/>
    <w:pPr>
      <w:ind w:firstLine="420"/>
    </w:pPr>
    <w:rPr>
      <w:szCs w:val="22"/>
    </w:rPr>
  </w:style>
  <w:style w:type="paragraph" w:customStyle="1" w:styleId="173">
    <w:name w:val="正文1"/>
    <w:basedOn w:val="1"/>
    <w:qFormat/>
    <w:uiPriority w:val="0"/>
    <w:pPr>
      <w:widowControl/>
      <w:spacing w:after="200" w:line="300" w:lineRule="atLeast"/>
      <w:jc w:val="left"/>
    </w:pPr>
    <w:rPr>
      <w:rFonts w:cs="宋体"/>
      <w:kern w:val="0"/>
      <w:sz w:val="22"/>
      <w:szCs w:val="22"/>
    </w:rPr>
  </w:style>
  <w:style w:type="paragraph" w:customStyle="1" w:styleId="174">
    <w:name w:val="纯文本1"/>
    <w:basedOn w:val="1"/>
    <w:qFormat/>
    <w:uiPriority w:val="0"/>
    <w:rPr>
      <w:rFonts w:ascii="宋体" w:hAnsi="Courier New"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F9CE87-804E-4FCE-9855-90ED4068600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97</Pages>
  <Words>9894</Words>
  <Characters>56396</Characters>
  <Lines>469</Lines>
  <Paragraphs>132</Paragraphs>
  <TotalTime>1</TotalTime>
  <ScaleCrop>false</ScaleCrop>
  <LinksUpToDate>false</LinksUpToDate>
  <CharactersWithSpaces>66158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2019-09-24T05:54:00Z</dcterms:created>
  <dc:creator>Administrator</dc:creator>
  <cp:lastModifiedBy>dell</cp:lastModifiedBy>
  <cp:lastPrinted>2019-09-30T10:07:58Z</cp:lastPrinted>
  <dcterms:modified xsi:type="dcterms:W3CDTF">2019-09-30T10:47:52Z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