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ascii="宋体" w:hAnsi="宋体" w:cs="宋体"/>
          <w:b/>
          <w:bCs/>
          <w:color w:val="auto"/>
          <w:sz w:val="48"/>
          <w:szCs w:val="48"/>
          <w:highlight w:val="none"/>
        </w:rPr>
      </w:pPr>
    </w:p>
    <w:p>
      <w:pPr>
        <w:spacing w:line="600" w:lineRule="auto"/>
        <w:ind w:firstLine="0" w:firstLineChars="0"/>
        <w:jc w:val="center"/>
        <w:rPr>
          <w:rFonts w:hint="eastAsia" w:ascii="宋体" w:hAnsi="宋体" w:eastAsia="宋体" w:cs="宋体"/>
          <w:b/>
          <w:bCs/>
          <w:color w:val="auto"/>
          <w:sz w:val="48"/>
          <w:szCs w:val="48"/>
          <w:highlight w:val="none"/>
          <w:lang w:eastAsia="zh-CN"/>
        </w:rPr>
      </w:pPr>
      <w:r>
        <w:rPr>
          <w:rFonts w:hint="eastAsia" w:ascii="宋体" w:hAnsi="宋体" w:cs="宋体"/>
          <w:b/>
          <w:bCs/>
          <w:color w:val="auto"/>
          <w:sz w:val="48"/>
          <w:szCs w:val="48"/>
          <w:highlight w:val="none"/>
          <w:lang w:eastAsia="zh-CN"/>
        </w:rPr>
        <w:t>浙江机电职业技术学院</w:t>
      </w:r>
    </w:p>
    <w:p>
      <w:pPr>
        <w:spacing w:line="600" w:lineRule="auto"/>
        <w:ind w:firstLine="964"/>
        <w:jc w:val="center"/>
        <w:rPr>
          <w:rFonts w:ascii="宋体" w:hAnsi="宋体" w:cs="宋体"/>
          <w:b/>
          <w:bCs/>
          <w:color w:val="auto"/>
          <w:sz w:val="48"/>
          <w:szCs w:val="48"/>
          <w:highlight w:val="none"/>
        </w:rPr>
      </w:pPr>
    </w:p>
    <w:p>
      <w:pPr>
        <w:snapToGrid w:val="0"/>
        <w:ind w:firstLine="0" w:firstLineChars="0"/>
        <w:rPr>
          <w:rFonts w:ascii="宋体" w:hAnsi="宋体" w:cs="宋体"/>
          <w:b/>
          <w:color w:val="auto"/>
          <w:sz w:val="72"/>
          <w:szCs w:val="72"/>
          <w:highlight w:val="none"/>
        </w:rPr>
      </w:pPr>
    </w:p>
    <w:p>
      <w:pPr>
        <w:pStyle w:val="2"/>
        <w:rPr>
          <w:color w:val="auto"/>
          <w:highlight w:val="none"/>
        </w:rPr>
      </w:pPr>
    </w:p>
    <w:p>
      <w:pPr>
        <w:snapToGrid w:val="0"/>
        <w:ind w:firstLine="0" w:firstLineChars="0"/>
        <w:jc w:val="center"/>
        <w:rPr>
          <w:rFonts w:ascii="宋体" w:hAnsi="宋体" w:cs="宋体"/>
          <w:b/>
          <w:color w:val="auto"/>
          <w:sz w:val="72"/>
          <w:szCs w:val="72"/>
          <w:highlight w:val="none"/>
        </w:rPr>
      </w:pPr>
      <w:r>
        <w:rPr>
          <w:rFonts w:hint="eastAsia" w:ascii="宋体" w:hAnsi="宋体" w:cs="宋体"/>
          <w:b/>
          <w:color w:val="auto"/>
          <w:sz w:val="72"/>
          <w:szCs w:val="72"/>
          <w:highlight w:val="none"/>
        </w:rPr>
        <w:t>公开招标文件</w:t>
      </w:r>
    </w:p>
    <w:p>
      <w:pPr>
        <w:snapToGrid w:val="0"/>
        <w:ind w:firstLine="0" w:firstLineChars="0"/>
        <w:rPr>
          <w:rFonts w:ascii="宋体" w:hAnsi="宋体" w:cs="宋体"/>
          <w:b/>
          <w:color w:val="auto"/>
          <w:sz w:val="40"/>
          <w:szCs w:val="28"/>
          <w:highlight w:val="none"/>
        </w:rPr>
      </w:pPr>
    </w:p>
    <w:p>
      <w:pPr>
        <w:snapToGrid w:val="0"/>
        <w:ind w:firstLine="0" w:firstLineChars="0"/>
        <w:rPr>
          <w:rFonts w:ascii="宋体" w:hAnsi="宋体" w:cs="宋体"/>
          <w:b/>
          <w:color w:val="auto"/>
          <w:sz w:val="40"/>
          <w:szCs w:val="28"/>
          <w:highlight w:val="none"/>
        </w:rPr>
      </w:pPr>
    </w:p>
    <w:p>
      <w:pPr>
        <w:snapToGrid w:val="0"/>
        <w:ind w:firstLine="0" w:firstLineChars="0"/>
        <w:rPr>
          <w:rFonts w:ascii="宋体" w:hAnsi="宋体" w:cs="宋体"/>
          <w:b/>
          <w:color w:val="auto"/>
          <w:sz w:val="40"/>
          <w:szCs w:val="28"/>
          <w:highlight w:val="none"/>
        </w:rPr>
      </w:pP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项目名称：</w:t>
      </w:r>
      <w:r>
        <w:rPr>
          <w:rFonts w:hint="eastAsia" w:ascii="宋体" w:hAnsi="宋体" w:cs="宋体"/>
          <w:b/>
          <w:bCs/>
          <w:color w:val="auto"/>
          <w:sz w:val="32"/>
          <w:szCs w:val="32"/>
          <w:highlight w:val="none"/>
          <w:lang w:eastAsia="zh-CN"/>
        </w:rPr>
        <w:t>多岗位联动控制演练实训室</w:t>
      </w:r>
    </w:p>
    <w:p>
      <w:pPr>
        <w:snapToGrid w:val="0"/>
        <w:ind w:firstLine="643"/>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确认书号：[2019]47962号</w:t>
      </w:r>
      <w:r>
        <w:rPr>
          <w:rFonts w:hint="eastAsia" w:ascii="宋体" w:hAnsi="宋体" w:cs="宋体"/>
          <w:b/>
          <w:bCs/>
          <w:color w:val="auto"/>
          <w:sz w:val="32"/>
          <w:szCs w:val="32"/>
          <w:highlight w:val="none"/>
          <w:lang w:eastAsia="zh-CN"/>
        </w:rPr>
        <w:t>、[2019]47963号</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招标编号：</w:t>
      </w:r>
      <w:r>
        <w:rPr>
          <w:rFonts w:hint="eastAsia" w:ascii="宋体" w:hAnsi="宋体" w:cs="宋体"/>
          <w:b/>
          <w:bCs/>
          <w:color w:val="auto"/>
          <w:sz w:val="32"/>
          <w:szCs w:val="32"/>
          <w:highlight w:val="none"/>
          <w:lang w:eastAsia="zh-CN"/>
        </w:rPr>
        <w:t>ZJWSBJ-JD-201917G</w:t>
      </w:r>
    </w:p>
    <w:p>
      <w:pPr>
        <w:snapToGrid w:val="0"/>
        <w:ind w:firstLine="643"/>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招 标 人：</w:t>
      </w:r>
      <w:r>
        <w:rPr>
          <w:rFonts w:hint="eastAsia" w:ascii="宋体" w:hAnsi="宋体" w:cs="宋体"/>
          <w:b/>
          <w:bCs/>
          <w:color w:val="auto"/>
          <w:sz w:val="32"/>
          <w:szCs w:val="32"/>
          <w:highlight w:val="none"/>
          <w:lang w:eastAsia="zh-CN"/>
        </w:rPr>
        <w:t>浙江机电职业技术学院</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代理机构：浙江五石工程咨询有限公司</w:t>
      </w:r>
    </w:p>
    <w:p>
      <w:pPr>
        <w:snapToGrid w:val="0"/>
        <w:ind w:firstLine="643"/>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时    间：二〇一九年</w:t>
      </w:r>
      <w:r>
        <w:rPr>
          <w:rFonts w:hint="eastAsia" w:ascii="宋体" w:hAnsi="宋体" w:cs="宋体"/>
          <w:b/>
          <w:bCs/>
          <w:color w:val="auto"/>
          <w:sz w:val="32"/>
          <w:szCs w:val="32"/>
          <w:highlight w:val="none"/>
          <w:lang w:val="en-US" w:eastAsia="zh-CN"/>
        </w:rPr>
        <w:t>八</w:t>
      </w:r>
      <w:r>
        <w:rPr>
          <w:rFonts w:hint="eastAsia" w:ascii="宋体" w:hAnsi="宋体" w:cs="宋体"/>
          <w:b/>
          <w:bCs/>
          <w:color w:val="auto"/>
          <w:sz w:val="32"/>
          <w:szCs w:val="32"/>
          <w:highlight w:val="none"/>
        </w:rPr>
        <w:t>月</w:t>
      </w:r>
    </w:p>
    <w:p>
      <w:pPr>
        <w:pStyle w:val="2"/>
        <w:rPr>
          <w:rFonts w:hint="eastAsia"/>
          <w:color w:val="auto"/>
          <w:highlight w:val="none"/>
        </w:rPr>
      </w:pPr>
    </w:p>
    <w:p>
      <w:pPr>
        <w:snapToGrid w:val="0"/>
        <w:ind w:firstLine="643"/>
        <w:rPr>
          <w:rFonts w:ascii="宋体" w:hAnsi="宋体" w:cs="宋体"/>
          <w:b/>
          <w:bCs/>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p>
    <w:p>
      <w:pPr>
        <w:pStyle w:val="32"/>
        <w:tabs>
          <w:tab w:val="right" w:leader="dot" w:pos="8306"/>
          <w:tab w:val="clear" w:pos="8296"/>
        </w:tabs>
        <w:ind w:left="480"/>
        <w:jc w:val="center"/>
        <w:rPr>
          <w:color w:val="auto"/>
          <w:highlight w:val="none"/>
        </w:rPr>
      </w:pPr>
      <w:bookmarkStart w:id="0" w:name="_Toc32639"/>
      <w:r>
        <w:rPr>
          <w:rFonts w:hint="eastAsia" w:ascii="宋体" w:hAnsi="宋体" w:cs="宋体"/>
          <w:b/>
          <w:bCs/>
          <w:color w:val="auto"/>
          <w:sz w:val="28"/>
          <w:szCs w:val="40"/>
          <w:highlight w:val="none"/>
          <w:lang w:val="zh-CN"/>
        </w:rPr>
        <w:t>目</w:t>
      </w:r>
      <w:r>
        <w:rPr>
          <w:rFonts w:hint="eastAsia" w:ascii="宋体" w:hAnsi="宋体" w:cs="宋体"/>
          <w:b/>
          <w:bCs/>
          <w:color w:val="auto"/>
          <w:sz w:val="28"/>
          <w:szCs w:val="40"/>
          <w:highlight w:val="none"/>
        </w:rPr>
        <w:t xml:space="preserve">  </w:t>
      </w:r>
      <w:r>
        <w:rPr>
          <w:rFonts w:hint="eastAsia" w:ascii="宋体" w:hAnsi="宋体" w:cs="宋体"/>
          <w:b/>
          <w:bCs/>
          <w:color w:val="auto"/>
          <w:sz w:val="28"/>
          <w:szCs w:val="40"/>
          <w:highlight w:val="none"/>
          <w:lang w:val="zh-CN"/>
        </w:rPr>
        <w:t>录</w:t>
      </w:r>
      <w:bookmarkEnd w:id="0"/>
      <w:r>
        <w:rPr>
          <w:rFonts w:hint="eastAsia"/>
          <w:color w:val="auto"/>
          <w:highlight w:val="none"/>
        </w:rPr>
        <w:fldChar w:fldCharType="begin"/>
      </w:r>
      <w:r>
        <w:rPr>
          <w:rFonts w:hint="eastAsia"/>
          <w:color w:val="auto"/>
          <w:highlight w:val="none"/>
        </w:rPr>
        <w:instrText xml:space="preserve"> TOC \o "1-2" \h \z \u </w:instrText>
      </w:r>
      <w:r>
        <w:rPr>
          <w:rFonts w:hint="eastAsia"/>
          <w:color w:val="auto"/>
          <w:highlight w:val="none"/>
        </w:rPr>
        <w:fldChar w:fldCharType="separate"/>
      </w:r>
    </w:p>
    <w:p>
      <w:pPr>
        <w:pStyle w:val="27"/>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"_Toc4470" </w:instrText>
      </w:r>
      <w:r>
        <w:rPr>
          <w:color w:val="auto"/>
          <w:highlight w:val="none"/>
        </w:rPr>
        <w:fldChar w:fldCharType="separate"/>
      </w:r>
      <w:r>
        <w:rPr>
          <w:rFonts w:hint="eastAsia" w:cs="宋体"/>
          <w:color w:val="auto"/>
          <w:sz w:val="28"/>
          <w:szCs w:val="28"/>
          <w:highlight w:val="none"/>
        </w:rPr>
        <w:t>第一章 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_Toc4470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27"/>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"_Toc8514" </w:instrText>
      </w:r>
      <w:r>
        <w:rPr>
          <w:color w:val="auto"/>
          <w:highlight w:val="none"/>
        </w:rPr>
        <w:fldChar w:fldCharType="separate"/>
      </w:r>
      <w:r>
        <w:rPr>
          <w:rFonts w:hint="eastAsia" w:cs="宋体"/>
          <w:color w:val="auto"/>
          <w:sz w:val="28"/>
          <w:szCs w:val="28"/>
          <w:highlight w:val="none"/>
        </w:rPr>
        <w:t>第二章 项目需求说明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_Toc8514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fldChar w:fldCharType="end"/>
      </w:r>
    </w:p>
    <w:p>
      <w:pPr>
        <w:pStyle w:val="27"/>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"_Toc17984" </w:instrText>
      </w:r>
      <w:r>
        <w:rPr>
          <w:color w:val="auto"/>
          <w:highlight w:val="none"/>
        </w:rPr>
        <w:fldChar w:fldCharType="separate"/>
      </w:r>
      <w:r>
        <w:rPr>
          <w:rFonts w:hint="eastAsia" w:cs="宋体"/>
          <w:color w:val="auto"/>
          <w:sz w:val="28"/>
          <w:szCs w:val="28"/>
          <w:highlight w:val="none"/>
        </w:rPr>
        <w:t>第三章 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_Toc17984 </w:instrText>
      </w:r>
      <w:r>
        <w:rPr>
          <w:color w:val="auto"/>
          <w:sz w:val="28"/>
          <w:szCs w:val="28"/>
          <w:highlight w:val="none"/>
        </w:rPr>
        <w:fldChar w:fldCharType="separate"/>
      </w:r>
      <w:r>
        <w:rPr>
          <w:color w:val="auto"/>
          <w:sz w:val="28"/>
          <w:szCs w:val="28"/>
          <w:highlight w:val="none"/>
        </w:rPr>
        <w:t>23</w:t>
      </w:r>
      <w:r>
        <w:rPr>
          <w:color w:val="auto"/>
          <w:sz w:val="28"/>
          <w:szCs w:val="28"/>
          <w:highlight w:val="none"/>
        </w:rPr>
        <w:fldChar w:fldCharType="end"/>
      </w:r>
      <w:r>
        <w:rPr>
          <w:color w:val="auto"/>
          <w:sz w:val="28"/>
          <w:szCs w:val="28"/>
          <w:highlight w:val="none"/>
        </w:rPr>
        <w:fldChar w:fldCharType="end"/>
      </w:r>
    </w:p>
    <w:p>
      <w:pPr>
        <w:pStyle w:val="27"/>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"_Toc20600" </w:instrText>
      </w:r>
      <w:r>
        <w:rPr>
          <w:color w:val="auto"/>
          <w:highlight w:val="none"/>
        </w:rPr>
        <w:fldChar w:fldCharType="separate"/>
      </w:r>
      <w:r>
        <w:rPr>
          <w:rFonts w:hint="eastAsia" w:cs="宋体"/>
          <w:color w:val="auto"/>
          <w:sz w:val="28"/>
          <w:szCs w:val="28"/>
          <w:highlight w:val="none"/>
        </w:rPr>
        <w:t>第四章 评标办法及评分标准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_Toc20600 </w:instrText>
      </w:r>
      <w:r>
        <w:rPr>
          <w:color w:val="auto"/>
          <w:sz w:val="28"/>
          <w:szCs w:val="28"/>
          <w:highlight w:val="none"/>
        </w:rPr>
        <w:fldChar w:fldCharType="separate"/>
      </w:r>
      <w:r>
        <w:rPr>
          <w:color w:val="auto"/>
          <w:sz w:val="28"/>
          <w:szCs w:val="28"/>
          <w:highlight w:val="none"/>
        </w:rPr>
        <w:t>40</w:t>
      </w:r>
      <w:r>
        <w:rPr>
          <w:color w:val="auto"/>
          <w:sz w:val="28"/>
          <w:szCs w:val="28"/>
          <w:highlight w:val="none"/>
        </w:rPr>
        <w:fldChar w:fldCharType="end"/>
      </w:r>
      <w:r>
        <w:rPr>
          <w:color w:val="auto"/>
          <w:sz w:val="28"/>
          <w:szCs w:val="28"/>
          <w:highlight w:val="none"/>
        </w:rPr>
        <w:fldChar w:fldCharType="end"/>
      </w:r>
    </w:p>
    <w:p>
      <w:pPr>
        <w:pStyle w:val="27"/>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"_Toc1503" </w:instrText>
      </w:r>
      <w:r>
        <w:rPr>
          <w:color w:val="auto"/>
          <w:highlight w:val="none"/>
        </w:rPr>
        <w:fldChar w:fldCharType="separate"/>
      </w:r>
      <w:r>
        <w:rPr>
          <w:rFonts w:hint="eastAsia" w:cs="宋体"/>
          <w:color w:val="auto"/>
          <w:sz w:val="28"/>
          <w:szCs w:val="36"/>
          <w:highlight w:val="none"/>
        </w:rPr>
        <w:t>第五章 合同格式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_Toc1503 </w:instrText>
      </w:r>
      <w:r>
        <w:rPr>
          <w:color w:val="auto"/>
          <w:sz w:val="28"/>
          <w:szCs w:val="28"/>
          <w:highlight w:val="none"/>
        </w:rPr>
        <w:fldChar w:fldCharType="separate"/>
      </w:r>
      <w:r>
        <w:rPr>
          <w:color w:val="auto"/>
          <w:sz w:val="28"/>
          <w:szCs w:val="28"/>
          <w:highlight w:val="none"/>
        </w:rPr>
        <w:t>44</w:t>
      </w:r>
      <w:r>
        <w:rPr>
          <w:color w:val="auto"/>
          <w:sz w:val="28"/>
          <w:szCs w:val="28"/>
          <w:highlight w:val="none"/>
        </w:rPr>
        <w:fldChar w:fldCharType="end"/>
      </w:r>
      <w:r>
        <w:rPr>
          <w:color w:val="auto"/>
          <w:sz w:val="28"/>
          <w:szCs w:val="28"/>
          <w:highlight w:val="none"/>
        </w:rPr>
        <w:fldChar w:fldCharType="end"/>
      </w:r>
    </w:p>
    <w:p>
      <w:pPr>
        <w:pStyle w:val="27"/>
        <w:tabs>
          <w:tab w:val="right" w:leader="dot" w:pos="8306"/>
          <w:tab w:val="clear" w:pos="829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"_Toc27145" </w:instrText>
      </w:r>
      <w:r>
        <w:rPr>
          <w:color w:val="auto"/>
          <w:highlight w:val="none"/>
        </w:rPr>
        <w:fldChar w:fldCharType="separate"/>
      </w:r>
      <w:r>
        <w:rPr>
          <w:rFonts w:hint="eastAsia" w:cs="宋体"/>
          <w:color w:val="auto"/>
          <w:sz w:val="28"/>
          <w:szCs w:val="28"/>
          <w:highlight w:val="none"/>
        </w:rPr>
        <w:t>第六章 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_Toc27145 </w:instrText>
      </w:r>
      <w:r>
        <w:rPr>
          <w:color w:val="auto"/>
          <w:sz w:val="28"/>
          <w:szCs w:val="28"/>
          <w:highlight w:val="none"/>
        </w:rPr>
        <w:fldChar w:fldCharType="separate"/>
      </w:r>
      <w:r>
        <w:rPr>
          <w:color w:val="auto"/>
          <w:sz w:val="28"/>
          <w:szCs w:val="28"/>
          <w:highlight w:val="none"/>
        </w:rPr>
        <w:t>47</w:t>
      </w:r>
      <w:r>
        <w:rPr>
          <w:color w:val="auto"/>
          <w:sz w:val="28"/>
          <w:szCs w:val="28"/>
          <w:highlight w:val="none"/>
        </w:rPr>
        <w:fldChar w:fldCharType="end"/>
      </w:r>
      <w:r>
        <w:rPr>
          <w:color w:val="auto"/>
          <w:sz w:val="28"/>
          <w:szCs w:val="28"/>
          <w:highlight w:val="none"/>
        </w:rPr>
        <w:fldChar w:fldCharType="end"/>
      </w:r>
    </w:p>
    <w:p>
      <w:pPr>
        <w:pStyle w:val="32"/>
        <w:tabs>
          <w:tab w:val="right" w:leader="dot" w:pos="8306"/>
          <w:tab w:val="clear" w:pos="8296"/>
        </w:tabs>
        <w:ind w:left="480"/>
        <w:jc w:val="center"/>
        <w:rPr>
          <w:color w:val="auto"/>
          <w:highlight w:val="none"/>
        </w:rPr>
        <w:sectPr>
          <w:headerReference r:id="rId9" w:type="default"/>
          <w:footerReference r:id="rId11" w:type="default"/>
          <w:headerReference r:id="rId10" w:type="even"/>
          <w:footerReference r:id="rId12" w:type="even"/>
          <w:pgSz w:w="11906" w:h="16838"/>
          <w:pgMar w:top="1440" w:right="1800" w:bottom="1440" w:left="1800" w:header="851" w:footer="992" w:gutter="0"/>
          <w:cols w:space="720" w:num="1"/>
          <w:docGrid w:type="lines" w:linePitch="312" w:charSpace="0"/>
        </w:sectPr>
      </w:pPr>
      <w:r>
        <w:rPr>
          <w:rFonts w:hint="eastAsia"/>
          <w:color w:val="auto"/>
          <w:highlight w:val="none"/>
        </w:rPr>
        <w:fldChar w:fldCharType="end"/>
      </w:r>
    </w:p>
    <w:p>
      <w:pPr>
        <w:pStyle w:val="4"/>
        <w:rPr>
          <w:color w:val="auto"/>
          <w:highlight w:val="none"/>
        </w:rPr>
      </w:pPr>
      <w:bookmarkStart w:id="1" w:name="_Toc12653"/>
      <w:bookmarkStart w:id="2" w:name="_Toc4470"/>
      <w:bookmarkStart w:id="3" w:name="_Toc452457411"/>
      <w:r>
        <w:rPr>
          <w:rFonts w:hint="eastAsia" w:cs="宋体"/>
          <w:color w:val="auto"/>
          <w:highlight w:val="none"/>
        </w:rPr>
        <w:t>第一章 招标公告</w:t>
      </w:r>
      <w:bookmarkEnd w:id="1"/>
      <w:bookmarkEnd w:id="2"/>
    </w:p>
    <w:p>
      <w:pPr>
        <w:ind w:firstLine="480"/>
        <w:rPr>
          <w:color w:val="auto"/>
          <w:highlight w:val="none"/>
        </w:rPr>
      </w:pPr>
      <w:r>
        <w:rPr>
          <w:rFonts w:hint="eastAsia"/>
          <w:color w:val="auto"/>
          <w:highlight w:val="none"/>
        </w:rPr>
        <w:t>根据《中华人民共和国政府采购法》、《中华人民共和国政府采购法实施条例》和财政部令第87号《政府采购货物和服务招标投标管理办法》等有关规定，经省本级政府采购计划文书号：[2019]47962号、[2019]47963号的批准，浙江五石工程咨询有限公司受</w:t>
      </w:r>
      <w:r>
        <w:rPr>
          <w:rFonts w:hint="eastAsia"/>
          <w:color w:val="auto"/>
          <w:highlight w:val="none"/>
          <w:lang w:eastAsia="zh-CN"/>
        </w:rPr>
        <w:t>浙江机电职业技术学院</w:t>
      </w:r>
      <w:r>
        <w:rPr>
          <w:rFonts w:hint="eastAsia"/>
          <w:color w:val="auto"/>
          <w:highlight w:val="none"/>
        </w:rPr>
        <w:t>委托，就</w:t>
      </w:r>
      <w:r>
        <w:rPr>
          <w:rFonts w:hint="eastAsia"/>
          <w:color w:val="auto"/>
          <w:highlight w:val="none"/>
          <w:u w:val="single"/>
          <w:lang w:eastAsia="zh-CN"/>
        </w:rPr>
        <w:t>多岗位联动控制演练实训室</w:t>
      </w:r>
      <w:r>
        <w:rPr>
          <w:rFonts w:hint="eastAsia"/>
          <w:color w:val="auto"/>
          <w:highlight w:val="none"/>
        </w:rPr>
        <w:t>进行公开招标采购，欢迎国内合格的供应商前来投标。具体如下：</w:t>
      </w:r>
    </w:p>
    <w:p>
      <w:pPr>
        <w:pStyle w:val="5"/>
        <w:rPr>
          <w:rFonts w:ascii="宋体" w:hAnsi="宋体" w:cs="宋体"/>
          <w:color w:val="auto"/>
          <w:sz w:val="24"/>
          <w:szCs w:val="24"/>
          <w:highlight w:val="none"/>
        </w:rPr>
      </w:pPr>
      <w:bookmarkStart w:id="4" w:name="_Toc29586"/>
      <w:r>
        <w:rPr>
          <w:rStyle w:val="42"/>
          <w:rFonts w:hint="eastAsia" w:ascii="宋体" w:hAnsi="宋体" w:cs="宋体"/>
          <w:b/>
          <w:color w:val="auto"/>
          <w:sz w:val="24"/>
          <w:szCs w:val="24"/>
          <w:highlight w:val="none"/>
        </w:rPr>
        <w:t>一、招标编号：</w:t>
      </w:r>
      <w:bookmarkEnd w:id="4"/>
      <w:r>
        <w:rPr>
          <w:rFonts w:hint="eastAsia" w:ascii="宋体" w:hAnsi="宋体" w:cs="宋体"/>
          <w:color w:val="auto"/>
          <w:sz w:val="24"/>
          <w:szCs w:val="24"/>
          <w:highlight w:val="none"/>
          <w:lang w:eastAsia="zh-CN"/>
        </w:rPr>
        <w:t>ZJWSBJ-JD-201917G</w:t>
      </w:r>
    </w:p>
    <w:p>
      <w:pPr>
        <w:pStyle w:val="5"/>
        <w:rPr>
          <w:rFonts w:ascii="宋体" w:hAnsi="宋体" w:cs="宋体"/>
          <w:color w:val="auto"/>
          <w:sz w:val="24"/>
          <w:szCs w:val="24"/>
          <w:highlight w:val="none"/>
        </w:rPr>
      </w:pPr>
      <w:bookmarkStart w:id="5" w:name="_Toc11203"/>
      <w:r>
        <w:rPr>
          <w:rStyle w:val="42"/>
          <w:rFonts w:hint="eastAsia" w:ascii="宋体" w:hAnsi="宋体" w:cs="宋体"/>
          <w:b/>
          <w:color w:val="auto"/>
          <w:sz w:val="24"/>
          <w:szCs w:val="24"/>
          <w:highlight w:val="none"/>
        </w:rPr>
        <w:t>二、采购组织类型：</w:t>
      </w:r>
      <w:r>
        <w:rPr>
          <w:rFonts w:hint="eastAsia" w:ascii="宋体" w:hAnsi="宋体" w:cs="宋体"/>
          <w:color w:val="auto"/>
          <w:sz w:val="24"/>
          <w:szCs w:val="24"/>
          <w:highlight w:val="none"/>
        </w:rPr>
        <w:t>分散采购</w:t>
      </w:r>
      <w:bookmarkEnd w:id="5"/>
    </w:p>
    <w:p>
      <w:pPr>
        <w:pStyle w:val="5"/>
        <w:rPr>
          <w:rStyle w:val="42"/>
          <w:rFonts w:hint="eastAsia" w:ascii="宋体" w:hAnsi="宋体" w:cs="宋体"/>
          <w:b/>
          <w:color w:val="auto"/>
          <w:sz w:val="24"/>
          <w:szCs w:val="24"/>
          <w:highlight w:val="none"/>
        </w:rPr>
      </w:pPr>
      <w:bookmarkStart w:id="6" w:name="_Toc5262"/>
      <w:r>
        <w:rPr>
          <w:rStyle w:val="42"/>
          <w:rFonts w:hint="eastAsia" w:ascii="宋体" w:hAnsi="宋体" w:cs="宋体"/>
          <w:b/>
          <w:color w:val="auto"/>
          <w:sz w:val="24"/>
          <w:szCs w:val="24"/>
          <w:highlight w:val="none"/>
        </w:rPr>
        <w:t>三、项目概况</w:t>
      </w:r>
      <w:bookmarkEnd w:id="6"/>
    </w:p>
    <w:tbl>
      <w:tblPr>
        <w:tblStyle w:val="39"/>
        <w:tblW w:w="9860" w:type="dxa"/>
        <w:tblInd w:w="0" w:type="dxa"/>
        <w:tblLayout w:type="fixed"/>
        <w:tblCellMar>
          <w:top w:w="15" w:type="dxa"/>
          <w:left w:w="15" w:type="dxa"/>
          <w:bottom w:w="15" w:type="dxa"/>
          <w:right w:w="15" w:type="dxa"/>
        </w:tblCellMar>
      </w:tblPr>
      <w:tblGrid>
        <w:gridCol w:w="814"/>
        <w:gridCol w:w="2355"/>
        <w:gridCol w:w="915"/>
        <w:gridCol w:w="1440"/>
        <w:gridCol w:w="1065"/>
        <w:gridCol w:w="2401"/>
        <w:gridCol w:w="870"/>
      </w:tblGrid>
      <w:tr>
        <w:tblPrEx>
          <w:tblLayout w:type="fixed"/>
          <w:tblCellMar>
            <w:top w:w="15" w:type="dxa"/>
            <w:left w:w="15" w:type="dxa"/>
            <w:bottom w:w="15" w:type="dxa"/>
            <w:right w:w="15" w:type="dxa"/>
          </w:tblCellMar>
        </w:tblPrEx>
        <w:tc>
          <w:tcPr>
            <w:tcW w:w="81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序号</w:t>
            </w:r>
          </w:p>
        </w:tc>
        <w:tc>
          <w:tcPr>
            <w:tcW w:w="235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标项名称</w:t>
            </w:r>
          </w:p>
        </w:tc>
        <w:tc>
          <w:tcPr>
            <w:tcW w:w="91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数量</w:t>
            </w:r>
          </w:p>
        </w:tc>
        <w:tc>
          <w:tcPr>
            <w:tcW w:w="14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预算金额(</w:t>
            </w:r>
            <w:r>
              <w:rPr>
                <w:rFonts w:hint="eastAsia" w:ascii="宋体" w:hAnsi="宋体" w:cs="宋体"/>
                <w:color w:val="auto"/>
                <w:kern w:val="0"/>
                <w:highlight w:val="none"/>
                <w:lang w:val="en-US" w:eastAsia="zh-CN"/>
              </w:rPr>
              <w:t>万</w:t>
            </w:r>
            <w:r>
              <w:rPr>
                <w:rFonts w:hint="eastAsia" w:ascii="宋体" w:hAnsi="宋体" w:cs="宋体"/>
                <w:color w:val="auto"/>
                <w:kern w:val="0"/>
                <w:highlight w:val="none"/>
              </w:rPr>
              <w:t>元)</w:t>
            </w:r>
          </w:p>
        </w:tc>
        <w:tc>
          <w:tcPr>
            <w:tcW w:w="106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单位</w:t>
            </w:r>
          </w:p>
        </w:tc>
        <w:tc>
          <w:tcPr>
            <w:tcW w:w="2401"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简要规格描述</w:t>
            </w:r>
          </w:p>
        </w:tc>
        <w:tc>
          <w:tcPr>
            <w:tcW w:w="87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kern w:val="0"/>
                <w:highlight w:val="none"/>
              </w:rPr>
              <w:t>备注</w:t>
            </w:r>
          </w:p>
        </w:tc>
      </w:tr>
      <w:tr>
        <w:tblPrEx>
          <w:tblLayout w:type="fixed"/>
          <w:tblCellMar>
            <w:top w:w="15" w:type="dxa"/>
            <w:left w:w="15" w:type="dxa"/>
            <w:bottom w:w="15" w:type="dxa"/>
            <w:right w:w="15" w:type="dxa"/>
          </w:tblCellMar>
        </w:tblPrEx>
        <w:tc>
          <w:tcPr>
            <w:tcW w:w="814"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ind w:firstLine="0" w:firstLineChars="0"/>
              <w:jc w:val="center"/>
              <w:rPr>
                <w:rFonts w:ascii="宋体" w:hAnsi="宋体" w:cs="宋体"/>
                <w:color w:val="auto"/>
                <w:highlight w:val="none"/>
              </w:rPr>
            </w:pPr>
            <w:r>
              <w:rPr>
                <w:rFonts w:hint="eastAsia" w:ascii="宋体" w:hAnsi="宋体" w:cs="宋体"/>
                <w:color w:val="auto"/>
                <w:kern w:val="0"/>
                <w:highlight w:val="none"/>
              </w:rPr>
              <w:t>1</w:t>
            </w:r>
          </w:p>
        </w:tc>
        <w:tc>
          <w:tcPr>
            <w:tcW w:w="235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ind w:firstLine="0" w:firstLineChars="0"/>
              <w:jc w:val="center"/>
              <w:rPr>
                <w:rFonts w:hint="eastAsia" w:ascii="宋体" w:hAnsi="宋体" w:eastAsia="宋体" w:cs="宋体"/>
                <w:color w:val="auto"/>
                <w:highlight w:val="none"/>
                <w:lang w:eastAsia="zh-CN"/>
              </w:rPr>
            </w:pPr>
            <w:r>
              <w:rPr>
                <w:rFonts w:hint="eastAsia" w:ascii="宋体" w:hAnsi="宋体" w:cs="宋体"/>
                <w:color w:val="auto"/>
                <w:highlight w:val="none"/>
                <w:lang w:eastAsia="zh-CN"/>
              </w:rPr>
              <w:t>多岗位联动控制演练实训室</w:t>
            </w:r>
          </w:p>
        </w:tc>
        <w:tc>
          <w:tcPr>
            <w:tcW w:w="91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ind w:firstLine="0" w:firstLineChars="0"/>
              <w:jc w:val="center"/>
              <w:rPr>
                <w:rFonts w:ascii="宋体" w:hAnsi="宋体" w:cs="宋体"/>
                <w:color w:val="auto"/>
                <w:highlight w:val="none"/>
              </w:rPr>
            </w:pPr>
            <w:r>
              <w:rPr>
                <w:rFonts w:hint="eastAsia" w:ascii="宋体" w:hAnsi="宋体" w:cs="宋体"/>
                <w:color w:val="auto"/>
                <w:kern w:val="0"/>
                <w:highlight w:val="none"/>
              </w:rPr>
              <w:t>1</w:t>
            </w:r>
          </w:p>
        </w:tc>
        <w:tc>
          <w:tcPr>
            <w:tcW w:w="144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ind w:firstLine="0" w:firstLineChars="0"/>
              <w:jc w:val="center"/>
              <w:rPr>
                <w:rFonts w:hint="default" w:ascii="宋体" w:hAnsi="宋体" w:eastAsia="宋体" w:cs="宋体"/>
                <w:color w:val="auto"/>
                <w:highlight w:val="none"/>
                <w:lang w:val="en-US" w:eastAsia="zh-CN"/>
              </w:rPr>
            </w:pPr>
            <w:r>
              <w:rPr>
                <w:rFonts w:hint="eastAsia" w:ascii="宋体" w:hAnsi="宋体" w:cs="宋体"/>
                <w:color w:val="auto"/>
                <w:kern w:val="0"/>
                <w:highlight w:val="none"/>
                <w:lang w:val="en-US" w:eastAsia="zh-CN"/>
              </w:rPr>
              <w:t>376.5</w:t>
            </w:r>
          </w:p>
        </w:tc>
        <w:tc>
          <w:tcPr>
            <w:tcW w:w="1065"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ind w:firstLine="0" w:firstLineChars="0"/>
              <w:jc w:val="center"/>
              <w:rPr>
                <w:rFonts w:ascii="宋体" w:hAnsi="宋体" w:cs="宋体"/>
                <w:color w:val="auto"/>
                <w:highlight w:val="none"/>
              </w:rPr>
            </w:pPr>
            <w:r>
              <w:rPr>
                <w:rFonts w:hint="eastAsia" w:ascii="宋体" w:hAnsi="宋体" w:cs="宋体"/>
                <w:color w:val="auto"/>
                <w:kern w:val="0"/>
                <w:highlight w:val="none"/>
              </w:rPr>
              <w:t>批</w:t>
            </w:r>
          </w:p>
        </w:tc>
        <w:tc>
          <w:tcPr>
            <w:tcW w:w="2401"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 xml:space="preserve">详见第二章项目需求说明 </w:t>
            </w:r>
          </w:p>
        </w:tc>
        <w:tc>
          <w:tcPr>
            <w:tcW w:w="870"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spacing w:line="240" w:lineRule="auto"/>
              <w:ind w:firstLine="0" w:firstLineChars="0"/>
              <w:jc w:val="center"/>
              <w:rPr>
                <w:rFonts w:ascii="宋体" w:hAnsi="宋体" w:cs="宋体"/>
                <w:color w:val="auto"/>
                <w:highlight w:val="none"/>
              </w:rPr>
            </w:pPr>
          </w:p>
        </w:tc>
      </w:tr>
    </w:tbl>
    <w:p>
      <w:pPr>
        <w:rPr>
          <w:color w:val="auto"/>
          <w:highlight w:val="none"/>
        </w:rPr>
      </w:pPr>
    </w:p>
    <w:p>
      <w:pPr>
        <w:pStyle w:val="5"/>
        <w:rPr>
          <w:rFonts w:ascii="宋体" w:hAnsi="宋体" w:cs="宋体"/>
          <w:color w:val="auto"/>
          <w:sz w:val="24"/>
          <w:szCs w:val="24"/>
          <w:highlight w:val="none"/>
        </w:rPr>
      </w:pPr>
      <w:bookmarkStart w:id="7" w:name="_Toc24393"/>
      <w:r>
        <w:rPr>
          <w:rStyle w:val="42"/>
          <w:rFonts w:hint="eastAsia" w:ascii="宋体" w:hAnsi="宋体" w:cs="宋体"/>
          <w:b/>
          <w:color w:val="auto"/>
          <w:sz w:val="24"/>
          <w:szCs w:val="24"/>
          <w:highlight w:val="none"/>
        </w:rPr>
        <w:t>四、投标人资格要求:</w:t>
      </w:r>
      <w:bookmarkEnd w:id="7"/>
    </w:p>
    <w:p>
      <w:pPr>
        <w:pStyle w:val="6"/>
        <w:ind w:firstLine="241" w:firstLineChars="100"/>
        <w:rPr>
          <w:rFonts w:ascii="宋体" w:hAnsi="宋体" w:cs="宋体"/>
          <w:b w:val="0"/>
          <w:color w:val="auto"/>
          <w:kern w:val="0"/>
          <w:highlight w:val="none"/>
        </w:rPr>
      </w:pPr>
      <w:r>
        <w:rPr>
          <w:rFonts w:hint="eastAsia" w:ascii="宋体" w:hAnsi="宋体" w:cs="宋体"/>
          <w:color w:val="auto"/>
          <w:highlight w:val="none"/>
        </w:rPr>
        <w:t>（一）基本资格要求</w:t>
      </w:r>
    </w:p>
    <w:p>
      <w:pPr>
        <w:pStyle w:val="36"/>
        <w:spacing w:before="75" w:beforeAutospacing="0" w:after="75" w:afterAutospacing="0" w:line="360" w:lineRule="auto"/>
        <w:ind w:firstLine="480" w:firstLineChars="200"/>
        <w:rPr>
          <w:color w:val="auto"/>
          <w:highlight w:val="none"/>
        </w:rPr>
      </w:pPr>
      <w:r>
        <w:rPr>
          <w:rFonts w:hint="eastAsia"/>
          <w:color w:val="auto"/>
          <w:highlight w:val="none"/>
        </w:rPr>
        <w:t>1.符合《中华人民共和国政府采购法》第二十二条第一款的规定。</w:t>
      </w:r>
    </w:p>
    <w:p>
      <w:pPr>
        <w:pStyle w:val="36"/>
        <w:spacing w:before="75" w:beforeAutospacing="0" w:after="75" w:afterAutospacing="0" w:line="360" w:lineRule="auto"/>
        <w:ind w:firstLine="480" w:firstLineChars="200"/>
        <w:rPr>
          <w:color w:val="auto"/>
          <w:highlight w:val="none"/>
        </w:rPr>
      </w:pPr>
      <w:r>
        <w:rPr>
          <w:rFonts w:hint="eastAsia"/>
          <w:color w:val="auto"/>
          <w:highlight w:val="none"/>
        </w:rPr>
        <w:t>2.未被信用中国网站（www.creditchina.gov.cn）列入失信被执行人、重大税收违法案件当事人名单，未被中国政府采购网（www.ccgp.gov.cn）列入政府采购严重违法失信行为记录名单。</w:t>
      </w:r>
    </w:p>
    <w:p>
      <w:pPr>
        <w:pStyle w:val="36"/>
        <w:spacing w:before="75" w:beforeAutospacing="0" w:after="75" w:afterAutospacing="0" w:line="360" w:lineRule="auto"/>
        <w:ind w:firstLine="480" w:firstLineChars="200"/>
        <w:rPr>
          <w:color w:val="auto"/>
          <w:highlight w:val="none"/>
        </w:rPr>
      </w:pPr>
      <w:r>
        <w:rPr>
          <w:rFonts w:hint="eastAsia"/>
          <w:color w:val="auto"/>
          <w:highlight w:val="none"/>
        </w:rPr>
        <w:t>3.单位负责人为同一人或者存在直接控股、管理关系的不同供应商，不得参加同一合同项下的政府采购活动。</w:t>
      </w:r>
    </w:p>
    <w:p>
      <w:pPr>
        <w:pStyle w:val="6"/>
        <w:ind w:firstLine="241" w:firstLineChars="100"/>
        <w:rPr>
          <w:color w:val="auto"/>
          <w:highlight w:val="none"/>
        </w:rPr>
      </w:pPr>
      <w:r>
        <w:rPr>
          <w:rFonts w:hint="eastAsia" w:ascii="宋体" w:hAnsi="宋体" w:cs="宋体"/>
          <w:color w:val="auto"/>
          <w:highlight w:val="none"/>
        </w:rPr>
        <w:t>（二）特定资格要求：无。</w:t>
      </w:r>
    </w:p>
    <w:p>
      <w:pPr>
        <w:pStyle w:val="6"/>
        <w:ind w:firstLine="241" w:firstLineChars="100"/>
        <w:rPr>
          <w:rFonts w:ascii="Arial" w:hAnsi="Arial" w:cs="Arial"/>
          <w:color w:val="auto"/>
          <w:kern w:val="0"/>
          <w:szCs w:val="21"/>
          <w:highlight w:val="none"/>
        </w:rPr>
      </w:pPr>
      <w:r>
        <w:rPr>
          <w:rFonts w:hint="eastAsia" w:ascii="宋体" w:hAnsi="宋体" w:cs="宋体"/>
          <w:color w:val="auto"/>
          <w:highlight w:val="none"/>
        </w:rPr>
        <w:t>（三）本项目不接受联合体投标</w:t>
      </w:r>
      <w:r>
        <w:rPr>
          <w:rFonts w:hint="eastAsia" w:ascii="Arial" w:hAnsi="Arial" w:cs="Arial"/>
          <w:color w:val="auto"/>
          <w:kern w:val="0"/>
          <w:szCs w:val="21"/>
          <w:highlight w:val="none"/>
        </w:rPr>
        <w:t>。</w:t>
      </w:r>
    </w:p>
    <w:p>
      <w:pPr>
        <w:pStyle w:val="36"/>
        <w:spacing w:before="75" w:beforeAutospacing="0" w:after="75" w:afterAutospacing="0" w:line="360" w:lineRule="auto"/>
        <w:rPr>
          <w:rFonts w:cs="宋体"/>
          <w:color w:val="auto"/>
          <w:highlight w:val="none"/>
        </w:rPr>
      </w:pPr>
      <w:r>
        <w:rPr>
          <w:rStyle w:val="42"/>
          <w:rFonts w:hint="eastAsia" w:cs="宋体"/>
          <w:color w:val="auto"/>
          <w:highlight w:val="none"/>
        </w:rPr>
        <w:t>五、</w:t>
      </w:r>
      <w:r>
        <w:rPr>
          <w:rStyle w:val="42"/>
          <w:rFonts w:hint="eastAsia" w:cs="宋体"/>
          <w:bCs/>
          <w:color w:val="auto"/>
          <w:kern w:val="2"/>
          <w:highlight w:val="none"/>
        </w:rPr>
        <w:t>获取招标文件的时间期限、地点、方式及招标文件售价</w:t>
      </w:r>
    </w:p>
    <w:p>
      <w:pPr>
        <w:ind w:firstLine="482"/>
        <w:rPr>
          <w:rFonts w:ascii="宋体" w:hAnsi="宋体" w:cs="宋体"/>
          <w:color w:val="auto"/>
          <w:highlight w:val="none"/>
        </w:rPr>
      </w:pPr>
      <w:r>
        <w:rPr>
          <w:rStyle w:val="42"/>
          <w:rFonts w:hint="eastAsia" w:ascii="宋体" w:hAnsi="宋体" w:cs="宋体"/>
          <w:color w:val="auto"/>
          <w:highlight w:val="none"/>
        </w:rPr>
        <w:t>1.</w:t>
      </w:r>
      <w:r>
        <w:rPr>
          <w:rStyle w:val="42"/>
          <w:rFonts w:hint="eastAsia" w:ascii="宋体" w:hAnsi="宋体" w:cs="宋体"/>
          <w:bCs/>
          <w:color w:val="auto"/>
          <w:highlight w:val="none"/>
        </w:rPr>
        <w:t>时间期限：</w:t>
      </w:r>
      <w:r>
        <w:rPr>
          <w:rFonts w:hint="eastAsia" w:ascii="宋体" w:hAnsi="宋体" w:cs="宋体"/>
          <w:color w:val="auto"/>
          <w:highlight w:val="none"/>
        </w:rPr>
        <w:t>2019-0</w:t>
      </w:r>
      <w:r>
        <w:rPr>
          <w:rFonts w:hint="eastAsia" w:ascii="宋体" w:hAnsi="宋体" w:cs="宋体"/>
          <w:color w:val="auto"/>
          <w:highlight w:val="none"/>
          <w:lang w:val="en-US" w:eastAsia="zh-CN"/>
        </w:rPr>
        <w:t>8</w:t>
      </w:r>
      <w:r>
        <w:rPr>
          <w:rFonts w:hint="eastAsia" w:ascii="宋体" w:hAnsi="宋体" w:cs="宋体"/>
          <w:color w:val="auto"/>
          <w:highlight w:val="none"/>
        </w:rPr>
        <w:t>-</w:t>
      </w:r>
      <w:r>
        <w:rPr>
          <w:rFonts w:hint="eastAsia" w:ascii="宋体" w:hAnsi="宋体" w:cs="宋体"/>
          <w:color w:val="auto"/>
          <w:highlight w:val="none"/>
          <w:lang w:val="en-US" w:eastAsia="zh-CN"/>
        </w:rPr>
        <w:t>29</w:t>
      </w:r>
      <w:r>
        <w:rPr>
          <w:rFonts w:hint="eastAsia" w:ascii="宋体" w:hAnsi="宋体" w:cs="宋体"/>
          <w:color w:val="auto"/>
          <w:highlight w:val="none"/>
        </w:rPr>
        <w:t>至2019-0</w:t>
      </w:r>
      <w:r>
        <w:rPr>
          <w:rFonts w:hint="eastAsia" w:ascii="宋体" w:hAnsi="宋体" w:cs="宋体"/>
          <w:color w:val="auto"/>
          <w:highlight w:val="none"/>
          <w:lang w:val="en-US" w:eastAsia="zh-CN"/>
        </w:rPr>
        <w:t>9</w:t>
      </w:r>
      <w:r>
        <w:rPr>
          <w:rFonts w:hint="eastAsia" w:ascii="宋体" w:hAnsi="宋体" w:cs="宋体"/>
          <w:color w:val="auto"/>
          <w:highlight w:val="none"/>
        </w:rPr>
        <w:t>-</w:t>
      </w:r>
      <w:r>
        <w:rPr>
          <w:rFonts w:hint="eastAsia" w:ascii="宋体" w:hAnsi="宋体" w:cs="宋体"/>
          <w:color w:val="auto"/>
          <w:highlight w:val="none"/>
          <w:lang w:val="en-US" w:eastAsia="zh-CN"/>
        </w:rPr>
        <w:t>05</w:t>
      </w:r>
      <w:r>
        <w:rPr>
          <w:rFonts w:hint="eastAsia" w:ascii="宋体" w:hAnsi="宋体" w:cs="宋体"/>
          <w:color w:val="auto"/>
          <w:highlight w:val="none"/>
        </w:rPr>
        <w:t>（上午：09:00-11:30；下午：13:30-16:30）</w:t>
      </w:r>
    </w:p>
    <w:p>
      <w:pPr>
        <w:ind w:firstLine="482"/>
        <w:rPr>
          <w:rFonts w:ascii="宋体" w:hAnsi="宋体" w:cs="宋体"/>
          <w:color w:val="auto"/>
          <w:highlight w:val="none"/>
        </w:rPr>
      </w:pPr>
      <w:r>
        <w:rPr>
          <w:rStyle w:val="42"/>
          <w:rFonts w:hint="eastAsia" w:ascii="宋体" w:hAnsi="宋体" w:cs="宋体"/>
          <w:color w:val="auto"/>
          <w:highlight w:val="none"/>
        </w:rPr>
        <w:t>2．地点：</w:t>
      </w:r>
      <w:r>
        <w:rPr>
          <w:rFonts w:hint="eastAsia" w:ascii="宋体" w:hAnsi="宋体" w:cs="宋体"/>
          <w:color w:val="auto"/>
          <w:highlight w:val="none"/>
        </w:rPr>
        <w:t xml:space="preserve"> 浙江五石工程咨询有限公司（杭州市滨江区东方通信科技园启迪楼2楼1207室）</w:t>
      </w:r>
    </w:p>
    <w:p>
      <w:pPr>
        <w:ind w:firstLine="482"/>
        <w:rPr>
          <w:rFonts w:ascii="宋体" w:hAnsi="宋体" w:cs="宋体"/>
          <w:color w:val="auto"/>
          <w:highlight w:val="none"/>
        </w:rPr>
      </w:pPr>
      <w:r>
        <w:rPr>
          <w:rStyle w:val="42"/>
          <w:rFonts w:hint="eastAsia" w:ascii="宋体" w:hAnsi="宋体" w:cs="宋体"/>
          <w:color w:val="auto"/>
          <w:highlight w:val="none"/>
        </w:rPr>
        <w:t>3.方式：</w:t>
      </w:r>
      <w:r>
        <w:rPr>
          <w:rFonts w:hint="eastAsia" w:ascii="宋体" w:hAnsi="宋体" w:cs="宋体"/>
          <w:color w:val="auto"/>
          <w:highlight w:val="none"/>
        </w:rPr>
        <w:t>（1）现场报名：现场报名需携带报名资料，并现场交纳报名费。（2）网上报名：前往浙江五石工程咨询有限公司官网：http://zjwsbidding.com/招投标专区进行报名</w:t>
      </w:r>
      <w:r>
        <w:rPr>
          <w:rFonts w:hint="eastAsia" w:ascii="宋体" w:hAnsi="宋体" w:cs="宋体"/>
          <w:color w:val="auto"/>
          <w:highlight w:val="none"/>
          <w:lang w:eastAsia="zh-CN"/>
        </w:rPr>
        <w:t>。</w:t>
      </w:r>
      <w:r>
        <w:rPr>
          <w:rFonts w:hint="eastAsia" w:ascii="宋体" w:hAnsi="宋体" w:cs="宋体"/>
          <w:color w:val="auto"/>
          <w:highlight w:val="none"/>
        </w:rPr>
        <w:t>（3）投标人报名时应提交的资料：</w:t>
      </w:r>
    </w:p>
    <w:p>
      <w:pPr>
        <w:ind w:firstLine="480"/>
        <w:rPr>
          <w:rFonts w:ascii="宋体" w:hAnsi="宋体" w:cs="宋体"/>
          <w:color w:val="auto"/>
          <w:highlight w:val="none"/>
        </w:rPr>
      </w:pPr>
      <w:r>
        <w:rPr>
          <w:rFonts w:hint="eastAsia" w:ascii="宋体" w:hAnsi="宋体" w:cs="宋体"/>
          <w:color w:val="auto"/>
          <w:highlight w:val="none"/>
        </w:rPr>
        <w:t>1）营业执照副本复印件（加盖单位公章）；</w:t>
      </w:r>
    </w:p>
    <w:p>
      <w:pPr>
        <w:ind w:firstLine="480"/>
        <w:rPr>
          <w:rFonts w:ascii="宋体" w:hAnsi="宋体" w:cs="宋体"/>
          <w:color w:val="auto"/>
          <w:highlight w:val="none"/>
        </w:rPr>
      </w:pPr>
      <w:r>
        <w:rPr>
          <w:rFonts w:hint="eastAsia" w:ascii="宋体" w:hAnsi="宋体" w:cs="宋体"/>
          <w:color w:val="auto"/>
          <w:highlight w:val="none"/>
        </w:rPr>
        <w:t>2）受委托代理人身份证原件及复印件（加盖单位公章）；</w:t>
      </w:r>
    </w:p>
    <w:p>
      <w:pPr>
        <w:ind w:firstLine="480"/>
        <w:rPr>
          <w:rFonts w:ascii="宋体" w:hAnsi="宋体" w:cs="宋体"/>
          <w:color w:val="auto"/>
          <w:highlight w:val="none"/>
        </w:rPr>
      </w:pPr>
      <w:r>
        <w:rPr>
          <w:rFonts w:hint="eastAsia" w:ascii="宋体" w:hAnsi="宋体" w:cs="宋体"/>
          <w:color w:val="auto"/>
          <w:highlight w:val="none"/>
        </w:rPr>
        <w:t>3）法定代表人授权委托书原件；</w:t>
      </w:r>
    </w:p>
    <w:p>
      <w:pPr>
        <w:ind w:firstLine="480"/>
        <w:rPr>
          <w:rFonts w:ascii="宋体" w:hAnsi="宋体" w:cs="宋体"/>
          <w:color w:val="auto"/>
          <w:highlight w:val="none"/>
        </w:rPr>
      </w:pPr>
      <w:r>
        <w:rPr>
          <w:rFonts w:hint="eastAsia" w:ascii="宋体" w:hAnsi="宋体" w:cs="宋体"/>
          <w:color w:val="auto"/>
          <w:highlight w:val="none"/>
        </w:rPr>
        <w:t>4）供应商报名登记表；</w:t>
      </w:r>
    </w:p>
    <w:p>
      <w:pPr>
        <w:pStyle w:val="36"/>
        <w:spacing w:before="0" w:beforeAutospacing="0" w:after="0" w:afterAutospacing="0" w:line="360" w:lineRule="auto"/>
        <w:ind w:firstLine="480" w:firstLineChars="200"/>
        <w:rPr>
          <w:rStyle w:val="42"/>
          <w:rFonts w:cs="宋体"/>
          <w:b w:val="0"/>
          <w:color w:val="auto"/>
          <w:highlight w:val="none"/>
        </w:rPr>
      </w:pPr>
      <w:r>
        <w:rPr>
          <w:rFonts w:hint="eastAsia" w:cs="宋体"/>
          <w:color w:val="auto"/>
          <w:highlight w:val="none"/>
        </w:rPr>
        <w:t>5）提示：</w:t>
      </w:r>
      <w:r>
        <w:rPr>
          <w:rStyle w:val="42"/>
          <w:rFonts w:hint="eastAsia" w:cs="宋体"/>
          <w:b w:val="0"/>
          <w:color w:val="auto"/>
          <w:highlight w:val="none"/>
        </w:rPr>
        <w:t>投标人未按上述方式获取的招标文件与采购代理机构发布的招标文件不一致的，由其自行承担由此产生的后果。</w:t>
      </w:r>
    </w:p>
    <w:p>
      <w:pPr>
        <w:pStyle w:val="36"/>
        <w:spacing w:before="0" w:beforeAutospacing="0" w:after="0" w:afterAutospacing="0" w:line="360" w:lineRule="auto"/>
        <w:ind w:firstLine="480" w:firstLineChars="200"/>
        <w:rPr>
          <w:rStyle w:val="42"/>
          <w:rFonts w:cs="宋体"/>
          <w:b w:val="0"/>
          <w:color w:val="auto"/>
          <w:highlight w:val="none"/>
        </w:rPr>
      </w:pPr>
      <w:r>
        <w:rPr>
          <w:rStyle w:val="42"/>
          <w:rFonts w:hint="eastAsia" w:cs="宋体"/>
          <w:b w:val="0"/>
          <w:color w:val="auto"/>
          <w:highlight w:val="none"/>
        </w:rPr>
        <w:t>6）</w:t>
      </w:r>
      <w:r>
        <w:rPr>
          <w:rFonts w:hint="eastAsia" w:cs="宋体"/>
          <w:color w:val="auto"/>
          <w:szCs w:val="32"/>
          <w:highlight w:val="none"/>
        </w:rPr>
        <w:t>招标文件发售截止之后有潜在投标人提出要求获取招标文件的允许其获取，如对招标文件有质疑的应在规定质疑期限内提出。</w:t>
      </w:r>
    </w:p>
    <w:p>
      <w:pPr>
        <w:ind w:firstLine="482"/>
        <w:rPr>
          <w:rStyle w:val="42"/>
          <w:rFonts w:ascii="宋体" w:hAnsi="宋体" w:cs="宋体"/>
          <w:bCs/>
          <w:color w:val="auto"/>
          <w:highlight w:val="none"/>
        </w:rPr>
      </w:pPr>
      <w:r>
        <w:rPr>
          <w:rStyle w:val="42"/>
          <w:rFonts w:hint="eastAsia" w:ascii="宋体" w:hAnsi="宋体" w:cs="宋体"/>
          <w:bCs/>
          <w:color w:val="auto"/>
          <w:highlight w:val="none"/>
        </w:rPr>
        <w:t>4.招标文件售价：</w:t>
      </w:r>
      <w:r>
        <w:rPr>
          <w:rStyle w:val="42"/>
          <w:rFonts w:hint="eastAsia" w:ascii="宋体" w:hAnsi="宋体" w:cs="宋体"/>
          <w:bCs/>
          <w:color w:val="auto"/>
          <w:highlight w:val="none"/>
          <w:lang w:val="en-US" w:eastAsia="zh-CN"/>
        </w:rPr>
        <w:t>5</w:t>
      </w:r>
      <w:r>
        <w:rPr>
          <w:rStyle w:val="42"/>
          <w:rFonts w:hint="eastAsia" w:ascii="宋体" w:hAnsi="宋体" w:cs="宋体"/>
          <w:bCs/>
          <w:color w:val="auto"/>
          <w:highlight w:val="none"/>
        </w:rPr>
        <w:t>00元</w:t>
      </w:r>
      <w:r>
        <w:rPr>
          <w:rStyle w:val="42"/>
          <w:rFonts w:hint="eastAsia" w:ascii="宋体" w:hAnsi="宋体" w:cs="宋体"/>
          <w:bCs/>
          <w:color w:val="auto"/>
          <w:highlight w:val="none"/>
          <w:lang w:val="en-US" w:eastAsia="zh-CN"/>
        </w:rPr>
        <w:t>/本</w:t>
      </w:r>
      <w:r>
        <w:rPr>
          <w:rStyle w:val="42"/>
          <w:rFonts w:hint="eastAsia" w:ascii="宋体" w:hAnsi="宋体" w:cs="宋体"/>
          <w:bCs/>
          <w:color w:val="auto"/>
          <w:highlight w:val="none"/>
        </w:rPr>
        <w:t xml:space="preserve">（售后不退） </w:t>
      </w:r>
    </w:p>
    <w:p>
      <w:pPr>
        <w:pStyle w:val="36"/>
        <w:spacing w:before="75" w:beforeAutospacing="0" w:after="75" w:afterAutospacing="0" w:line="360" w:lineRule="auto"/>
        <w:rPr>
          <w:rStyle w:val="42"/>
          <w:rFonts w:cs="宋体"/>
          <w:color w:val="auto"/>
          <w:highlight w:val="none"/>
        </w:rPr>
      </w:pPr>
      <w:r>
        <w:rPr>
          <w:rStyle w:val="42"/>
          <w:rFonts w:hint="eastAsia" w:cs="宋体"/>
          <w:color w:val="auto"/>
          <w:highlight w:val="none"/>
        </w:rPr>
        <w:t>六、本项目招标文件公告期限为：</w:t>
      </w:r>
      <w:r>
        <w:rPr>
          <w:rStyle w:val="42"/>
          <w:rFonts w:hint="eastAsia" w:cs="宋体"/>
          <w:b w:val="0"/>
          <w:bCs/>
          <w:color w:val="auto"/>
          <w:highlight w:val="none"/>
        </w:rPr>
        <w:t>本公告发布之日起五个工作日。</w:t>
      </w:r>
    </w:p>
    <w:p>
      <w:pPr>
        <w:pStyle w:val="5"/>
        <w:rPr>
          <w:rFonts w:ascii="宋体" w:hAnsi="宋体" w:cs="宋体"/>
          <w:color w:val="auto"/>
          <w:kern w:val="0"/>
          <w:sz w:val="24"/>
          <w:szCs w:val="24"/>
          <w:highlight w:val="none"/>
          <w:shd w:val="clear" w:color="auto" w:fill="FFFFFF"/>
          <w:lang w:bidi="ar"/>
        </w:rPr>
      </w:pPr>
      <w:bookmarkStart w:id="8" w:name="_Toc1080"/>
      <w:r>
        <w:rPr>
          <w:rStyle w:val="42"/>
          <w:rFonts w:hint="eastAsia" w:ascii="宋体" w:hAnsi="宋体" w:cs="宋体"/>
          <w:b/>
          <w:color w:val="auto"/>
          <w:sz w:val="24"/>
          <w:szCs w:val="24"/>
          <w:highlight w:val="none"/>
        </w:rPr>
        <w:t>七、</w:t>
      </w:r>
      <w:r>
        <w:rPr>
          <w:rFonts w:hint="eastAsia" w:ascii="宋体" w:hAnsi="宋体" w:cs="宋体"/>
          <w:color w:val="auto"/>
          <w:kern w:val="0"/>
          <w:sz w:val="24"/>
          <w:szCs w:val="24"/>
          <w:highlight w:val="none"/>
          <w:shd w:val="clear" w:color="auto" w:fill="FFFFFF"/>
          <w:lang w:bidi="ar"/>
        </w:rPr>
        <w:t>投标截止时间、开标时间及地点</w:t>
      </w:r>
      <w:bookmarkEnd w:id="8"/>
    </w:p>
    <w:p>
      <w:pPr>
        <w:pStyle w:val="5"/>
        <w:ind w:firstLine="482" w:firstLineChars="200"/>
        <w:rPr>
          <w:rFonts w:hint="eastAsia" w:ascii="宋体" w:hAnsi="宋体" w:eastAsia="宋体" w:cs="宋体"/>
          <w:b w:val="0"/>
          <w:bCs w:val="0"/>
          <w:color w:val="auto"/>
          <w:sz w:val="24"/>
          <w:szCs w:val="24"/>
          <w:highlight w:val="none"/>
          <w:lang w:eastAsia="zh-CN"/>
        </w:rPr>
      </w:pPr>
      <w:bookmarkStart w:id="9" w:name="_Toc2231"/>
      <w:r>
        <w:rPr>
          <w:rStyle w:val="42"/>
          <w:rFonts w:hint="eastAsia" w:ascii="宋体" w:hAnsi="宋体" w:cs="宋体"/>
          <w:b/>
          <w:color w:val="auto"/>
          <w:sz w:val="24"/>
          <w:szCs w:val="24"/>
          <w:highlight w:val="none"/>
        </w:rPr>
        <w:t>1.投标截止时间：</w:t>
      </w:r>
      <w:r>
        <w:rPr>
          <w:rFonts w:hint="eastAsia" w:ascii="宋体" w:hAnsi="宋体" w:cs="宋体"/>
          <w:color w:val="auto"/>
          <w:sz w:val="24"/>
          <w:szCs w:val="24"/>
          <w:highlight w:val="none"/>
        </w:rPr>
        <w:t xml:space="preserve"> </w:t>
      </w:r>
      <w:bookmarkEnd w:id="9"/>
      <w:r>
        <w:rPr>
          <w:rFonts w:hint="eastAsia" w:ascii="宋体" w:hAnsi="宋体" w:cs="宋体"/>
          <w:b w:val="0"/>
          <w:bCs w:val="0"/>
          <w:color w:val="auto"/>
          <w:sz w:val="24"/>
          <w:szCs w:val="24"/>
          <w:highlight w:val="none"/>
          <w:lang w:eastAsia="zh-CN"/>
        </w:rPr>
        <w:t>2019-09-18  09:30:00</w:t>
      </w:r>
    </w:p>
    <w:p>
      <w:pPr>
        <w:pStyle w:val="5"/>
        <w:ind w:firstLine="482" w:firstLineChars="200"/>
        <w:rPr>
          <w:rStyle w:val="42"/>
          <w:rFonts w:hint="eastAsia" w:ascii="宋体" w:hAnsi="宋体" w:eastAsia="宋体" w:cs="宋体"/>
          <w:b w:val="0"/>
          <w:bCs w:val="0"/>
          <w:color w:val="auto"/>
          <w:sz w:val="24"/>
          <w:szCs w:val="24"/>
          <w:highlight w:val="none"/>
          <w:lang w:eastAsia="zh-CN"/>
        </w:rPr>
      </w:pPr>
      <w:bookmarkStart w:id="10" w:name="_Toc22852"/>
      <w:r>
        <w:rPr>
          <w:rStyle w:val="42"/>
          <w:rFonts w:hint="eastAsia" w:ascii="宋体" w:hAnsi="宋体" w:cs="宋体"/>
          <w:b/>
          <w:color w:val="auto"/>
          <w:sz w:val="24"/>
          <w:szCs w:val="24"/>
          <w:highlight w:val="none"/>
        </w:rPr>
        <w:t>2.开标时间：</w:t>
      </w:r>
      <w:r>
        <w:rPr>
          <w:rStyle w:val="42"/>
          <w:rFonts w:hint="eastAsia" w:ascii="宋体" w:hAnsi="宋体" w:cs="宋体"/>
          <w:b w:val="0"/>
          <w:bCs w:val="0"/>
          <w:color w:val="auto"/>
          <w:sz w:val="24"/>
          <w:szCs w:val="24"/>
          <w:highlight w:val="none"/>
        </w:rPr>
        <w:t xml:space="preserve"> </w:t>
      </w:r>
      <w:bookmarkEnd w:id="10"/>
      <w:r>
        <w:rPr>
          <w:rStyle w:val="42"/>
          <w:rFonts w:hint="eastAsia" w:ascii="宋体" w:hAnsi="宋体" w:cs="宋体"/>
          <w:b w:val="0"/>
          <w:bCs w:val="0"/>
          <w:color w:val="auto"/>
          <w:sz w:val="24"/>
          <w:szCs w:val="24"/>
          <w:highlight w:val="none"/>
          <w:lang w:eastAsia="zh-CN"/>
        </w:rPr>
        <w:t>2019-09-18  09:30:00</w:t>
      </w:r>
    </w:p>
    <w:p>
      <w:pPr>
        <w:pStyle w:val="5"/>
        <w:ind w:firstLine="482" w:firstLineChars="200"/>
        <w:rPr>
          <w:rStyle w:val="42"/>
          <w:rFonts w:ascii="宋体" w:hAnsi="宋体" w:cs="宋体"/>
          <w:b w:val="0"/>
          <w:bCs w:val="0"/>
          <w:color w:val="auto"/>
          <w:sz w:val="24"/>
          <w:szCs w:val="24"/>
          <w:highlight w:val="none"/>
        </w:rPr>
      </w:pPr>
      <w:bookmarkStart w:id="11" w:name="_Toc26036"/>
      <w:r>
        <w:rPr>
          <w:rStyle w:val="42"/>
          <w:rFonts w:hint="eastAsia" w:ascii="宋体" w:hAnsi="宋体" w:cs="宋体"/>
          <w:b/>
          <w:color w:val="auto"/>
          <w:sz w:val="24"/>
          <w:szCs w:val="24"/>
          <w:highlight w:val="none"/>
        </w:rPr>
        <w:t>3.开标地点：</w:t>
      </w:r>
      <w:bookmarkEnd w:id="11"/>
      <w:r>
        <w:rPr>
          <w:rStyle w:val="42"/>
          <w:rFonts w:hint="eastAsia" w:ascii="宋体" w:hAnsi="宋体" w:cs="宋体"/>
          <w:b/>
          <w:color w:val="auto"/>
          <w:sz w:val="24"/>
          <w:szCs w:val="24"/>
          <w:highlight w:val="none"/>
          <w:lang w:eastAsia="zh-CN"/>
        </w:rPr>
        <w:t>杭州市滨江区东信大道66号东方通信科技园启迪楼2楼会议室2</w:t>
      </w:r>
    </w:p>
    <w:p>
      <w:pPr>
        <w:pStyle w:val="5"/>
        <w:rPr>
          <w:rFonts w:ascii="宋体" w:hAnsi="宋体" w:cs="宋体"/>
          <w:color w:val="auto"/>
          <w:sz w:val="24"/>
          <w:szCs w:val="24"/>
          <w:highlight w:val="none"/>
        </w:rPr>
      </w:pPr>
      <w:bookmarkStart w:id="12" w:name="_Toc15758"/>
      <w:r>
        <w:rPr>
          <w:rStyle w:val="42"/>
          <w:rFonts w:hint="eastAsia" w:ascii="宋体" w:hAnsi="宋体" w:cs="宋体"/>
          <w:b/>
          <w:color w:val="auto"/>
          <w:sz w:val="24"/>
          <w:szCs w:val="24"/>
          <w:highlight w:val="none"/>
        </w:rPr>
        <w:t>八、投标保证金：无</w:t>
      </w:r>
      <w:bookmarkEnd w:id="12"/>
    </w:p>
    <w:p>
      <w:pPr>
        <w:pStyle w:val="5"/>
        <w:rPr>
          <w:rFonts w:ascii="宋体" w:hAnsi="宋体" w:cs="宋体"/>
          <w:color w:val="auto"/>
          <w:sz w:val="24"/>
          <w:szCs w:val="24"/>
          <w:highlight w:val="none"/>
        </w:rPr>
      </w:pPr>
      <w:bookmarkStart w:id="13" w:name="_Toc6191"/>
      <w:r>
        <w:rPr>
          <w:rStyle w:val="42"/>
          <w:rFonts w:hint="eastAsia" w:ascii="宋体" w:hAnsi="宋体" w:cs="宋体"/>
          <w:b/>
          <w:color w:val="auto"/>
          <w:sz w:val="24"/>
          <w:szCs w:val="24"/>
          <w:highlight w:val="none"/>
        </w:rPr>
        <w:t>九、其他事项：</w:t>
      </w:r>
      <w:bookmarkEnd w:id="13"/>
    </w:p>
    <w:p>
      <w:pPr>
        <w:pStyle w:val="36"/>
        <w:spacing w:before="0" w:beforeAutospacing="0" w:after="0" w:afterAutospacing="0" w:line="360" w:lineRule="auto"/>
        <w:ind w:firstLine="334"/>
        <w:rPr>
          <w:rStyle w:val="42"/>
          <w:rFonts w:cs="宋体"/>
          <w:b w:val="0"/>
          <w:color w:val="auto"/>
          <w:kern w:val="2"/>
          <w:highlight w:val="none"/>
        </w:rPr>
      </w:pPr>
      <w:r>
        <w:rPr>
          <w:rStyle w:val="42"/>
          <w:rFonts w:hint="eastAsia" w:cs="宋体"/>
          <w:b w:val="0"/>
          <w:color w:val="auto"/>
          <w:kern w:val="2"/>
          <w:highlight w:val="none"/>
        </w:rPr>
        <w:t>1.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pPr>
        <w:pStyle w:val="36"/>
        <w:spacing w:before="0" w:beforeAutospacing="0" w:after="0" w:afterAutospacing="0" w:line="360" w:lineRule="auto"/>
        <w:ind w:firstLine="334"/>
        <w:rPr>
          <w:rStyle w:val="42"/>
          <w:rFonts w:cs="宋体"/>
          <w:b w:val="0"/>
          <w:color w:val="auto"/>
          <w:highlight w:val="none"/>
        </w:rPr>
      </w:pPr>
      <w:r>
        <w:rPr>
          <w:rStyle w:val="42"/>
          <w:rFonts w:hint="eastAsia" w:cs="宋体"/>
          <w:b w:val="0"/>
          <w:color w:val="auto"/>
          <w:highlight w:val="none"/>
        </w:rPr>
        <w:t>2.</w:t>
      </w:r>
      <w:r>
        <w:rPr>
          <w:rFonts w:hint="eastAsia" w:cs="宋体"/>
          <w:color w:val="auto"/>
          <w:highlight w:val="none"/>
        </w:rPr>
        <w:t>供应商认为采购文件使自己的权益受到损害的，可以自收到采购文件之日（时间期限截止日之后收到采购文件的，以时间期限截止日为准）起7个工作日内且应当在投标截止时间之前，以书面形式一次性向采购人和采购代理机构提出同一环节的质疑。否则，被质疑人可不予接受。</w:t>
      </w:r>
      <w:r>
        <w:rPr>
          <w:rStyle w:val="42"/>
          <w:rFonts w:hint="eastAsia" w:cs="宋体"/>
          <w:b w:val="0"/>
          <w:color w:val="auto"/>
          <w:highlight w:val="none"/>
        </w:rPr>
        <w:t>质疑供应商对采购人、采购代理机构的答复不满意或者采购人、采购代理机构未在规定的时间内作出答复的，可以在答复期满后十五个工作日内向同级政府采购监督管理部门投诉。</w:t>
      </w:r>
    </w:p>
    <w:p>
      <w:pPr>
        <w:pStyle w:val="5"/>
        <w:rPr>
          <w:rFonts w:ascii="宋体" w:hAnsi="宋体" w:cs="宋体"/>
          <w:color w:val="auto"/>
          <w:sz w:val="24"/>
          <w:szCs w:val="24"/>
          <w:highlight w:val="none"/>
        </w:rPr>
      </w:pPr>
      <w:bookmarkStart w:id="14" w:name="_Toc5293"/>
      <w:r>
        <w:rPr>
          <w:rStyle w:val="42"/>
          <w:rFonts w:hint="eastAsia" w:ascii="宋体" w:hAnsi="宋体" w:cs="宋体"/>
          <w:b/>
          <w:color w:val="auto"/>
          <w:sz w:val="24"/>
          <w:szCs w:val="24"/>
          <w:highlight w:val="none"/>
        </w:rPr>
        <w:t>十、联系方式</w:t>
      </w:r>
      <w:bookmarkEnd w:id="14"/>
    </w:p>
    <w:p>
      <w:pPr>
        <w:ind w:firstLine="480"/>
        <w:rPr>
          <w:rFonts w:hint="eastAsia" w:ascii="宋体" w:hAnsi="宋体" w:eastAsia="宋体" w:cs="宋体"/>
          <w:color w:val="auto"/>
          <w:highlight w:val="none"/>
          <w:lang w:eastAsia="zh-CN"/>
        </w:rPr>
      </w:pPr>
      <w:r>
        <w:rPr>
          <w:rFonts w:hint="eastAsia" w:ascii="宋体" w:hAnsi="宋体" w:cs="宋体"/>
          <w:color w:val="auto"/>
          <w:highlight w:val="none"/>
        </w:rPr>
        <w:t>1.采购人名称：</w:t>
      </w:r>
      <w:r>
        <w:rPr>
          <w:rFonts w:hint="eastAsia" w:ascii="宋体" w:hAnsi="宋体" w:cs="宋体"/>
          <w:color w:val="auto"/>
          <w:highlight w:val="none"/>
          <w:lang w:eastAsia="zh-CN"/>
        </w:rPr>
        <w:t>浙江机电职业技术学院</w:t>
      </w:r>
    </w:p>
    <w:p>
      <w:pPr>
        <w:ind w:firstLine="480"/>
        <w:rPr>
          <w:rFonts w:hint="eastAsia" w:ascii="宋体" w:hAnsi="宋体" w:eastAsia="宋体" w:cs="宋体"/>
          <w:color w:val="auto"/>
          <w:highlight w:val="none"/>
          <w:lang w:eastAsia="zh-CN"/>
        </w:rPr>
      </w:pPr>
      <w:r>
        <w:rPr>
          <w:rFonts w:hint="eastAsia" w:ascii="宋体" w:hAnsi="宋体" w:cs="宋体"/>
          <w:color w:val="auto"/>
          <w:highlight w:val="none"/>
        </w:rPr>
        <w:t>联系人：</w:t>
      </w:r>
      <w:r>
        <w:rPr>
          <w:rFonts w:hint="eastAsia" w:ascii="宋体" w:hAnsi="宋体" w:cs="宋体"/>
          <w:color w:val="auto"/>
          <w:highlight w:val="none"/>
          <w:lang w:val="en-US" w:eastAsia="zh-CN"/>
        </w:rPr>
        <w:t>王菲</w:t>
      </w:r>
    </w:p>
    <w:p>
      <w:pPr>
        <w:ind w:firstLine="480"/>
        <w:rPr>
          <w:rFonts w:hint="default" w:ascii="宋体" w:hAnsi="宋体" w:eastAsia="宋体" w:cs="宋体"/>
          <w:color w:val="auto"/>
          <w:highlight w:val="none"/>
          <w:lang w:val="en-US" w:eastAsia="zh-CN"/>
        </w:rPr>
      </w:pPr>
      <w:r>
        <w:rPr>
          <w:rFonts w:hint="eastAsia" w:ascii="宋体" w:hAnsi="宋体" w:cs="宋体"/>
          <w:color w:val="auto"/>
          <w:highlight w:val="none"/>
        </w:rPr>
        <w:t>联系电话：0571-8</w:t>
      </w:r>
      <w:r>
        <w:rPr>
          <w:rFonts w:hint="eastAsia" w:ascii="宋体" w:hAnsi="宋体" w:cs="宋体"/>
          <w:color w:val="auto"/>
          <w:highlight w:val="none"/>
          <w:lang w:val="en-US" w:eastAsia="zh-CN"/>
        </w:rPr>
        <w:t>7773085</w:t>
      </w:r>
    </w:p>
    <w:p>
      <w:pPr>
        <w:ind w:firstLine="480"/>
        <w:rPr>
          <w:rFonts w:ascii="宋体" w:hAnsi="宋体" w:cs="宋体"/>
          <w:color w:val="auto"/>
          <w:highlight w:val="none"/>
        </w:rPr>
      </w:pPr>
      <w:r>
        <w:rPr>
          <w:rFonts w:hint="eastAsia" w:ascii="宋体" w:hAnsi="宋体" w:cs="宋体"/>
          <w:color w:val="auto"/>
          <w:highlight w:val="none"/>
        </w:rPr>
        <w:t>地址：杭州市滨江区滨文路528号</w:t>
      </w:r>
    </w:p>
    <w:p>
      <w:pPr>
        <w:spacing w:line="360" w:lineRule="auto"/>
        <w:ind w:firstLine="480" w:firstLineChars="200"/>
        <w:rPr>
          <w:rFonts w:hint="default" w:ascii="宋体" w:hAnsi="宋体" w:eastAsia="宋体"/>
          <w:color w:val="auto"/>
          <w:kern w:val="0"/>
          <w:highlight w:val="none"/>
          <w:lang w:val="en-US" w:eastAsia="zh-CN"/>
        </w:rPr>
      </w:pPr>
      <w:r>
        <w:rPr>
          <w:rFonts w:hint="eastAsia" w:ascii="宋体" w:hAnsi="宋体"/>
          <w:color w:val="auto"/>
          <w:kern w:val="0"/>
          <w:highlight w:val="none"/>
        </w:rPr>
        <w:t>采购项目联系人：</w:t>
      </w:r>
      <w:r>
        <w:rPr>
          <w:rFonts w:hint="eastAsia" w:ascii="宋体" w:hAnsi="宋体"/>
          <w:color w:val="auto"/>
          <w:kern w:val="0"/>
          <w:highlight w:val="none"/>
          <w:lang w:val="en-US" w:eastAsia="zh-CN"/>
        </w:rPr>
        <w:t>曹老师</w:t>
      </w:r>
    </w:p>
    <w:p>
      <w:pPr>
        <w:spacing w:line="360" w:lineRule="auto"/>
        <w:ind w:firstLine="480" w:firstLineChars="200"/>
        <w:rPr>
          <w:rFonts w:hint="default" w:ascii="宋体" w:hAnsi="宋体" w:eastAsia="宋体"/>
          <w:color w:val="auto"/>
          <w:kern w:val="0"/>
          <w:highlight w:val="none"/>
          <w:lang w:val="en-US" w:eastAsia="zh-CN"/>
        </w:rPr>
      </w:pPr>
      <w:r>
        <w:rPr>
          <w:rFonts w:hint="eastAsia" w:ascii="宋体" w:hAnsi="宋体"/>
          <w:color w:val="auto"/>
          <w:kern w:val="0"/>
          <w:highlight w:val="none"/>
        </w:rPr>
        <w:t>联系电话：</w:t>
      </w:r>
      <w:r>
        <w:rPr>
          <w:rFonts w:hint="eastAsia" w:ascii="宋体" w:hAnsi="宋体"/>
          <w:color w:val="auto"/>
          <w:kern w:val="0"/>
          <w:highlight w:val="none"/>
          <w:lang w:val="en-US" w:eastAsia="zh-CN"/>
        </w:rPr>
        <w:t>0571-87772900</w:t>
      </w:r>
    </w:p>
    <w:p>
      <w:pPr>
        <w:ind w:firstLine="480"/>
        <w:rPr>
          <w:rFonts w:ascii="宋体" w:hAnsi="宋体" w:cs="宋体"/>
          <w:color w:val="auto"/>
          <w:highlight w:val="none"/>
        </w:rPr>
      </w:pPr>
      <w:r>
        <w:rPr>
          <w:rFonts w:hint="eastAsia" w:ascii="宋体" w:hAnsi="宋体" w:cs="宋体"/>
          <w:color w:val="auto"/>
          <w:highlight w:val="none"/>
        </w:rPr>
        <w:t xml:space="preserve">2.采购代理机构名称：浙江五石工程咨询有限公司 </w:t>
      </w:r>
    </w:p>
    <w:p>
      <w:pPr>
        <w:ind w:firstLine="480"/>
        <w:rPr>
          <w:rFonts w:ascii="宋体" w:hAnsi="宋体" w:cs="宋体"/>
          <w:color w:val="auto"/>
          <w:highlight w:val="none"/>
        </w:rPr>
      </w:pPr>
      <w:r>
        <w:rPr>
          <w:rFonts w:hint="eastAsia" w:ascii="宋体" w:hAnsi="宋体" w:cs="宋体"/>
          <w:color w:val="auto"/>
          <w:highlight w:val="none"/>
        </w:rPr>
        <w:t>项目联系人：陈工</w:t>
      </w:r>
    </w:p>
    <w:p>
      <w:pPr>
        <w:ind w:firstLine="480"/>
        <w:rPr>
          <w:rFonts w:ascii="宋体" w:hAnsi="宋体" w:cs="宋体"/>
          <w:color w:val="auto"/>
          <w:highlight w:val="none"/>
        </w:rPr>
      </w:pPr>
      <w:r>
        <w:rPr>
          <w:rFonts w:hint="eastAsia" w:ascii="宋体" w:hAnsi="宋体" w:cs="宋体"/>
          <w:color w:val="auto"/>
          <w:highlight w:val="none"/>
        </w:rPr>
        <w:t>联系电话：0571-86098397</w:t>
      </w:r>
    </w:p>
    <w:p>
      <w:pPr>
        <w:ind w:firstLine="480"/>
        <w:rPr>
          <w:rFonts w:ascii="宋体" w:hAnsi="宋体" w:cs="宋体"/>
          <w:color w:val="auto"/>
          <w:highlight w:val="none"/>
        </w:rPr>
      </w:pPr>
      <w:r>
        <w:rPr>
          <w:rFonts w:hint="eastAsia" w:ascii="宋体" w:hAnsi="宋体" w:cs="宋体"/>
          <w:color w:val="auto"/>
          <w:highlight w:val="none"/>
        </w:rPr>
        <w:t>报名联系人</w:t>
      </w:r>
      <w:r>
        <w:rPr>
          <w:rFonts w:hint="eastAsia" w:ascii="宋体" w:hAnsi="宋体" w:cs="宋体"/>
          <w:color w:val="auto"/>
          <w:highlight w:val="none"/>
          <w:lang w:eastAsia="zh-CN"/>
        </w:rPr>
        <w:t>、</w:t>
      </w:r>
      <w:r>
        <w:rPr>
          <w:rFonts w:hint="eastAsia" w:ascii="宋体" w:hAnsi="宋体" w:cs="宋体"/>
          <w:color w:val="auto"/>
          <w:highlight w:val="none"/>
          <w:lang w:val="en-US" w:eastAsia="zh-CN"/>
        </w:rPr>
        <w:t>财务</w:t>
      </w:r>
      <w:r>
        <w:rPr>
          <w:rFonts w:hint="eastAsia" w:ascii="宋体" w:hAnsi="宋体" w:cs="宋体"/>
          <w:color w:val="auto"/>
          <w:highlight w:val="none"/>
        </w:rPr>
        <w:t>：梁工</w:t>
      </w:r>
    </w:p>
    <w:p>
      <w:pPr>
        <w:ind w:firstLine="480"/>
        <w:rPr>
          <w:rFonts w:ascii="宋体" w:hAnsi="宋体" w:cs="宋体"/>
          <w:color w:val="auto"/>
          <w:highlight w:val="none"/>
        </w:rPr>
      </w:pPr>
      <w:r>
        <w:rPr>
          <w:rFonts w:hint="eastAsia" w:ascii="宋体" w:hAnsi="宋体" w:cs="宋体"/>
          <w:color w:val="auto"/>
          <w:highlight w:val="none"/>
        </w:rPr>
        <w:t>联系电话：17746806483</w:t>
      </w:r>
    </w:p>
    <w:p>
      <w:pPr>
        <w:ind w:firstLine="480"/>
        <w:rPr>
          <w:rFonts w:ascii="宋体" w:hAnsi="宋体" w:cs="宋体"/>
          <w:color w:val="auto"/>
          <w:highlight w:val="none"/>
        </w:rPr>
      </w:pPr>
      <w:r>
        <w:rPr>
          <w:rFonts w:hint="eastAsia" w:ascii="宋体" w:hAnsi="宋体" w:cs="宋体"/>
          <w:color w:val="auto"/>
          <w:highlight w:val="none"/>
        </w:rPr>
        <w:t>邮箱：2810140286@qq.com</w:t>
      </w:r>
    </w:p>
    <w:p>
      <w:pPr>
        <w:ind w:firstLine="480"/>
        <w:rPr>
          <w:rFonts w:hint="eastAsia" w:ascii="宋体" w:hAnsi="宋体" w:eastAsia="宋体" w:cs="宋体"/>
          <w:color w:val="auto"/>
          <w:highlight w:val="none"/>
          <w:lang w:eastAsia="zh-CN"/>
        </w:rPr>
      </w:pPr>
      <w:r>
        <w:rPr>
          <w:rFonts w:hint="eastAsia" w:ascii="宋体" w:hAnsi="宋体" w:cs="宋体"/>
          <w:color w:val="auto"/>
          <w:highlight w:val="none"/>
        </w:rPr>
        <w:t>质疑联系人及电话：毛工/0571-</w:t>
      </w:r>
      <w:r>
        <w:rPr>
          <w:rFonts w:hint="eastAsia" w:ascii="宋体" w:hAnsi="宋体" w:cs="宋体"/>
          <w:color w:val="auto"/>
          <w:highlight w:val="none"/>
          <w:lang w:eastAsia="zh-CN"/>
        </w:rPr>
        <w:t>87919156</w:t>
      </w:r>
    </w:p>
    <w:p>
      <w:pPr>
        <w:ind w:firstLine="480"/>
        <w:rPr>
          <w:rFonts w:ascii="宋体" w:hAnsi="宋体" w:cs="宋体"/>
          <w:color w:val="auto"/>
          <w:highlight w:val="none"/>
        </w:rPr>
      </w:pPr>
      <w:r>
        <w:rPr>
          <w:rFonts w:hint="eastAsia" w:ascii="宋体" w:hAnsi="宋体" w:cs="宋体"/>
          <w:color w:val="auto"/>
          <w:highlight w:val="none"/>
        </w:rPr>
        <w:t>浙江五石工程咨询有限公司网址：：http://zjwsbidding.com/</w:t>
      </w:r>
    </w:p>
    <w:p>
      <w:pPr>
        <w:ind w:firstLine="480"/>
        <w:rPr>
          <w:rFonts w:ascii="宋体" w:hAnsi="宋体" w:cs="宋体"/>
          <w:color w:val="auto"/>
          <w:highlight w:val="none"/>
        </w:rPr>
      </w:pPr>
      <w:r>
        <w:rPr>
          <w:rFonts w:hint="eastAsia" w:ascii="宋体" w:hAnsi="宋体" w:cs="宋体"/>
          <w:color w:val="auto"/>
          <w:highlight w:val="none"/>
        </w:rPr>
        <w:t>地址：杭州市滨江区东方通信科技园启迪楼2楼1207室</w:t>
      </w:r>
    </w:p>
    <w:p>
      <w:pPr>
        <w:ind w:firstLine="480"/>
        <w:rPr>
          <w:rFonts w:ascii="宋体" w:hAnsi="宋体" w:cs="宋体"/>
          <w:color w:val="auto"/>
          <w:highlight w:val="none"/>
        </w:rPr>
      </w:pPr>
      <w:r>
        <w:rPr>
          <w:rFonts w:hint="eastAsia" w:ascii="宋体" w:hAnsi="宋体" w:cs="宋体"/>
          <w:color w:val="auto"/>
          <w:highlight w:val="none"/>
        </w:rPr>
        <w:t>3.同级政府采购监督管理部门名称：浙江省财政厅政府采购监管处</w:t>
      </w:r>
    </w:p>
    <w:p>
      <w:pPr>
        <w:ind w:firstLine="480"/>
        <w:rPr>
          <w:rFonts w:ascii="宋体" w:hAnsi="宋体" w:cs="宋体"/>
          <w:color w:val="auto"/>
          <w:highlight w:val="none"/>
        </w:rPr>
      </w:pPr>
      <w:r>
        <w:rPr>
          <w:rFonts w:hint="eastAsia" w:ascii="宋体" w:hAnsi="宋体" w:cs="宋体"/>
          <w:color w:val="auto"/>
          <w:highlight w:val="none"/>
        </w:rPr>
        <w:t>联系人：倪老师</w:t>
      </w:r>
    </w:p>
    <w:p>
      <w:pPr>
        <w:ind w:firstLine="480"/>
        <w:rPr>
          <w:rFonts w:ascii="宋体" w:hAnsi="宋体" w:cs="宋体"/>
          <w:color w:val="auto"/>
          <w:highlight w:val="none"/>
        </w:rPr>
      </w:pPr>
      <w:r>
        <w:rPr>
          <w:rFonts w:hint="eastAsia" w:ascii="宋体" w:hAnsi="宋体" w:cs="宋体"/>
          <w:color w:val="auto"/>
          <w:highlight w:val="none"/>
        </w:rPr>
        <w:t>监督投诉电话：0571-87057615</w:t>
      </w:r>
    </w:p>
    <w:p>
      <w:pPr>
        <w:ind w:firstLine="480"/>
        <w:rPr>
          <w:rFonts w:ascii="宋体" w:hAnsi="宋体" w:cs="宋体"/>
          <w:color w:val="auto"/>
          <w:highlight w:val="none"/>
        </w:rPr>
      </w:pPr>
      <w:r>
        <w:rPr>
          <w:rFonts w:hint="eastAsia" w:ascii="宋体" w:hAnsi="宋体" w:cs="宋体"/>
          <w:color w:val="auto"/>
          <w:highlight w:val="none"/>
        </w:rPr>
        <w:t>地址：杭州市西湖区环城西路37号</w:t>
      </w:r>
    </w:p>
    <w:p>
      <w:pPr>
        <w:snapToGrid w:val="0"/>
        <w:ind w:firstLine="602" w:firstLineChars="250"/>
        <w:rPr>
          <w:rFonts w:ascii="宋体" w:hAnsi="宋体" w:cs="宋体"/>
          <w:b/>
          <w:bCs/>
          <w:color w:val="auto"/>
          <w:highlight w:val="none"/>
        </w:rPr>
      </w:pPr>
      <w:r>
        <w:rPr>
          <w:rFonts w:hint="eastAsia" w:ascii="宋体" w:hAnsi="宋体" w:cs="宋体"/>
          <w:b/>
          <w:bCs/>
          <w:color w:val="auto"/>
          <w:highlight w:val="none"/>
        </w:rPr>
        <w:t>备注：请贵单位领取本次招标采购文件后，认真阅读各项内容，进行必要的准备工作，按文件的要求详细填写和编制投标文件，并按以上确定的时间、地点准时参加投标。</w:t>
      </w:r>
    </w:p>
    <w:p>
      <w:pPr>
        <w:pStyle w:val="2"/>
        <w:rPr>
          <w:rFonts w:ascii="宋体" w:hAnsi="宋体" w:eastAsia="宋体" w:cs="宋体"/>
          <w:color w:val="auto"/>
          <w:highlight w:val="none"/>
        </w:rPr>
      </w:pPr>
    </w:p>
    <w:p>
      <w:pPr>
        <w:ind w:firstLine="840" w:firstLineChars="350"/>
        <w:rPr>
          <w:rFonts w:ascii="宋体" w:hAnsi="宋体" w:cs="宋体"/>
          <w:color w:val="auto"/>
          <w:kern w:val="0"/>
          <w:szCs w:val="32"/>
          <w:highlight w:val="none"/>
        </w:rPr>
      </w:pPr>
      <w:r>
        <w:rPr>
          <w:rFonts w:hint="eastAsia" w:ascii="宋体" w:hAnsi="宋体" w:cs="宋体"/>
          <w:color w:val="auto"/>
          <w:highlight w:val="none"/>
        </w:rPr>
        <w:t xml:space="preserve">                                            </w:t>
      </w:r>
      <w:r>
        <w:rPr>
          <w:rFonts w:hint="eastAsia" w:ascii="宋体" w:hAnsi="宋体" w:cs="宋体"/>
          <w:color w:val="auto"/>
          <w:kern w:val="0"/>
          <w:szCs w:val="32"/>
          <w:highlight w:val="none"/>
        </w:rPr>
        <w:t>浙江五石工程咨询有限公司</w:t>
      </w:r>
    </w:p>
    <w:p>
      <w:pPr>
        <w:ind w:firstLine="840" w:firstLineChars="350"/>
        <w:rPr>
          <w:rFonts w:ascii="宋体" w:hAnsi="宋体" w:cs="宋体"/>
          <w:color w:val="auto"/>
          <w:kern w:val="0"/>
          <w:szCs w:val="32"/>
          <w:highlight w:val="none"/>
        </w:rPr>
      </w:pPr>
      <w:r>
        <w:rPr>
          <w:rFonts w:hint="eastAsia" w:ascii="宋体" w:hAnsi="宋体" w:cs="宋体"/>
          <w:color w:val="auto"/>
          <w:kern w:val="0"/>
          <w:szCs w:val="32"/>
          <w:highlight w:val="none"/>
        </w:rPr>
        <w:t xml:space="preserve">                                                          2019年</w:t>
      </w:r>
      <w:r>
        <w:rPr>
          <w:rFonts w:hint="eastAsia" w:ascii="宋体" w:hAnsi="宋体" w:cs="宋体"/>
          <w:color w:val="auto"/>
          <w:kern w:val="0"/>
          <w:szCs w:val="32"/>
          <w:highlight w:val="none"/>
          <w:lang w:val="en-US" w:eastAsia="zh-CN"/>
        </w:rPr>
        <w:t>8</w:t>
      </w:r>
      <w:r>
        <w:rPr>
          <w:rFonts w:hint="eastAsia" w:ascii="宋体" w:hAnsi="宋体" w:cs="宋体"/>
          <w:color w:val="auto"/>
          <w:kern w:val="0"/>
          <w:szCs w:val="32"/>
          <w:highlight w:val="none"/>
        </w:rPr>
        <w:t>月</w:t>
      </w:r>
    </w:p>
    <w:p>
      <w:pPr>
        <w:pStyle w:val="2"/>
        <w:rPr>
          <w:rFonts w:ascii="宋体" w:hAnsi="宋体" w:eastAsia="宋体" w:cs="宋体"/>
          <w:color w:val="auto"/>
          <w:highlight w:val="none"/>
        </w:rPr>
        <w:sectPr>
          <w:footerReference r:id="rId13" w:type="default"/>
          <w:pgSz w:w="11906" w:h="16838"/>
          <w:pgMar w:top="1247" w:right="1247" w:bottom="1247" w:left="1247" w:header="170" w:footer="567" w:gutter="0"/>
          <w:pgNumType w:start="1"/>
          <w:cols w:space="720" w:num="1"/>
          <w:docGrid w:linePitch="381" w:charSpace="0"/>
        </w:sectPr>
      </w:pPr>
    </w:p>
    <w:bookmarkEnd w:id="3"/>
    <w:p>
      <w:pPr>
        <w:pStyle w:val="4"/>
        <w:rPr>
          <w:color w:val="auto"/>
          <w:highlight w:val="none"/>
        </w:rPr>
      </w:pPr>
      <w:bookmarkStart w:id="15" w:name="_Toc8514"/>
      <w:r>
        <w:rPr>
          <w:rFonts w:hint="eastAsia" w:cs="宋体"/>
          <w:color w:val="auto"/>
          <w:highlight w:val="none"/>
        </w:rPr>
        <w:t>第二章 项目需求说明</w:t>
      </w:r>
      <w:bookmarkEnd w:id="15"/>
    </w:p>
    <w:p>
      <w:pPr>
        <w:pStyle w:val="5"/>
        <w:rPr>
          <w:rFonts w:ascii="宋体" w:hAnsi="宋体" w:cs="宋体"/>
          <w:color w:val="auto"/>
          <w:sz w:val="24"/>
          <w:szCs w:val="40"/>
          <w:highlight w:val="none"/>
        </w:rPr>
      </w:pPr>
      <w:bookmarkStart w:id="16" w:name="_Toc21112"/>
      <w:bookmarkStart w:id="17" w:name="_Toc18187"/>
      <w:bookmarkStart w:id="18" w:name="_Toc450840085"/>
      <w:r>
        <w:rPr>
          <w:rFonts w:hint="eastAsia" w:ascii="宋体" w:hAnsi="宋体" w:cs="宋体"/>
          <w:color w:val="auto"/>
          <w:sz w:val="24"/>
          <w:szCs w:val="40"/>
          <w:highlight w:val="none"/>
        </w:rPr>
        <w:t>一、货物或产品的说明和具体技术要求</w:t>
      </w:r>
      <w:bookmarkEnd w:id="16"/>
      <w:bookmarkEnd w:id="17"/>
    </w:p>
    <w:p>
      <w:pPr>
        <w:pStyle w:val="6"/>
        <w:rPr>
          <w:color w:val="auto"/>
          <w:szCs w:val="40"/>
          <w:highlight w:val="none"/>
        </w:rPr>
      </w:pPr>
      <w:r>
        <w:rPr>
          <w:rFonts w:hint="eastAsia"/>
          <w:color w:val="auto"/>
          <w:szCs w:val="40"/>
          <w:highlight w:val="none"/>
        </w:rPr>
        <w:t>1、说明</w:t>
      </w:r>
    </w:p>
    <w:p>
      <w:pPr>
        <w:ind w:firstLine="480"/>
        <w:rPr>
          <w:rFonts w:ascii="宋体" w:hAnsi="宋体" w:cs="宋体"/>
          <w:color w:val="auto"/>
          <w:szCs w:val="32"/>
          <w:highlight w:val="none"/>
        </w:rPr>
      </w:pPr>
      <w:r>
        <w:rPr>
          <w:rFonts w:hint="eastAsia" w:ascii="宋体" w:hAnsi="宋体" w:cs="宋体"/>
          <w:color w:val="auto"/>
          <w:szCs w:val="32"/>
          <w:highlight w:val="none"/>
        </w:rPr>
        <w:t>1.1、本《招标文件》所提出的货物技术标准是基本的技术标准和使用功能，并未规定所有的技术要求和适用标准，供应商应提供一套满足所列标准要求的高质量的产品及相应服务。</w:t>
      </w:r>
    </w:p>
    <w:p>
      <w:pPr>
        <w:ind w:firstLine="480"/>
        <w:rPr>
          <w:rFonts w:ascii="宋体" w:hAnsi="宋体" w:cs="宋体"/>
          <w:color w:val="auto"/>
          <w:szCs w:val="32"/>
          <w:highlight w:val="none"/>
        </w:rPr>
      </w:pPr>
      <w:r>
        <w:rPr>
          <w:rFonts w:hint="eastAsia" w:ascii="宋体" w:hAnsi="宋体" w:cs="宋体"/>
          <w:color w:val="auto"/>
          <w:szCs w:val="32"/>
          <w:highlight w:val="none"/>
        </w:rPr>
        <w:t>1.2、本次采购货物应按国际标准、国标、部标或专业标准制造；非标准货物按采购人提供的要求制造；质量标准按照国家有关规定及合同约定进行验收。本技术要求使用的标准如与成交供应商所执行标准发生矛盾时，按较高标准执行。</w:t>
      </w:r>
    </w:p>
    <w:p>
      <w:pPr>
        <w:ind w:firstLine="480"/>
        <w:rPr>
          <w:rFonts w:ascii="宋体" w:hAnsi="宋体" w:cs="宋体"/>
          <w:color w:val="auto"/>
          <w:szCs w:val="32"/>
          <w:highlight w:val="none"/>
        </w:rPr>
      </w:pPr>
      <w:r>
        <w:rPr>
          <w:rFonts w:hint="eastAsia" w:ascii="宋体" w:hAnsi="宋体" w:cs="宋体"/>
          <w:color w:val="auto"/>
          <w:szCs w:val="32"/>
          <w:highlight w:val="none"/>
        </w:rPr>
        <w:t>1.3、所有货物、零部件均由具有生产制造资格的企业提供，并由成交供应商承担总责任。</w:t>
      </w:r>
    </w:p>
    <w:p>
      <w:pPr>
        <w:pStyle w:val="6"/>
        <w:rPr>
          <w:rFonts w:hint="eastAsia"/>
          <w:b/>
          <w:bCs/>
          <w:color w:val="auto"/>
          <w:szCs w:val="40"/>
          <w:highlight w:val="none"/>
        </w:rPr>
      </w:pPr>
      <w:r>
        <w:rPr>
          <w:rFonts w:hint="eastAsia"/>
          <w:color w:val="auto"/>
          <w:szCs w:val="40"/>
          <w:highlight w:val="none"/>
        </w:rPr>
        <w:t>2、具体技术要求</w:t>
      </w:r>
      <w:bookmarkStart w:id="19" w:name="_Toc6282"/>
      <w:bookmarkStart w:id="20" w:name="_Toc4822"/>
    </w:p>
    <w:p>
      <w:pPr>
        <w:pStyle w:val="2"/>
        <w:numPr>
          <w:ilvl w:val="0"/>
          <w:numId w:val="0"/>
        </w:numPr>
        <w:outlineLvl w:val="3"/>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2.1、</w:t>
      </w:r>
      <w:r>
        <w:rPr>
          <w:rFonts w:hint="eastAsia" w:ascii="宋体" w:hAnsi="宋体" w:eastAsia="宋体" w:cs="宋体"/>
          <w:b/>
          <w:bCs/>
          <w:color w:val="auto"/>
          <w:highlight w:val="none"/>
          <w:lang w:eastAsia="zh-CN"/>
        </w:rPr>
        <w:t>多岗位联动应急演练实训平台</w:t>
      </w:r>
    </w:p>
    <w:p>
      <w:pPr>
        <w:pStyle w:val="2"/>
        <w:numPr>
          <w:ilvl w:val="0"/>
          <w:numId w:val="0"/>
        </w:numPr>
        <w:rPr>
          <w:rFonts w:hint="eastAsia" w:ascii="宋体" w:hAnsi="宋体" w:eastAsia="宋体" w:cs="宋体"/>
          <w:b/>
          <w:bCs/>
          <w:color w:val="auto"/>
          <w:highlight w:val="none"/>
          <w:lang w:eastAsia="zh-CN"/>
        </w:rPr>
      </w:pPr>
    </w:p>
    <w:p>
      <w:pPr>
        <w:pStyle w:val="2"/>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多岗位联动应急演练实训平台，由多岗位联动应急演练实训硬件平台和软件系统构成，是多岗位联动应急演练实训室的核心组成。每套实训平台设有司机、车站值班员、环电调、行调、站务等5个工作岗位，在紧急状态下，进行多岗位联动应急演练。</w:t>
      </w:r>
    </w:p>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本次购买多岗位联动应急演练实训平台，和教师机系统，构成多岗位联动应急演练实训室，实训室可以实现以运营岗位联动为主的多专业多岗位的交互和场景教学，教师机系统统一管理和考核。多岗位联动应急演练实训平台，是在真实的ISCS系统平台和真实的ATC系统平台上，通过构建纯虚拟化的车站环境和控制调度环境，还原各类日常运营场景和应急演练场景，为城市轨道交通运营管理、机电、信号等相关专业提供培训服务。</w:t>
      </w:r>
    </w:p>
    <w:p>
      <w:pPr>
        <w:pStyle w:val="17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三、多岗位联动应急演练实训系统，可以实现在紧急状态时，下列应急预案的演练：</w:t>
      </w:r>
    </w:p>
    <w:p>
      <w:pPr>
        <w:numPr>
          <w:ilvl w:val="0"/>
          <w:numId w:val="4"/>
        </w:numPr>
        <w:ind w:left="0" w:firstLine="1134"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AFC系统故障应急预案</w:t>
      </w:r>
    </w:p>
    <w:p>
      <w:pPr>
        <w:numPr>
          <w:ilvl w:val="0"/>
          <w:numId w:val="4"/>
        </w:numPr>
        <w:ind w:left="0" w:firstLine="1134"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突发大客流应急预案</w:t>
      </w:r>
    </w:p>
    <w:p>
      <w:pPr>
        <w:numPr>
          <w:ilvl w:val="0"/>
          <w:numId w:val="4"/>
        </w:numPr>
        <w:ind w:left="0" w:firstLine="1134"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站厅火灾应急预案</w:t>
      </w:r>
    </w:p>
    <w:p>
      <w:pPr>
        <w:numPr>
          <w:ilvl w:val="0"/>
          <w:numId w:val="4"/>
        </w:numPr>
        <w:ind w:left="0" w:firstLine="1134"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区间火灾应急预案</w:t>
      </w:r>
    </w:p>
    <w:p>
      <w:pPr>
        <w:numPr>
          <w:ilvl w:val="0"/>
          <w:numId w:val="4"/>
        </w:numPr>
        <w:ind w:left="0" w:firstLine="1134"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车站大面积停电应急预案</w:t>
      </w:r>
    </w:p>
    <w:p>
      <w:pPr>
        <w:numPr>
          <w:ilvl w:val="0"/>
          <w:numId w:val="4"/>
        </w:numPr>
        <w:ind w:left="0" w:firstLine="1134"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电扶梯摔人现场应急预案</w:t>
      </w:r>
    </w:p>
    <w:p>
      <w:pPr>
        <w:pStyle w:val="2"/>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四、多岗位应急演练实训平台，既</w:t>
      </w:r>
      <w:r>
        <w:rPr>
          <w:rFonts w:hint="eastAsia" w:ascii="宋体" w:hAnsi="宋体" w:eastAsia="宋体" w:cs="宋体"/>
          <w:color w:val="auto"/>
          <w:sz w:val="24"/>
          <w:szCs w:val="24"/>
          <w:highlight w:val="none"/>
          <w:lang w:val="en-US" w:eastAsia="zh-CN"/>
        </w:rPr>
        <w:t>要</w:t>
      </w:r>
      <w:r>
        <w:rPr>
          <w:rFonts w:hint="eastAsia" w:ascii="宋体" w:hAnsi="宋体" w:eastAsia="宋体" w:cs="宋体"/>
          <w:color w:val="auto"/>
          <w:sz w:val="24"/>
          <w:szCs w:val="24"/>
          <w:highlight w:val="none"/>
        </w:rPr>
        <w:t>有综合监控系统和信号系统的组态、编辑、监控、储存、回放、查看等功能，也</w:t>
      </w:r>
      <w:r>
        <w:rPr>
          <w:rFonts w:hint="eastAsia" w:ascii="宋体" w:hAnsi="宋体" w:eastAsia="宋体" w:cs="宋体"/>
          <w:color w:val="auto"/>
          <w:sz w:val="24"/>
          <w:szCs w:val="24"/>
          <w:highlight w:val="none"/>
          <w:lang w:val="en-US" w:eastAsia="zh-CN"/>
        </w:rPr>
        <w:t>需</w:t>
      </w:r>
      <w:r>
        <w:rPr>
          <w:rFonts w:hint="eastAsia" w:ascii="宋体" w:hAnsi="宋体" w:eastAsia="宋体" w:cs="宋体"/>
          <w:color w:val="auto"/>
          <w:sz w:val="24"/>
          <w:szCs w:val="24"/>
          <w:highlight w:val="none"/>
        </w:rPr>
        <w:t>再现城市轨道交通日常中正常运营和非正常运营的各种场景，以及在紧急状态下学员进行应急处置的演练功能；教师也可通过系统自我编制其他的各种应急预案。</w:t>
      </w:r>
    </w:p>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五、软件系统包含了</w:t>
      </w:r>
      <w:r>
        <w:rPr>
          <w:rFonts w:hint="eastAsia" w:ascii="宋体" w:hAnsi="宋体" w:eastAsia="宋体" w:cs="宋体"/>
          <w:color w:val="auto"/>
          <w:sz w:val="24"/>
          <w:szCs w:val="24"/>
          <w:highlight w:val="none"/>
        </w:rPr>
        <w:t>多岗位信号系统平台、多岗位综合监控系统平台、多岗位三维车站系统平台、多岗位模拟驾驶系统平台和多岗位电子沙盘系统平台等5套系统</w:t>
      </w:r>
      <w:r>
        <w:rPr>
          <w:rFonts w:hint="eastAsia" w:ascii="宋体" w:hAnsi="宋体" w:cs="宋体"/>
          <w:color w:val="auto"/>
          <w:sz w:val="24"/>
          <w:szCs w:val="24"/>
          <w:highlight w:val="none"/>
          <w:lang w:val="en-US" w:eastAsia="zh-CN"/>
        </w:rPr>
        <w:t>平台</w:t>
      </w:r>
      <w:r>
        <w:rPr>
          <w:rFonts w:hint="eastAsia" w:ascii="宋体" w:hAnsi="宋体" w:eastAsia="宋体" w:cs="宋体"/>
          <w:color w:val="auto"/>
          <w:sz w:val="24"/>
          <w:szCs w:val="24"/>
          <w:highlight w:val="none"/>
        </w:rPr>
        <w:t>。软件系统既可进行多岗位联动应急演练，也可进行单独的功能实训。</w:t>
      </w:r>
    </w:p>
    <w:p>
      <w:pPr>
        <w:rPr>
          <w:rFonts w:hint="eastAsia" w:ascii="宋体" w:hAnsi="宋体" w:eastAsia="宋体" w:cs="宋体"/>
          <w:color w:val="auto"/>
          <w:kern w:val="0"/>
          <w:sz w:val="24"/>
          <w:szCs w:val="24"/>
          <w:highlight w:val="none"/>
        </w:rPr>
      </w:pPr>
      <w:r>
        <w:rPr>
          <w:rFonts w:hint="eastAsia"/>
          <w:color w:val="auto"/>
          <w:highlight w:val="none"/>
          <w:lang w:val="en-US" w:eastAsia="zh-CN"/>
        </w:rPr>
        <w:t>多</w:t>
      </w:r>
      <w:r>
        <w:rPr>
          <w:rFonts w:hint="eastAsia" w:ascii="宋体" w:hAnsi="宋体" w:eastAsia="宋体" w:cs="宋体"/>
          <w:b/>
          <w:bCs/>
          <w:color w:val="auto"/>
          <w:kern w:val="0"/>
          <w:sz w:val="24"/>
          <w:szCs w:val="24"/>
          <w:highlight w:val="none"/>
        </w:rPr>
        <w:t>岗位联动信号系统</w:t>
      </w:r>
    </w:p>
    <w:p>
      <w:pP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信号系统</w:t>
      </w:r>
      <w:r>
        <w:rPr>
          <w:rFonts w:hint="eastAsia" w:ascii="宋体" w:hAnsi="宋体" w:cs="宋体"/>
          <w:b/>
          <w:bCs/>
          <w:color w:val="auto"/>
          <w:kern w:val="0"/>
          <w:sz w:val="24"/>
          <w:szCs w:val="24"/>
          <w:highlight w:val="none"/>
          <w:lang w:val="en-US" w:eastAsia="zh-CN"/>
        </w:rPr>
        <w:t>基于</w:t>
      </w:r>
      <w:r>
        <w:rPr>
          <w:rFonts w:hint="eastAsia" w:ascii="宋体" w:hAnsi="宋体" w:eastAsia="宋体" w:cs="宋体"/>
          <w:b/>
          <w:bCs/>
          <w:color w:val="auto"/>
          <w:kern w:val="0"/>
          <w:sz w:val="24"/>
          <w:szCs w:val="24"/>
          <w:highlight w:val="none"/>
        </w:rPr>
        <w:t>地铁使用的真实平台</w:t>
      </w:r>
      <w:r>
        <w:rPr>
          <w:rFonts w:hint="eastAsia" w:ascii="宋体" w:hAnsi="宋体" w:cs="宋体"/>
          <w:b/>
          <w:bCs/>
          <w:color w:val="auto"/>
          <w:kern w:val="0"/>
          <w:sz w:val="24"/>
          <w:szCs w:val="24"/>
          <w:highlight w:val="none"/>
          <w:lang w:val="en-US" w:eastAsia="zh-CN"/>
        </w:rPr>
        <w:t>开发</w:t>
      </w:r>
      <w:r>
        <w:rPr>
          <w:rFonts w:hint="eastAsia" w:ascii="宋体" w:hAnsi="宋体" w:eastAsia="宋体" w:cs="宋体"/>
          <w:color w:val="auto"/>
          <w:kern w:val="0"/>
          <w:sz w:val="24"/>
          <w:szCs w:val="24"/>
          <w:highlight w:val="none"/>
        </w:rPr>
        <w:t>，应包含信号系统平台软件相关工具软件、中心级ATS系统、车站级ATS系统、车辆段ATS系统、车载仿真系统、联锁仿真系统、运行计划工作站系统、派班系统等完整的信号子系统功能，满足车站行车值班员、行车调度员、行车计划员、派班员等信号系统本身涉及的岗位的培训功能，同时满足信号系统与综合监控系统、模拟驾驶系统、三维车站和电子沙盘系统的联动、联合演练功能。</w:t>
      </w:r>
    </w:p>
    <w:p>
      <w:pP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多岗位联动综合监控系统</w:t>
      </w:r>
    </w:p>
    <w:p>
      <w:pP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综合监控系统</w:t>
      </w:r>
      <w:r>
        <w:rPr>
          <w:rFonts w:hint="eastAsia" w:ascii="宋体" w:hAnsi="宋体" w:cs="宋体"/>
          <w:b/>
          <w:bCs/>
          <w:color w:val="auto"/>
          <w:kern w:val="0"/>
          <w:sz w:val="24"/>
          <w:szCs w:val="24"/>
          <w:highlight w:val="none"/>
          <w:lang w:val="en-US" w:eastAsia="zh-CN"/>
        </w:rPr>
        <w:t>基于</w:t>
      </w:r>
      <w:r>
        <w:rPr>
          <w:rFonts w:hint="eastAsia" w:ascii="宋体" w:hAnsi="宋体" w:eastAsia="宋体" w:cs="宋体"/>
          <w:b/>
          <w:bCs/>
          <w:color w:val="auto"/>
          <w:kern w:val="0"/>
          <w:sz w:val="24"/>
          <w:szCs w:val="24"/>
          <w:highlight w:val="none"/>
        </w:rPr>
        <w:t>地铁使用的真实平台</w:t>
      </w:r>
      <w:r>
        <w:rPr>
          <w:rFonts w:hint="eastAsia" w:ascii="宋体" w:hAnsi="宋体" w:cs="宋体"/>
          <w:b/>
          <w:bCs/>
          <w:color w:val="auto"/>
          <w:kern w:val="0"/>
          <w:sz w:val="24"/>
          <w:szCs w:val="24"/>
          <w:highlight w:val="none"/>
          <w:lang w:val="en-US" w:eastAsia="zh-CN"/>
        </w:rPr>
        <w:t>开发</w:t>
      </w:r>
      <w:r>
        <w:rPr>
          <w:rFonts w:hint="eastAsia" w:ascii="宋体" w:hAnsi="宋体" w:eastAsia="宋体" w:cs="宋体"/>
          <w:color w:val="auto"/>
          <w:kern w:val="0"/>
          <w:sz w:val="24"/>
          <w:szCs w:val="24"/>
          <w:highlight w:val="none"/>
        </w:rPr>
        <w:t>，应包含综合监控系统平台软件相关工具软件、FEP系统、服务器系统、ISCS客户端系统等完整的综合监控系统构架应有的软硬件，满足车站设备值班员、环电调度员、系统维护员等系统本身涉及的岗位的培训功能，综合监控系统可对三维车站虚拟设备实现实时监控功能，同时可与信号系统、模拟驾驶系统、和电子沙盘系统实现联动、联合演练功能。</w:t>
      </w:r>
    </w:p>
    <w:p>
      <w:pP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多岗位联动三维车站系统</w:t>
      </w:r>
    </w:p>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多岗位联动三维车站系统平台，车站漫游、设备介绍、应急演练三大功能模块，可以进行车站站长、值班员、票务员和站务员的角色选择，还可进行第一视角和第二视角的视角选择。车站漫游模块包括：车站站厅漫游、车站站台漫游、设备房漫游、站台轨行区漫游；设备介绍模块包括：站厅层、站台层、车控室、空调通风机房、气瓶室；应急演练模块预案包括：</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突发运营事故</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乘客斗殴事件演练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防恐应急演练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化学物品事故</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AFC进站闸机故障</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大客流应急演练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突发公共卫生演练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地震事件应急演练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水管爆裂演练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火灾应急演练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车站停电演练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炸弹袭击演练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机电设备故障</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站台落物摔人演练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电话闭塞调度</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接触网停电演练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电扶梯摔人</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车站清客作业演练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炸弹应急演练</w:t>
      </w:r>
    </w:p>
    <w:p>
      <w:pPr>
        <w:numPr>
          <w:ilvl w:val="0"/>
          <w:numId w:val="5"/>
        </w:numPr>
        <w:ind w:leftChars="200" w:firstLine="482"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车站投毒应急演练</w:t>
      </w:r>
    </w:p>
    <w:p>
      <w:pPr>
        <w:numPr>
          <w:ilvl w:val="0"/>
          <w:numId w:val="0"/>
        </w:numPr>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多岗位联动电子沙盘系统</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多视角切换：提供站台视角、正线轨道视角；</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通过场景漫游实现对线路信号设备进行认知与学习；</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符合真实地铁行车逻辑的操作体验、操作方式以及操作顺序如：升降弓按钮，高速断路器等；</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信号灯与道岔，信号灯异步接收ATS信号可实现任意信号灯变化；</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具备单机应急演练功能，如：岩石挡道，水淹道岔等；</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小沙盘功能模块功能，实时展现当前线路上的车辆运行情况，包括车辆车次、运行方向、车辆数量、到站情况等。</w:t>
      </w:r>
    </w:p>
    <w:p>
      <w:pP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六</w:t>
      </w:r>
      <w:r>
        <w:rPr>
          <w:rFonts w:hint="eastAsia" w:ascii="宋体" w:hAnsi="宋体" w:eastAsia="宋体" w:cs="宋体"/>
          <w:color w:val="auto"/>
          <w:kern w:val="0"/>
          <w:sz w:val="24"/>
          <w:szCs w:val="24"/>
          <w:highlight w:val="none"/>
        </w:rPr>
        <w:t>、多岗位联动模拟驾驶系统</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系统包含视景仿真、声音模拟、信号系统仿真、驾驶台仿真和逻辑数据仿真模块，</w:t>
      </w:r>
      <w:r>
        <w:rPr>
          <w:rFonts w:hint="eastAsia" w:ascii="宋体" w:hAnsi="宋体" w:eastAsia="宋体" w:cs="宋体"/>
          <w:color w:val="auto"/>
          <w:sz w:val="24"/>
          <w:szCs w:val="24"/>
          <w:highlight w:val="none"/>
          <w:lang w:val="zh-CN"/>
        </w:rPr>
        <w:t>提供了逼真的</w:t>
      </w:r>
      <w:r>
        <w:rPr>
          <w:rFonts w:hint="eastAsia" w:ascii="宋体" w:hAnsi="宋体" w:eastAsia="宋体" w:cs="宋体"/>
          <w:color w:val="auto"/>
          <w:sz w:val="24"/>
          <w:szCs w:val="24"/>
          <w:highlight w:val="none"/>
        </w:rPr>
        <w:t>驾驶</w:t>
      </w:r>
      <w:r>
        <w:rPr>
          <w:rFonts w:hint="eastAsia" w:ascii="宋体" w:hAnsi="宋体" w:eastAsia="宋体" w:cs="宋体"/>
          <w:color w:val="auto"/>
          <w:sz w:val="24"/>
          <w:szCs w:val="24"/>
          <w:highlight w:val="none"/>
          <w:lang w:val="zh-CN"/>
        </w:rPr>
        <w:t>培训环境，</w:t>
      </w:r>
      <w:r>
        <w:rPr>
          <w:rFonts w:hint="eastAsia" w:ascii="宋体" w:hAnsi="宋体" w:eastAsia="宋体" w:cs="宋体"/>
          <w:color w:val="auto"/>
          <w:sz w:val="24"/>
          <w:szCs w:val="24"/>
          <w:highlight w:val="none"/>
        </w:rPr>
        <w:t>系统仿真系统基于真实地铁系统平台和线路数据，既可满足独立的司机驾驶培训功能，又可快速部署参与多岗位联合应急实训，与信号系统、综合监控系统等子系统的联动功能。</w:t>
      </w:r>
    </w:p>
    <w:p>
      <w:pP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七</w:t>
      </w:r>
      <w:r>
        <w:rPr>
          <w:rFonts w:hint="eastAsia" w:ascii="宋体" w:hAnsi="宋体" w:eastAsia="宋体" w:cs="宋体"/>
          <w:color w:val="auto"/>
          <w:kern w:val="0"/>
          <w:sz w:val="24"/>
          <w:szCs w:val="24"/>
          <w:highlight w:val="none"/>
        </w:rPr>
        <w:t>、多岗位联动应急演练实训平台配置</w:t>
      </w:r>
      <w:r>
        <w:rPr>
          <w:rFonts w:hint="eastAsia" w:ascii="宋体" w:hAnsi="宋体" w:eastAsia="宋体" w:cs="宋体"/>
          <w:color w:val="auto"/>
          <w:kern w:val="0"/>
          <w:sz w:val="24"/>
          <w:szCs w:val="24"/>
          <w:highlight w:val="none"/>
          <w:lang w:eastAsia="zh-CN"/>
        </w:rPr>
        <w:t>参数</w:t>
      </w:r>
    </w:p>
    <w:tbl>
      <w:tblPr>
        <w:tblStyle w:val="39"/>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991"/>
        <w:gridCol w:w="965"/>
        <w:gridCol w:w="960"/>
        <w:gridCol w:w="4953"/>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noWrap/>
            <w:vAlign w:val="center"/>
          </w:tcPr>
          <w:p>
            <w:pPr>
              <w:pStyle w:val="174"/>
              <w:adjustRightInd w:val="0"/>
              <w:snapToGrid w:val="0"/>
              <w:spacing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956" w:type="dxa"/>
            <w:gridSpan w:val="2"/>
            <w:noWrap/>
            <w:vAlign w:val="center"/>
          </w:tcPr>
          <w:p>
            <w:pPr>
              <w:pStyle w:val="174"/>
              <w:adjustRightInd w:val="0"/>
              <w:snapToGrid w:val="0"/>
              <w:spacing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品目名称</w:t>
            </w:r>
          </w:p>
        </w:tc>
        <w:tc>
          <w:tcPr>
            <w:tcW w:w="5913" w:type="dxa"/>
            <w:gridSpan w:val="2"/>
            <w:noWrap/>
            <w:vAlign w:val="center"/>
          </w:tcPr>
          <w:p>
            <w:pPr>
              <w:pStyle w:val="174"/>
              <w:adjustRightInd w:val="0"/>
              <w:snapToGrid w:val="0"/>
              <w:spacing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技术规格、参数与要求</w:t>
            </w:r>
          </w:p>
        </w:tc>
        <w:tc>
          <w:tcPr>
            <w:tcW w:w="761" w:type="dxa"/>
            <w:noWrap/>
            <w:vAlign w:val="center"/>
          </w:tcPr>
          <w:p>
            <w:pPr>
              <w:pStyle w:val="174"/>
              <w:adjustRightInd w:val="0"/>
              <w:snapToGrid w:val="0"/>
              <w:spacing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991" w:type="dxa"/>
            <w:vMerge w:val="restart"/>
            <w:noWrap/>
            <w:vAlign w:val="center"/>
          </w:tcPr>
          <w:p>
            <w:pPr>
              <w:pStyle w:val="174"/>
              <w:adjustRightInd w:val="0"/>
              <w:snapToGrid w:val="0"/>
              <w:spacing w:line="240" w:lineRule="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多岗位联动应急演练实训硬件平台</w:t>
            </w:r>
          </w:p>
          <w:p>
            <w:pPr>
              <w:ind w:left="0" w:leftChars="0" w:firstLine="0" w:firstLineChars="0"/>
              <w:rPr>
                <w:rFonts w:hint="eastAsia"/>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核心产品</w:t>
            </w:r>
            <w:r>
              <w:rPr>
                <w:rFonts w:hint="eastAsia" w:ascii="宋体" w:hAnsi="宋体" w:eastAsia="宋体" w:cs="宋体"/>
                <w:b/>
                <w:bCs/>
                <w:color w:val="auto"/>
                <w:highlight w:val="none"/>
                <w:lang w:eastAsia="zh-CN"/>
              </w:rPr>
              <w:t>）</w:t>
            </w: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多岗位联动实训操作台</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长度不小于3500mm，宽度不小于700mm，高度不小于1400mm；台柜体选用优质冷轧钢板，喷塑，颜色为浅灰色；控制台、工作台后门板采用百叶窗式设计，底柜通透式设计，散热性能好。</w:t>
            </w:r>
            <w:r>
              <w:rPr>
                <w:rFonts w:hint="eastAsia" w:ascii="宋体" w:hAnsi="宋体" w:eastAsia="宋体" w:cs="宋体"/>
                <w:color w:val="auto"/>
                <w:sz w:val="24"/>
                <w:szCs w:val="24"/>
                <w:highlight w:val="none"/>
                <w:lang w:val="en-US" w:eastAsia="zh-CN"/>
              </w:rPr>
              <w:t>安装环电调培训终端</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车站培训终端</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乘务培训终端</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信号培训终端</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行调培训终端</w:t>
            </w:r>
            <w:r>
              <w:rPr>
                <w:rFonts w:hint="eastAsia" w:ascii="宋体" w:hAnsi="宋体" w:eastAsia="宋体" w:cs="宋体"/>
                <w:color w:val="auto"/>
                <w:sz w:val="24"/>
                <w:szCs w:val="24"/>
                <w:highlight w:val="none"/>
              </w:rPr>
              <w:t>等5个</w:t>
            </w:r>
            <w:r>
              <w:rPr>
                <w:rFonts w:hint="eastAsia" w:ascii="宋体" w:hAnsi="宋体" w:eastAsia="宋体" w:cs="宋体"/>
                <w:color w:val="auto"/>
                <w:sz w:val="24"/>
                <w:szCs w:val="24"/>
                <w:highlight w:val="none"/>
                <w:lang w:val="en-US" w:eastAsia="zh-CN"/>
              </w:rPr>
              <w:t>使用终端</w:t>
            </w:r>
            <w:r>
              <w:rPr>
                <w:rFonts w:hint="eastAsia" w:ascii="宋体" w:hAnsi="宋体" w:eastAsia="宋体" w:cs="宋体"/>
                <w:color w:val="auto"/>
                <w:sz w:val="24"/>
                <w:szCs w:val="24"/>
                <w:highlight w:val="none"/>
              </w:rPr>
              <w:t>。操作台顶部设有2套显示器，显示器多角度可变换。每套含5组工作站座椅。</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教员管理终端</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安装教学管理系统</w:t>
            </w:r>
          </w:p>
          <w:p>
            <w:pPr>
              <w:pStyle w:val="174"/>
              <w:adjustRightInd w:val="0"/>
              <w:snapToGrid w:val="0"/>
              <w:spacing w:line="24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rPr>
              <w:t>通过软件实现教师机管理功能，包括：学生机管理、</w:t>
            </w:r>
            <w:r>
              <w:rPr>
                <w:rFonts w:hint="eastAsia" w:ascii="宋体" w:hAnsi="宋体" w:eastAsia="宋体" w:cs="宋体"/>
                <w:b w:val="0"/>
                <w:bCs w:val="0"/>
                <w:color w:val="auto"/>
                <w:sz w:val="24"/>
                <w:szCs w:val="24"/>
                <w:highlight w:val="none"/>
                <w:lang w:val="en-US" w:eastAsia="zh-CN"/>
              </w:rPr>
              <w:t>试题</w:t>
            </w:r>
            <w:r>
              <w:rPr>
                <w:rFonts w:hint="eastAsia" w:ascii="宋体" w:hAnsi="宋体" w:eastAsia="宋体" w:cs="宋体"/>
                <w:b w:val="0"/>
                <w:bCs w:val="0"/>
                <w:color w:val="auto"/>
                <w:sz w:val="24"/>
                <w:szCs w:val="24"/>
                <w:highlight w:val="none"/>
                <w:lang w:val="en-US"/>
              </w:rPr>
              <w:t>管理、</w:t>
            </w:r>
            <w:r>
              <w:rPr>
                <w:rFonts w:hint="eastAsia" w:ascii="宋体" w:hAnsi="宋体" w:eastAsia="宋体" w:cs="宋体"/>
                <w:b w:val="0"/>
                <w:bCs w:val="0"/>
                <w:color w:val="auto"/>
                <w:sz w:val="24"/>
                <w:szCs w:val="24"/>
                <w:highlight w:val="none"/>
                <w:lang w:val="en-US" w:eastAsia="zh-CN"/>
              </w:rPr>
              <w:t>考核管理、</w:t>
            </w:r>
            <w:r>
              <w:rPr>
                <w:rFonts w:hint="eastAsia" w:ascii="宋体" w:hAnsi="宋体" w:eastAsia="宋体" w:cs="宋体"/>
                <w:b w:val="0"/>
                <w:bCs w:val="0"/>
                <w:color w:val="auto"/>
                <w:sz w:val="24"/>
                <w:szCs w:val="24"/>
                <w:highlight w:val="none"/>
                <w:lang w:val="en-US"/>
              </w:rPr>
              <w:t>屏幕显示管理</w:t>
            </w:r>
            <w:r>
              <w:rPr>
                <w:rFonts w:hint="eastAsia" w:ascii="宋体" w:hAnsi="宋体" w:eastAsia="宋体" w:cs="宋体"/>
                <w:b w:val="0"/>
                <w:bCs w:val="0"/>
                <w:color w:val="auto"/>
                <w:sz w:val="24"/>
                <w:szCs w:val="24"/>
                <w:highlight w:val="none"/>
                <w:lang w:val="en-US" w:eastAsia="zh-CN"/>
              </w:rPr>
              <w:t>、数据管理</w:t>
            </w:r>
            <w:r>
              <w:rPr>
                <w:rFonts w:hint="eastAsia" w:ascii="宋体" w:hAnsi="宋体" w:eastAsia="宋体" w:cs="宋体"/>
                <w:b w:val="0"/>
                <w:bCs w:val="0"/>
                <w:color w:val="auto"/>
                <w:sz w:val="24"/>
                <w:szCs w:val="24"/>
                <w:highlight w:val="none"/>
                <w:lang w:val="en-US"/>
              </w:rPr>
              <w:t>等等。</w:t>
            </w:r>
            <w:r>
              <w:rPr>
                <w:rFonts w:hint="eastAsia" w:ascii="宋体" w:hAnsi="宋体" w:eastAsia="宋体" w:cs="宋体"/>
                <w:b w:val="0"/>
                <w:bCs w:val="0"/>
                <w:color w:val="auto"/>
                <w:sz w:val="24"/>
                <w:szCs w:val="24"/>
                <w:highlight w:val="none"/>
                <w:lang w:val="en-US" w:eastAsia="zh-CN"/>
              </w:rPr>
              <w:t>其中通用管理包括全部</w:t>
            </w:r>
            <w:r>
              <w:rPr>
                <w:rFonts w:hint="eastAsia" w:ascii="宋体" w:hAnsi="宋体" w:eastAsia="宋体" w:cs="宋体"/>
                <w:b w:val="0"/>
                <w:bCs w:val="0"/>
                <w:color w:val="auto"/>
                <w:sz w:val="24"/>
                <w:szCs w:val="24"/>
                <w:highlight w:val="none"/>
                <w:lang w:val="en-US"/>
              </w:rPr>
              <w:t>教学辅助功能</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广播教学</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电子黑板</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教学示范</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电子抢答</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远程控制</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电子黑屏</w:t>
            </w:r>
            <w:r>
              <w:rPr>
                <w:rFonts w:hint="eastAsia" w:ascii="宋体" w:hAnsi="宋体" w:eastAsia="宋体" w:cs="宋体"/>
                <w:b w:val="0"/>
                <w:bCs w:val="0"/>
                <w:color w:val="auto"/>
                <w:sz w:val="24"/>
                <w:szCs w:val="24"/>
                <w:highlight w:val="none"/>
                <w:lang w:val="en-US" w:eastAsia="zh-CN"/>
              </w:rPr>
              <w:t>等课堂教学通用功能。</w:t>
            </w:r>
          </w:p>
          <w:p>
            <w:pPr>
              <w:pStyle w:val="174"/>
              <w:adjustRightInd w:val="0"/>
              <w:snapToGrid w:val="0"/>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Intel酷睿i7处理器；</w:t>
            </w:r>
          </w:p>
          <w:p>
            <w:pPr>
              <w:pStyle w:val="174"/>
              <w:adjustRightInd w:val="0"/>
              <w:snapToGrid w:val="0"/>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内存：8GB DDR4；硬盘：1TB 硬盘；</w:t>
            </w:r>
          </w:p>
          <w:p>
            <w:pPr>
              <w:pStyle w:val="174"/>
              <w:adjustRightInd w:val="0"/>
              <w:snapToGrid w:val="0"/>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显卡：独立显卡；</w:t>
            </w:r>
          </w:p>
          <w:p>
            <w:pPr>
              <w:pStyle w:val="174"/>
              <w:adjustRightInd w:val="0"/>
              <w:snapToGrid w:val="0"/>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内置千兆网卡；</w:t>
            </w:r>
          </w:p>
          <w:p>
            <w:pPr>
              <w:pStyle w:val="174"/>
              <w:adjustRightInd w:val="0"/>
              <w:snapToGrid w:val="0"/>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配套：USB键盘、USB鼠标</w:t>
            </w:r>
          </w:p>
          <w:p>
            <w:pPr>
              <w:pStyle w:val="174"/>
              <w:adjustRightInd w:val="0"/>
              <w:snapToGrid w:val="0"/>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采用嵌入式键盘，自带4寸显示触摸屏，具备放音功能，无需外接音箱即可出音，支持外接3.5mm耳机。</w:t>
            </w:r>
          </w:p>
        </w:tc>
        <w:tc>
          <w:tcPr>
            <w:tcW w:w="761" w:type="dxa"/>
            <w:noWrap/>
            <w:vAlign w:val="center"/>
          </w:tcPr>
          <w:p>
            <w:pPr>
              <w:pStyle w:val="174"/>
              <w:adjustRightInd w:val="0"/>
              <w:snapToGrid w:val="0"/>
              <w:spacing w:line="24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环电调培训终端</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rPr>
              <w:t>多岗位联动综合监控系统</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产品依托实际地铁</w:t>
            </w:r>
            <w:r>
              <w:rPr>
                <w:rFonts w:hint="eastAsia" w:ascii="宋体" w:hAnsi="宋体" w:eastAsia="宋体" w:cs="宋体"/>
                <w:color w:val="auto"/>
                <w:sz w:val="24"/>
                <w:szCs w:val="24"/>
                <w:highlight w:val="none"/>
                <w:lang w:eastAsia="zh-CN"/>
              </w:rPr>
              <w:t>多岗位综合监控系统</w:t>
            </w:r>
            <w:r>
              <w:rPr>
                <w:rFonts w:hint="eastAsia" w:ascii="宋体" w:hAnsi="宋体" w:eastAsia="宋体" w:cs="宋体"/>
                <w:color w:val="auto"/>
                <w:sz w:val="24"/>
                <w:szCs w:val="24"/>
                <w:highlight w:val="none"/>
              </w:rPr>
              <w:t>平台的软件技术和运营数据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系统采用C/S构架</w:t>
            </w:r>
            <w:r>
              <w:rPr>
                <w:rFonts w:hint="eastAsia" w:ascii="宋体" w:hAnsi="宋体" w:eastAsia="宋体" w:cs="宋体"/>
                <w:color w:val="auto"/>
                <w:sz w:val="24"/>
                <w:szCs w:val="24"/>
                <w:highlight w:val="none"/>
              </w:rPr>
              <w:t>。ISCS系统对应的人机终端-----</w:t>
            </w:r>
            <w:r>
              <w:rPr>
                <w:rFonts w:hint="eastAsia" w:ascii="宋体" w:hAnsi="宋体" w:eastAsia="宋体" w:cs="宋体"/>
                <w:color w:val="auto"/>
                <w:sz w:val="24"/>
                <w:szCs w:val="24"/>
                <w:highlight w:val="none"/>
                <w:lang w:val="en-US" w:eastAsia="zh-CN"/>
              </w:rPr>
              <w:t>教师机</w:t>
            </w:r>
            <w:r>
              <w:rPr>
                <w:rFonts w:hint="eastAsia" w:ascii="宋体" w:hAnsi="宋体" w:eastAsia="宋体" w:cs="宋体"/>
                <w:color w:val="auto"/>
                <w:sz w:val="24"/>
                <w:szCs w:val="24"/>
                <w:highlight w:val="none"/>
              </w:rPr>
              <w:t>满足环调、客调、防灾调度、电调和维调的岗位功能，包括车站的</w:t>
            </w:r>
            <w:r>
              <w:rPr>
                <w:rFonts w:hint="eastAsia" w:ascii="宋体" w:hAnsi="宋体" w:eastAsia="宋体" w:cs="宋体"/>
                <w:color w:val="auto"/>
                <w:sz w:val="24"/>
                <w:szCs w:val="24"/>
                <w:highlight w:val="none"/>
                <w:lang w:val="en-US" w:eastAsia="zh-CN"/>
              </w:rPr>
              <w:t>PSCADA电力系统、</w:t>
            </w:r>
            <w:r>
              <w:rPr>
                <w:rFonts w:hint="eastAsia" w:ascii="宋体" w:hAnsi="宋体" w:eastAsia="宋体" w:cs="宋体"/>
                <w:color w:val="auto"/>
                <w:sz w:val="24"/>
                <w:szCs w:val="24"/>
                <w:highlight w:val="none"/>
              </w:rPr>
              <w:t>BAS系统、PIS系统、AFC系统、FAS系统、PSD系统、SIG系统等画面和功能。</w:t>
            </w:r>
          </w:p>
          <w:p>
            <w:pPr>
              <w:pStyle w:val="174"/>
              <w:adjustRightInd w:val="0"/>
              <w:snapToGrid w:val="0"/>
              <w:spacing w:line="24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学员能够使用环电调培训终端对环控、火灾、屏蔽门等系统进行集成监控和联动控制管理。关键设备状态变化与车站培训终端同步。</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Intel酷睿i7处理器；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内存：8GB DDR4；硬盘：1TB 硬盘；</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显卡：独立显卡；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内置千兆网卡；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配套：USB键盘、USB鼠标</w:t>
            </w:r>
          </w:p>
          <w:p>
            <w:pPr>
              <w:spacing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采用嵌入式键盘，自带4寸显示触摸屏，具备放音功能，无需外接音箱即可出音，支持外接3.5mm耳机。</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车站培训终端</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rPr>
              <w:t>多岗位联动三维车站系统平台</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利用虚拟仿真技术构建三维数字化地铁车站，作为演练平台。平台提供场景漫游、标注讲解、设备交互操作、各岗位角色扮演、各种应急演练场景的还原等功能，可实现单专业单岗位的独立交互和场景教学，也可实现多岗位多专业的综合场景演练教学。</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应急演练模块里包含了多种真实地铁应急演练实训，为学员提供了真实的地铁应急演练的场景、操作培训和教学。</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Intel酷睿i7处理器；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内存：8GB DDR4；硬盘：1TB 硬盘；</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显卡：独立显卡；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内置千兆网卡；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配套：USB键盘、USB鼠标</w:t>
            </w:r>
          </w:p>
          <w:p>
            <w:pPr>
              <w:spacing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采用嵌入式键盘，自带4寸显示触摸屏，具备放音功能，无需外接音箱即可出音，支持外接3.5mm耳机。</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ind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乘务培训终端</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rPr>
              <w:t>多岗位联动驾驶系统</w:t>
            </w:r>
          </w:p>
          <w:p>
            <w:pPr>
              <w:pStyle w:val="174"/>
              <w:adjustRightInd w:val="0"/>
              <w:snapToGrid w:val="0"/>
              <w:spacing w:line="24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驾驶仿真软件将实体驾驶台虚拟化，部署于触摸屏操作，包含司控器、牵引、制动功能的操作按钮与转换开关、指示显示灯等。</w:t>
            </w:r>
            <w:r>
              <w:rPr>
                <w:rFonts w:hint="eastAsia" w:ascii="宋体" w:hAnsi="宋体" w:eastAsia="宋体" w:cs="宋体"/>
                <w:color w:val="auto"/>
                <w:sz w:val="24"/>
                <w:szCs w:val="24"/>
                <w:highlight w:val="none"/>
                <w:lang w:val="en-US" w:eastAsia="zh-CN"/>
              </w:rPr>
              <w:t>学员可操作该终端体验列车驾驶的流程。</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逻辑内核涵盖司机日常驾驶作业的标准流程，导入车辆物理模型与线路数据，驾驶感接近实体车辆。集成三维模拟驾驶场景，可进行常规的车辆控制与驾驶训练。</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CPU：英特尔® 酷睿 i7；</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内存：8GB DDR4；硬盘：1TB  SATA硬盘；</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显卡：独立显卡，独立显存4G；</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内置千兆网卡；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电源：不小于300W；</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配套：USB键盘、USB鼠标；</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操作系统：win 7 64位旗舰版。</w:t>
            </w:r>
          </w:p>
        </w:tc>
        <w:tc>
          <w:tcPr>
            <w:tcW w:w="761" w:type="dxa"/>
            <w:noWrap/>
            <w:vAlign w:val="center"/>
          </w:tcPr>
          <w:p>
            <w:pPr>
              <w:pStyle w:val="174"/>
              <w:adjustRightInd w:val="0"/>
              <w:snapToGrid w:val="0"/>
              <w:spacing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信号培训终端</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rPr>
              <w:t>多岗位联动三维电子沙盘系统平台</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利用计算机技术构建三维数字化电子沙盘，提供站台视角、正线轨道视角，通过场景漫游实现对线路信号设备进行认知与学习，通过情景模拟实现对行车调度的教学以及过程中不同突发情况的应急处理实训演练。电子沙盘上地铁线路车站的站台分别有侧式站台、岛式站台。与多岗位ATS系统状态同步。</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Intel酷睿i7处理器；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内存：8GB DDR4；硬盘：1TB 硬盘；</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显卡：独立显卡；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内置千兆网卡；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配套：USB键盘、USB鼠标</w:t>
            </w:r>
          </w:p>
          <w:p>
            <w:pPr>
              <w:spacing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采用嵌入式键盘，自带4寸显示触摸屏，具备放音功能，无需外接音箱即可出音，支持外接3.5mm耳机。</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行调培训终端</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安装</w:t>
            </w:r>
            <w:r>
              <w:rPr>
                <w:rFonts w:hint="eastAsia" w:ascii="宋体" w:hAnsi="宋体" w:eastAsia="宋体" w:cs="宋体"/>
                <w:color w:val="auto"/>
                <w:sz w:val="24"/>
                <w:szCs w:val="24"/>
                <w:highlight w:val="none"/>
              </w:rPr>
              <w:t>多岗位联动信号系统平台</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号系统平台可实现学员自主课程设计实验功能，通过DCT数据组态工具软件实现图形化线路的设计和数据配置功能，学生可基于平台图元化绘制线路，平台具备道岔、信号机、杂项设备、区段的选择和绘制功能，并可对设备进行属性编辑。辅助学生使用并熟悉配置站场数据的流程，搭建一条完整的线路数据，使学生能够有效地了解底层信号数据的相互关系。具备进路编辑、关联关系编辑和数据导出的功能。</w:t>
            </w:r>
          </w:p>
          <w:p>
            <w:pPr>
              <w:pStyle w:val="174"/>
              <w:adjustRightInd w:val="0"/>
              <w:snapToGrid w:val="0"/>
              <w:spacing w:line="24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学员通过操作行调培训终端可进行监控线路设备、时刻表上传、编辑派班计划、排列进路等操作。关键线路数据与信号培训终端同步。</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Intel酷睿i7处理器；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内存：8GB DDR4；硬盘：1TB 硬盘；</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显卡：独立显卡；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内置千兆网卡；</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配套：USB键盘、USB鼠标</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采用嵌入式键盘，自带4寸显示触摸屏，具备放音功能，无需外接音箱即可出音，支持外接3.5mm耳机。</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教师机座椅</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产品尺寸（cm)65.5*65.5*125</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产品承重量（kg）110</w:t>
            </w:r>
          </w:p>
          <w:p>
            <w:pPr>
              <w:pStyle w:val="174"/>
              <w:adjustRightInd w:val="0"/>
              <w:snapToGrid w:val="0"/>
              <w:spacing w:line="240" w:lineRule="auto"/>
              <w:jc w:val="left"/>
              <w:rPr>
                <w:rFonts w:hint="default" w:ascii="宋体" w:hAnsi="宋体" w:eastAsia="宋体" w:cs="宋体"/>
                <w:color w:val="auto"/>
                <w:sz w:val="24"/>
                <w:szCs w:val="24"/>
                <w:highlight w:val="none"/>
                <w:lang w:val="en-US" w:eastAsia="zh-CN"/>
              </w:rPr>
            </w:pPr>
            <w:r>
              <w:rPr>
                <w:rFonts w:hint="eastAsia" w:ascii="Tahoma" w:hAnsi="Tahoma" w:eastAsia="Tahoma" w:cs="Tahoma"/>
                <w:i w:val="0"/>
                <w:caps w:val="0"/>
                <w:color w:val="auto"/>
                <w:spacing w:val="0"/>
                <w:sz w:val="16"/>
                <w:szCs w:val="16"/>
                <w:highlight w:val="none"/>
                <w:u w:val="none"/>
              </w:rPr>
              <w:drawing>
                <wp:anchor distT="0" distB="0" distL="114300" distR="114300" simplePos="0" relativeHeight="251659264" behindDoc="0" locked="0" layoutInCell="1" allowOverlap="1">
                  <wp:simplePos x="0" y="0"/>
                  <wp:positionH relativeFrom="column">
                    <wp:posOffset>25400</wp:posOffset>
                  </wp:positionH>
                  <wp:positionV relativeFrom="paragraph">
                    <wp:posOffset>234950</wp:posOffset>
                  </wp:positionV>
                  <wp:extent cx="831215" cy="1184275"/>
                  <wp:effectExtent l="0" t="0" r="6985" b="4445"/>
                  <wp:wrapTopAndBottom/>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27"/>
                          <a:srcRect l="21557" t="26745" r="24701" b="9967"/>
                          <a:stretch>
                            <a:fillRect/>
                          </a:stretch>
                        </pic:blipFill>
                        <pic:spPr>
                          <a:xfrm>
                            <a:off x="0" y="0"/>
                            <a:ext cx="831215" cy="1184275"/>
                          </a:xfrm>
                          <a:prstGeom prst="rect">
                            <a:avLst/>
                          </a:prstGeom>
                          <a:noFill/>
                          <a:ln w="9525">
                            <a:noFill/>
                          </a:ln>
                        </pic:spPr>
                      </pic:pic>
                    </a:graphicData>
                  </a:graphic>
                </wp:anchor>
              </w:drawing>
            </w:r>
            <w:r>
              <w:rPr>
                <w:rFonts w:hint="eastAsia" w:ascii="宋体" w:hAnsi="宋体" w:eastAsia="宋体" w:cs="宋体"/>
                <w:color w:val="auto"/>
                <w:sz w:val="24"/>
                <w:szCs w:val="24"/>
                <w:highlight w:val="none"/>
                <w:lang w:val="en-US" w:eastAsia="zh-CN"/>
              </w:rPr>
              <w:t>参考图片：</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教师机工作台</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实木办公班台，</w:t>
            </w:r>
            <w:r>
              <w:rPr>
                <w:rFonts w:hint="eastAsia" w:ascii="宋体" w:hAnsi="宋体" w:eastAsia="宋体" w:cs="宋体"/>
                <w:color w:val="auto"/>
                <w:sz w:val="24"/>
                <w:szCs w:val="24"/>
                <w:highlight w:val="none"/>
              </w:rPr>
              <w:t>产品尺寸</w:t>
            </w:r>
            <w:r>
              <w:rPr>
                <w:rFonts w:hint="eastAsia" w:ascii="宋体" w:hAnsi="宋体" w:eastAsia="宋体" w:cs="宋体"/>
                <w:color w:val="auto"/>
                <w:sz w:val="24"/>
                <w:szCs w:val="24"/>
                <w:highlight w:val="none"/>
                <w:lang w:val="en-US" w:eastAsia="zh-CN"/>
              </w:rPr>
              <w:t>不小于</w:t>
            </w:r>
            <w:r>
              <w:rPr>
                <w:rFonts w:hint="eastAsia" w:ascii="宋体" w:hAnsi="宋体" w:eastAsia="宋体" w:cs="宋体"/>
                <w:color w:val="auto"/>
                <w:sz w:val="24"/>
                <w:szCs w:val="24"/>
                <w:highlight w:val="none"/>
              </w:rPr>
              <w:t>（cm)</w:t>
            </w:r>
            <w:r>
              <w:rPr>
                <w:rFonts w:hint="eastAsia" w:ascii="宋体" w:hAnsi="宋体" w:eastAsia="宋体" w:cs="宋体"/>
                <w:color w:val="auto"/>
                <w:sz w:val="24"/>
                <w:szCs w:val="24"/>
                <w:highlight w:val="none"/>
                <w:lang w:val="en-US" w:eastAsia="zh-CN"/>
              </w:rPr>
              <w:t>宽80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高75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长</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50。</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参考图片：</w:t>
            </w:r>
          </w:p>
          <w:p>
            <w:pPr>
              <w:rPr>
                <w:rFonts w:hint="default"/>
                <w:color w:val="auto"/>
                <w:highlight w:val="none"/>
                <w:lang w:val="en-US"/>
              </w:rPr>
            </w:pPr>
            <w:r>
              <w:rPr>
                <w:rFonts w:hint="eastAsia" w:ascii="Tahoma" w:hAnsi="Tahoma" w:eastAsia="Tahoma" w:cs="Tahoma"/>
                <w:i w:val="0"/>
                <w:caps w:val="0"/>
                <w:color w:val="auto"/>
                <w:spacing w:val="0"/>
                <w:sz w:val="16"/>
                <w:szCs w:val="16"/>
                <w:highlight w:val="none"/>
                <w:u w:val="none"/>
              </w:rPr>
              <w:drawing>
                <wp:inline distT="0" distB="0" distL="114300" distR="114300">
                  <wp:extent cx="2165350" cy="1329055"/>
                  <wp:effectExtent l="0" t="0" r="13970" b="12065"/>
                  <wp:docPr id="1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6"/>
                          <pic:cNvPicPr>
                            <a:picLocks noChangeAspect="1"/>
                          </pic:cNvPicPr>
                        </pic:nvPicPr>
                        <pic:blipFill>
                          <a:blip r:embed="rId28"/>
                          <a:srcRect l="3684" t="80634" r="50794" b="2364"/>
                          <a:stretch>
                            <a:fillRect/>
                          </a:stretch>
                        </pic:blipFill>
                        <pic:spPr>
                          <a:xfrm>
                            <a:off x="0" y="0"/>
                            <a:ext cx="2165350" cy="1329055"/>
                          </a:xfrm>
                          <a:prstGeom prst="rect">
                            <a:avLst/>
                          </a:prstGeom>
                          <a:noFill/>
                          <a:ln w="9525">
                            <a:noFill/>
                          </a:ln>
                        </pic:spPr>
                      </pic:pic>
                    </a:graphicData>
                  </a:graphic>
                </wp:inline>
              </w:drawing>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司乘培训终端</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面板类型 ADS TFT面板</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屏幕尺寸 21.5"</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最佳分辨率 1920 x 1080</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亮度 250 cd/m2（典型）</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对比度 1000:1（典型）</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动态对比度 DCR 5000W：1</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可视角度（水平/垂直） 水平：178度；垂直：178 度 (CR&gt;10)</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反应时间 5ms</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点距 0.24825mm</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表面涂层 7H硬度玻璃</w:t>
            </w:r>
          </w:p>
          <w:p>
            <w:pPr>
              <w:pStyle w:val="174"/>
              <w:adjustRightInd w:val="0"/>
              <w:snapToGrid w:val="0"/>
              <w:spacing w:line="24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触摸屏 十点电容触摸</w:t>
            </w:r>
          </w:p>
          <w:p>
            <w:pPr>
              <w:pStyle w:val="174"/>
              <w:adjustRightInd w:val="0"/>
              <w:snapToGrid w:val="0"/>
              <w:spacing w:line="240" w:lineRule="auto"/>
              <w:jc w:val="left"/>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安装有通过司乘培训软件，学员可进行城轨的模拟驾驶实训。</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显示屏</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27吋显示器</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网络机柜</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网络机柜，不低于以下配置：</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类型：网络机柜；</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容量：42U。</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含</w:t>
            </w:r>
            <w:r>
              <w:rPr>
                <w:rFonts w:hint="eastAsia" w:ascii="宋体" w:hAnsi="宋体" w:eastAsia="宋体" w:cs="宋体"/>
                <w:color w:val="auto"/>
                <w:sz w:val="24"/>
                <w:szCs w:val="24"/>
                <w:highlight w:val="none"/>
              </w:rPr>
              <w:t>实训室整体布线等配线设施。</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智能教学黑板</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1.产品整体尺寸：宽：4024mm ，高：1224mm ，厚：90mm。模块化设计，壁挂式安装，拆卸方便。触摸区域为86寸。</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2：采用工业级A规液晶面板，1080P高清显示，对比度：6000:1，色温：10000K，亮度：480cd/㎡，响应速度：8ms，单屏物理分辨率：3840*2160（4K显示）；可视角度：（水平/垂直)：178°，液晶屏使用寿命大于50000小时</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3：内置音频喇叭：2*10w，控制接口：RS232*1，外部接口：HDMI*1</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4：产品采用国内最先进的纳米电容触控技术，手指轻触式多点（不小于10点触控）互动体验，满足连接 Windows 操作系统（Win 7、Win8专业版 旗舰版）电脑外部设备时正常无障碍使用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5：OPS架构，数据USB*4，处理器：Intel Corei5处理器，内存：8G  ，硬盘：128G-SSD 固态硬盘，内置 WiFi：IEEE 802.11n 标准，保证足够的信号强度;内置网卡：10M/100M/1000M,RJ45*1，自带window7旗舰版系统。</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ISCS实时服务器系统</w:t>
            </w:r>
          </w:p>
        </w:tc>
        <w:tc>
          <w:tcPr>
            <w:tcW w:w="5913" w:type="dxa"/>
            <w:gridSpan w:val="2"/>
            <w:noWrap/>
            <w:vAlign w:val="center"/>
          </w:tcPr>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配</w:t>
            </w:r>
            <w:r>
              <w:rPr>
                <w:rFonts w:hint="eastAsia" w:ascii="宋体" w:hAnsi="宋体" w:eastAsia="宋体" w:cs="宋体"/>
                <w:color w:val="auto"/>
                <w:sz w:val="24"/>
                <w:szCs w:val="24"/>
                <w:highlight w:val="none"/>
              </w:rPr>
              <w:t>真实地铁综合监控服务器系统软硬件，由机架式服务器和综合监控服务器软件组成，操作系统：linux，</w:t>
            </w:r>
            <w:r>
              <w:rPr>
                <w:rFonts w:hint="eastAsia" w:ascii="宋体" w:hAnsi="宋体" w:eastAsia="宋体" w:cs="宋体"/>
                <w:color w:val="auto"/>
                <w:kern w:val="2"/>
                <w:sz w:val="24"/>
                <w:szCs w:val="24"/>
                <w:highlight w:val="none"/>
                <w:lang w:val="en-US" w:eastAsia="zh-CN" w:bidi="ar-SA"/>
              </w:rPr>
              <w:t>现场验证真实的设备和系统架构，验证内容：1、实时服务器只安装</w:t>
            </w:r>
            <w:r>
              <w:rPr>
                <w:rFonts w:hint="eastAsia" w:ascii="宋体" w:hAnsi="宋体" w:eastAsia="宋体" w:cs="宋体"/>
                <w:color w:val="auto"/>
                <w:sz w:val="24"/>
                <w:szCs w:val="24"/>
                <w:highlight w:val="none"/>
              </w:rPr>
              <w:t>linux</w:t>
            </w:r>
            <w:r>
              <w:rPr>
                <w:rFonts w:hint="eastAsia" w:ascii="宋体" w:hAnsi="宋体" w:eastAsia="宋体" w:cs="宋体"/>
                <w:color w:val="auto"/>
                <w:sz w:val="24"/>
                <w:szCs w:val="24"/>
                <w:highlight w:val="none"/>
                <w:lang w:val="en-US" w:eastAsia="zh-CN"/>
              </w:rPr>
              <w:t>操作系统，别无其他系统和软件。2、服务器开启时，综合监控系统可用户登陆，正常运行。3、关闭服务器后，综合监控系统无法登出，出现报警提醒，无法正常运行</w:t>
            </w:r>
            <w:r>
              <w:rPr>
                <w:rFonts w:hint="eastAsia" w:ascii="宋体" w:hAnsi="宋体" w:eastAsia="宋体" w:cs="宋体"/>
                <w:color w:val="auto"/>
                <w:kern w:val="2"/>
                <w:sz w:val="24"/>
                <w:szCs w:val="24"/>
                <w:highlight w:val="none"/>
                <w:lang w:val="en-US" w:eastAsia="zh-CN" w:bidi="ar-SA"/>
              </w:rPr>
              <w:t>。</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机架式服务器硬件性能：</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芯片组：英特尔C610系列</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处理器：至强Xeon-E5系列，六核12线程，主频2.4GHZ</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内存：62G</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硬盘：2T</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网卡：1个千兆四端口5720网卡</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阵列卡：智能PERCH330或730阵列卡</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电源可扩展冗余</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带远程管理卡</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综合监控服务器软件性能：</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每个服务器集群支持255个以上客户端的应用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需</w:t>
            </w:r>
            <w:r>
              <w:rPr>
                <w:rFonts w:hint="eastAsia" w:ascii="宋体" w:hAnsi="宋体" w:eastAsia="宋体" w:cs="宋体"/>
                <w:color w:val="auto"/>
                <w:sz w:val="24"/>
                <w:szCs w:val="24"/>
                <w:highlight w:val="none"/>
              </w:rPr>
              <w:t>综合监控系统提供HMI管理、权限管理、配置服务、接口管理、报表服务、数据库服务、报警服务、控制服务、计算服务、日志服务等系统功能。</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FEP 前置处理器系统</w:t>
            </w:r>
          </w:p>
        </w:tc>
        <w:tc>
          <w:tcPr>
            <w:tcW w:w="5913" w:type="dxa"/>
            <w:gridSpan w:val="2"/>
            <w:noWrap/>
            <w:vAlign w:val="center"/>
          </w:tcPr>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真实地铁FEP系统，应用于真实地铁项目，</w:t>
            </w:r>
            <w:r>
              <w:rPr>
                <w:rFonts w:hint="eastAsia" w:ascii="宋体" w:hAnsi="宋体" w:eastAsia="宋体" w:cs="宋体"/>
                <w:color w:val="auto"/>
                <w:kern w:val="2"/>
                <w:sz w:val="24"/>
                <w:szCs w:val="24"/>
                <w:highlight w:val="none"/>
                <w:lang w:val="en-US" w:eastAsia="zh-CN" w:bidi="ar-SA"/>
              </w:rPr>
              <w:t>现场验证真实的设备和系统架构。</w:t>
            </w:r>
            <w:r>
              <w:rPr>
                <w:rFonts w:hint="eastAsia" w:ascii="宋体" w:hAnsi="宋体" w:eastAsia="宋体" w:cs="宋体"/>
                <w:color w:val="auto"/>
                <w:sz w:val="24"/>
                <w:szCs w:val="24"/>
                <w:highlight w:val="none"/>
                <w:lang w:val="zh-CN"/>
              </w:rPr>
              <w:t>FEP用于管理ISCS与各被集成和互联系统的接口，具有转换各种硬件接口、软件协议的能力，同时能有效地把ISCS与各被集成和互联系统的数据进行隔离。</w:t>
            </w:r>
            <w:r>
              <w:rPr>
                <w:rFonts w:hint="eastAsia" w:ascii="宋体" w:hAnsi="宋体" w:eastAsia="宋体" w:cs="宋体"/>
                <w:color w:val="auto"/>
                <w:kern w:val="2"/>
                <w:sz w:val="24"/>
                <w:szCs w:val="24"/>
                <w:highlight w:val="none"/>
                <w:lang w:val="en-US" w:eastAsia="zh-CN" w:bidi="ar-SA"/>
              </w:rPr>
              <w:t>验证内容：1、FEP只安装</w:t>
            </w:r>
            <w:r>
              <w:rPr>
                <w:rFonts w:hint="eastAsia" w:ascii="宋体" w:hAnsi="宋体" w:eastAsia="宋体" w:cs="宋体"/>
                <w:color w:val="auto"/>
                <w:sz w:val="24"/>
                <w:szCs w:val="24"/>
                <w:highlight w:val="none"/>
              </w:rPr>
              <w:t>linux或UNIX</w:t>
            </w:r>
            <w:r>
              <w:rPr>
                <w:rFonts w:hint="eastAsia" w:ascii="宋体" w:hAnsi="宋体" w:eastAsia="宋体" w:cs="宋体"/>
                <w:color w:val="auto"/>
                <w:sz w:val="24"/>
                <w:szCs w:val="24"/>
                <w:highlight w:val="none"/>
                <w:lang w:val="en-US" w:eastAsia="zh-CN"/>
              </w:rPr>
              <w:t>操作系统，别无其他系统和软件。2、FEP开启时，综合监控系统可以和外部进行数据通讯。3关闭FEP后，综合监控系统无法和外部数据通讯</w:t>
            </w:r>
            <w:r>
              <w:rPr>
                <w:rFonts w:hint="eastAsia" w:ascii="宋体" w:hAnsi="宋体" w:eastAsia="宋体" w:cs="宋体"/>
                <w:color w:val="auto"/>
                <w:kern w:val="2"/>
                <w:sz w:val="24"/>
                <w:szCs w:val="24"/>
                <w:highlight w:val="none"/>
                <w:lang w:val="en-US" w:eastAsia="zh-CN" w:bidi="ar-SA"/>
              </w:rPr>
              <w:t>。</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FEP</w:t>
            </w:r>
            <w:r>
              <w:rPr>
                <w:rFonts w:hint="eastAsia" w:ascii="宋体" w:hAnsi="宋体" w:eastAsia="宋体" w:cs="宋体"/>
                <w:color w:val="auto"/>
                <w:sz w:val="24"/>
                <w:szCs w:val="24"/>
                <w:highlight w:val="none"/>
              </w:rPr>
              <w:t>前置处理器硬件性能</w:t>
            </w:r>
            <w:r>
              <w:rPr>
                <w:rFonts w:hint="eastAsia" w:ascii="宋体" w:hAnsi="宋体" w:eastAsia="宋体" w:cs="宋体"/>
                <w:color w:val="auto"/>
                <w:sz w:val="24"/>
                <w:szCs w:val="24"/>
                <w:highlight w:val="none"/>
                <w:lang w:val="zh-CN"/>
              </w:rPr>
              <w:t>：</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FEP为工业级产品，模块化结构，</w:t>
            </w:r>
            <w:r>
              <w:rPr>
                <w:rFonts w:hint="eastAsia" w:ascii="宋体" w:hAnsi="宋体" w:eastAsia="宋体" w:cs="宋体"/>
                <w:color w:val="auto"/>
                <w:sz w:val="24"/>
                <w:szCs w:val="24"/>
                <w:highlight w:val="none"/>
              </w:rPr>
              <w:t>2U机架式设计，</w:t>
            </w:r>
            <w:r>
              <w:rPr>
                <w:rFonts w:hint="eastAsia" w:ascii="宋体" w:hAnsi="宋体" w:eastAsia="宋体" w:cs="宋体"/>
                <w:color w:val="auto"/>
                <w:sz w:val="24"/>
                <w:szCs w:val="24"/>
                <w:highlight w:val="none"/>
                <w:lang w:val="zh-CN"/>
              </w:rPr>
              <w:t>不采用工控机；</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FEP为无硬盘设计，</w:t>
            </w:r>
            <w:r>
              <w:rPr>
                <w:rFonts w:hint="eastAsia" w:ascii="宋体" w:hAnsi="宋体" w:eastAsia="宋体" w:cs="宋体"/>
                <w:color w:val="auto"/>
                <w:sz w:val="24"/>
                <w:szCs w:val="24"/>
                <w:highlight w:val="none"/>
              </w:rPr>
              <w:t>采用工业级DOM电子硬盘；</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FEP采用</w:t>
            </w:r>
            <w:r>
              <w:rPr>
                <w:rFonts w:hint="eastAsia" w:ascii="宋体" w:hAnsi="宋体" w:eastAsia="宋体" w:cs="宋体"/>
                <w:color w:val="auto"/>
                <w:sz w:val="24"/>
                <w:szCs w:val="24"/>
                <w:highlight w:val="none"/>
              </w:rPr>
              <w:t>Linux</w:t>
            </w:r>
            <w:r>
              <w:rPr>
                <w:rFonts w:hint="eastAsia" w:ascii="宋体" w:hAnsi="宋体" w:eastAsia="宋体" w:cs="宋体"/>
                <w:color w:val="auto"/>
                <w:sz w:val="24"/>
                <w:szCs w:val="24"/>
                <w:highlight w:val="none"/>
                <w:lang w:val="zh-CN"/>
              </w:rPr>
              <w:t>操作系统</w:t>
            </w:r>
            <w:r>
              <w:rPr>
                <w:rFonts w:hint="eastAsia" w:ascii="宋体" w:hAnsi="宋体" w:eastAsia="宋体" w:cs="宋体"/>
                <w:color w:val="auto"/>
                <w:sz w:val="24"/>
                <w:szCs w:val="24"/>
                <w:highlight w:val="none"/>
              </w:rPr>
              <w:t>或UNIX操作系统</w:t>
            </w:r>
            <w:r>
              <w:rPr>
                <w:rFonts w:hint="eastAsia" w:ascii="宋体" w:hAnsi="宋体" w:eastAsia="宋体" w:cs="宋体"/>
                <w:color w:val="auto"/>
                <w:sz w:val="24"/>
                <w:szCs w:val="24"/>
                <w:highlight w:val="none"/>
                <w:lang w:val="zh-CN"/>
              </w:rPr>
              <w:t>；</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FEP支持多种协议转换、支持多串口的接口模块；支持网络冗余，2个PCI扩展插槽，用于扩展模块，1个CF卡插槽，用于存储扩展，19英寸2U机架式安装，100/240 VAC电源输入，无风扇设计；内存2GB；硬盘8GB</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FEP可提供6个千兆网口，4个USB端口；</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各功能模块应具有自诊断功能，单点故障时不应影响系统功能；</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支持</w:t>
            </w:r>
            <w:r>
              <w:rPr>
                <w:rFonts w:hint="eastAsia" w:ascii="宋体" w:hAnsi="宋体" w:eastAsia="宋体" w:cs="宋体"/>
                <w:color w:val="auto"/>
                <w:sz w:val="24"/>
                <w:szCs w:val="24"/>
                <w:highlight w:val="none"/>
                <w:lang w:val="zh-CN"/>
              </w:rPr>
              <w:t>各种DA扩展模块，包括8口RS-232/422/485串口通信模块、4口10/100 Mbps LAN模块和通用PCI扩展模块；</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报警工具：内置蜂鸣器和RTC（实时时钟），带备份电池；</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自动重启触发器：内置WDT看门狗定时器，支持1-255级时间间隔系统重启设置，可由软件编程。</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FEP软件性能：</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基于嵌入式的系统平台（Linux或UNIX）；</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支持实时变化上送功能，减少网络流量；</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提供实时数据的缓存功能，减少数据丢失；</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提供API接口，支持自定义协议的驱动开发；</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支持40,000点的实时数据容量。</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ISCS历史服务器系统</w:t>
            </w:r>
          </w:p>
        </w:tc>
        <w:tc>
          <w:tcPr>
            <w:tcW w:w="5913" w:type="dxa"/>
            <w:gridSpan w:val="2"/>
            <w:noWrap/>
            <w:vAlign w:val="center"/>
          </w:tcPr>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机架式服务器</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数据库：Oracle数据库</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芯片组:Intel H61芯片组</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处理器：酷睿I3以上</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硬盘：1T</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内存：4G</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系统：windows7 32位旗舰版</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历史服务器软件性能：</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每个服务器集群支持255个以上客户端的应用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为综合监控系统提供历史数据查询，包含：报表服务、数据库服务、报警服务、控制服务、计算服务、日志服务等系统功能。</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ISCS服务器授权狗</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ISCS系统授权加密狗，一套服务器配套一个</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991"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软件系统</w:t>
            </w:r>
          </w:p>
        </w:tc>
        <w:tc>
          <w:tcPr>
            <w:tcW w:w="965"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多岗位联动信号系统平台</w:t>
            </w: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DCT数据组态工具</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号系统平台可实现学员自主课程设计实验功能，通过DCT数据组态工具软件实现图形化线路的设计和数据配置功能，学生可基于平台图元化绘制线路，平台具备道岔、信号机、杂项设备、区段的选择和绘制功能，并可对设备进行属性编辑。辅助学生使用并熟悉配置站场数据的流程，搭建一条完整的线路数据，使学生能够有效地了解底层信号数据的相互关系。具备进路编辑、关联关系编辑和数据导出的功能。</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1、可通过图形化工具便捷的绘制两站一区间线路，一个车站为岛式站台，另一个车站为侧式站台；</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2、线路包含交叉渡线区段、渡线区段和折返区段；</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3、信号设备图元（信号机、道岔）的类型选择、位置调整；</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4、信号设备图元的属性修改，例如信号机设备类型的选择、信号机灯位显示选择、道岔定位线段类型的选择；</w:t>
            </w:r>
          </w:p>
          <w:p>
            <w:pPr>
              <w:pStyle w:val="174"/>
              <w:adjustRightInd w:val="0"/>
              <w:snapToGrid w:val="0"/>
              <w:spacing w:line="24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5、进路逻辑的编辑和校验。</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ATS数据生成工具</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利用DCT导出的线路数据，可以通过ATS系统数据生成工具来校验并完成车站级ATS、中心级ATS的界面生成所需的底层数据。</w:t>
            </w:r>
          </w:p>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利用DCT导出的线路数据来加载出线路编辑器所需要的格式文件，再通过“生成进路”、“导出车站数据”和“导出联锁关系”等功能，转换成联锁集中站所需要的底层数据</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ATS系统线路编辑器</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进行联锁集中车站的界面编辑和调整、停车场（或车辆段）的界面编辑和调整，以及中心级ATS-OCC的界面编辑和调整。可通过ATS数据生成工具生成的数据快速生成ATS软件人机界面功能，方便学员开展自主DIY课程设计实验功能。</w:t>
            </w:r>
          </w:p>
          <w:p>
            <w:pPr>
              <w:adjustRightInd w:val="0"/>
              <w:snapToGrid w:val="0"/>
              <w:spacing w:line="24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w:t>
            </w:r>
          </w:p>
          <w:p>
            <w:pPr>
              <w:adjustRightInd w:val="0"/>
              <w:snapToGrid w:val="0"/>
              <w:spacing w:line="24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1、基于数据生成工具导出的XX车站一组csv数据文件，生成车站级HMI界面；</w:t>
            </w:r>
          </w:p>
          <w:p>
            <w:pPr>
              <w:adjustRightInd w:val="0"/>
              <w:snapToGrid w:val="0"/>
              <w:spacing w:line="24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2、基于数据生成工具导出的多个车站csv数据文件，组合生成中心级HMI界面；</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3、可进行区段上列车图元的添加和位置编辑。</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集中站ATS系统</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车站值班员工作站的控制功能，接口到OCC系统。</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中心级ATS系统</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真实地铁系统，软件界面功能和底层仿真数据与真实地铁完全一致，并能够与ATS教学考核软件互联，实现故障、应急培训和教学管理功能。系统符合轨道交通SIL安全等级要求</w:t>
            </w:r>
            <w:r>
              <w:rPr>
                <w:rFonts w:hint="eastAsia" w:ascii="宋体" w:hAnsi="宋体" w:eastAsia="宋体" w:cs="宋体"/>
                <w:color w:val="auto"/>
                <w:sz w:val="24"/>
                <w:szCs w:val="24"/>
                <w:highlight w:val="none"/>
                <w:lang w:val="en-US" w:eastAsia="zh-CN"/>
              </w:rPr>
              <w:t>2级以上</w:t>
            </w:r>
            <w:r>
              <w:rPr>
                <w:rFonts w:hint="eastAsia" w:ascii="宋体" w:hAnsi="宋体" w:eastAsia="宋体" w:cs="宋体"/>
                <w:color w:val="auto"/>
                <w:sz w:val="24"/>
                <w:szCs w:val="24"/>
                <w:highlight w:val="none"/>
              </w:rPr>
              <w:t>的系统</w:t>
            </w:r>
            <w:r>
              <w:rPr>
                <w:rFonts w:hint="eastAsia" w:ascii="宋体" w:hAnsi="宋体" w:eastAsia="宋体" w:cs="宋体"/>
                <w:b/>
                <w:bCs/>
                <w:color w:val="auto"/>
                <w:kern w:val="2"/>
                <w:sz w:val="24"/>
                <w:szCs w:val="24"/>
                <w:highlight w:val="none"/>
                <w:lang w:val="en-US" w:eastAsia="zh-CN" w:bidi="ar-SA"/>
              </w:rPr>
              <w:t>。</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车辆段值班员系统</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实现在车辆段典型发车、接车和调车日常工作及常见故障的，具备与控制中心ATS工作站和车站值班员工作站的功能接口，以便实现整体运营过程的模拟。</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CBTC仿真系统</w:t>
            </w:r>
          </w:p>
        </w:tc>
        <w:tc>
          <w:tcPr>
            <w:tcW w:w="4953" w:type="dxa"/>
            <w:noWrap/>
            <w:vAlign w:val="center"/>
          </w:tcPr>
          <w:p>
            <w:pPr>
              <w:pStyle w:val="174"/>
              <w:numPr>
                <w:ilvl w:val="0"/>
                <w:numId w:val="6"/>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CBTC系统，搭建完整的CBTC运行集成环境。为各个子系统及CBTC系统提供基础平台。</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2、所有运营和非运营列车的车辆信息管理；</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3、所有运营和非运营列车的车载功能。</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4、CBTC系统能适应不同级别的要求，可提供虚拟硬件平台的纯软件运行环境或真实硬件平台。</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5、产品需基于真实的地铁系统平台和数据开发。</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运行图软件</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系统与中心、车站、车辆段、CBTC和时刻表等系统应是集成在同一个信号系统平台下的不同子系统，界面风格统一。</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离线时刻表</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用于完成时刻表和日历的离线编辑并上传到应用服务器。</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在线时刻表和VR控制软件</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系统与中心、车站、车辆段、CBTC等系统应是集成在同一个信号系统平台下的不同子系统，界面风格统一。</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派班员编辑器</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派班计划人员可以利用派班计划编辑器编制派班计划，将车次号与列车车组号对应起来。</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系统与中心、车站、车辆段、CBTC和时刻表等系统应是集成在同一个信号系统平台下的不同子系统，界面风格统一。</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HMI人机界面及功能：</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下载时刻表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编辑列车PID、PVID、TripID、发车点、发车时间、列车所在股道号</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自动生成PVID</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上传派班计划</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保存派班计划</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打开一份新的派班计划；</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提供派班计划的打印功能。</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历史记录回放软件</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系统与中心、车站、车辆段、CBTC、和时刻表等系统应是集成在同一个信号系统平台下的不同子系统，界面风格统一。</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HMI人机界面及功能：</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可在指定时间内从系统的角度重现并回放传输系统事件和设备状态。回放能重现特定时间范围内的界面显示，并在回放文本窗口里显示相匹配的已记录的文本信息。</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多岗位联动三维电子沙盘系统平台</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1、电子沙盘平台</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利用计算机技术构建三维数字化电子沙盘，提供站台视角、正线轨道视角，通过场景漫游实现对线路信号设备进行认知与学习，通过情景模拟实现对行车调度的教学以及过程中不同突发情况的应急处理实训演练。电子沙盘上地铁线路车站的站台分别有侧式站台、岛式站台。与多岗位ATS系统状态同步。</w:t>
            </w:r>
          </w:p>
        </w:tc>
        <w:tc>
          <w:tcPr>
            <w:tcW w:w="761"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2、基础列车运行模块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列车RM/ATP/ATO/ATB的驾驶模式、符合真实地铁行车逻辑的按钮、操作方式以及操作顺序、列车出入车辆段，站停上下客，列车各视角查看等功能。以射线碰撞检测（RayCast）等方法实现模拟真实列车各个功能按钮如：升降弓按钮，高速断路器等。</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3、车站线路查看模块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全线路车站站台以及所有轨旁设备，每个站台安排乘客与屏蔽门开关，设置各个站台可查看。模型按照真实地铁走向，利用三维拼接完成；在Unity中以Curvy Spline完成对线路走线的绘制，数据量庞大包括33000多个点位。</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4、线路轨旁设备模块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部信号灯与道岔，信号灯异步接收ATS信号可实现任意信号灯变化，道岔异步接受命令后可实现道岔正位反位。运用数据中心以及UDP完成数据交互与传输，减小软件之间的延迟时间，摄像头第一时间识别到变化的信号设备并将其展现给使用者。</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现场演示：操作ATS工作站随机操作任意数量的信号灯，三维沙盘的相应信号灯会同步变化。可控信号灯数量不低于50个。可控道岔数量不低于30个。</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5、单机应急演练模块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包括岩石挡道，行人当道，水淹道岔等等十几个单机应急演练，列车驾驶员遇到以上突发情况时的反应与操作，其中加入了对其行为操作的考核，内置评审后台对于操作者的每一次操作进行记录与评分。</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6、联合实训演练模块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隧道火灾、车站火灾、大客流等联合实训场景，包括五机七显岗位组合形式。软件之间通过学生机实现通讯，有教师机来记录与评分操作者的操作情况并给出相应分数，各个场景按照真实地铁紧急事故预案去处理事件，将其用于对学生的考核。</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现场演示：站厅火灾应急预案。预案由独立的综合监控工作站、信号系统工作站、三维车站工作站、三维沙盘工作站、模拟驾驶工作站配合完成。</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教师机下达站厅火灾考核后，各工作初始状态为正常工况；</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10秒后自动触发火灾突发情况，三维车站工位人员发现火情后，通知车控室值班人员；</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独立的综合监控系统工作站采集到火灾报警信息，触发火灾模式；</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在三维车站内的风机风阀、电扶梯、站台乘客信息系统、闸机接收综合监控的控制，状态与综合监控同步，站台乘客信息系统发送火灾命令，闸机处于常开状态；</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设备变化状态在三维车站的状态屏幕中显示；</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在三维车站内发送报告给控制中心；</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独立的控制中心工作站下发调度命令给司机，安排列车跳停火灾车站；</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独立的司机工作站接受命令后操作列车跳停通过火灾车站；</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考核结束教师机收到全部工位的操作结果，输出考核结果报表，报表需含得分、错误步骤分析、分步骤得分、参与考核小组成员；</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另提供突发大客流应急预案内容电子存档备案；</w:t>
            </w:r>
          </w:p>
          <w:p>
            <w:pPr>
              <w:pStyle w:val="174"/>
              <w:numPr>
                <w:ilvl w:val="0"/>
                <w:numId w:val="7"/>
              </w:num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另提供区间火灾预案内容电子存档备案。</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7、小沙盘功能模块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实时展现当前线路上的车辆运行情况，包括车辆车次、运行方向、车辆数量、到站情况等，以区段来定位车辆，将小沙盘上的车辆图标与实体模型车辆在线路上的运行位置信息相连，并通知行调。</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投标文件提供应急演练系统相关软件著作权证书复印件。</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多岗位联动驾驶系统</w:t>
            </w: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驾驶仿真软件</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驾驶仿真软件将实体驾驶台虚拟化，部署于触摸屏操作，包含司控器、牵引、制动功能的操作按钮与转换开关、指示显示灯等。</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逻辑内核涵盖司机日常驾驶作业的标准流程，导入车辆物理模型与线路数据，驾驶感接近实体车辆。集成三维模拟驾驶场景，可进行常规的车辆控制与驾驶训练。</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w:t>
            </w:r>
          </w:p>
          <w:p>
            <w:pPr>
              <w:numPr>
                <w:ilvl w:val="0"/>
                <w:numId w:val="8"/>
              </w:num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一机双显硬件架构，其中触摸屏部署驾驶操作界面，另一屏显示视景画面；</w:t>
            </w:r>
          </w:p>
          <w:p>
            <w:pPr>
              <w:numPr>
                <w:ilvl w:val="0"/>
                <w:numId w:val="8"/>
              </w:num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驾驶操作界面包含驾驶台电气按钮开关指示灯等，并集成TOD界面；通过触摸屏操作正确表现司控器机械联锁和警惕开关报警机制；</w:t>
            </w:r>
          </w:p>
          <w:p>
            <w:pPr>
              <w:numPr>
                <w:ilvl w:val="0"/>
                <w:numId w:val="8"/>
              </w:num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2站1区间的正线操作流程，包含列车发车、驾驶模式转换、站停作业等；</w:t>
            </w:r>
          </w:p>
          <w:p>
            <w:pPr>
              <w:numPr>
                <w:ilvl w:val="0"/>
                <w:numId w:val="8"/>
              </w:num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演示与ATS系统联动，实现列车定位与追踪功能。</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数据仿真软件</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作为数据交互的中枢。</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支持ATS相关调度命令，信号设备状态同步与联动控制；</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支持车辆关键数据的同步；</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支持实时车辆追踪功能；</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支持教学扩展功能；</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TOD仿真软件</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列车操作显示器(TOD)是列车操作控制台(驾驶室)的一部分，主要由公共控制区、驾驶界面和系统管理界面组成。提供驾驶员和车载控制系统之间的人机交互界面。 TOD向列车驾驶员提供运行模式，故障，操作等信息。</w:t>
            </w:r>
          </w:p>
          <w:p>
            <w:pPr>
              <w:adjustRightInd w:val="0"/>
              <w:snapToGrid w:val="0"/>
              <w:spacing w:line="24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符合所接入ATS系统的TOD人机界面技术规格书，可与ATS系统无缝对接。</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车辆HMI仿真软件</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车辆HMI界面是车辆运行时，司机查看车辆状态的主要界面，包含网压、牵引、制动、空调和速度等重要信息。子界面包含运行、车辆状态、空调状态、紧急广播、事件和帮助等界面。</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多岗位联动综合监控系统</w:t>
            </w: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综合监控系统平台</w:t>
            </w:r>
          </w:p>
        </w:tc>
        <w:tc>
          <w:tcPr>
            <w:tcW w:w="4953" w:type="dxa"/>
            <w:noWrap/>
            <w:vAlign w:val="center"/>
          </w:tcPr>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⑴真实地铁系统平台</w:t>
            </w:r>
            <w:r>
              <w:rPr>
                <w:rFonts w:hint="eastAsia" w:ascii="宋体" w:hAnsi="宋体" w:eastAsia="宋体" w:cs="宋体"/>
                <w:color w:val="auto"/>
                <w:sz w:val="24"/>
                <w:szCs w:val="24"/>
                <w:highlight w:val="none"/>
                <w:lang w:eastAsia="zh-CN"/>
              </w:rPr>
              <w:t>，应用于在营线路。</w:t>
            </w:r>
          </w:p>
          <w:p>
            <w:pPr>
              <w:adjustRightInd w:val="0"/>
              <w:snapToGrid w:val="0"/>
              <w:spacing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⑵服务器采用linux系统。</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⑶系统平台包含组态管理软件（VFExplorer）、系统结构组态软件（VFSysBuilder）、VFtimeSync时间同步模块。</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⑷平台支持分布式技术，支持数据及服务1:N冗余，支持Oracle、MySQL、SQLserver等通用的关系型历史库，开放与地铁实际设备接入的接口。系统可集成多个地铁自动化专业子系统，并在统一的集成平台支持下对地铁各专业进行监视、控制和管理，实现各专业系统的信息共享及系统之间的联动控制功能。系统面向的对象为车站的值班站长、值班人员等，系统应满足这些岗位的功能要求。平台特性：安全稳定的C/S架构；支持多任务、多用户、内部通信和前台/后台实时处理能力；符合开放式系统的标准；支持高速的网络通信协议、TCP/IP；支持第三方ActiveX控件；外部接口方式：API/ODBC/OPC提供接口开发的接口，可供第三方开发使用，具有</w:t>
            </w:r>
            <w:r>
              <w:rPr>
                <w:rFonts w:hint="eastAsia" w:ascii="宋体" w:hAnsi="宋体" w:eastAsia="宋体" w:cs="宋体"/>
                <w:color w:val="auto"/>
                <w:sz w:val="24"/>
                <w:szCs w:val="24"/>
                <w:highlight w:val="none"/>
                <w:lang w:val="en-US" w:eastAsia="zh-CN"/>
              </w:rPr>
              <w:t>相关</w:t>
            </w:r>
            <w:r>
              <w:rPr>
                <w:rFonts w:hint="eastAsia" w:ascii="宋体" w:hAnsi="宋体" w:eastAsia="宋体" w:cs="宋体"/>
                <w:color w:val="auto"/>
                <w:sz w:val="24"/>
                <w:szCs w:val="24"/>
                <w:highlight w:val="none"/>
              </w:rPr>
              <w:t>车站级平台软件著作权证书的平台，</w:t>
            </w:r>
            <w:r>
              <w:rPr>
                <w:rFonts w:hint="eastAsia" w:ascii="宋体" w:hAnsi="宋体" w:eastAsia="宋体" w:cs="宋体"/>
                <w:b/>
                <w:bCs/>
                <w:color w:val="auto"/>
                <w:sz w:val="24"/>
                <w:szCs w:val="24"/>
                <w:highlight w:val="none"/>
                <w:lang w:val="en-US" w:eastAsia="zh-CN"/>
              </w:rPr>
              <w:t>投标文件</w:t>
            </w:r>
            <w:r>
              <w:rPr>
                <w:rFonts w:hint="eastAsia" w:ascii="宋体" w:hAnsi="宋体" w:eastAsia="宋体" w:cs="宋体"/>
                <w:color w:val="auto"/>
                <w:sz w:val="24"/>
                <w:szCs w:val="24"/>
                <w:highlight w:val="none"/>
              </w:rPr>
              <w:t>提供证书复印件。</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平台软件应具备权限管理软件、模式工具、联动编辑工具、联动查看工具HMI界面功能，具体演示以下几点功能：</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1、打开联动编辑工具登陆管理员权限；</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2、新建一个运营联动；</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3、添加联动明细；</w:t>
            </w:r>
          </w:p>
          <w:p>
            <w:pPr>
              <w:pStyle w:val="174"/>
              <w:adjustRightInd w:val="0"/>
              <w:snapToGrid w:val="0"/>
              <w:spacing w:line="24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4、发布联动。</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ISCS系统</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车站级ISCS系统，具有强大的接口联通功能，取得</w:t>
            </w:r>
            <w:r>
              <w:rPr>
                <w:rFonts w:hint="eastAsia" w:ascii="宋体" w:hAnsi="宋体" w:eastAsia="宋体" w:cs="宋体"/>
                <w:color w:val="auto"/>
                <w:sz w:val="24"/>
                <w:szCs w:val="24"/>
                <w:highlight w:val="none"/>
                <w:lang w:val="en-US" w:eastAsia="zh-CN"/>
              </w:rPr>
              <w:t>相关</w:t>
            </w:r>
            <w:r>
              <w:rPr>
                <w:rFonts w:hint="eastAsia" w:ascii="宋体" w:hAnsi="宋体" w:eastAsia="宋体" w:cs="宋体"/>
                <w:b/>
                <w:bCs/>
                <w:color w:val="auto"/>
                <w:sz w:val="24"/>
                <w:szCs w:val="24"/>
                <w:highlight w:val="none"/>
                <w:lang w:val="en-US" w:eastAsia="zh-CN"/>
              </w:rPr>
              <w:t>轨道交通综合监控</w:t>
            </w:r>
            <w:r>
              <w:rPr>
                <w:rFonts w:hint="eastAsia" w:ascii="宋体" w:hAnsi="宋体" w:eastAsia="宋体" w:cs="宋体"/>
                <w:color w:val="auto"/>
                <w:sz w:val="24"/>
                <w:szCs w:val="24"/>
                <w:highlight w:val="none"/>
              </w:rPr>
              <w:t>通用接口软件著作权，</w:t>
            </w:r>
            <w:r>
              <w:rPr>
                <w:rFonts w:hint="eastAsia" w:ascii="宋体" w:hAnsi="宋体" w:eastAsia="宋体" w:cs="宋体"/>
                <w:b/>
                <w:bCs/>
                <w:color w:val="auto"/>
                <w:sz w:val="24"/>
                <w:szCs w:val="24"/>
                <w:highlight w:val="none"/>
                <w:lang w:val="en-US" w:eastAsia="zh-CN"/>
              </w:rPr>
              <w:t>投标文件</w:t>
            </w:r>
            <w:r>
              <w:rPr>
                <w:rFonts w:hint="eastAsia" w:ascii="宋体" w:hAnsi="宋体" w:eastAsia="宋体" w:cs="宋体"/>
                <w:color w:val="auto"/>
                <w:sz w:val="24"/>
                <w:szCs w:val="24"/>
                <w:highlight w:val="none"/>
              </w:rPr>
              <w:t>提供证书复印件，提供车站各子系统监控画面和功能，包括BAS、FAS、AFC、PSD、ACS、PIS、SIG、PA、PSCADA、联动控制系统、CCTV、时间表等子系统，还可和三维车站联通</w:t>
            </w:r>
            <w:r>
              <w:rPr>
                <w:rFonts w:hint="eastAsia" w:ascii="宋体" w:hAnsi="宋体" w:eastAsia="宋体" w:cs="宋体"/>
                <w:color w:val="auto"/>
                <w:sz w:val="24"/>
                <w:szCs w:val="24"/>
                <w:highlight w:val="none"/>
                <w:lang w:eastAsia="zh-CN"/>
              </w:rPr>
              <w:t>。</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现场演示三维车站火灾时，综合监控ISCS系统收到火灾报警信号后，综合监控对三维车站虚拟设备的监控，两者是独立的系统，而非三维车站系统内的岗位操作。</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服务器管理软件</w:t>
            </w:r>
          </w:p>
        </w:tc>
        <w:tc>
          <w:tcPr>
            <w:tcW w:w="4953" w:type="dxa"/>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主要用于对服务器及FEP的管理，可以远程操作服务器及FEP的软件，实现管理功能，包括：关闭设备，重启设备，开启所有服务项，关闭所有服务项，切换用户等。</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1、通过输入命令“stop all”远程关闭所有服务项；</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2、通过输入命令“start all”远程开启所有服务项；</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3、通过输入命令“reboot”远程重启服务器；</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4、通过输入命令“poweroff”远程关闭服务器。</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综合监控点表配置工具</w:t>
            </w:r>
          </w:p>
        </w:tc>
        <w:tc>
          <w:tcPr>
            <w:tcW w:w="4953" w:type="dxa"/>
            <w:noWrap/>
            <w:vAlign w:val="center"/>
          </w:tcPr>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真实地铁ISCS软件，综合监控系统所有设备的点表配置工具。</w:t>
            </w:r>
          </w:p>
          <w:p>
            <w:pPr>
              <w:pStyle w:val="174"/>
              <w:tabs>
                <w:tab w:val="left" w:pos="567"/>
              </w:tabs>
              <w:adjustRightInd w:val="0"/>
              <w:snapToGrid w:val="0"/>
              <w:spacing w:line="240" w:lineRule="auto"/>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同时该工具作为工程组态建模，主要提供设备模板、车站设备、模式配置、时间表、RTU配置、权限配置、区域配置等组态</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软件平台具有相关轨道交通综合监控流程图绘制著作权证书，投标文件提供证书复印件</w:t>
            </w:r>
            <w:r>
              <w:rPr>
                <w:rFonts w:hint="eastAsia" w:ascii="宋体" w:hAnsi="宋体" w:eastAsia="宋体" w:cs="宋体"/>
                <w:b/>
                <w:bCs/>
                <w:color w:val="auto"/>
                <w:sz w:val="24"/>
                <w:szCs w:val="24"/>
                <w:highlight w:val="none"/>
              </w:rPr>
              <w:t>。</w:t>
            </w:r>
          </w:p>
          <w:p>
            <w:pPr>
              <w:pStyle w:val="174"/>
              <w:tabs>
                <w:tab w:val="left" w:pos="567"/>
              </w:tabs>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集成在统一的ISCS系统平台下，提供统一风格的人机界面。</w:t>
            </w:r>
          </w:p>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w:t>
            </w:r>
          </w:p>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软件应包含设备模板、车站设备、模式配置、时间表、RTU配置、权限配置、区域配置HMI界面功能。并具体演示其中以下几项功能：</w:t>
            </w:r>
          </w:p>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1、打开已有的模板文件在车站设备下属Z02车站大系统中增加一个新的设备；</w:t>
            </w:r>
          </w:p>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2、在RTU配置中绑定新增设备到一条链路下面；</w:t>
            </w:r>
          </w:p>
          <w:p>
            <w:pPr>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3、在RTU中配置新绑定设备的协议参数；</w:t>
            </w:r>
          </w:p>
          <w:p>
            <w:pPr>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4、点击发布按钮把配置文件发布到实时服务器，FEP，oracle中。</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0"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数据模拟器软件</w:t>
            </w:r>
          </w:p>
        </w:tc>
        <w:tc>
          <w:tcPr>
            <w:tcW w:w="4953" w:type="dxa"/>
            <w:noWrap/>
            <w:vAlign w:val="center"/>
          </w:tcPr>
          <w:p>
            <w:pPr>
              <w:pStyle w:val="174"/>
              <w:adjustRightInd w:val="0"/>
              <w:snapToGrid w:val="0"/>
              <w:spacing w:line="240" w:lineRule="auto"/>
              <w:jc w:val="left"/>
              <w:rPr>
                <w:rFonts w:hint="default"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rPr>
              <w:t>数据模拟器软件提供底层的所有虚拟设备数据，所有虚拟数据交至虚拟FEP前置处理器系统处理，完全仿真实际地铁传输构架和过程，以及子系统协议处理方式。</w:t>
            </w:r>
            <w:r>
              <w:rPr>
                <w:rFonts w:hint="eastAsia" w:ascii="宋体" w:hAnsi="宋体" w:eastAsia="宋体" w:cs="宋体"/>
                <w:b/>
                <w:bCs/>
                <w:color w:val="auto"/>
                <w:sz w:val="24"/>
                <w:szCs w:val="24"/>
                <w:highlight w:val="none"/>
                <w:lang w:val="en-US" w:eastAsia="zh-CN"/>
              </w:rPr>
              <w:t>投标文件需提供相关综合监控数据服务软件著作权证书复印件。</w:t>
            </w:r>
          </w:p>
          <w:p>
            <w:pPr>
              <w:adjustRightInd w:val="0"/>
              <w:snapToGrid w:val="0"/>
              <w:spacing w:line="24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数据通过模拟器软件可以全部进行控制修改模拟现场信号，模拟器可以和第三方软件进行数据连接使第三方软件和综合监控软件数据互通。模拟器修改数据简单方便，现场演示。</w:t>
            </w:r>
          </w:p>
          <w:p>
            <w:pPr>
              <w:adjustRightInd w:val="0"/>
              <w:snapToGrid w:val="0"/>
              <w:spacing w:line="24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w:t>
            </w:r>
          </w:p>
          <w:p>
            <w:pPr>
              <w:adjustRightInd w:val="0"/>
              <w:snapToGrid w:val="0"/>
              <w:spacing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软件包含导入链路，链路配置，查看链路HMI人机界面功能，具体功能演示：</w:t>
            </w:r>
          </w:p>
          <w:p>
            <w:pPr>
              <w:pStyle w:val="2"/>
              <w:numPr>
                <w:ilvl w:val="0"/>
                <w:numId w:val="9"/>
              </w:numPr>
              <w:snapToGrid w:val="0"/>
              <w:spacing w:line="24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点击导入链路按钮导入链路文件；</w:t>
            </w:r>
          </w:p>
          <w:p>
            <w:pPr>
              <w:pStyle w:val="2"/>
              <w:numPr>
                <w:ilvl w:val="0"/>
                <w:numId w:val="9"/>
              </w:numPr>
              <w:snapToGrid w:val="0"/>
              <w:spacing w:line="24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点击链路配置配置链路参数；</w:t>
            </w:r>
          </w:p>
          <w:p>
            <w:pPr>
              <w:pStyle w:val="2"/>
              <w:numPr>
                <w:ilvl w:val="0"/>
                <w:numId w:val="9"/>
              </w:numPr>
              <w:snapToGrid w:val="0"/>
              <w:spacing w:line="240" w:lineRule="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点击查看链路查看设备状态，通过搜索功能查找设备；</w:t>
            </w:r>
          </w:p>
          <w:p>
            <w:pPr>
              <w:pStyle w:val="2"/>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对搜索到的设备进行人工置值修改设备状态。</w:t>
            </w:r>
          </w:p>
        </w:tc>
        <w:tc>
          <w:tcPr>
            <w:tcW w:w="761" w:type="dxa"/>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多岗位联动三维车站系统平台</w:t>
            </w: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1、三维车站平台</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利用虚拟仿真技术构建三维数字化地铁车站，作为演练平台。平台提供场景漫游、标注讲解、设备交互操作、各岗位角色扮演、各种应急演练场景的还原等功能，可实现单专业单岗位的独立交互和场景教学，也可实现多岗位多专业的综合场景演练教学。</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应急演练模块里包含了多种真实地铁应急演练实训，为学员提供了真实的地铁应急演练的场景、操作培训和教学。</w:t>
            </w:r>
          </w:p>
        </w:tc>
        <w:tc>
          <w:tcPr>
            <w:tcW w:w="761" w:type="dxa"/>
            <w:vMerge w:val="restart"/>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2、三维车站应急演练模块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照真实车站应急演练案例进行应急演练编写，对实物车站进行真实建模，使用者通过该模块操作并切换不同的车站工作人员在车站发生突发事故时进行应急处置，学习掌握作为一名车站工作人员应如何在车站突发事故时使用相应的事故处理方法。</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3、三维车站虚实联动应急演练模块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通过与综合监控进行通信监控实物设备的状况，在进行应急演练时涉及到部分实物设施的操作时可直接操作实物设备完成对应事件。</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4、通讯模块</w:t>
            </w:r>
          </w:p>
          <w:p>
            <w:pPr>
              <w:pStyle w:val="174"/>
              <w:adjustRightInd w:val="0"/>
              <w:snapToGrid w:val="0"/>
              <w:spacing w:line="24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可与综合监控系统、信号系统、教学管理系统、三维沙盘系统进行联合通讯</w:t>
            </w:r>
            <w:r>
              <w:rPr>
                <w:rFonts w:hint="eastAsia" w:ascii="宋体" w:hAnsi="宋体" w:eastAsia="宋体" w:cs="宋体"/>
                <w:color w:val="auto"/>
                <w:sz w:val="24"/>
                <w:szCs w:val="24"/>
                <w:highlight w:val="none"/>
                <w:lang w:eastAsia="zh-CN"/>
              </w:rPr>
              <w:t>。</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现场演示：三维车站在站厅火灾紧急演练过程中，和教师机系统的考题下发、答卷提交、考核分值等内容。</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5、车站漫游模块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使用者操作工作人员在真实建模的车站模型中自由移动，点击对应的车站设备获取设备信息。通过该模块可熟悉了解车站布局与车站常见设备的信息。</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6、设备介绍模块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可通过该模块迅速认识车站各设备。能在车站中点选相应车站设备，进行设备认知教学。</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9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965"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c>
          <w:tcPr>
            <w:tcW w:w="5913" w:type="dxa"/>
            <w:gridSpan w:val="2"/>
            <w:noWrap/>
            <w:vAlign w:val="center"/>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7、操作助手模块</w:t>
            </w:r>
          </w:p>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用户能在软件中通过该模块学习三维车站的各项操作，展开无纸化教学。</w:t>
            </w:r>
          </w:p>
          <w:p>
            <w:pPr>
              <w:adjustRightInd w:val="0"/>
              <w:snapToGrid w:val="0"/>
              <w:spacing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现场演示：通过操作触摸屏一键开启教学软件和自定义启动功能。</w:t>
            </w:r>
          </w:p>
        </w:tc>
        <w:tc>
          <w:tcPr>
            <w:tcW w:w="761" w:type="dxa"/>
            <w:vMerge w:val="continue"/>
            <w:noWrap/>
            <w:vAlign w:val="center"/>
          </w:tcPr>
          <w:p>
            <w:pPr>
              <w:pStyle w:val="174"/>
              <w:adjustRightInd w:val="0"/>
              <w:snapToGrid w:val="0"/>
              <w:spacing w:line="240" w:lineRule="auto"/>
              <w:rPr>
                <w:rFonts w:hint="eastAsia" w:ascii="宋体" w:hAnsi="宋体" w:eastAsia="宋体" w:cs="宋体"/>
                <w:color w:val="auto"/>
                <w:sz w:val="24"/>
                <w:szCs w:val="24"/>
                <w:highlight w:val="none"/>
              </w:rPr>
            </w:pPr>
          </w:p>
        </w:tc>
      </w:tr>
    </w:tbl>
    <w:p>
      <w:pPr>
        <w:pStyle w:val="2"/>
        <w:rPr>
          <w:rFonts w:hint="eastAsia" w:ascii="宋体" w:hAnsi="宋体" w:eastAsia="宋体" w:cs="宋体"/>
          <w:b/>
          <w:bCs/>
          <w:color w:val="auto"/>
          <w:highlight w:val="none"/>
          <w:lang w:eastAsia="zh-CN"/>
        </w:rPr>
      </w:pPr>
    </w:p>
    <w:p>
      <w:pPr>
        <w:pStyle w:val="2"/>
        <w:numPr>
          <w:ilvl w:val="0"/>
          <w:numId w:val="0"/>
        </w:numPr>
        <w:ind w:leftChars="0"/>
        <w:outlineLvl w:val="3"/>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2.2、教师机系统</w:t>
      </w:r>
    </w:p>
    <w:p>
      <w:pPr>
        <w:pStyle w:val="2"/>
        <w:numPr>
          <w:ilvl w:val="0"/>
          <w:numId w:val="0"/>
        </w:numPr>
        <w:ind w:leftChars="0"/>
        <w:rPr>
          <w:rFonts w:hint="default" w:ascii="宋体" w:hAnsi="宋体" w:eastAsia="宋体" w:cs="宋体"/>
          <w:b/>
          <w:bCs/>
          <w:color w:val="auto"/>
          <w:highlight w:val="none"/>
          <w:lang w:val="en-US" w:eastAsia="zh-CN"/>
        </w:rPr>
      </w:pPr>
    </w:p>
    <w:p>
      <w:pPr>
        <w:pStyle w:val="2"/>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一、教师机系统和多岗位联动应急演练实训平台互联互通，一起构成多岗位联动应急演练实训室。</w:t>
      </w:r>
    </w:p>
    <w:p>
      <w:pPr>
        <w:pStyle w:val="2"/>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教师机系统具有学生机管理、试题管理、考核管理、数据管理等等。其中通用管理包括全部教学辅助功能：广播教学、电子黑板、教学示范、电子抢答、远程控制、电子黑屏等课堂教学通用功能。含综合监控考核、行车调度考核和三维车站与应急演练考核功能。</w:t>
      </w:r>
    </w:p>
    <w:p>
      <w:pPr>
        <w:pStyle w:val="2"/>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三、教师机系统配置</w:t>
      </w:r>
      <w:r>
        <w:rPr>
          <w:rFonts w:hint="eastAsia" w:ascii="宋体" w:hAnsi="宋体" w:eastAsia="宋体" w:cs="宋体"/>
          <w:color w:val="auto"/>
          <w:sz w:val="24"/>
          <w:szCs w:val="24"/>
          <w:highlight w:val="none"/>
          <w:lang w:eastAsia="zh-CN"/>
        </w:rPr>
        <w:t>参数</w:t>
      </w:r>
    </w:p>
    <w:tbl>
      <w:tblPr>
        <w:tblStyle w:val="40"/>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710"/>
        <w:gridCol w:w="804"/>
        <w:gridCol w:w="923"/>
        <w:gridCol w:w="544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noWrap/>
            <w:vAlign w:val="center"/>
          </w:tcPr>
          <w:p>
            <w:pPr>
              <w:pStyle w:val="174"/>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710" w:type="dxa"/>
            <w:noWrap/>
            <w:vAlign w:val="center"/>
          </w:tcPr>
          <w:p>
            <w:pPr>
              <w:pStyle w:val="174"/>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品目名称</w:t>
            </w:r>
          </w:p>
        </w:tc>
        <w:tc>
          <w:tcPr>
            <w:tcW w:w="7167" w:type="dxa"/>
            <w:gridSpan w:val="3"/>
            <w:noWrap/>
            <w:vAlign w:val="center"/>
          </w:tcPr>
          <w:p>
            <w:pPr>
              <w:pStyle w:val="174"/>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技术规格、参数与要求</w:t>
            </w:r>
          </w:p>
        </w:tc>
        <w:tc>
          <w:tcPr>
            <w:tcW w:w="750" w:type="dxa"/>
            <w:noWrap/>
            <w:vAlign w:val="center"/>
          </w:tcPr>
          <w:p>
            <w:pPr>
              <w:pStyle w:val="174"/>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restart"/>
            <w:noWrap/>
            <w:vAlign w:val="center"/>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10" w:type="dxa"/>
            <w:vMerge w:val="restart"/>
            <w:noWrap/>
            <w:vAlign w:val="center"/>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教师机系统</w:t>
            </w:r>
          </w:p>
        </w:tc>
        <w:tc>
          <w:tcPr>
            <w:tcW w:w="804" w:type="dxa"/>
            <w:noWrap/>
            <w:vAlign w:val="center"/>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教学管理平台</w:t>
            </w:r>
          </w:p>
        </w:tc>
        <w:tc>
          <w:tcPr>
            <w:tcW w:w="6363" w:type="dxa"/>
            <w:gridSpan w:val="2"/>
            <w:noWrap/>
            <w:vAlign w:val="center"/>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软件实现教师机管理功能，包括：学生机管理、试题管理、考核管理、数据管理等等。其中通用管理包括全部教学辅助功能：广播教学、电子黑板、教学示范、电子抢答、远程控制、电子黑屏等课堂教学通用功能。含综合监控考核、行车调度考核和三维车站与应急演练考核功能。</w:t>
            </w:r>
          </w:p>
        </w:tc>
        <w:tc>
          <w:tcPr>
            <w:tcW w:w="750" w:type="dxa"/>
            <w:noWrap/>
            <w:vAlign w:val="center"/>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restart"/>
            <w:noWrap/>
            <w:vAlign w:val="center"/>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学生端</w:t>
            </w: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日常练习模块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自动获取教师端日常练习数据，用于学生练习。</w:t>
            </w:r>
          </w:p>
        </w:tc>
        <w:tc>
          <w:tcPr>
            <w:tcW w:w="750" w:type="dxa"/>
            <w:vMerge w:val="restart"/>
            <w:noWrap/>
          </w:tcPr>
          <w:p>
            <w:pPr>
              <w:pStyle w:val="174"/>
              <w:adjustRightInd w:val="0"/>
              <w:snapToGrid w:val="0"/>
              <w:jc w:val="both"/>
              <w:rPr>
                <w:rFonts w:hint="eastAsia" w:ascii="宋体" w:hAnsi="宋体" w:eastAsia="宋体" w:cs="宋体"/>
                <w:color w:val="auto"/>
                <w:sz w:val="24"/>
                <w:szCs w:val="24"/>
                <w:highlight w:val="none"/>
              </w:rPr>
            </w:pPr>
          </w:p>
          <w:p>
            <w:pPr>
              <w:pStyle w:val="174"/>
              <w:adjustRightInd w:val="0"/>
              <w:snapToGrid w:val="0"/>
              <w:jc w:val="both"/>
              <w:rPr>
                <w:rFonts w:hint="eastAsia" w:ascii="宋体" w:hAnsi="宋体" w:eastAsia="宋体" w:cs="宋体"/>
                <w:color w:val="auto"/>
                <w:sz w:val="24"/>
                <w:szCs w:val="24"/>
                <w:highlight w:val="none"/>
              </w:rPr>
            </w:pPr>
          </w:p>
          <w:p>
            <w:pPr>
              <w:pStyle w:val="174"/>
              <w:adjustRightInd w:val="0"/>
              <w:snapToGrid w:val="0"/>
              <w:jc w:val="both"/>
              <w:rPr>
                <w:rFonts w:hint="eastAsia" w:ascii="宋体" w:hAnsi="宋体" w:eastAsia="宋体" w:cs="宋体"/>
                <w:color w:val="auto"/>
                <w:sz w:val="24"/>
                <w:szCs w:val="24"/>
                <w:highlight w:val="none"/>
              </w:rPr>
            </w:pPr>
          </w:p>
          <w:p>
            <w:pPr>
              <w:pStyle w:val="174"/>
              <w:adjustRightInd w:val="0"/>
              <w:snapToGrid w:val="0"/>
              <w:jc w:val="both"/>
              <w:rPr>
                <w:rFonts w:hint="eastAsia" w:ascii="宋体" w:hAnsi="宋体" w:eastAsia="宋体" w:cs="宋体"/>
                <w:color w:val="auto"/>
                <w:sz w:val="24"/>
                <w:szCs w:val="24"/>
                <w:highlight w:val="none"/>
              </w:rPr>
            </w:pPr>
          </w:p>
          <w:p>
            <w:pPr>
              <w:pStyle w:val="174"/>
              <w:adjustRightInd w:val="0"/>
              <w:snapToGrid w:val="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软件管理模块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调用系统方法，快捷开启软件。</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课堂讨论模块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通过调用教师端提供的服务协议，实现题目讨论，回答问题等操作。</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考核</w:t>
            </w:r>
            <w:r>
              <w:rPr>
                <w:rFonts w:hint="eastAsia" w:ascii="宋体" w:hAnsi="宋体" w:eastAsia="宋体" w:cs="宋体"/>
                <w:color w:val="auto"/>
                <w:sz w:val="24"/>
                <w:szCs w:val="24"/>
                <w:highlight w:val="none"/>
              </w:rPr>
              <w:t>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通过使用通讯协议来获取（ATS，三维沙盘，三维车站，综合监控，模拟教师）软件操作，并记录上传给教师端临时服务。</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restart"/>
            <w:noWrap/>
            <w:vAlign w:val="center"/>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教师端</w:t>
            </w: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教员管理模块</w:t>
            </w:r>
          </w:p>
        </w:tc>
        <w:tc>
          <w:tcPr>
            <w:tcW w:w="5440" w:type="dxa"/>
            <w:noWrap/>
          </w:tcPr>
          <w:p>
            <w:pPr>
              <w:pStyle w:val="174"/>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使用操作数据库文件，来实现教员信息进行增删改查操作，以及赋予权限。</w:t>
            </w:r>
          </w:p>
        </w:tc>
        <w:tc>
          <w:tcPr>
            <w:tcW w:w="750" w:type="dxa"/>
            <w:vMerge w:val="restart"/>
            <w:noWrap/>
            <w:vAlign w:val="center"/>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学员管理模块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使用操作数据库文件，对于学员信息进行增删改查操作，以及赋予学生用于登录学生端的账号密码。</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软件管理模块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调用系统方法，快捷开启软件。</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设备管理模块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调用系统方法，来实现管理学员机。</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通用教学模块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实现辅助教学，课堂讨论，电子黑屏，查看学生屏幕，广播教学，远程控制，学生与教师之间交流，信息求助，显示选择在线信息。</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现场演示课堂讨论功能：</w:t>
            </w:r>
          </w:p>
          <w:p>
            <w:pPr>
              <w:pStyle w:val="174"/>
              <w:numPr>
                <w:ilvl w:val="0"/>
                <w:numId w:val="10"/>
              </w:numP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点击“课堂讨论”进入课堂讨论页面；</w:t>
            </w:r>
          </w:p>
          <w:p>
            <w:pPr>
              <w:pStyle w:val="174"/>
              <w:numPr>
                <w:ilvl w:val="0"/>
                <w:numId w:val="10"/>
              </w:numP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在教师端界面上端写入题目，点击发布，发布讨论题目；</w:t>
            </w:r>
          </w:p>
          <w:p>
            <w:pPr>
              <w:pStyle w:val="174"/>
              <w:numPr>
                <w:ilvl w:val="0"/>
                <w:numId w:val="10"/>
              </w:numP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在教师端界面上中间的对话框，显示学生讨论的相应信息，</w:t>
            </w:r>
          </w:p>
          <w:p>
            <w:pPr>
              <w:pStyle w:val="174"/>
              <w:numPr>
                <w:ilvl w:val="0"/>
                <w:numId w:val="10"/>
              </w:numPr>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在教师端最下面输入框中输入具体的答案，点击发送，学生端可以接受到该答案。</w:t>
            </w:r>
          </w:p>
        </w:tc>
        <w:tc>
          <w:tcPr>
            <w:tcW w:w="750" w:type="dxa"/>
            <w:vMerge w:val="continue"/>
            <w:noWrap/>
          </w:tcPr>
          <w:p>
            <w:pPr>
              <w:pStyle w:val="2"/>
              <w:snapToGrid w:val="0"/>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习题管理</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操作多个数据库文件，来实现数据编辑，可用于编辑：操作题，选择题，填空题等题型。</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试卷管理</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通过获取多个数据库文件内部数据，来实现数据选择，最后生成新的试卷文件，同时，存储在新的数据库文件中。</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通过获取数据进行选择，设置考核需要的一些参数，下发考核。</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现场演示三维车站考核：</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1.通过点击“日常与考核”按钮进入考核选择页面；</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2.点击“三维车站”按钮，进入试题页面；</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3.在页面上端选择实训题，选择需要下发的试卷，同时设置考试时间和选择下发的学生端，点击下发；</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4.学生端自动弹出试题框，同时开始计时；</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5.三维车站操作结束后，在学生端自动提交；</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6，在教师端页面点击成绩管理，进入选择页面；</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7，点击三维车站按钮进入三维车站学生成绩管理页面；</w:t>
            </w:r>
          </w:p>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8，在页面上端选择实训题，选择刚刚提交的试卷，双击查看详情，并人工调整最终成绩。</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成绩管理模块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接收学生端上传的操作数据，存储为数据库文件，同时系统自动评分学生上传的操作数据，以及显示错误详情</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710"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804" w:type="dxa"/>
            <w:vMerge w:val="continue"/>
            <w:noWrap/>
            <w:vAlign w:val="center"/>
          </w:tcPr>
          <w:p>
            <w:pPr>
              <w:pStyle w:val="174"/>
              <w:adjustRightInd w:val="0"/>
              <w:snapToGrid w:val="0"/>
              <w:rPr>
                <w:rFonts w:hint="eastAsia" w:ascii="宋体" w:hAnsi="宋体" w:eastAsia="宋体" w:cs="宋体"/>
                <w:color w:val="auto"/>
                <w:sz w:val="24"/>
                <w:szCs w:val="24"/>
                <w:highlight w:val="none"/>
              </w:rPr>
            </w:pPr>
          </w:p>
        </w:tc>
        <w:tc>
          <w:tcPr>
            <w:tcW w:w="923" w:type="dxa"/>
            <w:noWrap/>
          </w:tcPr>
          <w:p>
            <w:pPr>
              <w:pStyle w:val="174"/>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日志模块</w:t>
            </w:r>
          </w:p>
        </w:tc>
        <w:tc>
          <w:tcPr>
            <w:tcW w:w="5440" w:type="dxa"/>
            <w:noWrap/>
          </w:tcPr>
          <w:p>
            <w:pPr>
              <w:pStyle w:val="174"/>
              <w:adjustRightInd w:val="0"/>
              <w:snapToGri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记录系统内部信息，错误信息，操作信息。</w:t>
            </w:r>
          </w:p>
        </w:tc>
        <w:tc>
          <w:tcPr>
            <w:tcW w:w="750" w:type="dxa"/>
            <w:vMerge w:val="continue"/>
            <w:noWrap/>
          </w:tcPr>
          <w:p>
            <w:pPr>
              <w:pStyle w:val="174"/>
              <w:adjustRightInd w:val="0"/>
              <w:snapToGrid w:val="0"/>
              <w:rPr>
                <w:rFonts w:hint="eastAsia" w:ascii="宋体" w:hAnsi="宋体" w:eastAsia="宋体" w:cs="宋体"/>
                <w:color w:val="auto"/>
                <w:sz w:val="24"/>
                <w:szCs w:val="24"/>
                <w:highlight w:val="none"/>
              </w:rPr>
            </w:pPr>
          </w:p>
        </w:tc>
      </w:tr>
    </w:tbl>
    <w:p>
      <w:pPr>
        <w:pStyle w:val="2"/>
        <w:numPr>
          <w:ilvl w:val="0"/>
          <w:numId w:val="0"/>
        </w:numPr>
        <w:ind w:leftChars="0"/>
        <w:rPr>
          <w:rFonts w:hint="default" w:ascii="宋体" w:hAnsi="宋体" w:eastAsia="宋体" w:cs="宋体"/>
          <w:b/>
          <w:bCs/>
          <w:color w:val="auto"/>
          <w:highlight w:val="none"/>
          <w:lang w:val="en-US" w:eastAsia="zh-CN"/>
        </w:rPr>
      </w:pPr>
    </w:p>
    <w:p>
      <w:pPr>
        <w:pStyle w:val="3"/>
        <w:rPr>
          <w:rFonts w:hint="default"/>
          <w:color w:val="auto"/>
          <w:highlight w:val="none"/>
          <w:lang w:val="en-US" w:eastAsia="zh-CN"/>
        </w:rPr>
      </w:pPr>
    </w:p>
    <w:p>
      <w:pPr>
        <w:pStyle w:val="5"/>
        <w:rPr>
          <w:rFonts w:ascii="宋体" w:hAnsi="宋体" w:cs="宋体"/>
          <w:color w:val="auto"/>
          <w:sz w:val="24"/>
          <w:szCs w:val="40"/>
          <w:highlight w:val="none"/>
        </w:rPr>
      </w:pPr>
      <w:r>
        <w:rPr>
          <w:rFonts w:hint="eastAsia" w:ascii="宋体" w:hAnsi="宋体" w:cs="宋体"/>
          <w:color w:val="auto"/>
          <w:sz w:val="24"/>
          <w:szCs w:val="40"/>
          <w:highlight w:val="none"/>
        </w:rPr>
        <w:t>二、商务要求</w:t>
      </w:r>
    </w:p>
    <w:p>
      <w:pPr>
        <w:pStyle w:val="6"/>
        <w:rPr>
          <w:rFonts w:hint="eastAsia" w:eastAsia="宋体"/>
          <w:color w:val="auto"/>
          <w:highlight w:val="none"/>
          <w:lang w:eastAsia="zh-CN"/>
        </w:rPr>
      </w:pPr>
      <w:r>
        <w:rPr>
          <w:rFonts w:hint="eastAsia"/>
          <w:color w:val="auto"/>
          <w:highlight w:val="none"/>
        </w:rPr>
        <w:t>（一）</w:t>
      </w:r>
      <w:bookmarkEnd w:id="19"/>
      <w:bookmarkEnd w:id="20"/>
      <w:r>
        <w:rPr>
          <w:rFonts w:hint="eastAsia" w:ascii="宋体" w:hAnsi="宋体" w:cs="宋体"/>
          <w:bCs/>
          <w:color w:val="auto"/>
          <w:kern w:val="0"/>
          <w:szCs w:val="21"/>
          <w:highlight w:val="none"/>
        </w:rPr>
        <w:t>★</w:t>
      </w:r>
      <w:r>
        <w:rPr>
          <w:rFonts w:hint="eastAsia"/>
          <w:color w:val="auto"/>
          <w:highlight w:val="none"/>
          <w:lang w:eastAsia="zh-CN"/>
        </w:rPr>
        <w:t>交货时间及地点</w:t>
      </w:r>
    </w:p>
    <w:p>
      <w:pPr>
        <w:pStyle w:val="167"/>
        <w:numPr>
          <w:ilvl w:val="0"/>
          <w:numId w:val="0"/>
        </w:numPr>
        <w:spacing w:line="408" w:lineRule="auto"/>
        <w:ind w:left="420" w:leftChars="0" w:firstLine="240" w:firstLineChars="100"/>
        <w:jc w:val="left"/>
        <w:rPr>
          <w:rFonts w:asciiTheme="minorEastAsia" w:hAnsiTheme="minorEastAsia"/>
          <w:color w:val="auto"/>
          <w:highlight w:val="none"/>
        </w:rPr>
      </w:pPr>
      <w:bookmarkStart w:id="21" w:name="_Toc14429"/>
      <w:bookmarkStart w:id="22" w:name="_Toc3146"/>
      <w:r>
        <w:rPr>
          <w:rFonts w:hint="eastAsia" w:asciiTheme="minorEastAsia" w:hAnsiTheme="minorEastAsia"/>
          <w:color w:val="auto"/>
          <w:highlight w:val="none"/>
        </w:rPr>
        <w:t>交货时间：</w:t>
      </w:r>
      <w:r>
        <w:rPr>
          <w:rFonts w:hint="eastAsia" w:ascii="等线" w:hAnsi="等线"/>
          <w:color w:val="auto"/>
          <w:highlight w:val="none"/>
        </w:rPr>
        <w:t>接到甲方通知后</w:t>
      </w:r>
      <w:r>
        <w:rPr>
          <w:rFonts w:hint="eastAsia" w:ascii="等线" w:hAnsi="等线"/>
          <w:color w:val="auto"/>
          <w:highlight w:val="none"/>
          <w:lang w:val="en-US" w:eastAsia="zh-CN"/>
        </w:rPr>
        <w:t>15</w:t>
      </w:r>
      <w:r>
        <w:rPr>
          <w:rFonts w:hint="eastAsia" w:ascii="等线" w:hAnsi="等线"/>
          <w:color w:val="auto"/>
          <w:highlight w:val="none"/>
        </w:rPr>
        <w:t>天内完成供货、安装、调试</w:t>
      </w:r>
      <w:r>
        <w:rPr>
          <w:rFonts w:hint="eastAsia" w:asciiTheme="minorEastAsia" w:hAnsiTheme="minorEastAsia"/>
          <w:color w:val="auto"/>
          <w:highlight w:val="none"/>
        </w:rPr>
        <w:t>。</w:t>
      </w:r>
    </w:p>
    <w:p>
      <w:pPr>
        <w:pStyle w:val="167"/>
        <w:numPr>
          <w:ilvl w:val="0"/>
          <w:numId w:val="0"/>
        </w:numPr>
        <w:spacing w:line="408" w:lineRule="auto"/>
        <w:ind w:left="420" w:leftChars="0" w:firstLine="240" w:firstLineChars="100"/>
        <w:jc w:val="left"/>
        <w:rPr>
          <w:rFonts w:asciiTheme="minorEastAsia" w:hAnsiTheme="minorEastAsia"/>
          <w:color w:val="auto"/>
          <w:highlight w:val="none"/>
        </w:rPr>
      </w:pPr>
      <w:r>
        <w:rPr>
          <w:rFonts w:hint="eastAsia" w:asciiTheme="minorEastAsia" w:hAnsiTheme="minorEastAsia"/>
          <w:color w:val="auto"/>
          <w:highlight w:val="none"/>
        </w:rPr>
        <w:t>地点：浙江机电职业技术学院。</w:t>
      </w:r>
    </w:p>
    <w:bookmarkEnd w:id="21"/>
    <w:bookmarkEnd w:id="22"/>
    <w:p>
      <w:pPr>
        <w:pStyle w:val="6"/>
        <w:rPr>
          <w:color w:val="auto"/>
          <w:highlight w:val="none"/>
        </w:rPr>
      </w:pPr>
      <w:bookmarkStart w:id="23" w:name="_Toc10286"/>
      <w:bookmarkStart w:id="24" w:name="_Toc22183"/>
      <w:r>
        <w:rPr>
          <w:rFonts w:hint="eastAsia"/>
          <w:color w:val="auto"/>
          <w:highlight w:val="none"/>
        </w:rPr>
        <w:t>（</w:t>
      </w:r>
      <w:r>
        <w:rPr>
          <w:rFonts w:hint="eastAsia"/>
          <w:color w:val="auto"/>
          <w:highlight w:val="none"/>
          <w:lang w:eastAsia="zh-CN"/>
        </w:rPr>
        <w:t>二</w:t>
      </w:r>
      <w:r>
        <w:rPr>
          <w:rFonts w:hint="eastAsia"/>
          <w:color w:val="auto"/>
          <w:highlight w:val="none"/>
        </w:rPr>
        <w:t>）保存和运输要求</w:t>
      </w:r>
      <w:bookmarkEnd w:id="23"/>
      <w:bookmarkEnd w:id="24"/>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送货至指定地点。</w:t>
      </w:r>
    </w:p>
    <w:p>
      <w:pPr>
        <w:pStyle w:val="6"/>
        <w:rPr>
          <w:color w:val="auto"/>
          <w:highlight w:val="none"/>
        </w:rPr>
      </w:pPr>
      <w:bookmarkStart w:id="25" w:name="_Toc14375"/>
      <w:bookmarkStart w:id="26" w:name="_Toc3643"/>
      <w:r>
        <w:rPr>
          <w:rFonts w:hint="eastAsia"/>
          <w:color w:val="auto"/>
          <w:highlight w:val="none"/>
        </w:rPr>
        <w:t>（</w:t>
      </w:r>
      <w:r>
        <w:rPr>
          <w:rFonts w:hint="eastAsia"/>
          <w:color w:val="auto"/>
          <w:highlight w:val="none"/>
          <w:lang w:eastAsia="zh-CN"/>
        </w:rPr>
        <w:t>三</w:t>
      </w:r>
      <w:r>
        <w:rPr>
          <w:rFonts w:hint="eastAsia"/>
          <w:color w:val="auto"/>
          <w:highlight w:val="none"/>
        </w:rPr>
        <w:t>）验收标准</w:t>
      </w:r>
      <w:bookmarkEnd w:id="25"/>
      <w:bookmarkEnd w:id="26"/>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中标人应提供合同货物的有效检验文件，经采购人认可后，与货物的性能指标一起作为合同货物验收标准。采购人对合同货物验收合格后，双方共同签署验收合格证书，验收中发现合同货物达不到验收标准或合同规定的性能指标，中标人必须更换合同货物，并负担由此给采购人造成的损失，直到验收合格为止。按</w:t>
      </w:r>
      <w:r>
        <w:rPr>
          <w:rFonts w:hint="eastAsia" w:ascii="宋体" w:hAnsi="宋体" w:cs="宋体"/>
          <w:color w:val="auto"/>
          <w:szCs w:val="32"/>
          <w:highlight w:val="none"/>
          <w:lang w:eastAsia="zh-CN"/>
        </w:rPr>
        <w:t>浙江机电职业技术学院</w:t>
      </w:r>
      <w:r>
        <w:rPr>
          <w:rFonts w:hint="eastAsia" w:ascii="宋体" w:hAnsi="宋体" w:cs="宋体"/>
          <w:color w:val="auto"/>
          <w:szCs w:val="32"/>
          <w:highlight w:val="none"/>
        </w:rPr>
        <w:t>标准验收和确认。</w:t>
      </w:r>
    </w:p>
    <w:p>
      <w:pPr>
        <w:pStyle w:val="6"/>
        <w:rPr>
          <w:rFonts w:hint="eastAsia" w:eastAsia="宋体"/>
          <w:color w:val="auto"/>
          <w:highlight w:val="none"/>
          <w:lang w:eastAsia="zh-CN"/>
        </w:rPr>
      </w:pPr>
      <w:bookmarkStart w:id="27" w:name="_Toc32145"/>
      <w:bookmarkStart w:id="28" w:name="_Toc30601"/>
      <w:r>
        <w:rPr>
          <w:rFonts w:hint="eastAsia"/>
          <w:color w:val="auto"/>
          <w:highlight w:val="none"/>
        </w:rPr>
        <w:t>（</w:t>
      </w:r>
      <w:r>
        <w:rPr>
          <w:rFonts w:hint="eastAsia"/>
          <w:color w:val="auto"/>
          <w:highlight w:val="none"/>
          <w:lang w:eastAsia="zh-CN"/>
        </w:rPr>
        <w:t>四</w:t>
      </w:r>
      <w:r>
        <w:rPr>
          <w:rFonts w:hint="eastAsia"/>
          <w:color w:val="auto"/>
          <w:highlight w:val="none"/>
        </w:rPr>
        <w:t>）售后服务</w:t>
      </w:r>
      <w:bookmarkEnd w:id="27"/>
      <w:bookmarkEnd w:id="28"/>
      <w:r>
        <w:rPr>
          <w:rFonts w:hint="eastAsia"/>
          <w:color w:val="auto"/>
          <w:highlight w:val="none"/>
          <w:lang w:eastAsia="zh-CN"/>
        </w:rPr>
        <w:t>保障要求</w:t>
      </w:r>
    </w:p>
    <w:p>
      <w:pPr>
        <w:pStyle w:val="167"/>
        <w:ind w:firstLine="720" w:firstLineChars="300"/>
        <w:jc w:val="left"/>
        <w:rPr>
          <w:rFonts w:hint="default" w:ascii="宋体" w:hAnsi="宋体" w:eastAsia="宋体" w:cs="宋体"/>
          <w:color w:val="auto"/>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货物（设备/软件）验收合格后提供</w:t>
      </w:r>
      <w:r>
        <w:rPr>
          <w:rFonts w:hint="eastAsia" w:ascii="宋体" w:hAnsi="宋体" w:eastAsia="宋体" w:cs="宋体"/>
          <w:color w:val="auto"/>
          <w:sz w:val="24"/>
          <w:szCs w:val="24"/>
          <w:highlight w:val="none"/>
          <w:u w:val="none"/>
          <w:shd w:val="clear" w:color="auto" w:fill="auto"/>
        </w:rPr>
        <w:t>≥</w:t>
      </w:r>
      <w:r>
        <w:rPr>
          <w:rFonts w:hint="eastAsia" w:ascii="宋体" w:hAnsi="宋体" w:eastAsia="宋体" w:cs="宋体"/>
          <w:color w:val="auto"/>
          <w:sz w:val="24"/>
          <w:szCs w:val="24"/>
          <w:highlight w:val="none"/>
          <w:u w:val="none"/>
          <w:shd w:val="clear" w:color="auto" w:fill="auto"/>
          <w:lang w:eastAsia="zh-CN"/>
        </w:rPr>
        <w:t>三</w:t>
      </w:r>
      <w:r>
        <w:rPr>
          <w:rFonts w:hint="eastAsia" w:ascii="宋体" w:hAnsi="宋体" w:eastAsia="宋体" w:cs="宋体"/>
          <w:color w:val="auto"/>
          <w:sz w:val="24"/>
          <w:szCs w:val="24"/>
          <w:highlight w:val="none"/>
        </w:rPr>
        <w:t>年质保，质保期内因不能排除的故障而影响工作的情况每发生一次，质保期相应延长60天，质保期内因设备本身缺陷造成各种故障应由卖方免费技术服务和维修，若技术需求中有质保要求，以技术需求为准。</w:t>
      </w:r>
      <w:r>
        <w:rPr>
          <w:rFonts w:hint="eastAsia" w:ascii="宋体" w:hAnsi="宋体" w:cs="宋体"/>
          <w:color w:val="auto"/>
          <w:szCs w:val="24"/>
          <w:highlight w:val="none"/>
          <w:lang w:val="en-US" w:eastAsia="zh-CN"/>
        </w:rPr>
        <w:t>所有的数据接口需将源代码提供给用户，确保数据接口的开放。</w:t>
      </w:r>
    </w:p>
    <w:p>
      <w:pPr>
        <w:pStyle w:val="167"/>
        <w:numPr>
          <w:ilvl w:val="0"/>
          <w:numId w:val="0"/>
        </w:numPr>
        <w:spacing w:line="360" w:lineRule="auto"/>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货物（设备）质保期内非人为因素出现的质量问题，须按国家有关规定和要求（如无国家规定和要求的，按承诺和厂方“三包”规定）立即进行免费维修、免费更换有缺陷的零部件、直至免费更换新货物。质保期外发生的损坏，负责设备的终身维修，修理和换件应按成本费收取，不再收取其它费用。</w:t>
      </w:r>
    </w:p>
    <w:p>
      <w:pPr>
        <w:pStyle w:val="167"/>
        <w:numPr>
          <w:ilvl w:val="0"/>
          <w:numId w:val="0"/>
        </w:numPr>
        <w:spacing w:line="360" w:lineRule="auto"/>
        <w:ind w:firstLine="720" w:firstLineChars="3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货物（设备/软件）发生故障接到用户维修要求后，投标人应承诺在</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小时内响应并提出解决方案，</w:t>
      </w:r>
      <w:r>
        <w:rPr>
          <w:rFonts w:hint="eastAsia" w:ascii="宋体" w:hAnsi="宋体" w:eastAsia="宋体" w:cs="宋体"/>
          <w:color w:val="auto"/>
          <w:sz w:val="24"/>
          <w:szCs w:val="24"/>
          <w:highlight w:val="none"/>
          <w:u w:val="single"/>
        </w:rPr>
        <w:t>4</w:t>
      </w:r>
      <w:r>
        <w:rPr>
          <w:rFonts w:hint="eastAsia" w:ascii="宋体" w:hAnsi="宋体" w:eastAsia="宋体" w:cs="宋体"/>
          <w:color w:val="auto"/>
          <w:sz w:val="24"/>
          <w:szCs w:val="24"/>
          <w:highlight w:val="none"/>
        </w:rPr>
        <w:t>小时内到现场进行故障处理，维修过程中所需材料在接到通知后应及时提供，最多不超过</w:t>
      </w:r>
      <w:r>
        <w:rPr>
          <w:rFonts w:hint="eastAsia" w:ascii="宋体" w:hAnsi="宋体" w:eastAsia="宋体" w:cs="宋体"/>
          <w:color w:val="auto"/>
          <w:sz w:val="24"/>
          <w:szCs w:val="24"/>
          <w:highlight w:val="none"/>
          <w:u w:val="single"/>
        </w:rPr>
        <w:t>12</w:t>
      </w:r>
      <w:r>
        <w:rPr>
          <w:rFonts w:hint="eastAsia" w:ascii="宋体" w:hAnsi="宋体" w:eastAsia="宋体" w:cs="宋体"/>
          <w:color w:val="auto"/>
          <w:sz w:val="24"/>
          <w:szCs w:val="24"/>
          <w:highlight w:val="none"/>
        </w:rPr>
        <w:t>小时。若（设备）短期无法修复，应提供相应备件并负责安装调试。</w:t>
      </w:r>
    </w:p>
    <w:p>
      <w:pPr>
        <w:pStyle w:val="6"/>
        <w:rPr>
          <w:color w:val="auto"/>
          <w:highlight w:val="none"/>
        </w:rPr>
      </w:pPr>
      <w:bookmarkStart w:id="29" w:name="_Toc11083"/>
      <w:bookmarkStart w:id="30" w:name="_Toc27073"/>
      <w:r>
        <w:rPr>
          <w:rFonts w:hint="eastAsia"/>
          <w:color w:val="auto"/>
          <w:highlight w:val="none"/>
        </w:rPr>
        <w:t>（</w:t>
      </w:r>
      <w:r>
        <w:rPr>
          <w:rFonts w:hint="eastAsia"/>
          <w:color w:val="auto"/>
          <w:highlight w:val="none"/>
          <w:lang w:eastAsia="zh-CN"/>
        </w:rPr>
        <w:t>五</w:t>
      </w:r>
      <w:r>
        <w:rPr>
          <w:rFonts w:hint="eastAsia"/>
          <w:color w:val="auto"/>
          <w:highlight w:val="none"/>
        </w:rPr>
        <w:t>）付款方式</w:t>
      </w:r>
      <w:bookmarkEnd w:id="29"/>
      <w:bookmarkEnd w:id="30"/>
    </w:p>
    <w:p>
      <w:pPr>
        <w:pStyle w:val="167"/>
        <w:numPr>
          <w:ilvl w:val="0"/>
          <w:numId w:val="0"/>
        </w:numPr>
        <w:spacing w:line="408" w:lineRule="auto"/>
        <w:ind w:firstLine="720" w:firstLineChars="300"/>
        <w:jc w:val="left"/>
        <w:rPr>
          <w:rFonts w:hint="eastAsia" w:ascii="宋体" w:hAnsi="宋体" w:eastAsia="宋体" w:cs="宋体"/>
          <w:color w:val="auto"/>
          <w:highlight w:val="none"/>
          <w:lang w:val="en-US" w:eastAsia="zh-CN"/>
        </w:rPr>
      </w:pPr>
      <w:bookmarkStart w:id="31" w:name="_Toc12425"/>
      <w:r>
        <w:rPr>
          <w:rFonts w:hint="eastAsia" w:ascii="宋体" w:hAnsi="宋体" w:eastAsia="宋体" w:cs="宋体"/>
          <w:color w:val="auto"/>
          <w:highlight w:val="none"/>
          <w:lang w:val="en-US" w:eastAsia="zh-CN"/>
        </w:rPr>
        <w:t>1、签订合同后7日内向采购人交纳合同总金额的5％作为履约保证金，未按规定时间缴纳似作违约。履约保证金在合同内容完成验收合格后自动转为质量保证金。质量保证金自验收合格后12个月内没有质量问题和售后服务问题，无息退还。</w:t>
      </w:r>
    </w:p>
    <w:p>
      <w:pPr>
        <w:pStyle w:val="167"/>
        <w:numPr>
          <w:ilvl w:val="0"/>
          <w:numId w:val="0"/>
        </w:numPr>
        <w:spacing w:line="408" w:lineRule="auto"/>
        <w:ind w:firstLine="720" w:firstLineChars="3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rPr>
        <w:t>货物自验收合格并正常运行后</w:t>
      </w:r>
      <w:r>
        <w:rPr>
          <w:rFonts w:hint="eastAsia" w:ascii="宋体" w:hAnsi="宋体" w:cs="宋体"/>
          <w:color w:val="auto"/>
          <w:highlight w:val="none"/>
          <w:lang w:val="en-US" w:eastAsia="zh-CN"/>
        </w:rPr>
        <w:t>三个月</w:t>
      </w:r>
      <w:r>
        <w:rPr>
          <w:rFonts w:hint="eastAsia" w:ascii="宋体" w:hAnsi="宋体" w:cs="宋体"/>
          <w:color w:val="auto"/>
          <w:highlight w:val="none"/>
        </w:rPr>
        <w:t>内，采购人向中标方</w:t>
      </w:r>
      <w:r>
        <w:rPr>
          <w:rFonts w:hint="eastAsia" w:ascii="宋体" w:hAnsi="宋体" w:cs="宋体"/>
          <w:color w:val="auto"/>
          <w:highlight w:val="none"/>
          <w:lang w:val="en-US" w:eastAsia="zh-CN"/>
        </w:rPr>
        <w:t>支付95%的货款，剩余5%的货款在验收合格并正常运行后六个月内支付</w:t>
      </w:r>
      <w:r>
        <w:rPr>
          <w:rFonts w:hint="eastAsia" w:ascii="宋体" w:hAnsi="宋体" w:eastAsia="宋体" w:cs="宋体"/>
          <w:color w:val="auto"/>
          <w:highlight w:val="none"/>
          <w:lang w:val="en-US" w:eastAsia="zh-CN"/>
        </w:rPr>
        <w:t>。</w:t>
      </w:r>
    </w:p>
    <w:p>
      <w:pPr>
        <w:pStyle w:val="6"/>
        <w:rPr>
          <w:color w:val="auto"/>
          <w:highlight w:val="none"/>
        </w:rPr>
      </w:pPr>
      <w:bookmarkStart w:id="32" w:name="_Toc12409"/>
      <w:r>
        <w:rPr>
          <w:rFonts w:hint="eastAsia"/>
          <w:color w:val="auto"/>
          <w:highlight w:val="none"/>
        </w:rPr>
        <w:t>（</w:t>
      </w:r>
      <w:r>
        <w:rPr>
          <w:rFonts w:hint="eastAsia"/>
          <w:color w:val="auto"/>
          <w:highlight w:val="none"/>
          <w:lang w:val="en-US" w:eastAsia="zh-CN"/>
        </w:rPr>
        <w:t>六</w:t>
      </w:r>
      <w:r>
        <w:rPr>
          <w:rFonts w:hint="eastAsia"/>
          <w:color w:val="auto"/>
          <w:highlight w:val="none"/>
        </w:rPr>
        <w:t>）合同履行</w:t>
      </w:r>
      <w:bookmarkEnd w:id="31"/>
      <w:bookmarkEnd w:id="32"/>
    </w:p>
    <w:p>
      <w:pPr>
        <w:ind w:left="0" w:leftChars="0" w:firstLine="720" w:firstLineChars="300"/>
        <w:rPr>
          <w:rFonts w:ascii="宋体" w:hAnsi="宋体" w:cs="宋体"/>
          <w:color w:val="auto"/>
          <w:szCs w:val="32"/>
          <w:highlight w:val="none"/>
        </w:rPr>
      </w:pPr>
      <w:r>
        <w:rPr>
          <w:rFonts w:hint="eastAsia" w:ascii="宋体" w:hAnsi="宋体" w:cs="宋体"/>
          <w:color w:val="auto"/>
          <w:szCs w:val="32"/>
          <w:highlight w:val="none"/>
        </w:rPr>
        <w:t>必须由投标主体履行合同。</w:t>
      </w:r>
    </w:p>
    <w:p>
      <w:pPr>
        <w:pStyle w:val="6"/>
        <w:rPr>
          <w:color w:val="auto"/>
          <w:highlight w:val="none"/>
        </w:rPr>
      </w:pPr>
      <w:bookmarkStart w:id="33" w:name="_Toc28352"/>
      <w:bookmarkStart w:id="34" w:name="_Toc26669"/>
      <w:r>
        <w:rPr>
          <w:rFonts w:hint="eastAsia"/>
          <w:color w:val="auto"/>
          <w:highlight w:val="none"/>
        </w:rPr>
        <w:t>（</w:t>
      </w:r>
      <w:r>
        <w:rPr>
          <w:rFonts w:hint="eastAsia"/>
          <w:color w:val="auto"/>
          <w:highlight w:val="none"/>
          <w:lang w:val="en-US" w:eastAsia="zh-CN"/>
        </w:rPr>
        <w:t>七</w:t>
      </w:r>
      <w:r>
        <w:rPr>
          <w:rFonts w:hint="eastAsia"/>
          <w:color w:val="auto"/>
          <w:highlight w:val="none"/>
        </w:rPr>
        <w:t>）培训</w:t>
      </w:r>
      <w:bookmarkEnd w:id="33"/>
      <w:bookmarkEnd w:id="34"/>
    </w:p>
    <w:p>
      <w:pPr>
        <w:ind w:firstLine="720" w:firstLineChars="300"/>
        <w:rPr>
          <w:color w:val="auto"/>
          <w:szCs w:val="32"/>
          <w:highlight w:val="none"/>
        </w:rPr>
      </w:pPr>
      <w:r>
        <w:rPr>
          <w:rFonts w:hint="eastAsia"/>
          <w:color w:val="auto"/>
          <w:szCs w:val="32"/>
          <w:highlight w:val="none"/>
        </w:rPr>
        <w:t>中标人应对采购人的操作人员、维修人员免费进行培训，</w:t>
      </w:r>
      <w:r>
        <w:rPr>
          <w:rFonts w:hint="eastAsia" w:ascii="宋体" w:hAnsi="宋体"/>
          <w:color w:val="auto"/>
          <w:highlight w:val="none"/>
        </w:rPr>
        <w:t>使之能够熟练掌握设备的操作、维护及保养技能</w:t>
      </w:r>
      <w:r>
        <w:rPr>
          <w:rFonts w:hint="eastAsia"/>
          <w:color w:val="auto"/>
          <w:szCs w:val="32"/>
          <w:highlight w:val="none"/>
        </w:rPr>
        <w:t>。</w:t>
      </w:r>
    </w:p>
    <w:p>
      <w:pPr>
        <w:ind w:firstLine="720" w:firstLineChars="300"/>
        <w:rPr>
          <w:color w:val="auto"/>
          <w:szCs w:val="32"/>
          <w:highlight w:val="none"/>
        </w:rPr>
      </w:pPr>
      <w:r>
        <w:rPr>
          <w:rFonts w:hint="eastAsia"/>
          <w:color w:val="auto"/>
          <w:szCs w:val="32"/>
          <w:highlight w:val="none"/>
        </w:rPr>
        <w:t>中标人应提供相应的培训计划。</w:t>
      </w:r>
    </w:p>
    <w:p>
      <w:pPr>
        <w:ind w:firstLine="720" w:firstLineChars="300"/>
        <w:rPr>
          <w:rFonts w:hint="eastAsia" w:ascii="宋体" w:hAnsi="宋体"/>
          <w:color w:val="auto"/>
          <w:highlight w:val="none"/>
        </w:rPr>
      </w:pPr>
      <w:r>
        <w:rPr>
          <w:rFonts w:hint="eastAsia"/>
          <w:color w:val="auto"/>
          <w:szCs w:val="32"/>
          <w:highlight w:val="none"/>
        </w:rPr>
        <w:t>中标人应对上述内容的实现方式、地点、人数、时间在投标文件中详细说明。（请附加培训计划书）提供不少于3人次的现场技术培训。</w:t>
      </w:r>
      <w:r>
        <w:rPr>
          <w:rFonts w:hint="eastAsia" w:ascii="宋体" w:hAnsi="宋体"/>
          <w:color w:val="auto"/>
          <w:highlight w:val="none"/>
        </w:rPr>
        <w:t>培训的时间、地点、人数均由用户确定。</w:t>
      </w:r>
    </w:p>
    <w:p>
      <w:pPr>
        <w:pStyle w:val="2"/>
        <w:spacing w:line="360" w:lineRule="auto"/>
        <w:ind w:firstLine="720" w:firstLineChars="3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提供所有实训设备操作培训及相关培训资料</w:t>
      </w:r>
    </w:p>
    <w:p>
      <w:pPr>
        <w:pStyle w:val="2"/>
        <w:numPr>
          <w:ilvl w:val="0"/>
          <w:numId w:val="0"/>
        </w:numPr>
        <w:spacing w:line="360" w:lineRule="auto"/>
        <w:outlineLvl w:val="2"/>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八</w:t>
      </w:r>
      <w:r>
        <w:rPr>
          <w:rFonts w:hint="eastAsia" w:ascii="宋体" w:hAnsi="宋体" w:eastAsia="宋体" w:cs="宋体"/>
          <w:b/>
          <w:bCs/>
          <w:color w:val="auto"/>
          <w:highlight w:val="none"/>
          <w:lang w:eastAsia="zh-CN"/>
        </w:rPr>
        <w:t>）备品备件及耗材等要求</w:t>
      </w:r>
    </w:p>
    <w:p>
      <w:pPr>
        <w:pStyle w:val="2"/>
        <w:numPr>
          <w:ilvl w:val="0"/>
          <w:numId w:val="0"/>
        </w:numPr>
        <w:spacing w:line="360" w:lineRule="auto"/>
        <w:ind w:firstLine="720" w:firstLineChars="300"/>
        <w:rPr>
          <w:rFonts w:hint="default" w:ascii="宋体" w:hAnsi="宋体" w:eastAsia="宋体" w:cs="宋体"/>
          <w:b/>
          <w:bCs/>
          <w:color w:val="auto"/>
          <w:highlight w:val="none"/>
          <w:lang w:val="en-US" w:eastAsia="zh-CN"/>
        </w:rPr>
      </w:pPr>
      <w:r>
        <w:rPr>
          <w:rFonts w:hint="default" w:ascii="宋体" w:hAnsi="宋体" w:eastAsia="宋体" w:cs="宋体"/>
          <w:b w:val="0"/>
          <w:bCs w:val="0"/>
          <w:color w:val="auto"/>
          <w:highlight w:val="none"/>
          <w:lang w:val="en-US" w:eastAsia="zh-CN"/>
        </w:rPr>
        <w:t>投标时标明常用备品备件及耗材的投标价，并承诺所报价格不高于市场价格</w:t>
      </w:r>
      <w:r>
        <w:rPr>
          <w:rFonts w:hint="eastAsia" w:ascii="宋体" w:hAnsi="宋体" w:eastAsia="宋体" w:cs="宋体"/>
          <w:b w:val="0"/>
          <w:bCs w:val="0"/>
          <w:color w:val="auto"/>
          <w:highlight w:val="none"/>
          <w:lang w:val="en-US" w:eastAsia="zh-CN"/>
        </w:rPr>
        <w:t>。</w:t>
      </w:r>
    </w:p>
    <w:p>
      <w:pPr>
        <w:pStyle w:val="6"/>
        <w:rPr>
          <w:color w:val="auto"/>
          <w:highlight w:val="none"/>
        </w:rPr>
      </w:pPr>
      <w:bookmarkStart w:id="35" w:name="_Toc4662"/>
      <w:bookmarkStart w:id="36" w:name="_Toc30890"/>
      <w:r>
        <w:rPr>
          <w:rFonts w:hint="eastAsia"/>
          <w:color w:val="auto"/>
          <w:highlight w:val="none"/>
        </w:rPr>
        <w:t>（</w:t>
      </w:r>
      <w:r>
        <w:rPr>
          <w:rFonts w:hint="eastAsia"/>
          <w:color w:val="auto"/>
          <w:highlight w:val="none"/>
          <w:lang w:val="en-US" w:eastAsia="zh-CN"/>
        </w:rPr>
        <w:t>九</w:t>
      </w:r>
      <w:r>
        <w:rPr>
          <w:rFonts w:hint="eastAsia"/>
          <w:color w:val="auto"/>
          <w:highlight w:val="none"/>
        </w:rPr>
        <w:t>）安装调试</w:t>
      </w:r>
      <w:bookmarkEnd w:id="35"/>
      <w:bookmarkEnd w:id="36"/>
    </w:p>
    <w:p>
      <w:pPr>
        <w:ind w:firstLine="720" w:firstLineChars="300"/>
        <w:rPr>
          <w:color w:val="auto"/>
          <w:szCs w:val="32"/>
          <w:highlight w:val="none"/>
        </w:rPr>
      </w:pPr>
      <w:r>
        <w:rPr>
          <w:rFonts w:hint="eastAsia"/>
          <w:color w:val="auto"/>
          <w:szCs w:val="32"/>
          <w:highlight w:val="none"/>
        </w:rPr>
        <w:t>安装地点：采购人指定地点。</w:t>
      </w:r>
    </w:p>
    <w:p>
      <w:pPr>
        <w:ind w:firstLine="720" w:firstLineChars="300"/>
        <w:rPr>
          <w:color w:val="auto"/>
          <w:szCs w:val="32"/>
          <w:highlight w:val="none"/>
        </w:rPr>
      </w:pPr>
      <w:r>
        <w:rPr>
          <w:rFonts w:hint="eastAsia"/>
          <w:color w:val="auto"/>
          <w:szCs w:val="32"/>
          <w:highlight w:val="none"/>
        </w:rPr>
        <w:t>安装完成时间：</w:t>
      </w:r>
      <w:r>
        <w:rPr>
          <w:rFonts w:hint="eastAsia" w:asciiTheme="minorEastAsia" w:hAnsiTheme="minorEastAsia"/>
          <w:color w:val="auto"/>
          <w:highlight w:val="none"/>
          <w:lang w:val="en-US" w:eastAsia="zh-CN"/>
        </w:rPr>
        <w:t>接到甲方通知后15天</w:t>
      </w:r>
      <w:r>
        <w:rPr>
          <w:rFonts w:hint="eastAsia"/>
          <w:color w:val="auto"/>
          <w:szCs w:val="32"/>
          <w:highlight w:val="none"/>
        </w:rPr>
        <w:t>完成安装和调试（“投标人须知前附表”有规定的除外），如在规定的时间内由于中标人的原因不能完成安装和调试，中标人应承担由此给采购人造成的损失。</w:t>
      </w:r>
    </w:p>
    <w:p>
      <w:pPr>
        <w:ind w:firstLine="720" w:firstLineChars="300"/>
        <w:rPr>
          <w:color w:val="auto"/>
          <w:szCs w:val="32"/>
          <w:highlight w:val="none"/>
        </w:rPr>
      </w:pPr>
      <w:r>
        <w:rPr>
          <w:rFonts w:hint="eastAsia"/>
          <w:color w:val="auto"/>
          <w:szCs w:val="32"/>
          <w:highlight w:val="none"/>
        </w:rPr>
        <w:t>安装标准：符合我国国家有关技术规范要求和技术标准，所有的软件和硬件必须保证同时安装到位。</w:t>
      </w:r>
    </w:p>
    <w:p>
      <w:pPr>
        <w:ind w:firstLine="720" w:firstLineChars="300"/>
        <w:rPr>
          <w:color w:val="auto"/>
          <w:szCs w:val="32"/>
          <w:highlight w:val="none"/>
        </w:rPr>
      </w:pPr>
      <w:r>
        <w:rPr>
          <w:rFonts w:hint="eastAsia"/>
          <w:color w:val="auto"/>
          <w:szCs w:val="32"/>
          <w:highlight w:val="none"/>
        </w:rPr>
        <w:t>中标人应免费提供合同货物的安装服务。</w:t>
      </w:r>
    </w:p>
    <w:p>
      <w:pPr>
        <w:ind w:firstLine="720" w:firstLineChars="300"/>
        <w:rPr>
          <w:rFonts w:ascii="宋体" w:hAnsi="宋体" w:cs="宋体"/>
          <w:color w:val="auto"/>
          <w:highlight w:val="none"/>
        </w:rPr>
      </w:pPr>
      <w:r>
        <w:rPr>
          <w:rFonts w:hint="eastAsia"/>
          <w:color w:val="auto"/>
          <w:szCs w:val="32"/>
          <w:highlight w:val="none"/>
        </w:rPr>
        <w:t>中标人在投标文件中应提供安装调试计划、对安装场地和环境的要求。</w:t>
      </w:r>
    </w:p>
    <w:p>
      <w:pPr>
        <w:pStyle w:val="2"/>
        <w:rPr>
          <w:rFonts w:ascii="宋体" w:hAnsi="宋体" w:cs="宋体"/>
          <w:color w:val="auto"/>
          <w:highlight w:val="none"/>
        </w:rPr>
      </w:pPr>
    </w:p>
    <w:p>
      <w:pPr>
        <w:pStyle w:val="2"/>
        <w:rPr>
          <w:rFonts w:ascii="宋体" w:hAnsi="宋体" w:cs="宋体"/>
          <w:color w:val="auto"/>
          <w:highlight w:val="none"/>
        </w:rPr>
        <w:sectPr>
          <w:headerReference r:id="rId14" w:type="first"/>
          <w:footerReference r:id="rId16" w:type="first"/>
          <w:footerReference r:id="rId15" w:type="default"/>
          <w:pgSz w:w="11907" w:h="16840"/>
          <w:pgMar w:top="1247" w:right="1304" w:bottom="1021" w:left="1304" w:header="720" w:footer="720" w:gutter="0"/>
          <w:cols w:space="720" w:num="1"/>
          <w:docGrid w:linePitch="326" w:charSpace="0"/>
        </w:sectPr>
      </w:pPr>
    </w:p>
    <w:bookmarkEnd w:id="18"/>
    <w:p>
      <w:pPr>
        <w:pStyle w:val="4"/>
        <w:rPr>
          <w:color w:val="auto"/>
          <w:highlight w:val="none"/>
        </w:rPr>
      </w:pPr>
      <w:bookmarkStart w:id="37" w:name="_Toc17984"/>
      <w:r>
        <w:rPr>
          <w:rFonts w:hint="eastAsia" w:cs="宋体"/>
          <w:color w:val="auto"/>
          <w:highlight w:val="none"/>
        </w:rPr>
        <w:t>第三章 投标人须知</w:t>
      </w:r>
      <w:bookmarkEnd w:id="37"/>
    </w:p>
    <w:p>
      <w:pPr>
        <w:pStyle w:val="5"/>
        <w:jc w:val="center"/>
        <w:rPr>
          <w:rFonts w:ascii="宋体" w:hAnsi="宋体" w:cs="宋体"/>
          <w:color w:val="auto"/>
          <w:highlight w:val="none"/>
        </w:rPr>
      </w:pPr>
      <w:bookmarkStart w:id="38" w:name="_Toc21699"/>
      <w:bookmarkStart w:id="39" w:name="_Toc2290"/>
      <w:bookmarkStart w:id="40" w:name="_Toc452457413"/>
      <w:r>
        <w:rPr>
          <w:rFonts w:hint="eastAsia" w:ascii="宋体" w:hAnsi="宋体" w:cs="宋体"/>
          <w:color w:val="auto"/>
          <w:highlight w:val="none"/>
        </w:rPr>
        <w:t>前 附 表</w:t>
      </w:r>
      <w:bookmarkEnd w:id="38"/>
      <w:bookmarkEnd w:id="39"/>
      <w:bookmarkEnd w:id="40"/>
    </w:p>
    <w:tbl>
      <w:tblPr>
        <w:tblStyle w:val="39"/>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944"/>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46" w:type="dxa"/>
            <w:vAlign w:val="center"/>
          </w:tcPr>
          <w:p>
            <w:pPr>
              <w:ind w:firstLine="0" w:firstLineChars="0"/>
              <w:jc w:val="center"/>
              <w:rPr>
                <w:color w:val="auto"/>
                <w:highlight w:val="none"/>
              </w:rPr>
            </w:pPr>
            <w:r>
              <w:rPr>
                <w:rFonts w:hint="eastAsia"/>
                <w:color w:val="auto"/>
                <w:highlight w:val="none"/>
              </w:rPr>
              <w:t>序号</w:t>
            </w:r>
          </w:p>
        </w:tc>
        <w:tc>
          <w:tcPr>
            <w:tcW w:w="1944" w:type="dxa"/>
            <w:vAlign w:val="center"/>
          </w:tcPr>
          <w:p>
            <w:pPr>
              <w:ind w:firstLine="0" w:firstLineChars="0"/>
              <w:jc w:val="center"/>
              <w:rPr>
                <w:color w:val="auto"/>
                <w:highlight w:val="none"/>
                <w:lang w:val="zh-CN"/>
              </w:rPr>
            </w:pPr>
            <w:r>
              <w:rPr>
                <w:rFonts w:hint="eastAsia"/>
                <w:color w:val="auto"/>
                <w:highlight w:val="none"/>
                <w:lang w:val="zh-CN"/>
              </w:rPr>
              <w:t>事项</w:t>
            </w:r>
          </w:p>
        </w:tc>
        <w:tc>
          <w:tcPr>
            <w:tcW w:w="6670" w:type="dxa"/>
            <w:vAlign w:val="center"/>
          </w:tcPr>
          <w:p>
            <w:pPr>
              <w:ind w:firstLine="0" w:firstLineChars="0"/>
              <w:jc w:val="center"/>
              <w:rPr>
                <w:color w:val="auto"/>
                <w:highlight w:val="none"/>
                <w:lang w:val="zh-CN"/>
              </w:rPr>
            </w:pPr>
            <w:r>
              <w:rPr>
                <w:rFonts w:hint="eastAsia"/>
                <w:color w:val="auto"/>
                <w:highlight w:val="none"/>
                <w:lang w:val="zh-CN"/>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highlight w:val="none"/>
              </w:rPr>
            </w:pPr>
          </w:p>
        </w:tc>
        <w:tc>
          <w:tcPr>
            <w:tcW w:w="1944" w:type="dxa"/>
          </w:tcPr>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p>
          <w:p>
            <w:pPr>
              <w:ind w:firstLine="0" w:firstLineChars="0"/>
              <w:jc w:val="center"/>
              <w:rPr>
                <w:color w:val="auto"/>
                <w:highlight w:val="none"/>
              </w:rPr>
            </w:pPr>
            <w:r>
              <w:rPr>
                <w:rFonts w:hint="eastAsia"/>
                <w:color w:val="auto"/>
                <w:highlight w:val="none"/>
              </w:rPr>
              <w:t>报价要求</w:t>
            </w:r>
          </w:p>
          <w:p>
            <w:pPr>
              <w:pStyle w:val="2"/>
              <w:jc w:val="center"/>
              <w:rPr>
                <w:rFonts w:ascii="仿宋" w:hAnsi="仿宋" w:eastAsia="仿宋" w:cs="仿宋_GB2312"/>
                <w:b/>
                <w:color w:val="auto"/>
                <w:highlight w:val="none"/>
              </w:rPr>
            </w:pPr>
          </w:p>
        </w:tc>
        <w:tc>
          <w:tcPr>
            <w:tcW w:w="6670" w:type="dxa"/>
          </w:tcPr>
          <w:p>
            <w:pPr>
              <w:ind w:firstLine="480"/>
              <w:rPr>
                <w:rFonts w:hint="eastAsia" w:ascii="宋体" w:hAnsi="宋体" w:cs="宋体"/>
                <w:color w:val="auto"/>
                <w:highlight w:val="none"/>
              </w:rPr>
            </w:pPr>
            <w:r>
              <w:rPr>
                <w:rFonts w:hint="eastAsia" w:ascii="宋体" w:hAnsi="宋体" w:cs="宋体"/>
                <w:color w:val="auto"/>
                <w:highlight w:val="none"/>
              </w:rPr>
              <w:t>本次投标采用人民币报价。</w:t>
            </w:r>
          </w:p>
          <w:p>
            <w:pPr>
              <w:ind w:firstLine="480"/>
              <w:rPr>
                <w:rFonts w:hint="eastAsia" w:ascii="宋体" w:hAnsi="宋体" w:cs="宋体"/>
                <w:color w:val="auto"/>
                <w:highlight w:val="none"/>
              </w:rPr>
            </w:pPr>
            <w:r>
              <w:rPr>
                <w:rFonts w:hint="eastAsia" w:ascii="宋体" w:hAnsi="宋体" w:cs="宋体"/>
                <w:color w:val="auto"/>
                <w:highlight w:val="none"/>
              </w:rPr>
              <w:t>有关本项目建设所需的技术方案编写、设备购置费、安装调试和系统集成费、验收、质保期运行维护、技术支持、测试费、培训费、售后服务和税金等费用均计入报价。《投标（开标）一览表》是报价的唯一载体。投标文件中价格全部采用人民币报价。招标文件未列明，而投标人认为必需的费用也需列入报价。</w:t>
            </w:r>
          </w:p>
          <w:p>
            <w:pPr>
              <w:ind w:firstLine="480"/>
              <w:rPr>
                <w:rFonts w:hint="eastAsia" w:ascii="宋体" w:hAnsi="宋体" w:cs="宋体"/>
                <w:color w:val="auto"/>
                <w:highlight w:val="none"/>
              </w:rPr>
            </w:pPr>
            <w:r>
              <w:rPr>
                <w:rFonts w:hint="eastAsia" w:ascii="宋体" w:hAnsi="宋体" w:cs="宋体"/>
                <w:color w:val="auto"/>
                <w:highlight w:val="none"/>
              </w:rPr>
              <w:t>投标报价出现下列情形的，投标无效：</w:t>
            </w:r>
          </w:p>
          <w:p>
            <w:pPr>
              <w:ind w:firstLine="480"/>
              <w:rPr>
                <w:rFonts w:hint="eastAsia" w:ascii="宋体" w:hAnsi="宋体" w:cs="宋体"/>
                <w:color w:val="auto"/>
                <w:highlight w:val="none"/>
              </w:rPr>
            </w:pPr>
            <w:r>
              <w:rPr>
                <w:rFonts w:hint="eastAsia" w:ascii="宋体" w:hAnsi="宋体" w:cs="宋体"/>
                <w:color w:val="auto"/>
                <w:highlight w:val="none"/>
              </w:rPr>
              <w:t>★投标文件出现不是唯一的、有选择性投标报价的；</w:t>
            </w:r>
          </w:p>
          <w:p>
            <w:pPr>
              <w:ind w:firstLine="480"/>
              <w:rPr>
                <w:rFonts w:hint="eastAsia" w:ascii="宋体" w:hAnsi="宋体" w:cs="宋体"/>
                <w:color w:val="auto"/>
                <w:highlight w:val="none"/>
              </w:rPr>
            </w:pPr>
            <w:r>
              <w:rPr>
                <w:rFonts w:hint="eastAsia" w:ascii="宋体" w:hAnsi="宋体" w:cs="宋体"/>
                <w:color w:val="auto"/>
                <w:highlight w:val="none"/>
              </w:rPr>
              <w:t>★投标报价高于本项目采购预算或者最高限价的;</w:t>
            </w:r>
          </w:p>
          <w:p>
            <w:pPr>
              <w:ind w:firstLine="480"/>
              <w:rPr>
                <w:rFonts w:hint="eastAsia" w:ascii="宋体" w:hAnsi="宋体" w:cs="宋体"/>
                <w:color w:val="auto"/>
                <w:highlight w:val="none"/>
              </w:rPr>
            </w:pPr>
            <w:r>
              <w:rPr>
                <w:rFonts w:hint="eastAsia" w:ascii="宋体" w:hAnsi="宋体" w:cs="宋体"/>
                <w:color w:val="auto"/>
                <w:highlight w:val="none"/>
              </w:rPr>
              <w:t>★报价明显低于其他通过符合性审查投标人的报价，有可能影响产品质量或者不能诚信履约的，未能按要求提供书面说明或者提交相关证明材料，不能证明其报价合理性的;</w:t>
            </w:r>
          </w:p>
          <w:p>
            <w:pPr>
              <w:ind w:firstLine="480"/>
              <w:rPr>
                <w:rFonts w:hint="eastAsia" w:ascii="宋体" w:hAnsi="宋体" w:cs="宋体"/>
                <w:color w:val="auto"/>
                <w:highlight w:val="none"/>
              </w:rPr>
            </w:pPr>
            <w:r>
              <w:rPr>
                <w:rFonts w:hint="eastAsia" w:ascii="宋体" w:hAnsi="宋体" w:cs="宋体"/>
                <w:color w:val="auto"/>
                <w:highlight w:val="none"/>
              </w:rPr>
              <w:t>★《投标（开标）一览表》填写不完整或字迹不能辨认或有漏项的；</w:t>
            </w:r>
          </w:p>
          <w:p>
            <w:pPr>
              <w:ind w:firstLine="480"/>
              <w:rPr>
                <w:rFonts w:ascii="仿宋" w:hAnsi="仿宋" w:eastAsia="仿宋" w:cs="仿宋_GB2312"/>
                <w:b/>
                <w:color w:val="auto"/>
                <w:highlight w:val="none"/>
              </w:rPr>
            </w:pPr>
            <w:r>
              <w:rPr>
                <w:rFonts w:hint="eastAsia" w:ascii="宋体" w:hAnsi="宋体" w:cs="宋体"/>
                <w:color w:val="auto"/>
                <w:highlight w:val="none"/>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信息公告及评标结果公告媒体</w:t>
            </w:r>
          </w:p>
        </w:tc>
        <w:tc>
          <w:tcPr>
            <w:tcW w:w="667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color w:val="auto"/>
                <w:highlight w:val="none"/>
              </w:rPr>
            </w:pPr>
            <w:r>
              <w:rPr>
                <w:rFonts w:hint="eastAsia" w:ascii="宋体" w:hAnsi="宋体" w:cs="宋体"/>
                <w:color w:val="auto"/>
                <w:szCs w:val="32"/>
                <w:highlight w:val="none"/>
              </w:rPr>
              <w:t>浙江省政府采购网（http://www.zjzfcg.gov.cn/）上发布。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tcPr>
          <w:p>
            <w:pPr>
              <w:ind w:firstLine="0" w:firstLineChars="0"/>
              <w:jc w:val="center"/>
              <w:rPr>
                <w:color w:val="auto"/>
                <w:highlight w:val="none"/>
              </w:rPr>
            </w:pPr>
            <w:r>
              <w:rPr>
                <w:rFonts w:hint="eastAsia"/>
                <w:color w:val="auto"/>
                <w:highlight w:val="none"/>
              </w:rPr>
              <w:t>经批准或确认的本次采购方式</w:t>
            </w:r>
          </w:p>
        </w:tc>
        <w:tc>
          <w:tcPr>
            <w:tcW w:w="6670" w:type="dxa"/>
          </w:tcPr>
          <w:p>
            <w:pPr>
              <w:pStyle w:val="2"/>
              <w:rPr>
                <w:color w:val="auto"/>
                <w:highlight w:val="none"/>
              </w:rPr>
            </w:pPr>
          </w:p>
          <w:p>
            <w:pPr>
              <w:pStyle w:val="2"/>
              <w:rPr>
                <w:color w:val="auto"/>
                <w:highlight w:val="none"/>
              </w:rPr>
            </w:pPr>
            <w:r>
              <w:rPr>
                <w:rFonts w:hint="eastAsia" w:ascii="宋体" w:hAnsi="宋体" w:eastAsia="宋体" w:cs="宋体"/>
                <w:color w:val="auto"/>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240" w:firstLineChars="100"/>
              <w:jc w:val="center"/>
              <w:rPr>
                <w:color w:val="auto"/>
                <w:highlight w:val="none"/>
              </w:rPr>
            </w:pPr>
            <w:r>
              <w:rPr>
                <w:rFonts w:hint="eastAsia"/>
                <w:color w:val="auto"/>
                <w:highlight w:val="none"/>
              </w:rPr>
              <w:t>分包或转包</w:t>
            </w:r>
          </w:p>
        </w:tc>
        <w:tc>
          <w:tcPr>
            <w:tcW w:w="6670" w:type="dxa"/>
            <w:vAlign w:val="center"/>
          </w:tcPr>
          <w:p>
            <w:pPr>
              <w:numPr>
                <w:ilvl w:val="0"/>
                <w:numId w:val="12"/>
              </w:numPr>
              <w:ind w:firstLine="0" w:firstLineChars="0"/>
              <w:rPr>
                <w:color w:val="auto"/>
                <w:highlight w:val="none"/>
              </w:rPr>
            </w:pPr>
            <w:r>
              <w:rPr>
                <w:rFonts w:hint="eastAsia"/>
                <w:color w:val="auto"/>
                <w:highlight w:val="none"/>
              </w:rPr>
              <w:t>采购人不同意分包。</w:t>
            </w:r>
          </w:p>
          <w:p>
            <w:pPr>
              <w:pStyle w:val="9"/>
              <w:ind w:firstLine="0"/>
              <w:rPr>
                <w:color w:val="auto"/>
                <w:highlight w:val="none"/>
              </w:rPr>
            </w:pPr>
            <w:r>
              <w:rPr>
                <w:rFonts w:hint="eastAsia"/>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0" w:firstLineChars="0"/>
              <w:jc w:val="center"/>
              <w:rPr>
                <w:color w:val="auto"/>
                <w:highlight w:val="none"/>
              </w:rPr>
            </w:pPr>
            <w:r>
              <w:rPr>
                <w:rFonts w:hint="eastAsia"/>
                <w:color w:val="auto"/>
                <w:highlight w:val="none"/>
              </w:rPr>
              <w:t>投标人应当提供的资格证明文件、报价文件和商务技术文件</w:t>
            </w:r>
          </w:p>
        </w:tc>
        <w:tc>
          <w:tcPr>
            <w:tcW w:w="6670" w:type="dxa"/>
            <w:vAlign w:val="center"/>
          </w:tcPr>
          <w:p>
            <w:pPr>
              <w:ind w:firstLine="0" w:firstLineChars="0"/>
              <w:rPr>
                <w:color w:val="auto"/>
                <w:highlight w:val="none"/>
              </w:rPr>
            </w:pPr>
            <w:r>
              <w:rPr>
                <w:rFonts w:hint="eastAsia"/>
                <w:color w:val="auto"/>
                <w:highlight w:val="none"/>
              </w:rPr>
              <w:t>（1）资格证明文件：见本章第三节。</w:t>
            </w:r>
          </w:p>
          <w:p>
            <w:pPr>
              <w:ind w:firstLine="0" w:firstLineChars="0"/>
              <w:rPr>
                <w:color w:val="auto"/>
                <w:highlight w:val="none"/>
              </w:rPr>
            </w:pPr>
            <w:r>
              <w:rPr>
                <w:rFonts w:hint="eastAsia"/>
                <w:color w:val="auto"/>
                <w:highlight w:val="none"/>
              </w:rPr>
              <w:t>（2）报价文件和商务技术文：见本章第三节。</w:t>
            </w:r>
          </w:p>
          <w:p>
            <w:pPr>
              <w:ind w:firstLine="0" w:firstLineChars="0"/>
              <w:rPr>
                <w:color w:val="auto"/>
                <w:highlight w:val="none"/>
              </w:rPr>
            </w:pPr>
            <w:r>
              <w:rPr>
                <w:rFonts w:hint="eastAsia"/>
                <w:color w:val="auto"/>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0" w:firstLineChars="0"/>
              <w:jc w:val="center"/>
              <w:rPr>
                <w:color w:val="auto"/>
                <w:highlight w:val="none"/>
              </w:rPr>
            </w:pPr>
            <w:r>
              <w:rPr>
                <w:rFonts w:hint="eastAsia"/>
                <w:color w:val="auto"/>
                <w:highlight w:val="none"/>
              </w:rPr>
              <w:t>投标文件份数</w:t>
            </w:r>
          </w:p>
        </w:tc>
        <w:tc>
          <w:tcPr>
            <w:tcW w:w="6670" w:type="dxa"/>
            <w:vAlign w:val="center"/>
          </w:tcPr>
          <w:p>
            <w:pPr>
              <w:ind w:firstLine="0" w:firstLineChars="0"/>
              <w:rPr>
                <w:color w:val="auto"/>
                <w:highlight w:val="none"/>
              </w:rPr>
            </w:pPr>
            <w:r>
              <w:rPr>
                <w:rFonts w:hint="eastAsia"/>
                <w:color w:val="auto"/>
                <w:highlight w:val="none"/>
              </w:rPr>
              <w:t>（1）纸质版：资格证明文件正本一份，副本无需提供；报价文件正本一份，副本</w:t>
            </w:r>
            <w:r>
              <w:rPr>
                <w:rFonts w:hint="eastAsia"/>
                <w:color w:val="auto"/>
                <w:highlight w:val="none"/>
                <w:lang w:val="en-US" w:eastAsia="zh-CN"/>
              </w:rPr>
              <w:t>四</w:t>
            </w:r>
            <w:r>
              <w:rPr>
                <w:rFonts w:hint="eastAsia"/>
                <w:color w:val="auto"/>
                <w:highlight w:val="none"/>
              </w:rPr>
              <w:t>份；商务技术文件正本一份，副本</w:t>
            </w:r>
            <w:r>
              <w:rPr>
                <w:rFonts w:hint="eastAsia"/>
                <w:color w:val="auto"/>
                <w:highlight w:val="none"/>
                <w:lang w:val="en-US" w:eastAsia="zh-CN"/>
              </w:rPr>
              <w:t>四</w:t>
            </w:r>
            <w:r>
              <w:rPr>
                <w:rFonts w:hint="eastAsia"/>
                <w:color w:val="auto"/>
                <w:highlight w:val="none"/>
              </w:rPr>
              <w:t>份。</w:t>
            </w:r>
          </w:p>
          <w:p>
            <w:pPr>
              <w:ind w:firstLine="0" w:firstLineChars="0"/>
              <w:rPr>
                <w:color w:val="auto"/>
                <w:highlight w:val="none"/>
              </w:rPr>
            </w:pPr>
            <w:r>
              <w:rPr>
                <w:rFonts w:hint="eastAsia"/>
                <w:color w:val="auto"/>
                <w:highlight w:val="none"/>
              </w:rPr>
              <w:t>（2）电子版：一份，内容为已签字盖章的商务技术纸质响应文件正本的扫描件，PDF格式，U盘存储。</w:t>
            </w:r>
          </w:p>
          <w:p>
            <w:pPr>
              <w:ind w:firstLine="0" w:firstLineChars="0"/>
              <w:rPr>
                <w:color w:val="auto"/>
                <w:highlight w:val="none"/>
              </w:rPr>
            </w:pPr>
            <w:r>
              <w:rPr>
                <w:rFonts w:hint="eastAsia"/>
                <w:b/>
                <w:bCs/>
                <w:color w:val="auto"/>
                <w:highlight w:val="none"/>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tcPr>
          <w:p>
            <w:pPr>
              <w:ind w:firstLine="0" w:firstLineChars="0"/>
              <w:jc w:val="center"/>
              <w:rPr>
                <w:rFonts w:ascii="宋体" w:hAnsi="宋体" w:cs="宋体"/>
                <w:color w:val="auto"/>
                <w:highlight w:val="none"/>
              </w:rPr>
            </w:pPr>
            <w:r>
              <w:rPr>
                <w:rFonts w:hint="eastAsia" w:ascii="宋体" w:hAnsi="宋体" w:cs="宋体"/>
                <w:bCs/>
                <w:color w:val="auto"/>
                <w:kern w:val="0"/>
                <w:szCs w:val="21"/>
                <w:highlight w:val="none"/>
              </w:rPr>
              <w:t>★</w:t>
            </w:r>
            <w:r>
              <w:rPr>
                <w:rFonts w:hint="eastAsia" w:ascii="宋体" w:hAnsi="宋体" w:cs="宋体"/>
                <w:color w:val="auto"/>
                <w:highlight w:val="none"/>
              </w:rPr>
              <w:t xml:space="preserve">  投标有效期</w:t>
            </w:r>
          </w:p>
        </w:tc>
        <w:tc>
          <w:tcPr>
            <w:tcW w:w="6670" w:type="dxa"/>
          </w:tcPr>
          <w:p>
            <w:pPr>
              <w:ind w:firstLine="0" w:firstLineChars="0"/>
              <w:rPr>
                <w:rFonts w:ascii="宋体" w:hAnsi="宋体" w:cs="宋体"/>
                <w:bCs/>
                <w:color w:val="auto"/>
                <w:kern w:val="0"/>
                <w:szCs w:val="21"/>
                <w:highlight w:val="none"/>
              </w:rPr>
            </w:pPr>
            <w:r>
              <w:rPr>
                <w:rFonts w:hint="eastAsia" w:ascii="宋体" w:hAnsi="宋体" w:cs="宋体"/>
                <w:color w:val="auto"/>
                <w:highlight w:val="none"/>
              </w:rPr>
              <w:t>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开标前答疑会或现场考察</w:t>
            </w:r>
          </w:p>
        </w:tc>
        <w:tc>
          <w:tcPr>
            <w:tcW w:w="6670"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样品提供</w:t>
            </w:r>
          </w:p>
        </w:tc>
        <w:tc>
          <w:tcPr>
            <w:tcW w:w="6670"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en-US" w:eastAsia="zh-CN"/>
              </w:rPr>
              <w:t>现场</w:t>
            </w:r>
            <w:r>
              <w:rPr>
                <w:rFonts w:hint="eastAsia" w:ascii="宋体" w:hAnsi="宋体" w:cs="宋体"/>
                <w:color w:val="auto"/>
                <w:highlight w:val="none"/>
              </w:rPr>
              <w:t>演示</w:t>
            </w:r>
          </w:p>
        </w:tc>
        <w:tc>
          <w:tcPr>
            <w:tcW w:w="6670" w:type="dxa"/>
            <w:vAlign w:val="center"/>
          </w:tcPr>
          <w:p>
            <w:pPr>
              <w:ind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采用现场演示和验证的方式，时长15分钟内，ppt演示、动画演示、不演示作无效供应商处理。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采购机构代理费用</w:t>
            </w:r>
          </w:p>
        </w:tc>
        <w:tc>
          <w:tcPr>
            <w:tcW w:w="6670" w:type="dxa"/>
            <w:vAlign w:val="center"/>
          </w:tcPr>
          <w:p>
            <w:pPr>
              <w:ind w:firstLine="480"/>
              <w:jc w:val="left"/>
              <w:rPr>
                <w:rFonts w:hint="eastAsia" w:ascii="宋体" w:hAnsi="宋体" w:cs="宋体"/>
                <w:color w:val="auto"/>
                <w:highlight w:val="none"/>
              </w:rPr>
            </w:pPr>
            <w:r>
              <w:rPr>
                <w:rFonts w:hint="eastAsia" w:ascii="宋体" w:hAnsi="宋体" w:cs="宋体"/>
                <w:color w:val="auto"/>
                <w:highlight w:val="none"/>
              </w:rPr>
              <w:t>(1)参照浙价服[2003]77号文规定的招标费率七折收取，按照中标通知书确定的金额，向中标人收取服务费，不足3000按3000收取。</w:t>
            </w:r>
          </w:p>
          <w:p>
            <w:pPr>
              <w:ind w:firstLine="480"/>
              <w:jc w:val="left"/>
              <w:rPr>
                <w:rFonts w:hint="eastAsia" w:ascii="宋体" w:hAnsi="宋体" w:cs="宋体"/>
                <w:color w:val="auto"/>
                <w:highlight w:val="none"/>
              </w:rPr>
            </w:pPr>
            <w:r>
              <w:rPr>
                <w:rFonts w:hint="eastAsia" w:ascii="宋体" w:hAnsi="宋体" w:cs="宋体"/>
                <w:color w:val="auto"/>
                <w:highlight w:val="none"/>
              </w:rPr>
              <w:t>(2)中标人在领取中标通知书前，应向采购代理机构交纳招标代理服务费。</w:t>
            </w:r>
          </w:p>
          <w:p>
            <w:pPr>
              <w:ind w:firstLine="480"/>
              <w:jc w:val="left"/>
              <w:rPr>
                <w:rFonts w:hint="eastAsia" w:ascii="宋体" w:hAnsi="宋体" w:cs="宋体"/>
                <w:color w:val="auto"/>
                <w:highlight w:val="none"/>
              </w:rPr>
            </w:pPr>
            <w:r>
              <w:rPr>
                <w:rFonts w:hint="eastAsia" w:ascii="宋体" w:hAnsi="宋体" w:cs="宋体"/>
                <w:color w:val="auto"/>
                <w:highlight w:val="none"/>
              </w:rPr>
              <w:t>(3)招标代理服务费以电汇方式支付。</w:t>
            </w:r>
          </w:p>
          <w:p>
            <w:pPr>
              <w:ind w:firstLine="480"/>
              <w:jc w:val="left"/>
              <w:rPr>
                <w:rFonts w:hint="eastAsia" w:ascii="宋体" w:hAnsi="宋体" w:cs="宋体"/>
                <w:color w:val="auto"/>
                <w:highlight w:val="none"/>
              </w:rPr>
            </w:pPr>
            <w:r>
              <w:rPr>
                <w:rFonts w:hint="eastAsia" w:ascii="宋体" w:hAnsi="宋体" w:cs="宋体"/>
                <w:color w:val="auto"/>
                <w:highlight w:val="none"/>
              </w:rPr>
              <w:t>(4)服务费缴纳账号：</w:t>
            </w:r>
          </w:p>
          <w:p>
            <w:pPr>
              <w:ind w:firstLine="480"/>
              <w:jc w:val="left"/>
              <w:rPr>
                <w:rFonts w:hint="eastAsia" w:ascii="宋体" w:hAnsi="宋体" w:cs="宋体"/>
                <w:color w:val="auto"/>
                <w:highlight w:val="none"/>
              </w:rPr>
            </w:pPr>
            <w:r>
              <w:rPr>
                <w:rFonts w:hint="eastAsia" w:ascii="宋体" w:hAnsi="宋体" w:cs="宋体"/>
                <w:color w:val="auto"/>
                <w:highlight w:val="none"/>
              </w:rPr>
              <w:t>单位名称：浙江五石工程咨询有限公司萧山分公司</w:t>
            </w:r>
          </w:p>
          <w:p>
            <w:pPr>
              <w:ind w:firstLine="480"/>
              <w:jc w:val="left"/>
              <w:rPr>
                <w:rFonts w:hint="eastAsia" w:ascii="宋体" w:hAnsi="宋体" w:cs="宋体"/>
                <w:color w:val="auto"/>
                <w:highlight w:val="none"/>
              </w:rPr>
            </w:pPr>
            <w:r>
              <w:rPr>
                <w:rFonts w:hint="eastAsia" w:ascii="宋体" w:hAnsi="宋体" w:cs="宋体"/>
                <w:color w:val="auto"/>
                <w:highlight w:val="none"/>
              </w:rPr>
              <w:t>开户银行：浙江民泰商业银行杭州钱江新城支行</w:t>
            </w:r>
          </w:p>
          <w:p>
            <w:pPr>
              <w:ind w:firstLine="480"/>
              <w:rPr>
                <w:rFonts w:ascii="宋体" w:hAnsi="宋体" w:cs="宋体"/>
                <w:color w:val="auto"/>
                <w:highlight w:val="none"/>
              </w:rPr>
            </w:pPr>
            <w:r>
              <w:rPr>
                <w:rFonts w:hint="eastAsia" w:ascii="宋体" w:hAnsi="宋体" w:cs="宋体"/>
                <w:color w:val="auto"/>
                <w:highlight w:val="none"/>
              </w:rPr>
              <w:t>账    号：583777806700015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0" w:firstLineChars="0"/>
              <w:rPr>
                <w:rFonts w:ascii="宋体" w:hAnsi="宋体" w:cs="宋体"/>
                <w:color w:val="auto"/>
                <w:highlight w:val="none"/>
              </w:rPr>
            </w:pPr>
            <w:r>
              <w:rPr>
                <w:rFonts w:hint="eastAsia" w:ascii="宋体" w:hAnsi="宋体"/>
                <w:color w:val="auto"/>
                <w:highlight w:val="none"/>
              </w:rPr>
              <w:t>中标后注意事项</w:t>
            </w:r>
          </w:p>
        </w:tc>
        <w:tc>
          <w:tcPr>
            <w:tcW w:w="6670" w:type="dxa"/>
            <w:vAlign w:val="center"/>
          </w:tcPr>
          <w:p>
            <w:pPr>
              <w:numPr>
                <w:ilvl w:val="0"/>
                <w:numId w:val="13"/>
              </w:numPr>
              <w:tabs>
                <w:tab w:val="left" w:pos="312"/>
              </w:tabs>
              <w:ind w:firstLine="0" w:firstLineChars="0"/>
              <w:rPr>
                <w:rFonts w:ascii="宋体" w:hAnsi="宋体"/>
                <w:color w:val="auto"/>
                <w:highlight w:val="none"/>
              </w:rPr>
            </w:pPr>
            <w:r>
              <w:rPr>
                <w:rFonts w:hint="eastAsia" w:ascii="宋体" w:hAnsi="宋体"/>
                <w:color w:val="auto"/>
                <w:highlight w:val="none"/>
              </w:rPr>
              <w:t>成交人在中标之后领取通知书之前，应向招标代理机构交纳招标代理服务费。</w:t>
            </w:r>
          </w:p>
          <w:p>
            <w:pPr>
              <w:numPr>
                <w:ilvl w:val="0"/>
                <w:numId w:val="13"/>
              </w:numPr>
              <w:tabs>
                <w:tab w:val="left" w:pos="312"/>
              </w:tabs>
              <w:ind w:firstLine="0" w:firstLineChars="0"/>
              <w:rPr>
                <w:rFonts w:ascii="宋体" w:hAnsi="宋体"/>
                <w:color w:val="auto"/>
                <w:highlight w:val="none"/>
              </w:rPr>
            </w:pPr>
            <w:r>
              <w:rPr>
                <w:rFonts w:hint="eastAsia" w:ascii="宋体" w:hAnsi="宋体"/>
                <w:color w:val="auto"/>
                <w:highlight w:val="none"/>
              </w:rPr>
              <w:t>若中标人未在约定时间内支付招标代理服务费，从逾期之日起按日利率千分之一承担违约金。</w:t>
            </w:r>
          </w:p>
          <w:p>
            <w:pPr>
              <w:numPr>
                <w:ilvl w:val="0"/>
                <w:numId w:val="13"/>
              </w:numPr>
              <w:ind w:firstLine="0" w:firstLineChars="0"/>
              <w:rPr>
                <w:rFonts w:ascii="宋体" w:hAnsi="宋体" w:cs="宋体"/>
                <w:color w:val="auto"/>
                <w:highlight w:val="none"/>
              </w:rPr>
            </w:pPr>
            <w:r>
              <w:rPr>
                <w:rFonts w:hint="eastAsia" w:ascii="宋体" w:hAnsi="宋体"/>
                <w:color w:val="auto"/>
                <w:highlight w:val="none"/>
              </w:rPr>
              <w:t>若中标人未按上述规定办理，需承担招标代理机构为实现债权的所有费用（包括但不限于律师费、催讨车旅费、保全担保费等）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46" w:type="dxa"/>
            <w:vAlign w:val="center"/>
          </w:tcPr>
          <w:p>
            <w:pPr>
              <w:numPr>
                <w:ilvl w:val="0"/>
                <w:numId w:val="11"/>
              </w:numPr>
              <w:ind w:firstLineChars="0"/>
              <w:jc w:val="center"/>
              <w:rPr>
                <w:rFonts w:ascii="宋体" w:hAnsi="宋体" w:cs="宋体"/>
                <w:color w:val="auto"/>
                <w:kern w:val="0"/>
                <w:highlight w:val="none"/>
              </w:rPr>
            </w:pPr>
          </w:p>
        </w:tc>
        <w:tc>
          <w:tcPr>
            <w:tcW w:w="1944" w:type="dxa"/>
            <w:vAlign w:val="center"/>
          </w:tcPr>
          <w:p>
            <w:pPr>
              <w:ind w:firstLine="240" w:firstLineChars="100"/>
              <w:jc w:val="center"/>
              <w:rPr>
                <w:rFonts w:ascii="宋体" w:hAnsi="宋体" w:cs="宋体"/>
                <w:color w:val="auto"/>
                <w:highlight w:val="none"/>
              </w:rPr>
            </w:pPr>
            <w:r>
              <w:rPr>
                <w:rFonts w:hint="eastAsia" w:ascii="宋体" w:hAnsi="宋体" w:cs="宋体"/>
                <w:color w:val="auto"/>
                <w:highlight w:val="none"/>
              </w:rPr>
              <w:t>质疑与投诉</w:t>
            </w:r>
          </w:p>
          <w:p>
            <w:pPr>
              <w:ind w:firstLine="0" w:firstLineChars="0"/>
              <w:jc w:val="center"/>
              <w:rPr>
                <w:rFonts w:ascii="宋体" w:hAnsi="宋体" w:cs="宋体"/>
                <w:color w:val="auto"/>
                <w:szCs w:val="32"/>
                <w:highlight w:val="none"/>
              </w:rPr>
            </w:pPr>
          </w:p>
        </w:tc>
        <w:tc>
          <w:tcPr>
            <w:tcW w:w="6670"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1）质疑：根据《政府采购法》第五十二条的规定，投标人认为招标文件、采购过程和中标、成交结果使自己的权益受到损害的，可以在知道或者应知其权益受到损害之日起七个工作日内，以书面形式向招标人、采购代理机构提出质疑（格式详见附件十六）。</w:t>
            </w:r>
          </w:p>
          <w:p>
            <w:pPr>
              <w:ind w:firstLine="0" w:firstLineChars="0"/>
              <w:rPr>
                <w:rFonts w:ascii="宋体" w:hAnsi="宋体" w:cs="宋体"/>
                <w:color w:val="auto"/>
                <w:highlight w:val="none"/>
              </w:rPr>
            </w:pPr>
            <w:r>
              <w:rPr>
                <w:rFonts w:hint="eastAsia" w:ascii="宋体" w:hAnsi="宋体" w:cs="宋体"/>
                <w:color w:val="auto"/>
                <w:highlight w:val="none"/>
              </w:rPr>
              <w:t>（2）质疑起算日期：1）对采购公告信息（含投标人资格条件）提出质疑的，质疑期限自采购公告发布之日起计算。2）对招标文件提出质疑的，质疑期限自投标人获得招标文件之日起计算（发售时间期限截止日之后报名的供应商，质疑起算日期以发售时间期限截止日起计算）。3）对招标过程提出质疑的，为各招标程序环节结束之日。否则，被质疑人可不予接受。4）对采购结果提出质疑的，质疑期限自采购结果公告（包括公示、预公告、结果变更公告等）之日起计算。</w:t>
            </w:r>
          </w:p>
          <w:p>
            <w:pPr>
              <w:ind w:firstLine="0" w:firstLineChars="0"/>
              <w:rPr>
                <w:rFonts w:ascii="宋体" w:hAnsi="宋体" w:cs="宋体"/>
                <w:color w:val="auto"/>
                <w:highlight w:val="none"/>
              </w:rPr>
            </w:pPr>
            <w:r>
              <w:rPr>
                <w:rFonts w:hint="eastAsia" w:ascii="宋体" w:hAnsi="宋体" w:cs="宋体"/>
                <w:color w:val="auto"/>
                <w:highlight w:val="none"/>
              </w:rPr>
              <w:t>（3）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0" w:firstLineChars="0"/>
              <w:rPr>
                <w:rFonts w:ascii="宋体" w:hAnsi="宋体" w:cs="宋体"/>
                <w:color w:val="auto"/>
                <w:szCs w:val="32"/>
                <w:highlight w:val="none"/>
              </w:rPr>
            </w:pPr>
            <w:r>
              <w:rPr>
                <w:rFonts w:hint="eastAsia" w:ascii="宋体" w:hAnsi="宋体" w:cs="宋体"/>
                <w:color w:val="auto"/>
                <w:highlight w:val="none"/>
              </w:rPr>
              <w:t>（4）投诉：根据《政府采购法》第五十五条的规定，质疑投标人对招标人、采购代理机构的答复不满意或者招标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11"/>
              </w:numPr>
              <w:ind w:firstLineChars="0"/>
              <w:jc w:val="center"/>
              <w:rPr>
                <w:rFonts w:ascii="宋体" w:hAnsi="宋体" w:cs="宋体"/>
                <w:color w:val="auto"/>
                <w:kern w:val="0"/>
                <w:szCs w:val="32"/>
                <w:highlight w:val="none"/>
              </w:rPr>
            </w:pPr>
          </w:p>
        </w:tc>
        <w:tc>
          <w:tcPr>
            <w:tcW w:w="1944" w:type="dxa"/>
            <w:vAlign w:val="center"/>
          </w:tcPr>
          <w:p>
            <w:pPr>
              <w:ind w:firstLine="0" w:firstLineChars="0"/>
              <w:jc w:val="center"/>
              <w:rPr>
                <w:color w:val="auto"/>
                <w:highlight w:val="none"/>
              </w:rPr>
            </w:pPr>
            <w:r>
              <w:rPr>
                <w:rFonts w:hint="eastAsia"/>
                <w:color w:val="auto"/>
                <w:highlight w:val="none"/>
                <w:lang w:val="zh-CN"/>
              </w:rPr>
              <w:t>实质性条款</w:t>
            </w:r>
          </w:p>
        </w:tc>
        <w:tc>
          <w:tcPr>
            <w:tcW w:w="6670" w:type="dxa"/>
            <w:vAlign w:val="center"/>
          </w:tcPr>
          <w:p>
            <w:pPr>
              <w:ind w:firstLine="0" w:firstLineChars="0"/>
              <w:rPr>
                <w:rFonts w:ascii="宋体" w:hAnsi="宋体" w:cs="宋体"/>
                <w:color w:val="auto"/>
                <w:spacing w:val="-6"/>
                <w:highlight w:val="none"/>
              </w:rPr>
            </w:pPr>
            <w:r>
              <w:rPr>
                <w:rFonts w:hint="eastAsia"/>
                <w:color w:val="auto"/>
                <w:highlight w:val="none"/>
                <w:lang w:val="zh-CN"/>
              </w:rPr>
              <w:t>带“</w:t>
            </w:r>
            <w:r>
              <w:rPr>
                <w:rFonts w:hint="eastAsia"/>
                <w:color w:val="auto"/>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46" w:type="dxa"/>
            <w:vAlign w:val="center"/>
          </w:tcPr>
          <w:p>
            <w:pPr>
              <w:numPr>
                <w:ilvl w:val="0"/>
                <w:numId w:val="11"/>
              </w:numPr>
              <w:ind w:firstLineChars="0"/>
              <w:jc w:val="center"/>
              <w:rPr>
                <w:rFonts w:ascii="宋体" w:hAnsi="宋体" w:cs="宋体"/>
                <w:color w:val="auto"/>
                <w:szCs w:val="32"/>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highlight w:val="none"/>
              </w:rPr>
            </w:pPr>
            <w:r>
              <w:rPr>
                <w:rFonts w:hint="eastAsia"/>
                <w:color w:val="auto"/>
                <w:highlight w:val="none"/>
              </w:rPr>
              <w:t>解释权</w:t>
            </w:r>
          </w:p>
        </w:tc>
        <w:tc>
          <w:tcPr>
            <w:tcW w:w="6670" w:type="dxa"/>
            <w:tcBorders>
              <w:top w:val="single" w:color="auto" w:sz="4" w:space="0"/>
              <w:left w:val="single" w:color="auto" w:sz="4" w:space="0"/>
              <w:bottom w:val="single" w:color="auto" w:sz="4" w:space="0"/>
              <w:right w:val="single" w:color="auto" w:sz="4" w:space="0"/>
            </w:tcBorders>
            <w:vAlign w:val="center"/>
          </w:tcPr>
          <w:p>
            <w:pPr>
              <w:ind w:firstLine="0" w:firstLineChars="0"/>
              <w:rPr>
                <w:color w:val="auto"/>
                <w:highlight w:val="none"/>
              </w:rPr>
            </w:pPr>
            <w:r>
              <w:rPr>
                <w:rFonts w:hint="eastAsia"/>
                <w:color w:val="auto"/>
                <w:highlight w:val="none"/>
              </w:rPr>
              <w:t>本招标文件解释权属于采购人和采购代理机构。</w:t>
            </w:r>
          </w:p>
        </w:tc>
      </w:tr>
    </w:tbl>
    <w:p>
      <w:pPr>
        <w:pStyle w:val="5"/>
        <w:jc w:val="center"/>
        <w:rPr>
          <w:rFonts w:ascii="宋体" w:hAnsi="宋体" w:cs="宋体"/>
          <w:color w:val="auto"/>
          <w:highlight w:val="none"/>
        </w:rPr>
      </w:pPr>
      <w:bookmarkStart w:id="41" w:name="_Toc246996175"/>
      <w:bookmarkStart w:id="42" w:name="_Toc144974497"/>
      <w:bookmarkStart w:id="43" w:name="_Toc452457414"/>
      <w:bookmarkStart w:id="44" w:name="_Toc247085689"/>
      <w:bookmarkStart w:id="45" w:name="_Toc296602420"/>
      <w:bookmarkStart w:id="46" w:name="_Toc152045529"/>
      <w:bookmarkStart w:id="47" w:name="_Toc179632546"/>
      <w:bookmarkStart w:id="48" w:name="_Toc246996918"/>
      <w:bookmarkStart w:id="49" w:name="_Toc152042305"/>
      <w:r>
        <w:rPr>
          <w:rFonts w:hint="eastAsia" w:ascii="宋体" w:hAnsi="宋体" w:cs="宋体"/>
          <w:color w:val="auto"/>
          <w:highlight w:val="none"/>
        </w:rPr>
        <w:br w:type="page"/>
      </w:r>
      <w:bookmarkEnd w:id="41"/>
      <w:bookmarkEnd w:id="42"/>
      <w:bookmarkEnd w:id="43"/>
      <w:bookmarkEnd w:id="44"/>
      <w:bookmarkEnd w:id="45"/>
      <w:bookmarkEnd w:id="46"/>
      <w:bookmarkEnd w:id="47"/>
      <w:bookmarkEnd w:id="48"/>
      <w:bookmarkEnd w:id="49"/>
      <w:bookmarkStart w:id="50" w:name="_Toc2440"/>
      <w:bookmarkStart w:id="51" w:name="_Toc22147"/>
      <w:bookmarkStart w:id="52" w:name="_Toc152045530"/>
      <w:bookmarkStart w:id="53" w:name="_Toc144974498"/>
      <w:bookmarkStart w:id="54" w:name="_Toc179632547"/>
      <w:bookmarkStart w:id="55" w:name="_Toc247085690"/>
      <w:bookmarkStart w:id="56" w:name="_Toc246996919"/>
      <w:bookmarkStart w:id="57" w:name="_Toc296602421"/>
      <w:bookmarkStart w:id="58" w:name="_Toc152042306"/>
      <w:bookmarkStart w:id="59" w:name="_Toc246996176"/>
      <w:r>
        <w:rPr>
          <w:rFonts w:hint="eastAsia" w:ascii="宋体" w:hAnsi="宋体" w:cs="宋体"/>
          <w:color w:val="auto"/>
          <w:highlight w:val="none"/>
        </w:rPr>
        <w:t>第一节 总 则</w:t>
      </w:r>
      <w:bookmarkEnd w:id="50"/>
      <w:bookmarkEnd w:id="51"/>
    </w:p>
    <w:p>
      <w:pPr>
        <w:pStyle w:val="6"/>
        <w:rPr>
          <w:rFonts w:ascii="宋体" w:hAnsi="宋体" w:cs="宋体"/>
          <w:color w:val="auto"/>
          <w:highlight w:val="none"/>
        </w:rPr>
      </w:pPr>
      <w:r>
        <w:rPr>
          <w:rFonts w:hint="eastAsia" w:ascii="宋体" w:hAnsi="宋体" w:cs="宋体"/>
          <w:color w:val="auto"/>
          <w:highlight w:val="none"/>
        </w:rPr>
        <w:t>一、适用范围</w:t>
      </w:r>
    </w:p>
    <w:p>
      <w:pPr>
        <w:ind w:firstLine="480"/>
        <w:rPr>
          <w:rFonts w:ascii="宋体" w:hAnsi="宋体" w:cs="宋体"/>
          <w:color w:val="auto"/>
          <w:highlight w:val="none"/>
        </w:rPr>
      </w:pPr>
      <w:r>
        <w:rPr>
          <w:rFonts w:hint="eastAsia" w:ascii="宋体" w:hAnsi="宋体" w:cs="宋体"/>
          <w:color w:val="auto"/>
          <w:highlight w:val="none"/>
        </w:rPr>
        <w:t>本招标文件适用于该项目的招标、投标、开标、资格审查及信用信息查询、评标、定标、合同、验收等行为（法律、法规另有规定的，从其规定）。</w:t>
      </w:r>
    </w:p>
    <w:p>
      <w:pPr>
        <w:pStyle w:val="6"/>
        <w:rPr>
          <w:rFonts w:ascii="宋体" w:hAnsi="宋体" w:cs="宋体"/>
          <w:color w:val="auto"/>
          <w:highlight w:val="none"/>
        </w:rPr>
      </w:pPr>
      <w:r>
        <w:rPr>
          <w:rFonts w:hint="eastAsia" w:ascii="宋体" w:hAnsi="宋体" w:cs="宋体"/>
          <w:color w:val="auto"/>
          <w:highlight w:val="none"/>
        </w:rPr>
        <w:t>二、定义</w:t>
      </w:r>
    </w:p>
    <w:p>
      <w:pPr>
        <w:ind w:firstLine="480"/>
        <w:rPr>
          <w:rFonts w:ascii="宋体" w:hAnsi="宋体" w:cs="宋体"/>
          <w:color w:val="auto"/>
          <w:highlight w:val="none"/>
        </w:rPr>
      </w:pPr>
      <w:r>
        <w:rPr>
          <w:rFonts w:hint="eastAsia" w:ascii="宋体" w:hAnsi="宋体" w:cs="宋体"/>
          <w:color w:val="auto"/>
          <w:highlight w:val="none"/>
        </w:rPr>
        <w:t>1.“采购人”系指</w:t>
      </w:r>
      <w:r>
        <w:rPr>
          <w:rFonts w:hint="eastAsia" w:ascii="宋体" w:hAnsi="宋体" w:cs="宋体"/>
          <w:color w:val="auto"/>
          <w:highlight w:val="none"/>
          <w:lang w:eastAsia="zh-CN"/>
        </w:rPr>
        <w:t>浙江机电职业技术学院</w:t>
      </w:r>
      <w:r>
        <w:rPr>
          <w:rFonts w:hint="eastAsia" w:ascii="宋体" w:hAnsi="宋体" w:cs="宋体"/>
          <w:color w:val="auto"/>
          <w:highlight w:val="none"/>
        </w:rPr>
        <w:t>。</w:t>
      </w:r>
    </w:p>
    <w:p>
      <w:pPr>
        <w:ind w:firstLine="480"/>
        <w:rPr>
          <w:rFonts w:ascii="宋体" w:hAnsi="宋体" w:cs="宋体"/>
          <w:color w:val="auto"/>
          <w:highlight w:val="none"/>
        </w:rPr>
      </w:pPr>
      <w:r>
        <w:rPr>
          <w:rFonts w:hint="eastAsia" w:ascii="宋体" w:hAnsi="宋体" w:cs="宋体"/>
          <w:color w:val="auto"/>
          <w:highlight w:val="none"/>
        </w:rPr>
        <w:t>2.“采购代理机构”系组织本次招标的浙江五石工程咨询有限公司。</w:t>
      </w:r>
    </w:p>
    <w:p>
      <w:pPr>
        <w:ind w:firstLine="480"/>
        <w:rPr>
          <w:rFonts w:ascii="宋体" w:hAnsi="宋体" w:cs="宋体"/>
          <w:color w:val="auto"/>
          <w:highlight w:val="none"/>
        </w:rPr>
      </w:pPr>
      <w:r>
        <w:rPr>
          <w:rFonts w:hint="eastAsia" w:ascii="宋体" w:hAnsi="宋体" w:cs="宋体"/>
          <w:color w:val="auto"/>
          <w:highlight w:val="none"/>
        </w:rPr>
        <w:t>3.“投标人”和“投标人”系指参加本次招标活动符合资格条件的供应商。</w:t>
      </w:r>
    </w:p>
    <w:p>
      <w:pPr>
        <w:ind w:firstLine="480"/>
        <w:rPr>
          <w:rFonts w:ascii="宋体" w:hAnsi="宋体" w:cs="宋体"/>
          <w:color w:val="auto"/>
          <w:highlight w:val="none"/>
        </w:rPr>
      </w:pPr>
      <w:r>
        <w:rPr>
          <w:rFonts w:hint="eastAsia" w:ascii="宋体" w:hAnsi="宋体" w:cs="宋体"/>
          <w:color w:val="auto"/>
          <w:highlight w:val="none"/>
        </w:rPr>
        <w:t>4.“全权代表”系指参加本次招标活动的授权代表。</w:t>
      </w:r>
    </w:p>
    <w:p>
      <w:pPr>
        <w:ind w:firstLine="480"/>
        <w:rPr>
          <w:rFonts w:ascii="宋体" w:hAnsi="宋体" w:cs="宋体"/>
          <w:color w:val="auto"/>
          <w:highlight w:val="none"/>
        </w:rPr>
      </w:pPr>
      <w:r>
        <w:rPr>
          <w:rFonts w:hint="eastAsia" w:ascii="宋体" w:hAnsi="宋体" w:cs="宋体"/>
          <w:color w:val="auto"/>
          <w:highlight w:val="none"/>
        </w:rPr>
        <w:t>5.“</w:t>
      </w:r>
      <w:r>
        <w:rPr>
          <w:rFonts w:hint="eastAsia" w:ascii="宋体" w:hAnsi="宋体" w:cs="宋体"/>
          <w:bCs/>
          <w:color w:val="auto"/>
          <w:kern w:val="0"/>
          <w:szCs w:val="21"/>
          <w:highlight w:val="none"/>
        </w:rPr>
        <w:t>★</w:t>
      </w:r>
      <w:r>
        <w:rPr>
          <w:rFonts w:hint="eastAsia" w:ascii="宋体" w:hAnsi="宋体" w:cs="宋体"/>
          <w:color w:val="auto"/>
          <w:highlight w:val="none"/>
        </w:rPr>
        <w:t>”系指实质性要求条款，投标人应做出实质性响应；“▲”系指重要条款。</w:t>
      </w:r>
    </w:p>
    <w:p>
      <w:pPr>
        <w:ind w:firstLine="456"/>
        <w:jc w:val="left"/>
        <w:rPr>
          <w:rFonts w:ascii="宋体" w:hAnsi="宋体"/>
          <w:color w:val="auto"/>
          <w:spacing w:val="-6"/>
          <w:highlight w:val="none"/>
        </w:rPr>
      </w:pPr>
      <w:r>
        <w:rPr>
          <w:rFonts w:hint="eastAsia" w:ascii="宋体" w:hAnsi="宋体"/>
          <w:color w:val="auto"/>
          <w:spacing w:val="-6"/>
          <w:highlight w:val="none"/>
        </w:rPr>
        <w:t>6.联合体：</w:t>
      </w:r>
    </w:p>
    <w:p>
      <w:pPr>
        <w:ind w:firstLine="456"/>
        <w:jc w:val="left"/>
        <w:rPr>
          <w:rFonts w:ascii="宋体" w:hAnsi="宋体"/>
          <w:color w:val="auto"/>
          <w:spacing w:val="-6"/>
          <w:highlight w:val="none"/>
        </w:rPr>
      </w:pPr>
      <w:r>
        <w:rPr>
          <w:rFonts w:hint="eastAsia" w:ascii="宋体" w:hAnsi="宋体"/>
          <w:color w:val="auto"/>
          <w:spacing w:val="-6"/>
          <w:highlight w:val="none"/>
        </w:rPr>
        <w:t>联合体投标的，应遵守以下规定：</w:t>
      </w:r>
    </w:p>
    <w:p>
      <w:pPr>
        <w:ind w:firstLine="456"/>
        <w:jc w:val="left"/>
        <w:rPr>
          <w:rFonts w:ascii="宋体" w:hAnsi="宋体"/>
          <w:color w:val="auto"/>
          <w:spacing w:val="-6"/>
          <w:highlight w:val="none"/>
        </w:rPr>
      </w:pPr>
      <w:r>
        <w:rPr>
          <w:rFonts w:hint="eastAsia" w:ascii="宋体" w:hAnsi="宋体"/>
          <w:color w:val="auto"/>
          <w:spacing w:val="-6"/>
          <w:highlight w:val="none"/>
        </w:rPr>
        <w:t>1）两个以上供应商可以组成一个联合体，以一个供应商的身份共同参加政府采购；</w:t>
      </w:r>
    </w:p>
    <w:p>
      <w:pPr>
        <w:ind w:firstLine="456"/>
        <w:jc w:val="left"/>
        <w:rPr>
          <w:rFonts w:ascii="宋体" w:hAnsi="宋体"/>
          <w:color w:val="auto"/>
          <w:spacing w:val="-6"/>
          <w:highlight w:val="none"/>
        </w:rPr>
      </w:pPr>
      <w:r>
        <w:rPr>
          <w:rFonts w:hint="eastAsia" w:ascii="宋体" w:hAnsi="宋体"/>
          <w:color w:val="auto"/>
          <w:spacing w:val="-6"/>
          <w:highlight w:val="none"/>
        </w:rPr>
        <w:t>2）组成联合体参加本项目的，须在购买招标文件时做出相关声明，否则不予接受。</w:t>
      </w:r>
    </w:p>
    <w:p>
      <w:pPr>
        <w:ind w:firstLine="456"/>
        <w:jc w:val="left"/>
        <w:rPr>
          <w:rFonts w:ascii="宋体" w:hAnsi="宋体"/>
          <w:color w:val="auto"/>
          <w:spacing w:val="-6"/>
          <w:highlight w:val="none"/>
        </w:rPr>
      </w:pPr>
      <w:r>
        <w:rPr>
          <w:rFonts w:hint="eastAsia" w:ascii="宋体" w:hAnsi="宋体"/>
          <w:color w:val="auto"/>
          <w:spacing w:val="-6"/>
          <w:highlight w:val="none"/>
        </w:rPr>
        <w:t>3）以联合体形式参加本项目的，联合体的各成员均应当具备《中华人民共和国政府采购法》第二十二条规定的条件；联合体各方中至少应当有一方符合采购人规定的特定条件，联合体中有同类资质的供应商按照联合体分工承担相同工作的，按照资质等级较低的供应商确定资质等级；</w:t>
      </w:r>
    </w:p>
    <w:p>
      <w:pPr>
        <w:ind w:firstLine="456"/>
        <w:jc w:val="left"/>
        <w:rPr>
          <w:rFonts w:ascii="宋体" w:hAnsi="宋体"/>
          <w:color w:val="auto"/>
          <w:spacing w:val="-6"/>
          <w:highlight w:val="none"/>
        </w:rPr>
      </w:pPr>
      <w:r>
        <w:rPr>
          <w:rFonts w:hint="eastAsia" w:ascii="宋体" w:hAnsi="宋体"/>
          <w:color w:val="auto"/>
          <w:spacing w:val="-6"/>
          <w:highlight w:val="none"/>
        </w:rPr>
        <w:t>4）联合体各方之间应当签订联合协议，明确约定联合体各方承担的工作和相应的责任，在联合协议中指定本项目主办人，并将联合协议作为投标文件组成的一部分；本项目的主体、关键性工作须由主办人完成，并在联合协议中进行说明；</w:t>
      </w:r>
    </w:p>
    <w:p>
      <w:pPr>
        <w:ind w:firstLine="456"/>
        <w:jc w:val="left"/>
        <w:rPr>
          <w:rFonts w:ascii="宋体" w:hAnsi="宋体"/>
          <w:color w:val="auto"/>
          <w:spacing w:val="-6"/>
          <w:highlight w:val="none"/>
        </w:rPr>
      </w:pPr>
      <w:r>
        <w:rPr>
          <w:rFonts w:hint="eastAsia" w:ascii="宋体" w:hAnsi="宋体"/>
          <w:color w:val="auto"/>
          <w:spacing w:val="-6"/>
          <w:highlight w:val="none"/>
        </w:rPr>
        <w:t>5）联合体各方签订联合协议后，不得再以自己名义单独在同一项目中参加投标，也不得组成新的联合体参加同一项目投标；</w:t>
      </w:r>
    </w:p>
    <w:p>
      <w:pPr>
        <w:ind w:firstLine="456"/>
        <w:jc w:val="left"/>
        <w:rPr>
          <w:rFonts w:ascii="宋体" w:hAnsi="宋体"/>
          <w:color w:val="auto"/>
          <w:spacing w:val="-6"/>
          <w:highlight w:val="none"/>
        </w:rPr>
      </w:pPr>
      <w:r>
        <w:rPr>
          <w:rFonts w:hint="eastAsia" w:ascii="宋体" w:hAnsi="宋体"/>
          <w:color w:val="auto"/>
          <w:spacing w:val="-6"/>
          <w:highlight w:val="none"/>
        </w:rPr>
        <w:t>6）联合体各方应当共同与采购人签订采购合同，就采购合同约定的事项对采购人承担连带责任；</w:t>
      </w:r>
    </w:p>
    <w:p>
      <w:pPr>
        <w:ind w:firstLine="456"/>
        <w:jc w:val="left"/>
        <w:rPr>
          <w:rFonts w:ascii="宋体" w:hAnsi="宋体"/>
          <w:color w:val="auto"/>
          <w:spacing w:val="-6"/>
          <w:highlight w:val="none"/>
        </w:rPr>
      </w:pPr>
      <w:r>
        <w:rPr>
          <w:rFonts w:hint="eastAsia" w:ascii="宋体" w:hAnsi="宋体"/>
          <w:color w:val="auto"/>
          <w:spacing w:val="-6"/>
          <w:highlight w:val="none"/>
        </w:rPr>
        <w:t>7）投标文件须由主办人盖章及其代表签署。</w:t>
      </w:r>
    </w:p>
    <w:p>
      <w:pPr>
        <w:ind w:firstLine="456"/>
        <w:jc w:val="left"/>
        <w:rPr>
          <w:color w:val="auto"/>
          <w:highlight w:val="none"/>
        </w:rPr>
      </w:pPr>
      <w:r>
        <w:rPr>
          <w:rFonts w:hint="eastAsia" w:ascii="宋体" w:hAnsi="宋体"/>
          <w:color w:val="auto"/>
          <w:spacing w:val="-6"/>
          <w:highlight w:val="none"/>
        </w:rPr>
        <w:t>8）联合体投标，投标文件中供应商名称应注明“成员单位名称1和成员单位名称2的联合体”。</w:t>
      </w:r>
    </w:p>
    <w:p>
      <w:pPr>
        <w:pStyle w:val="6"/>
        <w:rPr>
          <w:rFonts w:ascii="宋体" w:hAnsi="宋体" w:cs="宋体"/>
          <w:color w:val="auto"/>
          <w:highlight w:val="none"/>
        </w:rPr>
      </w:pPr>
      <w:r>
        <w:rPr>
          <w:rFonts w:hint="eastAsia" w:ascii="宋体" w:hAnsi="宋体" w:cs="宋体"/>
          <w:color w:val="auto"/>
          <w:highlight w:val="none"/>
        </w:rPr>
        <w:t>三、合格的投标人</w:t>
      </w:r>
    </w:p>
    <w:p>
      <w:pPr>
        <w:ind w:firstLine="480"/>
        <w:rPr>
          <w:rFonts w:ascii="宋体" w:hAnsi="宋体" w:cs="宋体"/>
          <w:color w:val="auto"/>
          <w:szCs w:val="32"/>
          <w:highlight w:val="none"/>
        </w:rPr>
      </w:pPr>
      <w:r>
        <w:rPr>
          <w:rFonts w:hint="eastAsia" w:ascii="宋体" w:hAnsi="宋体" w:cs="宋体"/>
          <w:color w:val="auto"/>
          <w:szCs w:val="32"/>
          <w:highlight w:val="none"/>
        </w:rPr>
        <w:t>详见招标公告“投标人资格要求”。</w:t>
      </w:r>
    </w:p>
    <w:p>
      <w:pPr>
        <w:pStyle w:val="6"/>
        <w:rPr>
          <w:rFonts w:ascii="宋体" w:hAnsi="宋体" w:cs="宋体"/>
          <w:color w:val="auto"/>
          <w:highlight w:val="none"/>
        </w:rPr>
      </w:pPr>
      <w:r>
        <w:rPr>
          <w:rFonts w:hint="eastAsia" w:ascii="宋体" w:hAnsi="宋体" w:cs="宋体"/>
          <w:color w:val="auto"/>
          <w:highlight w:val="none"/>
        </w:rPr>
        <w:t>四、投标费用</w:t>
      </w:r>
    </w:p>
    <w:p>
      <w:pPr>
        <w:ind w:firstLine="480"/>
        <w:rPr>
          <w:rFonts w:ascii="宋体" w:hAnsi="宋体" w:cs="宋体"/>
          <w:color w:val="auto"/>
          <w:highlight w:val="none"/>
        </w:rPr>
      </w:pPr>
      <w:r>
        <w:rPr>
          <w:rFonts w:hint="eastAsia" w:ascii="宋体" w:hAnsi="宋体" w:cs="宋体"/>
          <w:color w:val="auto"/>
          <w:highlight w:val="none"/>
        </w:rPr>
        <w:t>1.无论投标结果如何，投标人自行承担所有与参加投标有关的全部费用。</w:t>
      </w:r>
    </w:p>
    <w:p>
      <w:pPr>
        <w:ind w:firstLine="480"/>
        <w:rPr>
          <w:rFonts w:ascii="宋体" w:hAnsi="宋体" w:cs="宋体"/>
          <w:color w:val="auto"/>
          <w:highlight w:val="none"/>
        </w:rPr>
      </w:pPr>
      <w:r>
        <w:rPr>
          <w:rFonts w:hint="eastAsia" w:ascii="宋体" w:hAnsi="宋体" w:cs="宋体"/>
          <w:color w:val="auto"/>
          <w:highlight w:val="none"/>
        </w:rPr>
        <w:t>2.中标人在领取中标通知书前，应向采购代理机构交纳招标代理服务费，收费标准见“第一章投标人须知前附表-11”。</w:t>
      </w:r>
    </w:p>
    <w:p>
      <w:pPr>
        <w:pStyle w:val="6"/>
        <w:rPr>
          <w:rFonts w:ascii="宋体" w:hAnsi="宋体" w:cs="宋体"/>
          <w:color w:val="auto"/>
          <w:highlight w:val="none"/>
        </w:rPr>
      </w:pPr>
      <w:r>
        <w:rPr>
          <w:rFonts w:hint="eastAsia" w:ascii="宋体" w:hAnsi="宋体" w:cs="宋体"/>
          <w:color w:val="auto"/>
          <w:highlight w:val="none"/>
        </w:rPr>
        <w:t>五、采购项目需要落实的政府采购政策</w:t>
      </w:r>
    </w:p>
    <w:p>
      <w:pPr>
        <w:ind w:firstLine="480"/>
        <w:rPr>
          <w:rFonts w:ascii="宋体" w:hAnsi="宋体" w:cs="宋体"/>
          <w:color w:val="auto"/>
          <w:highlight w:val="none"/>
        </w:rPr>
      </w:pPr>
      <w:r>
        <w:rPr>
          <w:rFonts w:hint="eastAsia" w:ascii="宋体" w:hAnsi="宋体" w:cs="宋体"/>
          <w:color w:val="auto"/>
          <w:highlight w:val="none"/>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Cs/>
          <w:color w:val="auto"/>
          <w:highlight w:val="none"/>
        </w:rPr>
        <w:t>小型、微型</w:t>
      </w:r>
      <w:r>
        <w:rPr>
          <w:rFonts w:hint="eastAsia" w:ascii="宋体" w:hAnsi="宋体" w:cs="宋体"/>
          <w:color w:val="auto"/>
          <w:highlight w:val="none"/>
        </w:rPr>
        <w:t>企业价格扣除。</w:t>
      </w:r>
    </w:p>
    <w:p>
      <w:pPr>
        <w:ind w:firstLine="480"/>
        <w:rPr>
          <w:rFonts w:ascii="宋体" w:hAnsi="宋体" w:cs="宋体"/>
          <w:bCs/>
          <w:color w:val="auto"/>
          <w:highlight w:val="none"/>
        </w:rPr>
      </w:pPr>
      <w:r>
        <w:rPr>
          <w:rFonts w:hint="eastAsia" w:ascii="宋体" w:hAnsi="宋体" w:cs="宋体"/>
          <w:color w:val="auto"/>
          <w:highlight w:val="none"/>
        </w:rPr>
        <w:t>（1）</w:t>
      </w:r>
      <w:r>
        <w:rPr>
          <w:rFonts w:hint="eastAsia" w:ascii="宋体" w:hAnsi="宋体" w:cs="宋体"/>
          <w:bCs/>
          <w:color w:val="auto"/>
          <w:highlight w:val="none"/>
        </w:rPr>
        <w:t>小型、微型企业应当同时符合以下条件：</w:t>
      </w:r>
    </w:p>
    <w:p>
      <w:pPr>
        <w:ind w:firstLine="720" w:firstLineChars="300"/>
        <w:rPr>
          <w:rFonts w:ascii="宋体" w:hAnsi="宋体" w:cs="宋体"/>
          <w:bCs/>
          <w:color w:val="auto"/>
          <w:highlight w:val="none"/>
        </w:rPr>
      </w:pPr>
      <w:r>
        <w:rPr>
          <w:rFonts w:hint="eastAsia" w:ascii="宋体" w:hAnsi="宋体" w:cs="宋体"/>
          <w:bCs/>
          <w:color w:val="auto"/>
          <w:highlight w:val="none"/>
        </w:rPr>
        <w:t>1）符合中小企业划分标准；</w:t>
      </w:r>
    </w:p>
    <w:p>
      <w:pPr>
        <w:ind w:firstLine="720" w:firstLineChars="300"/>
        <w:rPr>
          <w:rFonts w:ascii="宋体" w:hAnsi="宋体" w:cs="宋体"/>
          <w:bCs/>
          <w:color w:val="auto"/>
          <w:highlight w:val="none"/>
        </w:rPr>
      </w:pPr>
      <w:r>
        <w:rPr>
          <w:rFonts w:hint="eastAsia" w:ascii="宋体" w:hAnsi="宋体" w:cs="宋体"/>
          <w:bCs/>
          <w:color w:val="auto"/>
          <w:highlight w:val="none"/>
        </w:rPr>
        <w:t>2）</w:t>
      </w:r>
      <w:r>
        <w:rPr>
          <w:rFonts w:hint="eastAsia" w:ascii="宋体" w:hAnsi="宋体" w:cs="宋体"/>
          <w:b/>
          <w:bCs/>
          <w:color w:val="auto"/>
          <w:highlight w:val="none"/>
        </w:rPr>
        <w:t>提供本企业制造的货物、承担的工程或者服务，或者提供其他小型、微型企业制造的货物。本项所称货物不包括使用大型企业注册商标的货物。小型、微型企业提供中型企业制造的货物的，视同为中型企业。</w:t>
      </w:r>
    </w:p>
    <w:p>
      <w:pPr>
        <w:ind w:firstLine="480"/>
        <w:rPr>
          <w:rFonts w:ascii="宋体" w:hAnsi="宋体" w:cs="宋体"/>
          <w:color w:val="auto"/>
          <w:highlight w:val="none"/>
        </w:rPr>
      </w:pPr>
      <w:r>
        <w:rPr>
          <w:rFonts w:hint="eastAsia" w:ascii="宋体" w:hAnsi="宋体" w:cs="宋体"/>
          <w:color w:val="auto"/>
          <w:highlight w:val="none"/>
        </w:rPr>
        <w:t>（2）小型、微型企业应按照招标文件格式要求提供《中小企业声明函》。</w:t>
      </w:r>
    </w:p>
    <w:p>
      <w:pPr>
        <w:ind w:firstLine="480"/>
        <w:rPr>
          <w:rFonts w:ascii="宋体" w:hAnsi="宋体" w:cs="宋体"/>
          <w:color w:val="auto"/>
          <w:highlight w:val="none"/>
        </w:rPr>
      </w:pPr>
      <w:r>
        <w:rPr>
          <w:rFonts w:hint="eastAsia" w:ascii="宋体" w:hAnsi="宋体" w:cs="宋体"/>
          <w:color w:val="auto"/>
          <w:highlight w:val="none"/>
        </w:rPr>
        <w:t>（3）对于非专门面向此类企业的项目，对小型和微型企业产品的投标价格给予6 %的扣除，用扣除后的价格参与评审。</w:t>
      </w:r>
    </w:p>
    <w:p>
      <w:pPr>
        <w:ind w:firstLine="480"/>
        <w:rPr>
          <w:rFonts w:ascii="宋体" w:hAnsi="宋体" w:cs="宋体"/>
          <w:color w:val="auto"/>
          <w:highlight w:val="none"/>
        </w:rPr>
      </w:pPr>
      <w:r>
        <w:rPr>
          <w:rFonts w:hint="eastAsia" w:ascii="宋体" w:hAnsi="宋体" w:cs="宋体"/>
          <w:color w:val="auto"/>
          <w:highlight w:val="none"/>
        </w:rPr>
        <w:t>（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ind w:firstLine="480"/>
        <w:rPr>
          <w:rFonts w:ascii="宋体" w:hAnsi="宋体" w:cs="宋体"/>
          <w:color w:val="auto"/>
          <w:highlight w:val="none"/>
        </w:rPr>
      </w:pPr>
      <w:r>
        <w:rPr>
          <w:rFonts w:hint="eastAsia" w:ascii="宋体" w:hAnsi="宋体" w:cs="宋体"/>
          <w:color w:val="auto"/>
          <w:highlight w:val="none"/>
        </w:rPr>
        <w:t>联合体各方均为小型、微型企业的，联合体视同为小型、微型企业。</w:t>
      </w:r>
    </w:p>
    <w:p>
      <w:pPr>
        <w:ind w:firstLine="480"/>
        <w:rPr>
          <w:rFonts w:ascii="宋体" w:hAnsi="宋体" w:cs="宋体"/>
          <w:color w:val="auto"/>
          <w:highlight w:val="none"/>
        </w:rPr>
      </w:pPr>
      <w:r>
        <w:rPr>
          <w:rFonts w:hint="eastAsia" w:ascii="宋体" w:hAnsi="宋体" w:cs="宋体"/>
          <w:color w:val="auto"/>
          <w:highlight w:val="none"/>
        </w:rPr>
        <w:t>（5）符合《关于促进残疾人就业政府采购政策的通知》（财库〔2017〕141号）规定的条件并提供《残疾人福利性单位声明函》的残疾人福利性单位视同小型、微型企业；</w:t>
      </w:r>
    </w:p>
    <w:p>
      <w:pPr>
        <w:ind w:firstLine="480"/>
        <w:rPr>
          <w:rFonts w:ascii="宋体" w:hAnsi="宋体" w:cs="宋体"/>
          <w:color w:val="auto"/>
          <w:highlight w:val="none"/>
        </w:rPr>
      </w:pPr>
      <w:r>
        <w:rPr>
          <w:rFonts w:hint="eastAsia" w:ascii="宋体" w:hAnsi="宋体" w:cs="宋体"/>
          <w:color w:val="auto"/>
          <w:highlight w:val="none"/>
        </w:rPr>
        <w:t>（6）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6"/>
        <w:rPr>
          <w:rFonts w:ascii="宋体" w:hAnsi="宋体" w:cs="宋体"/>
          <w:color w:val="auto"/>
          <w:highlight w:val="none"/>
        </w:rPr>
      </w:pPr>
      <w:r>
        <w:rPr>
          <w:rFonts w:hint="eastAsia" w:ascii="宋体" w:hAnsi="宋体" w:cs="宋体"/>
          <w:color w:val="auto"/>
          <w:highlight w:val="none"/>
        </w:rPr>
        <w:t>六、询问、质疑、投诉</w:t>
      </w:r>
    </w:p>
    <w:p>
      <w:pPr>
        <w:autoSpaceDE w:val="0"/>
        <w:autoSpaceDN w:val="0"/>
        <w:ind w:firstLine="480"/>
        <w:jc w:val="left"/>
        <w:rPr>
          <w:rFonts w:ascii="宋体" w:hAnsi="宋体" w:cs="宋体"/>
          <w:color w:val="auto"/>
          <w:highlight w:val="none"/>
          <w:lang w:val="zh-CN"/>
        </w:rPr>
      </w:pPr>
      <w:r>
        <w:rPr>
          <w:rFonts w:hint="eastAsia" w:ascii="宋体" w:hAnsi="宋体" w:cs="宋体"/>
          <w:color w:val="auto"/>
          <w:highlight w:val="none"/>
        </w:rPr>
        <w:t>1.</w:t>
      </w:r>
      <w:r>
        <w:rPr>
          <w:rFonts w:hint="eastAsia" w:ascii="宋体" w:hAnsi="宋体" w:cs="宋体"/>
          <w:color w:val="auto"/>
          <w:highlight w:val="none"/>
          <w:lang w:val="zh-CN"/>
        </w:rPr>
        <w:t>供应商询问</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pStyle w:val="20"/>
        <w:spacing w:line="360" w:lineRule="auto"/>
        <w:ind w:firstLine="480" w:firstLineChars="200"/>
        <w:rPr>
          <w:rFonts w:hAnsi="宋体" w:cs="宋体"/>
          <w:color w:val="auto"/>
          <w:sz w:val="24"/>
          <w:szCs w:val="24"/>
          <w:highlight w:val="none"/>
          <w:lang w:val="zh-CN"/>
        </w:rPr>
      </w:pPr>
      <w:r>
        <w:rPr>
          <w:rFonts w:hint="eastAsia" w:hAnsi="宋体" w:cs="宋体"/>
          <w:color w:val="auto"/>
          <w:sz w:val="24"/>
          <w:szCs w:val="24"/>
          <w:highlight w:val="none"/>
        </w:rPr>
        <w:t>2.</w:t>
      </w:r>
      <w:r>
        <w:rPr>
          <w:rFonts w:hint="eastAsia" w:hAnsi="宋体" w:cs="宋体"/>
          <w:color w:val="auto"/>
          <w:sz w:val="24"/>
          <w:szCs w:val="24"/>
          <w:highlight w:val="none"/>
          <w:lang w:val="zh-CN"/>
        </w:rPr>
        <w:t>供应商质疑（</w:t>
      </w:r>
      <w:r>
        <w:rPr>
          <w:rFonts w:hint="eastAsia" w:hAnsi="宋体" w:cs="宋体"/>
          <w:color w:val="auto"/>
          <w:sz w:val="24"/>
          <w:szCs w:val="24"/>
          <w:highlight w:val="none"/>
        </w:rPr>
        <w:t>根据财政部第94号《政府采购质疑和投诉办法》规定）</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lang w:val="zh-CN"/>
        </w:rPr>
        <w:t>（</w:t>
      </w:r>
      <w:r>
        <w:rPr>
          <w:rFonts w:hint="eastAsia" w:hAnsi="宋体" w:cs="宋体"/>
          <w:color w:val="auto"/>
          <w:sz w:val="24"/>
          <w:szCs w:val="24"/>
          <w:highlight w:val="none"/>
        </w:rPr>
        <w:t>1</w:t>
      </w:r>
      <w:r>
        <w:rPr>
          <w:rFonts w:hint="eastAsia" w:hAnsi="宋体" w:cs="宋体"/>
          <w:color w:val="auto"/>
          <w:sz w:val="24"/>
          <w:szCs w:val="24"/>
          <w:highlight w:val="none"/>
          <w:lang w:val="zh-CN"/>
        </w:rPr>
        <w:t>）</w:t>
      </w:r>
      <w:r>
        <w:rPr>
          <w:rFonts w:hint="eastAsia" w:hAnsi="宋体" w:cs="宋体"/>
          <w:color w:val="auto"/>
          <w:sz w:val="24"/>
          <w:szCs w:val="24"/>
          <w:highlight w:val="none"/>
        </w:rPr>
        <w:t>提出质疑的供应商应当是参与所质疑项目采购活动的供应商。潜在供应商已依法获取其可质疑的采购文件的，可以对该文件提出质疑。</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lang w:val="zh-CN"/>
        </w:rPr>
        <w:t>（</w:t>
      </w:r>
      <w:r>
        <w:rPr>
          <w:rFonts w:hint="eastAsia" w:hAnsi="宋体" w:cs="宋体"/>
          <w:color w:val="auto"/>
          <w:sz w:val="24"/>
          <w:szCs w:val="24"/>
          <w:highlight w:val="none"/>
        </w:rPr>
        <w:t>2</w:t>
      </w:r>
      <w:r>
        <w:rPr>
          <w:rFonts w:hint="eastAsia" w:hAnsi="宋体" w:cs="宋体"/>
          <w:color w:val="auto"/>
          <w:sz w:val="24"/>
          <w:szCs w:val="24"/>
          <w:highlight w:val="none"/>
          <w:lang w:val="zh-CN"/>
        </w:rPr>
        <w:t>）</w:t>
      </w:r>
      <w:r>
        <w:rPr>
          <w:rFonts w:hint="eastAsia" w:hAnsi="宋体" w:cs="宋体"/>
          <w:color w:val="auto"/>
          <w:sz w:val="24"/>
          <w:szCs w:val="24"/>
          <w:highlight w:val="none"/>
        </w:rPr>
        <w:t>供应商认为招标文件、采购过程和成交结果使自己的权益受到损害的，可以在知道或者应知其权益受到损害之日起七个工作日内，以书面形式（法定质疑期内）一次性向采购人、采购代理机构提出同一采购环节的质疑，否则，采购人或者采购代理机构不予受理。其质疑起算日期如下：</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1）对招标公告信息（含投标人资格条件）提出质疑的，质疑期限自采购公告发布之日起计算。</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 xml:space="preserve"> 2）对招标文件提出质疑的，质疑期限自投标人获得招标文件之日起计算（发售时间期限截止日之后报名的投标人，质疑起算日期以发售时间期限截止日起计算）。</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3）对招标过程提出质疑的，为各招标程序环节结束之日。否则，被质疑人可不予接受。</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4）对采购结果提出质疑的，质疑期限自采购结果公告（包括公示、预公告、结果变更公告等）之日起计算。</w:t>
      </w:r>
    </w:p>
    <w:p>
      <w:pPr>
        <w:pStyle w:val="20"/>
        <w:spacing w:line="360" w:lineRule="auto"/>
        <w:ind w:firstLine="240" w:firstLineChars="100"/>
        <w:rPr>
          <w:rFonts w:hAnsi="宋体" w:cs="宋体"/>
          <w:color w:val="auto"/>
          <w:sz w:val="24"/>
          <w:szCs w:val="24"/>
          <w:highlight w:val="none"/>
        </w:rPr>
      </w:pPr>
      <w:r>
        <w:rPr>
          <w:rFonts w:hint="eastAsia" w:hAnsi="宋体" w:cs="宋体"/>
          <w:color w:val="auto"/>
          <w:sz w:val="24"/>
          <w:szCs w:val="24"/>
          <w:highlight w:val="none"/>
          <w:lang w:val="zh-CN"/>
        </w:rPr>
        <w:t>（</w:t>
      </w:r>
      <w:r>
        <w:rPr>
          <w:rFonts w:hint="eastAsia" w:hAnsi="宋体" w:cs="宋体"/>
          <w:color w:val="auto"/>
          <w:sz w:val="24"/>
          <w:szCs w:val="24"/>
          <w:highlight w:val="none"/>
        </w:rPr>
        <w:t>3）供应商提出质疑应当提交质疑函和必要的证明材料。质疑函应当包括下列内容：</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1）供应商的姓名或者名称、地址、邮编、联系人及联系电话；</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2）质疑项目的名称、编号；</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3）具体、明确的质疑事项和与质疑事项相关的请求；</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4）事实依据；</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5）必要的法律依据；</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6）提出质疑的日期。</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2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质疑函范本及制作说明详见附件2。</w:t>
      </w:r>
    </w:p>
    <w:p>
      <w:pPr>
        <w:pStyle w:val="20"/>
        <w:numPr>
          <w:ilvl w:val="0"/>
          <w:numId w:val="14"/>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20"/>
        <w:numPr>
          <w:ilvl w:val="0"/>
          <w:numId w:val="14"/>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询问或者质疑事项可能影响采购结果的，采购人应当暂停签订合同，已经签订合同的，应当中止履行合同。</w:t>
      </w:r>
    </w:p>
    <w:p>
      <w:pPr>
        <w:pStyle w:val="20"/>
        <w:numPr>
          <w:ilvl w:val="0"/>
          <w:numId w:val="14"/>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质疑接收人：毛先生；联系电话：0571-</w:t>
      </w:r>
      <w:r>
        <w:rPr>
          <w:rFonts w:hint="eastAsia" w:hAnsi="宋体" w:cs="宋体"/>
          <w:color w:val="auto"/>
          <w:sz w:val="24"/>
          <w:szCs w:val="24"/>
          <w:highlight w:val="none"/>
          <w:lang w:eastAsia="zh-CN"/>
        </w:rPr>
        <w:t>87919156</w:t>
      </w:r>
      <w:r>
        <w:rPr>
          <w:rFonts w:hint="eastAsia" w:hAnsi="宋体" w:cs="宋体"/>
          <w:color w:val="auto"/>
          <w:sz w:val="24"/>
          <w:szCs w:val="24"/>
          <w:highlight w:val="none"/>
        </w:rPr>
        <w:t>，</w:t>
      </w:r>
    </w:p>
    <w:p>
      <w:pPr>
        <w:pStyle w:val="20"/>
        <w:spacing w:line="360" w:lineRule="auto"/>
        <w:ind w:firstLine="2640" w:firstLineChars="1100"/>
        <w:rPr>
          <w:rFonts w:hAnsi="宋体" w:cs="宋体"/>
          <w:color w:val="auto"/>
          <w:sz w:val="24"/>
          <w:szCs w:val="24"/>
          <w:highlight w:val="none"/>
        </w:rPr>
      </w:pPr>
      <w:r>
        <w:rPr>
          <w:rFonts w:hint="eastAsia" w:hAnsi="宋体" w:cs="宋体"/>
          <w:color w:val="auto"/>
          <w:sz w:val="24"/>
          <w:szCs w:val="24"/>
          <w:highlight w:val="none"/>
        </w:rPr>
        <w:t>地  址：杭州市东信大道66号启迪楼1207室。</w:t>
      </w:r>
    </w:p>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w:t>
      </w:r>
      <w:r>
        <w:rPr>
          <w:rFonts w:hint="eastAsia" w:hAnsi="宋体" w:cs="宋体"/>
          <w:color w:val="auto"/>
          <w:sz w:val="24"/>
          <w:szCs w:val="24"/>
          <w:highlight w:val="none"/>
          <w:lang w:val="zh-CN"/>
        </w:rPr>
        <w:t>供应商投诉（</w:t>
      </w:r>
      <w:r>
        <w:rPr>
          <w:rFonts w:hint="eastAsia" w:hAnsi="宋体" w:cs="宋体"/>
          <w:color w:val="auto"/>
          <w:sz w:val="24"/>
          <w:szCs w:val="24"/>
          <w:highlight w:val="none"/>
        </w:rPr>
        <w:t>根据财政部第94号《政府采购质疑和投诉办法》规定）</w:t>
      </w:r>
    </w:p>
    <w:p>
      <w:pPr>
        <w:pStyle w:val="20"/>
        <w:numPr>
          <w:ilvl w:val="0"/>
          <w:numId w:val="15"/>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质疑供应商对采购人、采购代理机构的答复不满意或者采购人、采购代理机构未在规定的时间内作出答复的，可以在答复期满后十五个工作日内向同级政府采购监督管理部门提出投诉。</w:t>
      </w:r>
    </w:p>
    <w:p>
      <w:pPr>
        <w:pStyle w:val="20"/>
        <w:numPr>
          <w:ilvl w:val="0"/>
          <w:numId w:val="15"/>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供应商投诉的事项不得超出已质疑事项的范围，基于质疑答复内容提出的投诉事项除外。</w:t>
      </w:r>
    </w:p>
    <w:p>
      <w:pPr>
        <w:pStyle w:val="20"/>
        <w:numPr>
          <w:ilvl w:val="0"/>
          <w:numId w:val="15"/>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供应商投诉应当有明确的请求和必要的证明材料。</w:t>
      </w:r>
    </w:p>
    <w:p>
      <w:pPr>
        <w:pStyle w:val="20"/>
        <w:numPr>
          <w:ilvl w:val="0"/>
          <w:numId w:val="15"/>
        </w:num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以联合体形式参加政府采购活动的，其投诉应当由组成联合体的所有供应商共同提出。</w:t>
      </w:r>
    </w:p>
    <w:p>
      <w:pPr>
        <w:ind w:firstLine="480"/>
        <w:rPr>
          <w:rFonts w:ascii="宋体" w:hAnsi="宋体" w:cs="宋体"/>
          <w:color w:val="auto"/>
          <w:highlight w:val="none"/>
        </w:rPr>
      </w:pPr>
      <w:r>
        <w:rPr>
          <w:rFonts w:hint="eastAsia" w:ascii="宋体" w:hAnsi="宋体" w:cs="宋体"/>
          <w:color w:val="auto"/>
          <w:highlight w:val="none"/>
        </w:rPr>
        <w:t>投诉书范本及制作说明详见附件3。</w:t>
      </w:r>
    </w:p>
    <w:p>
      <w:pPr>
        <w:pStyle w:val="6"/>
        <w:rPr>
          <w:rFonts w:ascii="宋体" w:hAnsi="宋体" w:cs="宋体"/>
          <w:color w:val="auto"/>
          <w:highlight w:val="none"/>
        </w:rPr>
      </w:pPr>
      <w:r>
        <w:rPr>
          <w:rFonts w:hint="eastAsia" w:ascii="宋体" w:hAnsi="宋体" w:cs="宋体"/>
          <w:color w:val="auto"/>
          <w:highlight w:val="none"/>
        </w:rPr>
        <w:t>七、特别说明</w:t>
      </w:r>
    </w:p>
    <w:p>
      <w:pPr>
        <w:ind w:firstLine="480"/>
        <w:rPr>
          <w:rFonts w:ascii="宋体" w:hAnsi="宋体" w:cs="宋体"/>
          <w:color w:val="auto"/>
          <w:highlight w:val="none"/>
        </w:rPr>
      </w:pPr>
      <w:r>
        <w:rPr>
          <w:rFonts w:hint="eastAsia" w:ascii="宋体" w:hAnsi="宋体" w:cs="宋体"/>
          <w:color w:val="auto"/>
          <w:highlight w:val="none"/>
        </w:rPr>
        <w:t>1.投标人投标所使用的资格、信誉、荣誉、业绩与企业认证必须为本法人所拥有。投标人投标所使用的采购项目实施人员必须为本法人员工（指本法人或控股公司正式员工）。</w:t>
      </w:r>
    </w:p>
    <w:p>
      <w:pPr>
        <w:ind w:firstLine="480"/>
        <w:rPr>
          <w:rFonts w:ascii="宋体" w:hAnsi="宋体" w:cs="宋体"/>
          <w:color w:val="auto"/>
          <w:highlight w:val="none"/>
        </w:rPr>
      </w:pPr>
      <w:r>
        <w:rPr>
          <w:rFonts w:hint="eastAsia" w:ascii="宋体" w:hAnsi="宋体" w:cs="宋体"/>
          <w:color w:val="auto"/>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highlight w:val="none"/>
        </w:rPr>
        <w:tab/>
      </w:r>
    </w:p>
    <w:p>
      <w:pPr>
        <w:ind w:firstLine="480"/>
        <w:rPr>
          <w:rFonts w:ascii="宋体" w:hAnsi="宋体" w:cs="宋体"/>
          <w:color w:val="auto"/>
          <w:highlight w:val="none"/>
        </w:rPr>
      </w:pPr>
      <w:r>
        <w:rPr>
          <w:rFonts w:hint="eastAsia" w:ascii="宋体" w:hAnsi="宋体" w:cs="宋体"/>
          <w:color w:val="auto"/>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ind w:firstLine="480"/>
        <w:rPr>
          <w:rFonts w:ascii="宋体" w:hAnsi="宋体" w:cs="宋体"/>
          <w:color w:val="auto"/>
          <w:highlight w:val="none"/>
        </w:rPr>
      </w:pPr>
      <w:r>
        <w:rPr>
          <w:rFonts w:hint="eastAsia" w:ascii="宋体" w:hAnsi="宋体" w:cs="宋体"/>
          <w:color w:val="auto"/>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ind w:firstLine="480"/>
        <w:rPr>
          <w:rFonts w:ascii="宋体" w:hAnsi="宋体" w:cs="宋体"/>
          <w:color w:val="auto"/>
          <w:highlight w:val="none"/>
        </w:rPr>
      </w:pPr>
      <w:r>
        <w:rPr>
          <w:rFonts w:hint="eastAsia" w:ascii="宋体" w:hAnsi="宋体" w:cs="宋体"/>
          <w:color w:val="auto"/>
          <w:highlight w:val="none"/>
        </w:rPr>
        <w:t>5.单位负责人为同一人或者存在直接控股、管理关系的不同供应商，不得参加同一合同项下的政府采购活动。</w:t>
      </w:r>
    </w:p>
    <w:p>
      <w:pPr>
        <w:ind w:firstLine="480"/>
        <w:rPr>
          <w:rFonts w:ascii="宋体" w:hAnsi="宋体" w:cs="宋体"/>
          <w:color w:val="auto"/>
          <w:highlight w:val="none"/>
        </w:rPr>
      </w:pPr>
      <w:r>
        <w:rPr>
          <w:rFonts w:hint="eastAsia" w:ascii="宋体" w:hAnsi="宋体" w:cs="宋体"/>
          <w:color w:val="auto"/>
          <w:highlight w:val="none"/>
        </w:rPr>
        <w:t>6.为采购项目提供整体设计、规范编制或者项目管理、监理、检测等服务的供应商，不得再参加该采购项目的其他采购活动。</w:t>
      </w:r>
    </w:p>
    <w:p>
      <w:pPr>
        <w:ind w:firstLine="480"/>
        <w:rPr>
          <w:rFonts w:ascii="宋体" w:hAnsi="宋体" w:cs="宋体"/>
          <w:color w:val="auto"/>
          <w:highlight w:val="none"/>
        </w:rPr>
      </w:pPr>
      <w:r>
        <w:rPr>
          <w:rFonts w:hint="eastAsia" w:ascii="宋体" w:hAnsi="宋体" w:cs="宋体"/>
          <w:color w:val="auto"/>
          <w:highlight w:val="none"/>
        </w:rPr>
        <w:t>7.关于要求原厂商授权的说明</w:t>
      </w:r>
    </w:p>
    <w:p>
      <w:pPr>
        <w:ind w:firstLine="480"/>
        <w:rPr>
          <w:rFonts w:ascii="宋体" w:hAnsi="宋体" w:cs="宋体"/>
          <w:color w:val="auto"/>
          <w:highlight w:val="none"/>
        </w:rPr>
      </w:pPr>
      <w:r>
        <w:rPr>
          <w:rFonts w:hint="eastAsia" w:ascii="宋体" w:hAnsi="宋体" w:cs="宋体"/>
          <w:color w:val="auto"/>
          <w:highlight w:val="none"/>
        </w:rPr>
        <w:t>招标文件中要求是提供原厂商授权的，建议在提交投标文件时一并提供。若提供不了原厂商授权的，可在中标公告后再向招标人提供原厂商授权。如原厂商无故不予授权，在预中标成交供应商作出保证产品质量和售后服务的承诺后，可以不需授权文件将合同授予该供应商，但对此应在合同的验收、结算和违约责任中补充增加相应的制约性条款。</w:t>
      </w:r>
    </w:p>
    <w:p>
      <w:pPr>
        <w:numPr>
          <w:ilvl w:val="0"/>
          <w:numId w:val="0"/>
        </w:numPr>
        <w:ind w:firstLine="480" w:firstLineChars="200"/>
        <w:rPr>
          <w:rFonts w:ascii="宋体" w:hAnsi="宋体" w:cs="宋体"/>
          <w:color w:val="auto"/>
          <w:highlight w:val="none"/>
        </w:rPr>
      </w:pPr>
      <w:r>
        <w:rPr>
          <w:rFonts w:hint="eastAsia" w:ascii="宋体" w:hAnsi="宋体" w:cs="宋体"/>
          <w:color w:val="auto"/>
          <w:highlight w:val="none"/>
          <w:lang w:val="en-US" w:eastAsia="zh-CN"/>
        </w:rPr>
        <w:t>8.</w:t>
      </w:r>
      <w:r>
        <w:rPr>
          <w:rFonts w:hint="eastAsia" w:ascii="宋体" w:hAnsi="宋体" w:cs="宋体"/>
          <w:color w:val="auto"/>
          <w:highlight w:val="none"/>
        </w:rPr>
        <w:t>按照《浙江省政府采购供应商注册及诚信管理暂行办法》（浙财采监字［2009］28号）的相关规定，未注册入库供应商参加政府采购活动时，应按招标文件要求提交相应的资格证明材料，按规定接受采购代理机构或其委托的评审专家的资格审查和其他评审。一旦被确定为中标候选供应商的，应在中标通知书发出前的3个工作日内按本办法的规定进行注册申请，否则，采购代理机构可以拒绝向其发出中标通知书，并直接推荐排名次之的供应商为中标候选供应商，依次类推。</w:t>
      </w:r>
    </w:p>
    <w:p>
      <w:pPr>
        <w:pStyle w:val="2"/>
        <w:rPr>
          <w:rFonts w:ascii="宋体" w:hAnsi="宋体" w:eastAsia="宋体" w:cs="宋体"/>
          <w:b/>
          <w:bCs/>
          <w:color w:val="auto"/>
          <w:kern w:val="2"/>
          <w:sz w:val="28"/>
          <w:szCs w:val="32"/>
          <w:highlight w:val="none"/>
        </w:rPr>
      </w:pPr>
    </w:p>
    <w:p>
      <w:pPr>
        <w:ind w:firstLine="562"/>
        <w:jc w:val="center"/>
        <w:outlineLvl w:val="0"/>
        <w:rPr>
          <w:rFonts w:ascii="宋体" w:hAnsi="宋体" w:cs="宋体"/>
          <w:b/>
          <w:bCs/>
          <w:color w:val="auto"/>
          <w:sz w:val="28"/>
          <w:szCs w:val="32"/>
          <w:highlight w:val="none"/>
        </w:rPr>
      </w:pPr>
      <w:bookmarkStart w:id="60" w:name="_Toc91899879"/>
      <w:bookmarkStart w:id="61" w:name="_Toc16985"/>
      <w:r>
        <w:rPr>
          <w:rFonts w:hint="eastAsia" w:ascii="宋体" w:hAnsi="宋体" w:cs="宋体"/>
          <w:b/>
          <w:bCs/>
          <w:color w:val="auto"/>
          <w:sz w:val="28"/>
          <w:szCs w:val="32"/>
          <w:highlight w:val="none"/>
        </w:rPr>
        <w:t>第二节 招标文件</w:t>
      </w:r>
      <w:bookmarkEnd w:id="60"/>
      <w:r>
        <w:rPr>
          <w:rFonts w:hint="eastAsia" w:ascii="宋体" w:hAnsi="宋体" w:cs="宋体"/>
          <w:b/>
          <w:bCs/>
          <w:color w:val="auto"/>
          <w:sz w:val="28"/>
          <w:szCs w:val="32"/>
          <w:highlight w:val="none"/>
        </w:rPr>
        <w:t>的构成、澄清、修改</w:t>
      </w:r>
      <w:bookmarkEnd w:id="61"/>
    </w:p>
    <w:p>
      <w:pPr>
        <w:pStyle w:val="6"/>
        <w:rPr>
          <w:rFonts w:ascii="宋体" w:hAnsi="宋体" w:cs="宋体"/>
          <w:color w:val="auto"/>
          <w:highlight w:val="none"/>
        </w:rPr>
      </w:pPr>
      <w:bookmarkStart w:id="62" w:name="_Toc91899880"/>
      <w:bookmarkStart w:id="63" w:name="_Hlt74730307"/>
      <w:r>
        <w:rPr>
          <w:rFonts w:hint="eastAsia" w:ascii="宋体" w:hAnsi="宋体" w:cs="宋体"/>
          <w:color w:val="auto"/>
          <w:highlight w:val="none"/>
        </w:rPr>
        <w:t>一、招标文件的构成</w:t>
      </w:r>
      <w:bookmarkEnd w:id="62"/>
    </w:p>
    <w:bookmarkEnd w:id="63"/>
    <w:p>
      <w:pPr>
        <w:pStyle w:val="2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1.招标文件包括下列文件及附件</w:t>
      </w:r>
    </w:p>
    <w:p>
      <w:pPr>
        <w:pStyle w:val="20"/>
        <w:numPr>
          <w:ilvl w:val="0"/>
          <w:numId w:val="16"/>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"_Toc32332" </w:instrText>
      </w:r>
      <w:r>
        <w:rPr>
          <w:color w:val="auto"/>
          <w:highlight w:val="none"/>
        </w:rPr>
        <w:fldChar w:fldCharType="separate"/>
      </w:r>
      <w:r>
        <w:rPr>
          <w:rFonts w:hint="eastAsia" w:hAnsi="宋体" w:cs="宋体"/>
          <w:color w:val="auto"/>
          <w:sz w:val="24"/>
          <w:szCs w:val="24"/>
          <w:highlight w:val="none"/>
        </w:rPr>
        <w:t>第一章 招标公告</w:t>
      </w:r>
      <w:r>
        <w:rPr>
          <w:rFonts w:hint="eastAsia" w:hAnsi="宋体" w:cs="宋体"/>
          <w:color w:val="auto"/>
          <w:sz w:val="24"/>
          <w:szCs w:val="24"/>
          <w:highlight w:val="none"/>
        </w:rPr>
        <w:fldChar w:fldCharType="end"/>
      </w:r>
    </w:p>
    <w:p>
      <w:pPr>
        <w:pStyle w:val="20"/>
        <w:numPr>
          <w:ilvl w:val="0"/>
          <w:numId w:val="16"/>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"_Toc24282" </w:instrText>
      </w:r>
      <w:r>
        <w:rPr>
          <w:color w:val="auto"/>
          <w:highlight w:val="none"/>
        </w:rPr>
        <w:fldChar w:fldCharType="separate"/>
      </w:r>
      <w:r>
        <w:rPr>
          <w:rFonts w:hint="eastAsia" w:hAnsi="宋体" w:cs="宋体"/>
          <w:color w:val="auto"/>
          <w:sz w:val="24"/>
          <w:szCs w:val="24"/>
          <w:highlight w:val="none"/>
        </w:rPr>
        <w:t>第二章 项目需求说明</w:t>
      </w:r>
      <w:r>
        <w:rPr>
          <w:rFonts w:hint="eastAsia" w:hAnsi="宋体" w:cs="宋体"/>
          <w:color w:val="auto"/>
          <w:sz w:val="24"/>
          <w:szCs w:val="24"/>
          <w:highlight w:val="none"/>
        </w:rPr>
        <w:fldChar w:fldCharType="end"/>
      </w:r>
    </w:p>
    <w:p>
      <w:pPr>
        <w:pStyle w:val="20"/>
        <w:numPr>
          <w:ilvl w:val="0"/>
          <w:numId w:val="16"/>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"_Toc7338" </w:instrText>
      </w:r>
      <w:r>
        <w:rPr>
          <w:color w:val="auto"/>
          <w:highlight w:val="none"/>
        </w:rPr>
        <w:fldChar w:fldCharType="separate"/>
      </w:r>
      <w:r>
        <w:rPr>
          <w:rFonts w:hint="eastAsia" w:hAnsi="宋体" w:cs="宋体"/>
          <w:color w:val="auto"/>
          <w:sz w:val="24"/>
          <w:szCs w:val="24"/>
          <w:highlight w:val="none"/>
        </w:rPr>
        <w:t>第三章 投标人须知</w:t>
      </w:r>
      <w:r>
        <w:rPr>
          <w:rFonts w:hint="eastAsia" w:hAnsi="宋体" w:cs="宋体"/>
          <w:color w:val="auto"/>
          <w:sz w:val="24"/>
          <w:szCs w:val="24"/>
          <w:highlight w:val="none"/>
        </w:rPr>
        <w:fldChar w:fldCharType="end"/>
      </w:r>
    </w:p>
    <w:p>
      <w:pPr>
        <w:pStyle w:val="20"/>
        <w:numPr>
          <w:ilvl w:val="0"/>
          <w:numId w:val="16"/>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"_Toc22869" </w:instrText>
      </w:r>
      <w:r>
        <w:rPr>
          <w:color w:val="auto"/>
          <w:highlight w:val="none"/>
        </w:rPr>
        <w:fldChar w:fldCharType="separate"/>
      </w:r>
      <w:r>
        <w:rPr>
          <w:rFonts w:hint="eastAsia" w:hAnsi="宋体" w:cs="宋体"/>
          <w:color w:val="auto"/>
          <w:sz w:val="24"/>
          <w:szCs w:val="24"/>
          <w:highlight w:val="none"/>
        </w:rPr>
        <w:t>第四章 评标办法及评分标准</w:t>
      </w:r>
      <w:r>
        <w:rPr>
          <w:rFonts w:hint="eastAsia" w:hAnsi="宋体" w:cs="宋体"/>
          <w:color w:val="auto"/>
          <w:sz w:val="24"/>
          <w:szCs w:val="24"/>
          <w:highlight w:val="none"/>
        </w:rPr>
        <w:fldChar w:fldCharType="end"/>
      </w:r>
    </w:p>
    <w:p>
      <w:pPr>
        <w:pStyle w:val="20"/>
        <w:numPr>
          <w:ilvl w:val="0"/>
          <w:numId w:val="16"/>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"_Toc7087" </w:instrText>
      </w:r>
      <w:r>
        <w:rPr>
          <w:color w:val="auto"/>
          <w:highlight w:val="none"/>
        </w:rPr>
        <w:fldChar w:fldCharType="separate"/>
      </w:r>
      <w:r>
        <w:rPr>
          <w:rFonts w:hint="eastAsia" w:hAnsi="宋体" w:cs="宋体"/>
          <w:color w:val="auto"/>
          <w:sz w:val="24"/>
          <w:szCs w:val="24"/>
          <w:highlight w:val="none"/>
        </w:rPr>
        <w:t>第五章 合同格式</w:t>
      </w:r>
      <w:r>
        <w:rPr>
          <w:rFonts w:hint="eastAsia" w:hAnsi="宋体" w:cs="宋体"/>
          <w:color w:val="auto"/>
          <w:sz w:val="24"/>
          <w:szCs w:val="24"/>
          <w:highlight w:val="none"/>
        </w:rPr>
        <w:fldChar w:fldCharType="end"/>
      </w:r>
    </w:p>
    <w:p>
      <w:pPr>
        <w:pStyle w:val="20"/>
        <w:numPr>
          <w:ilvl w:val="0"/>
          <w:numId w:val="16"/>
        </w:numPr>
        <w:adjustRightInd w:val="0"/>
        <w:spacing w:line="360" w:lineRule="auto"/>
        <w:ind w:left="839" w:firstLine="105" w:firstLineChars="50"/>
        <w:rPr>
          <w:rFonts w:hAnsi="宋体" w:cs="宋体"/>
          <w:color w:val="auto"/>
          <w:sz w:val="24"/>
          <w:szCs w:val="24"/>
          <w:highlight w:val="none"/>
        </w:rPr>
      </w:pPr>
      <w:r>
        <w:rPr>
          <w:color w:val="auto"/>
          <w:highlight w:val="none"/>
        </w:rPr>
        <w:fldChar w:fldCharType="begin"/>
      </w:r>
      <w:r>
        <w:rPr>
          <w:color w:val="auto"/>
          <w:highlight w:val="none"/>
        </w:rPr>
        <w:instrText xml:space="preserve"> HYPERLINK \l "_Toc29638" </w:instrText>
      </w:r>
      <w:r>
        <w:rPr>
          <w:color w:val="auto"/>
          <w:highlight w:val="none"/>
        </w:rPr>
        <w:fldChar w:fldCharType="separate"/>
      </w:r>
      <w:r>
        <w:rPr>
          <w:rFonts w:hint="eastAsia" w:hAnsi="宋体" w:cs="宋体"/>
          <w:color w:val="auto"/>
          <w:sz w:val="24"/>
          <w:szCs w:val="24"/>
          <w:highlight w:val="none"/>
        </w:rPr>
        <w:t>第六章 投标文件格式/</w:t>
      </w:r>
      <w:r>
        <w:rPr>
          <w:rFonts w:hint="eastAsia" w:hAnsi="宋体" w:cs="宋体"/>
          <w:color w:val="auto"/>
          <w:sz w:val="24"/>
          <w:szCs w:val="24"/>
          <w:highlight w:val="none"/>
        </w:rPr>
        <w:fldChar w:fldCharType="end"/>
      </w:r>
      <w:r>
        <w:rPr>
          <w:rFonts w:hint="eastAsia" w:hAnsi="宋体" w:cs="宋体"/>
          <w:color w:val="auto"/>
          <w:sz w:val="24"/>
          <w:szCs w:val="24"/>
          <w:highlight w:val="none"/>
        </w:rPr>
        <w:t>应提交的有关格式范例</w:t>
      </w:r>
    </w:p>
    <w:p>
      <w:pPr>
        <w:ind w:firstLine="480"/>
        <w:rPr>
          <w:rFonts w:ascii="宋体" w:hAnsi="宋体" w:cs="宋体"/>
          <w:color w:val="auto"/>
          <w:highlight w:val="none"/>
        </w:rPr>
      </w:pPr>
      <w:r>
        <w:rPr>
          <w:rFonts w:hint="eastAsia" w:ascii="宋体" w:hAnsi="宋体" w:cs="宋体"/>
          <w:color w:val="auto"/>
          <w:highlight w:val="none"/>
        </w:rPr>
        <w:t>2.与本项目有关的</w:t>
      </w:r>
      <w:r>
        <w:rPr>
          <w:rFonts w:hint="eastAsia" w:ascii="宋体" w:hAnsi="宋体" w:cs="宋体"/>
          <w:bCs/>
          <w:color w:val="auto"/>
          <w:highlight w:val="none"/>
        </w:rPr>
        <w:t>澄清或者修改的内容为招标文件的组成部分</w:t>
      </w:r>
      <w:r>
        <w:rPr>
          <w:rFonts w:hint="eastAsia" w:ascii="宋体" w:hAnsi="宋体" w:cs="宋体"/>
          <w:color w:val="auto"/>
          <w:highlight w:val="none"/>
        </w:rPr>
        <w:t>。</w:t>
      </w:r>
    </w:p>
    <w:p>
      <w:pPr>
        <w:pStyle w:val="20"/>
        <w:spacing w:line="360" w:lineRule="auto"/>
        <w:rPr>
          <w:rFonts w:hAnsi="宋体" w:cs="宋体"/>
          <w:b/>
          <w:color w:val="auto"/>
          <w:sz w:val="24"/>
          <w:szCs w:val="24"/>
          <w:highlight w:val="none"/>
        </w:rPr>
      </w:pPr>
      <w:r>
        <w:rPr>
          <w:rFonts w:hint="eastAsia" w:hAnsi="宋体" w:cs="宋体"/>
          <w:b/>
          <w:color w:val="auto"/>
          <w:sz w:val="24"/>
          <w:szCs w:val="24"/>
          <w:highlight w:val="none"/>
        </w:rPr>
        <w:t>二、招标文件的澄清、修改</w:t>
      </w:r>
    </w:p>
    <w:p>
      <w:pPr>
        <w:pStyle w:val="168"/>
        <w:snapToGrid w:val="0"/>
        <w:spacing w:before="0"/>
        <w:ind w:firstLine="480"/>
        <w:rPr>
          <w:rFonts w:ascii="宋体" w:hAnsi="宋体" w:cs="宋体"/>
          <w:color w:val="auto"/>
          <w:highlight w:val="none"/>
        </w:rPr>
      </w:pPr>
      <w:r>
        <w:rPr>
          <w:rFonts w:hint="eastAsia" w:ascii="宋体" w:hAnsi="宋体" w:cs="宋体"/>
          <w:color w:val="auto"/>
          <w:highlight w:val="none"/>
        </w:rPr>
        <w:t>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168"/>
        <w:snapToGrid w:val="0"/>
        <w:spacing w:before="0"/>
        <w:ind w:firstLine="480"/>
        <w:rPr>
          <w:rFonts w:ascii="宋体" w:hAnsi="宋体" w:cs="宋体"/>
          <w:color w:val="auto"/>
          <w:highlight w:val="none"/>
        </w:rPr>
      </w:pPr>
      <w:r>
        <w:rPr>
          <w:rFonts w:hint="eastAsia" w:ascii="宋体" w:hAnsi="宋体" w:cs="宋体"/>
          <w:color w:val="auto"/>
          <w:highlight w:val="none"/>
        </w:rPr>
        <w:t>2.采购人或者采购代理机构可以对已发出的招标文件进行必要的澄清或者修改，澄清或者修改会在原公告发布媒体上发布澄清公告，澄清或者修改的内容为招标文件的组成部分。</w:t>
      </w:r>
    </w:p>
    <w:p>
      <w:pPr>
        <w:pStyle w:val="168"/>
        <w:snapToGrid w:val="0"/>
        <w:spacing w:before="0"/>
        <w:ind w:firstLine="480"/>
        <w:rPr>
          <w:rFonts w:ascii="宋体" w:hAnsi="宋体" w:cs="宋体"/>
          <w:color w:val="auto"/>
          <w:highlight w:val="none"/>
        </w:rPr>
      </w:pPr>
      <w:r>
        <w:rPr>
          <w:rFonts w:hint="eastAsia" w:ascii="宋体" w:hAnsi="宋体" w:cs="宋体"/>
          <w:color w:val="auto"/>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68"/>
        <w:snapToGrid w:val="0"/>
        <w:spacing w:before="0"/>
        <w:ind w:firstLine="480"/>
        <w:rPr>
          <w:rFonts w:ascii="宋体" w:hAnsi="宋体" w:cs="宋体"/>
          <w:color w:val="auto"/>
          <w:highlight w:val="none"/>
        </w:rPr>
      </w:pPr>
      <w:r>
        <w:rPr>
          <w:rFonts w:hint="eastAsia" w:ascii="宋体" w:hAnsi="宋体" w:cs="宋体"/>
          <w:color w:val="auto"/>
          <w:highlight w:val="none"/>
        </w:rPr>
        <w:t>3.招标文件的修改将以书面形式通知所有购买招标文件的投标人，并对其具有约束力。投标人在收到上述通知后，应立即向采购代理机构回函确认。若无书面回函确认，视同投标人已收到招标文件修改的通知，并受其约束。</w:t>
      </w:r>
    </w:p>
    <w:p>
      <w:pPr>
        <w:ind w:firstLine="480"/>
        <w:rPr>
          <w:rFonts w:ascii="宋体" w:hAnsi="宋体" w:cs="宋体"/>
          <w:b/>
          <w:color w:val="auto"/>
          <w:szCs w:val="21"/>
          <w:highlight w:val="none"/>
        </w:rPr>
      </w:pPr>
      <w:r>
        <w:rPr>
          <w:rFonts w:hint="eastAsia" w:ascii="宋体" w:hAnsi="宋体" w:cs="宋体"/>
          <w:bCs/>
          <w:color w:val="auto"/>
          <w:kern w:val="0"/>
          <w:szCs w:val="21"/>
          <w:highlight w:val="none"/>
        </w:rPr>
        <w:t>★</w:t>
      </w:r>
      <w:r>
        <w:rPr>
          <w:rFonts w:hint="eastAsia" w:ascii="宋体" w:hAnsi="宋体" w:cs="宋体"/>
          <w:b/>
          <w:color w:val="auto"/>
          <w:szCs w:val="21"/>
          <w:highlight w:val="none"/>
        </w:rPr>
        <w:t>投标文件未按招标文件的澄清、修改的内容编制，又不符合实质性要求的，投标无效。</w:t>
      </w:r>
    </w:p>
    <w:p>
      <w:pPr>
        <w:pStyle w:val="2"/>
        <w:rPr>
          <w:color w:val="auto"/>
          <w:highlight w:val="none"/>
        </w:rPr>
      </w:pPr>
    </w:p>
    <w:p>
      <w:pPr>
        <w:pStyle w:val="5"/>
        <w:jc w:val="center"/>
        <w:rPr>
          <w:rFonts w:ascii="宋体" w:hAnsi="宋体" w:cs="宋体"/>
          <w:color w:val="auto"/>
          <w:highlight w:val="none"/>
        </w:rPr>
      </w:pPr>
      <w:bookmarkStart w:id="64" w:name="_Toc450840075"/>
      <w:bookmarkStart w:id="65" w:name="_Toc204"/>
      <w:bookmarkStart w:id="66" w:name="_Toc1096"/>
      <w:bookmarkStart w:id="67" w:name="_Toc82338241"/>
      <w:bookmarkStart w:id="68" w:name="_Toc82873324"/>
      <w:r>
        <w:rPr>
          <w:rFonts w:hint="eastAsia" w:ascii="宋体" w:hAnsi="宋体" w:cs="宋体"/>
          <w:color w:val="auto"/>
          <w:highlight w:val="none"/>
        </w:rPr>
        <w:t>第三节 投标文件</w:t>
      </w:r>
      <w:bookmarkEnd w:id="64"/>
      <w:bookmarkEnd w:id="65"/>
      <w:bookmarkEnd w:id="66"/>
      <w:bookmarkEnd w:id="67"/>
      <w:bookmarkEnd w:id="68"/>
    </w:p>
    <w:p>
      <w:pPr>
        <w:pStyle w:val="6"/>
        <w:rPr>
          <w:rFonts w:ascii="宋体" w:hAnsi="宋体" w:cs="宋体"/>
          <w:color w:val="auto"/>
          <w:highlight w:val="none"/>
        </w:rPr>
      </w:pPr>
      <w:r>
        <w:rPr>
          <w:rFonts w:hint="eastAsia" w:ascii="宋体" w:hAnsi="宋体" w:cs="宋体"/>
          <w:color w:val="auto"/>
          <w:highlight w:val="none"/>
        </w:rPr>
        <w:t>一、投标文件语言和计量单位</w:t>
      </w:r>
    </w:p>
    <w:p>
      <w:pPr>
        <w:ind w:firstLine="480"/>
        <w:rPr>
          <w:rFonts w:ascii="宋体" w:hAnsi="宋体" w:cs="宋体"/>
          <w:color w:val="auto"/>
          <w:highlight w:val="none"/>
        </w:rPr>
      </w:pPr>
      <w:r>
        <w:rPr>
          <w:rFonts w:hint="eastAsia" w:ascii="宋体" w:hAnsi="宋体" w:cs="宋体"/>
          <w:color w:val="auto"/>
          <w:highlight w:val="none"/>
        </w:rPr>
        <w:t>1.投标文件应用中文书写。投标文件中所附或所引用的原件不是中文时，应附中文译本。</w:t>
      </w:r>
    </w:p>
    <w:p>
      <w:pPr>
        <w:ind w:firstLine="480"/>
        <w:rPr>
          <w:rFonts w:ascii="宋体" w:hAnsi="宋体" w:cs="宋体"/>
          <w:color w:val="auto"/>
          <w:highlight w:val="none"/>
        </w:rPr>
      </w:pPr>
      <w:r>
        <w:rPr>
          <w:rFonts w:hint="eastAsia" w:ascii="宋体" w:hAnsi="宋体" w:cs="宋体"/>
          <w:color w:val="auto"/>
          <w:highlight w:val="none"/>
        </w:rPr>
        <w:t>2.投标文件中所使用的计量单位，除招标文件中有特殊要求外，应采用国家法定计量单位。</w:t>
      </w:r>
    </w:p>
    <w:p>
      <w:pPr>
        <w:pStyle w:val="6"/>
        <w:rPr>
          <w:rFonts w:ascii="宋体" w:hAnsi="宋体" w:cs="宋体"/>
          <w:color w:val="auto"/>
          <w:highlight w:val="none"/>
        </w:rPr>
      </w:pPr>
      <w:r>
        <w:rPr>
          <w:rFonts w:hint="eastAsia" w:ascii="宋体" w:hAnsi="宋体" w:cs="宋体"/>
          <w:color w:val="auto"/>
          <w:highlight w:val="none"/>
        </w:rPr>
        <w:t>二、投标文件的组成（资格证明文件、报价文件和商务技术文件三部分组成并单独密封包装）：</w:t>
      </w:r>
    </w:p>
    <w:p>
      <w:pPr>
        <w:ind w:firstLine="0" w:firstLineChars="0"/>
        <w:rPr>
          <w:rFonts w:ascii="宋体" w:hAnsi="宋体" w:cs="宋体"/>
          <w:b/>
          <w:bCs/>
          <w:color w:val="auto"/>
          <w:highlight w:val="none"/>
        </w:rPr>
      </w:pPr>
      <w:r>
        <w:rPr>
          <w:rFonts w:hint="eastAsia" w:ascii="宋体" w:hAnsi="宋体" w:cs="宋体"/>
          <w:b/>
          <w:bCs/>
          <w:color w:val="auto"/>
          <w:highlight w:val="none"/>
        </w:rPr>
        <w:t>（一）资格证明文件：</w:t>
      </w:r>
      <w:r>
        <w:rPr>
          <w:rFonts w:hint="eastAsia" w:ascii="宋体" w:hAnsi="宋体" w:cs="宋体"/>
          <w:color w:val="auto"/>
          <w:szCs w:val="32"/>
          <w:highlight w:val="none"/>
        </w:rPr>
        <w:t>按A4幅面，统一格式填写、编码、装订成册，包括：</w:t>
      </w:r>
    </w:p>
    <w:p>
      <w:pPr>
        <w:ind w:firstLine="480"/>
        <w:rPr>
          <w:rFonts w:ascii="宋体" w:hAnsi="宋体"/>
          <w:b/>
          <w:bCs/>
          <w:color w:val="auto"/>
          <w:highlight w:val="none"/>
        </w:rPr>
      </w:pPr>
      <w:r>
        <w:rPr>
          <w:rFonts w:hint="eastAsia" w:ascii="宋体" w:hAnsi="宋体"/>
          <w:color w:val="auto"/>
          <w:highlight w:val="none"/>
        </w:rPr>
        <w:t>1.资格审查材料（详见招标文件“第六章</w:t>
      </w:r>
      <w:r>
        <w:rPr>
          <w:rFonts w:hint="eastAsia" w:cs="宋体"/>
          <w:color w:val="auto"/>
          <w:highlight w:val="none"/>
        </w:rPr>
        <w:t>投标文件格式</w:t>
      </w:r>
      <w:r>
        <w:rPr>
          <w:rFonts w:hint="eastAsia" w:ascii="宋体" w:hAnsi="宋体"/>
          <w:color w:val="auto"/>
          <w:highlight w:val="none"/>
        </w:rPr>
        <w:t>”中的“格式一：资格审查材料 ”）</w:t>
      </w:r>
    </w:p>
    <w:p>
      <w:pPr>
        <w:ind w:firstLine="0" w:firstLineChars="0"/>
        <w:rPr>
          <w:rFonts w:ascii="宋体" w:hAnsi="宋体" w:cs="宋体"/>
          <w:color w:val="auto"/>
          <w:szCs w:val="32"/>
          <w:highlight w:val="none"/>
        </w:rPr>
      </w:pPr>
      <w:r>
        <w:rPr>
          <w:rFonts w:hint="eastAsia" w:ascii="宋体" w:hAnsi="宋体" w:cs="宋体"/>
          <w:b/>
          <w:color w:val="auto"/>
          <w:highlight w:val="none"/>
        </w:rPr>
        <w:t>（二）报价文件</w:t>
      </w:r>
      <w:r>
        <w:rPr>
          <w:rFonts w:hint="eastAsia" w:ascii="宋体" w:hAnsi="宋体" w:cs="宋体"/>
          <w:color w:val="auto"/>
          <w:szCs w:val="32"/>
          <w:highlight w:val="none"/>
        </w:rPr>
        <w:t>：按A4幅面，统一格式填写、编码、装订成册，包括：</w:t>
      </w:r>
    </w:p>
    <w:p>
      <w:pPr>
        <w:ind w:firstLine="480"/>
        <w:rPr>
          <w:rFonts w:ascii="宋体" w:hAnsi="宋体" w:cs="宋体"/>
          <w:color w:val="auto"/>
          <w:highlight w:val="none"/>
        </w:rPr>
      </w:pPr>
      <w:r>
        <w:rPr>
          <w:rFonts w:hint="eastAsia" w:ascii="宋体" w:hAnsi="宋体" w:cs="宋体"/>
          <w:color w:val="auto"/>
          <w:highlight w:val="none"/>
        </w:rPr>
        <w:t>1.投标函；（附件一）</w:t>
      </w:r>
    </w:p>
    <w:p>
      <w:pPr>
        <w:ind w:firstLine="480"/>
        <w:rPr>
          <w:rFonts w:ascii="宋体" w:hAnsi="宋体" w:cs="宋体"/>
          <w:color w:val="auto"/>
          <w:highlight w:val="none"/>
        </w:rPr>
      </w:pPr>
      <w:r>
        <w:rPr>
          <w:rFonts w:hint="eastAsia" w:ascii="宋体" w:hAnsi="宋体" w:cs="宋体"/>
          <w:color w:val="auto"/>
          <w:highlight w:val="none"/>
        </w:rPr>
        <w:t>2.开标一览表；（附件二）</w:t>
      </w:r>
    </w:p>
    <w:p>
      <w:pPr>
        <w:ind w:firstLine="480"/>
        <w:rPr>
          <w:rFonts w:ascii="宋体" w:hAnsi="宋体" w:cs="宋体"/>
          <w:color w:val="auto"/>
          <w:highlight w:val="none"/>
        </w:rPr>
      </w:pPr>
      <w:r>
        <w:rPr>
          <w:rFonts w:hint="eastAsia" w:ascii="宋体" w:hAnsi="宋体" w:cs="宋体"/>
          <w:color w:val="auto"/>
          <w:highlight w:val="none"/>
        </w:rPr>
        <w:t>3.投标报价明细表；（附件三）</w:t>
      </w:r>
    </w:p>
    <w:p>
      <w:pPr>
        <w:ind w:firstLine="480"/>
        <w:rPr>
          <w:rFonts w:ascii="宋体" w:hAnsi="宋体" w:cs="宋体"/>
          <w:color w:val="auto"/>
          <w:highlight w:val="none"/>
        </w:rPr>
      </w:pPr>
      <w:r>
        <w:rPr>
          <w:rFonts w:hint="eastAsia" w:ascii="宋体" w:hAnsi="宋体" w:cs="宋体"/>
          <w:color w:val="auto"/>
          <w:highlight w:val="none"/>
        </w:rPr>
        <w:t>4.《中小企业声明函》及相关证明材料（非小微企业不需要提供）；（附件四）</w:t>
      </w:r>
    </w:p>
    <w:p>
      <w:pPr>
        <w:ind w:firstLine="480"/>
        <w:rPr>
          <w:rFonts w:ascii="宋体" w:hAnsi="宋体" w:cs="宋体"/>
          <w:color w:val="auto"/>
          <w:highlight w:val="none"/>
        </w:rPr>
      </w:pPr>
      <w:r>
        <w:rPr>
          <w:rFonts w:hint="eastAsia" w:ascii="宋体" w:hAnsi="宋体" w:cs="宋体"/>
          <w:color w:val="auto"/>
          <w:highlight w:val="none"/>
        </w:rPr>
        <w:t>5.投标人认为需要的其他文件资料。</w:t>
      </w:r>
    </w:p>
    <w:p>
      <w:pPr>
        <w:ind w:firstLine="0" w:firstLineChars="0"/>
        <w:rPr>
          <w:rFonts w:ascii="宋体" w:hAnsi="宋体" w:cs="宋体"/>
          <w:b/>
          <w:bCs/>
          <w:color w:val="auto"/>
          <w:szCs w:val="32"/>
          <w:highlight w:val="none"/>
        </w:rPr>
      </w:pPr>
      <w:r>
        <w:rPr>
          <w:rFonts w:hint="eastAsia" w:ascii="宋体" w:hAnsi="宋体" w:cs="宋体"/>
          <w:b/>
          <w:bCs/>
          <w:color w:val="auto"/>
          <w:szCs w:val="32"/>
          <w:highlight w:val="none"/>
        </w:rPr>
        <w:t>（三）商务技术文件：</w:t>
      </w:r>
      <w:r>
        <w:rPr>
          <w:rFonts w:hint="eastAsia" w:ascii="宋体" w:hAnsi="宋体" w:cs="宋体"/>
          <w:color w:val="auto"/>
          <w:szCs w:val="32"/>
          <w:highlight w:val="none"/>
        </w:rPr>
        <w:t>按A4幅面，统一格式填写、编码、装订成册，包括：</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法定代表人的身份证和法定代表人授权委托书（投标人的代表若为非法定代表人的，必须提交法定代表人授权书；身份证复印件、授权委托人社保证明（至少开标前三个月任1个月的社保证明）；（附件五）</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投标声明书（附件六）</w:t>
      </w:r>
    </w:p>
    <w:p>
      <w:pPr>
        <w:numPr>
          <w:ilvl w:val="0"/>
          <w:numId w:val="17"/>
        </w:numPr>
        <w:ind w:firstLineChars="0"/>
        <w:rPr>
          <w:rFonts w:ascii="宋体" w:hAnsi="宋体" w:cs="宋体"/>
          <w:color w:val="auto"/>
          <w:highlight w:val="none"/>
        </w:rPr>
      </w:pPr>
      <w:r>
        <w:rPr>
          <w:rFonts w:hint="eastAsia" w:ascii="宋体" w:hAnsi="宋体" w:cs="宋体"/>
          <w:color w:val="auto"/>
          <w:szCs w:val="32"/>
          <w:highlight w:val="none"/>
        </w:rPr>
        <w:t>提供有效的经营执照复印件并加盖公司公章</w:t>
      </w:r>
      <w:r>
        <w:rPr>
          <w:rFonts w:hint="eastAsia" w:ascii="宋体" w:hAnsi="宋体" w:cs="宋体"/>
          <w:color w:val="auto"/>
          <w:highlight w:val="none"/>
        </w:rPr>
        <w:t>；</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质量管理体系（如有）、环境管理体系（如有）、职业健康及安全管理体系（如有）等三体系认证证书；资质证书复印件（按照资格条件要求提供，如有）；</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廉政承诺书；（附件七）</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商务条款偏离表（附件八）</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投标人情况表（附件九）</w:t>
      </w:r>
    </w:p>
    <w:p>
      <w:pPr>
        <w:numPr>
          <w:ilvl w:val="0"/>
          <w:numId w:val="17"/>
        </w:numPr>
        <w:ind w:firstLineChars="0"/>
        <w:rPr>
          <w:rFonts w:ascii="宋体" w:hAnsi="宋体" w:cs="宋体"/>
          <w:color w:val="auto"/>
          <w:highlight w:val="none"/>
        </w:rPr>
      </w:pPr>
      <w:r>
        <w:rPr>
          <w:rFonts w:ascii="宋体" w:hAnsi="宋体" w:cs="宋体"/>
          <w:color w:val="auto"/>
          <w:highlight w:val="none"/>
        </w:rPr>
        <w:t>技术规范偏离表；投标人在投标文件中，应对项目技术规范和服务要求中所提出各项要求进行逐条逐项的答复、说明和解释。首先对实现或满足程度明确作出“正偏离”、“负偏离”等应答，然后作出具体、详细的说明。回答“无偏离”应说明如何满足，同时明确满足的程度。若采用“详见”、“参见”方式说明的，应指明所指文档（应是投标文件的组成部分）的</w:t>
      </w:r>
      <w:r>
        <w:rPr>
          <w:rFonts w:ascii="宋体" w:hAnsi="宋体" w:cs="宋体"/>
          <w:b/>
          <w:bCs/>
          <w:color w:val="auto"/>
          <w:highlight w:val="none"/>
        </w:rPr>
        <w:t>具体章节及页码</w:t>
      </w:r>
      <w:r>
        <w:rPr>
          <w:rFonts w:ascii="宋体" w:hAnsi="宋体" w:cs="宋体"/>
          <w:color w:val="auto"/>
          <w:highlight w:val="none"/>
        </w:rPr>
        <w:t>。任何含糊不清的表示对评标结果的影响将是投标人的责任</w:t>
      </w:r>
      <w:r>
        <w:rPr>
          <w:rFonts w:hint="eastAsia" w:ascii="宋体" w:hAnsi="宋体" w:cs="宋体"/>
          <w:color w:val="auto"/>
          <w:highlight w:val="none"/>
        </w:rPr>
        <w:t>（附件十）</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技术服务方案</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实施技术人员一览表</w:t>
      </w:r>
    </w:p>
    <w:p>
      <w:pPr>
        <w:numPr>
          <w:ilvl w:val="0"/>
          <w:numId w:val="17"/>
        </w:numPr>
        <w:ind w:firstLineChars="0"/>
        <w:rPr>
          <w:rFonts w:ascii="宋体" w:hAnsi="宋体" w:cs="宋体"/>
          <w:color w:val="auto"/>
          <w:highlight w:val="none"/>
        </w:rPr>
      </w:pPr>
      <w:r>
        <w:rPr>
          <w:rFonts w:hint="eastAsia" w:ascii="宋体" w:hAnsi="宋体" w:cs="宋体"/>
          <w:color w:val="auto"/>
          <w:highlight w:val="none"/>
          <w:lang w:val="en-US" w:eastAsia="zh-CN"/>
        </w:rPr>
        <w:t>质量保证措施</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培训方案</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售后服务方案，包括机构介绍、优惠承诺、各项服务承诺、合理化建议等；</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同类项目实施情况一览表：2016年1月（以合同签订时间为准）至今实施的类似项目复印件（加盖公章），相关实施经验及成功案例介绍（要求提供有关情况，包括：项目名称、项目基本内容、业主名称、联系人及电话，项目金额、实施日期等，附件十三）</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保期满后备品备件的配置清单</w:t>
      </w:r>
      <w:r>
        <w:rPr>
          <w:rFonts w:hint="eastAsia" w:ascii="宋体" w:hAnsi="宋体" w:cs="宋体"/>
          <w:color w:val="auto"/>
          <w:highlight w:val="none"/>
          <w:lang w:eastAsia="zh-CN"/>
        </w:rPr>
        <w:t>（</w:t>
      </w:r>
      <w:r>
        <w:rPr>
          <w:rFonts w:hint="eastAsia" w:ascii="宋体" w:hAnsi="宋体" w:cs="宋体"/>
          <w:color w:val="auto"/>
          <w:highlight w:val="none"/>
          <w:lang w:val="en-US" w:eastAsia="zh-CN"/>
        </w:rPr>
        <w:t>附件十四</w:t>
      </w:r>
      <w:r>
        <w:rPr>
          <w:rFonts w:hint="eastAsia" w:ascii="宋体" w:hAnsi="宋体" w:cs="宋体"/>
          <w:color w:val="auto"/>
          <w:highlight w:val="none"/>
          <w:lang w:eastAsia="zh-CN"/>
        </w:rPr>
        <w:t>）</w:t>
      </w:r>
    </w:p>
    <w:p>
      <w:pPr>
        <w:numPr>
          <w:ilvl w:val="0"/>
          <w:numId w:val="17"/>
        </w:numPr>
        <w:ind w:firstLineChars="0"/>
        <w:rPr>
          <w:rFonts w:ascii="宋体" w:hAnsi="宋体" w:cs="宋体"/>
          <w:color w:val="auto"/>
          <w:highlight w:val="none"/>
        </w:rPr>
      </w:pPr>
      <w:r>
        <w:rPr>
          <w:rFonts w:hint="eastAsia" w:ascii="宋体" w:hAnsi="宋体" w:cs="宋体"/>
          <w:color w:val="auto"/>
          <w:highlight w:val="none"/>
        </w:rPr>
        <w:t>其它本招标文件评分表要求提供的材料或投标人认为需要的其他技术文件资料或说明。（格式自拟）</w:t>
      </w:r>
    </w:p>
    <w:p>
      <w:pPr>
        <w:pStyle w:val="2"/>
        <w:rPr>
          <w:rFonts w:ascii="宋体" w:hAnsi="宋体" w:eastAsia="宋体" w:cs="宋体"/>
          <w:color w:val="auto"/>
          <w:highlight w:val="none"/>
        </w:rPr>
      </w:pPr>
    </w:p>
    <w:p>
      <w:pPr>
        <w:pStyle w:val="6"/>
        <w:rPr>
          <w:rFonts w:ascii="宋体" w:hAnsi="宋体" w:cs="宋体"/>
          <w:color w:val="auto"/>
          <w:highlight w:val="none"/>
        </w:rPr>
      </w:pPr>
      <w:r>
        <w:rPr>
          <w:rFonts w:hint="eastAsia" w:ascii="宋体" w:hAnsi="宋体" w:cs="宋体"/>
          <w:color w:val="auto"/>
          <w:highlight w:val="none"/>
        </w:rPr>
        <w:t>三、投标报价</w:t>
      </w:r>
    </w:p>
    <w:p>
      <w:pPr>
        <w:ind w:firstLine="480"/>
        <w:rPr>
          <w:rFonts w:ascii="宋体" w:hAnsi="宋体" w:cs="宋体"/>
          <w:color w:val="auto"/>
          <w:highlight w:val="none"/>
        </w:rPr>
      </w:pPr>
      <w:r>
        <w:rPr>
          <w:rFonts w:hint="eastAsia" w:ascii="宋体" w:hAnsi="宋体" w:cs="宋体"/>
          <w:color w:val="auto"/>
          <w:highlight w:val="none"/>
        </w:rPr>
        <w:t>1.投标报价是指一次性报出不得更改的价格；</w:t>
      </w:r>
    </w:p>
    <w:p>
      <w:pPr>
        <w:ind w:firstLine="480"/>
        <w:rPr>
          <w:rFonts w:ascii="宋体" w:hAnsi="宋体" w:cs="宋体"/>
          <w:color w:val="auto"/>
          <w:highlight w:val="none"/>
        </w:rPr>
      </w:pPr>
      <w:r>
        <w:rPr>
          <w:rFonts w:hint="eastAsia" w:ascii="宋体" w:hAnsi="宋体" w:cs="宋体"/>
          <w:color w:val="auto"/>
          <w:highlight w:val="none"/>
        </w:rPr>
        <w:t>2.投标报价是履行合同的最终价格，将人工费、材料费、机械费、管理费、税金、利润、直至达到使用要求及质量标准、质保期服务所需的全部费用及招标代理服务费均包含在总价之中。</w:t>
      </w:r>
    </w:p>
    <w:p>
      <w:pPr>
        <w:pStyle w:val="6"/>
        <w:rPr>
          <w:rFonts w:ascii="宋体" w:hAnsi="宋体" w:cs="宋体"/>
          <w:color w:val="auto"/>
          <w:highlight w:val="none"/>
        </w:rPr>
      </w:pPr>
      <w:r>
        <w:rPr>
          <w:rFonts w:hint="eastAsia" w:ascii="宋体" w:hAnsi="宋体" w:cs="宋体"/>
          <w:color w:val="auto"/>
          <w:highlight w:val="none"/>
        </w:rPr>
        <w:t>四、投标文件的签署及规定</w:t>
      </w:r>
    </w:p>
    <w:p>
      <w:pPr>
        <w:ind w:firstLine="480"/>
        <w:rPr>
          <w:rFonts w:ascii="宋体" w:hAnsi="宋体" w:cs="宋体"/>
          <w:color w:val="auto"/>
          <w:highlight w:val="none"/>
        </w:rPr>
      </w:pPr>
      <w:r>
        <w:rPr>
          <w:rFonts w:hint="eastAsia" w:ascii="宋体" w:hAnsi="宋体" w:cs="宋体"/>
          <w:color w:val="auto"/>
          <w:highlight w:val="none"/>
        </w:rPr>
        <w:t>1.投标人应按本招标文件规定的格式和顺序编制、装订投标文件，投标文件内容不完整、编排混乱导致投标文件被误读、漏读或者查找不到相关内容的，是投标人的责任。</w:t>
      </w:r>
    </w:p>
    <w:p>
      <w:pPr>
        <w:ind w:firstLine="480"/>
        <w:rPr>
          <w:rFonts w:ascii="宋体" w:hAnsi="宋体" w:cs="宋体"/>
          <w:color w:val="auto"/>
          <w:highlight w:val="none"/>
        </w:rPr>
      </w:pPr>
      <w:r>
        <w:rPr>
          <w:rFonts w:hint="eastAsia" w:ascii="宋体" w:hAnsi="宋体" w:cs="宋体"/>
          <w:color w:val="auto"/>
          <w:highlight w:val="none"/>
        </w:rPr>
        <w:t>2.投标人应资格证明文件和报价文件单独装订成册、商务技术文件合并装订成册（含</w:t>
      </w:r>
      <w:r>
        <w:rPr>
          <w:rFonts w:hint="eastAsia" w:ascii="宋体" w:hAnsi="宋体" w:cs="宋体"/>
          <w:b/>
          <w:bCs/>
          <w:color w:val="auto"/>
          <w:highlight w:val="none"/>
        </w:rPr>
        <w:t>电子文档</w:t>
      </w:r>
      <w:r>
        <w:rPr>
          <w:rFonts w:hint="eastAsia" w:ascii="宋体" w:hAnsi="宋体" w:cs="宋体"/>
          <w:color w:val="auto"/>
          <w:highlight w:val="none"/>
        </w:rPr>
        <w:t>一份），其中正本一份、副本四份，投标文件的封面应注明“正本“、“副本”字样，以及采购人名称、招标编号、招标项目名称、投标文件名称</w:t>
      </w:r>
      <w:r>
        <w:rPr>
          <w:rFonts w:hint="eastAsia" w:ascii="宋体" w:hAnsi="宋体" w:cs="宋体"/>
          <w:color w:val="auto"/>
          <w:spacing w:val="-6"/>
          <w:szCs w:val="21"/>
          <w:highlight w:val="none"/>
        </w:rPr>
        <w:t>（报价文件、资格文件、商务技术文件）</w:t>
      </w:r>
      <w:r>
        <w:rPr>
          <w:rFonts w:hint="eastAsia" w:ascii="宋体" w:hAnsi="宋体" w:cs="宋体"/>
          <w:color w:val="auto"/>
          <w:highlight w:val="none"/>
        </w:rPr>
        <w:t>、投标人名称、投标人地址、投标人授权代表签字及日期。</w:t>
      </w:r>
    </w:p>
    <w:p>
      <w:pPr>
        <w:ind w:firstLine="240" w:firstLineChars="100"/>
        <w:rPr>
          <w:rFonts w:ascii="宋体" w:hAnsi="宋体" w:cs="宋体"/>
          <w:color w:val="auto"/>
          <w:highlight w:val="none"/>
        </w:rPr>
      </w:pPr>
      <w:r>
        <w:rPr>
          <w:rFonts w:hint="eastAsia" w:ascii="宋体" w:hAnsi="宋体" w:cs="宋体"/>
          <w:bCs/>
          <w:color w:val="auto"/>
          <w:kern w:val="0"/>
          <w:szCs w:val="21"/>
          <w:highlight w:val="none"/>
        </w:rPr>
        <w:t>★3.</w:t>
      </w:r>
      <w:r>
        <w:rPr>
          <w:rFonts w:hint="eastAsia" w:ascii="宋体" w:hAnsi="宋体" w:cs="宋体"/>
          <w:color w:val="auto"/>
          <w:highlight w:val="none"/>
        </w:rPr>
        <w:t>活页装订（卡条、抽杆夹、订书机、散装）的投标文件无效。</w:t>
      </w:r>
    </w:p>
    <w:p>
      <w:pPr>
        <w:ind w:firstLine="480"/>
        <w:rPr>
          <w:rFonts w:ascii="宋体" w:hAnsi="宋体" w:cs="宋体"/>
          <w:color w:val="auto"/>
          <w:highlight w:val="none"/>
        </w:rPr>
      </w:pPr>
      <w:r>
        <w:rPr>
          <w:rFonts w:hint="eastAsia" w:ascii="宋体" w:hAnsi="宋体" w:cs="宋体"/>
          <w:color w:val="auto"/>
          <w:highlight w:val="none"/>
        </w:rPr>
        <w:t>4.投标文件的正本必须以不褪色的墨水填写或打印（（原件和复印件须加盖公章）），注明“正本”字样，副本可以是正本加盖公章后的复印件。</w:t>
      </w:r>
    </w:p>
    <w:p>
      <w:pPr>
        <w:ind w:firstLine="480"/>
        <w:rPr>
          <w:rFonts w:ascii="宋体" w:hAnsi="宋体" w:cs="宋体"/>
          <w:color w:val="auto"/>
          <w:highlight w:val="none"/>
        </w:rPr>
      </w:pPr>
      <w:r>
        <w:rPr>
          <w:rFonts w:hint="eastAsia" w:ascii="宋体" w:hAnsi="宋体" w:cs="宋体"/>
          <w:color w:val="auto"/>
          <w:highlight w:val="none"/>
        </w:rPr>
        <w:t>5.投标文件须由投标人在规定位置盖章并由投标人代表签署，投标人应写全称。</w:t>
      </w:r>
    </w:p>
    <w:p>
      <w:pPr>
        <w:ind w:firstLine="480"/>
        <w:rPr>
          <w:rFonts w:ascii="宋体" w:hAnsi="宋体" w:cs="宋体"/>
          <w:color w:val="auto"/>
          <w:highlight w:val="none"/>
        </w:rPr>
      </w:pPr>
      <w:r>
        <w:rPr>
          <w:rFonts w:hint="eastAsia" w:ascii="宋体" w:hAnsi="宋体" w:cs="宋体"/>
          <w:color w:val="auto"/>
          <w:highlight w:val="none"/>
        </w:rPr>
        <w:t>6.投标文件不得涂改，若有修改错漏处，须由投标人代表签字并加盖公章。投标文件因字迹潦草或表达不清所引起的后果由投标人负责。</w:t>
      </w:r>
    </w:p>
    <w:p>
      <w:pPr>
        <w:pStyle w:val="5"/>
        <w:jc w:val="center"/>
        <w:rPr>
          <w:rFonts w:ascii="宋体" w:hAnsi="宋体" w:cs="宋体"/>
          <w:color w:val="auto"/>
          <w:highlight w:val="none"/>
        </w:rPr>
      </w:pPr>
      <w:bookmarkStart w:id="69" w:name="_Toc12521"/>
      <w:bookmarkStart w:id="70" w:name="_Toc1"/>
      <w:r>
        <w:rPr>
          <w:rFonts w:hint="eastAsia" w:ascii="宋体" w:hAnsi="宋体" w:cs="宋体"/>
          <w:color w:val="auto"/>
          <w:highlight w:val="none"/>
        </w:rPr>
        <w:t>第四节 投标文件的递交</w:t>
      </w:r>
      <w:bookmarkEnd w:id="69"/>
      <w:bookmarkEnd w:id="70"/>
    </w:p>
    <w:p>
      <w:pPr>
        <w:pStyle w:val="6"/>
        <w:rPr>
          <w:rFonts w:ascii="宋体" w:hAnsi="宋体" w:cs="宋体"/>
          <w:color w:val="auto"/>
          <w:highlight w:val="none"/>
        </w:rPr>
      </w:pPr>
      <w:r>
        <w:rPr>
          <w:rFonts w:hint="eastAsia" w:ascii="宋体" w:hAnsi="宋体" w:cs="宋体"/>
          <w:color w:val="auto"/>
          <w:highlight w:val="none"/>
        </w:rPr>
        <w:t>一、投标文件的密封及标记</w:t>
      </w:r>
    </w:p>
    <w:p>
      <w:pPr>
        <w:ind w:firstLine="480"/>
        <w:rPr>
          <w:rFonts w:ascii="宋体" w:hAnsi="宋体" w:cs="宋体"/>
          <w:color w:val="auto"/>
          <w:spacing w:val="-6"/>
          <w:szCs w:val="21"/>
          <w:highlight w:val="none"/>
        </w:rPr>
      </w:pPr>
      <w:r>
        <w:rPr>
          <w:rFonts w:hint="eastAsia" w:ascii="宋体" w:hAnsi="宋体" w:cs="宋体"/>
          <w:color w:val="auto"/>
          <w:highlight w:val="none"/>
        </w:rPr>
        <w:t>1.将全部投标文件（资格证明文件、报价文件、商务技术文件三部分）分别包装。</w:t>
      </w:r>
    </w:p>
    <w:p>
      <w:pPr>
        <w:ind w:firstLine="480"/>
        <w:rPr>
          <w:rFonts w:ascii="宋体" w:hAnsi="宋体" w:cs="宋体"/>
          <w:color w:val="auto"/>
          <w:highlight w:val="none"/>
        </w:rPr>
      </w:pPr>
      <w:r>
        <w:rPr>
          <w:rFonts w:hint="eastAsia" w:ascii="宋体" w:hAnsi="宋体" w:cs="宋体"/>
          <w:color w:val="auto"/>
          <w:highlight w:val="none"/>
        </w:rPr>
        <w:t>2.投标文件（资格证明文件、商务技术文件、报价文件）应按以下办法分别装袋密封：</w:t>
      </w:r>
    </w:p>
    <w:p>
      <w:pPr>
        <w:ind w:firstLine="480"/>
        <w:rPr>
          <w:rFonts w:ascii="宋体" w:hAnsi="宋体" w:cs="宋体"/>
          <w:color w:val="auto"/>
          <w:highlight w:val="none"/>
        </w:rPr>
      </w:pPr>
      <w:r>
        <w:rPr>
          <w:rFonts w:hint="eastAsia" w:ascii="宋体" w:hAnsi="宋体" w:cs="宋体"/>
          <w:color w:val="auto"/>
          <w:highlight w:val="none"/>
        </w:rPr>
        <w:t>相同部分的投标文件密封袋内装投标文件正副本。外层封皮上写明采购人名称、招标编号、招标项目名称、投标文件名称</w:t>
      </w:r>
      <w:r>
        <w:rPr>
          <w:rFonts w:hint="eastAsia" w:ascii="宋体" w:hAnsi="宋体" w:cs="宋体"/>
          <w:color w:val="auto"/>
          <w:spacing w:val="-6"/>
          <w:szCs w:val="21"/>
          <w:highlight w:val="none"/>
        </w:rPr>
        <w:t>（资格证明文件、报价文件、商务技术文件）</w:t>
      </w:r>
      <w:r>
        <w:rPr>
          <w:rFonts w:hint="eastAsia" w:ascii="宋体" w:hAnsi="宋体" w:cs="宋体"/>
          <w:color w:val="auto"/>
          <w:highlight w:val="none"/>
        </w:rPr>
        <w:t>、投标人名称、投标人地址、投标人授权代表签字及日期并注明“</w:t>
      </w:r>
      <w:r>
        <w:rPr>
          <w:rFonts w:hint="eastAsia" w:ascii="宋体" w:hAnsi="宋体" w:cs="宋体"/>
          <w:bCs/>
          <w:color w:val="auto"/>
          <w:spacing w:val="-6"/>
          <w:highlight w:val="none"/>
        </w:rPr>
        <w:t>在    年  月  日  时  分之前不得启封</w:t>
      </w:r>
      <w:r>
        <w:rPr>
          <w:rFonts w:hint="eastAsia" w:ascii="宋体" w:hAnsi="宋体" w:cs="宋体"/>
          <w:color w:val="auto"/>
          <w:highlight w:val="none"/>
        </w:rPr>
        <w:t>”字样。</w:t>
      </w:r>
    </w:p>
    <w:p>
      <w:pPr>
        <w:ind w:firstLine="480"/>
        <w:rPr>
          <w:rFonts w:ascii="宋体" w:hAnsi="宋体" w:cs="宋体"/>
          <w:color w:val="auto"/>
          <w:highlight w:val="none"/>
        </w:rPr>
      </w:pPr>
      <w:r>
        <w:rPr>
          <w:rFonts w:hint="eastAsia" w:ascii="宋体" w:hAnsi="宋体" w:cs="宋体"/>
          <w:color w:val="auto"/>
          <w:highlight w:val="none"/>
        </w:rPr>
        <w:t>3.商务技术文件密封袋内含</w:t>
      </w:r>
      <w:r>
        <w:rPr>
          <w:rFonts w:hint="eastAsia" w:ascii="宋体" w:hAnsi="宋体" w:cs="宋体"/>
          <w:b/>
          <w:bCs/>
          <w:color w:val="auto"/>
          <w:highlight w:val="none"/>
        </w:rPr>
        <w:t>电子文档</w:t>
      </w:r>
      <w:r>
        <w:rPr>
          <w:rFonts w:hint="eastAsia" w:ascii="宋体" w:hAnsi="宋体" w:cs="宋体"/>
          <w:color w:val="auto"/>
          <w:highlight w:val="none"/>
        </w:rPr>
        <w:t>一份，必须与提供已签字盖章的纸质商务技术文件正本一致的扫描件，PDF格式，</w:t>
      </w:r>
      <w:r>
        <w:rPr>
          <w:rFonts w:hint="eastAsia" w:ascii="宋体" w:hAnsi="宋体" w:cs="宋体"/>
          <w:b/>
          <w:bCs/>
          <w:color w:val="auto"/>
          <w:highlight w:val="none"/>
        </w:rPr>
        <w:t>U盘</w:t>
      </w:r>
      <w:r>
        <w:rPr>
          <w:rFonts w:hint="eastAsia" w:ascii="宋体" w:hAnsi="宋体" w:cs="宋体"/>
          <w:color w:val="auto"/>
          <w:highlight w:val="none"/>
        </w:rPr>
        <w:t>存储。</w:t>
      </w:r>
    </w:p>
    <w:p>
      <w:pPr>
        <w:ind w:firstLine="480"/>
        <w:rPr>
          <w:rFonts w:ascii="宋体" w:hAnsi="宋体" w:cs="宋体"/>
          <w:color w:val="auto"/>
          <w:highlight w:val="none"/>
        </w:rPr>
      </w:pPr>
      <w:r>
        <w:rPr>
          <w:rFonts w:hint="eastAsia" w:ascii="宋体" w:hAnsi="宋体" w:cs="宋体"/>
          <w:color w:val="auto"/>
          <w:highlight w:val="none"/>
        </w:rPr>
        <w:t>4.如果投标人未按上述要求密封及加写标记，招标方对投标文件的误投和提前启封概不负责。</w:t>
      </w:r>
    </w:p>
    <w:p>
      <w:pPr>
        <w:ind w:firstLine="480"/>
        <w:rPr>
          <w:rFonts w:ascii="宋体" w:hAnsi="宋体" w:cs="宋体"/>
          <w:color w:val="auto"/>
          <w:highlight w:val="none"/>
        </w:rPr>
      </w:pPr>
      <w:r>
        <w:rPr>
          <w:rFonts w:hint="eastAsia" w:ascii="宋体" w:hAnsi="宋体" w:cs="宋体"/>
          <w:color w:val="auto"/>
          <w:highlight w:val="none"/>
        </w:rPr>
        <w:t>5.投标文件必须在投标截止时间前邮寄到达或派人送达到指定的投标地点，在投标截止时间以后送达的投标文件或者未按照招标文件要求密封的投标文件，招标方拒绝接收。</w:t>
      </w:r>
    </w:p>
    <w:p>
      <w:pPr>
        <w:ind w:firstLine="480"/>
        <w:rPr>
          <w:rFonts w:ascii="宋体" w:hAnsi="宋体" w:cs="宋体"/>
          <w:color w:val="auto"/>
          <w:highlight w:val="none"/>
        </w:rPr>
      </w:pPr>
      <w:r>
        <w:rPr>
          <w:rFonts w:hint="eastAsia" w:ascii="宋体" w:hAnsi="宋体" w:cs="宋体"/>
          <w:color w:val="auto"/>
          <w:highlight w:val="none"/>
        </w:rPr>
        <w:t>6.招标方对投标文件在邮寄过程中的遗失或损坏不负责任。</w:t>
      </w:r>
    </w:p>
    <w:p>
      <w:pPr>
        <w:pStyle w:val="6"/>
        <w:rPr>
          <w:rFonts w:ascii="宋体" w:hAnsi="宋体" w:cs="宋体"/>
          <w:color w:val="auto"/>
          <w:highlight w:val="none"/>
        </w:rPr>
      </w:pPr>
      <w:r>
        <w:rPr>
          <w:rFonts w:hint="eastAsia" w:ascii="宋体" w:hAnsi="宋体" w:cs="宋体"/>
          <w:color w:val="auto"/>
          <w:highlight w:val="none"/>
        </w:rPr>
        <w:t>二、投标文件的补充、修改或撤回</w:t>
      </w:r>
    </w:p>
    <w:p>
      <w:pPr>
        <w:ind w:firstLine="480"/>
        <w:rPr>
          <w:rFonts w:ascii="宋体" w:hAnsi="宋体" w:cs="宋体"/>
          <w:color w:val="auto"/>
          <w:highlight w:val="none"/>
        </w:rPr>
      </w:pPr>
      <w:r>
        <w:rPr>
          <w:rFonts w:hint="eastAsia" w:ascii="宋体" w:hAnsi="宋体" w:cs="宋体"/>
          <w:color w:val="auto"/>
          <w:highlight w:val="none"/>
        </w:rPr>
        <w:t>1.投标以后，如果投标人在投标截止时间前提出补充、修改或撤回要求，必须提供有法人代表或全权代表签署的要求撤回投标的正式文件，本招标代理公司将予以接受。</w:t>
      </w:r>
    </w:p>
    <w:p>
      <w:pPr>
        <w:ind w:firstLine="480"/>
        <w:rPr>
          <w:rFonts w:ascii="宋体" w:hAnsi="宋体" w:cs="宋体"/>
          <w:color w:val="auto"/>
          <w:highlight w:val="none"/>
        </w:rPr>
      </w:pPr>
      <w:r>
        <w:rPr>
          <w:rFonts w:hint="eastAsia" w:ascii="宋体" w:hAnsi="宋体" w:cs="宋体"/>
          <w:color w:val="auto"/>
          <w:highlight w:val="none"/>
        </w:rPr>
        <w:t>2.投标人修改投标文件的书面村料，须密封送达招标方，同时应在封套上标明“修改投标文件（并注明招标编号）”和“</w:t>
      </w:r>
      <w:r>
        <w:rPr>
          <w:rFonts w:hint="eastAsia" w:ascii="宋体" w:hAnsi="宋体" w:cs="宋体"/>
          <w:bCs/>
          <w:color w:val="auto"/>
          <w:spacing w:val="-6"/>
          <w:highlight w:val="none"/>
        </w:rPr>
        <w:t>在    年  月  日  时  分之前不得启封</w:t>
      </w:r>
      <w:r>
        <w:rPr>
          <w:rFonts w:hint="eastAsia" w:ascii="宋体" w:hAnsi="宋体" w:cs="宋体"/>
          <w:color w:val="auto"/>
          <w:highlight w:val="none"/>
        </w:rPr>
        <w:t>”字样。</w:t>
      </w:r>
    </w:p>
    <w:p>
      <w:pPr>
        <w:ind w:firstLine="480"/>
        <w:rPr>
          <w:rFonts w:ascii="宋体" w:hAnsi="宋体" w:cs="宋体"/>
          <w:color w:val="auto"/>
          <w:highlight w:val="none"/>
        </w:rPr>
      </w:pPr>
      <w:r>
        <w:rPr>
          <w:rFonts w:hint="eastAsia" w:ascii="宋体" w:hAnsi="宋体" w:cs="宋体"/>
          <w:color w:val="auto"/>
          <w:highlight w:val="none"/>
        </w:rPr>
        <w:t>3.开标后投标人不得撤回投标，投标文件不予退还。</w:t>
      </w:r>
    </w:p>
    <w:p>
      <w:pPr>
        <w:pStyle w:val="5"/>
        <w:jc w:val="center"/>
        <w:rPr>
          <w:rFonts w:ascii="宋体" w:hAnsi="宋体" w:cs="宋体"/>
          <w:color w:val="auto"/>
          <w:highlight w:val="none"/>
        </w:rPr>
      </w:pPr>
      <w:bookmarkStart w:id="71" w:name="_Toc20835"/>
      <w:bookmarkStart w:id="72" w:name="_Toc27893"/>
      <w:r>
        <w:rPr>
          <w:rFonts w:hint="eastAsia" w:ascii="宋体" w:hAnsi="宋体" w:cs="宋体"/>
          <w:color w:val="auto"/>
          <w:highlight w:val="none"/>
        </w:rPr>
        <w:t>第五节 开标</w:t>
      </w:r>
      <w:bookmarkEnd w:id="71"/>
      <w:bookmarkEnd w:id="72"/>
    </w:p>
    <w:p>
      <w:pPr>
        <w:pStyle w:val="6"/>
        <w:rPr>
          <w:rFonts w:ascii="宋体" w:hAnsi="宋体" w:cs="宋体"/>
          <w:color w:val="auto"/>
          <w:highlight w:val="none"/>
        </w:rPr>
      </w:pPr>
      <w:r>
        <w:rPr>
          <w:rFonts w:hint="eastAsia" w:ascii="宋体" w:hAnsi="宋体" w:cs="宋体"/>
          <w:color w:val="auto"/>
          <w:highlight w:val="none"/>
        </w:rPr>
        <w:t>一、开标流程</w:t>
      </w:r>
    </w:p>
    <w:p>
      <w:pPr>
        <w:ind w:firstLine="480"/>
        <w:rPr>
          <w:rFonts w:ascii="宋体" w:hAnsi="宋体" w:cs="宋体"/>
          <w:color w:val="auto"/>
          <w:highlight w:val="none"/>
        </w:rPr>
      </w:pPr>
      <w:r>
        <w:rPr>
          <w:rFonts w:hint="eastAsia" w:ascii="宋体" w:hAnsi="宋体" w:cs="宋体"/>
          <w:color w:val="auto"/>
          <w:highlight w:val="none"/>
        </w:rPr>
        <w:t>1.采购代理机构将按照采购公告规定的时间、地点组织开标，开标原则上采取先拆封商务和技术文件、商务技术评审后拆封报价文件的顺序进行。具体按以下程序进行。</w:t>
      </w:r>
    </w:p>
    <w:p>
      <w:pPr>
        <w:ind w:firstLine="480"/>
        <w:rPr>
          <w:rFonts w:ascii="宋体" w:hAnsi="宋体" w:cs="宋体"/>
          <w:color w:val="auto"/>
          <w:highlight w:val="none"/>
        </w:rPr>
      </w:pPr>
      <w:r>
        <w:rPr>
          <w:rFonts w:hint="eastAsia" w:ascii="宋体" w:hAnsi="宋体" w:cs="宋体"/>
          <w:color w:val="auto"/>
          <w:highlight w:val="none"/>
        </w:rPr>
        <w:t>（1）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ind w:firstLine="480"/>
        <w:rPr>
          <w:rFonts w:ascii="宋体" w:hAnsi="宋体" w:cs="宋体"/>
          <w:color w:val="auto"/>
          <w:highlight w:val="none"/>
        </w:rPr>
      </w:pPr>
      <w:r>
        <w:rPr>
          <w:rFonts w:hint="eastAsia" w:ascii="宋体" w:hAnsi="宋体" w:cs="宋体"/>
          <w:color w:val="auto"/>
          <w:highlight w:val="none"/>
        </w:rPr>
        <w:t>（2）采购代理机构接收投标文件并登记，各投标人法定代表人或其授权代表对投标文件的递交记录情况进行签字确认。没有整体密封包装的投标文件，将被当场拒绝。</w:t>
      </w:r>
    </w:p>
    <w:p>
      <w:pPr>
        <w:ind w:firstLine="480"/>
        <w:rPr>
          <w:rFonts w:ascii="宋体" w:hAnsi="宋体" w:cs="宋体"/>
          <w:color w:val="auto"/>
          <w:highlight w:val="none"/>
        </w:rPr>
      </w:pPr>
      <w:r>
        <w:rPr>
          <w:rFonts w:hint="eastAsia" w:ascii="宋体" w:hAnsi="宋体" w:cs="宋体"/>
          <w:color w:val="auto"/>
          <w:highlight w:val="none"/>
        </w:rPr>
        <w:t>（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ind w:firstLine="480"/>
        <w:rPr>
          <w:rFonts w:ascii="宋体" w:hAnsi="宋体" w:cs="宋体"/>
          <w:color w:val="auto"/>
          <w:highlight w:val="none"/>
        </w:rPr>
      </w:pPr>
      <w:r>
        <w:rPr>
          <w:rFonts w:hint="eastAsia" w:ascii="宋体" w:hAnsi="宋体" w:cs="宋体"/>
          <w:color w:val="auto"/>
          <w:highlight w:val="none"/>
        </w:rPr>
        <w:t>（4请投标人或者其推选的代表查验投标文件密封情况。</w:t>
      </w:r>
    </w:p>
    <w:p>
      <w:pPr>
        <w:ind w:firstLine="480"/>
        <w:rPr>
          <w:rFonts w:ascii="宋体" w:hAnsi="宋体" w:cs="宋体"/>
          <w:color w:val="auto"/>
          <w:highlight w:val="none"/>
        </w:rPr>
      </w:pPr>
      <w:r>
        <w:rPr>
          <w:rFonts w:hint="eastAsia" w:ascii="宋体" w:hAnsi="宋体" w:cs="宋体"/>
          <w:color w:val="auto"/>
          <w:highlight w:val="none"/>
        </w:rPr>
        <w:t>（5）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资信技术文件、报价文件的评审。并退还其他投标文件。</w:t>
      </w:r>
    </w:p>
    <w:p>
      <w:pPr>
        <w:ind w:firstLine="480"/>
        <w:rPr>
          <w:rFonts w:ascii="宋体" w:hAnsi="宋体" w:cs="宋体"/>
          <w:color w:val="auto"/>
          <w:highlight w:val="none"/>
        </w:rPr>
      </w:pPr>
      <w:r>
        <w:rPr>
          <w:rFonts w:hint="eastAsia" w:ascii="宋体" w:hAnsi="宋体" w:cs="宋体"/>
          <w:color w:val="auto"/>
          <w:highlight w:val="none"/>
        </w:rPr>
        <w:t>（6）对资格审查通过的商务和技术文件由现场工作人员护送至指定的评审地点。对不符合装订要求的采购响应文件，由现场工作人员退还供应商代表。</w:t>
      </w:r>
    </w:p>
    <w:p>
      <w:pPr>
        <w:ind w:firstLine="480"/>
        <w:rPr>
          <w:rFonts w:ascii="宋体" w:hAnsi="宋体" w:cs="宋体"/>
          <w:color w:val="auto"/>
          <w:highlight w:val="none"/>
        </w:rPr>
      </w:pPr>
      <w:r>
        <w:rPr>
          <w:rFonts w:hint="eastAsia" w:ascii="宋体" w:hAnsi="宋体" w:cs="宋体"/>
          <w:color w:val="auto"/>
          <w:highlight w:val="none"/>
        </w:rPr>
        <w:t>（7）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ind w:firstLine="480"/>
        <w:rPr>
          <w:rFonts w:ascii="宋体" w:hAnsi="宋体" w:cs="宋体"/>
          <w:color w:val="auto"/>
          <w:highlight w:val="none"/>
        </w:rPr>
      </w:pPr>
      <w:r>
        <w:rPr>
          <w:rFonts w:hint="eastAsia" w:ascii="宋体" w:hAnsi="宋体" w:cs="宋体"/>
          <w:color w:val="auto"/>
          <w:highlight w:val="none"/>
        </w:rPr>
        <w:t>（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ind w:firstLine="480"/>
        <w:rPr>
          <w:rFonts w:ascii="宋体" w:hAnsi="宋体" w:cs="宋体"/>
          <w:color w:val="auto"/>
          <w:highlight w:val="none"/>
        </w:rPr>
      </w:pPr>
      <w:r>
        <w:rPr>
          <w:rFonts w:hint="eastAsia" w:ascii="宋体" w:hAnsi="宋体" w:cs="宋体"/>
          <w:color w:val="auto"/>
          <w:highlight w:val="none"/>
        </w:rPr>
        <w:t>（9）评审结束后，采购代理机构公布中标候选人名单，及采购人最终确定中标人名单的时间和公告方式等。</w:t>
      </w:r>
    </w:p>
    <w:p>
      <w:pPr>
        <w:pStyle w:val="6"/>
        <w:rPr>
          <w:rFonts w:ascii="宋体" w:hAnsi="宋体" w:cs="宋体"/>
          <w:color w:val="auto"/>
          <w:highlight w:val="none"/>
        </w:rPr>
      </w:pPr>
      <w:r>
        <w:rPr>
          <w:rFonts w:hint="eastAsia" w:ascii="宋体" w:hAnsi="宋体" w:cs="宋体"/>
          <w:color w:val="auto"/>
          <w:highlight w:val="none"/>
        </w:rPr>
        <w:t>二、投标文件鉴定</w:t>
      </w:r>
    </w:p>
    <w:p>
      <w:pPr>
        <w:ind w:firstLine="480"/>
        <w:rPr>
          <w:rFonts w:ascii="宋体" w:hAnsi="宋体" w:cs="宋体"/>
          <w:color w:val="auto"/>
          <w:highlight w:val="none"/>
        </w:rPr>
      </w:pPr>
      <w:r>
        <w:rPr>
          <w:rFonts w:hint="eastAsia" w:ascii="宋体" w:hAnsi="宋体" w:cs="宋体"/>
          <w:color w:val="auto"/>
          <w:highlight w:val="none"/>
        </w:rPr>
        <w:t>1.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ascii="宋体" w:hAnsi="宋体" w:cs="宋体"/>
          <w:color w:val="auto"/>
          <w:highlight w:val="none"/>
        </w:rPr>
      </w:pPr>
      <w:r>
        <w:rPr>
          <w:rFonts w:hint="eastAsia" w:ascii="宋体" w:hAnsi="宋体" w:cs="宋体"/>
          <w:color w:val="auto"/>
          <w:highlight w:val="none"/>
        </w:rPr>
        <w:t>2.如果投标文件实质上不响应招标文件的要求，采购代理机构及评标委员会将予以拒绝，并且不允许通过修正或撤消不符合要求的差异或保留，使之成为具有响应性的投标。</w:t>
      </w:r>
    </w:p>
    <w:p>
      <w:pPr>
        <w:ind w:firstLine="480"/>
        <w:rPr>
          <w:rFonts w:ascii="宋体" w:hAnsi="宋体" w:cs="宋体"/>
          <w:color w:val="auto"/>
          <w:highlight w:val="none"/>
        </w:rPr>
      </w:pPr>
      <w:r>
        <w:rPr>
          <w:rFonts w:hint="eastAsia" w:ascii="宋体" w:hAnsi="宋体" w:cs="宋体"/>
          <w:color w:val="auto"/>
          <w:highlight w:val="none"/>
        </w:rPr>
        <w:t>3.经开标后递交至评标委员会的投标文件，仍需接受相关符合性的检查，并有可能在评标过程中被判断为无效。</w:t>
      </w:r>
    </w:p>
    <w:p>
      <w:pPr>
        <w:pStyle w:val="5"/>
        <w:jc w:val="center"/>
        <w:rPr>
          <w:rFonts w:ascii="宋体" w:hAnsi="宋体" w:cs="宋体"/>
          <w:color w:val="auto"/>
          <w:highlight w:val="none"/>
        </w:rPr>
      </w:pPr>
      <w:bookmarkStart w:id="73" w:name="_Toc13357"/>
      <w:bookmarkStart w:id="74" w:name="_Toc13687"/>
      <w:r>
        <w:rPr>
          <w:rFonts w:hint="eastAsia" w:ascii="宋体" w:hAnsi="宋体" w:cs="宋体"/>
          <w:color w:val="auto"/>
          <w:highlight w:val="none"/>
        </w:rPr>
        <w:t>第六节 评标</w:t>
      </w:r>
      <w:bookmarkEnd w:id="73"/>
      <w:bookmarkEnd w:id="74"/>
    </w:p>
    <w:p>
      <w:pPr>
        <w:pStyle w:val="6"/>
        <w:rPr>
          <w:rFonts w:ascii="宋体" w:hAnsi="宋体" w:cs="宋体"/>
          <w:color w:val="auto"/>
          <w:highlight w:val="none"/>
        </w:rPr>
      </w:pPr>
      <w:r>
        <w:rPr>
          <w:rFonts w:hint="eastAsia" w:ascii="宋体" w:hAnsi="宋体" w:cs="宋体"/>
          <w:color w:val="auto"/>
          <w:highlight w:val="none"/>
        </w:rPr>
        <w:t>一、组建评标委员会</w:t>
      </w:r>
    </w:p>
    <w:p>
      <w:pPr>
        <w:ind w:firstLine="480"/>
        <w:rPr>
          <w:rFonts w:ascii="宋体" w:hAnsi="宋体" w:cs="宋体"/>
          <w:color w:val="auto"/>
          <w:highlight w:val="none"/>
        </w:rPr>
      </w:pPr>
      <w:r>
        <w:rPr>
          <w:rFonts w:hint="eastAsia" w:ascii="宋体" w:hAnsi="宋体" w:cs="宋体"/>
          <w:color w:val="auto"/>
          <w:highlight w:val="none"/>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6"/>
        <w:rPr>
          <w:rFonts w:ascii="宋体" w:hAnsi="宋体" w:cs="宋体"/>
          <w:color w:val="auto"/>
          <w:highlight w:val="none"/>
        </w:rPr>
      </w:pPr>
      <w:r>
        <w:rPr>
          <w:rFonts w:hint="eastAsia" w:ascii="宋体" w:hAnsi="宋体" w:cs="宋体"/>
          <w:color w:val="auto"/>
          <w:highlight w:val="none"/>
        </w:rPr>
        <w:t>二、评标的方式</w:t>
      </w:r>
    </w:p>
    <w:p>
      <w:pPr>
        <w:ind w:firstLine="480"/>
        <w:rPr>
          <w:rFonts w:ascii="宋体" w:hAnsi="宋体" w:cs="宋体"/>
          <w:color w:val="auto"/>
          <w:highlight w:val="none"/>
        </w:rPr>
      </w:pPr>
      <w:r>
        <w:rPr>
          <w:rFonts w:hint="eastAsia" w:ascii="宋体" w:hAnsi="宋体" w:cs="宋体"/>
          <w:color w:val="auto"/>
          <w:highlight w:val="none"/>
        </w:rPr>
        <w:t>本项目采用不公开方式评标，评标的依据为招标文件和投标文件。不考虑投标人在开标后提交的任何的补充声明、修正方案。</w:t>
      </w:r>
    </w:p>
    <w:p>
      <w:pPr>
        <w:pStyle w:val="6"/>
        <w:rPr>
          <w:rFonts w:ascii="宋体" w:hAnsi="宋体" w:cs="宋体"/>
          <w:color w:val="auto"/>
          <w:highlight w:val="none"/>
        </w:rPr>
      </w:pPr>
      <w:r>
        <w:rPr>
          <w:rFonts w:hint="eastAsia" w:ascii="宋体" w:hAnsi="宋体" w:cs="宋体"/>
          <w:color w:val="auto"/>
          <w:highlight w:val="none"/>
        </w:rPr>
        <w:t>三、评标原则</w:t>
      </w:r>
    </w:p>
    <w:p>
      <w:pPr>
        <w:ind w:firstLine="480"/>
        <w:rPr>
          <w:rFonts w:ascii="宋体" w:hAnsi="宋体" w:cs="宋体"/>
          <w:color w:val="auto"/>
          <w:highlight w:val="none"/>
        </w:rPr>
      </w:pPr>
      <w:r>
        <w:rPr>
          <w:rFonts w:hint="eastAsia" w:ascii="宋体" w:hAnsi="宋体" w:cs="宋体"/>
          <w:color w:val="auto"/>
          <w:highlight w:val="none"/>
        </w:rPr>
        <w:t>评标严格按照招标文件的要求和条件，只依据投标内容本身，不依靠开标后的任何外来证明。以公开、公正、公平、效益的原则进行；比较报价，同时考虑以下因素；</w:t>
      </w:r>
    </w:p>
    <w:p>
      <w:pPr>
        <w:ind w:firstLine="480"/>
        <w:rPr>
          <w:rFonts w:ascii="宋体" w:hAnsi="宋体" w:cs="宋体"/>
          <w:color w:val="auto"/>
          <w:highlight w:val="none"/>
        </w:rPr>
      </w:pPr>
      <w:r>
        <w:rPr>
          <w:rFonts w:hint="eastAsia" w:ascii="宋体" w:hAnsi="宋体" w:cs="宋体"/>
          <w:color w:val="auto"/>
          <w:highlight w:val="none"/>
        </w:rPr>
        <w:t>1.价格合理，方案、产品先进、可靠。</w:t>
      </w:r>
    </w:p>
    <w:p>
      <w:pPr>
        <w:ind w:firstLine="480"/>
        <w:rPr>
          <w:rFonts w:ascii="宋体" w:hAnsi="宋体" w:cs="宋体"/>
          <w:color w:val="auto"/>
          <w:highlight w:val="none"/>
        </w:rPr>
      </w:pPr>
      <w:r>
        <w:rPr>
          <w:rFonts w:hint="eastAsia" w:ascii="宋体" w:hAnsi="宋体" w:cs="宋体"/>
          <w:color w:val="auto"/>
          <w:highlight w:val="none"/>
        </w:rPr>
        <w:t>2.经营信誉。</w:t>
      </w:r>
    </w:p>
    <w:p>
      <w:pPr>
        <w:ind w:firstLine="480"/>
        <w:rPr>
          <w:rFonts w:ascii="宋体" w:hAnsi="宋体" w:cs="宋体"/>
          <w:color w:val="auto"/>
          <w:highlight w:val="none"/>
        </w:rPr>
      </w:pPr>
      <w:r>
        <w:rPr>
          <w:rFonts w:hint="eastAsia" w:ascii="宋体" w:hAnsi="宋体" w:cs="宋体"/>
          <w:color w:val="auto"/>
          <w:highlight w:val="none"/>
        </w:rPr>
        <w:t>3.反对不正当竞争。</w:t>
      </w:r>
    </w:p>
    <w:p>
      <w:pPr>
        <w:pStyle w:val="6"/>
        <w:rPr>
          <w:rFonts w:ascii="宋体" w:hAnsi="宋体" w:cs="宋体"/>
          <w:color w:val="auto"/>
          <w:highlight w:val="none"/>
        </w:rPr>
      </w:pPr>
      <w:r>
        <w:rPr>
          <w:rFonts w:hint="eastAsia" w:ascii="宋体" w:hAnsi="宋体" w:cs="宋体"/>
          <w:color w:val="auto"/>
          <w:highlight w:val="none"/>
        </w:rPr>
        <w:t>四、评标程序</w:t>
      </w:r>
    </w:p>
    <w:p>
      <w:pPr>
        <w:ind w:firstLine="480"/>
        <w:rPr>
          <w:rFonts w:ascii="宋体" w:hAnsi="宋体" w:cs="宋体"/>
          <w:color w:val="auto"/>
          <w:highlight w:val="none"/>
        </w:rPr>
      </w:pPr>
      <w:r>
        <w:rPr>
          <w:rFonts w:hint="eastAsia" w:ascii="宋体" w:hAnsi="宋体" w:cs="宋体"/>
          <w:color w:val="auto"/>
          <w:highlight w:val="none"/>
        </w:rPr>
        <w:t>1.采购代理机构按照招标文件规定的时间、地点及程序组织评审。评审活动一般应按以下程序组织开展：</w:t>
      </w:r>
    </w:p>
    <w:p>
      <w:pPr>
        <w:ind w:firstLine="480"/>
        <w:rPr>
          <w:rFonts w:ascii="宋体" w:hAnsi="宋体" w:cs="宋体"/>
          <w:color w:val="auto"/>
          <w:highlight w:val="none"/>
        </w:rPr>
      </w:pPr>
      <w:r>
        <w:rPr>
          <w:rFonts w:hint="eastAsia" w:ascii="宋体" w:hAnsi="宋体" w:cs="宋体"/>
          <w:color w:val="auto"/>
          <w:highlight w:val="none"/>
        </w:rPr>
        <w:t>（1）开启评审场地的录音录像采集设备，并确保其正常运行。</w:t>
      </w:r>
    </w:p>
    <w:p>
      <w:pPr>
        <w:ind w:firstLine="480"/>
        <w:rPr>
          <w:rFonts w:ascii="宋体" w:hAnsi="宋体" w:cs="宋体"/>
          <w:color w:val="auto"/>
          <w:highlight w:val="none"/>
        </w:rPr>
      </w:pPr>
      <w:r>
        <w:rPr>
          <w:rFonts w:hint="eastAsia" w:ascii="宋体" w:hAnsi="宋体" w:cs="宋体"/>
          <w:color w:val="auto"/>
          <w:highlight w:val="none"/>
        </w:rPr>
        <w:t>（2）核验出席评审活动现场的评标委员会各成员身份，并要求其分别登记、签到，按规定统一收缴、保存其通讯工具，无关人员一律拒绝其进入评审现场。</w:t>
      </w:r>
    </w:p>
    <w:p>
      <w:pPr>
        <w:ind w:firstLine="480"/>
        <w:rPr>
          <w:rFonts w:ascii="宋体" w:hAnsi="宋体" w:cs="宋体"/>
          <w:color w:val="auto"/>
          <w:highlight w:val="none"/>
        </w:rPr>
      </w:pPr>
      <w:r>
        <w:rPr>
          <w:rFonts w:hint="eastAsia" w:ascii="宋体" w:hAnsi="宋体" w:cs="宋体"/>
          <w:color w:val="auto"/>
          <w:highlight w:val="none"/>
        </w:rPr>
        <w:t>（3）介绍评审现场的人员情况，宣布评审工作纪律，告知评标委员会应当回避情形；组织推选评标委员会组长。</w:t>
      </w:r>
    </w:p>
    <w:p>
      <w:pPr>
        <w:ind w:firstLine="480"/>
        <w:rPr>
          <w:rFonts w:ascii="宋体" w:hAnsi="宋体" w:cs="宋体"/>
          <w:color w:val="auto"/>
          <w:highlight w:val="none"/>
        </w:rPr>
      </w:pPr>
      <w:r>
        <w:rPr>
          <w:rFonts w:hint="eastAsia" w:ascii="宋体" w:hAnsi="宋体" w:cs="宋体"/>
          <w:color w:val="auto"/>
          <w:highlight w:val="none"/>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ascii="宋体" w:hAnsi="宋体" w:cs="宋体"/>
          <w:color w:val="auto"/>
          <w:highlight w:val="none"/>
        </w:rPr>
      </w:pPr>
      <w:r>
        <w:rPr>
          <w:rFonts w:hint="eastAsia" w:ascii="宋体" w:hAnsi="宋体" w:cs="宋体"/>
          <w:color w:val="auto"/>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ascii="宋体" w:hAnsi="宋体" w:cs="宋体"/>
          <w:color w:val="auto"/>
          <w:highlight w:val="none"/>
        </w:rPr>
      </w:pPr>
      <w:r>
        <w:rPr>
          <w:rFonts w:hint="eastAsia" w:ascii="宋体" w:hAnsi="宋体" w:cs="宋体"/>
          <w:color w:val="auto"/>
          <w:highlight w:val="none"/>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ascii="宋体" w:hAnsi="宋体" w:cs="宋体"/>
          <w:color w:val="auto"/>
          <w:highlight w:val="none"/>
        </w:rPr>
      </w:pPr>
      <w:r>
        <w:rPr>
          <w:rFonts w:hint="eastAsia" w:ascii="宋体" w:hAnsi="宋体" w:cs="宋体"/>
          <w:color w:val="auto"/>
          <w:highlight w:val="none"/>
        </w:rPr>
        <w:t>（7）做好评审现场相关记录，协助评标委员会组长做好评审报告起草、有关内容电脑文字录入等工作，并要求评标委员会各成员签字确认。</w:t>
      </w:r>
    </w:p>
    <w:p>
      <w:pPr>
        <w:ind w:firstLine="480"/>
        <w:rPr>
          <w:rFonts w:ascii="宋体" w:hAnsi="宋体" w:cs="宋体"/>
          <w:color w:val="auto"/>
          <w:highlight w:val="none"/>
        </w:rPr>
      </w:pPr>
      <w:r>
        <w:rPr>
          <w:rFonts w:hint="eastAsia" w:ascii="宋体" w:hAnsi="宋体" w:cs="宋体"/>
          <w:color w:val="auto"/>
          <w:highlight w:val="none"/>
        </w:rPr>
        <w:t>（8）评审结束后，采购代理机构交还评审人员及其他现场相关人员的通讯工具。</w:t>
      </w:r>
    </w:p>
    <w:p>
      <w:pPr>
        <w:pStyle w:val="6"/>
        <w:rPr>
          <w:rFonts w:ascii="宋体" w:hAnsi="宋体" w:cs="宋体"/>
          <w:color w:val="auto"/>
          <w:highlight w:val="none"/>
        </w:rPr>
      </w:pPr>
      <w:r>
        <w:rPr>
          <w:rFonts w:hint="eastAsia" w:ascii="宋体" w:hAnsi="宋体" w:cs="宋体"/>
          <w:color w:val="auto"/>
          <w:highlight w:val="none"/>
        </w:rPr>
        <w:t>五、修正原则</w:t>
      </w:r>
    </w:p>
    <w:p>
      <w:pPr>
        <w:ind w:firstLine="480"/>
        <w:rPr>
          <w:rFonts w:ascii="宋体" w:hAnsi="宋体" w:cs="宋体"/>
          <w:color w:val="auto"/>
          <w:highlight w:val="none"/>
        </w:rPr>
      </w:pPr>
      <w:r>
        <w:rPr>
          <w:rFonts w:hint="eastAsia" w:ascii="宋体" w:hAnsi="宋体" w:cs="宋体"/>
          <w:color w:val="auto"/>
          <w:highlight w:val="none"/>
        </w:rPr>
        <w:t>评标委员会对投标文件的商务报价文件进行审核，对发现计算、书写等错误的，按以下原则进行修正：</w:t>
      </w:r>
    </w:p>
    <w:p>
      <w:pPr>
        <w:ind w:firstLine="480"/>
        <w:rPr>
          <w:rFonts w:ascii="宋体" w:hAnsi="宋体" w:cs="宋体"/>
          <w:color w:val="auto"/>
          <w:szCs w:val="32"/>
          <w:highlight w:val="none"/>
        </w:rPr>
      </w:pPr>
      <w:r>
        <w:rPr>
          <w:rFonts w:hint="eastAsia" w:ascii="宋体" w:hAnsi="宋体" w:cs="宋体"/>
          <w:color w:val="auto"/>
          <w:szCs w:val="32"/>
          <w:highlight w:val="none"/>
        </w:rPr>
        <w:t>1.大写金额与小写金额不一致的，以大写金额为准；</w:t>
      </w:r>
    </w:p>
    <w:p>
      <w:pPr>
        <w:ind w:firstLine="480"/>
        <w:rPr>
          <w:rFonts w:ascii="宋体" w:hAnsi="宋体" w:cs="宋体"/>
          <w:color w:val="auto"/>
          <w:szCs w:val="32"/>
          <w:highlight w:val="none"/>
        </w:rPr>
      </w:pPr>
      <w:r>
        <w:rPr>
          <w:rFonts w:hint="eastAsia" w:ascii="宋体" w:hAnsi="宋体" w:cs="宋体"/>
          <w:color w:val="auto"/>
          <w:szCs w:val="32"/>
          <w:highlight w:val="none"/>
        </w:rPr>
        <w:t>2.总价金额与按单价汇总金额不一致的，以单价金额计算结果为准；</w:t>
      </w:r>
    </w:p>
    <w:p>
      <w:pPr>
        <w:ind w:firstLine="480"/>
        <w:rPr>
          <w:rFonts w:ascii="宋体" w:hAnsi="宋体" w:cs="宋体"/>
          <w:color w:val="auto"/>
          <w:szCs w:val="32"/>
          <w:highlight w:val="none"/>
        </w:rPr>
      </w:pPr>
      <w:r>
        <w:rPr>
          <w:rFonts w:hint="eastAsia" w:ascii="宋体" w:hAnsi="宋体" w:cs="宋体"/>
          <w:color w:val="auto"/>
          <w:szCs w:val="32"/>
          <w:highlight w:val="none"/>
        </w:rPr>
        <w:t>3.单价金额小数点有明显错位的，应以总价为准，并修改单价；</w:t>
      </w:r>
    </w:p>
    <w:p>
      <w:pPr>
        <w:ind w:firstLine="480"/>
        <w:rPr>
          <w:rFonts w:ascii="宋体" w:hAnsi="宋体" w:cs="宋体"/>
          <w:color w:val="auto"/>
          <w:szCs w:val="32"/>
          <w:highlight w:val="none"/>
        </w:rPr>
      </w:pPr>
      <w:r>
        <w:rPr>
          <w:rFonts w:hint="eastAsia" w:ascii="宋体" w:hAnsi="宋体" w:cs="宋体"/>
          <w:color w:val="auto"/>
          <w:szCs w:val="32"/>
          <w:highlight w:val="none"/>
        </w:rPr>
        <w:t>4.以修正后的总价作为投标报价。</w:t>
      </w:r>
    </w:p>
    <w:p>
      <w:pPr>
        <w:pStyle w:val="6"/>
        <w:rPr>
          <w:rFonts w:ascii="宋体" w:hAnsi="宋体" w:cs="宋体"/>
          <w:color w:val="auto"/>
          <w:highlight w:val="none"/>
        </w:rPr>
      </w:pPr>
      <w:r>
        <w:rPr>
          <w:rFonts w:hint="eastAsia" w:ascii="宋体" w:hAnsi="宋体" w:cs="宋体"/>
          <w:color w:val="auto"/>
          <w:highlight w:val="none"/>
        </w:rPr>
        <w:t>六、投标无效的情形</w:t>
      </w:r>
    </w:p>
    <w:p>
      <w:pPr>
        <w:ind w:firstLine="480"/>
        <w:rPr>
          <w:rFonts w:ascii="宋体" w:hAnsi="宋体" w:cs="宋体"/>
          <w:color w:val="auto"/>
          <w:highlight w:val="none"/>
        </w:rPr>
      </w:pPr>
      <w:r>
        <w:rPr>
          <w:rFonts w:hint="eastAsia" w:ascii="宋体" w:hAnsi="宋体" w:cs="宋体"/>
          <w:color w:val="auto"/>
          <w:highlight w:val="none"/>
        </w:rPr>
        <w:t>1.在符合性审查、商务和技术评审时，如发现下列情形之一的，投标文件将被视为无效：</w:t>
      </w:r>
    </w:p>
    <w:p>
      <w:pPr>
        <w:ind w:firstLine="480"/>
        <w:rPr>
          <w:rFonts w:ascii="宋体" w:hAnsi="宋体" w:cs="宋体"/>
          <w:color w:val="auto"/>
          <w:highlight w:val="none"/>
        </w:rPr>
      </w:pPr>
      <w:r>
        <w:rPr>
          <w:rFonts w:hint="eastAsia" w:ascii="宋体" w:hAnsi="宋体" w:cs="宋体"/>
          <w:color w:val="auto"/>
          <w:highlight w:val="none"/>
        </w:rPr>
        <w:t>（1）未按照招标文件规定要求装订、密封、签署、盖章的；</w:t>
      </w:r>
    </w:p>
    <w:p>
      <w:pPr>
        <w:ind w:firstLine="480"/>
        <w:rPr>
          <w:rFonts w:ascii="宋体" w:hAnsi="宋体" w:cs="宋体"/>
          <w:color w:val="auto"/>
          <w:highlight w:val="none"/>
        </w:rPr>
      </w:pPr>
      <w:r>
        <w:rPr>
          <w:rFonts w:hint="eastAsia" w:ascii="宋体" w:hAnsi="宋体" w:cs="宋体"/>
          <w:color w:val="auto"/>
          <w:highlight w:val="none"/>
        </w:rPr>
        <w:t>（2）未提供或未按要求提供投标函、法定代表人资格证明书、法定代表人授权委托书、投标声明书；</w:t>
      </w:r>
    </w:p>
    <w:p>
      <w:pPr>
        <w:ind w:firstLine="480"/>
        <w:rPr>
          <w:rFonts w:ascii="宋体" w:hAnsi="宋体" w:cs="宋体"/>
          <w:color w:val="auto"/>
          <w:highlight w:val="none"/>
        </w:rPr>
      </w:pPr>
      <w:r>
        <w:rPr>
          <w:rFonts w:hint="eastAsia" w:ascii="宋体" w:hAnsi="宋体" w:cs="宋体"/>
          <w:color w:val="auto"/>
          <w:highlight w:val="none"/>
        </w:rPr>
        <w:t>（3）法定代表人委托授权代表参加投标但未提供投标授权代表社保缴纳证明的；</w:t>
      </w:r>
    </w:p>
    <w:p>
      <w:pPr>
        <w:ind w:firstLine="480"/>
        <w:rPr>
          <w:rFonts w:ascii="宋体" w:hAnsi="宋体" w:cs="宋体"/>
          <w:color w:val="auto"/>
          <w:highlight w:val="none"/>
        </w:rPr>
      </w:pPr>
      <w:r>
        <w:rPr>
          <w:rFonts w:hint="eastAsia" w:ascii="宋体" w:hAnsi="宋体" w:cs="宋体"/>
          <w:color w:val="auto"/>
          <w:highlight w:val="none"/>
        </w:rPr>
        <w:t>（4）未提供或未如实提供采购需求偏离表的；</w:t>
      </w:r>
    </w:p>
    <w:p>
      <w:pPr>
        <w:ind w:firstLine="480"/>
        <w:rPr>
          <w:rFonts w:ascii="宋体" w:hAnsi="宋体" w:cs="宋体"/>
          <w:color w:val="auto"/>
          <w:highlight w:val="none"/>
        </w:rPr>
      </w:pPr>
      <w:r>
        <w:rPr>
          <w:rFonts w:hint="eastAsia" w:ascii="宋体" w:hAnsi="宋体" w:cs="宋体"/>
          <w:color w:val="auto"/>
          <w:highlight w:val="none"/>
        </w:rPr>
        <w:t>（5）明显不符合招标文件要求，或者与招标文件中标“</w:t>
      </w:r>
      <w:r>
        <w:rPr>
          <w:rFonts w:hint="eastAsia" w:ascii="宋体" w:hAnsi="宋体" w:cs="宋体"/>
          <w:bCs/>
          <w:color w:val="auto"/>
          <w:kern w:val="0"/>
          <w:szCs w:val="21"/>
          <w:highlight w:val="none"/>
        </w:rPr>
        <w:t>★</w:t>
      </w:r>
      <w:r>
        <w:rPr>
          <w:rFonts w:hint="eastAsia" w:ascii="宋体" w:hAnsi="宋体" w:cs="宋体"/>
          <w:color w:val="auto"/>
          <w:highlight w:val="none"/>
        </w:rPr>
        <w:t>”的项目发生实质性偏离的；</w:t>
      </w:r>
    </w:p>
    <w:p>
      <w:pPr>
        <w:ind w:firstLine="480"/>
        <w:rPr>
          <w:rFonts w:ascii="宋体" w:hAnsi="宋体" w:cs="宋体"/>
          <w:color w:val="auto"/>
          <w:highlight w:val="none"/>
        </w:rPr>
      </w:pPr>
      <w:r>
        <w:rPr>
          <w:rFonts w:hint="eastAsia" w:ascii="宋体" w:hAnsi="宋体" w:cs="宋体"/>
          <w:color w:val="auto"/>
          <w:highlight w:val="none"/>
        </w:rPr>
        <w:t>（6）未提供或未如实提供投标货物的技术参数，或者投标文件标明的响应或偏离与事实不符或虚假投标的；</w:t>
      </w:r>
    </w:p>
    <w:p>
      <w:pPr>
        <w:ind w:firstLine="480"/>
        <w:rPr>
          <w:rFonts w:ascii="宋体" w:hAnsi="宋体" w:cs="宋体"/>
          <w:color w:val="auto"/>
          <w:highlight w:val="none"/>
        </w:rPr>
      </w:pPr>
      <w:r>
        <w:rPr>
          <w:rFonts w:hint="eastAsia" w:ascii="宋体" w:hAnsi="宋体" w:cs="宋体"/>
          <w:color w:val="auto"/>
          <w:highlight w:val="none"/>
        </w:rPr>
        <w:t>（7）投标技术方案不明确，存在一个或一个以上备选（替代）投标人案的；</w:t>
      </w:r>
    </w:p>
    <w:p>
      <w:pPr>
        <w:ind w:firstLine="480"/>
        <w:rPr>
          <w:rFonts w:ascii="宋体" w:hAnsi="宋体" w:cs="宋体"/>
          <w:color w:val="auto"/>
          <w:highlight w:val="none"/>
        </w:rPr>
      </w:pPr>
      <w:r>
        <w:rPr>
          <w:rFonts w:hint="eastAsia" w:ascii="宋体" w:hAnsi="宋体" w:cs="宋体"/>
          <w:color w:val="auto"/>
          <w:highlight w:val="none"/>
        </w:rPr>
        <w:t>（8）投标文件含有采购人不能接受的附加条件的；</w:t>
      </w:r>
    </w:p>
    <w:p>
      <w:pPr>
        <w:ind w:firstLine="480"/>
        <w:rPr>
          <w:rFonts w:ascii="宋体" w:hAnsi="宋体" w:cs="宋体"/>
          <w:color w:val="auto"/>
          <w:highlight w:val="none"/>
        </w:rPr>
      </w:pPr>
      <w:r>
        <w:rPr>
          <w:rFonts w:hint="eastAsia" w:ascii="宋体" w:hAnsi="宋体" w:cs="宋体"/>
          <w:color w:val="auto"/>
          <w:highlight w:val="none"/>
        </w:rPr>
        <w:t>（9）法律、法规和招标文件规定的其他无效情形。</w:t>
      </w:r>
    </w:p>
    <w:p>
      <w:pPr>
        <w:ind w:firstLine="480"/>
        <w:rPr>
          <w:rFonts w:ascii="宋体" w:hAnsi="宋体" w:cs="宋体"/>
          <w:color w:val="auto"/>
          <w:highlight w:val="none"/>
        </w:rPr>
      </w:pPr>
      <w:r>
        <w:rPr>
          <w:rFonts w:hint="eastAsia" w:ascii="宋体" w:hAnsi="宋体" w:cs="宋体"/>
          <w:color w:val="auto"/>
          <w:highlight w:val="none"/>
        </w:rPr>
        <w:t>2.在报价评审时，如发现下列情形之一的，投标文件将被视为无效：</w:t>
      </w:r>
    </w:p>
    <w:p>
      <w:pPr>
        <w:ind w:firstLine="480"/>
        <w:rPr>
          <w:rFonts w:ascii="宋体" w:hAnsi="宋体" w:cs="宋体"/>
          <w:color w:val="auto"/>
          <w:highlight w:val="none"/>
        </w:rPr>
      </w:pPr>
      <w:r>
        <w:rPr>
          <w:rFonts w:hint="eastAsia" w:ascii="宋体" w:hAnsi="宋体" w:cs="宋体"/>
          <w:color w:val="auto"/>
          <w:highlight w:val="none"/>
        </w:rPr>
        <w:t>（1）报价文件未按要求签署、盖章的；</w:t>
      </w:r>
    </w:p>
    <w:p>
      <w:pPr>
        <w:ind w:firstLine="480"/>
        <w:rPr>
          <w:rFonts w:ascii="宋体" w:hAnsi="宋体" w:cs="宋体"/>
          <w:color w:val="auto"/>
          <w:highlight w:val="none"/>
        </w:rPr>
      </w:pPr>
      <w:r>
        <w:rPr>
          <w:rFonts w:hint="eastAsia" w:ascii="宋体" w:hAnsi="宋体" w:cs="宋体"/>
          <w:color w:val="auto"/>
          <w:highlight w:val="none"/>
        </w:rPr>
        <w:t>（2）未按照招标文件标明的币种报价的；</w:t>
      </w:r>
    </w:p>
    <w:p>
      <w:pPr>
        <w:ind w:firstLine="480"/>
        <w:rPr>
          <w:rFonts w:ascii="宋体" w:hAnsi="宋体" w:cs="宋体"/>
          <w:color w:val="auto"/>
          <w:highlight w:val="none"/>
        </w:rPr>
      </w:pPr>
      <w:r>
        <w:rPr>
          <w:rFonts w:hint="eastAsia" w:ascii="宋体" w:hAnsi="宋体" w:cs="宋体"/>
          <w:color w:val="auto"/>
          <w:highlight w:val="none"/>
        </w:rPr>
        <w:t>（3）报价明细有缺漏项，或者与招标文件要求不一致的；</w:t>
      </w:r>
    </w:p>
    <w:p>
      <w:pPr>
        <w:ind w:firstLine="480"/>
        <w:rPr>
          <w:rFonts w:ascii="宋体" w:hAnsi="宋体" w:cs="宋体"/>
          <w:color w:val="auto"/>
          <w:highlight w:val="none"/>
        </w:rPr>
      </w:pPr>
      <w:r>
        <w:rPr>
          <w:rFonts w:hint="eastAsia" w:ascii="宋体" w:hAnsi="宋体" w:cs="宋体"/>
          <w:color w:val="auto"/>
          <w:highlight w:val="none"/>
        </w:rPr>
        <w:t>（4）报价超过招标文件中规定的预算金额或者最高限价的；</w:t>
      </w:r>
    </w:p>
    <w:p>
      <w:pPr>
        <w:ind w:firstLine="480"/>
        <w:rPr>
          <w:rFonts w:ascii="宋体" w:hAnsi="宋体" w:cs="宋体"/>
          <w:color w:val="auto"/>
          <w:highlight w:val="none"/>
        </w:rPr>
      </w:pPr>
      <w:r>
        <w:rPr>
          <w:rFonts w:hint="eastAsia" w:ascii="宋体" w:hAnsi="宋体" w:cs="宋体"/>
          <w:color w:val="auto"/>
          <w:highlight w:val="none"/>
        </w:rPr>
        <w:t>（5）报价具有选择性，或者开标价格与投标文件承诺的优惠（折扣）价格不一致的；</w:t>
      </w:r>
    </w:p>
    <w:p>
      <w:pPr>
        <w:ind w:firstLine="480"/>
        <w:rPr>
          <w:rFonts w:ascii="宋体" w:hAnsi="宋体" w:cs="宋体"/>
          <w:color w:val="auto"/>
          <w:highlight w:val="none"/>
        </w:rPr>
      </w:pPr>
      <w:r>
        <w:rPr>
          <w:rFonts w:hint="eastAsia" w:ascii="宋体" w:hAnsi="宋体" w:cs="宋体"/>
          <w:color w:val="auto"/>
          <w:highlight w:val="none"/>
        </w:rPr>
        <w:t>（6）报价明显低于其他通过符合性审查投标人的报价（有可能影响产品质量或者不能诚信履约的），投标人在评标现场合理的时间内无法提供书面说明（必要时提交相关证明材料）证明其报价合理性的。</w:t>
      </w:r>
    </w:p>
    <w:p>
      <w:pPr>
        <w:ind w:firstLine="480"/>
        <w:rPr>
          <w:rFonts w:ascii="宋体" w:hAnsi="宋体" w:cs="宋体"/>
          <w:color w:val="auto"/>
          <w:highlight w:val="none"/>
        </w:rPr>
      </w:pPr>
      <w:r>
        <w:rPr>
          <w:rFonts w:hint="eastAsia" w:ascii="宋体" w:hAnsi="宋体" w:cs="宋体"/>
          <w:color w:val="auto"/>
          <w:highlight w:val="none"/>
        </w:rPr>
        <w:t>3.有下列情形之一的，视为投标人串通投标，其投标无效，由采购人或采购代理机构上报政府采购监督管理部门，视情列入不良行为记录名单，在一至三年内禁止参加政府采购活动：</w:t>
      </w:r>
    </w:p>
    <w:p>
      <w:pPr>
        <w:ind w:firstLine="480"/>
        <w:rPr>
          <w:rFonts w:ascii="宋体" w:hAnsi="宋体" w:cs="宋体"/>
          <w:color w:val="auto"/>
          <w:highlight w:val="none"/>
        </w:rPr>
      </w:pPr>
      <w:r>
        <w:rPr>
          <w:rFonts w:hint="eastAsia" w:ascii="宋体" w:hAnsi="宋体" w:cs="宋体"/>
          <w:color w:val="auto"/>
          <w:highlight w:val="none"/>
        </w:rPr>
        <w:t>（1）不同投标人的投标文件由同一单位或者个人编制；</w:t>
      </w:r>
    </w:p>
    <w:p>
      <w:pPr>
        <w:ind w:firstLine="480"/>
        <w:rPr>
          <w:rFonts w:ascii="宋体" w:hAnsi="宋体" w:cs="宋体"/>
          <w:color w:val="auto"/>
          <w:highlight w:val="none"/>
        </w:rPr>
      </w:pPr>
      <w:r>
        <w:rPr>
          <w:rFonts w:hint="eastAsia" w:ascii="宋体" w:hAnsi="宋体" w:cs="宋体"/>
          <w:color w:val="auto"/>
          <w:highlight w:val="none"/>
        </w:rPr>
        <w:t>（2）不同投标人委托同一单位或者个人办理投标事宜；</w:t>
      </w:r>
    </w:p>
    <w:p>
      <w:pPr>
        <w:ind w:firstLine="480"/>
        <w:rPr>
          <w:rFonts w:ascii="宋体" w:hAnsi="宋体" w:cs="宋体"/>
          <w:color w:val="auto"/>
          <w:highlight w:val="none"/>
        </w:rPr>
      </w:pPr>
      <w:r>
        <w:rPr>
          <w:rFonts w:hint="eastAsia" w:ascii="宋体" w:hAnsi="宋体" w:cs="宋体"/>
          <w:color w:val="auto"/>
          <w:highlight w:val="none"/>
        </w:rPr>
        <w:t>（3）不同投标人的投标文件载明的项目管理成员或者联系人员为同一人；</w:t>
      </w:r>
    </w:p>
    <w:p>
      <w:pPr>
        <w:ind w:firstLine="480"/>
        <w:rPr>
          <w:rFonts w:ascii="宋体" w:hAnsi="宋体" w:cs="宋体"/>
          <w:color w:val="auto"/>
          <w:highlight w:val="none"/>
        </w:rPr>
      </w:pPr>
      <w:r>
        <w:rPr>
          <w:rFonts w:hint="eastAsia" w:ascii="宋体" w:hAnsi="宋体" w:cs="宋体"/>
          <w:color w:val="auto"/>
          <w:highlight w:val="none"/>
        </w:rPr>
        <w:t>（4）不同投标人的投标文件异常一致或者投标报价呈规律性差异；</w:t>
      </w:r>
    </w:p>
    <w:p>
      <w:pPr>
        <w:ind w:firstLine="480"/>
        <w:rPr>
          <w:rFonts w:ascii="宋体" w:hAnsi="宋体" w:cs="宋体"/>
          <w:color w:val="auto"/>
          <w:highlight w:val="none"/>
        </w:rPr>
      </w:pPr>
      <w:r>
        <w:rPr>
          <w:rFonts w:hint="eastAsia" w:ascii="宋体" w:hAnsi="宋体" w:cs="宋体"/>
          <w:color w:val="auto"/>
          <w:highlight w:val="none"/>
        </w:rPr>
        <w:t>（5）不同投标人的投标文件相互混装；</w:t>
      </w:r>
    </w:p>
    <w:p>
      <w:pPr>
        <w:pStyle w:val="6"/>
        <w:rPr>
          <w:rFonts w:ascii="宋体" w:hAnsi="宋体" w:cs="宋体"/>
          <w:color w:val="auto"/>
          <w:highlight w:val="none"/>
        </w:rPr>
      </w:pPr>
      <w:r>
        <w:rPr>
          <w:rFonts w:hint="eastAsia" w:ascii="宋体" w:hAnsi="宋体" w:cs="宋体"/>
          <w:color w:val="auto"/>
          <w:highlight w:val="none"/>
        </w:rPr>
        <w:t>七、投标品牌认定（依据《财政部令第87号》）</w:t>
      </w:r>
    </w:p>
    <w:p>
      <w:pPr>
        <w:ind w:firstLine="480"/>
        <w:rPr>
          <w:rFonts w:ascii="宋体" w:hAnsi="宋体" w:cs="宋体"/>
          <w:color w:val="auto"/>
          <w:highlight w:val="none"/>
        </w:rPr>
      </w:pPr>
      <w:r>
        <w:rPr>
          <w:rFonts w:hint="eastAsia" w:ascii="宋体" w:hAnsi="宋体" w:cs="宋体"/>
          <w:color w:val="auto"/>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rPr>
          <w:rFonts w:ascii="宋体" w:hAnsi="宋体" w:cs="宋体"/>
          <w:color w:val="auto"/>
          <w:highlight w:val="none"/>
        </w:rPr>
      </w:pPr>
      <w:r>
        <w:rPr>
          <w:rFonts w:hint="eastAsia" w:ascii="宋体" w:hAnsi="宋体" w:cs="宋体"/>
          <w:color w:val="auto"/>
          <w:highlight w:val="none"/>
        </w:rPr>
        <w:t>使用综合评分法的采购项目，提供相同品牌</w:t>
      </w:r>
      <w:r>
        <w:rPr>
          <w:rFonts w:hint="eastAsia" w:ascii="宋体" w:hAnsi="宋体" w:cs="宋体"/>
          <w:color w:val="auto"/>
          <w:highlight w:val="none"/>
          <w:lang w:val="en-US" w:eastAsia="zh-CN"/>
        </w:rPr>
        <w:t>型号</w:t>
      </w:r>
      <w:r>
        <w:rPr>
          <w:rFonts w:hint="eastAsia" w:ascii="宋体" w:hAnsi="宋体" w:cs="宋体"/>
          <w:color w:val="auto"/>
          <w:highlight w:val="none"/>
        </w:rPr>
        <w:t>产品且通过资格审查、符合性审查的不同投标人参加同一合同项下投标的，按一家投标人计算，评审后得分最高的同品牌</w:t>
      </w:r>
      <w:r>
        <w:rPr>
          <w:rFonts w:hint="eastAsia" w:ascii="宋体" w:hAnsi="宋体" w:cs="宋体"/>
          <w:color w:val="auto"/>
          <w:highlight w:val="none"/>
          <w:lang w:val="en-US" w:eastAsia="zh-CN"/>
        </w:rPr>
        <w:t>型号</w:t>
      </w:r>
      <w:r>
        <w:rPr>
          <w:rFonts w:hint="eastAsia" w:ascii="宋体" w:hAnsi="宋体" w:cs="宋体"/>
          <w:color w:val="auto"/>
          <w:highlight w:val="none"/>
        </w:rPr>
        <w:t>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color w:val="auto"/>
          <w:highlight w:val="none"/>
        </w:rPr>
      </w:pPr>
      <w:r>
        <w:rPr>
          <w:rFonts w:hint="eastAsia" w:ascii="宋体" w:hAnsi="宋体" w:cs="宋体"/>
          <w:color w:val="auto"/>
          <w:highlight w:val="none"/>
        </w:rPr>
        <w:t>非单一产品采购项目，采购人应当根据采购项目技术构成、产品价格比重等合理确定核心产品，并在招标文件中载明。多家投标人提供的核心产品品牌</w:t>
      </w:r>
      <w:r>
        <w:rPr>
          <w:rFonts w:hint="eastAsia" w:ascii="宋体" w:hAnsi="宋体" w:cs="宋体"/>
          <w:color w:val="auto"/>
          <w:highlight w:val="none"/>
          <w:lang w:val="en-US" w:eastAsia="zh-CN"/>
        </w:rPr>
        <w:t>型号</w:t>
      </w:r>
      <w:r>
        <w:rPr>
          <w:rFonts w:hint="eastAsia" w:ascii="宋体" w:hAnsi="宋体" w:cs="宋体"/>
          <w:color w:val="auto"/>
          <w:highlight w:val="none"/>
        </w:rPr>
        <w:t>相同的，按前两款规定处理。</w:t>
      </w:r>
    </w:p>
    <w:p>
      <w:pPr>
        <w:pStyle w:val="6"/>
        <w:rPr>
          <w:rFonts w:ascii="宋体" w:hAnsi="宋体" w:cs="宋体"/>
          <w:color w:val="auto"/>
          <w:highlight w:val="none"/>
        </w:rPr>
      </w:pPr>
      <w:r>
        <w:rPr>
          <w:rFonts w:hint="eastAsia" w:ascii="宋体" w:hAnsi="宋体" w:cs="宋体"/>
          <w:color w:val="auto"/>
          <w:highlight w:val="none"/>
        </w:rPr>
        <w:t>八、投标的澄清</w:t>
      </w:r>
    </w:p>
    <w:p>
      <w:pPr>
        <w:ind w:firstLine="480"/>
        <w:rPr>
          <w:rFonts w:ascii="宋体" w:hAnsi="宋体" w:cs="宋体"/>
          <w:color w:val="auto"/>
          <w:highlight w:val="none"/>
        </w:rPr>
      </w:pPr>
      <w:r>
        <w:rPr>
          <w:rFonts w:hint="eastAsia" w:ascii="宋体" w:hAnsi="宋体" w:cs="宋体"/>
          <w:color w:val="auto"/>
          <w:highlight w:val="none"/>
        </w:rPr>
        <w:t>1.对投标文件审查中发现的投标文件表达含义不明确、同类问题表述不一致或者有明显文字与计算错误的内容，评标委员会可通过询标，要求投标人做出澄清。投标人必须按照采购代理机构通知的时间、地点派技术和商务人员进行答疑和澄清。</w:t>
      </w:r>
    </w:p>
    <w:p>
      <w:pPr>
        <w:ind w:firstLine="480"/>
        <w:rPr>
          <w:rFonts w:ascii="宋体" w:hAnsi="宋体" w:cs="宋体"/>
          <w:color w:val="auto"/>
          <w:highlight w:val="none"/>
        </w:rPr>
      </w:pPr>
      <w:r>
        <w:rPr>
          <w:rFonts w:hint="eastAsia" w:ascii="宋体" w:hAnsi="宋体" w:cs="宋体"/>
          <w:color w:val="auto"/>
          <w:highlight w:val="none"/>
        </w:rPr>
        <w:t>2.投标人应对需要澄清的问题作书面回答，该书面回答应有投标人全权代表（或法定代表人）的签字（或盖章），书面澄清将作为投标内容的一部分。</w:t>
      </w:r>
    </w:p>
    <w:p>
      <w:pPr>
        <w:ind w:firstLine="480"/>
        <w:rPr>
          <w:rFonts w:ascii="宋体" w:hAnsi="宋体" w:cs="宋体"/>
          <w:color w:val="auto"/>
          <w:highlight w:val="none"/>
        </w:rPr>
      </w:pPr>
      <w:r>
        <w:rPr>
          <w:rFonts w:hint="eastAsia" w:ascii="宋体" w:hAnsi="宋体" w:cs="宋体"/>
          <w:color w:val="auto"/>
          <w:highlight w:val="none"/>
        </w:rPr>
        <w:t>3.投标人对投标文件的澄清不得超出投标文件的范围或改变投标价格等投标文件的实质性内容。否则，不予接受。</w:t>
      </w:r>
    </w:p>
    <w:p>
      <w:pPr>
        <w:pStyle w:val="6"/>
        <w:rPr>
          <w:rFonts w:ascii="宋体" w:hAnsi="宋体" w:cs="宋体"/>
          <w:color w:val="auto"/>
          <w:highlight w:val="none"/>
        </w:rPr>
      </w:pPr>
      <w:r>
        <w:rPr>
          <w:rFonts w:hint="eastAsia" w:ascii="宋体" w:hAnsi="宋体" w:cs="宋体"/>
          <w:color w:val="auto"/>
          <w:highlight w:val="none"/>
        </w:rPr>
        <w:t>九、评标办法</w:t>
      </w:r>
    </w:p>
    <w:p>
      <w:pPr>
        <w:ind w:firstLine="480"/>
        <w:rPr>
          <w:rFonts w:ascii="宋体" w:hAnsi="宋体" w:cs="宋体"/>
          <w:color w:val="auto"/>
          <w:highlight w:val="none"/>
        </w:rPr>
      </w:pPr>
      <w:r>
        <w:rPr>
          <w:rFonts w:hint="eastAsia" w:ascii="宋体" w:hAnsi="宋体" w:cs="宋体"/>
          <w:color w:val="auto"/>
          <w:highlight w:val="none"/>
        </w:rPr>
        <w:t>本项目评标办法是综合评分法，具体评标内容及评分标准等详见《第四部分：评标办法及评标标准》。</w:t>
      </w:r>
    </w:p>
    <w:p>
      <w:pPr>
        <w:pStyle w:val="5"/>
        <w:jc w:val="center"/>
        <w:rPr>
          <w:rFonts w:ascii="宋体" w:hAnsi="宋体" w:cs="宋体"/>
          <w:color w:val="auto"/>
          <w:highlight w:val="none"/>
        </w:rPr>
      </w:pPr>
      <w:bookmarkStart w:id="75" w:name="_Toc31535"/>
      <w:bookmarkStart w:id="76" w:name="_Toc24239"/>
      <w:r>
        <w:rPr>
          <w:rFonts w:hint="eastAsia" w:ascii="宋体" w:hAnsi="宋体" w:cs="宋体"/>
          <w:color w:val="auto"/>
          <w:highlight w:val="none"/>
        </w:rPr>
        <w:t>第七节 授予合同</w:t>
      </w:r>
      <w:bookmarkEnd w:id="75"/>
      <w:bookmarkEnd w:id="76"/>
    </w:p>
    <w:p>
      <w:pPr>
        <w:pStyle w:val="6"/>
        <w:rPr>
          <w:rFonts w:ascii="宋体" w:hAnsi="宋体" w:cs="宋体"/>
          <w:color w:val="auto"/>
          <w:highlight w:val="none"/>
        </w:rPr>
      </w:pPr>
      <w:r>
        <w:rPr>
          <w:rFonts w:hint="eastAsia" w:ascii="宋体" w:hAnsi="宋体" w:cs="宋体"/>
          <w:color w:val="auto"/>
          <w:highlight w:val="none"/>
        </w:rPr>
        <w:t>一、公告及定标</w:t>
      </w:r>
    </w:p>
    <w:p>
      <w:pPr>
        <w:ind w:firstLine="480"/>
        <w:rPr>
          <w:rFonts w:ascii="宋体" w:hAnsi="宋体" w:cs="宋体"/>
          <w:color w:val="auto"/>
          <w:highlight w:val="none"/>
        </w:rPr>
      </w:pPr>
      <w:r>
        <w:rPr>
          <w:rFonts w:hint="eastAsia" w:ascii="宋体" w:hAnsi="宋体" w:cs="宋体"/>
          <w:color w:val="auto"/>
          <w:highlight w:val="none"/>
        </w:rPr>
        <w:t>1.采购代理机构自评审结束之日起2个工作日内将评审报告送交采购人。采购人收到评审报告之日起5个工作日内在评审报告推荐的中标候选人中按顺序确定中标供应商。</w:t>
      </w:r>
    </w:p>
    <w:p>
      <w:pPr>
        <w:ind w:firstLine="480"/>
        <w:rPr>
          <w:rFonts w:ascii="宋体" w:hAnsi="宋体" w:cs="宋体"/>
          <w:color w:val="auto"/>
          <w:highlight w:val="none"/>
        </w:rPr>
      </w:pPr>
      <w:r>
        <w:rPr>
          <w:rFonts w:hint="eastAsia" w:ascii="宋体" w:hAnsi="宋体" w:cs="宋体"/>
          <w:color w:val="auto"/>
          <w:highlight w:val="none"/>
        </w:rPr>
        <w:t>2.采购代理机构自中标供应商确定之日起2个工作日内，发出中标通知书，并在</w:t>
      </w:r>
      <w:r>
        <w:rPr>
          <w:rFonts w:hint="eastAsia" w:ascii="宋体" w:hAnsi="宋体" w:cs="宋体"/>
          <w:color w:val="auto"/>
          <w:highlight w:val="none"/>
          <w:lang w:eastAsia="zh-CN"/>
        </w:rPr>
        <w:t>浙江机电职业技术学院</w:t>
      </w:r>
      <w:r>
        <w:rPr>
          <w:rFonts w:hint="eastAsia" w:ascii="宋体" w:hAnsi="宋体" w:cs="宋体"/>
          <w:color w:val="auto"/>
          <w:highlight w:val="none"/>
        </w:rPr>
        <w:t>采购网等相关网站或媒体上公告中标结果。中标公告期限为1个工作日。</w:t>
      </w:r>
    </w:p>
    <w:p>
      <w:pPr>
        <w:pStyle w:val="6"/>
        <w:rPr>
          <w:rFonts w:ascii="宋体" w:hAnsi="宋体" w:cs="宋体"/>
          <w:color w:val="auto"/>
          <w:highlight w:val="none"/>
        </w:rPr>
      </w:pPr>
      <w:r>
        <w:rPr>
          <w:rFonts w:hint="eastAsia" w:ascii="宋体" w:hAnsi="宋体" w:cs="宋体"/>
          <w:color w:val="auto"/>
          <w:highlight w:val="none"/>
        </w:rPr>
        <w:t>二、签订合同</w:t>
      </w:r>
    </w:p>
    <w:p>
      <w:pPr>
        <w:ind w:firstLine="480"/>
        <w:rPr>
          <w:rFonts w:ascii="宋体" w:hAnsi="宋体" w:cs="宋体"/>
          <w:color w:val="auto"/>
          <w:highlight w:val="none"/>
        </w:rPr>
      </w:pPr>
      <w:r>
        <w:rPr>
          <w:rFonts w:hint="eastAsia" w:ascii="宋体" w:hAnsi="宋体" w:cs="宋体"/>
          <w:color w:val="auto"/>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ascii="宋体" w:hAnsi="宋体" w:cs="宋体"/>
          <w:color w:val="auto"/>
          <w:highlight w:val="none"/>
        </w:rPr>
      </w:pPr>
      <w:r>
        <w:rPr>
          <w:rFonts w:hint="eastAsia" w:ascii="宋体" w:hAnsi="宋体" w:cs="宋体"/>
          <w:color w:val="auto"/>
          <w:highlight w:val="none"/>
        </w:rPr>
        <w:t>2.招标文件，中标人的投标文件及评标过程中有关澄清文件均应作为合同附件。</w:t>
      </w:r>
    </w:p>
    <w:p>
      <w:pPr>
        <w:pStyle w:val="2"/>
        <w:rPr>
          <w:rFonts w:ascii="宋体" w:hAnsi="宋体" w:cs="宋体"/>
          <w:color w:val="auto"/>
          <w:highlight w:val="none"/>
        </w:rPr>
      </w:pPr>
    </w:p>
    <w:p>
      <w:pPr>
        <w:pStyle w:val="5"/>
        <w:jc w:val="center"/>
        <w:rPr>
          <w:rFonts w:ascii="宋体" w:hAnsi="宋体" w:cs="宋体"/>
          <w:color w:val="auto"/>
          <w:highlight w:val="none"/>
        </w:rPr>
      </w:pPr>
      <w:bookmarkStart w:id="77" w:name="_Toc12481"/>
      <w:bookmarkStart w:id="78" w:name="_Toc15220"/>
      <w:r>
        <w:rPr>
          <w:rFonts w:hint="eastAsia" w:ascii="宋体" w:hAnsi="宋体" w:cs="宋体"/>
          <w:color w:val="auto"/>
          <w:highlight w:val="none"/>
        </w:rPr>
        <w:t>第八节 例外处理</w:t>
      </w:r>
      <w:bookmarkEnd w:id="77"/>
      <w:bookmarkEnd w:id="78"/>
    </w:p>
    <w:p>
      <w:pPr>
        <w:ind w:firstLine="480"/>
        <w:rPr>
          <w:rFonts w:ascii="宋体" w:hAnsi="宋体" w:cs="宋体"/>
          <w:color w:val="auto"/>
          <w:highlight w:val="none"/>
        </w:rPr>
      </w:pPr>
      <w:r>
        <w:rPr>
          <w:rFonts w:hint="eastAsia" w:ascii="宋体" w:hAnsi="宋体" w:cs="宋体"/>
          <w:color w:val="auto"/>
          <w:highlight w:val="none"/>
        </w:rPr>
        <w:t>投标截止时间结束后或评审过程中参加标项投标的供应商不足三家的，除采购任务取消情形外，采购人可选择以下方式之一处理：</w:t>
      </w:r>
    </w:p>
    <w:p>
      <w:pPr>
        <w:ind w:firstLine="480"/>
        <w:rPr>
          <w:rFonts w:ascii="宋体" w:hAnsi="宋体" w:cs="宋体"/>
          <w:color w:val="auto"/>
          <w:highlight w:val="none"/>
        </w:rPr>
      </w:pPr>
      <w:r>
        <w:rPr>
          <w:rFonts w:hint="eastAsia" w:ascii="宋体" w:hAnsi="宋体" w:cs="宋体"/>
          <w:color w:val="auto"/>
          <w:highlight w:val="none"/>
        </w:rPr>
        <w:t>1.可将本标项作废标处理，重新组织采购；</w:t>
      </w:r>
    </w:p>
    <w:p>
      <w:pPr>
        <w:ind w:firstLine="480"/>
        <w:rPr>
          <w:rFonts w:ascii="宋体" w:hAnsi="宋体" w:cs="宋体"/>
          <w:color w:val="auto"/>
          <w:highlight w:val="none"/>
        </w:rPr>
        <w:sectPr>
          <w:footerReference r:id="rId17" w:type="default"/>
          <w:pgSz w:w="11906" w:h="16838"/>
          <w:pgMar w:top="1247" w:right="1247" w:bottom="1247" w:left="1247" w:header="170" w:footer="567" w:gutter="0"/>
          <w:cols w:space="720" w:num="1"/>
          <w:docGrid w:linePitch="381" w:charSpace="0"/>
        </w:sectPr>
      </w:pPr>
      <w:r>
        <w:rPr>
          <w:rFonts w:hint="eastAsia" w:ascii="宋体" w:hAnsi="宋体" w:cs="宋体"/>
          <w:color w:val="auto"/>
          <w:highlight w:val="none"/>
        </w:rPr>
        <w:t>2.可按财政部门的审批意见采用其他采购方式组织采购。</w:t>
      </w:r>
    </w:p>
    <w:p>
      <w:pPr>
        <w:pStyle w:val="4"/>
        <w:rPr>
          <w:color w:val="auto"/>
          <w:highlight w:val="none"/>
        </w:rPr>
      </w:pPr>
      <w:bookmarkStart w:id="79" w:name="_Toc82873316"/>
      <w:bookmarkStart w:id="80" w:name="_Toc82338233"/>
      <w:bookmarkStart w:id="81" w:name="_Toc450840079"/>
      <w:bookmarkStart w:id="82" w:name="_Toc20600"/>
      <w:r>
        <w:rPr>
          <w:rFonts w:hint="eastAsia" w:cs="宋体"/>
          <w:color w:val="auto"/>
          <w:highlight w:val="none"/>
        </w:rPr>
        <w:t xml:space="preserve">第四章 </w:t>
      </w:r>
      <w:bookmarkEnd w:id="79"/>
      <w:bookmarkEnd w:id="80"/>
      <w:bookmarkEnd w:id="81"/>
      <w:r>
        <w:rPr>
          <w:rFonts w:hint="eastAsia" w:cs="宋体"/>
          <w:color w:val="auto"/>
          <w:highlight w:val="none"/>
        </w:rPr>
        <w:t>评标办法及评分标准</w:t>
      </w:r>
      <w:bookmarkEnd w:id="82"/>
    </w:p>
    <w:p>
      <w:pPr>
        <w:pStyle w:val="5"/>
        <w:rPr>
          <w:rFonts w:ascii="宋体" w:hAnsi="宋体" w:cs="宋体"/>
          <w:color w:val="auto"/>
          <w:highlight w:val="none"/>
        </w:rPr>
      </w:pPr>
      <w:bookmarkStart w:id="83" w:name="_Toc3811"/>
      <w:bookmarkStart w:id="84" w:name="_Toc11391"/>
      <w:bookmarkStart w:id="85" w:name="_Toc3110"/>
      <w:bookmarkStart w:id="86" w:name="OLE_LINK3"/>
      <w:r>
        <w:rPr>
          <w:rFonts w:hint="eastAsia" w:ascii="宋体" w:hAnsi="宋体" w:cs="宋体"/>
          <w:color w:val="auto"/>
          <w:highlight w:val="none"/>
        </w:rPr>
        <w:t>一、评分总则</w:t>
      </w:r>
      <w:bookmarkEnd w:id="83"/>
      <w:bookmarkEnd w:id="84"/>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以招标文件要求为基础，考虑各项相关因素的影响，将相关因素以定量计算的办法转换成分数表示形式，以最高“评标分数”确定评标结果顺序。</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本次招标的评标采用</w:t>
      </w:r>
      <w:r>
        <w:rPr>
          <w:rFonts w:hint="eastAsia" w:ascii="宋体" w:hAnsi="宋体" w:eastAsia="宋体" w:cs="宋体"/>
          <w:b/>
          <w:color w:val="auto"/>
          <w:sz w:val="24"/>
          <w:szCs w:val="24"/>
          <w:highlight w:val="none"/>
        </w:rPr>
        <w:t>综合评分法</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评标总分为100分，其中：</w:t>
      </w:r>
      <w:r>
        <w:rPr>
          <w:rFonts w:hint="eastAsia" w:ascii="宋体" w:hAnsi="宋体" w:eastAsia="宋体" w:cs="宋体"/>
          <w:b/>
          <w:color w:val="auto"/>
          <w:sz w:val="24"/>
          <w:szCs w:val="24"/>
          <w:highlight w:val="none"/>
        </w:rPr>
        <w:t>投标价格得分</w:t>
      </w:r>
      <w:r>
        <w:rPr>
          <w:rFonts w:hint="eastAsia" w:ascii="宋体" w:hAnsi="宋体" w:eastAsia="宋体" w:cs="宋体"/>
          <w:b/>
          <w:color w:val="auto"/>
          <w:sz w:val="24"/>
          <w:szCs w:val="24"/>
          <w:highlight w:val="none"/>
          <w:u w:val="single"/>
        </w:rPr>
        <w:t>3</w:t>
      </w:r>
      <w:r>
        <w:rPr>
          <w:rFonts w:hint="eastAsia" w:ascii="宋体" w:hAnsi="宋体" w:eastAsia="宋体" w:cs="宋体"/>
          <w:b/>
          <w:color w:val="auto"/>
          <w:sz w:val="24"/>
          <w:szCs w:val="24"/>
          <w:highlight w:val="none"/>
          <w:u w:val="single"/>
          <w:lang w:val="en-US" w:eastAsia="zh-CN"/>
        </w:rPr>
        <w:t>5</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A</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rPr>
        <w:t>技术和服务方案得分</w:t>
      </w:r>
      <w:r>
        <w:rPr>
          <w:rFonts w:hint="eastAsia" w:ascii="宋体" w:hAnsi="宋体" w:eastAsia="宋体" w:cs="宋体"/>
          <w:b/>
          <w:color w:val="auto"/>
          <w:sz w:val="24"/>
          <w:szCs w:val="24"/>
          <w:highlight w:val="none"/>
          <w:u w:val="single"/>
        </w:rPr>
        <w:t xml:space="preserve"> </w:t>
      </w:r>
      <w:r>
        <w:rPr>
          <w:rFonts w:hint="eastAsia" w:ascii="宋体" w:hAnsi="宋体" w:cs="宋体"/>
          <w:b/>
          <w:color w:val="auto"/>
          <w:sz w:val="24"/>
          <w:szCs w:val="24"/>
          <w:highlight w:val="none"/>
          <w:u w:val="single"/>
          <w:lang w:val="en-US" w:eastAsia="zh-CN"/>
        </w:rPr>
        <w:t>57</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B</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，投标人</w:t>
      </w:r>
      <w:r>
        <w:rPr>
          <w:rFonts w:hint="eastAsia" w:ascii="宋体" w:hAnsi="宋体" w:cs="宋体"/>
          <w:b/>
          <w:color w:val="auto"/>
          <w:sz w:val="24"/>
          <w:szCs w:val="24"/>
          <w:highlight w:val="none"/>
          <w:lang w:val="en-US" w:eastAsia="zh-CN"/>
        </w:rPr>
        <w:t>的资质和</w:t>
      </w:r>
      <w:r>
        <w:rPr>
          <w:rFonts w:hint="eastAsia" w:ascii="宋体" w:hAnsi="宋体" w:eastAsia="宋体" w:cs="宋体"/>
          <w:b/>
          <w:color w:val="auto"/>
          <w:sz w:val="24"/>
          <w:szCs w:val="24"/>
          <w:highlight w:val="none"/>
        </w:rPr>
        <w:t>业绩情况得分</w:t>
      </w:r>
      <w:r>
        <w:rPr>
          <w:rFonts w:hint="eastAsia" w:ascii="宋体" w:hAnsi="宋体" w:cs="宋体"/>
          <w:b/>
          <w:color w:val="auto"/>
          <w:sz w:val="24"/>
          <w:szCs w:val="24"/>
          <w:highlight w:val="none"/>
          <w:u w:val="single"/>
          <w:lang w:val="en-US" w:eastAsia="zh-CN"/>
        </w:rPr>
        <w:t>8</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(C)</w:t>
      </w: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0"/>
        </w:tabs>
        <w:spacing w:line="360" w:lineRule="auto"/>
        <w:ind w:firstLine="542" w:firstLineChars="225"/>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各投标人的技术和服务方案、投标人</w:t>
      </w:r>
      <w:r>
        <w:rPr>
          <w:rFonts w:hint="eastAsia" w:ascii="宋体" w:hAnsi="宋体" w:cs="宋体"/>
          <w:b/>
          <w:color w:val="auto"/>
          <w:sz w:val="24"/>
          <w:szCs w:val="24"/>
          <w:highlight w:val="none"/>
          <w:lang w:val="en-US" w:eastAsia="zh-CN"/>
        </w:rPr>
        <w:t>和投标产品</w:t>
      </w:r>
      <w:r>
        <w:rPr>
          <w:rFonts w:hint="eastAsia" w:ascii="宋体" w:hAnsi="宋体" w:eastAsia="宋体" w:cs="宋体"/>
          <w:b/>
          <w:color w:val="auto"/>
          <w:sz w:val="24"/>
          <w:szCs w:val="24"/>
          <w:highlight w:val="none"/>
        </w:rPr>
        <w:t>的业绩情况得分为：评标委员会各成员评分的算术平均值。各投标人的投标价格得分按投标价格评分</w:t>
      </w:r>
      <w:r>
        <w:rPr>
          <w:rFonts w:hint="eastAsia" w:ascii="宋体" w:hAnsi="宋体" w:eastAsia="宋体" w:cs="宋体"/>
          <w:b/>
          <w:color w:val="auto"/>
          <w:kern w:val="0"/>
          <w:sz w:val="24"/>
          <w:szCs w:val="24"/>
          <w:highlight w:val="none"/>
        </w:rPr>
        <w:t>公式由采购机构计算，</w:t>
      </w:r>
      <w:r>
        <w:rPr>
          <w:rFonts w:hint="eastAsia" w:ascii="宋体" w:hAnsi="宋体" w:eastAsia="宋体" w:cs="宋体"/>
          <w:b/>
          <w:color w:val="auto"/>
          <w:sz w:val="24"/>
          <w:szCs w:val="24"/>
          <w:highlight w:val="none"/>
        </w:rPr>
        <w:t>评标委员会审核。</w:t>
      </w:r>
      <w:r>
        <w:rPr>
          <w:rFonts w:hint="eastAsia" w:ascii="宋体" w:hAnsi="宋体" w:eastAsia="宋体" w:cs="宋体"/>
          <w:color w:val="auto"/>
          <w:sz w:val="24"/>
          <w:szCs w:val="24"/>
          <w:highlight w:val="none"/>
        </w:rPr>
        <w:t>根据上述评标原则，安排如下：</w:t>
      </w:r>
    </w:p>
    <w:p>
      <w:pPr>
        <w:pStyle w:val="5"/>
        <w:rPr>
          <w:rFonts w:hint="eastAsia" w:ascii="宋体" w:hAnsi="宋体" w:eastAsia="宋体" w:cs="宋体"/>
          <w:color w:val="auto"/>
          <w:sz w:val="24"/>
          <w:szCs w:val="24"/>
          <w:highlight w:val="none"/>
        </w:rPr>
      </w:pPr>
      <w:bookmarkStart w:id="87" w:name="_Toc7789"/>
      <w:r>
        <w:rPr>
          <w:rFonts w:hint="eastAsia" w:ascii="宋体" w:hAnsi="宋体" w:eastAsia="宋体" w:cs="宋体"/>
          <w:color w:val="auto"/>
          <w:sz w:val="24"/>
          <w:szCs w:val="24"/>
          <w:highlight w:val="none"/>
        </w:rPr>
        <w:t>二、评分内容及标准</w:t>
      </w:r>
      <w:bookmarkEnd w:id="85"/>
      <w:bookmarkEnd w:id="87"/>
    </w:p>
    <w:bookmarkEnd w:id="86"/>
    <w:p>
      <w:pPr>
        <w:spacing w:line="360" w:lineRule="auto"/>
        <w:ind w:firstLine="482" w:firstLineChars="200"/>
        <w:rPr>
          <w:rFonts w:hint="eastAsia" w:ascii="宋体" w:hAnsi="宋体" w:eastAsia="宋体" w:cs="宋体"/>
          <w:b/>
          <w:color w:val="auto"/>
          <w:sz w:val="24"/>
          <w:szCs w:val="24"/>
          <w:highlight w:val="none"/>
        </w:rPr>
      </w:pPr>
      <w:bookmarkStart w:id="88" w:name="_Toc82873317"/>
      <w:bookmarkStart w:id="89" w:name="_Toc82338234"/>
      <w:r>
        <w:rPr>
          <w:rFonts w:hint="eastAsia" w:ascii="宋体" w:hAnsi="宋体" w:eastAsia="宋体" w:cs="宋体"/>
          <w:b/>
          <w:color w:val="auto"/>
          <w:sz w:val="24"/>
          <w:szCs w:val="24"/>
          <w:highlight w:val="none"/>
        </w:rPr>
        <w:t>A、投标价格【A=3</w:t>
      </w: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分】：</w:t>
      </w:r>
    </w:p>
    <w:p>
      <w:pPr>
        <w:autoSpaceDE w:val="0"/>
        <w:autoSpaceDN w:val="0"/>
        <w:spacing w:line="360" w:lineRule="auto"/>
        <w:ind w:firstLine="482"/>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投标价格的合理性</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分析总报价及各个分项报价是否合理，报价范围是否完整，有否重大错漏项</w:t>
      </w:r>
      <w:r>
        <w:rPr>
          <w:rFonts w:hint="eastAsia" w:ascii="宋体" w:hAnsi="宋体" w:eastAsia="宋体" w:cs="宋体"/>
          <w:color w:val="auto"/>
          <w:sz w:val="24"/>
          <w:szCs w:val="24"/>
          <w:highlight w:val="none"/>
        </w:rPr>
        <w:t>，评标委员会认为投标报价出现异常时，有权要求投标人在评标期间对投标报价的详细组成和投标设备的供应渠道等事项作出解释和澄清，并确认其投标报价是否有效</w:t>
      </w:r>
      <w:r>
        <w:rPr>
          <w:rFonts w:hint="eastAsia" w:ascii="宋体" w:hAnsi="宋体" w:eastAsia="宋体" w:cs="宋体"/>
          <w:color w:val="auto"/>
          <w:sz w:val="24"/>
          <w:szCs w:val="24"/>
          <w:highlight w:val="none"/>
          <w:lang w:val="zh-CN"/>
        </w:rPr>
        <w:t>。</w:t>
      </w:r>
    </w:p>
    <w:p>
      <w:pPr>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报价分计算方法：根据各投标人的有效投标报价，以满足招标文件要求且有效投标价格的最低的投标报价为评标基准价，其价格分为</w:t>
      </w:r>
      <w:r>
        <w:rPr>
          <w:rFonts w:hint="eastAsia" w:ascii="宋体" w:hAnsi="宋体" w:eastAsia="宋体" w:cs="宋体"/>
          <w:color w:val="auto"/>
          <w:sz w:val="24"/>
          <w:szCs w:val="24"/>
          <w:highlight w:val="none"/>
          <w:u w:val="single"/>
          <w:lang w:val="zh-CN"/>
        </w:rPr>
        <w:t>3</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zh-CN"/>
        </w:rPr>
        <w:t>。其他投标人的价格分统一按照下列公式计算：投标报价得分＝(评标基准价/有效投标报价)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价格权值</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100(精确到小数点后二位，由采购机构当场统一计算)。</w:t>
      </w:r>
    </w:p>
    <w:p>
      <w:pPr>
        <w:ind w:firstLine="48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注：本项目</w:t>
      </w:r>
      <w:r>
        <w:rPr>
          <w:rFonts w:hint="eastAsia" w:ascii="宋体" w:hAnsi="宋体" w:eastAsia="宋体" w:cs="宋体"/>
          <w:b/>
          <w:bCs/>
          <w:color w:val="auto"/>
          <w:sz w:val="24"/>
          <w:szCs w:val="24"/>
          <w:highlight w:val="none"/>
        </w:rPr>
        <w:t>根据《政府采购促进中小企业发展暂行办法》（财库【2011】181号）规定，对小型和微型企业的价格给予6%的扣除，用扣除后的价格参与评审。监狱企业视同小型、微型企业。投标报价得分=(评标基准价／投标报价*94%)×3</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w:t>
      </w:r>
    </w:p>
    <w:p>
      <w:pPr>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B、技术和服务方案（B= </w:t>
      </w:r>
      <w:r>
        <w:rPr>
          <w:rFonts w:hint="eastAsia" w:ascii="宋体" w:hAnsi="宋体" w:cs="宋体"/>
          <w:b/>
          <w:bCs/>
          <w:color w:val="auto"/>
          <w:sz w:val="24"/>
          <w:szCs w:val="24"/>
          <w:highlight w:val="none"/>
          <w:lang w:val="en-US" w:eastAsia="zh-CN"/>
        </w:rPr>
        <w:t>57</w:t>
      </w:r>
      <w:r>
        <w:rPr>
          <w:rFonts w:hint="eastAsia" w:ascii="宋体" w:hAnsi="宋体" w:eastAsia="宋体" w:cs="宋体"/>
          <w:b/>
          <w:bCs/>
          <w:color w:val="auto"/>
          <w:sz w:val="24"/>
          <w:szCs w:val="24"/>
          <w:highlight w:val="none"/>
        </w:rPr>
        <w:t>分）：</w:t>
      </w:r>
      <w:r>
        <w:rPr>
          <w:rFonts w:hint="eastAsia" w:ascii="宋体" w:hAnsi="宋体" w:eastAsia="宋体" w:cs="宋体"/>
          <w:color w:val="auto"/>
          <w:sz w:val="24"/>
          <w:szCs w:val="24"/>
          <w:highlight w:val="none"/>
        </w:rPr>
        <w:t>主要包含方案的</w:t>
      </w:r>
      <w:r>
        <w:rPr>
          <w:rFonts w:hint="eastAsia" w:ascii="宋体" w:hAnsi="宋体" w:eastAsia="宋体" w:cs="宋体"/>
          <w:bCs/>
          <w:color w:val="auto"/>
          <w:sz w:val="24"/>
          <w:szCs w:val="24"/>
          <w:highlight w:val="none"/>
        </w:rPr>
        <w:t>先进性、科学性和完整性，产品与</w:t>
      </w:r>
      <w:r>
        <w:rPr>
          <w:rFonts w:hint="eastAsia" w:ascii="宋体" w:hAnsi="宋体" w:eastAsia="宋体" w:cs="宋体"/>
          <w:color w:val="auto"/>
          <w:sz w:val="24"/>
          <w:szCs w:val="24"/>
          <w:highlight w:val="none"/>
        </w:rPr>
        <w:t>需求的吻合程度</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提供的售后服务方案、维护人员和机构等情况的服务优劣程度等方面的因素</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以及承诺和优惠。</w:t>
      </w:r>
    </w:p>
    <w:p>
      <w:pPr>
        <w:adjustRightInd w:val="0"/>
        <w:snapToGrid w:val="0"/>
        <w:spacing w:line="360" w:lineRule="auto"/>
        <w:ind w:left="361" w:right="-125" w:rightChars="-5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（1）投标方案的</w:t>
      </w:r>
      <w:r>
        <w:rPr>
          <w:rFonts w:hint="eastAsia" w:ascii="宋体" w:hAnsi="宋体" w:eastAsia="宋体" w:cs="宋体"/>
          <w:b/>
          <w:bCs/>
          <w:color w:val="auto"/>
          <w:sz w:val="24"/>
          <w:szCs w:val="24"/>
          <w:highlight w:val="none"/>
        </w:rPr>
        <w:t>科学性和完整性</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分）：</w:t>
      </w:r>
    </w:p>
    <w:p>
      <w:pPr>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投标方案总体设计、建设方案等，与需求的吻合程度，包括方案的科学性、先进性、可行性和扩展性，根据提供的方案内容进行评分，方案是否科学合理、安全严密、具有一定的前瞻性，是否有独到的优势</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Style w:val="177"/>
        <w:snapToGrid/>
        <w:spacing w:before="120" w:afterLines="0" w:line="360" w:lineRule="auto"/>
        <w:ind w:firstLine="3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2"/>
          <w:sz w:val="24"/>
          <w:szCs w:val="24"/>
          <w:highlight w:val="none"/>
        </w:rPr>
        <w:t>投标方案中</w:t>
      </w:r>
      <w:r>
        <w:rPr>
          <w:rFonts w:hint="eastAsia" w:ascii="宋体" w:hAnsi="宋体" w:eastAsia="宋体" w:cs="宋体"/>
          <w:color w:val="auto"/>
          <w:sz w:val="24"/>
          <w:szCs w:val="24"/>
          <w:highlight w:val="none"/>
        </w:rPr>
        <w:t>①</w:t>
      </w:r>
      <w:r>
        <w:rPr>
          <w:rFonts w:hint="eastAsia" w:ascii="宋体" w:hAnsi="宋体" w:eastAsia="宋体" w:cs="宋体"/>
          <w:color w:val="auto"/>
          <w:kern w:val="2"/>
          <w:sz w:val="24"/>
          <w:szCs w:val="24"/>
          <w:highlight w:val="none"/>
        </w:rPr>
        <w:t>对系统提出整合建议和措施；</w:t>
      </w:r>
      <w:r>
        <w:rPr>
          <w:rFonts w:hint="eastAsia" w:ascii="宋体" w:hAnsi="宋体" w:eastAsia="宋体" w:cs="宋体"/>
          <w:color w:val="auto"/>
          <w:sz w:val="24"/>
          <w:szCs w:val="24"/>
          <w:highlight w:val="none"/>
        </w:rPr>
        <w:t>②</w:t>
      </w:r>
      <w:r>
        <w:rPr>
          <w:rFonts w:hint="eastAsia" w:ascii="宋体" w:hAnsi="宋体" w:eastAsia="宋体" w:cs="宋体"/>
          <w:color w:val="auto"/>
          <w:kern w:val="2"/>
          <w:sz w:val="24"/>
          <w:szCs w:val="24"/>
          <w:highlight w:val="none"/>
        </w:rPr>
        <w:t>详细阐述对系统建设目标、功能模块、实现思路和关键技术的理解。</w:t>
      </w:r>
      <w:r>
        <w:rPr>
          <w:rFonts w:hint="eastAsia" w:ascii="宋体" w:hAnsi="宋体" w:eastAsia="宋体" w:cs="宋体"/>
          <w:color w:val="auto"/>
          <w:sz w:val="24"/>
          <w:szCs w:val="24"/>
          <w:highlight w:val="none"/>
        </w:rPr>
        <w:t>根据提供的方案内容进行评分，每一项</w:t>
      </w:r>
      <w:r>
        <w:rPr>
          <w:rFonts w:hint="eastAsia" w:ascii="宋体" w:hAnsi="宋体" w:cs="宋体"/>
          <w:color w:val="auto"/>
          <w:sz w:val="24"/>
          <w:szCs w:val="24"/>
          <w:highlight w:val="none"/>
          <w:lang w:val="en-US" w:eastAsia="zh-CN"/>
        </w:rPr>
        <w:t>是否</w:t>
      </w:r>
      <w:r>
        <w:rPr>
          <w:rFonts w:hint="eastAsia" w:ascii="宋体" w:hAnsi="宋体" w:eastAsia="宋体" w:cs="宋体"/>
          <w:color w:val="auto"/>
          <w:sz w:val="24"/>
          <w:szCs w:val="24"/>
          <w:highlight w:val="none"/>
        </w:rPr>
        <w:t>内容完整、措施有效、符合采购人实际</w:t>
      </w:r>
      <w:r>
        <w:rPr>
          <w:rFonts w:hint="eastAsia" w:ascii="宋体" w:hAnsi="宋体" w:cs="宋体"/>
          <w:color w:val="auto"/>
          <w:sz w:val="24"/>
          <w:szCs w:val="24"/>
          <w:highlight w:val="none"/>
          <w:lang w:eastAsia="zh-CN"/>
        </w:rPr>
        <w:t>。</w:t>
      </w:r>
      <w:r>
        <w:rPr>
          <w:rFonts w:hint="eastAsia" w:ascii="宋体" w:hAnsi="宋体" w:eastAsia="宋体" w:cs="宋体"/>
          <w:color w:val="auto"/>
          <w:kern w:val="2"/>
          <w:sz w:val="24"/>
          <w:szCs w:val="24"/>
          <w:highlight w:val="none"/>
        </w:rPr>
        <w:t>（</w:t>
      </w:r>
      <w:r>
        <w:rPr>
          <w:rFonts w:hint="eastAsia" w:ascii="宋体" w:hAnsi="宋体" w:cs="宋体"/>
          <w:color w:val="auto"/>
          <w:kern w:val="2"/>
          <w:sz w:val="24"/>
          <w:szCs w:val="24"/>
          <w:highlight w:val="none"/>
          <w:lang w:val="en-US" w:eastAsia="zh-CN"/>
        </w:rPr>
        <w:t>0-</w:t>
      </w:r>
      <w:r>
        <w:rPr>
          <w:rFonts w:hint="eastAsia" w:ascii="宋体" w:hAnsi="宋体" w:eastAsia="宋体" w:cs="宋体"/>
          <w:color w:val="auto"/>
          <w:kern w:val="2"/>
          <w:sz w:val="24"/>
          <w:szCs w:val="24"/>
          <w:highlight w:val="none"/>
        </w:rPr>
        <w:t>2分）；</w:t>
      </w:r>
    </w:p>
    <w:p>
      <w:pPr>
        <w:pStyle w:val="177"/>
        <w:spacing w:before="120" w:afterLines="0" w:line="360" w:lineRule="auto"/>
        <w:ind w:firstLine="3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①</w:t>
      </w:r>
      <w:r>
        <w:rPr>
          <w:rFonts w:hint="eastAsia" w:ascii="宋体" w:hAnsi="宋体" w:eastAsia="宋体" w:cs="宋体"/>
          <w:color w:val="auto"/>
          <w:kern w:val="2"/>
          <w:sz w:val="24"/>
          <w:szCs w:val="24"/>
          <w:highlight w:val="none"/>
        </w:rPr>
        <w:t>投标人是</w:t>
      </w:r>
      <w:r>
        <w:rPr>
          <w:rFonts w:hint="eastAsia" w:ascii="宋体" w:hAnsi="宋体" w:eastAsia="宋体" w:cs="宋体"/>
          <w:color w:val="auto"/>
          <w:kern w:val="2"/>
          <w:sz w:val="24"/>
          <w:szCs w:val="24"/>
          <w:highlight w:val="none"/>
          <w:lang w:val="en-US" w:eastAsia="zh-CN"/>
        </w:rPr>
        <w:t>否熟悉</w:t>
      </w:r>
      <w:r>
        <w:rPr>
          <w:rFonts w:hint="eastAsia" w:ascii="宋体" w:hAnsi="宋体" w:eastAsia="宋体" w:cs="宋体"/>
          <w:color w:val="auto"/>
          <w:sz w:val="24"/>
          <w:szCs w:val="24"/>
          <w:highlight w:val="none"/>
        </w:rPr>
        <w:t>多岗位联动应急演练</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kern w:val="2"/>
          <w:sz w:val="24"/>
          <w:szCs w:val="24"/>
          <w:highlight w:val="none"/>
        </w:rPr>
        <w:t>工作业务流程，</w:t>
      </w:r>
      <w:r>
        <w:rPr>
          <w:rFonts w:hint="eastAsia" w:ascii="宋体" w:hAnsi="宋体" w:eastAsia="宋体" w:cs="宋体"/>
          <w:color w:val="auto"/>
          <w:sz w:val="24"/>
          <w:szCs w:val="24"/>
          <w:highlight w:val="none"/>
        </w:rPr>
        <w:t>②</w:t>
      </w:r>
      <w:r>
        <w:rPr>
          <w:rFonts w:hint="eastAsia" w:ascii="宋体" w:hAnsi="宋体" w:eastAsia="宋体" w:cs="宋体"/>
          <w:color w:val="auto"/>
          <w:kern w:val="2"/>
          <w:sz w:val="24"/>
          <w:szCs w:val="24"/>
          <w:highlight w:val="none"/>
        </w:rPr>
        <w:t>投标方案在确保阶段性任务实现的同时，是否统筹考虑了总体目标的实现。</w:t>
      </w:r>
      <w:r>
        <w:rPr>
          <w:rFonts w:hint="eastAsia" w:ascii="宋体" w:hAnsi="宋体" w:eastAsia="宋体" w:cs="宋体"/>
          <w:color w:val="auto"/>
          <w:sz w:val="24"/>
          <w:szCs w:val="24"/>
          <w:highlight w:val="none"/>
        </w:rPr>
        <w:t>根据提供的方案内容进行评分，每一项</w:t>
      </w:r>
      <w:r>
        <w:rPr>
          <w:rFonts w:hint="eastAsia" w:ascii="宋体" w:hAnsi="宋体" w:cs="宋体"/>
          <w:color w:val="auto"/>
          <w:sz w:val="24"/>
          <w:szCs w:val="24"/>
          <w:highlight w:val="none"/>
          <w:lang w:val="en-US" w:eastAsia="zh-CN"/>
        </w:rPr>
        <w:t>是否</w:t>
      </w:r>
      <w:r>
        <w:rPr>
          <w:rFonts w:hint="eastAsia" w:ascii="宋体" w:hAnsi="宋体" w:eastAsia="宋体" w:cs="宋体"/>
          <w:color w:val="auto"/>
          <w:sz w:val="24"/>
          <w:szCs w:val="24"/>
          <w:highlight w:val="none"/>
        </w:rPr>
        <w:t>内容完整、措施有效、符合采购人实际</w:t>
      </w:r>
      <w:r>
        <w:rPr>
          <w:rFonts w:hint="eastAsia" w:ascii="宋体" w:hAnsi="宋体" w:eastAsia="宋体" w:cs="宋体"/>
          <w:color w:val="auto"/>
          <w:kern w:val="2"/>
          <w:sz w:val="24"/>
          <w:szCs w:val="24"/>
          <w:highlight w:val="none"/>
        </w:rPr>
        <w:t>（</w:t>
      </w:r>
      <w:r>
        <w:rPr>
          <w:rFonts w:hint="eastAsia" w:ascii="宋体" w:hAnsi="宋体" w:cs="宋体"/>
          <w:color w:val="auto"/>
          <w:kern w:val="2"/>
          <w:sz w:val="24"/>
          <w:szCs w:val="24"/>
          <w:highlight w:val="none"/>
          <w:lang w:val="en-US" w:eastAsia="zh-CN"/>
        </w:rPr>
        <w:t>0-</w:t>
      </w:r>
      <w:r>
        <w:rPr>
          <w:rFonts w:hint="eastAsia" w:ascii="宋体" w:hAnsi="宋体" w:eastAsia="宋体" w:cs="宋体"/>
          <w:color w:val="auto"/>
          <w:kern w:val="2"/>
          <w:sz w:val="24"/>
          <w:szCs w:val="24"/>
          <w:highlight w:val="none"/>
        </w:rPr>
        <w:t>2</w:t>
      </w:r>
      <w:r>
        <w:rPr>
          <w:rFonts w:hint="eastAsia" w:ascii="宋体" w:hAnsi="宋体" w:eastAsia="宋体" w:cs="宋体"/>
          <w:color w:val="auto"/>
          <w:sz w:val="24"/>
          <w:szCs w:val="24"/>
          <w:highlight w:val="none"/>
        </w:rPr>
        <w:t>分）；</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（2）投标产品与需求的吻合程度（</w:t>
      </w:r>
      <w:r>
        <w:rPr>
          <w:rFonts w:hint="eastAsia" w:ascii="宋体" w:hAnsi="宋体" w:cs="宋体"/>
          <w:b/>
          <w:color w:val="auto"/>
          <w:sz w:val="24"/>
          <w:szCs w:val="24"/>
          <w:highlight w:val="none"/>
          <w:lang w:val="en-US" w:eastAsia="zh-CN"/>
        </w:rPr>
        <w:t>17</w:t>
      </w:r>
      <w:r>
        <w:rPr>
          <w:rFonts w:hint="eastAsia" w:ascii="宋体" w:hAnsi="宋体" w:eastAsia="宋体" w:cs="宋体"/>
          <w:b/>
          <w:color w:val="auto"/>
          <w:sz w:val="24"/>
          <w:szCs w:val="24"/>
          <w:highlight w:val="none"/>
        </w:rPr>
        <w:t>分）：</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投标产品的基本功能、技术指标与需求的吻合程度和偏差情况（包括所投标产品的品牌、规格型号、详细配置、主要技术参数、随机软件等），是否能够满足标书要求。技术指标负偏离每一项扣减2分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本项分数扣完为止</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-不含演示功能部分</w:t>
      </w:r>
      <w:r>
        <w:rPr>
          <w:rFonts w:hint="eastAsia" w:ascii="宋体" w:hAnsi="宋体" w:eastAsia="宋体" w:cs="宋体"/>
          <w:color w:val="auto"/>
          <w:sz w:val="24"/>
          <w:szCs w:val="24"/>
          <w:highlight w:val="none"/>
        </w:rPr>
        <w:t xml:space="preserve">）； </w:t>
      </w: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①</w:t>
      </w:r>
      <w:r>
        <w:rPr>
          <w:rFonts w:hint="eastAsia" w:ascii="宋体" w:hAnsi="宋体" w:eastAsia="宋体" w:cs="宋体"/>
          <w:color w:val="auto"/>
          <w:sz w:val="24"/>
          <w:szCs w:val="24"/>
          <w:highlight w:val="none"/>
        </w:rPr>
        <w:t>投标产品的选型上是否能够满足标书的基本要求，</w:t>
      </w:r>
      <w:r>
        <w:rPr>
          <w:rFonts w:hint="eastAsia" w:ascii="宋体" w:hAnsi="宋体" w:eastAsia="宋体" w:cs="宋体"/>
          <w:color w:val="auto"/>
          <w:kern w:val="0"/>
          <w:sz w:val="24"/>
          <w:szCs w:val="24"/>
          <w:highlight w:val="none"/>
        </w:rPr>
        <w:t>②</w:t>
      </w:r>
      <w:r>
        <w:rPr>
          <w:rFonts w:hint="eastAsia" w:ascii="宋体" w:hAnsi="宋体" w:eastAsia="宋体" w:cs="宋体"/>
          <w:color w:val="auto"/>
          <w:sz w:val="24"/>
          <w:szCs w:val="24"/>
          <w:highlight w:val="none"/>
        </w:rPr>
        <w:t>教师机系统</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技术需求和多岗位联动应急演练实训平台技术需求互联互通目且性能相当，</w:t>
      </w:r>
      <w:r>
        <w:rPr>
          <w:rFonts w:hint="eastAsia" w:ascii="宋体" w:hAnsi="宋体" w:eastAsia="宋体" w:cs="宋体"/>
          <w:color w:val="auto"/>
          <w:kern w:val="0"/>
          <w:sz w:val="24"/>
          <w:szCs w:val="24"/>
          <w:highlight w:val="none"/>
        </w:rPr>
        <w:t>③</w:t>
      </w:r>
      <w:r>
        <w:rPr>
          <w:rFonts w:hint="eastAsia" w:ascii="宋体" w:hAnsi="宋体" w:eastAsia="宋体" w:cs="宋体"/>
          <w:color w:val="auto"/>
          <w:kern w:val="0"/>
          <w:sz w:val="24"/>
          <w:szCs w:val="24"/>
          <w:highlight w:val="none"/>
          <w:lang w:val="en-US" w:eastAsia="zh-CN"/>
        </w:rPr>
        <w:t>是否</w:t>
      </w:r>
      <w:r>
        <w:rPr>
          <w:rFonts w:hint="eastAsia" w:ascii="宋体" w:hAnsi="宋体" w:eastAsia="宋体" w:cs="宋体"/>
          <w:color w:val="auto"/>
          <w:sz w:val="24"/>
          <w:szCs w:val="24"/>
          <w:highlight w:val="none"/>
        </w:rPr>
        <w:t>对招标人现有</w:t>
      </w:r>
      <w:r>
        <w:rPr>
          <w:rFonts w:hint="eastAsia" w:ascii="宋体" w:hAnsi="宋体" w:eastAsia="宋体" w:cs="宋体"/>
          <w:color w:val="auto"/>
          <w:sz w:val="24"/>
          <w:szCs w:val="24"/>
          <w:highlight w:val="none"/>
          <w:lang w:val="en-US" w:eastAsia="zh-CN"/>
        </w:rPr>
        <w:t>投标产品</w:t>
      </w:r>
      <w:r>
        <w:rPr>
          <w:rFonts w:hint="eastAsia" w:ascii="宋体" w:hAnsi="宋体" w:eastAsia="宋体" w:cs="宋体"/>
          <w:color w:val="auto"/>
          <w:sz w:val="24"/>
          <w:szCs w:val="24"/>
          <w:highlight w:val="none"/>
        </w:rPr>
        <w:t>的熟悉情况，</w:t>
      </w:r>
      <w:r>
        <w:rPr>
          <w:rFonts w:hint="eastAsia" w:ascii="宋体" w:hAnsi="宋体" w:eastAsia="宋体" w:cs="宋体"/>
          <w:color w:val="auto"/>
          <w:sz w:val="24"/>
          <w:szCs w:val="24"/>
          <w:highlight w:val="none"/>
          <w:lang w:val="en-US" w:eastAsia="zh-CN"/>
        </w:rPr>
        <w:t>提供技术资料完整性的证明。</w:t>
      </w:r>
      <w:r>
        <w:rPr>
          <w:rFonts w:hint="eastAsia" w:ascii="宋体" w:hAnsi="宋体" w:eastAsia="宋体" w:cs="宋体"/>
          <w:color w:val="auto"/>
          <w:sz w:val="24"/>
          <w:szCs w:val="24"/>
          <w:highlight w:val="none"/>
        </w:rPr>
        <w:t>投标产品的基本功能、技术指标上是否体现一定先进性、可靠性、成熟性、易维护性、可扩展性等，在同类产品中是否具有优势</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0-4</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投标产品是否列入“节能产品政府采购清单”、具有</w:t>
      </w:r>
      <w:r>
        <w:rPr>
          <w:rFonts w:hint="eastAsia" w:ascii="宋体" w:hAnsi="宋体" w:eastAsia="宋体" w:cs="宋体"/>
          <w:color w:val="auto"/>
          <w:kern w:val="0"/>
          <w:sz w:val="24"/>
          <w:szCs w:val="24"/>
          <w:highlight w:val="none"/>
        </w:rPr>
        <w:t>环境标志</w:t>
      </w:r>
      <w:r>
        <w:rPr>
          <w:rFonts w:hint="eastAsia" w:ascii="宋体" w:hAnsi="宋体" w:eastAsia="宋体" w:cs="宋体"/>
          <w:color w:val="auto"/>
          <w:sz w:val="24"/>
          <w:szCs w:val="24"/>
          <w:highlight w:val="none"/>
        </w:rPr>
        <w:t>认证产品等情况</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此项由投标人提供相关证明材料，每项加</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rPr>
        <w:t>分，最高为</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分）</w:t>
      </w:r>
      <w:r>
        <w:rPr>
          <w:rFonts w:hint="eastAsia" w:ascii="宋体" w:hAnsi="宋体" w:eastAsia="宋体" w:cs="宋体"/>
          <w:color w:val="auto"/>
          <w:sz w:val="24"/>
          <w:szCs w:val="24"/>
          <w:highlight w:val="none"/>
        </w:rPr>
        <w:t>。</w:t>
      </w:r>
    </w:p>
    <w:p>
      <w:pPr>
        <w:adjustRightInd w:val="0"/>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（3）投标</w:t>
      </w:r>
      <w:r>
        <w:rPr>
          <w:rFonts w:hint="eastAsia" w:ascii="宋体" w:hAnsi="宋体" w:eastAsia="宋体" w:cs="宋体"/>
          <w:b/>
          <w:color w:val="auto"/>
          <w:sz w:val="24"/>
          <w:szCs w:val="24"/>
          <w:highlight w:val="none"/>
          <w:lang w:val="en-US" w:eastAsia="zh-CN"/>
        </w:rPr>
        <w:t>内容的现场演示</w:t>
      </w:r>
      <w:r>
        <w:rPr>
          <w:rFonts w:hint="eastAsia" w:ascii="宋体" w:hAnsi="宋体" w:cs="宋体"/>
          <w:b/>
          <w:color w:val="auto"/>
          <w:sz w:val="24"/>
          <w:szCs w:val="24"/>
          <w:highlight w:val="none"/>
          <w:lang w:val="en-US" w:eastAsia="zh-CN"/>
        </w:rPr>
        <w:t>和验证</w:t>
      </w:r>
      <w:r>
        <w:rPr>
          <w:rFonts w:hint="eastAsia" w:ascii="宋体" w:hAnsi="宋体" w:eastAsia="宋体" w:cs="宋体"/>
          <w:b/>
          <w:color w:val="auto"/>
          <w:sz w:val="24"/>
          <w:szCs w:val="24"/>
          <w:highlight w:val="none"/>
        </w:rPr>
        <w:t>情况（</w:t>
      </w:r>
      <w:r>
        <w:rPr>
          <w:rFonts w:hint="eastAsia" w:ascii="宋体" w:hAnsi="宋体" w:cs="宋体"/>
          <w:b/>
          <w:color w:val="auto"/>
          <w:sz w:val="24"/>
          <w:szCs w:val="24"/>
          <w:highlight w:val="none"/>
          <w:lang w:val="en-US" w:eastAsia="zh-CN"/>
        </w:rPr>
        <w:t>17</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根据投标人提供“项目需求说明”中需要现场演示</w:t>
      </w:r>
      <w:r>
        <w:rPr>
          <w:rFonts w:hint="eastAsia" w:ascii="宋体" w:hAnsi="宋体" w:cs="宋体"/>
          <w:b/>
          <w:color w:val="auto"/>
          <w:sz w:val="24"/>
          <w:szCs w:val="24"/>
          <w:highlight w:val="none"/>
          <w:lang w:val="en-US" w:eastAsia="zh-CN"/>
        </w:rPr>
        <w:t>和验证</w:t>
      </w:r>
      <w:r>
        <w:rPr>
          <w:rFonts w:hint="eastAsia" w:ascii="宋体" w:hAnsi="宋体" w:eastAsia="宋体" w:cs="宋体"/>
          <w:b/>
          <w:color w:val="auto"/>
          <w:sz w:val="24"/>
          <w:szCs w:val="24"/>
          <w:highlight w:val="none"/>
          <w:lang w:val="en-US" w:eastAsia="zh-CN"/>
        </w:rPr>
        <w:t>的内容及需要达到的功能一致打分，</w:t>
      </w:r>
      <w:r>
        <w:rPr>
          <w:rFonts w:hint="eastAsia" w:ascii="宋体" w:hAnsi="宋体" w:cs="宋体"/>
          <w:b/>
          <w:color w:val="auto"/>
          <w:sz w:val="24"/>
          <w:szCs w:val="24"/>
          <w:highlight w:val="none"/>
          <w:lang w:val="en-US" w:eastAsia="zh-CN"/>
        </w:rPr>
        <w:t>演示部分</w:t>
      </w:r>
      <w:r>
        <w:rPr>
          <w:rFonts w:hint="eastAsia" w:ascii="宋体" w:hAnsi="宋体" w:eastAsia="宋体" w:cs="宋体"/>
          <w:b/>
          <w:color w:val="auto"/>
          <w:sz w:val="24"/>
          <w:szCs w:val="24"/>
          <w:highlight w:val="none"/>
          <w:lang w:val="en-US" w:eastAsia="zh-CN"/>
        </w:rPr>
        <w:t>每项得</w:t>
      </w:r>
      <w:r>
        <w:rPr>
          <w:rFonts w:hint="eastAsia" w:ascii="宋体" w:hAnsi="宋体" w:cs="宋体"/>
          <w:b/>
          <w:color w:val="auto"/>
          <w:sz w:val="24"/>
          <w:szCs w:val="24"/>
          <w:highlight w:val="none"/>
          <w:lang w:val="en-US" w:eastAsia="zh-CN"/>
        </w:rPr>
        <w:t>1</w:t>
      </w:r>
      <w:r>
        <w:rPr>
          <w:rFonts w:hint="eastAsia" w:ascii="宋体" w:hAnsi="宋体" w:eastAsia="宋体" w:cs="宋体"/>
          <w:b/>
          <w:color w:val="auto"/>
          <w:sz w:val="24"/>
          <w:szCs w:val="24"/>
          <w:highlight w:val="none"/>
          <w:lang w:val="en-US" w:eastAsia="zh-CN"/>
        </w:rPr>
        <w:t>分</w:t>
      </w:r>
      <w:r>
        <w:rPr>
          <w:rFonts w:hint="eastAsia" w:ascii="宋体" w:hAnsi="宋体" w:cs="宋体"/>
          <w:b/>
          <w:color w:val="auto"/>
          <w:sz w:val="24"/>
          <w:szCs w:val="24"/>
          <w:highlight w:val="none"/>
          <w:lang w:val="en-US" w:eastAsia="zh-CN"/>
        </w:rPr>
        <w:t>，最高15分</w:t>
      </w:r>
      <w:r>
        <w:rPr>
          <w:rFonts w:hint="eastAsia" w:ascii="宋体" w:hAnsi="宋体" w:eastAsia="宋体" w:cs="宋体"/>
          <w:b/>
          <w:color w:val="auto"/>
          <w:sz w:val="24"/>
          <w:szCs w:val="24"/>
          <w:highlight w:val="none"/>
          <w:lang w:val="en-US" w:eastAsia="zh-CN"/>
        </w:rPr>
        <w:t>，</w:t>
      </w:r>
      <w:r>
        <w:rPr>
          <w:rFonts w:hint="eastAsia" w:ascii="宋体" w:hAnsi="宋体" w:cs="宋体"/>
          <w:b/>
          <w:color w:val="auto"/>
          <w:sz w:val="24"/>
          <w:szCs w:val="24"/>
          <w:highlight w:val="none"/>
          <w:lang w:val="en-US" w:eastAsia="zh-CN"/>
        </w:rPr>
        <w:t>现场验证部分每项得1分，最高2分。</w:t>
      </w:r>
      <w:r>
        <w:rPr>
          <w:rFonts w:hint="eastAsia" w:ascii="宋体" w:hAnsi="宋体" w:eastAsia="宋体" w:cs="宋体"/>
          <w:b/>
          <w:color w:val="auto"/>
          <w:sz w:val="24"/>
          <w:szCs w:val="24"/>
          <w:highlight w:val="none"/>
          <w:lang w:val="en-US" w:eastAsia="zh-CN"/>
        </w:rPr>
        <w:t>共</w:t>
      </w:r>
      <w:r>
        <w:rPr>
          <w:rFonts w:hint="eastAsia" w:ascii="宋体" w:hAnsi="宋体" w:cs="宋体"/>
          <w:b/>
          <w:color w:val="auto"/>
          <w:sz w:val="24"/>
          <w:szCs w:val="24"/>
          <w:highlight w:val="none"/>
          <w:lang w:val="en-US" w:eastAsia="zh-CN"/>
        </w:rPr>
        <w:t>17</w:t>
      </w:r>
      <w:r>
        <w:rPr>
          <w:rFonts w:hint="eastAsia" w:ascii="宋体" w:hAnsi="宋体" w:eastAsia="宋体" w:cs="宋体"/>
          <w:b/>
          <w:color w:val="auto"/>
          <w:sz w:val="24"/>
          <w:szCs w:val="24"/>
          <w:highlight w:val="none"/>
          <w:lang w:val="en-US" w:eastAsia="zh-CN"/>
        </w:rPr>
        <w:t>分（</w:t>
      </w:r>
      <w:r>
        <w:rPr>
          <w:rFonts w:hint="eastAsia" w:ascii="宋体" w:hAnsi="宋体" w:cs="宋体"/>
          <w:b/>
          <w:color w:val="auto"/>
          <w:sz w:val="24"/>
          <w:szCs w:val="24"/>
          <w:highlight w:val="none"/>
          <w:lang w:val="en-US" w:eastAsia="zh-CN"/>
        </w:rPr>
        <w:t>17</w:t>
      </w:r>
      <w:r>
        <w:rPr>
          <w:rFonts w:hint="eastAsia" w:ascii="宋体" w:hAnsi="宋体" w:eastAsia="宋体" w:cs="宋体"/>
          <w:b/>
          <w:color w:val="auto"/>
          <w:sz w:val="24"/>
          <w:szCs w:val="24"/>
          <w:highlight w:val="none"/>
          <w:lang w:val="en-US" w:eastAsia="zh-CN"/>
        </w:rPr>
        <w:t>分）</w:t>
      </w:r>
      <w:r>
        <w:rPr>
          <w:rFonts w:hint="eastAsia" w:ascii="宋体" w:hAnsi="宋体" w:eastAsia="宋体" w:cs="宋体"/>
          <w:color w:val="auto"/>
          <w:sz w:val="24"/>
          <w:szCs w:val="24"/>
          <w:highlight w:val="none"/>
        </w:rPr>
        <w:t>。</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）售后服务方案情况（</w:t>
      </w:r>
      <w:r>
        <w:rPr>
          <w:rFonts w:hint="eastAsia" w:ascii="宋体" w:hAnsi="宋体" w:cs="宋体"/>
          <w:b/>
          <w:color w:val="auto"/>
          <w:sz w:val="24"/>
          <w:szCs w:val="24"/>
          <w:highlight w:val="none"/>
          <w:lang w:val="en-US" w:eastAsia="zh-CN"/>
        </w:rPr>
        <w:t>6</w:t>
      </w:r>
      <w:r>
        <w:rPr>
          <w:rFonts w:hint="eastAsia" w:ascii="宋体" w:hAnsi="宋体" w:eastAsia="宋体" w:cs="宋体"/>
          <w:b/>
          <w:color w:val="auto"/>
          <w:sz w:val="24"/>
          <w:szCs w:val="24"/>
          <w:highlight w:val="none"/>
        </w:rPr>
        <w:t>分）：</w:t>
      </w:r>
    </w:p>
    <w:p>
      <w:pPr>
        <w:tabs>
          <w:tab w:val="left" w:pos="0"/>
        </w:tabs>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投标人提供的售后维护机构和人员等情况，是否具有较强的服务能力，</w:t>
      </w:r>
      <w:r>
        <w:rPr>
          <w:rFonts w:hint="eastAsia" w:ascii="宋体" w:hAnsi="宋体" w:eastAsia="宋体" w:cs="宋体"/>
          <w:color w:val="auto"/>
          <w:sz w:val="24"/>
          <w:szCs w:val="24"/>
          <w:highlight w:val="none"/>
          <w:lang w:val="zh-CN"/>
        </w:rPr>
        <w:t>以及</w:t>
      </w:r>
      <w:r>
        <w:rPr>
          <w:rFonts w:hint="eastAsia" w:ascii="宋体" w:hAnsi="宋体" w:eastAsia="宋体" w:cs="宋体"/>
          <w:color w:val="auto"/>
          <w:sz w:val="24"/>
          <w:szCs w:val="24"/>
          <w:highlight w:val="none"/>
        </w:rPr>
        <w:t>较强的专业技术队伍，能提供快速的售后服务响应（</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2分）；</w:t>
      </w:r>
    </w:p>
    <w:p>
      <w:pPr>
        <w:tabs>
          <w:tab w:val="left" w:pos="0"/>
        </w:tabs>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投标人提供的售后服务方案、维护人员和机构等情况，是否满足采购人的要求，及服务承诺的可行性、完整性以及服务承诺落实的保障措施，质保期内外的后续技术支持和维护能力情况等；投标设备的配件、附件、备品备件的准备和保障措施情况，其它有关资料和材料的完整性、合理性和可操作性等情况（</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tabs>
          <w:tab w:val="left" w:pos="0"/>
        </w:tabs>
        <w:ind w:firstLine="600" w:firstLineChars="250"/>
        <w:rPr>
          <w:rFonts w:hint="eastAsia" w:ascii="宋体" w:hAnsi="宋体" w:eastAsia="宋体" w:cs="宋体"/>
          <w:color w:val="auto"/>
          <w:sz w:val="24"/>
          <w:szCs w:val="24"/>
          <w:highlight w:val="none"/>
        </w:rPr>
      </w:pPr>
      <w:r>
        <w:rPr>
          <w:rFonts w:hint="eastAsia" w:ascii="宋体" w:hAnsi="宋体" w:cs="宋体"/>
          <w:color w:val="auto"/>
          <w:highlight w:val="none"/>
        </w:rPr>
        <w:t>●质保期满足招标文件，且每增加十二个月加1分，增加不足十二个月的不加分；本项最高得</w:t>
      </w:r>
      <w:r>
        <w:rPr>
          <w:rFonts w:hint="eastAsia" w:ascii="宋体" w:hAnsi="宋体" w:cs="宋体"/>
          <w:color w:val="auto"/>
          <w:highlight w:val="none"/>
          <w:lang w:val="en-US" w:eastAsia="zh-CN"/>
        </w:rPr>
        <w:t>2</w:t>
      </w:r>
      <w:r>
        <w:rPr>
          <w:rFonts w:hint="eastAsia" w:ascii="宋体" w:hAnsi="宋体" w:cs="宋体"/>
          <w:color w:val="auto"/>
          <w:highlight w:val="none"/>
        </w:rPr>
        <w:t>分。(提供相关证明文件,不提供本项不得分)</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）项目组人员素质情况（</w:t>
      </w:r>
      <w:r>
        <w:rPr>
          <w:rFonts w:hint="eastAsia" w:ascii="宋体" w:hAnsi="宋体" w:cs="宋体"/>
          <w:b/>
          <w:color w:val="auto"/>
          <w:sz w:val="24"/>
          <w:szCs w:val="24"/>
          <w:highlight w:val="none"/>
          <w:lang w:val="en-US" w:eastAsia="zh-CN"/>
        </w:rPr>
        <w:t>3</w:t>
      </w:r>
      <w:r>
        <w:rPr>
          <w:rFonts w:hint="eastAsia" w:ascii="宋体" w:hAnsi="宋体" w:eastAsia="宋体" w:cs="宋体"/>
          <w:b/>
          <w:color w:val="auto"/>
          <w:sz w:val="24"/>
          <w:szCs w:val="24"/>
          <w:highlight w:val="none"/>
        </w:rPr>
        <w:t>分）：</w:t>
      </w:r>
    </w:p>
    <w:p>
      <w:pPr>
        <w:snapToGrid w:val="0"/>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val="zh-CN"/>
        </w:rPr>
        <w:t xml:space="preserve"> 拟担任本项目经理和技术负责人的专业素质、技术能力、经验等情况。项目经理具有调动投标人各项资源能力得1分，否则不得分；项目经理和技术负责人具备</w:t>
      </w:r>
      <w:r>
        <w:rPr>
          <w:rFonts w:hint="eastAsia" w:ascii="宋体" w:hAnsi="宋体" w:eastAsia="宋体" w:cs="宋体"/>
          <w:color w:val="auto"/>
          <w:kern w:val="0"/>
          <w:sz w:val="24"/>
          <w:szCs w:val="24"/>
          <w:highlight w:val="none"/>
          <w:lang w:val="en-US" w:eastAsia="zh-CN"/>
        </w:rPr>
        <w:t>相关</w:t>
      </w:r>
      <w:r>
        <w:rPr>
          <w:rFonts w:hint="eastAsia" w:ascii="宋体" w:hAnsi="宋体" w:eastAsia="宋体" w:cs="宋体"/>
          <w:color w:val="auto"/>
          <w:kern w:val="0"/>
          <w:sz w:val="24"/>
          <w:szCs w:val="24"/>
          <w:highlight w:val="none"/>
          <w:lang w:val="zh-CN"/>
        </w:rPr>
        <w:t>证书的情况（每个证书得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lang w:val="zh-CN"/>
        </w:rPr>
        <w:t>分，最高得</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zh-CN"/>
        </w:rPr>
        <w:t>分）（</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zh-CN"/>
        </w:rPr>
        <w:t>分）；</w:t>
      </w:r>
    </w:p>
    <w:p>
      <w:pPr>
        <w:snapToGrid w:val="0"/>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lang w:val="zh-CN"/>
        </w:rPr>
        <w:t xml:space="preserve"> 项目组实施人员专业人员素质、技术能力、专业分布等情况。具有类似项目实施经历得1分，否则不得分（</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zh-CN"/>
        </w:rPr>
        <w:t>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注：要求提供所有人员近3个月的社保缴纳清单原件扫描件和上述人员身份证扫描件及证书原件扫描件</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原件现场备查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）培训、测试、试运行和验收（</w:t>
      </w:r>
      <w:r>
        <w:rPr>
          <w:rFonts w:hint="eastAsia" w:ascii="宋体" w:hAnsi="宋体" w:cs="宋体"/>
          <w:b/>
          <w:color w:val="auto"/>
          <w:sz w:val="24"/>
          <w:szCs w:val="24"/>
          <w:highlight w:val="none"/>
          <w:lang w:val="en-US" w:eastAsia="zh-CN"/>
        </w:rPr>
        <w:t>5</w:t>
      </w:r>
      <w:r>
        <w:rPr>
          <w:rFonts w:hint="eastAsia" w:ascii="宋体" w:hAnsi="宋体" w:eastAsia="宋体" w:cs="宋体"/>
          <w:b/>
          <w:color w:val="auto"/>
          <w:sz w:val="24"/>
          <w:szCs w:val="24"/>
          <w:highlight w:val="none"/>
        </w:rPr>
        <w:t>分）：</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投标人是否提出合理性、可行性的功能测试及验收方案（</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1分）；</w:t>
      </w:r>
    </w:p>
    <w:p>
      <w:pPr>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培训计划包括①培训内容、②培训时间地点、③培训对象，④培训师资力量等；根据投标方案内容进行评分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2分）。</w:t>
      </w:r>
    </w:p>
    <w:p>
      <w:pPr>
        <w:snapToGrid w:val="0"/>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投标人提出的①功能测试的合理性、可行性情况、②试运转的合理性、可行性情况、③验收方案的合理性、可行性情况等。根据提供的方案内容进行评分，每一项内容</w:t>
      </w:r>
      <w:r>
        <w:rPr>
          <w:rFonts w:hint="eastAsia" w:ascii="宋体" w:hAnsi="宋体" w:cs="宋体"/>
          <w:color w:val="auto"/>
          <w:kern w:val="0"/>
          <w:sz w:val="24"/>
          <w:szCs w:val="24"/>
          <w:highlight w:val="none"/>
          <w:lang w:val="en-US" w:eastAsia="zh-CN"/>
        </w:rPr>
        <w:t>是否</w:t>
      </w:r>
      <w:r>
        <w:rPr>
          <w:rFonts w:hint="eastAsia" w:ascii="宋体" w:hAnsi="宋体" w:eastAsia="宋体" w:cs="宋体"/>
          <w:color w:val="auto"/>
          <w:kern w:val="0"/>
          <w:sz w:val="24"/>
          <w:szCs w:val="24"/>
          <w:highlight w:val="none"/>
        </w:rPr>
        <w:t>完整、措施有效、符合采购人实际</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0-2</w:t>
      </w:r>
      <w:r>
        <w:rPr>
          <w:rFonts w:hint="eastAsia" w:ascii="宋体" w:hAnsi="宋体" w:eastAsia="宋体" w:cs="宋体"/>
          <w:color w:val="auto"/>
          <w:kern w:val="0"/>
          <w:sz w:val="24"/>
          <w:szCs w:val="24"/>
          <w:highlight w:val="none"/>
        </w:rPr>
        <w:t>分）</w:t>
      </w:r>
      <w:r>
        <w:rPr>
          <w:rFonts w:hint="eastAsia" w:ascii="宋体" w:hAnsi="宋体" w:eastAsia="宋体" w:cs="宋体"/>
          <w:color w:val="auto"/>
          <w:sz w:val="24"/>
          <w:szCs w:val="24"/>
          <w:highlight w:val="none"/>
        </w:rPr>
        <w:t>。</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7</w:t>
      </w:r>
      <w:r>
        <w:rPr>
          <w:rFonts w:hint="eastAsia" w:ascii="宋体" w:hAnsi="宋体" w:eastAsia="宋体" w:cs="宋体"/>
          <w:b/>
          <w:color w:val="auto"/>
          <w:sz w:val="24"/>
          <w:szCs w:val="24"/>
          <w:highlight w:val="none"/>
        </w:rPr>
        <w:t>）质量保证措施和建设工期情况（2分）：</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投标人按采购人要求有明确的建设质量目标，质量保证措施，并具有详细可行的实施内容及工期保证等</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1分）；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投标方案是否提出符合招标文件和采购人要求，按期完成上线运行、验收等措施（</w:t>
      </w:r>
      <w:r>
        <w:rPr>
          <w:rFonts w:hint="eastAsia" w:ascii="宋体" w:hAnsi="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1分）。</w:t>
      </w:r>
    </w:p>
    <w:p>
      <w:pPr>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8</w:t>
      </w:r>
      <w:r>
        <w:rPr>
          <w:rFonts w:hint="eastAsia" w:ascii="宋体" w:hAnsi="宋体" w:eastAsia="宋体" w:cs="宋体"/>
          <w:b/>
          <w:color w:val="auto"/>
          <w:sz w:val="24"/>
          <w:szCs w:val="24"/>
          <w:highlight w:val="none"/>
        </w:rPr>
        <w:t>）优惠和承诺（2分）：</w:t>
      </w:r>
      <w:r>
        <w:rPr>
          <w:rFonts w:hint="eastAsia" w:ascii="宋体" w:hAnsi="宋体" w:eastAsia="宋体" w:cs="宋体"/>
          <w:color w:val="auto"/>
          <w:sz w:val="24"/>
          <w:szCs w:val="24"/>
          <w:highlight w:val="none"/>
        </w:rPr>
        <w:t>投标人提出的优惠条件和承诺情况，包括与其他软件、硬件产品供应商的合作和可实现程度等</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0-2</w:t>
      </w:r>
      <w:r>
        <w:rPr>
          <w:rFonts w:hint="eastAsia" w:ascii="宋体" w:hAnsi="宋体" w:cs="宋体"/>
          <w:color w:val="auto"/>
          <w:sz w:val="24"/>
          <w:szCs w:val="24"/>
          <w:highlight w:val="none"/>
          <w:lang w:eastAsia="zh-CN"/>
        </w:rPr>
        <w:t>）</w:t>
      </w:r>
      <w:r>
        <w:rPr>
          <w:rFonts w:hint="eastAsia" w:ascii="宋体" w:hAnsi="宋体" w:eastAsia="宋体" w:cs="宋体"/>
          <w:color w:val="auto"/>
          <w:kern w:val="0"/>
          <w:sz w:val="24"/>
          <w:szCs w:val="24"/>
          <w:highlight w:val="none"/>
        </w:rPr>
        <w:t>。</w:t>
      </w:r>
    </w:p>
    <w:p>
      <w:pPr>
        <w:snapToGrid w:val="0"/>
        <w:spacing w:line="360" w:lineRule="auto"/>
        <w:ind w:left="120" w:leftChars="50"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C、投标人</w:t>
      </w:r>
      <w:r>
        <w:rPr>
          <w:rFonts w:hint="eastAsia" w:ascii="宋体" w:hAnsi="宋体" w:cs="宋体"/>
          <w:b/>
          <w:color w:val="auto"/>
          <w:sz w:val="24"/>
          <w:highlight w:val="none"/>
          <w:lang w:val="en-US" w:eastAsia="zh-CN"/>
        </w:rPr>
        <w:t>和投标产品</w:t>
      </w:r>
      <w:r>
        <w:rPr>
          <w:rFonts w:hint="eastAsia" w:ascii="宋体" w:hAnsi="宋体" w:eastAsia="宋体" w:cs="宋体"/>
          <w:b/>
          <w:color w:val="auto"/>
          <w:sz w:val="24"/>
          <w:highlight w:val="none"/>
        </w:rPr>
        <w:t>的业绩情况</w:t>
      </w:r>
      <w:r>
        <w:rPr>
          <w:rFonts w:hint="eastAsia" w:ascii="宋体" w:hAnsi="宋体" w:eastAsia="宋体" w:cs="宋体"/>
          <w:b/>
          <w:bCs/>
          <w:color w:val="auto"/>
          <w:sz w:val="24"/>
          <w:highlight w:val="none"/>
        </w:rPr>
        <w:t>（C=</w:t>
      </w:r>
      <w:r>
        <w:rPr>
          <w:rFonts w:hint="eastAsia" w:ascii="宋体" w:hAnsi="宋体" w:cs="宋体"/>
          <w:b/>
          <w:bCs/>
          <w:color w:val="auto"/>
          <w:sz w:val="24"/>
          <w:highlight w:val="none"/>
          <w:lang w:val="en-US" w:eastAsia="zh-CN"/>
        </w:rPr>
        <w:t>8</w:t>
      </w:r>
      <w:r>
        <w:rPr>
          <w:rFonts w:hint="eastAsia" w:ascii="宋体" w:hAnsi="宋体" w:eastAsia="宋体" w:cs="宋体"/>
          <w:b/>
          <w:bCs/>
          <w:color w:val="auto"/>
          <w:sz w:val="24"/>
          <w:highlight w:val="none"/>
        </w:rPr>
        <w:t>分）：</w:t>
      </w:r>
      <w:r>
        <w:rPr>
          <w:rFonts w:hint="eastAsia" w:ascii="宋体" w:hAnsi="宋体" w:eastAsia="宋体" w:cs="宋体"/>
          <w:color w:val="auto"/>
          <w:sz w:val="24"/>
          <w:highlight w:val="none"/>
        </w:rPr>
        <w:t>主要包含投标人</w:t>
      </w:r>
      <w:r>
        <w:rPr>
          <w:rFonts w:hint="eastAsia" w:ascii="宋体" w:hAnsi="宋体" w:cs="宋体"/>
          <w:color w:val="auto"/>
          <w:sz w:val="24"/>
          <w:highlight w:val="none"/>
          <w:lang w:val="en-US" w:eastAsia="zh-CN"/>
        </w:rPr>
        <w:t>和投标产品</w:t>
      </w:r>
      <w:r>
        <w:rPr>
          <w:rFonts w:hint="eastAsia" w:ascii="宋体" w:hAnsi="宋体" w:eastAsia="宋体" w:cs="宋体"/>
          <w:color w:val="auto"/>
          <w:sz w:val="24"/>
          <w:highlight w:val="none"/>
        </w:rPr>
        <w:t>的类似</w:t>
      </w:r>
      <w:r>
        <w:rPr>
          <w:rFonts w:hint="eastAsia" w:ascii="宋体" w:hAnsi="宋体" w:eastAsia="宋体" w:cs="宋体"/>
          <w:color w:val="auto"/>
          <w:kern w:val="28"/>
          <w:sz w:val="24"/>
          <w:highlight w:val="none"/>
        </w:rPr>
        <w:t>项目建设</w:t>
      </w:r>
      <w:r>
        <w:rPr>
          <w:rFonts w:hint="eastAsia" w:ascii="宋体" w:hAnsi="宋体" w:eastAsia="宋体" w:cs="宋体"/>
          <w:color w:val="auto"/>
          <w:sz w:val="24"/>
          <w:highlight w:val="none"/>
        </w:rPr>
        <w:t>成功案例等方面的因素。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评审要点为：</w:t>
      </w:r>
    </w:p>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（1）投标人基本情况（</w:t>
      </w:r>
      <w:r>
        <w:rPr>
          <w:rFonts w:hint="eastAsia" w:ascii="宋体" w:hAnsi="宋体" w:cs="宋体"/>
          <w:b/>
          <w:color w:val="auto"/>
          <w:sz w:val="24"/>
          <w:highlight w:val="none"/>
          <w:lang w:val="en-US" w:eastAsia="zh-CN"/>
        </w:rPr>
        <w:t>8</w:t>
      </w:r>
      <w:r>
        <w:rPr>
          <w:rFonts w:hint="eastAsia" w:ascii="宋体" w:hAnsi="宋体" w:eastAsia="宋体" w:cs="宋体"/>
          <w:b/>
          <w:color w:val="auto"/>
          <w:sz w:val="24"/>
          <w:highlight w:val="none"/>
        </w:rPr>
        <w:t>分）：</w:t>
      </w:r>
    </w:p>
    <w:p>
      <w:pPr>
        <w:snapToGrid w:val="0"/>
        <w:spacing w:line="360" w:lineRule="auto"/>
        <w:rPr>
          <w:rFonts w:hint="eastAsia" w:ascii="宋体" w:hAnsi="宋体" w:eastAsia="宋体" w:cs="宋体"/>
          <w:color w:val="auto"/>
          <w:kern w:val="0"/>
          <w:szCs w:val="22"/>
          <w:highlight w:val="none"/>
          <w:lang w:val="en-US" w:eastAsia="zh-CN"/>
        </w:rPr>
      </w:pPr>
      <w:r>
        <w:rPr>
          <w:rFonts w:hint="eastAsia" w:ascii="宋体" w:hAnsi="宋体" w:cs="宋体"/>
          <w:color w:val="auto"/>
          <w:kern w:val="0"/>
          <w:szCs w:val="22"/>
          <w:highlight w:val="none"/>
        </w:rPr>
        <w:t>●具有ISO9000或同等及以上质量管理体系认证证书（在有效期内）；具有ISO14001或同等及以上环境管理体系认证证书（在有效期内）；具有OHSAS18001或同等及以上职业健康管理体系认证证书（在有效期内）；每一项得0.5分，共</w:t>
      </w:r>
      <w:r>
        <w:rPr>
          <w:rFonts w:hint="eastAsia" w:ascii="宋体" w:hAnsi="宋体" w:cs="宋体"/>
          <w:color w:val="auto"/>
          <w:kern w:val="0"/>
          <w:szCs w:val="22"/>
          <w:highlight w:val="none"/>
          <w:lang w:val="en-US" w:eastAsia="zh-CN"/>
        </w:rPr>
        <w:t>1.5</w:t>
      </w:r>
      <w:r>
        <w:rPr>
          <w:rFonts w:hint="eastAsia" w:ascii="宋体" w:hAnsi="宋体" w:cs="宋体"/>
          <w:color w:val="auto"/>
          <w:kern w:val="0"/>
          <w:szCs w:val="22"/>
          <w:highlight w:val="none"/>
        </w:rPr>
        <w:t>分</w:t>
      </w:r>
      <w:r>
        <w:rPr>
          <w:rFonts w:hint="eastAsia" w:ascii="宋体" w:hAnsi="宋体" w:cs="宋体"/>
          <w:color w:val="auto"/>
          <w:kern w:val="0"/>
          <w:szCs w:val="22"/>
          <w:highlight w:val="none"/>
          <w:lang w:val="en-US" w:eastAsia="zh-CN"/>
        </w:rPr>
        <w:t>.</w:t>
      </w:r>
    </w:p>
    <w:p>
      <w:pPr>
        <w:snapToGrid w:val="0"/>
        <w:spacing w:line="360" w:lineRule="auto"/>
        <w:rPr>
          <w:rFonts w:hint="eastAsia" w:ascii="宋体" w:hAnsi="宋体" w:eastAsia="宋体" w:cs="宋体"/>
          <w:color w:val="auto"/>
          <w:kern w:val="0"/>
          <w:sz w:val="24"/>
          <w:szCs w:val="22"/>
          <w:highlight w:val="none"/>
        </w:rPr>
      </w:pPr>
      <w:r>
        <w:rPr>
          <w:rFonts w:hint="eastAsia" w:ascii="宋体" w:hAnsi="宋体" w:cs="宋体"/>
          <w:color w:val="auto"/>
          <w:kern w:val="0"/>
          <w:szCs w:val="22"/>
          <w:highlight w:val="none"/>
        </w:rPr>
        <w:t>●</w:t>
      </w:r>
      <w:r>
        <w:rPr>
          <w:rFonts w:hint="eastAsia" w:ascii="宋体" w:hAnsi="宋体" w:eastAsia="宋体" w:cs="宋体"/>
          <w:color w:val="auto"/>
          <w:kern w:val="0"/>
          <w:sz w:val="24"/>
          <w:szCs w:val="22"/>
          <w:highlight w:val="none"/>
        </w:rPr>
        <w:t>投标人已取得</w:t>
      </w:r>
      <w:r>
        <w:rPr>
          <w:rFonts w:hint="eastAsia" w:ascii="宋体" w:hAnsi="宋体" w:eastAsia="宋体" w:cs="宋体"/>
          <w:color w:val="auto"/>
          <w:kern w:val="0"/>
          <w:sz w:val="24"/>
          <w:szCs w:val="22"/>
          <w:highlight w:val="none"/>
          <w:lang w:val="en-US" w:eastAsia="zh-CN"/>
        </w:rPr>
        <w:t>与本项目相关软件</w:t>
      </w:r>
      <w:r>
        <w:rPr>
          <w:rFonts w:hint="eastAsia" w:ascii="宋体" w:hAnsi="宋体" w:eastAsia="宋体" w:cs="宋体"/>
          <w:color w:val="auto"/>
          <w:kern w:val="0"/>
          <w:sz w:val="24"/>
          <w:szCs w:val="22"/>
          <w:highlight w:val="none"/>
        </w:rPr>
        <w:t>著作权证书</w:t>
      </w:r>
      <w:r>
        <w:rPr>
          <w:rFonts w:hint="eastAsia" w:ascii="宋体" w:hAnsi="宋体" w:eastAsia="宋体" w:cs="宋体"/>
          <w:color w:val="auto"/>
          <w:kern w:val="0"/>
          <w:sz w:val="24"/>
          <w:szCs w:val="22"/>
          <w:highlight w:val="none"/>
          <w:lang w:eastAsia="zh-CN"/>
        </w:rPr>
        <w:t>，</w:t>
      </w:r>
      <w:r>
        <w:rPr>
          <w:rFonts w:hint="eastAsia" w:ascii="宋体" w:hAnsi="宋体" w:eastAsia="宋体" w:cs="宋体"/>
          <w:color w:val="auto"/>
          <w:kern w:val="0"/>
          <w:sz w:val="24"/>
          <w:szCs w:val="22"/>
          <w:highlight w:val="none"/>
          <w:lang w:val="en-US" w:eastAsia="zh-CN"/>
        </w:rPr>
        <w:t>每个得0.5分，共</w:t>
      </w:r>
      <w:r>
        <w:rPr>
          <w:rFonts w:hint="eastAsia" w:ascii="宋体" w:hAnsi="宋体" w:cs="宋体"/>
          <w:color w:val="auto"/>
          <w:kern w:val="0"/>
          <w:sz w:val="24"/>
          <w:szCs w:val="22"/>
          <w:highlight w:val="none"/>
          <w:lang w:val="en-US" w:eastAsia="zh-CN"/>
        </w:rPr>
        <w:t>1.5</w:t>
      </w:r>
      <w:r>
        <w:rPr>
          <w:rFonts w:hint="eastAsia" w:ascii="宋体" w:hAnsi="宋体" w:eastAsia="宋体" w:cs="宋体"/>
          <w:color w:val="auto"/>
          <w:kern w:val="0"/>
          <w:sz w:val="24"/>
          <w:szCs w:val="22"/>
          <w:highlight w:val="none"/>
          <w:lang w:val="en-US" w:eastAsia="zh-CN"/>
        </w:rPr>
        <w:t>分</w:t>
      </w:r>
      <w:r>
        <w:rPr>
          <w:rFonts w:hint="eastAsia" w:ascii="宋体" w:hAnsi="宋体" w:eastAsia="宋体" w:cs="宋体"/>
          <w:color w:val="auto"/>
          <w:kern w:val="0"/>
          <w:sz w:val="24"/>
          <w:szCs w:val="22"/>
          <w:highlight w:val="none"/>
        </w:rPr>
        <w:t>（</w:t>
      </w:r>
      <w:r>
        <w:rPr>
          <w:rFonts w:hint="eastAsia" w:ascii="宋体" w:hAnsi="宋体" w:cs="宋体"/>
          <w:color w:val="auto"/>
          <w:kern w:val="0"/>
          <w:sz w:val="24"/>
          <w:szCs w:val="22"/>
          <w:highlight w:val="none"/>
          <w:lang w:val="en-US" w:eastAsia="zh-CN"/>
        </w:rPr>
        <w:t>1.5</w:t>
      </w:r>
      <w:r>
        <w:rPr>
          <w:rFonts w:hint="eastAsia" w:ascii="宋体" w:hAnsi="宋体" w:eastAsia="宋体" w:cs="宋体"/>
          <w:color w:val="auto"/>
          <w:kern w:val="0"/>
          <w:sz w:val="24"/>
          <w:szCs w:val="22"/>
          <w:highlight w:val="none"/>
        </w:rPr>
        <w:t>分）。</w:t>
      </w:r>
    </w:p>
    <w:p>
      <w:pPr>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（2）投标人类似项目建设的</w:t>
      </w:r>
      <w:r>
        <w:rPr>
          <w:rFonts w:hint="eastAsia" w:ascii="宋体" w:hAnsi="宋体" w:cs="宋体"/>
          <w:b/>
          <w:color w:val="auto"/>
          <w:sz w:val="24"/>
          <w:highlight w:val="none"/>
          <w:lang w:val="en-US" w:eastAsia="zh-CN"/>
        </w:rPr>
        <w:t>业绩</w:t>
      </w: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5</w:t>
      </w:r>
      <w:r>
        <w:rPr>
          <w:rFonts w:hint="eastAsia" w:ascii="宋体" w:hAnsi="宋体" w:eastAsia="宋体" w:cs="宋体"/>
          <w:b/>
          <w:color w:val="auto"/>
          <w:sz w:val="24"/>
          <w:highlight w:val="none"/>
        </w:rPr>
        <w:t>分）：</w:t>
      </w:r>
      <w:r>
        <w:rPr>
          <w:rFonts w:hint="eastAsia" w:ascii="宋体" w:hAnsi="宋体" w:cs="宋体"/>
          <w:bCs/>
          <w:color w:val="auto"/>
          <w:highlight w:val="none"/>
        </w:rPr>
        <w:t>截止响应时间近三年，</w:t>
      </w:r>
      <w:r>
        <w:rPr>
          <w:rFonts w:hint="eastAsia" w:ascii="宋体" w:hAnsi="宋体" w:cs="宋体"/>
          <w:color w:val="auto"/>
          <w:highlight w:val="none"/>
        </w:rPr>
        <w:t>投标人承担类似项目实施的成功经验情况。</w:t>
      </w:r>
      <w:r>
        <w:rPr>
          <w:rFonts w:hint="eastAsia" w:ascii="宋体" w:hAnsi="宋体" w:cs="宋体"/>
          <w:color w:val="auto"/>
          <w:highlight w:val="none"/>
          <w:lang w:val="zh-CN"/>
        </w:rPr>
        <w:t>结合</w:t>
      </w:r>
      <w:r>
        <w:rPr>
          <w:rFonts w:hint="eastAsia" w:ascii="宋体" w:hAnsi="宋体" w:cs="宋体"/>
          <w:bCs/>
          <w:color w:val="auto"/>
          <w:highlight w:val="none"/>
        </w:rPr>
        <w:t>已完成的项目案例和用户反应情况，依照投标人提供的合同或用户验收报告。每个得1分；最高得</w:t>
      </w:r>
      <w:r>
        <w:rPr>
          <w:rFonts w:hint="eastAsia" w:ascii="宋体" w:hAnsi="宋体" w:cs="宋体"/>
          <w:color w:val="auto"/>
          <w:highlight w:val="none"/>
        </w:rPr>
        <w:t>5</w:t>
      </w:r>
      <w:r>
        <w:rPr>
          <w:rFonts w:hint="eastAsia" w:ascii="宋体" w:hAnsi="宋体" w:cs="宋体"/>
          <w:bCs/>
          <w:color w:val="auto"/>
          <w:highlight w:val="none"/>
        </w:rPr>
        <w:t>分（5分）</w:t>
      </w:r>
      <w:r>
        <w:rPr>
          <w:rFonts w:hint="eastAsia" w:ascii="宋体" w:hAnsi="宋体" w:eastAsia="宋体" w:cs="宋体"/>
          <w:bCs/>
          <w:color w:val="auto"/>
          <w:sz w:val="24"/>
          <w:highlight w:val="none"/>
        </w:rPr>
        <w:t>。</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原件备查，采购机构在项目评审直至合同签订、履约期间，有权要求投标人出具响应文件中的合同和用户验收报告，予以确认其的真实性和有效性，如出现与事实不符等情况，将根据有关规定以“提供虚假材料谋取中标（成交）”予以处理</w:t>
      </w:r>
      <w:r>
        <w:rPr>
          <w:rFonts w:hint="eastAsia" w:ascii="宋体" w:hAnsi="宋体" w:eastAsia="宋体" w:cs="宋体"/>
          <w:color w:val="auto"/>
          <w:sz w:val="24"/>
          <w:highlight w:val="none"/>
        </w:rPr>
        <w:t>】，是否有良好的工作业绩和履约记录</w:t>
      </w:r>
      <w:r>
        <w:rPr>
          <w:rFonts w:hint="eastAsia" w:ascii="宋体" w:hAnsi="宋体" w:eastAsia="宋体" w:cs="宋体"/>
          <w:color w:val="auto"/>
          <w:sz w:val="24"/>
          <w:highlight w:val="none"/>
          <w:lang w:val="zh-CN"/>
        </w:rPr>
        <w:t>等情况</w:t>
      </w:r>
      <w:r>
        <w:rPr>
          <w:rFonts w:hint="eastAsia" w:ascii="宋体" w:hAnsi="宋体" w:eastAsia="宋体" w:cs="宋体"/>
          <w:color w:val="auto"/>
          <w:sz w:val="24"/>
          <w:highlight w:val="none"/>
        </w:rPr>
        <w:t>；</w:t>
      </w:r>
      <w:r>
        <w:rPr>
          <w:rFonts w:hint="eastAsia" w:ascii="宋体" w:hAnsi="宋体" w:eastAsia="宋体" w:cs="宋体"/>
          <w:b/>
          <w:color w:val="auto"/>
          <w:kern w:val="0"/>
          <w:sz w:val="24"/>
          <w:highlight w:val="none"/>
        </w:rPr>
        <w:t>以分包方式履行政府采购合同的，还需提供该项目采购方同意分包的证明材料;</w:t>
      </w:r>
      <w:r>
        <w:rPr>
          <w:rFonts w:hint="eastAsia" w:ascii="宋体" w:hAnsi="宋体" w:eastAsia="宋体" w:cs="宋体"/>
          <w:b/>
          <w:color w:val="auto"/>
          <w:sz w:val="24"/>
          <w:highlight w:val="none"/>
        </w:rPr>
        <w:t>如投标人提供的合同复印件等实施项目证明材料与响应主体无关或违规转包分包的，评标委员会将进行扣分直至认定响应无效。</w:t>
      </w:r>
    </w:p>
    <w:p>
      <w:pPr>
        <w:snapToGrid w:val="0"/>
        <w:spacing w:line="360" w:lineRule="auto"/>
        <w:ind w:firstLine="482" w:firstLineChars="200"/>
        <w:rPr>
          <w:rFonts w:hint="eastAsia"/>
          <w:b/>
          <w:color w:val="auto"/>
          <w:highlight w:val="none"/>
        </w:rPr>
      </w:pPr>
      <w:r>
        <w:rPr>
          <w:rFonts w:hint="eastAsia"/>
          <w:b/>
          <w:color w:val="auto"/>
          <w:highlight w:val="none"/>
        </w:rPr>
        <w:t>注：以上所涉及的证书及证明材料，需提供复印件</w:t>
      </w:r>
      <w:r>
        <w:rPr>
          <w:rFonts w:hint="eastAsia"/>
          <w:b/>
          <w:color w:val="auto"/>
          <w:highlight w:val="none"/>
          <w:lang w:eastAsia="zh-CN"/>
        </w:rPr>
        <w:t>（</w:t>
      </w:r>
      <w:r>
        <w:rPr>
          <w:rFonts w:hint="eastAsia"/>
          <w:b/>
          <w:color w:val="auto"/>
          <w:highlight w:val="none"/>
          <w:lang w:val="en-US" w:eastAsia="zh-CN"/>
        </w:rPr>
        <w:t>加盖公章</w:t>
      </w:r>
      <w:r>
        <w:rPr>
          <w:rFonts w:hint="eastAsia"/>
          <w:b/>
          <w:color w:val="auto"/>
          <w:highlight w:val="none"/>
          <w:lang w:eastAsia="zh-CN"/>
        </w:rPr>
        <w:t>）</w:t>
      </w:r>
      <w:r>
        <w:rPr>
          <w:rFonts w:hint="eastAsia"/>
          <w:b/>
          <w:color w:val="auto"/>
          <w:highlight w:val="none"/>
        </w:rPr>
        <w:t>，另外需附</w:t>
      </w:r>
      <w:r>
        <w:rPr>
          <w:rFonts w:hint="eastAsia"/>
          <w:b/>
          <w:color w:val="auto"/>
          <w:highlight w:val="none"/>
          <w:lang w:val="en-US" w:eastAsia="zh-CN"/>
        </w:rPr>
        <w:t>相关</w:t>
      </w:r>
      <w:r>
        <w:rPr>
          <w:rFonts w:hint="eastAsia"/>
          <w:b/>
          <w:color w:val="auto"/>
          <w:highlight w:val="none"/>
        </w:rPr>
        <w:t>证书原件现场备查；如现场无法提供证书原件的不得分。</w:t>
      </w:r>
    </w:p>
    <w:p>
      <w:pPr>
        <w:ind w:left="0" w:leftChars="0" w:firstLine="0" w:firstLineChars="0"/>
        <w:rPr>
          <w:rFonts w:hint="eastAsia" w:ascii="宋体" w:hAnsi="宋体" w:cs="宋体"/>
          <w:color w:val="auto"/>
          <w:szCs w:val="32"/>
          <w:highlight w:val="none"/>
        </w:rPr>
      </w:pPr>
    </w:p>
    <w:bookmarkEnd w:id="88"/>
    <w:bookmarkEnd w:id="89"/>
    <w:p>
      <w:pPr>
        <w:rPr>
          <w:rFonts w:hint="eastAsia" w:cs="宋体"/>
          <w:color w:val="auto"/>
          <w:szCs w:val="32"/>
          <w:highlight w:val="none"/>
        </w:rPr>
      </w:pPr>
      <w:bookmarkStart w:id="90" w:name="_Toc1503"/>
      <w:r>
        <w:rPr>
          <w:rFonts w:hint="eastAsia" w:cs="宋体"/>
          <w:color w:val="auto"/>
          <w:szCs w:val="32"/>
          <w:highlight w:val="none"/>
        </w:rPr>
        <w:br w:type="page"/>
      </w:r>
    </w:p>
    <w:p>
      <w:pPr>
        <w:pStyle w:val="4"/>
        <w:ind w:firstLine="643"/>
        <w:rPr>
          <w:color w:val="auto"/>
          <w:szCs w:val="24"/>
          <w:highlight w:val="none"/>
        </w:rPr>
      </w:pPr>
      <w:r>
        <w:rPr>
          <w:rFonts w:hint="eastAsia" w:cs="宋体"/>
          <w:color w:val="auto"/>
          <w:szCs w:val="32"/>
          <w:highlight w:val="none"/>
        </w:rPr>
        <w:t>第五章 合同格式</w:t>
      </w:r>
      <w:bookmarkEnd w:id="90"/>
    </w:p>
    <w:p>
      <w:pPr>
        <w:ind w:firstLine="440"/>
        <w:rPr>
          <w:rFonts w:ascii="宋体" w:hAnsi="宋体" w:cs="宋体"/>
          <w:color w:val="auto"/>
          <w:sz w:val="22"/>
          <w:szCs w:val="22"/>
          <w:highlight w:val="none"/>
        </w:rPr>
      </w:pPr>
      <w:r>
        <w:rPr>
          <w:rFonts w:hint="eastAsia" w:ascii="宋体" w:hAnsi="宋体" w:cs="宋体"/>
          <w:color w:val="auto"/>
          <w:sz w:val="22"/>
          <w:szCs w:val="22"/>
          <w:highlight w:val="none"/>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ind w:firstLine="480"/>
        <w:rPr>
          <w:color w:val="auto"/>
          <w:highlight w:val="none"/>
        </w:rPr>
      </w:pPr>
      <w:bookmarkStart w:id="91" w:name="_Toc450840088"/>
    </w:p>
    <w:p>
      <w:pPr>
        <w:spacing w:line="288" w:lineRule="auto"/>
        <w:ind w:left="5841" w:hanging="5841" w:hangingChars="2950"/>
        <w:rPr>
          <w:color w:val="auto"/>
          <w:spacing w:val="-6"/>
          <w:sz w:val="21"/>
          <w:szCs w:val="21"/>
          <w:highlight w:val="none"/>
        </w:rPr>
      </w:pPr>
      <w:r>
        <w:rPr>
          <w:color w:val="auto"/>
          <w:spacing w:val="-6"/>
          <w:sz w:val="21"/>
          <w:szCs w:val="21"/>
          <w:highlight w:val="none"/>
        </w:rPr>
        <w:t>项目编号：</w:t>
      </w:r>
    </w:p>
    <w:p>
      <w:pPr>
        <w:spacing w:line="288" w:lineRule="auto"/>
        <w:ind w:left="5841" w:hanging="5841" w:hangingChars="2950"/>
        <w:rPr>
          <w:color w:val="auto"/>
          <w:spacing w:val="-6"/>
          <w:sz w:val="21"/>
          <w:szCs w:val="21"/>
          <w:highlight w:val="none"/>
        </w:rPr>
      </w:pPr>
      <w:r>
        <w:rPr>
          <w:color w:val="auto"/>
          <w:spacing w:val="-6"/>
          <w:sz w:val="21"/>
          <w:szCs w:val="21"/>
          <w:highlight w:val="none"/>
        </w:rPr>
        <w:t>确认书编号：</w:t>
      </w:r>
    </w:p>
    <w:p>
      <w:pPr>
        <w:spacing w:line="288" w:lineRule="auto"/>
        <w:ind w:firstLine="396"/>
        <w:rPr>
          <w:color w:val="auto"/>
          <w:spacing w:val="-6"/>
          <w:sz w:val="21"/>
          <w:szCs w:val="21"/>
          <w:highlight w:val="none"/>
        </w:rPr>
      </w:pPr>
      <w:r>
        <w:rPr>
          <w:color w:val="auto"/>
          <w:spacing w:val="-6"/>
          <w:sz w:val="21"/>
          <w:szCs w:val="21"/>
          <w:highlight w:val="none"/>
        </w:rPr>
        <w:t>甲方（采购人）：</w:t>
      </w:r>
      <w:r>
        <w:rPr>
          <w:rFonts w:hint="eastAsia"/>
          <w:color w:val="auto"/>
          <w:spacing w:val="-6"/>
          <w:sz w:val="21"/>
          <w:szCs w:val="21"/>
          <w:highlight w:val="none"/>
          <w:u w:val="single"/>
        </w:rPr>
        <w:t>浙江机电职业技术学院</w:t>
      </w:r>
    </w:p>
    <w:p>
      <w:pPr>
        <w:spacing w:line="288" w:lineRule="auto"/>
        <w:ind w:firstLine="396"/>
        <w:rPr>
          <w:color w:val="auto"/>
          <w:spacing w:val="-6"/>
          <w:sz w:val="21"/>
          <w:szCs w:val="21"/>
          <w:highlight w:val="none"/>
        </w:rPr>
      </w:pPr>
      <w:r>
        <w:rPr>
          <w:color w:val="auto"/>
          <w:spacing w:val="-6"/>
          <w:sz w:val="21"/>
          <w:szCs w:val="21"/>
          <w:highlight w:val="none"/>
        </w:rPr>
        <w:t>乙方（供应商）：</w:t>
      </w:r>
    </w:p>
    <w:p>
      <w:pPr>
        <w:spacing w:line="288" w:lineRule="auto"/>
        <w:ind w:firstLine="396"/>
        <w:rPr>
          <w:color w:val="auto"/>
          <w:spacing w:val="-6"/>
          <w:sz w:val="21"/>
          <w:szCs w:val="21"/>
          <w:highlight w:val="none"/>
        </w:rPr>
      </w:pPr>
      <w:r>
        <w:rPr>
          <w:color w:val="auto"/>
          <w:spacing w:val="-6"/>
          <w:sz w:val="21"/>
          <w:szCs w:val="21"/>
          <w:highlight w:val="none"/>
        </w:rPr>
        <w:t>采购代理机构（鉴证方）：</w:t>
      </w:r>
      <w:bookmarkStart w:id="92" w:name="B07_项目编号"/>
      <w:r>
        <w:rPr>
          <w:rFonts w:hint="eastAsia"/>
          <w:color w:val="auto"/>
          <w:spacing w:val="-6"/>
          <w:sz w:val="21"/>
          <w:szCs w:val="21"/>
          <w:highlight w:val="none"/>
        </w:rPr>
        <w:t>浙江五石工程咨询有限公司</w:t>
      </w:r>
    </w:p>
    <w:p>
      <w:pPr>
        <w:spacing w:line="288" w:lineRule="auto"/>
        <w:ind w:firstLine="420"/>
        <w:rPr>
          <w:color w:val="auto"/>
          <w:sz w:val="21"/>
          <w:szCs w:val="21"/>
          <w:highlight w:val="none"/>
        </w:rPr>
      </w:pPr>
      <w:r>
        <w:rPr>
          <w:color w:val="auto"/>
          <w:sz w:val="21"/>
          <w:szCs w:val="21"/>
          <w:highlight w:val="none"/>
        </w:rPr>
        <w:t>经采购代理机构对</w:t>
      </w:r>
      <w:r>
        <w:rPr>
          <w:rFonts w:hint="eastAsia"/>
          <w:color w:val="auto"/>
          <w:sz w:val="21"/>
          <w:szCs w:val="21"/>
          <w:highlight w:val="none"/>
        </w:rPr>
        <w:t>采购项目</w:t>
      </w:r>
      <w:r>
        <w:rPr>
          <w:color w:val="auto"/>
          <w:sz w:val="21"/>
          <w:szCs w:val="21"/>
          <w:highlight w:val="none"/>
        </w:rPr>
        <w:t>通过</w:t>
      </w:r>
      <w:r>
        <w:rPr>
          <w:rFonts w:hint="eastAsia"/>
          <w:color w:val="auto"/>
          <w:sz w:val="21"/>
          <w:szCs w:val="21"/>
          <w:highlight w:val="none"/>
          <w:lang w:val="en-US" w:eastAsia="zh-CN"/>
        </w:rPr>
        <w:t xml:space="preserve">  </w:t>
      </w:r>
      <w:r>
        <w:rPr>
          <w:rFonts w:hint="eastAsia"/>
          <w:color w:val="auto"/>
          <w:sz w:val="21"/>
          <w:szCs w:val="21"/>
          <w:highlight w:val="none"/>
          <w:u w:val="single"/>
        </w:rPr>
        <w:t>公开招标</w:t>
      </w:r>
      <w:r>
        <w:rPr>
          <w:rFonts w:hint="eastAsia"/>
          <w:color w:val="auto"/>
          <w:sz w:val="21"/>
          <w:szCs w:val="21"/>
          <w:highlight w:val="none"/>
          <w:u w:val="single"/>
          <w:lang w:val="en-US" w:eastAsia="zh-CN"/>
        </w:rPr>
        <w:t xml:space="preserve">  </w:t>
      </w:r>
      <w:r>
        <w:rPr>
          <w:color w:val="auto"/>
          <w:sz w:val="21"/>
          <w:szCs w:val="21"/>
          <w:highlight w:val="none"/>
        </w:rPr>
        <w:t>方式采购</w:t>
      </w:r>
      <w:bookmarkEnd w:id="92"/>
      <w:r>
        <w:rPr>
          <w:color w:val="auto"/>
          <w:sz w:val="21"/>
          <w:szCs w:val="21"/>
          <w:highlight w:val="none"/>
        </w:rPr>
        <w:t>，确定</w:t>
      </w:r>
      <w:r>
        <w:rPr>
          <w:rFonts w:hint="eastAsia"/>
          <w:color w:val="auto"/>
          <w:sz w:val="21"/>
          <w:szCs w:val="21"/>
          <w:highlight w:val="none"/>
          <w:lang w:val="en-US" w:eastAsia="zh-CN"/>
        </w:rPr>
        <w:t xml:space="preserve"> </w:t>
      </w:r>
      <w:r>
        <w:rPr>
          <w:rFonts w:hint="eastAsia"/>
          <w:color w:val="auto"/>
          <w:sz w:val="21"/>
          <w:szCs w:val="21"/>
          <w:highlight w:val="none"/>
          <w:u w:val="single"/>
          <w:lang w:val="en-US" w:eastAsia="zh-CN"/>
        </w:rPr>
        <w:t xml:space="preserve">     </w:t>
      </w:r>
      <w:r>
        <w:rPr>
          <w:color w:val="auto"/>
          <w:sz w:val="21"/>
          <w:szCs w:val="21"/>
          <w:highlight w:val="none"/>
        </w:rPr>
        <w:t>为中标单位，甲</w:t>
      </w:r>
      <w:r>
        <w:rPr>
          <w:rFonts w:hint="eastAsia"/>
          <w:color w:val="auto"/>
          <w:sz w:val="21"/>
          <w:szCs w:val="21"/>
          <w:highlight w:val="none"/>
        </w:rPr>
        <w:t>、</w:t>
      </w:r>
      <w:r>
        <w:rPr>
          <w:color w:val="auto"/>
          <w:sz w:val="21"/>
          <w:szCs w:val="21"/>
          <w:highlight w:val="none"/>
        </w:rPr>
        <w:t>乙双方友好协商，达成以下条款：</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第一条：采购商品清单及合同价格</w:t>
      </w:r>
      <w:r>
        <w:rPr>
          <w:rFonts w:hAnsi="宋体"/>
          <w:color w:val="auto"/>
          <w:szCs w:val="21"/>
          <w:highlight w:val="none"/>
        </w:rPr>
        <w:t>单位：元</w:t>
      </w:r>
    </w:p>
    <w:tbl>
      <w:tblPr>
        <w:tblStyle w:val="39"/>
        <w:tblW w:w="9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276"/>
        <w:gridCol w:w="850"/>
        <w:gridCol w:w="1843"/>
        <w:gridCol w:w="992"/>
        <w:gridCol w:w="1160"/>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688" w:type="dxa"/>
            <w:noWrap w:val="0"/>
            <w:vAlign w:val="center"/>
          </w:tcPr>
          <w:p>
            <w:pPr>
              <w:spacing w:line="288" w:lineRule="auto"/>
              <w:ind w:firstLine="0" w:firstLineChars="0"/>
              <w:jc w:val="center"/>
              <w:rPr>
                <w:color w:val="auto"/>
                <w:sz w:val="21"/>
                <w:szCs w:val="21"/>
                <w:highlight w:val="none"/>
              </w:rPr>
            </w:pPr>
            <w:r>
              <w:rPr>
                <w:color w:val="auto"/>
                <w:sz w:val="21"/>
                <w:szCs w:val="21"/>
                <w:highlight w:val="none"/>
              </w:rPr>
              <w:t>产品名称</w:t>
            </w:r>
          </w:p>
        </w:tc>
        <w:tc>
          <w:tcPr>
            <w:tcW w:w="1276" w:type="dxa"/>
            <w:noWrap w:val="0"/>
            <w:vAlign w:val="center"/>
          </w:tcPr>
          <w:p>
            <w:pPr>
              <w:spacing w:line="288" w:lineRule="auto"/>
              <w:ind w:firstLine="0" w:firstLineChars="0"/>
              <w:jc w:val="center"/>
              <w:rPr>
                <w:color w:val="auto"/>
                <w:sz w:val="21"/>
                <w:szCs w:val="21"/>
                <w:highlight w:val="none"/>
              </w:rPr>
            </w:pPr>
            <w:r>
              <w:rPr>
                <w:color w:val="auto"/>
                <w:sz w:val="21"/>
                <w:szCs w:val="21"/>
                <w:highlight w:val="none"/>
              </w:rPr>
              <w:t>厂家</w:t>
            </w:r>
            <w:r>
              <w:rPr>
                <w:rFonts w:hint="eastAsia"/>
                <w:color w:val="auto"/>
                <w:sz w:val="21"/>
                <w:szCs w:val="21"/>
                <w:highlight w:val="none"/>
              </w:rPr>
              <w:t>（全称）</w:t>
            </w:r>
          </w:p>
        </w:tc>
        <w:tc>
          <w:tcPr>
            <w:tcW w:w="850" w:type="dxa"/>
            <w:noWrap w:val="0"/>
            <w:vAlign w:val="center"/>
          </w:tcPr>
          <w:p>
            <w:pPr>
              <w:spacing w:line="288" w:lineRule="auto"/>
              <w:ind w:firstLine="0" w:firstLineChars="0"/>
              <w:jc w:val="center"/>
              <w:rPr>
                <w:color w:val="auto"/>
                <w:sz w:val="21"/>
                <w:szCs w:val="21"/>
                <w:highlight w:val="none"/>
              </w:rPr>
            </w:pPr>
            <w:r>
              <w:rPr>
                <w:color w:val="auto"/>
                <w:sz w:val="21"/>
                <w:szCs w:val="21"/>
                <w:highlight w:val="none"/>
              </w:rPr>
              <w:t>品牌</w:t>
            </w:r>
          </w:p>
        </w:tc>
        <w:tc>
          <w:tcPr>
            <w:tcW w:w="1843" w:type="dxa"/>
            <w:noWrap w:val="0"/>
            <w:vAlign w:val="center"/>
          </w:tcPr>
          <w:p>
            <w:pPr>
              <w:spacing w:line="288" w:lineRule="auto"/>
              <w:ind w:firstLine="0" w:firstLineChars="0"/>
              <w:jc w:val="center"/>
              <w:rPr>
                <w:color w:val="auto"/>
                <w:sz w:val="21"/>
                <w:szCs w:val="21"/>
                <w:highlight w:val="none"/>
              </w:rPr>
            </w:pPr>
            <w:r>
              <w:rPr>
                <w:color w:val="auto"/>
                <w:sz w:val="21"/>
                <w:szCs w:val="21"/>
                <w:highlight w:val="none"/>
              </w:rPr>
              <w:t>规格型号</w:t>
            </w:r>
            <w:r>
              <w:rPr>
                <w:rFonts w:hint="eastAsia"/>
                <w:color w:val="auto"/>
                <w:sz w:val="21"/>
                <w:szCs w:val="21"/>
                <w:highlight w:val="none"/>
              </w:rPr>
              <w:t>、</w:t>
            </w:r>
            <w:r>
              <w:rPr>
                <w:color w:val="auto"/>
                <w:sz w:val="21"/>
                <w:szCs w:val="21"/>
                <w:highlight w:val="none"/>
              </w:rPr>
              <w:t>材质</w:t>
            </w:r>
          </w:p>
        </w:tc>
        <w:tc>
          <w:tcPr>
            <w:tcW w:w="992" w:type="dxa"/>
            <w:noWrap w:val="0"/>
            <w:vAlign w:val="center"/>
          </w:tcPr>
          <w:p>
            <w:pPr>
              <w:spacing w:line="288" w:lineRule="auto"/>
              <w:ind w:firstLine="0" w:firstLineChars="0"/>
              <w:jc w:val="center"/>
              <w:rPr>
                <w:color w:val="auto"/>
                <w:sz w:val="21"/>
                <w:szCs w:val="21"/>
                <w:highlight w:val="none"/>
              </w:rPr>
            </w:pPr>
            <w:r>
              <w:rPr>
                <w:color w:val="auto"/>
                <w:sz w:val="21"/>
                <w:szCs w:val="21"/>
                <w:highlight w:val="none"/>
              </w:rPr>
              <w:t>数量</w:t>
            </w:r>
          </w:p>
        </w:tc>
        <w:tc>
          <w:tcPr>
            <w:tcW w:w="1160" w:type="dxa"/>
            <w:noWrap w:val="0"/>
            <w:vAlign w:val="center"/>
          </w:tcPr>
          <w:p>
            <w:pPr>
              <w:spacing w:line="288" w:lineRule="auto"/>
              <w:ind w:firstLine="0" w:firstLineChars="0"/>
              <w:jc w:val="center"/>
              <w:rPr>
                <w:color w:val="auto"/>
                <w:sz w:val="21"/>
                <w:szCs w:val="21"/>
                <w:highlight w:val="none"/>
              </w:rPr>
            </w:pPr>
            <w:r>
              <w:rPr>
                <w:color w:val="auto"/>
                <w:sz w:val="21"/>
                <w:szCs w:val="21"/>
                <w:highlight w:val="none"/>
              </w:rPr>
              <w:t>含税单价</w:t>
            </w:r>
          </w:p>
        </w:tc>
        <w:tc>
          <w:tcPr>
            <w:tcW w:w="1327" w:type="dxa"/>
            <w:noWrap w:val="0"/>
            <w:vAlign w:val="center"/>
          </w:tcPr>
          <w:p>
            <w:pPr>
              <w:spacing w:line="288" w:lineRule="auto"/>
              <w:ind w:firstLine="0" w:firstLineChars="0"/>
              <w:jc w:val="center"/>
              <w:rPr>
                <w:color w:val="auto"/>
                <w:sz w:val="21"/>
                <w:szCs w:val="21"/>
                <w:highlight w:val="none"/>
              </w:rPr>
            </w:pPr>
            <w:r>
              <w:rPr>
                <w:rFonts w:hint="eastAsia"/>
                <w:color w:val="auto"/>
                <w:sz w:val="21"/>
                <w:szCs w:val="21"/>
                <w:highlight w:val="none"/>
              </w:rPr>
              <w:t>含税</w:t>
            </w:r>
            <w:r>
              <w:rPr>
                <w:color w:val="auto"/>
                <w:sz w:val="21"/>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jc w:val="center"/>
        </w:trPr>
        <w:tc>
          <w:tcPr>
            <w:tcW w:w="1688" w:type="dxa"/>
            <w:noWrap w:val="0"/>
            <w:vAlign w:val="center"/>
          </w:tcPr>
          <w:p>
            <w:pPr>
              <w:adjustRightInd w:val="0"/>
              <w:snapToGrid w:val="0"/>
              <w:ind w:firstLine="0" w:firstLineChars="0"/>
              <w:jc w:val="left"/>
              <w:rPr>
                <w:color w:val="auto"/>
                <w:spacing w:val="20"/>
                <w:sz w:val="21"/>
                <w:szCs w:val="21"/>
                <w:highlight w:val="none"/>
              </w:rPr>
            </w:pPr>
          </w:p>
        </w:tc>
        <w:tc>
          <w:tcPr>
            <w:tcW w:w="1276" w:type="dxa"/>
            <w:noWrap w:val="0"/>
            <w:vAlign w:val="center"/>
          </w:tcPr>
          <w:p>
            <w:pPr>
              <w:widowControl/>
              <w:ind w:firstLine="0" w:firstLineChars="0"/>
              <w:jc w:val="center"/>
              <w:rPr>
                <w:color w:val="auto"/>
                <w:kern w:val="0"/>
                <w:sz w:val="21"/>
                <w:szCs w:val="21"/>
                <w:highlight w:val="none"/>
              </w:rPr>
            </w:pPr>
          </w:p>
        </w:tc>
        <w:tc>
          <w:tcPr>
            <w:tcW w:w="850" w:type="dxa"/>
            <w:noWrap w:val="0"/>
            <w:vAlign w:val="center"/>
          </w:tcPr>
          <w:p>
            <w:pPr>
              <w:widowControl/>
              <w:ind w:firstLine="0" w:firstLineChars="0"/>
              <w:jc w:val="center"/>
              <w:rPr>
                <w:color w:val="auto"/>
                <w:kern w:val="0"/>
                <w:sz w:val="21"/>
                <w:szCs w:val="21"/>
                <w:highlight w:val="none"/>
              </w:rPr>
            </w:pPr>
          </w:p>
        </w:tc>
        <w:tc>
          <w:tcPr>
            <w:tcW w:w="1843" w:type="dxa"/>
            <w:noWrap w:val="0"/>
            <w:vAlign w:val="center"/>
          </w:tcPr>
          <w:p>
            <w:pPr>
              <w:widowControl/>
              <w:ind w:left="-118" w:leftChars="-49" w:firstLine="0" w:firstLineChars="0"/>
              <w:jc w:val="center"/>
              <w:rPr>
                <w:color w:val="auto"/>
                <w:kern w:val="0"/>
                <w:sz w:val="21"/>
                <w:szCs w:val="21"/>
                <w:highlight w:val="none"/>
              </w:rPr>
            </w:pPr>
          </w:p>
        </w:tc>
        <w:tc>
          <w:tcPr>
            <w:tcW w:w="992" w:type="dxa"/>
            <w:noWrap w:val="0"/>
            <w:vAlign w:val="center"/>
          </w:tcPr>
          <w:p>
            <w:pPr>
              <w:adjustRightInd w:val="0"/>
              <w:snapToGrid w:val="0"/>
              <w:ind w:firstLine="0" w:firstLineChars="0"/>
              <w:jc w:val="center"/>
              <w:rPr>
                <w:color w:val="auto"/>
                <w:spacing w:val="20"/>
                <w:sz w:val="21"/>
                <w:szCs w:val="21"/>
                <w:highlight w:val="none"/>
              </w:rPr>
            </w:pPr>
          </w:p>
        </w:tc>
        <w:tc>
          <w:tcPr>
            <w:tcW w:w="1160" w:type="dxa"/>
            <w:noWrap w:val="0"/>
            <w:vAlign w:val="center"/>
          </w:tcPr>
          <w:p>
            <w:pPr>
              <w:widowControl/>
              <w:ind w:firstLine="0" w:firstLineChars="0"/>
              <w:rPr>
                <w:color w:val="auto"/>
                <w:kern w:val="0"/>
                <w:sz w:val="21"/>
                <w:szCs w:val="21"/>
                <w:highlight w:val="none"/>
              </w:rPr>
            </w:pPr>
          </w:p>
        </w:tc>
        <w:tc>
          <w:tcPr>
            <w:tcW w:w="1327" w:type="dxa"/>
            <w:noWrap w:val="0"/>
            <w:vAlign w:val="center"/>
          </w:tcPr>
          <w:p>
            <w:pPr>
              <w:widowControl/>
              <w:ind w:firstLine="0" w:firstLineChars="0"/>
              <w:rPr>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jc w:val="center"/>
        </w:trPr>
        <w:tc>
          <w:tcPr>
            <w:tcW w:w="7809" w:type="dxa"/>
            <w:gridSpan w:val="6"/>
            <w:noWrap w:val="0"/>
            <w:vAlign w:val="center"/>
          </w:tcPr>
          <w:p>
            <w:pPr>
              <w:spacing w:line="288" w:lineRule="auto"/>
              <w:ind w:firstLine="0" w:firstLineChars="0"/>
              <w:rPr>
                <w:color w:val="auto"/>
                <w:sz w:val="21"/>
                <w:szCs w:val="21"/>
                <w:highlight w:val="none"/>
              </w:rPr>
            </w:pPr>
            <w:r>
              <w:rPr>
                <w:color w:val="auto"/>
                <w:sz w:val="21"/>
                <w:szCs w:val="21"/>
                <w:highlight w:val="none"/>
              </w:rPr>
              <w:t>合计：</w:t>
            </w:r>
          </w:p>
        </w:tc>
        <w:tc>
          <w:tcPr>
            <w:tcW w:w="1327" w:type="dxa"/>
            <w:noWrap w:val="0"/>
            <w:vAlign w:val="center"/>
          </w:tcPr>
          <w:p>
            <w:pPr>
              <w:spacing w:line="288"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 w:hRule="atLeast"/>
          <w:jc w:val="center"/>
        </w:trPr>
        <w:tc>
          <w:tcPr>
            <w:tcW w:w="9136" w:type="dxa"/>
            <w:gridSpan w:val="7"/>
            <w:noWrap w:val="0"/>
            <w:vAlign w:val="center"/>
          </w:tcPr>
          <w:p>
            <w:pPr>
              <w:spacing w:line="288" w:lineRule="auto"/>
              <w:ind w:firstLine="0" w:firstLineChars="0"/>
              <w:rPr>
                <w:color w:val="auto"/>
                <w:sz w:val="21"/>
                <w:szCs w:val="21"/>
                <w:highlight w:val="none"/>
              </w:rPr>
            </w:pPr>
            <w:r>
              <w:rPr>
                <w:color w:val="auto"/>
                <w:sz w:val="21"/>
                <w:szCs w:val="21"/>
                <w:highlight w:val="none"/>
              </w:rPr>
              <w:t>合同总价（人民币大写）：</w:t>
            </w:r>
          </w:p>
        </w:tc>
      </w:tr>
    </w:tbl>
    <w:p>
      <w:pPr>
        <w:pStyle w:val="20"/>
        <w:spacing w:line="288" w:lineRule="auto"/>
        <w:ind w:firstLine="420" w:firstLineChars="200"/>
        <w:rPr>
          <w:rFonts w:ascii="Times New Roman" w:hAnsi="Times New Roman"/>
          <w:color w:val="auto"/>
          <w:szCs w:val="21"/>
          <w:highlight w:val="none"/>
        </w:rPr>
      </w:pPr>
      <w:r>
        <w:rPr>
          <w:rFonts w:hAnsi="宋体"/>
          <w:color w:val="auto"/>
          <w:szCs w:val="21"/>
          <w:highlight w:val="none"/>
        </w:rPr>
        <w:t>注：以上合同总价包括完成所有产品供货及履行所有规定服务所产生的全部税费，型号规格材质在清单中未标明的，以投标文件、招标文件标注的为准。</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第二条：质量保证</w:t>
      </w:r>
    </w:p>
    <w:p>
      <w:pPr>
        <w:pStyle w:val="20"/>
        <w:spacing w:line="288" w:lineRule="auto"/>
        <w:ind w:firstLine="420" w:firstLineChars="200"/>
        <w:rPr>
          <w:rFonts w:hAnsi="宋体"/>
          <w:color w:val="auto"/>
          <w:szCs w:val="21"/>
          <w:highlight w:val="none"/>
        </w:rPr>
      </w:pPr>
      <w:r>
        <w:rPr>
          <w:rFonts w:hAnsi="宋体"/>
          <w:color w:val="auto"/>
          <w:szCs w:val="21"/>
          <w:highlight w:val="none"/>
        </w:rPr>
        <w:t>乙方保证本所供货物是</w:t>
      </w:r>
      <w:r>
        <w:rPr>
          <w:rFonts w:ascii="Times New Roman" w:hAnsi="Times New Roman"/>
          <w:color w:val="auto"/>
          <w:szCs w:val="21"/>
          <w:highlight w:val="none"/>
        </w:rPr>
        <w:t>20</w:t>
      </w:r>
      <w:r>
        <w:rPr>
          <w:rFonts w:ascii="Times New Roman" w:hAnsi="Times New Roman"/>
          <w:color w:val="auto"/>
          <w:szCs w:val="21"/>
          <w:highlight w:val="none"/>
          <w:u w:val="single"/>
        </w:rPr>
        <w:t>1</w:t>
      </w:r>
      <w:r>
        <w:rPr>
          <w:rFonts w:hint="eastAsia" w:ascii="Times New Roman" w:hAnsi="Times New Roman"/>
          <w:color w:val="auto"/>
          <w:szCs w:val="21"/>
          <w:highlight w:val="none"/>
          <w:u w:val="single"/>
          <w:lang w:val="en-US" w:eastAsia="zh-CN"/>
        </w:rPr>
        <w:t xml:space="preserve">  </w:t>
      </w:r>
      <w:r>
        <w:rPr>
          <w:rFonts w:hAnsi="宋体"/>
          <w:color w:val="auto"/>
          <w:szCs w:val="21"/>
          <w:highlight w:val="none"/>
        </w:rPr>
        <w:t>年</w:t>
      </w:r>
      <w:r>
        <w:rPr>
          <w:rFonts w:hint="eastAsia" w:hAnsi="宋体"/>
          <w:color w:val="auto"/>
          <w:szCs w:val="21"/>
          <w:highlight w:val="none"/>
          <w:lang w:val="en-US" w:eastAsia="zh-CN"/>
        </w:rPr>
        <w:t xml:space="preserve">   </w:t>
      </w:r>
      <w:r>
        <w:rPr>
          <w:rFonts w:hAnsi="宋体"/>
          <w:color w:val="auto"/>
          <w:szCs w:val="21"/>
          <w:highlight w:val="none"/>
        </w:rPr>
        <w:t>月份后生产的符合本合同约定和国家技术标准的原厂全新合格产品；否则，甲方有权拒收或有权随时退货并要求乙方退还全款和支付总价款</w:t>
      </w:r>
      <w:r>
        <w:rPr>
          <w:rFonts w:ascii="Times New Roman" w:hAnsi="Times New Roman"/>
          <w:color w:val="auto"/>
          <w:szCs w:val="21"/>
          <w:highlight w:val="none"/>
        </w:rPr>
        <w:t>20%</w:t>
      </w:r>
      <w:r>
        <w:rPr>
          <w:rFonts w:hAnsi="宋体"/>
          <w:color w:val="auto"/>
          <w:szCs w:val="21"/>
          <w:highlight w:val="none"/>
        </w:rPr>
        <w:t>的违约金，由此产生的一切责任和后果由乙方承担。</w:t>
      </w:r>
    </w:p>
    <w:p>
      <w:pPr>
        <w:pStyle w:val="20"/>
        <w:spacing w:line="288" w:lineRule="auto"/>
        <w:ind w:firstLine="420" w:firstLineChars="200"/>
        <w:rPr>
          <w:rFonts w:hAnsi="宋体"/>
          <w:color w:val="auto"/>
          <w:szCs w:val="21"/>
          <w:highlight w:val="none"/>
        </w:rPr>
      </w:pPr>
      <w:r>
        <w:rPr>
          <w:rFonts w:hint="eastAsia" w:hAnsi="宋体"/>
          <w:color w:val="auto"/>
          <w:szCs w:val="21"/>
          <w:highlight w:val="none"/>
        </w:rPr>
        <w:t>乙方应根据运输距离及货物防潮、防锈、防震、防水、防破损等要求对货物实行包装，确保货物安全、完好送达甲方。</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第三条：交货时间、地点</w:t>
      </w:r>
    </w:p>
    <w:p>
      <w:pPr>
        <w:pStyle w:val="20"/>
        <w:spacing w:line="288" w:lineRule="auto"/>
        <w:ind w:left="34" w:firstLine="420" w:firstLineChars="200"/>
        <w:rPr>
          <w:rFonts w:ascii="Times New Roman" w:hAnsi="Times New Roman"/>
          <w:color w:val="auto"/>
          <w:szCs w:val="21"/>
          <w:highlight w:val="none"/>
        </w:rPr>
      </w:pPr>
      <w:r>
        <w:rPr>
          <w:rFonts w:hAnsi="宋体"/>
          <w:color w:val="auto"/>
          <w:szCs w:val="21"/>
          <w:highlight w:val="none"/>
        </w:rPr>
        <w:t>乙方应在</w:t>
      </w:r>
      <w:r>
        <w:rPr>
          <w:rFonts w:ascii="Times New Roman" w:hAnsi="Times New Roman"/>
          <w:color w:val="auto"/>
          <w:szCs w:val="21"/>
          <w:highlight w:val="none"/>
        </w:rPr>
        <w:t>20</w:t>
      </w:r>
      <w:r>
        <w:rPr>
          <w:rFonts w:ascii="Times New Roman" w:hAnsi="Times New Roman"/>
          <w:color w:val="auto"/>
          <w:szCs w:val="21"/>
          <w:highlight w:val="none"/>
          <w:u w:val="single"/>
        </w:rPr>
        <w:t>1</w:t>
      </w:r>
      <w:r>
        <w:rPr>
          <w:rFonts w:hint="eastAsia" w:ascii="Times New Roman" w:hAnsi="Times New Roman"/>
          <w:color w:val="auto"/>
          <w:szCs w:val="21"/>
          <w:highlight w:val="none"/>
          <w:u w:val="single"/>
          <w:lang w:val="en-US" w:eastAsia="zh-CN"/>
        </w:rPr>
        <w:t xml:space="preserve">  </w:t>
      </w:r>
      <w:r>
        <w:rPr>
          <w:rFonts w:hAnsi="宋体"/>
          <w:color w:val="auto"/>
          <w:szCs w:val="21"/>
          <w:highlight w:val="none"/>
        </w:rPr>
        <w:t>年</w:t>
      </w:r>
      <w:r>
        <w:rPr>
          <w:rFonts w:hint="eastAsia" w:hAnsi="宋体"/>
          <w:color w:val="auto"/>
          <w:szCs w:val="21"/>
          <w:highlight w:val="none"/>
          <w:lang w:val="en-US" w:eastAsia="zh-CN"/>
        </w:rPr>
        <w:t xml:space="preserve">   </w:t>
      </w:r>
      <w:r>
        <w:rPr>
          <w:rFonts w:hAnsi="宋体"/>
          <w:color w:val="auto"/>
          <w:szCs w:val="21"/>
          <w:highlight w:val="none"/>
        </w:rPr>
        <w:t>月</w:t>
      </w:r>
      <w:r>
        <w:rPr>
          <w:rFonts w:hint="eastAsia" w:hAnsi="宋体"/>
          <w:color w:val="auto"/>
          <w:szCs w:val="21"/>
          <w:highlight w:val="none"/>
          <w:lang w:val="en-US" w:eastAsia="zh-CN"/>
        </w:rPr>
        <w:t xml:space="preserve">   </w:t>
      </w:r>
      <w:r>
        <w:rPr>
          <w:rFonts w:hAnsi="宋体"/>
          <w:color w:val="auto"/>
          <w:szCs w:val="21"/>
          <w:highlight w:val="none"/>
        </w:rPr>
        <w:t>日前，将货物运送至甲方</w:t>
      </w:r>
      <w:r>
        <w:rPr>
          <w:rFonts w:hint="eastAsia" w:hAnsi="宋体"/>
          <w:color w:val="auto"/>
          <w:szCs w:val="21"/>
          <w:highlight w:val="none"/>
        </w:rPr>
        <w:t>校区</w:t>
      </w:r>
      <w:r>
        <w:rPr>
          <w:rFonts w:hAnsi="宋体"/>
          <w:color w:val="auto"/>
          <w:szCs w:val="21"/>
          <w:highlight w:val="none"/>
        </w:rPr>
        <w:t>所在地，并完成安装调试摆放</w:t>
      </w:r>
      <w:r>
        <w:rPr>
          <w:rFonts w:hint="eastAsia" w:hAnsi="宋体"/>
          <w:color w:val="auto"/>
          <w:szCs w:val="21"/>
          <w:highlight w:val="none"/>
        </w:rPr>
        <w:t>，经甲方验收合格</w:t>
      </w:r>
      <w:r>
        <w:rPr>
          <w:rFonts w:hAnsi="宋体"/>
          <w:color w:val="auto"/>
          <w:szCs w:val="21"/>
          <w:highlight w:val="none"/>
        </w:rPr>
        <w:t>。同时向甲方提供货物的</w:t>
      </w:r>
      <w:r>
        <w:rPr>
          <w:rFonts w:hint="eastAsia" w:hAnsi="宋体"/>
          <w:color w:val="auto"/>
          <w:szCs w:val="21"/>
          <w:highlight w:val="none"/>
        </w:rPr>
        <w:t>合格证、质量保证书或保修卡</w:t>
      </w:r>
      <w:r>
        <w:rPr>
          <w:rFonts w:hAnsi="宋体"/>
          <w:color w:val="auto"/>
          <w:szCs w:val="21"/>
          <w:highlight w:val="none"/>
        </w:rPr>
        <w:t>、使用说明等必备资料和必备配附件。</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第四条：售后服务</w:t>
      </w:r>
    </w:p>
    <w:p>
      <w:pPr>
        <w:pStyle w:val="20"/>
        <w:spacing w:line="288"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Ansi="宋体"/>
          <w:color w:val="auto"/>
          <w:szCs w:val="21"/>
          <w:highlight w:val="none"/>
        </w:rPr>
        <w:t>乙方提供的货物质保期为</w:t>
      </w:r>
      <w:r>
        <w:rPr>
          <w:rFonts w:hint="eastAsia" w:hAnsi="宋体"/>
          <w:color w:val="auto"/>
          <w:szCs w:val="21"/>
          <w:highlight w:val="none"/>
          <w:lang w:val="en-US" w:eastAsia="zh-CN"/>
        </w:rPr>
        <w:t xml:space="preserve">   </w:t>
      </w:r>
      <w:r>
        <w:rPr>
          <w:rFonts w:hAnsi="宋体"/>
          <w:color w:val="auto"/>
          <w:szCs w:val="21"/>
          <w:highlight w:val="none"/>
        </w:rPr>
        <w:t>年，从货物验收合格交付甲方</w:t>
      </w:r>
      <w:r>
        <w:rPr>
          <w:rFonts w:hint="eastAsia" w:hAnsi="宋体"/>
          <w:color w:val="auto"/>
          <w:szCs w:val="21"/>
          <w:highlight w:val="none"/>
        </w:rPr>
        <w:t>正常</w:t>
      </w:r>
      <w:r>
        <w:rPr>
          <w:rFonts w:hAnsi="宋体"/>
          <w:color w:val="auto"/>
          <w:szCs w:val="21"/>
          <w:highlight w:val="none"/>
        </w:rPr>
        <w:t>使用之日起算，除人为原因造成的故障外，保修包换；质保期满后，乙方负责提供配件和维修服务，酌收备件成本费用，易损件长期提供。</w:t>
      </w:r>
    </w:p>
    <w:p>
      <w:pPr>
        <w:pStyle w:val="20"/>
        <w:spacing w:line="288" w:lineRule="auto"/>
        <w:ind w:right="-125" w:rightChars="-52"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Ansi="宋体"/>
          <w:color w:val="auto"/>
          <w:szCs w:val="21"/>
          <w:highlight w:val="none"/>
        </w:rPr>
        <w:t>乙方保证所供货物发生故障时，最迟在</w:t>
      </w:r>
      <w:r>
        <w:rPr>
          <w:rFonts w:ascii="Times New Roman" w:hAnsi="Times New Roman"/>
          <w:color w:val="auto"/>
          <w:szCs w:val="21"/>
          <w:highlight w:val="none"/>
        </w:rPr>
        <w:t>48</w:t>
      </w:r>
      <w:r>
        <w:rPr>
          <w:rFonts w:hAnsi="宋体"/>
          <w:color w:val="auto"/>
          <w:szCs w:val="21"/>
          <w:highlight w:val="none"/>
        </w:rPr>
        <w:t>小时内修复，并采取提供临时替用品等措施，以保证甲方的正常工作。</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第五条：验收</w:t>
      </w:r>
    </w:p>
    <w:p>
      <w:pPr>
        <w:pStyle w:val="20"/>
        <w:spacing w:line="288" w:lineRule="auto"/>
        <w:ind w:firstLine="420" w:firstLineChars="200"/>
        <w:rPr>
          <w:rFonts w:ascii="Times New Roman" w:hAnsi="Times New Roman"/>
          <w:color w:val="auto"/>
          <w:szCs w:val="21"/>
          <w:highlight w:val="none"/>
        </w:rPr>
      </w:pPr>
      <w:r>
        <w:rPr>
          <w:rFonts w:hAnsi="宋体"/>
          <w:color w:val="auto"/>
          <w:szCs w:val="21"/>
          <w:highlight w:val="none"/>
        </w:rPr>
        <w:t>乙方将所供货物运至甲方并完成安装调试后，由甲方组织验收。货物从验收合格交付甲方使用次日起</w:t>
      </w:r>
      <w:r>
        <w:rPr>
          <w:rFonts w:ascii="Times New Roman" w:hAnsi="Times New Roman"/>
          <w:color w:val="auto"/>
          <w:szCs w:val="21"/>
          <w:highlight w:val="none"/>
        </w:rPr>
        <w:t>30</w:t>
      </w:r>
      <w:r>
        <w:rPr>
          <w:rFonts w:hAnsi="宋体"/>
          <w:color w:val="auto"/>
          <w:szCs w:val="21"/>
          <w:highlight w:val="none"/>
        </w:rPr>
        <w:t>天内（不含修理期），出现非甲方人为因素造成的无法排除的故障，或经两次修理后仍不能使用的，乙方除调换或退货外，还应向甲方支付合同总价款</w:t>
      </w:r>
      <w:r>
        <w:rPr>
          <w:rFonts w:ascii="Times New Roman" w:hAnsi="Times New Roman"/>
          <w:color w:val="auto"/>
          <w:szCs w:val="21"/>
          <w:highlight w:val="none"/>
        </w:rPr>
        <w:t>20%</w:t>
      </w:r>
      <w:r>
        <w:rPr>
          <w:rFonts w:hAnsi="宋体"/>
          <w:color w:val="auto"/>
          <w:szCs w:val="21"/>
          <w:highlight w:val="none"/>
        </w:rPr>
        <w:t>的违约金。</w:t>
      </w:r>
    </w:p>
    <w:p>
      <w:pPr>
        <w:pStyle w:val="20"/>
        <w:spacing w:line="288" w:lineRule="auto"/>
        <w:ind w:firstLine="422" w:firstLineChars="200"/>
        <w:rPr>
          <w:rFonts w:ascii="Times New Roman" w:hAnsi="Times New Roman"/>
          <w:b/>
          <w:color w:val="auto"/>
          <w:szCs w:val="21"/>
          <w:highlight w:val="none"/>
        </w:rPr>
      </w:pPr>
      <w:r>
        <w:rPr>
          <w:rFonts w:hAnsi="宋体"/>
          <w:b/>
          <w:color w:val="auto"/>
          <w:szCs w:val="21"/>
          <w:highlight w:val="none"/>
        </w:rPr>
        <w:t>第六条：履约（质量）保证金</w:t>
      </w:r>
    </w:p>
    <w:p>
      <w:pPr>
        <w:pStyle w:val="20"/>
        <w:spacing w:line="288" w:lineRule="auto"/>
        <w:ind w:firstLine="420" w:firstLineChars="200"/>
        <w:rPr>
          <w:rFonts w:hint="eastAsia" w:hAnsi="宋体"/>
          <w:color w:val="auto"/>
          <w:szCs w:val="21"/>
          <w:highlight w:val="none"/>
        </w:rPr>
      </w:pPr>
      <w:r>
        <w:rPr>
          <w:rFonts w:hint="eastAsia" w:hAnsi="宋体"/>
          <w:color w:val="auto"/>
          <w:szCs w:val="21"/>
          <w:highlight w:val="none"/>
        </w:rPr>
        <w:t>签订合同后7日内向采购人交纳合同总金额的5％作为履约保证金，未按规定时间缴纳似作违约。履约保证金在合同内容完成验收合格后自动转为质量保证金。质量保证金自验收合格后12个月内没有质量问题和售后服务问题，无息退还。</w:t>
      </w:r>
      <w:r>
        <w:rPr>
          <w:rFonts w:hAnsi="宋体"/>
          <w:color w:val="auto"/>
          <w:szCs w:val="21"/>
          <w:highlight w:val="none"/>
        </w:rPr>
        <w:t>（遇寒暑假及国定假日顺延）。</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第七条：付款方式</w:t>
      </w:r>
    </w:p>
    <w:p>
      <w:pPr>
        <w:pStyle w:val="20"/>
        <w:spacing w:line="288" w:lineRule="auto"/>
        <w:ind w:firstLine="420" w:firstLineChars="200"/>
        <w:rPr>
          <w:rFonts w:ascii="Times New Roman" w:hAnsi="Times New Roman"/>
          <w:color w:val="auto"/>
          <w:szCs w:val="21"/>
          <w:highlight w:val="none"/>
        </w:rPr>
      </w:pPr>
      <w:r>
        <w:rPr>
          <w:rFonts w:hint="eastAsia" w:ascii="宋体" w:hAnsi="宋体" w:cs="宋体"/>
          <w:color w:val="auto"/>
          <w:highlight w:val="none"/>
        </w:rPr>
        <w:t>货物自验收合格并正常运行后</w:t>
      </w:r>
      <w:r>
        <w:rPr>
          <w:rFonts w:hint="eastAsia" w:ascii="宋体" w:hAnsi="宋体" w:cs="宋体"/>
          <w:color w:val="auto"/>
          <w:highlight w:val="none"/>
          <w:lang w:val="en-US" w:eastAsia="zh-CN"/>
        </w:rPr>
        <w:t>三个月</w:t>
      </w:r>
      <w:r>
        <w:rPr>
          <w:rFonts w:hint="eastAsia" w:ascii="宋体" w:hAnsi="宋体" w:cs="宋体"/>
          <w:color w:val="auto"/>
          <w:highlight w:val="none"/>
        </w:rPr>
        <w:t>内，采购人向中标方</w:t>
      </w:r>
      <w:r>
        <w:rPr>
          <w:rFonts w:hint="eastAsia" w:ascii="宋体" w:hAnsi="宋体" w:cs="宋体"/>
          <w:color w:val="auto"/>
          <w:highlight w:val="none"/>
          <w:lang w:val="en-US" w:eastAsia="zh-CN"/>
        </w:rPr>
        <w:t>支付95%的货款，</w:t>
      </w:r>
      <w:r>
        <w:rPr>
          <w:rFonts w:hAnsi="宋体"/>
          <w:color w:val="auto"/>
          <w:szCs w:val="21"/>
          <w:highlight w:val="none"/>
        </w:rPr>
        <w:t>即</w:t>
      </w:r>
      <w:r>
        <w:rPr>
          <w:rFonts w:ascii="Times New Roman" w:hAnsi="Times New Roman"/>
          <w:color w:val="auto"/>
          <w:szCs w:val="21"/>
          <w:highlight w:val="none"/>
        </w:rPr>
        <w:t>¥</w:t>
      </w:r>
      <w:r>
        <w:rPr>
          <w:rFonts w:hAnsi="宋体"/>
          <w:color w:val="auto"/>
          <w:szCs w:val="21"/>
          <w:highlight w:val="none"/>
        </w:rPr>
        <w:t>元（大写：</w:t>
      </w:r>
      <w:r>
        <w:rPr>
          <w:rFonts w:hint="eastAsia" w:hAnsi="宋体"/>
          <w:color w:val="auto"/>
          <w:szCs w:val="21"/>
          <w:highlight w:val="none"/>
          <w:lang w:val="en-US" w:eastAsia="zh-CN"/>
        </w:rPr>
        <w:t xml:space="preserve">   </w:t>
      </w:r>
      <w:r>
        <w:rPr>
          <w:rFonts w:ascii="Times New Roman" w:hAnsi="Times New Roman"/>
          <w:color w:val="auto"/>
          <w:szCs w:val="21"/>
          <w:highlight w:val="none"/>
          <w:u w:val="single"/>
        </w:rPr>
        <w:t>整</w:t>
      </w:r>
      <w:r>
        <w:rPr>
          <w:rFonts w:hAnsi="宋体"/>
          <w:color w:val="auto"/>
          <w:szCs w:val="21"/>
          <w:highlight w:val="none"/>
        </w:rPr>
        <w:t>）</w:t>
      </w:r>
      <w:r>
        <w:rPr>
          <w:rFonts w:hint="eastAsia" w:hAnsi="宋体"/>
          <w:color w:val="auto"/>
          <w:szCs w:val="21"/>
          <w:highlight w:val="none"/>
          <w:lang w:eastAsia="zh-CN"/>
        </w:rPr>
        <w:t>；</w:t>
      </w:r>
      <w:r>
        <w:rPr>
          <w:rFonts w:hint="eastAsia" w:ascii="宋体" w:hAnsi="宋体" w:cs="宋体"/>
          <w:color w:val="auto"/>
          <w:highlight w:val="none"/>
          <w:lang w:val="en-US" w:eastAsia="zh-CN"/>
        </w:rPr>
        <w:t>剩余5%的货款在验收合格并正常运行后六个月内支付</w:t>
      </w:r>
      <w:r>
        <w:rPr>
          <w:rFonts w:hint="eastAsia" w:hAnsi="宋体" w:cs="宋体"/>
          <w:color w:val="auto"/>
          <w:highlight w:val="none"/>
          <w:lang w:val="en-US" w:eastAsia="zh-CN"/>
        </w:rPr>
        <w:t>，</w:t>
      </w:r>
      <w:r>
        <w:rPr>
          <w:rFonts w:hAnsi="宋体"/>
          <w:color w:val="auto"/>
          <w:szCs w:val="21"/>
          <w:highlight w:val="none"/>
        </w:rPr>
        <w:t>即</w:t>
      </w:r>
      <w:r>
        <w:rPr>
          <w:rFonts w:ascii="Times New Roman" w:hAnsi="Times New Roman"/>
          <w:color w:val="auto"/>
          <w:szCs w:val="21"/>
          <w:highlight w:val="none"/>
        </w:rPr>
        <w:t>¥</w:t>
      </w:r>
      <w:r>
        <w:rPr>
          <w:rFonts w:hint="eastAsia" w:ascii="Times New Roman" w:hAnsi="Times New Roman"/>
          <w:color w:val="auto"/>
          <w:szCs w:val="21"/>
          <w:highlight w:val="none"/>
          <w:lang w:val="en-US" w:eastAsia="zh-CN"/>
        </w:rPr>
        <w:t xml:space="preserve">    </w:t>
      </w:r>
      <w:r>
        <w:rPr>
          <w:rFonts w:hAnsi="宋体"/>
          <w:color w:val="auto"/>
          <w:szCs w:val="21"/>
          <w:highlight w:val="none"/>
        </w:rPr>
        <w:t>元（大写：</w:t>
      </w:r>
      <w:r>
        <w:rPr>
          <w:rFonts w:hint="eastAsia" w:hAnsi="宋体"/>
          <w:color w:val="auto"/>
          <w:szCs w:val="21"/>
          <w:highlight w:val="none"/>
          <w:lang w:val="en-US" w:eastAsia="zh-CN"/>
        </w:rPr>
        <w:t xml:space="preserve">     </w:t>
      </w:r>
      <w:r>
        <w:rPr>
          <w:rFonts w:ascii="Times New Roman" w:hAnsi="Times New Roman"/>
          <w:color w:val="auto"/>
          <w:szCs w:val="21"/>
          <w:highlight w:val="none"/>
          <w:u w:val="single"/>
        </w:rPr>
        <w:t>整</w:t>
      </w:r>
      <w:r>
        <w:rPr>
          <w:rFonts w:hAnsi="宋体"/>
          <w:color w:val="auto"/>
          <w:szCs w:val="21"/>
          <w:highlight w:val="none"/>
        </w:rPr>
        <w:t>）。</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第八条：违约责任</w:t>
      </w:r>
    </w:p>
    <w:p>
      <w:pPr>
        <w:pStyle w:val="20"/>
        <w:spacing w:line="288"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Ansi="宋体"/>
          <w:color w:val="auto"/>
          <w:szCs w:val="21"/>
          <w:highlight w:val="none"/>
        </w:rPr>
        <w:t>乙方逾期履行合同义务的，应向甲方偿付合同总价万分之五每日的违约金。</w:t>
      </w:r>
    </w:p>
    <w:p>
      <w:pPr>
        <w:pStyle w:val="20"/>
        <w:spacing w:line="288"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Ansi="宋体"/>
          <w:color w:val="auto"/>
          <w:szCs w:val="21"/>
          <w:highlight w:val="none"/>
        </w:rPr>
        <w:t>甲方逾期支付货款的，应向乙方偿付逾期金额万分之五每日的滞纳金。</w:t>
      </w:r>
    </w:p>
    <w:p>
      <w:pPr>
        <w:pStyle w:val="20"/>
        <w:spacing w:line="288" w:lineRule="auto"/>
        <w:ind w:firstLine="420" w:firstLineChars="200"/>
        <w:rPr>
          <w:rFonts w:hAnsi="宋体"/>
          <w:color w:val="auto"/>
          <w:szCs w:val="21"/>
          <w:highlight w:val="none"/>
        </w:rPr>
      </w:pPr>
      <w:r>
        <w:rPr>
          <w:rFonts w:ascii="Times New Roman" w:hAnsi="Times New Roman"/>
          <w:color w:val="auto"/>
          <w:szCs w:val="21"/>
          <w:highlight w:val="none"/>
        </w:rPr>
        <w:t>3.</w:t>
      </w:r>
      <w:r>
        <w:rPr>
          <w:rFonts w:hAnsi="宋体"/>
          <w:color w:val="auto"/>
          <w:szCs w:val="21"/>
          <w:highlight w:val="none"/>
        </w:rPr>
        <w:t>货物验收合格交付正常使用之日起一年内，乙方未能全面履行合同约定或有违约行为的，质量保证金不予退还，并按合同规定承担其他违约责任。</w:t>
      </w:r>
    </w:p>
    <w:p>
      <w:pPr>
        <w:pStyle w:val="20"/>
        <w:spacing w:line="288" w:lineRule="auto"/>
        <w:ind w:firstLine="420" w:firstLineChars="200"/>
        <w:rPr>
          <w:rFonts w:hAnsi="宋体"/>
          <w:color w:val="auto"/>
          <w:szCs w:val="21"/>
          <w:highlight w:val="none"/>
        </w:rPr>
      </w:pPr>
      <w:r>
        <w:rPr>
          <w:rFonts w:hint="eastAsia" w:hAnsi="宋体"/>
          <w:color w:val="auto"/>
          <w:szCs w:val="21"/>
          <w:highlight w:val="none"/>
        </w:rPr>
        <w:t>4.本合同货物须由乙方直接供应，不得转让、转包、分包他人供应；否则，甲方有权解除合同、拒付（或要求退还）合同价款、没收履约（质量）保证金，并要求乙方支付合同价款20%的违约金。</w:t>
      </w:r>
    </w:p>
    <w:p>
      <w:pPr>
        <w:pStyle w:val="20"/>
        <w:spacing w:line="288" w:lineRule="auto"/>
        <w:ind w:firstLine="420" w:firstLineChars="200"/>
        <w:rPr>
          <w:rFonts w:ascii="Times New Roman" w:hAnsi="Times New Roman"/>
          <w:color w:val="auto"/>
          <w:szCs w:val="21"/>
          <w:highlight w:val="none"/>
        </w:rPr>
      </w:pPr>
      <w:r>
        <w:rPr>
          <w:rFonts w:hint="eastAsia" w:hAnsi="宋体"/>
          <w:color w:val="auto"/>
          <w:szCs w:val="21"/>
          <w:highlight w:val="none"/>
        </w:rPr>
        <w:t>5.乙方所供货物侵犯第三方知识产权的，乙方应承担由此造成的所有损失（包括但不限于侵权赔偿款、诉讼费、律师费、向甲方退还已收全款并按合同价款的20%支付违约金等）。</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第九条：争议的解决</w:t>
      </w:r>
    </w:p>
    <w:p>
      <w:pPr>
        <w:pStyle w:val="20"/>
        <w:spacing w:line="288" w:lineRule="auto"/>
        <w:ind w:firstLine="420" w:firstLineChars="200"/>
        <w:rPr>
          <w:rFonts w:ascii="Times New Roman" w:hAnsi="Times New Roman"/>
          <w:color w:val="auto"/>
          <w:szCs w:val="21"/>
          <w:highlight w:val="none"/>
        </w:rPr>
      </w:pPr>
      <w:r>
        <w:rPr>
          <w:rFonts w:hAnsi="宋体"/>
          <w:color w:val="auto"/>
          <w:szCs w:val="21"/>
          <w:highlight w:val="none"/>
        </w:rPr>
        <w:t>本合同纠纷由双方协商解决，协商不成，由甲方所在地人民法院诉讼解决。</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第十条：合同的生效</w:t>
      </w:r>
    </w:p>
    <w:p>
      <w:pPr>
        <w:pStyle w:val="20"/>
        <w:spacing w:line="288"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Ansi="宋体"/>
          <w:color w:val="auto"/>
          <w:szCs w:val="21"/>
          <w:highlight w:val="none"/>
        </w:rPr>
        <w:t>本合同经甲、乙双方法定代表人或其委托代理人签字并加盖单位印章后生效。</w:t>
      </w:r>
    </w:p>
    <w:p>
      <w:pPr>
        <w:pStyle w:val="20"/>
        <w:spacing w:line="288"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Ansi="宋体"/>
          <w:color w:val="auto"/>
          <w:szCs w:val="21"/>
          <w:highlight w:val="none"/>
        </w:rPr>
        <w:t>本合同一式</w:t>
      </w:r>
      <w:r>
        <w:rPr>
          <w:rFonts w:hint="eastAsia" w:hAnsi="宋体"/>
          <w:color w:val="auto"/>
          <w:szCs w:val="21"/>
          <w:highlight w:val="none"/>
          <w:lang w:val="en-US" w:eastAsia="zh-CN"/>
        </w:rPr>
        <w:t xml:space="preserve">    </w:t>
      </w:r>
      <w:r>
        <w:rPr>
          <w:rFonts w:hAnsi="宋体"/>
          <w:color w:val="auto"/>
          <w:szCs w:val="21"/>
          <w:highlight w:val="none"/>
        </w:rPr>
        <w:t>份，甲方执</w:t>
      </w:r>
      <w:r>
        <w:rPr>
          <w:rFonts w:hint="eastAsia" w:hAnsi="宋体"/>
          <w:color w:val="auto"/>
          <w:szCs w:val="21"/>
          <w:highlight w:val="none"/>
          <w:lang w:val="en-US" w:eastAsia="zh-CN"/>
        </w:rPr>
        <w:t xml:space="preserve">    </w:t>
      </w:r>
      <w:r>
        <w:rPr>
          <w:rFonts w:hAnsi="宋体"/>
          <w:color w:val="auto"/>
          <w:szCs w:val="21"/>
          <w:highlight w:val="none"/>
        </w:rPr>
        <w:t>份，乙方和鉴证方各执</w:t>
      </w:r>
      <w:r>
        <w:rPr>
          <w:rFonts w:hint="eastAsia" w:hAnsi="宋体"/>
          <w:color w:val="auto"/>
          <w:szCs w:val="21"/>
          <w:highlight w:val="none"/>
          <w:lang w:val="en-US" w:eastAsia="zh-CN"/>
        </w:rPr>
        <w:t xml:space="preserve">    </w:t>
      </w:r>
      <w:r>
        <w:rPr>
          <w:rFonts w:hAnsi="宋体"/>
          <w:color w:val="auto"/>
          <w:szCs w:val="21"/>
          <w:highlight w:val="none"/>
        </w:rPr>
        <w:t>份，具有同等法律效力。</w:t>
      </w:r>
    </w:p>
    <w:p>
      <w:pPr>
        <w:pStyle w:val="20"/>
        <w:spacing w:line="288" w:lineRule="auto"/>
        <w:ind w:firstLine="420" w:firstLineChars="200"/>
        <w:rPr>
          <w:rFonts w:hAnsi="宋体"/>
          <w:color w:val="auto"/>
          <w:szCs w:val="21"/>
          <w:highlight w:val="none"/>
        </w:rPr>
      </w:pPr>
      <w:r>
        <w:rPr>
          <w:rFonts w:ascii="Times New Roman" w:hAnsi="Times New Roman"/>
          <w:color w:val="auto"/>
          <w:szCs w:val="21"/>
          <w:highlight w:val="none"/>
        </w:rPr>
        <w:t>3.</w:t>
      </w:r>
      <w:r>
        <w:rPr>
          <w:rFonts w:hAnsi="宋体"/>
          <w:color w:val="auto"/>
          <w:szCs w:val="21"/>
          <w:highlight w:val="none"/>
        </w:rPr>
        <w:t>本合同附件及双方的</w:t>
      </w:r>
      <w:r>
        <w:rPr>
          <w:rFonts w:hint="eastAsia" w:hAnsi="宋体"/>
          <w:color w:val="auto"/>
          <w:szCs w:val="21"/>
          <w:highlight w:val="none"/>
          <w:lang w:val="en-US" w:eastAsia="zh-CN"/>
        </w:rPr>
        <w:t>招标</w:t>
      </w:r>
      <w:r>
        <w:rPr>
          <w:rFonts w:hAnsi="宋体"/>
          <w:color w:val="auto"/>
          <w:szCs w:val="21"/>
          <w:highlight w:val="none"/>
        </w:rPr>
        <w:t>文件、</w:t>
      </w:r>
      <w:r>
        <w:rPr>
          <w:rFonts w:hint="eastAsia" w:hAnsi="宋体"/>
          <w:color w:val="auto"/>
          <w:szCs w:val="21"/>
          <w:highlight w:val="none"/>
          <w:lang w:val="en-US" w:eastAsia="zh-CN"/>
        </w:rPr>
        <w:t>投标</w:t>
      </w:r>
      <w:r>
        <w:rPr>
          <w:rFonts w:hAnsi="宋体"/>
          <w:color w:val="auto"/>
          <w:szCs w:val="21"/>
          <w:highlight w:val="none"/>
        </w:rPr>
        <w:t>文件、</w:t>
      </w:r>
      <w:r>
        <w:rPr>
          <w:rFonts w:hint="eastAsia" w:hAnsi="宋体"/>
          <w:color w:val="auto"/>
          <w:szCs w:val="21"/>
          <w:highlight w:val="none"/>
          <w:lang w:val="en-US" w:eastAsia="zh-CN"/>
        </w:rPr>
        <w:t>询标纪要</w:t>
      </w:r>
      <w:r>
        <w:rPr>
          <w:rFonts w:hAnsi="宋体"/>
          <w:color w:val="auto"/>
          <w:szCs w:val="21"/>
          <w:highlight w:val="none"/>
        </w:rPr>
        <w:t>等系本合同的组成部分。</w:t>
      </w:r>
    </w:p>
    <w:p>
      <w:pPr>
        <w:pStyle w:val="20"/>
        <w:spacing w:line="288" w:lineRule="auto"/>
        <w:ind w:firstLine="420" w:firstLineChars="200"/>
        <w:rPr>
          <w:rFonts w:ascii="Times New Roman" w:hAnsi="Times New Roman"/>
          <w:color w:val="auto"/>
          <w:szCs w:val="21"/>
          <w:highlight w:val="none"/>
        </w:rPr>
      </w:pPr>
    </w:p>
    <w:tbl>
      <w:tblPr>
        <w:tblStyle w:val="39"/>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2"/>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甲方（公章）：</w:t>
            </w:r>
            <w:r>
              <w:rPr>
                <w:rFonts w:hint="eastAsia" w:hAnsi="宋体"/>
                <w:color w:val="auto"/>
                <w:spacing w:val="-6"/>
                <w:sz w:val="21"/>
                <w:szCs w:val="21"/>
                <w:highlight w:val="none"/>
              </w:rPr>
              <w:t>浙江机电职业技术学院</w:t>
            </w:r>
          </w:p>
        </w:tc>
        <w:tc>
          <w:tcPr>
            <w:tcW w:w="4533" w:type="dxa"/>
            <w:noWrap w:val="0"/>
            <w:vAlign w:val="center"/>
          </w:tcPr>
          <w:p>
            <w:pPr>
              <w:ind w:firstLine="396"/>
              <w:rPr>
                <w:color w:val="auto"/>
                <w:spacing w:val="-6"/>
                <w:sz w:val="21"/>
                <w:szCs w:val="21"/>
                <w:highlight w:val="none"/>
              </w:rPr>
            </w:pPr>
            <w:r>
              <w:rPr>
                <w:rFonts w:hAnsi="宋体"/>
                <w:color w:val="auto"/>
                <w:spacing w:val="-6"/>
                <w:sz w:val="21"/>
                <w:szCs w:val="21"/>
                <w:highlight w:val="none"/>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法定代表人或其委托代理人：</w:t>
            </w:r>
          </w:p>
          <w:p>
            <w:pPr>
              <w:ind w:firstLine="396"/>
              <w:rPr>
                <w:color w:val="auto"/>
                <w:spacing w:val="-6"/>
                <w:sz w:val="21"/>
                <w:szCs w:val="21"/>
                <w:highlight w:val="none"/>
              </w:rPr>
            </w:pPr>
            <w:r>
              <w:rPr>
                <w:color w:val="auto"/>
                <w:spacing w:val="-6"/>
                <w:sz w:val="21"/>
                <w:szCs w:val="21"/>
                <w:highlight w:val="none"/>
              </w:rPr>
              <w:t>(</w:t>
            </w:r>
            <w:r>
              <w:rPr>
                <w:rFonts w:hAnsi="宋体"/>
                <w:color w:val="auto"/>
                <w:spacing w:val="-6"/>
                <w:sz w:val="21"/>
                <w:szCs w:val="21"/>
                <w:highlight w:val="none"/>
              </w:rPr>
              <w:t>签字</w:t>
            </w:r>
            <w:r>
              <w:rPr>
                <w:rFonts w:hint="eastAsia" w:hAnsi="宋体"/>
                <w:color w:val="auto"/>
                <w:spacing w:val="-6"/>
                <w:sz w:val="21"/>
                <w:szCs w:val="21"/>
                <w:highlight w:val="none"/>
                <w:lang w:val="en-US" w:eastAsia="zh-CN"/>
              </w:rPr>
              <w:t>或盖章</w:t>
            </w:r>
            <w:r>
              <w:rPr>
                <w:rFonts w:hAnsi="宋体"/>
                <w:color w:val="auto"/>
                <w:spacing w:val="-6"/>
                <w:sz w:val="21"/>
                <w:szCs w:val="21"/>
                <w:highlight w:val="none"/>
              </w:rPr>
              <w:t>）</w:t>
            </w:r>
            <w:bookmarkStart w:id="103" w:name="_GoBack"/>
            <w:bookmarkEnd w:id="103"/>
          </w:p>
        </w:tc>
        <w:tc>
          <w:tcPr>
            <w:tcW w:w="4533" w:type="dxa"/>
            <w:noWrap w:val="0"/>
            <w:vAlign w:val="center"/>
          </w:tcPr>
          <w:p>
            <w:pPr>
              <w:ind w:firstLine="396"/>
              <w:rPr>
                <w:rFonts w:hAnsi="宋体"/>
                <w:color w:val="auto"/>
                <w:spacing w:val="-6"/>
                <w:sz w:val="21"/>
                <w:szCs w:val="21"/>
                <w:highlight w:val="none"/>
              </w:rPr>
            </w:pPr>
            <w:r>
              <w:rPr>
                <w:rFonts w:hAnsi="宋体"/>
                <w:color w:val="auto"/>
                <w:spacing w:val="-6"/>
                <w:sz w:val="21"/>
                <w:szCs w:val="21"/>
                <w:highlight w:val="none"/>
              </w:rPr>
              <w:t>法定代表人或其委托代理人：</w:t>
            </w:r>
          </w:p>
          <w:p>
            <w:pPr>
              <w:ind w:firstLine="396"/>
              <w:rPr>
                <w:rFonts w:hAnsi="宋体"/>
                <w:color w:val="auto"/>
                <w:spacing w:val="-6"/>
                <w:sz w:val="21"/>
                <w:szCs w:val="21"/>
                <w:highlight w:val="none"/>
              </w:rPr>
            </w:pPr>
            <w:r>
              <w:rPr>
                <w:rFonts w:hAnsi="宋体"/>
                <w:color w:val="auto"/>
                <w:spacing w:val="-6"/>
                <w:sz w:val="21"/>
                <w:szCs w:val="21"/>
                <w:highlight w:val="none"/>
              </w:rPr>
              <w:t>（签字</w:t>
            </w:r>
            <w:r>
              <w:rPr>
                <w:rFonts w:hint="eastAsia" w:hAnsi="宋体"/>
                <w:color w:val="auto"/>
                <w:spacing w:val="-6"/>
                <w:sz w:val="21"/>
                <w:szCs w:val="21"/>
                <w:highlight w:val="none"/>
                <w:lang w:val="en-US" w:eastAsia="zh-CN"/>
              </w:rPr>
              <w:t>或盖章</w:t>
            </w:r>
            <w:r>
              <w:rPr>
                <w:rFonts w:hAnsi="宋体"/>
                <w:color w:val="auto"/>
                <w:spacing w:val="-6"/>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地址：</w:t>
            </w:r>
            <w:r>
              <w:rPr>
                <w:rFonts w:hint="eastAsia" w:hAnsi="宋体"/>
                <w:color w:val="auto"/>
                <w:spacing w:val="-6"/>
                <w:sz w:val="21"/>
                <w:szCs w:val="21"/>
                <w:highlight w:val="none"/>
              </w:rPr>
              <w:t>杭州市滨江区滨文路528号</w:t>
            </w:r>
          </w:p>
        </w:tc>
        <w:tc>
          <w:tcPr>
            <w:tcW w:w="4533" w:type="dxa"/>
            <w:noWrap w:val="0"/>
            <w:vAlign w:val="center"/>
          </w:tcPr>
          <w:p>
            <w:pPr>
              <w:ind w:firstLine="396"/>
              <w:rPr>
                <w:rFonts w:hAnsi="宋体"/>
                <w:color w:val="auto"/>
                <w:spacing w:val="-6"/>
                <w:sz w:val="21"/>
                <w:szCs w:val="21"/>
                <w:highlight w:val="none"/>
              </w:rPr>
            </w:pPr>
            <w:r>
              <w:rPr>
                <w:rFonts w:hAnsi="宋体"/>
                <w:color w:val="auto"/>
                <w:spacing w:val="-6"/>
                <w:sz w:val="21"/>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邮编：</w:t>
            </w:r>
            <w:r>
              <w:rPr>
                <w:color w:val="auto"/>
                <w:sz w:val="21"/>
                <w:szCs w:val="21"/>
                <w:highlight w:val="none"/>
              </w:rPr>
              <w:t>310053</w:t>
            </w:r>
          </w:p>
        </w:tc>
        <w:tc>
          <w:tcPr>
            <w:tcW w:w="4533" w:type="dxa"/>
            <w:noWrap w:val="0"/>
            <w:vAlign w:val="center"/>
          </w:tcPr>
          <w:p>
            <w:pPr>
              <w:ind w:firstLine="396"/>
              <w:rPr>
                <w:rFonts w:hAnsi="宋体"/>
                <w:color w:val="auto"/>
                <w:spacing w:val="-6"/>
                <w:sz w:val="21"/>
                <w:szCs w:val="21"/>
                <w:highlight w:val="none"/>
              </w:rPr>
            </w:pPr>
            <w:r>
              <w:rPr>
                <w:rFonts w:hAnsi="宋体"/>
                <w:color w:val="auto"/>
                <w:spacing w:val="-6"/>
                <w:sz w:val="21"/>
                <w:szCs w:val="21"/>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电话：</w:t>
            </w:r>
            <w:r>
              <w:rPr>
                <w:rFonts w:hint="eastAsia" w:hAnsi="宋体"/>
                <w:color w:val="auto"/>
                <w:spacing w:val="-6"/>
                <w:sz w:val="21"/>
                <w:szCs w:val="21"/>
                <w:highlight w:val="none"/>
              </w:rPr>
              <w:t>0571-87773085</w:t>
            </w:r>
          </w:p>
        </w:tc>
        <w:tc>
          <w:tcPr>
            <w:tcW w:w="4533" w:type="dxa"/>
            <w:noWrap w:val="0"/>
            <w:vAlign w:val="center"/>
          </w:tcPr>
          <w:p>
            <w:pPr>
              <w:ind w:firstLine="396"/>
              <w:rPr>
                <w:rFonts w:hAnsi="宋体"/>
                <w:color w:val="auto"/>
                <w:spacing w:val="-6"/>
                <w:sz w:val="21"/>
                <w:szCs w:val="21"/>
                <w:highlight w:val="none"/>
              </w:rPr>
            </w:pPr>
            <w:r>
              <w:rPr>
                <w:rFonts w:hAnsi="宋体"/>
                <w:color w:val="auto"/>
                <w:spacing w:val="-6"/>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传真：</w:t>
            </w:r>
          </w:p>
        </w:tc>
        <w:tc>
          <w:tcPr>
            <w:tcW w:w="4533" w:type="dxa"/>
            <w:noWrap w:val="0"/>
            <w:vAlign w:val="center"/>
          </w:tcPr>
          <w:p>
            <w:pPr>
              <w:ind w:firstLine="396"/>
              <w:rPr>
                <w:rFonts w:hAnsi="宋体"/>
                <w:color w:val="auto"/>
                <w:spacing w:val="-6"/>
                <w:sz w:val="21"/>
                <w:szCs w:val="21"/>
                <w:highlight w:val="none"/>
              </w:rPr>
            </w:pPr>
            <w:r>
              <w:rPr>
                <w:rFonts w:hAnsi="宋体"/>
                <w:color w:val="auto"/>
                <w:spacing w:val="-6"/>
                <w:sz w:val="21"/>
                <w:szCs w:val="21"/>
                <w:highlight w:val="none"/>
              </w:rPr>
              <w:t>传真：</w:t>
            </w:r>
            <w:r>
              <w:rPr>
                <w:rFonts w:hAnsi="宋体"/>
                <w:color w:val="auto"/>
                <w:spacing w:val="-6"/>
                <w:sz w:val="21"/>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电子邮箱：</w:t>
            </w:r>
          </w:p>
        </w:tc>
        <w:tc>
          <w:tcPr>
            <w:tcW w:w="4533" w:type="dxa"/>
            <w:noWrap w:val="0"/>
            <w:vAlign w:val="center"/>
          </w:tcPr>
          <w:p>
            <w:pPr>
              <w:ind w:firstLine="396"/>
              <w:rPr>
                <w:rFonts w:hAnsi="宋体"/>
                <w:color w:val="auto"/>
                <w:spacing w:val="-6"/>
                <w:sz w:val="21"/>
                <w:szCs w:val="21"/>
                <w:highlight w:val="none"/>
              </w:rPr>
            </w:pPr>
            <w:r>
              <w:rPr>
                <w:rFonts w:hAnsi="宋体"/>
                <w:color w:val="auto"/>
                <w:spacing w:val="-6"/>
                <w:sz w:val="21"/>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开户银行：</w:t>
            </w:r>
            <w:r>
              <w:rPr>
                <w:rFonts w:hint="eastAsia" w:hAnsi="宋体"/>
                <w:color w:val="auto"/>
                <w:spacing w:val="-6"/>
                <w:sz w:val="21"/>
                <w:szCs w:val="21"/>
                <w:highlight w:val="none"/>
              </w:rPr>
              <w:t>工行杭州景江苑支行</w:t>
            </w:r>
          </w:p>
        </w:tc>
        <w:tc>
          <w:tcPr>
            <w:tcW w:w="4533" w:type="dxa"/>
            <w:noWrap w:val="0"/>
            <w:vAlign w:val="center"/>
          </w:tcPr>
          <w:p>
            <w:pPr>
              <w:ind w:firstLine="396"/>
              <w:rPr>
                <w:rFonts w:hAnsi="宋体"/>
                <w:color w:val="auto"/>
                <w:spacing w:val="-6"/>
                <w:sz w:val="21"/>
                <w:szCs w:val="21"/>
                <w:highlight w:val="none"/>
              </w:rPr>
            </w:pPr>
            <w:r>
              <w:rPr>
                <w:rFonts w:hAnsi="宋体"/>
                <w:color w:val="auto"/>
                <w:spacing w:val="-6"/>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noWrap w:val="0"/>
            <w:vAlign w:val="center"/>
          </w:tcPr>
          <w:p>
            <w:pPr>
              <w:ind w:firstLine="396"/>
              <w:rPr>
                <w:color w:val="auto"/>
                <w:spacing w:val="-6"/>
                <w:sz w:val="21"/>
                <w:szCs w:val="21"/>
                <w:highlight w:val="none"/>
              </w:rPr>
            </w:pPr>
            <w:r>
              <w:rPr>
                <w:rFonts w:hAnsi="宋体"/>
                <w:color w:val="auto"/>
                <w:spacing w:val="-6"/>
                <w:sz w:val="21"/>
                <w:szCs w:val="21"/>
                <w:highlight w:val="none"/>
              </w:rPr>
              <w:t>帐号：</w:t>
            </w:r>
            <w:r>
              <w:rPr>
                <w:rFonts w:hint="eastAsia" w:hAnsi="宋体"/>
                <w:color w:val="auto"/>
                <w:spacing w:val="-6"/>
                <w:sz w:val="21"/>
                <w:szCs w:val="21"/>
                <w:highlight w:val="none"/>
              </w:rPr>
              <w:t>1202023419100001848</w:t>
            </w:r>
          </w:p>
        </w:tc>
        <w:tc>
          <w:tcPr>
            <w:tcW w:w="4533" w:type="dxa"/>
            <w:noWrap w:val="0"/>
            <w:vAlign w:val="center"/>
          </w:tcPr>
          <w:p>
            <w:pPr>
              <w:ind w:firstLine="396"/>
              <w:rPr>
                <w:rFonts w:hAnsi="宋体"/>
                <w:color w:val="auto"/>
                <w:spacing w:val="-6"/>
                <w:sz w:val="21"/>
                <w:szCs w:val="21"/>
                <w:highlight w:val="none"/>
              </w:rPr>
            </w:pPr>
            <w:r>
              <w:rPr>
                <w:rFonts w:hAnsi="宋体"/>
                <w:color w:val="auto"/>
                <w:spacing w:val="-6"/>
                <w:sz w:val="21"/>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noWrap w:val="0"/>
            <w:vAlign w:val="center"/>
          </w:tcPr>
          <w:p>
            <w:pPr>
              <w:ind w:firstLine="396"/>
              <w:rPr>
                <w:color w:val="auto"/>
                <w:spacing w:val="-6"/>
                <w:sz w:val="21"/>
                <w:szCs w:val="21"/>
                <w:highlight w:val="none"/>
              </w:rPr>
            </w:pPr>
            <w:r>
              <w:rPr>
                <w:rFonts w:hAnsi="宋体"/>
                <w:color w:val="auto"/>
                <w:spacing w:val="-6"/>
                <w:sz w:val="21"/>
                <w:szCs w:val="21"/>
                <w:highlight w:val="none"/>
              </w:rPr>
              <w:t>合同签订地点：</w:t>
            </w:r>
            <w:r>
              <w:rPr>
                <w:rFonts w:hint="eastAsia" w:hAnsi="宋体"/>
                <w:color w:val="auto"/>
                <w:spacing w:val="-6"/>
                <w:sz w:val="21"/>
                <w:szCs w:val="21"/>
                <w:highlight w:val="none"/>
              </w:rPr>
              <w:t>杭州市滨江区滨文路528号</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签订时间：</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年</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月</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noWrap w:val="0"/>
            <w:vAlign w:val="center"/>
          </w:tcPr>
          <w:p>
            <w:pPr>
              <w:ind w:firstLine="396"/>
              <w:rPr>
                <w:color w:val="auto"/>
                <w:spacing w:val="-6"/>
                <w:sz w:val="21"/>
                <w:szCs w:val="21"/>
                <w:highlight w:val="none"/>
              </w:rPr>
            </w:pPr>
            <w:r>
              <w:rPr>
                <w:rFonts w:hAnsi="宋体"/>
                <w:color w:val="auto"/>
                <w:spacing w:val="-6"/>
                <w:sz w:val="21"/>
                <w:szCs w:val="21"/>
                <w:highlight w:val="none"/>
              </w:rPr>
              <w:t>合同鉴证方（</w:t>
            </w:r>
            <w:r>
              <w:rPr>
                <w:rFonts w:hint="eastAsia" w:hAnsi="宋体"/>
                <w:color w:val="auto"/>
                <w:spacing w:val="-6"/>
                <w:sz w:val="21"/>
                <w:szCs w:val="21"/>
                <w:highlight w:val="none"/>
              </w:rPr>
              <w:t>鉴证</w:t>
            </w:r>
            <w:r>
              <w:rPr>
                <w:rFonts w:hAnsi="宋体"/>
                <w:color w:val="auto"/>
                <w:spacing w:val="-6"/>
                <w:sz w:val="21"/>
                <w:szCs w:val="21"/>
                <w:highlight w:val="none"/>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noWrap w:val="0"/>
            <w:vAlign w:val="center"/>
          </w:tcPr>
          <w:p>
            <w:pPr>
              <w:ind w:firstLine="420"/>
              <w:rPr>
                <w:color w:val="auto"/>
                <w:spacing w:val="-6"/>
                <w:sz w:val="21"/>
                <w:szCs w:val="21"/>
                <w:highlight w:val="none"/>
              </w:rPr>
            </w:pPr>
            <w:r>
              <w:rPr>
                <w:rFonts w:hAnsi="宋体"/>
                <w:color w:val="auto"/>
                <w:sz w:val="21"/>
                <w:szCs w:val="21"/>
                <w:highlight w:val="none"/>
              </w:rPr>
              <w:t>地址：</w:t>
            </w:r>
            <w:r>
              <w:rPr>
                <w:rFonts w:hint="eastAsia" w:hAnsi="宋体"/>
                <w:color w:val="auto"/>
                <w:sz w:val="21"/>
                <w:szCs w:val="21"/>
                <w:highlight w:val="none"/>
              </w:rPr>
              <w:t>杭州市滨江区东信大道66号东方通信科技园启迪楼1207室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noWrap w:val="0"/>
            <w:vAlign w:val="center"/>
          </w:tcPr>
          <w:p>
            <w:pPr>
              <w:ind w:firstLine="396"/>
              <w:rPr>
                <w:color w:val="auto"/>
                <w:spacing w:val="-6"/>
                <w:sz w:val="21"/>
                <w:szCs w:val="21"/>
                <w:highlight w:val="none"/>
              </w:rPr>
            </w:pPr>
            <w:r>
              <w:rPr>
                <w:rFonts w:hAnsi="宋体"/>
                <w:color w:val="auto"/>
                <w:spacing w:val="-6"/>
                <w:sz w:val="21"/>
                <w:szCs w:val="21"/>
                <w:highlight w:val="none"/>
              </w:rPr>
              <w:t>代表人：</w:t>
            </w:r>
            <w:r>
              <w:rPr>
                <w:color w:val="auto"/>
                <w:spacing w:val="-6"/>
                <w:sz w:val="21"/>
                <w:szCs w:val="21"/>
                <w:highlight w:val="none"/>
              </w:rPr>
              <w:t>(</w:t>
            </w:r>
            <w:r>
              <w:rPr>
                <w:rFonts w:hAnsi="宋体"/>
                <w:color w:val="auto"/>
                <w:spacing w:val="-6"/>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noWrap w:val="0"/>
            <w:vAlign w:val="center"/>
          </w:tcPr>
          <w:p>
            <w:pPr>
              <w:ind w:firstLine="396"/>
              <w:rPr>
                <w:color w:val="auto"/>
                <w:spacing w:val="-6"/>
                <w:sz w:val="21"/>
                <w:szCs w:val="21"/>
                <w:highlight w:val="none"/>
              </w:rPr>
            </w:pPr>
            <w:r>
              <w:rPr>
                <w:rFonts w:hAnsi="宋体"/>
                <w:color w:val="auto"/>
                <w:spacing w:val="-6"/>
                <w:sz w:val="21"/>
                <w:szCs w:val="21"/>
                <w:highlight w:val="none"/>
              </w:rPr>
              <w:t>电话：</w:t>
            </w:r>
            <w:r>
              <w:rPr>
                <w:rFonts w:hint="eastAsia" w:hAnsi="宋体"/>
                <w:color w:val="auto"/>
                <w:spacing w:val="-6"/>
                <w:sz w:val="21"/>
                <w:szCs w:val="21"/>
                <w:highlight w:val="none"/>
              </w:rPr>
              <w:t>0571-86098397</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鉴证时间：</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年</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月</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日</w:t>
            </w:r>
          </w:p>
        </w:tc>
      </w:tr>
    </w:tbl>
    <w:p>
      <w:pPr>
        <w:pStyle w:val="20"/>
        <w:spacing w:line="288" w:lineRule="auto"/>
        <w:rPr>
          <w:rFonts w:ascii="Times New Roman" w:hAnsi="Times New Roman"/>
          <w:b/>
          <w:color w:val="auto"/>
          <w:szCs w:val="21"/>
          <w:highlight w:val="none"/>
        </w:rPr>
      </w:pPr>
    </w:p>
    <w:p>
      <w:pPr>
        <w:ind w:firstLine="480"/>
        <w:rPr>
          <w:color w:val="auto"/>
          <w:highlight w:val="none"/>
        </w:rPr>
      </w:pPr>
      <w:r>
        <w:rPr>
          <w:color w:val="auto"/>
          <w:highlight w:val="none"/>
        </w:rPr>
        <w:t>附件</w:t>
      </w:r>
      <w:r>
        <w:rPr>
          <w:rFonts w:hint="eastAsia"/>
          <w:color w:val="auto"/>
          <w:highlight w:val="none"/>
        </w:rPr>
        <w:t>（</w:t>
      </w:r>
      <w:r>
        <w:rPr>
          <w:rFonts w:hint="eastAsia"/>
          <w:b/>
          <w:color w:val="auto"/>
          <w:highlight w:val="none"/>
        </w:rPr>
        <w:t>请严格按照投标文件填写</w:t>
      </w:r>
      <w:r>
        <w:rPr>
          <w:rFonts w:hint="eastAsia"/>
          <w:color w:val="auto"/>
          <w:highlight w:val="none"/>
        </w:rPr>
        <w:t>配置清单和服务承诺）：</w:t>
      </w:r>
    </w:p>
    <w:p>
      <w:pPr>
        <w:ind w:firstLine="482"/>
        <w:rPr>
          <w:b/>
          <w:color w:val="auto"/>
          <w:highlight w:val="none"/>
        </w:rPr>
      </w:pPr>
      <w:r>
        <w:rPr>
          <w:rFonts w:hint="eastAsia"/>
          <w:b/>
          <w:color w:val="auto"/>
          <w:highlight w:val="none"/>
        </w:rPr>
        <w:t>一、配置清单</w:t>
      </w:r>
    </w:p>
    <w:tbl>
      <w:tblPr>
        <w:tblStyle w:val="39"/>
        <w:tblW w:w="10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79"/>
        <w:gridCol w:w="2329"/>
        <w:gridCol w:w="1985"/>
        <w:gridCol w:w="1417"/>
        <w:gridCol w:w="10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b/>
                <w:color w:val="auto"/>
                <w:szCs w:val="21"/>
                <w:highlight w:val="none"/>
              </w:rPr>
            </w:pPr>
            <w:r>
              <w:rPr>
                <w:rFonts w:hAnsi="宋体"/>
                <w:b/>
                <w:color w:val="auto"/>
                <w:szCs w:val="21"/>
                <w:highlight w:val="none"/>
              </w:rPr>
              <w:t>序号</w:t>
            </w:r>
          </w:p>
        </w:tc>
        <w:tc>
          <w:tcPr>
            <w:tcW w:w="979" w:type="dxa"/>
            <w:vAlign w:val="center"/>
          </w:tcPr>
          <w:p>
            <w:pPr>
              <w:spacing w:line="300" w:lineRule="exact"/>
              <w:ind w:firstLine="0" w:firstLineChars="0"/>
              <w:jc w:val="center"/>
              <w:rPr>
                <w:b/>
                <w:color w:val="auto"/>
                <w:szCs w:val="21"/>
                <w:highlight w:val="none"/>
              </w:rPr>
            </w:pPr>
            <w:r>
              <w:rPr>
                <w:rFonts w:hAnsi="宋体"/>
                <w:b/>
                <w:color w:val="auto"/>
                <w:szCs w:val="21"/>
                <w:highlight w:val="none"/>
              </w:rPr>
              <w:t>名称</w:t>
            </w:r>
          </w:p>
        </w:tc>
        <w:tc>
          <w:tcPr>
            <w:tcW w:w="2329" w:type="dxa"/>
            <w:vAlign w:val="center"/>
          </w:tcPr>
          <w:p>
            <w:pPr>
              <w:spacing w:line="300" w:lineRule="exact"/>
              <w:ind w:left="102" w:right="-36" w:hanging="102" w:firstLineChars="0"/>
              <w:jc w:val="center"/>
              <w:rPr>
                <w:b/>
                <w:color w:val="auto"/>
                <w:szCs w:val="21"/>
                <w:highlight w:val="none"/>
              </w:rPr>
            </w:pPr>
            <w:r>
              <w:rPr>
                <w:rFonts w:hAnsi="宋体"/>
                <w:b/>
                <w:color w:val="auto"/>
                <w:szCs w:val="21"/>
                <w:highlight w:val="none"/>
              </w:rPr>
              <w:t>规格</w:t>
            </w:r>
            <w:r>
              <w:rPr>
                <w:b/>
                <w:color w:val="auto"/>
                <w:szCs w:val="21"/>
                <w:highlight w:val="none"/>
              </w:rPr>
              <w:t>/</w:t>
            </w:r>
            <w:r>
              <w:rPr>
                <w:rFonts w:hAnsi="宋体"/>
                <w:b/>
                <w:color w:val="auto"/>
                <w:szCs w:val="21"/>
                <w:highlight w:val="none"/>
              </w:rPr>
              <w:t>型号</w:t>
            </w:r>
          </w:p>
        </w:tc>
        <w:tc>
          <w:tcPr>
            <w:tcW w:w="1985" w:type="dxa"/>
          </w:tcPr>
          <w:p>
            <w:pPr>
              <w:spacing w:line="300" w:lineRule="exact"/>
              <w:ind w:left="102" w:right="-36" w:hanging="102" w:firstLineChars="0"/>
              <w:jc w:val="center"/>
              <w:rPr>
                <w:rFonts w:hAnsi="宋体"/>
                <w:b/>
                <w:color w:val="auto"/>
                <w:szCs w:val="21"/>
                <w:highlight w:val="none"/>
              </w:rPr>
            </w:pPr>
            <w:r>
              <w:rPr>
                <w:rFonts w:hint="eastAsia" w:hAnsi="宋体"/>
                <w:b/>
                <w:color w:val="auto"/>
                <w:szCs w:val="21"/>
                <w:highlight w:val="none"/>
              </w:rPr>
              <w:t>品牌/厂家/</w:t>
            </w:r>
          </w:p>
          <w:p>
            <w:pPr>
              <w:spacing w:line="300" w:lineRule="exact"/>
              <w:ind w:left="102" w:right="-36" w:hanging="102" w:firstLineChars="0"/>
              <w:jc w:val="center"/>
              <w:rPr>
                <w:rFonts w:hAnsi="宋体"/>
                <w:b/>
                <w:color w:val="auto"/>
                <w:szCs w:val="21"/>
                <w:highlight w:val="none"/>
              </w:rPr>
            </w:pPr>
            <w:r>
              <w:rPr>
                <w:rFonts w:hint="eastAsia" w:hAnsi="宋体"/>
                <w:b/>
                <w:color w:val="auto"/>
                <w:szCs w:val="21"/>
                <w:highlight w:val="none"/>
              </w:rPr>
              <w:t>原产地</w:t>
            </w:r>
          </w:p>
        </w:tc>
        <w:tc>
          <w:tcPr>
            <w:tcW w:w="1417" w:type="dxa"/>
            <w:vAlign w:val="center"/>
          </w:tcPr>
          <w:p>
            <w:pPr>
              <w:spacing w:line="300" w:lineRule="exact"/>
              <w:ind w:right="-3" w:firstLine="0" w:firstLineChars="0"/>
              <w:jc w:val="center"/>
              <w:rPr>
                <w:rFonts w:hAnsi="宋体"/>
                <w:b/>
                <w:color w:val="auto"/>
                <w:szCs w:val="21"/>
                <w:highlight w:val="none"/>
              </w:rPr>
            </w:pPr>
            <w:r>
              <w:rPr>
                <w:rFonts w:hAnsi="宋体"/>
                <w:b/>
                <w:color w:val="auto"/>
                <w:szCs w:val="21"/>
                <w:highlight w:val="none"/>
              </w:rPr>
              <w:t>数量</w:t>
            </w:r>
          </w:p>
        </w:tc>
        <w:tc>
          <w:tcPr>
            <w:tcW w:w="1073" w:type="dxa"/>
            <w:vAlign w:val="center"/>
          </w:tcPr>
          <w:p>
            <w:pPr>
              <w:spacing w:line="300" w:lineRule="exact"/>
              <w:ind w:right="-3" w:firstLine="0" w:firstLineChars="0"/>
              <w:jc w:val="center"/>
              <w:rPr>
                <w:b/>
                <w:color w:val="auto"/>
                <w:szCs w:val="21"/>
                <w:highlight w:val="none"/>
              </w:rPr>
            </w:pPr>
            <w:r>
              <w:rPr>
                <w:rFonts w:hint="eastAsia"/>
                <w:b/>
                <w:color w:val="auto"/>
                <w:szCs w:val="21"/>
                <w:highlight w:val="none"/>
              </w:rPr>
              <w:t>单价（元）</w:t>
            </w:r>
          </w:p>
        </w:tc>
        <w:tc>
          <w:tcPr>
            <w:tcW w:w="1418" w:type="dxa"/>
            <w:vAlign w:val="center"/>
          </w:tcPr>
          <w:p>
            <w:pPr>
              <w:spacing w:line="300" w:lineRule="exact"/>
              <w:ind w:right="-3" w:firstLine="0" w:firstLineChars="0"/>
              <w:jc w:val="center"/>
              <w:rPr>
                <w:b/>
                <w:color w:val="auto"/>
                <w:szCs w:val="21"/>
                <w:highlight w:val="none"/>
              </w:rPr>
            </w:pPr>
            <w:r>
              <w:rPr>
                <w:rFonts w:hint="eastAsia"/>
                <w:b/>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color w:val="auto"/>
                <w:szCs w:val="21"/>
                <w:highlight w:val="none"/>
              </w:rPr>
              <w:t>1</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color w:val="auto"/>
                <w:szCs w:val="21"/>
                <w:highlight w:val="none"/>
              </w:rPr>
              <w:t>2</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color w:val="auto"/>
                <w:szCs w:val="21"/>
                <w:highlight w:val="none"/>
              </w:rPr>
              <w:t>3</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left="120" w:hanging="120" w:hangingChars="5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rFonts w:hint="eastAsia"/>
                <w:color w:val="auto"/>
                <w:szCs w:val="21"/>
                <w:highlight w:val="none"/>
              </w:rPr>
              <w:t>4</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rFonts w:hint="eastAsia"/>
                <w:color w:val="auto"/>
                <w:szCs w:val="21"/>
                <w:highlight w:val="none"/>
              </w:rPr>
              <w:t>5</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ind w:firstLine="0" w:firstLineChars="0"/>
              <w:jc w:val="center"/>
              <w:rPr>
                <w:color w:val="auto"/>
                <w:szCs w:val="21"/>
                <w:highlight w:val="none"/>
              </w:rPr>
            </w:pPr>
            <w:r>
              <w:rPr>
                <w:rFonts w:hint="eastAsia"/>
                <w:color w:val="auto"/>
                <w:szCs w:val="21"/>
                <w:highlight w:val="none"/>
              </w:rPr>
              <w:t>6</w:t>
            </w:r>
          </w:p>
        </w:tc>
        <w:tc>
          <w:tcPr>
            <w:tcW w:w="979" w:type="dxa"/>
            <w:vAlign w:val="center"/>
          </w:tcPr>
          <w:p>
            <w:pPr>
              <w:spacing w:line="240" w:lineRule="auto"/>
              <w:ind w:firstLine="0" w:firstLineChars="0"/>
              <w:jc w:val="center"/>
              <w:rPr>
                <w:rFonts w:cs="Arial"/>
                <w:color w:val="auto"/>
                <w:szCs w:val="21"/>
                <w:highlight w:val="none"/>
              </w:rPr>
            </w:pPr>
          </w:p>
        </w:tc>
        <w:tc>
          <w:tcPr>
            <w:tcW w:w="2329" w:type="dxa"/>
            <w:vAlign w:val="center"/>
          </w:tcPr>
          <w:p>
            <w:pPr>
              <w:spacing w:line="240" w:lineRule="auto"/>
              <w:ind w:firstLine="0" w:firstLineChars="0"/>
              <w:jc w:val="center"/>
              <w:rPr>
                <w:rFonts w:cs="Arial"/>
                <w:color w:val="auto"/>
                <w:szCs w:val="21"/>
                <w:highlight w:val="none"/>
              </w:rPr>
            </w:pPr>
          </w:p>
        </w:tc>
        <w:tc>
          <w:tcPr>
            <w:tcW w:w="1985" w:type="dxa"/>
          </w:tcPr>
          <w:p>
            <w:pPr>
              <w:spacing w:line="300" w:lineRule="exact"/>
              <w:ind w:firstLine="0" w:firstLineChars="0"/>
              <w:jc w:val="center"/>
              <w:rPr>
                <w:color w:val="auto"/>
                <w:szCs w:val="21"/>
                <w:highlight w:val="none"/>
              </w:rPr>
            </w:pPr>
          </w:p>
        </w:tc>
        <w:tc>
          <w:tcPr>
            <w:tcW w:w="1417" w:type="dxa"/>
          </w:tcPr>
          <w:p>
            <w:pPr>
              <w:spacing w:line="300" w:lineRule="exact"/>
              <w:ind w:firstLine="0" w:firstLineChars="0"/>
              <w:jc w:val="center"/>
              <w:rPr>
                <w:color w:val="auto"/>
                <w:szCs w:val="21"/>
                <w:highlight w:val="none"/>
              </w:rPr>
            </w:pPr>
          </w:p>
        </w:tc>
        <w:tc>
          <w:tcPr>
            <w:tcW w:w="1073" w:type="dxa"/>
            <w:vAlign w:val="center"/>
          </w:tcPr>
          <w:p>
            <w:pPr>
              <w:spacing w:line="300" w:lineRule="exact"/>
              <w:ind w:firstLine="0" w:firstLineChars="0"/>
              <w:jc w:val="center"/>
              <w:rPr>
                <w:color w:val="auto"/>
                <w:szCs w:val="21"/>
                <w:highlight w:val="none"/>
              </w:rPr>
            </w:pPr>
          </w:p>
        </w:tc>
        <w:tc>
          <w:tcPr>
            <w:tcW w:w="1418" w:type="dxa"/>
          </w:tcPr>
          <w:p>
            <w:pPr>
              <w:spacing w:line="300" w:lineRule="exact"/>
              <w:ind w:firstLine="0" w:firstLineChars="0"/>
              <w:jc w:val="center"/>
              <w:rPr>
                <w:color w:val="auto"/>
                <w:szCs w:val="21"/>
                <w:highlight w:val="none"/>
              </w:rPr>
            </w:pPr>
          </w:p>
        </w:tc>
      </w:tr>
    </w:tbl>
    <w:p>
      <w:pPr>
        <w:ind w:firstLine="480"/>
        <w:rPr>
          <w:color w:val="auto"/>
          <w:highlight w:val="none"/>
        </w:rPr>
      </w:pPr>
    </w:p>
    <w:p>
      <w:pPr>
        <w:ind w:firstLine="482"/>
        <w:rPr>
          <w:b/>
          <w:color w:val="auto"/>
          <w:highlight w:val="none"/>
        </w:rPr>
      </w:pPr>
      <w:r>
        <w:rPr>
          <w:rFonts w:hint="eastAsia"/>
          <w:b/>
          <w:color w:val="auto"/>
          <w:highlight w:val="none"/>
        </w:rPr>
        <w:t>二、服务承诺</w:t>
      </w:r>
    </w:p>
    <w:p>
      <w:pPr>
        <w:ind w:firstLine="0" w:firstLineChars="0"/>
        <w:rPr>
          <w:rFonts w:ascii="宋体" w:hAnsi="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sectPr>
          <w:footerReference r:id="rId18" w:type="default"/>
          <w:pgSz w:w="11907" w:h="16840"/>
          <w:pgMar w:top="1247" w:right="1304" w:bottom="1021" w:left="1304" w:header="720" w:footer="720" w:gutter="0"/>
          <w:cols w:space="720" w:num="1"/>
          <w:docGrid w:linePitch="286" w:charSpace="0"/>
        </w:sectPr>
      </w:pPr>
    </w:p>
    <w:p>
      <w:pPr>
        <w:pStyle w:val="4"/>
        <w:rPr>
          <w:color w:val="auto"/>
          <w:highlight w:val="none"/>
        </w:rPr>
      </w:pPr>
      <w:bookmarkStart w:id="93" w:name="_Toc27145"/>
      <w:r>
        <w:rPr>
          <w:rFonts w:hint="eastAsia" w:cs="宋体"/>
          <w:color w:val="auto"/>
          <w:highlight w:val="none"/>
        </w:rPr>
        <w:t>第六章 投标文件格式</w:t>
      </w:r>
      <w:bookmarkEnd w:id="91"/>
      <w:bookmarkEnd w:id="93"/>
    </w:p>
    <w:p>
      <w:pPr>
        <w:pStyle w:val="20"/>
        <w:spacing w:line="360" w:lineRule="auto"/>
        <w:ind w:firstLine="420"/>
        <w:jc w:val="center"/>
        <w:rPr>
          <w:rFonts w:hAnsi="宋体" w:cs="宋体"/>
          <w:color w:val="auto"/>
          <w:szCs w:val="22"/>
          <w:highlight w:val="none"/>
        </w:rPr>
      </w:pPr>
      <w:r>
        <w:rPr>
          <w:rFonts w:hint="eastAsia" w:hAnsi="宋体" w:cs="宋体"/>
          <w:color w:val="auto"/>
          <w:szCs w:val="22"/>
          <w:highlight w:val="none"/>
        </w:rPr>
        <w:t>（要求提供但未提供格式的文件由投标人自行编制）</w:t>
      </w:r>
    </w:p>
    <w:p>
      <w:pPr>
        <w:pStyle w:val="6"/>
        <w:rPr>
          <w:rFonts w:ascii="宋体" w:hAnsi="宋体" w:cs="宋体"/>
          <w:color w:val="auto"/>
          <w:highlight w:val="none"/>
        </w:rPr>
      </w:pPr>
      <w:r>
        <w:rPr>
          <w:rFonts w:hint="eastAsia" w:ascii="宋体" w:hAnsi="宋体" w:cs="宋体"/>
          <w:color w:val="auto"/>
          <w:highlight w:val="none"/>
        </w:rPr>
        <w:t>外层包装</w:t>
      </w:r>
    </w:p>
    <w:p>
      <w:pPr>
        <w:ind w:firstLine="456"/>
        <w:rPr>
          <w:rFonts w:ascii="宋体" w:hAnsi="宋体" w:cs="宋体"/>
          <w:color w:val="auto"/>
          <w:spacing w:val="-6"/>
          <w:highlight w:val="none"/>
        </w:rPr>
      </w:pPr>
    </w:p>
    <w:p>
      <w:pPr>
        <w:ind w:firstLine="456"/>
        <w:rPr>
          <w:rFonts w:ascii="宋体" w:hAnsi="宋体" w:cs="宋体"/>
          <w:color w:val="auto"/>
          <w:spacing w:val="-6"/>
          <w:highlight w:val="none"/>
        </w:rPr>
      </w:pPr>
    </w:p>
    <w:p>
      <w:pPr>
        <w:ind w:firstLine="458"/>
        <w:jc w:val="center"/>
        <w:rPr>
          <w:rFonts w:ascii="宋体" w:hAnsi="宋体" w:cs="宋体"/>
          <w:b/>
          <w:bCs/>
          <w:color w:val="auto"/>
          <w:spacing w:val="-6"/>
          <w:highlight w:val="none"/>
        </w:rPr>
      </w:pPr>
      <w:r>
        <w:rPr>
          <w:rFonts w:hint="eastAsia" w:ascii="宋体" w:hAnsi="宋体" w:cs="宋体"/>
          <w:b/>
          <w:bCs/>
          <w:color w:val="auto"/>
          <w:spacing w:val="-6"/>
          <w:highlight w:val="none"/>
        </w:rPr>
        <w:t>投 标 文 件</w:t>
      </w:r>
    </w:p>
    <w:p>
      <w:pPr>
        <w:ind w:firstLine="456"/>
        <w:rPr>
          <w:rFonts w:ascii="宋体" w:hAnsi="宋体" w:cs="宋体"/>
          <w:bCs/>
          <w:color w:val="auto"/>
          <w:spacing w:val="-6"/>
          <w:highlight w:val="none"/>
        </w:rPr>
      </w:pP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采 购 人：</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项目名称：</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项目编号：</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投标文件名称：资格证明文件或报价文件或商务技术文件</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投标人名称（盖章）：</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投标人地址：</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在    年  月  日  时  分之前不得启封</w:t>
      </w:r>
    </w:p>
    <w:p>
      <w:pPr>
        <w:ind w:firstLine="576"/>
        <w:rPr>
          <w:rFonts w:ascii="宋体" w:hAnsi="宋体" w:cs="宋体"/>
          <w:bCs/>
          <w:color w:val="auto"/>
          <w:spacing w:val="-6"/>
          <w:sz w:val="30"/>
          <w:szCs w:val="30"/>
          <w:highlight w:val="none"/>
        </w:rPr>
      </w:pPr>
    </w:p>
    <w:p>
      <w:pPr>
        <w:ind w:firstLine="576"/>
        <w:rPr>
          <w:rFonts w:ascii="宋体" w:hAnsi="宋体" w:cs="宋体"/>
          <w:bCs/>
          <w:color w:val="auto"/>
          <w:spacing w:val="-6"/>
          <w:sz w:val="30"/>
          <w:szCs w:val="30"/>
          <w:highlight w:val="none"/>
        </w:rPr>
      </w:pPr>
    </w:p>
    <w:p>
      <w:pPr>
        <w:ind w:firstLine="576"/>
        <w:rPr>
          <w:rFonts w:ascii="宋体" w:hAnsi="宋体" w:cs="宋体"/>
          <w:bCs/>
          <w:color w:val="auto"/>
          <w:spacing w:val="-6"/>
          <w:sz w:val="30"/>
          <w:szCs w:val="30"/>
          <w:highlight w:val="none"/>
        </w:rPr>
      </w:pPr>
      <w:r>
        <w:rPr>
          <w:rFonts w:hint="eastAsia" w:ascii="宋体" w:hAnsi="宋体" w:cs="宋体"/>
          <w:color w:val="auto"/>
          <w:spacing w:val="-6"/>
          <w:sz w:val="30"/>
          <w:szCs w:val="30"/>
          <w:highlight w:val="none"/>
        </w:rPr>
        <w:t>授权代表签字</w:t>
      </w:r>
      <w:r>
        <w:rPr>
          <w:rFonts w:hint="eastAsia" w:ascii="宋体" w:hAnsi="宋体" w:cs="宋体"/>
          <w:bCs/>
          <w:color w:val="auto"/>
          <w:spacing w:val="-6"/>
          <w:sz w:val="30"/>
          <w:szCs w:val="30"/>
          <w:highlight w:val="none"/>
        </w:rPr>
        <w:t>：</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日期：    年  月  日</w:t>
      </w:r>
    </w:p>
    <w:p>
      <w:pPr>
        <w:pStyle w:val="20"/>
        <w:spacing w:line="360" w:lineRule="auto"/>
        <w:ind w:firstLine="420"/>
        <w:rPr>
          <w:rFonts w:hAnsi="宋体" w:cs="宋体"/>
          <w:color w:val="auto"/>
          <w:szCs w:val="22"/>
          <w:highlight w:val="none"/>
        </w:rPr>
      </w:pPr>
      <w:r>
        <w:rPr>
          <w:rFonts w:hint="eastAsia" w:hAnsi="宋体" w:cs="宋体"/>
          <w:bCs/>
          <w:color w:val="auto"/>
          <w:spacing w:val="-6"/>
          <w:highlight w:val="none"/>
        </w:rPr>
        <w:br w:type="page"/>
      </w:r>
      <w:r>
        <w:rPr>
          <w:rFonts w:hAnsi="宋体" w:cs="宋体"/>
          <w:color w:val="auto"/>
          <w:szCs w:val="40"/>
          <w:highlight w:val="none"/>
        </w:rPr>
        <mc:AlternateContent>
          <mc:Choice Requires="wps">
            <w:drawing>
              <wp:anchor distT="0" distB="0" distL="114300" distR="114300" simplePos="0" relativeHeight="251658240" behindDoc="1" locked="0" layoutInCell="1" allowOverlap="1">
                <wp:simplePos x="0" y="0"/>
                <wp:positionH relativeFrom="column">
                  <wp:posOffset>4551680</wp:posOffset>
                </wp:positionH>
                <wp:positionV relativeFrom="paragraph">
                  <wp:posOffset>177165</wp:posOffset>
                </wp:positionV>
                <wp:extent cx="1403350" cy="507365"/>
                <wp:effectExtent l="5080" t="4445" r="20320" b="21590"/>
                <wp:wrapNone/>
                <wp:docPr id="3" name="文本框 2"/>
                <wp:cNvGraphicFramePr/>
                <a:graphic xmlns:a="http://schemas.openxmlformats.org/drawingml/2006/main">
                  <a:graphicData uri="http://schemas.microsoft.com/office/word/2010/wordprocessingShape">
                    <wps:wsp>
                      <wps:cNvSpPr txBox="1"/>
                      <wps:spPr>
                        <a:xfrm>
                          <a:off x="0" y="0"/>
                          <a:ext cx="1403350"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2" o:spid="_x0000_s1026" o:spt="202" type="#_x0000_t202" style="position:absolute;left:0pt;margin-left:358.4pt;margin-top:13.95pt;height:39.95pt;width:110.5pt;z-index:-251658240;mso-width-relative:page;mso-height-relative:page;" fillcolor="#FFFFFF" filled="t" stroked="t" coordsize="21600,21600" o:gfxdata="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1A6M9gAAAAKAQAADwAAAAAAAAABACAAAAAiAAAAZHJzL2Rvd25yZXYueG1sUEsBAhQAFAAA&#10;AAgAh07iQOpnc8TvAQAA6AMAAA4AAAAAAAAAAQAgAAAAJwEAAGRycy9lMm9Eb2MueG1sUEsFBgAA&#10;AAAGAAYAWQEAAIgFA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bCs/>
          <w:color w:val="auto"/>
          <w:spacing w:val="-6"/>
          <w:highlight w:val="none"/>
        </w:rPr>
        <w:t xml:space="preserve"> </w:t>
      </w:r>
    </w:p>
    <w:p>
      <w:pPr>
        <w:pStyle w:val="6"/>
        <w:rPr>
          <w:rFonts w:ascii="宋体" w:hAnsi="宋体" w:cs="宋体"/>
          <w:color w:val="auto"/>
          <w:highlight w:val="none"/>
        </w:rPr>
      </w:pPr>
      <w:r>
        <w:rPr>
          <w:rFonts w:hint="eastAsia" w:ascii="宋体" w:hAnsi="宋体" w:cs="宋体"/>
          <w:color w:val="auto"/>
          <w:highlight w:val="none"/>
        </w:rPr>
        <w:t>资格证明文件封面</w:t>
      </w:r>
    </w:p>
    <w:p>
      <w:pPr>
        <w:ind w:firstLine="880"/>
        <w:rPr>
          <w:rFonts w:ascii="宋体" w:hAnsi="宋体" w:cs="宋体"/>
          <w:color w:val="auto"/>
          <w:sz w:val="44"/>
          <w:szCs w:val="32"/>
          <w:highlight w:val="none"/>
        </w:rPr>
      </w:pPr>
    </w:p>
    <w:p>
      <w:pPr>
        <w:ind w:firstLine="3614" w:firstLineChars="1200"/>
        <w:rPr>
          <w:rFonts w:ascii="宋体" w:hAnsi="宋体" w:cs="宋体"/>
          <w:color w:val="auto"/>
          <w:sz w:val="30"/>
          <w:szCs w:val="30"/>
          <w:highlight w:val="none"/>
        </w:rPr>
      </w:pPr>
      <w:r>
        <w:rPr>
          <w:rFonts w:hint="eastAsia" w:ascii="宋体" w:hAnsi="宋体" w:cs="宋体"/>
          <w:b/>
          <w:bCs/>
          <w:color w:val="auto"/>
          <w:sz w:val="30"/>
          <w:szCs w:val="30"/>
          <w:highlight w:val="none"/>
        </w:rPr>
        <w:t>资格证明文件</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采 购 人：</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项目名称：</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项目编号：</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投标人名称（盖章）：</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投标人地址：</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授权代表签字：</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日期：    年  月  日</w:t>
      </w: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36"/>
        <w:ind w:firstLine="2982" w:firstLineChars="900"/>
        <w:rPr>
          <w:b/>
          <w:color w:val="auto"/>
          <w:sz w:val="33"/>
          <w:szCs w:val="33"/>
          <w:highlight w:val="none"/>
        </w:rPr>
      </w:pPr>
      <w:r>
        <w:rPr>
          <w:b/>
          <w:color w:val="auto"/>
          <w:sz w:val="33"/>
          <w:szCs w:val="33"/>
          <w:highlight w:val="none"/>
        </w:rPr>
        <w:t xml:space="preserve">格式一：资格审查材料 </w:t>
      </w:r>
    </w:p>
    <w:tbl>
      <w:tblPr>
        <w:tblStyle w:val="39"/>
        <w:tblW w:w="9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40"/>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序号</w:t>
            </w:r>
          </w:p>
        </w:tc>
        <w:tc>
          <w:tcPr>
            <w:tcW w:w="2740" w:type="dxa"/>
          </w:tcPr>
          <w:p>
            <w:pPr>
              <w:spacing w:line="400" w:lineRule="exact"/>
              <w:ind w:firstLine="482"/>
              <w:jc w:val="center"/>
              <w:rPr>
                <w:rFonts w:ascii="宋体" w:hAnsi="宋体"/>
                <w:b/>
                <w:color w:val="auto"/>
                <w:highlight w:val="none"/>
              </w:rPr>
            </w:pPr>
            <w:r>
              <w:rPr>
                <w:rFonts w:hint="eastAsia" w:ascii="宋体" w:hAnsi="宋体"/>
                <w:b/>
                <w:color w:val="auto"/>
                <w:highlight w:val="none"/>
              </w:rPr>
              <w:t>资格条件要求</w:t>
            </w:r>
          </w:p>
        </w:tc>
        <w:tc>
          <w:tcPr>
            <w:tcW w:w="5955" w:type="dxa"/>
          </w:tcPr>
          <w:p>
            <w:pPr>
              <w:spacing w:line="400" w:lineRule="exact"/>
              <w:ind w:firstLine="482"/>
              <w:jc w:val="center"/>
              <w:rPr>
                <w:rFonts w:ascii="宋体" w:hAnsi="宋体"/>
                <w:b/>
                <w:color w:val="auto"/>
                <w:highlight w:val="none"/>
              </w:rPr>
            </w:pPr>
            <w:r>
              <w:rPr>
                <w:rFonts w:hint="eastAsia" w:ascii="宋体" w:hAnsi="宋体"/>
                <w:b/>
                <w:color w:val="auto"/>
                <w:highlight w:val="none"/>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1</w:t>
            </w:r>
          </w:p>
        </w:tc>
        <w:tc>
          <w:tcPr>
            <w:tcW w:w="2740" w:type="dxa"/>
          </w:tcPr>
          <w:p>
            <w:pPr>
              <w:spacing w:line="400" w:lineRule="exact"/>
              <w:ind w:firstLine="0" w:firstLineChars="0"/>
              <w:rPr>
                <w:rFonts w:ascii="宋体" w:hAnsi="宋体"/>
                <w:b/>
                <w:color w:val="auto"/>
                <w:highlight w:val="none"/>
              </w:rPr>
            </w:pPr>
            <w:r>
              <w:rPr>
                <w:rFonts w:hint="eastAsia" w:ascii="宋体" w:hAnsi="宋体"/>
                <w:color w:val="auto"/>
                <w:highlight w:val="none"/>
              </w:rPr>
              <w:t>具有独立承担民事责任的能力</w:t>
            </w:r>
          </w:p>
        </w:tc>
        <w:tc>
          <w:tcPr>
            <w:tcW w:w="5955" w:type="dxa"/>
          </w:tcPr>
          <w:p>
            <w:pPr>
              <w:pStyle w:val="36"/>
              <w:numPr>
                <w:ilvl w:val="0"/>
                <w:numId w:val="18"/>
              </w:numPr>
              <w:rPr>
                <w:color w:val="auto"/>
                <w:highlight w:val="none"/>
              </w:rPr>
            </w:pPr>
            <w:r>
              <w:rPr>
                <w:color w:val="auto"/>
                <w:highlight w:val="none"/>
              </w:rPr>
              <w:t>如</w:t>
            </w:r>
            <w:r>
              <w:rPr>
                <w:rFonts w:hint="eastAsia"/>
                <w:color w:val="auto"/>
                <w:highlight w:val="none"/>
              </w:rPr>
              <w:t>投标人</w:t>
            </w:r>
            <w:r>
              <w:rPr>
                <w:color w:val="auto"/>
                <w:highlight w:val="none"/>
              </w:rPr>
              <w:t>是企业（包括合伙企业），提供在工商部门注册的有效“企业法人营业执照”或“营业执照”；</w:t>
            </w:r>
          </w:p>
          <w:p>
            <w:pPr>
              <w:pStyle w:val="36"/>
              <w:numPr>
                <w:ilvl w:val="0"/>
                <w:numId w:val="18"/>
              </w:numPr>
              <w:rPr>
                <w:color w:val="auto"/>
                <w:highlight w:val="none"/>
              </w:rPr>
            </w:pPr>
            <w:r>
              <w:rPr>
                <w:color w:val="auto"/>
                <w:highlight w:val="none"/>
              </w:rPr>
              <w:t>如</w:t>
            </w:r>
            <w:r>
              <w:rPr>
                <w:rFonts w:hint="eastAsia"/>
                <w:color w:val="auto"/>
                <w:highlight w:val="none"/>
              </w:rPr>
              <w:t>投标人</w:t>
            </w:r>
            <w:r>
              <w:rPr>
                <w:color w:val="auto"/>
                <w:highlight w:val="none"/>
              </w:rPr>
              <w:t>是事业单位，提供有效的“事业单位法人证书”；</w:t>
            </w:r>
          </w:p>
          <w:p>
            <w:pPr>
              <w:pStyle w:val="36"/>
              <w:numPr>
                <w:ilvl w:val="0"/>
                <w:numId w:val="18"/>
              </w:numPr>
              <w:rPr>
                <w:color w:val="auto"/>
                <w:highlight w:val="none"/>
              </w:rPr>
            </w:pPr>
            <w:r>
              <w:rPr>
                <w:color w:val="auto"/>
                <w:highlight w:val="none"/>
              </w:rPr>
              <w:t>如</w:t>
            </w:r>
            <w:r>
              <w:rPr>
                <w:rFonts w:hint="eastAsia"/>
                <w:color w:val="auto"/>
                <w:highlight w:val="none"/>
              </w:rPr>
              <w:t>投标人</w:t>
            </w:r>
            <w:r>
              <w:rPr>
                <w:color w:val="auto"/>
                <w:highlight w:val="none"/>
              </w:rPr>
              <w:t>是非企业专业服务机构的，提供执业许可证等证明文件；</w:t>
            </w:r>
          </w:p>
          <w:p>
            <w:pPr>
              <w:pStyle w:val="36"/>
              <w:numPr>
                <w:ilvl w:val="0"/>
                <w:numId w:val="18"/>
              </w:numPr>
              <w:rPr>
                <w:color w:val="auto"/>
                <w:highlight w:val="none"/>
              </w:rPr>
            </w:pPr>
            <w:r>
              <w:rPr>
                <w:color w:val="auto"/>
                <w:highlight w:val="none"/>
              </w:rPr>
              <w:t>如</w:t>
            </w:r>
            <w:r>
              <w:rPr>
                <w:rFonts w:hint="eastAsia"/>
                <w:color w:val="auto"/>
                <w:highlight w:val="none"/>
              </w:rPr>
              <w:t>投标人</w:t>
            </w:r>
            <w:r>
              <w:rPr>
                <w:color w:val="auto"/>
                <w:highlight w:val="none"/>
              </w:rPr>
              <w:t>是个体工商户，提供有效的“个体工商户营业执照”；</w:t>
            </w:r>
          </w:p>
          <w:p>
            <w:pPr>
              <w:pStyle w:val="36"/>
              <w:numPr>
                <w:ilvl w:val="0"/>
                <w:numId w:val="18"/>
              </w:numPr>
              <w:rPr>
                <w:color w:val="auto"/>
                <w:highlight w:val="none"/>
              </w:rPr>
            </w:pPr>
            <w:r>
              <w:rPr>
                <w:color w:val="auto"/>
                <w:highlight w:val="none"/>
              </w:rPr>
              <w:t>如投标人是自然人，提供有效的自然人身份证明。</w:t>
            </w:r>
          </w:p>
          <w:p>
            <w:pPr>
              <w:pStyle w:val="36"/>
              <w:rPr>
                <w:b/>
                <w:color w:val="auto"/>
                <w:highlight w:val="none"/>
              </w:rPr>
            </w:pPr>
            <w:r>
              <w:rPr>
                <w:rFonts w:hint="eastAsia"/>
                <w:color w:val="auto"/>
                <w:highlight w:val="none"/>
              </w:rPr>
              <w:t>注：以上材料需要复印件加盖公章（自然人则签字）。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1"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2</w:t>
            </w:r>
          </w:p>
        </w:tc>
        <w:tc>
          <w:tcPr>
            <w:tcW w:w="2740" w:type="dxa"/>
          </w:tcPr>
          <w:p>
            <w:pPr>
              <w:spacing w:line="400" w:lineRule="exact"/>
              <w:ind w:firstLine="0" w:firstLineChars="0"/>
              <w:jc w:val="left"/>
              <w:rPr>
                <w:rFonts w:ascii="宋体" w:hAnsi="宋体"/>
                <w:color w:val="auto"/>
                <w:highlight w:val="none"/>
              </w:rPr>
            </w:pPr>
            <w:r>
              <w:rPr>
                <w:rFonts w:hint="eastAsia" w:ascii="宋体" w:hAnsi="宋体"/>
                <w:color w:val="auto"/>
                <w:highlight w:val="none"/>
              </w:rPr>
              <w:t>具有良好的商业信誉和健全的财务会计制度</w:t>
            </w:r>
          </w:p>
        </w:tc>
        <w:tc>
          <w:tcPr>
            <w:tcW w:w="5955" w:type="dxa"/>
          </w:tcPr>
          <w:p>
            <w:pPr>
              <w:pStyle w:val="36"/>
              <w:numPr>
                <w:ilvl w:val="0"/>
                <w:numId w:val="19"/>
              </w:numPr>
              <w:rPr>
                <w:color w:val="auto"/>
                <w:highlight w:val="none"/>
              </w:rPr>
            </w:pPr>
            <w:r>
              <w:rPr>
                <w:rFonts w:hint="eastAsia"/>
                <w:color w:val="auto"/>
                <w:highlight w:val="none"/>
              </w:rPr>
              <w:t>投标人</w:t>
            </w:r>
            <w:r>
              <w:rPr>
                <w:color w:val="auto"/>
                <w:highlight w:val="none"/>
              </w:rPr>
              <w:t>是法人的，应</w:t>
            </w:r>
            <w:r>
              <w:rPr>
                <w:b/>
                <w:bCs/>
                <w:color w:val="auto"/>
                <w:highlight w:val="none"/>
              </w:rPr>
              <w:t>提供上一年度经第三方审计的财务报告</w:t>
            </w:r>
            <w:r>
              <w:rPr>
                <w:color w:val="auto"/>
                <w:highlight w:val="none"/>
              </w:rPr>
              <w:t>（若投标时间为 1-6 月，上一年度财务审计报告还未完成的，须提供再上一年度的财务审计报告），即资产负债表、利润表、现金流量表、所有者权益变动表等相关内容；</w:t>
            </w:r>
            <w:r>
              <w:rPr>
                <w:b/>
                <w:bCs/>
                <w:color w:val="auto"/>
                <w:highlight w:val="none"/>
              </w:rPr>
              <w:t>未经审计的，提供近 6 个月任意一月财务报表（资产负债表、利润表）或开标前三个月内其基本开户银行出具的资信证明</w:t>
            </w:r>
            <w:r>
              <w:rPr>
                <w:b/>
                <w:color w:val="auto"/>
                <w:highlight w:val="none"/>
              </w:rPr>
              <w:t>（若资信证明中注明复</w:t>
            </w:r>
            <w:r>
              <w:rPr>
                <w:b/>
                <w:bCs/>
                <w:color w:val="auto"/>
                <w:highlight w:val="none"/>
              </w:rPr>
              <w:t>印无效，需提交正本</w:t>
            </w:r>
            <w:r>
              <w:rPr>
                <w:color w:val="auto"/>
                <w:highlight w:val="none"/>
              </w:rPr>
              <w:t>），并加盖公章或财政部门认可的采购专业担保机构出具的投标担保函；</w:t>
            </w:r>
          </w:p>
          <w:p>
            <w:pPr>
              <w:pStyle w:val="36"/>
              <w:numPr>
                <w:ilvl w:val="0"/>
                <w:numId w:val="19"/>
              </w:numPr>
              <w:rPr>
                <w:color w:val="auto"/>
                <w:highlight w:val="none"/>
              </w:rPr>
            </w:pPr>
            <w:r>
              <w:rPr>
                <w:color w:val="auto"/>
                <w:highlight w:val="none"/>
              </w:rPr>
              <w:t>部分其他组织和自然人没有财务状况报告的，可以提供银行出具的资信证明(若资信证明中注明复印无效，需提交正本),并加盖公章；</w:t>
            </w:r>
          </w:p>
          <w:p>
            <w:pPr>
              <w:pStyle w:val="36"/>
              <w:numPr>
                <w:ilvl w:val="0"/>
                <w:numId w:val="19"/>
              </w:numPr>
              <w:rPr>
                <w:color w:val="auto"/>
                <w:highlight w:val="none"/>
              </w:rPr>
            </w:pPr>
            <w:r>
              <w:rPr>
                <w:color w:val="auto"/>
                <w:highlight w:val="none"/>
              </w:rPr>
              <w:t>银行资信证明应能说明投标人与银行之间业务往来正常，企业信誉良好等，银行出具的存款证明不能替代</w:t>
            </w:r>
            <w:r>
              <w:rPr>
                <w:b/>
                <w:color w:val="auto"/>
                <w:highlight w:val="none"/>
              </w:rPr>
              <w:t>银行资信证明。</w:t>
            </w:r>
          </w:p>
          <w:p>
            <w:pPr>
              <w:pStyle w:val="36"/>
              <w:numPr>
                <w:ilvl w:val="0"/>
                <w:numId w:val="19"/>
              </w:numPr>
              <w:rPr>
                <w:color w:val="auto"/>
                <w:highlight w:val="none"/>
              </w:rPr>
            </w:pPr>
            <w:r>
              <w:rPr>
                <w:rFonts w:hint="eastAsia"/>
                <w:color w:val="auto"/>
                <w:highlight w:val="none"/>
              </w:rPr>
              <w:t>投标人</w:t>
            </w:r>
            <w:r>
              <w:rPr>
                <w:color w:val="auto"/>
                <w:highlight w:val="none"/>
              </w:rPr>
              <w:t>因新注册成立等原因无法提供相关材料的，应在投标文件中提交如实的情况说明</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3</w:t>
            </w:r>
          </w:p>
        </w:tc>
        <w:tc>
          <w:tcPr>
            <w:tcW w:w="2740" w:type="dxa"/>
          </w:tcPr>
          <w:p>
            <w:pPr>
              <w:spacing w:line="400" w:lineRule="exact"/>
              <w:ind w:firstLine="0" w:firstLineChars="0"/>
              <w:jc w:val="left"/>
              <w:rPr>
                <w:rFonts w:ascii="宋体" w:hAnsi="宋体"/>
                <w:color w:val="auto"/>
                <w:highlight w:val="none"/>
              </w:rPr>
            </w:pPr>
            <w:r>
              <w:rPr>
                <w:rFonts w:hint="eastAsia" w:ascii="宋体" w:hAnsi="宋体"/>
                <w:color w:val="auto"/>
                <w:highlight w:val="none"/>
              </w:rPr>
              <w:t>具有良好的商业信誉</w:t>
            </w:r>
          </w:p>
        </w:tc>
        <w:tc>
          <w:tcPr>
            <w:tcW w:w="5955" w:type="dxa"/>
          </w:tcPr>
          <w:p>
            <w:pPr>
              <w:snapToGrid w:val="0"/>
              <w:ind w:firstLine="480"/>
              <w:rPr>
                <w:color w:val="auto"/>
                <w:highlight w:val="none"/>
              </w:rPr>
            </w:pPr>
            <w:r>
              <w:rPr>
                <w:rFonts w:hint="eastAsia" w:ascii="宋体" w:hAnsi="宋体"/>
                <w:color w:val="auto"/>
                <w:highlight w:val="none"/>
              </w:rPr>
              <w:t>具有良好商业信誉特别声明</w:t>
            </w:r>
            <w:r>
              <w:rPr>
                <w:rFonts w:hint="eastAsia"/>
                <w:color w:val="auto"/>
                <w:highlight w:val="none"/>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4</w:t>
            </w:r>
          </w:p>
        </w:tc>
        <w:tc>
          <w:tcPr>
            <w:tcW w:w="2740" w:type="dxa"/>
          </w:tcPr>
          <w:p>
            <w:pPr>
              <w:spacing w:line="400" w:lineRule="exact"/>
              <w:ind w:firstLine="0" w:firstLineChars="0"/>
              <w:jc w:val="left"/>
              <w:rPr>
                <w:rFonts w:ascii="宋体" w:hAnsi="宋体"/>
                <w:color w:val="auto"/>
                <w:highlight w:val="none"/>
              </w:rPr>
            </w:pPr>
            <w:r>
              <w:rPr>
                <w:rFonts w:hint="eastAsia" w:ascii="宋体" w:hAnsi="宋体"/>
                <w:color w:val="auto"/>
                <w:highlight w:val="none"/>
              </w:rPr>
              <w:t>具有履行合同所必需的设备和专业技术能力</w:t>
            </w:r>
          </w:p>
        </w:tc>
        <w:tc>
          <w:tcPr>
            <w:tcW w:w="5955" w:type="dxa"/>
          </w:tcPr>
          <w:p>
            <w:pPr>
              <w:pStyle w:val="36"/>
              <w:rPr>
                <w:color w:val="auto"/>
                <w:highlight w:val="none"/>
              </w:rPr>
            </w:pPr>
            <w:r>
              <w:rPr>
                <w:color w:val="auto"/>
                <w:highlight w:val="none"/>
              </w:rPr>
              <w:t>具有履行合同所必需的设备和专业技术能力的承诺函</w:t>
            </w:r>
            <w:r>
              <w:rPr>
                <w:rFonts w:hint="eastAsia"/>
                <w:color w:val="auto"/>
                <w:highlight w:val="none"/>
              </w:rPr>
              <w:t>--</w:t>
            </w:r>
            <w:r>
              <w:rPr>
                <w:color w:val="auto"/>
                <w:highlight w:val="none"/>
              </w:rPr>
              <w:t>详见附件</w:t>
            </w: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6"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5</w:t>
            </w:r>
          </w:p>
        </w:tc>
        <w:tc>
          <w:tcPr>
            <w:tcW w:w="2740" w:type="dxa"/>
          </w:tcPr>
          <w:p>
            <w:pPr>
              <w:spacing w:line="400" w:lineRule="exact"/>
              <w:ind w:firstLine="0" w:firstLineChars="0"/>
              <w:jc w:val="left"/>
              <w:rPr>
                <w:rFonts w:ascii="宋体" w:hAnsi="宋体"/>
                <w:color w:val="auto"/>
                <w:highlight w:val="none"/>
              </w:rPr>
            </w:pPr>
            <w:r>
              <w:rPr>
                <w:rFonts w:hint="eastAsia" w:ascii="宋体" w:hAnsi="宋体"/>
                <w:color w:val="auto"/>
                <w:highlight w:val="none"/>
              </w:rPr>
              <w:t>有依法缴纳税收和社会保障资金的良好记录</w:t>
            </w:r>
          </w:p>
        </w:tc>
        <w:tc>
          <w:tcPr>
            <w:tcW w:w="5955" w:type="dxa"/>
          </w:tcPr>
          <w:p>
            <w:pPr>
              <w:pStyle w:val="36"/>
              <w:numPr>
                <w:ilvl w:val="0"/>
                <w:numId w:val="20"/>
              </w:numPr>
              <w:rPr>
                <w:color w:val="auto"/>
                <w:highlight w:val="none"/>
              </w:rPr>
            </w:pPr>
            <w:r>
              <w:rPr>
                <w:color w:val="auto"/>
                <w:highlight w:val="none"/>
              </w:rPr>
              <w:t>最近六个月任意一月依法缴纳税收的证明材料指</w:t>
            </w:r>
            <w:r>
              <w:rPr>
                <w:rFonts w:hint="eastAsia"/>
                <w:color w:val="auto"/>
                <w:highlight w:val="none"/>
              </w:rPr>
              <w:t>投标人</w:t>
            </w:r>
            <w:r>
              <w:rPr>
                <w:color w:val="auto"/>
                <w:highlight w:val="none"/>
              </w:rPr>
              <w:t>参加政府采购活动前最近六个月任意一月内依法缴纳税收的凭据（完税证明或纳税证明或银行电子缴税付款凭证等）；</w:t>
            </w:r>
          </w:p>
          <w:p>
            <w:pPr>
              <w:pStyle w:val="36"/>
              <w:numPr>
                <w:ilvl w:val="0"/>
                <w:numId w:val="20"/>
              </w:numPr>
              <w:rPr>
                <w:color w:val="auto"/>
                <w:highlight w:val="none"/>
              </w:rPr>
            </w:pPr>
            <w:r>
              <w:rPr>
                <w:color w:val="auto"/>
                <w:highlight w:val="none"/>
              </w:rPr>
              <w:t>依法免税的</w:t>
            </w:r>
            <w:r>
              <w:rPr>
                <w:rFonts w:hint="eastAsia"/>
                <w:color w:val="auto"/>
                <w:highlight w:val="none"/>
              </w:rPr>
              <w:t>投标人</w:t>
            </w:r>
            <w:r>
              <w:rPr>
                <w:color w:val="auto"/>
                <w:highlight w:val="none"/>
              </w:rPr>
              <w:t>，应提供相应文件证明其依法免税；</w:t>
            </w:r>
          </w:p>
          <w:p>
            <w:pPr>
              <w:pStyle w:val="36"/>
              <w:numPr>
                <w:ilvl w:val="0"/>
                <w:numId w:val="20"/>
              </w:numPr>
              <w:rPr>
                <w:color w:val="auto"/>
                <w:highlight w:val="none"/>
              </w:rPr>
            </w:pPr>
            <w:r>
              <w:rPr>
                <w:color w:val="auto"/>
                <w:highlight w:val="none"/>
              </w:rPr>
              <w:t>最近六个月任意一月依法缴纳社会保障资金的证明</w:t>
            </w:r>
            <w:r>
              <w:rPr>
                <w:b/>
                <w:color w:val="auto"/>
                <w:highlight w:val="none"/>
              </w:rPr>
              <w:t>材料指</w:t>
            </w:r>
            <w:r>
              <w:rPr>
                <w:rFonts w:hint="eastAsia"/>
                <w:b/>
                <w:color w:val="auto"/>
                <w:highlight w:val="none"/>
              </w:rPr>
              <w:t>投标人</w:t>
            </w:r>
            <w:r>
              <w:rPr>
                <w:b/>
                <w:color w:val="auto"/>
                <w:highlight w:val="none"/>
              </w:rPr>
              <w:t>参加政府采购活动前最近六个月任意一月内依法缴纳社会保险的凭</w:t>
            </w:r>
            <w:r>
              <w:rPr>
                <w:color w:val="auto"/>
                <w:highlight w:val="none"/>
              </w:rPr>
              <w:t>据（社保缴费专用收据或银行电子缴税付款凭证或社会保险缴纳清单等）；</w:t>
            </w:r>
          </w:p>
          <w:p>
            <w:pPr>
              <w:pStyle w:val="36"/>
              <w:numPr>
                <w:ilvl w:val="0"/>
                <w:numId w:val="20"/>
              </w:numPr>
              <w:rPr>
                <w:color w:val="auto"/>
                <w:highlight w:val="none"/>
              </w:rPr>
            </w:pPr>
            <w:r>
              <w:rPr>
                <w:color w:val="auto"/>
                <w:highlight w:val="none"/>
              </w:rPr>
              <w:t>依法不需要缴纳社会保障资金的投标人，应提供相应文件证明其依法不需要缴纳社会保障资金；</w:t>
            </w:r>
          </w:p>
          <w:p>
            <w:pPr>
              <w:pStyle w:val="36"/>
              <w:numPr>
                <w:ilvl w:val="0"/>
                <w:numId w:val="20"/>
              </w:numPr>
              <w:rPr>
                <w:color w:val="auto"/>
                <w:highlight w:val="none"/>
              </w:rPr>
            </w:pPr>
            <w:r>
              <w:rPr>
                <w:color w:val="auto"/>
                <w:highlight w:val="none"/>
              </w:rPr>
              <w:t>投标人因新注册成立等原因无法提供相关材料的，应在投标文件中提交如实的情况说明。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6</w:t>
            </w:r>
          </w:p>
        </w:tc>
        <w:tc>
          <w:tcPr>
            <w:tcW w:w="2740" w:type="dxa"/>
          </w:tcPr>
          <w:p>
            <w:pPr>
              <w:pStyle w:val="36"/>
              <w:rPr>
                <w:color w:val="auto"/>
                <w:kern w:val="2"/>
                <w:highlight w:val="none"/>
              </w:rPr>
            </w:pPr>
            <w:r>
              <w:rPr>
                <w:rFonts w:hint="eastAsia"/>
                <w:color w:val="auto"/>
                <w:kern w:val="2"/>
                <w:highlight w:val="none"/>
              </w:rPr>
              <w:t>参加政府采购活动前三年内（新成立不满三年的公司自成立之日起算）在经营活动中没有重大违法记录</w:t>
            </w:r>
          </w:p>
        </w:tc>
        <w:tc>
          <w:tcPr>
            <w:tcW w:w="5955" w:type="dxa"/>
          </w:tcPr>
          <w:p>
            <w:pPr>
              <w:pStyle w:val="36"/>
              <w:rPr>
                <w:color w:val="auto"/>
                <w:kern w:val="2"/>
                <w:highlight w:val="none"/>
              </w:rPr>
            </w:pPr>
            <w:r>
              <w:rPr>
                <w:rFonts w:hint="eastAsia"/>
                <w:color w:val="auto"/>
                <w:kern w:val="2"/>
                <w:highlight w:val="none"/>
              </w:rPr>
              <w:t>没有重大违法记录承诺函--详见附件3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7</w:t>
            </w:r>
          </w:p>
        </w:tc>
        <w:tc>
          <w:tcPr>
            <w:tcW w:w="2740" w:type="dxa"/>
          </w:tcPr>
          <w:p>
            <w:pPr>
              <w:spacing w:line="240" w:lineRule="auto"/>
              <w:ind w:firstLine="0" w:firstLineChars="0"/>
              <w:rPr>
                <w:rFonts w:ascii="宋体" w:hAnsi="宋体"/>
                <w:color w:val="auto"/>
                <w:kern w:val="0"/>
                <w:highlight w:val="none"/>
              </w:rPr>
            </w:pPr>
            <w:r>
              <w:rPr>
                <w:rFonts w:hint="eastAsia" w:ascii="宋体" w:hAnsi="宋体"/>
                <w:color w:val="auto"/>
                <w:kern w:val="0"/>
                <w:highlight w:val="none"/>
              </w:rPr>
              <w:t>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olor w:val="auto"/>
                <w:kern w:val="0"/>
                <w:highlight w:val="none"/>
              </w:rPr>
              <w:t>www.creditchina.gov.cn</w:t>
            </w:r>
            <w:r>
              <w:rPr>
                <w:rFonts w:hint="eastAsia" w:ascii="宋体" w:hAnsi="宋体"/>
                <w:color w:val="auto"/>
                <w:kern w:val="0"/>
                <w:highlight w:val="none"/>
              </w:rPr>
              <w:fldChar w:fldCharType="end"/>
            </w:r>
            <w:r>
              <w:rPr>
                <w:rFonts w:hint="eastAsia" w:ascii="宋体" w:hAnsi="宋体"/>
                <w:color w:val="auto"/>
                <w:kern w:val="0"/>
                <w:highlight w:val="none"/>
              </w:rPr>
              <w:t>）列入失信被执行人、重大税收违法案件当事人名单，未被中国政府采购网（www.ccgp.gov.cn）列入政府采购严重违法失信行为记录名单。</w:t>
            </w:r>
          </w:p>
        </w:tc>
        <w:tc>
          <w:tcPr>
            <w:tcW w:w="5955" w:type="dxa"/>
          </w:tcPr>
          <w:p>
            <w:pPr>
              <w:pStyle w:val="36"/>
              <w:rPr>
                <w:color w:val="auto"/>
                <w:highlight w:val="none"/>
              </w:rPr>
            </w:pPr>
            <w:r>
              <w:rPr>
                <w:rFonts w:hint="eastAsia"/>
                <w:color w:val="auto"/>
                <w:highlight w:val="none"/>
              </w:rPr>
              <w:t>提供响应文件递交截止日前1日历天17:00（北京时间）的查询信息网站截图（2个）：查询渠道：“信用中国”（www.creditchina.gov.cn）、“中国政府采购网”（www.ccgp.gov.cn）。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720" w:type="dxa"/>
          </w:tcPr>
          <w:p>
            <w:pPr>
              <w:spacing w:line="400" w:lineRule="exact"/>
              <w:ind w:firstLine="0" w:firstLineChars="0"/>
              <w:rPr>
                <w:rFonts w:ascii="宋体" w:hAnsi="宋体"/>
                <w:bCs/>
                <w:color w:val="auto"/>
                <w:highlight w:val="none"/>
              </w:rPr>
            </w:pPr>
            <w:r>
              <w:rPr>
                <w:rFonts w:hint="eastAsia" w:ascii="宋体" w:hAnsi="宋体"/>
                <w:bCs/>
                <w:color w:val="auto"/>
                <w:highlight w:val="none"/>
              </w:rPr>
              <w:t>8</w:t>
            </w:r>
          </w:p>
        </w:tc>
        <w:tc>
          <w:tcPr>
            <w:tcW w:w="2740" w:type="dxa"/>
          </w:tcPr>
          <w:p>
            <w:pPr>
              <w:pStyle w:val="36"/>
              <w:spacing w:before="75" w:beforeAutospacing="0" w:after="75" w:afterAutospacing="0"/>
              <w:rPr>
                <w:color w:val="auto"/>
                <w:highlight w:val="none"/>
              </w:rPr>
            </w:pPr>
            <w:r>
              <w:rPr>
                <w:rFonts w:hint="eastAsia"/>
                <w:color w:val="auto"/>
                <w:highlight w:val="none"/>
              </w:rPr>
              <w:t>单位负责人为同一人或者存在直接控股、管理关系的不同供应商，不得参加同一合同项下的政府采购活动。</w:t>
            </w:r>
          </w:p>
        </w:tc>
        <w:tc>
          <w:tcPr>
            <w:tcW w:w="5955" w:type="dxa"/>
          </w:tcPr>
          <w:p>
            <w:pPr>
              <w:numPr>
                <w:ilvl w:val="0"/>
                <w:numId w:val="21"/>
              </w:numPr>
              <w:ind w:firstLine="0" w:firstLineChars="0"/>
              <w:rPr>
                <w:rFonts w:hint="eastAsia" w:ascii="宋体" w:hAnsi="宋体" w:eastAsia="宋体" w:cs="Times New Roman"/>
                <w:color w:val="auto"/>
                <w:kern w:val="0"/>
                <w:sz w:val="22"/>
                <w:szCs w:val="22"/>
                <w:highlight w:val="none"/>
                <w:lang w:val="en-US" w:eastAsia="zh-CN" w:bidi="ar-SA"/>
              </w:rPr>
            </w:pPr>
            <w:r>
              <w:rPr>
                <w:rFonts w:hint="eastAsia" w:ascii="宋体" w:hAnsi="宋体" w:eastAsia="宋体" w:cs="Times New Roman"/>
                <w:color w:val="auto"/>
                <w:kern w:val="0"/>
                <w:sz w:val="22"/>
                <w:szCs w:val="22"/>
                <w:highlight w:val="none"/>
                <w:lang w:val="en-US" w:eastAsia="zh-CN" w:bidi="ar-SA"/>
              </w:rPr>
              <w:t>提供响应文件递交截止日前1日历天17:00（北京时间）的查询信息网站截图，查询渠道：“国家企业信用信息公示系统”（w</w:t>
            </w:r>
            <w:r>
              <w:rPr>
                <w:rFonts w:ascii="宋体" w:hAnsi="宋体" w:eastAsia="宋体" w:cs="Times New Roman"/>
                <w:color w:val="auto"/>
                <w:kern w:val="0"/>
                <w:sz w:val="22"/>
                <w:szCs w:val="22"/>
                <w:highlight w:val="none"/>
                <w:lang w:val="en-US" w:eastAsia="zh-CN" w:bidi="ar-SA"/>
              </w:rPr>
              <w:fldChar w:fldCharType="begin"/>
            </w:r>
            <w:r>
              <w:rPr>
                <w:rFonts w:ascii="宋体" w:hAnsi="宋体" w:eastAsia="宋体" w:cs="Times New Roman"/>
                <w:color w:val="auto"/>
                <w:kern w:val="0"/>
                <w:sz w:val="22"/>
                <w:szCs w:val="22"/>
                <w:highlight w:val="none"/>
                <w:lang w:val="en-US" w:eastAsia="zh-CN" w:bidi="ar-SA"/>
              </w:rPr>
              <w:instrText xml:space="preserve"> HYPERLINK "http://www.gsxt.gov.cn/corp-query-homepage.html" </w:instrText>
            </w:r>
            <w:r>
              <w:rPr>
                <w:rFonts w:ascii="宋体" w:hAnsi="宋体" w:eastAsia="宋体" w:cs="Times New Roman"/>
                <w:color w:val="auto"/>
                <w:kern w:val="0"/>
                <w:sz w:val="22"/>
                <w:szCs w:val="22"/>
                <w:highlight w:val="none"/>
                <w:lang w:val="en-US" w:eastAsia="zh-CN" w:bidi="ar-SA"/>
              </w:rPr>
              <w:fldChar w:fldCharType="separate"/>
            </w:r>
            <w:r>
              <w:rPr>
                <w:rFonts w:hint="eastAsia" w:ascii="宋体" w:hAnsi="宋体" w:eastAsia="宋体" w:cs="Times New Roman"/>
                <w:color w:val="auto"/>
                <w:kern w:val="0"/>
                <w:sz w:val="22"/>
                <w:szCs w:val="22"/>
                <w:highlight w:val="none"/>
                <w:lang w:val="en-US" w:eastAsia="zh-CN" w:bidi="ar-SA"/>
              </w:rPr>
              <w:t>ww.gsxt.gov.cn/corp-query-homepage.html</w:t>
            </w:r>
            <w:r>
              <w:rPr>
                <w:rFonts w:hint="eastAsia" w:ascii="宋体" w:hAnsi="宋体" w:eastAsia="宋体" w:cs="Times New Roman"/>
                <w:color w:val="auto"/>
                <w:kern w:val="0"/>
                <w:sz w:val="22"/>
                <w:szCs w:val="22"/>
                <w:highlight w:val="none"/>
                <w:lang w:val="en-US" w:eastAsia="zh-CN" w:bidi="ar-SA"/>
              </w:rPr>
              <w:fldChar w:fldCharType="end"/>
            </w:r>
            <w:r>
              <w:rPr>
                <w:rFonts w:hint="eastAsia" w:ascii="宋体" w:hAnsi="宋体" w:eastAsia="宋体" w:cs="Times New Roman"/>
                <w:color w:val="auto"/>
                <w:kern w:val="0"/>
                <w:sz w:val="22"/>
                <w:szCs w:val="22"/>
                <w:highlight w:val="none"/>
                <w:lang w:val="en-US" w:eastAsia="zh-CN" w:bidi="ar-SA"/>
              </w:rPr>
              <w:t>）</w:t>
            </w:r>
          </w:p>
          <w:p>
            <w:pPr>
              <w:numPr>
                <w:ilvl w:val="0"/>
                <w:numId w:val="21"/>
              </w:numPr>
              <w:ind w:firstLine="0" w:firstLineChars="0"/>
              <w:rPr>
                <w:color w:val="auto"/>
                <w:highlight w:val="none"/>
              </w:rPr>
            </w:pPr>
            <w:r>
              <w:rPr>
                <w:rFonts w:hint="eastAsia" w:ascii="宋体" w:hAnsi="宋体" w:eastAsia="宋体" w:cs="Times New Roman"/>
                <w:color w:val="auto"/>
                <w:kern w:val="0"/>
                <w:sz w:val="24"/>
                <w:szCs w:val="24"/>
                <w:highlight w:val="none"/>
                <w:lang w:val="en-US" w:eastAsia="zh-CN" w:bidi="ar-SA"/>
              </w:rPr>
              <w:t>提交公司架构及股权结构。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20" w:type="dxa"/>
          </w:tcPr>
          <w:p>
            <w:pPr>
              <w:pStyle w:val="2"/>
              <w:rPr>
                <w:rFonts w:ascii="宋体" w:hAnsi="宋体" w:eastAsia="宋体" w:cs="宋体"/>
                <w:bCs/>
                <w:color w:val="auto"/>
                <w:highlight w:val="none"/>
              </w:rPr>
            </w:pPr>
            <w:r>
              <w:rPr>
                <w:rFonts w:hint="eastAsia" w:ascii="宋体" w:hAnsi="宋体" w:eastAsia="宋体" w:cs="宋体"/>
                <w:bCs/>
                <w:color w:val="auto"/>
                <w:highlight w:val="none"/>
              </w:rPr>
              <w:t xml:space="preserve"> 9</w:t>
            </w:r>
          </w:p>
        </w:tc>
        <w:tc>
          <w:tcPr>
            <w:tcW w:w="2740" w:type="dxa"/>
            <w:vAlign w:val="center"/>
          </w:tcPr>
          <w:p>
            <w:pPr>
              <w:pStyle w:val="36"/>
              <w:rPr>
                <w:color w:val="auto"/>
                <w:highlight w:val="none"/>
              </w:rPr>
            </w:pPr>
            <w:r>
              <w:rPr>
                <w:color w:val="auto"/>
                <w:highlight w:val="none"/>
              </w:rPr>
              <w:t xml:space="preserve"> 特定资格</w:t>
            </w:r>
            <w:r>
              <w:rPr>
                <w:rFonts w:hint="eastAsia"/>
                <w:color w:val="auto"/>
                <w:highlight w:val="none"/>
              </w:rPr>
              <w:t>要求</w:t>
            </w:r>
          </w:p>
        </w:tc>
        <w:tc>
          <w:tcPr>
            <w:tcW w:w="5955" w:type="dxa"/>
            <w:vAlign w:val="center"/>
          </w:tcPr>
          <w:p>
            <w:pPr>
              <w:pStyle w:val="36"/>
              <w:rPr>
                <w:color w:val="auto"/>
                <w:highlight w:val="none"/>
              </w:rPr>
            </w:pPr>
            <w:r>
              <w:rPr>
                <w:color w:val="auto"/>
                <w:highlight w:val="none"/>
              </w:rPr>
              <w:t>须提供符合“第一</w:t>
            </w:r>
            <w:r>
              <w:rPr>
                <w:rFonts w:hint="eastAsia"/>
                <w:color w:val="auto"/>
                <w:highlight w:val="none"/>
              </w:rPr>
              <w:t>章</w:t>
            </w:r>
            <w:r>
              <w:rPr>
                <w:color w:val="auto"/>
                <w:highlight w:val="none"/>
              </w:rPr>
              <w:t xml:space="preserve"> </w:t>
            </w:r>
            <w:r>
              <w:rPr>
                <w:rFonts w:hint="eastAsia"/>
                <w:color w:val="auto"/>
                <w:highlight w:val="none"/>
              </w:rPr>
              <w:t>招标</w:t>
            </w:r>
            <w:r>
              <w:rPr>
                <w:color w:val="auto"/>
                <w:highlight w:val="none"/>
              </w:rPr>
              <w:t>公告”中“四</w:t>
            </w:r>
            <w:r>
              <w:rPr>
                <w:rFonts w:hint="eastAsia"/>
                <w:color w:val="auto"/>
                <w:highlight w:val="none"/>
              </w:rPr>
              <w:t>、投标人资格</w:t>
            </w:r>
            <w:r>
              <w:rPr>
                <w:color w:val="auto"/>
                <w:highlight w:val="none"/>
              </w:rPr>
              <w:t>要求”上列明的</w:t>
            </w:r>
            <w:r>
              <w:rPr>
                <w:rFonts w:hint="eastAsia"/>
                <w:color w:val="auto"/>
                <w:highlight w:val="none"/>
              </w:rPr>
              <w:t>“</w:t>
            </w:r>
            <w:r>
              <w:rPr>
                <w:color w:val="auto"/>
                <w:highlight w:val="none"/>
              </w:rPr>
              <w:t>特定资格</w:t>
            </w:r>
            <w:r>
              <w:rPr>
                <w:rFonts w:hint="eastAsia"/>
                <w:color w:val="auto"/>
                <w:highlight w:val="none"/>
              </w:rPr>
              <w:t>要求”</w:t>
            </w:r>
            <w:r>
              <w:rPr>
                <w:color w:val="auto"/>
                <w:highlight w:val="none"/>
              </w:rPr>
              <w:t>的证明文件复印件并加盖公章。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spacing w:line="400" w:lineRule="exact"/>
              <w:ind w:firstLine="0" w:firstLineChars="0"/>
              <w:rPr>
                <w:rFonts w:ascii="宋体" w:hAnsi="宋体"/>
                <w:color w:val="auto"/>
                <w:highlight w:val="none"/>
              </w:rPr>
            </w:pPr>
            <w:r>
              <w:rPr>
                <w:rFonts w:hint="eastAsia" w:ascii="宋体" w:hAnsi="宋体"/>
                <w:color w:val="auto"/>
                <w:highlight w:val="none"/>
              </w:rPr>
              <w:t>10</w:t>
            </w:r>
          </w:p>
        </w:tc>
        <w:tc>
          <w:tcPr>
            <w:tcW w:w="2740" w:type="dxa"/>
            <w:vAlign w:val="center"/>
          </w:tcPr>
          <w:p>
            <w:pPr>
              <w:spacing w:line="400" w:lineRule="exact"/>
              <w:ind w:firstLine="0" w:firstLineChars="0"/>
              <w:rPr>
                <w:color w:val="auto"/>
                <w:highlight w:val="none"/>
              </w:rPr>
            </w:pPr>
            <w:r>
              <w:rPr>
                <w:rFonts w:hint="eastAsia" w:ascii="宋体" w:hAnsi="宋体"/>
                <w:color w:val="auto"/>
                <w:highlight w:val="none"/>
              </w:rPr>
              <w:t>供应商是否为联合体</w:t>
            </w:r>
          </w:p>
        </w:tc>
        <w:tc>
          <w:tcPr>
            <w:tcW w:w="5955" w:type="dxa"/>
            <w:vAlign w:val="center"/>
          </w:tcPr>
          <w:p>
            <w:pPr>
              <w:spacing w:line="400" w:lineRule="exact"/>
              <w:ind w:firstLine="0" w:firstLineChars="0"/>
              <w:rPr>
                <w:rFonts w:ascii="宋体" w:hAnsi="宋体"/>
                <w:color w:val="auto"/>
                <w:highlight w:val="none"/>
              </w:rPr>
            </w:pPr>
            <w:r>
              <w:rPr>
                <w:rFonts w:hint="eastAsia" w:ascii="宋体" w:hAnsi="宋体"/>
                <w:color w:val="auto"/>
                <w:highlight w:val="none"/>
              </w:rPr>
              <w:t>本项目</w:t>
            </w:r>
            <w:r>
              <w:rPr>
                <w:rFonts w:hint="eastAsia" w:ascii="宋体" w:hAnsi="宋体"/>
                <w:color w:val="auto"/>
                <w:highlight w:val="none"/>
                <w:lang w:val="en-US" w:eastAsia="zh-CN"/>
              </w:rPr>
              <w:t>不</w:t>
            </w:r>
            <w:r>
              <w:rPr>
                <w:rFonts w:hint="eastAsia" w:ascii="宋体" w:hAnsi="宋体"/>
                <w:color w:val="auto"/>
                <w:highlight w:val="none"/>
              </w:rPr>
              <w:t>接受联合体投标。</w:t>
            </w:r>
          </w:p>
        </w:tc>
      </w:tr>
    </w:tbl>
    <w:p>
      <w:pPr>
        <w:pStyle w:val="36"/>
        <w:rPr>
          <w:b/>
          <w:color w:val="auto"/>
          <w:sz w:val="28"/>
          <w:szCs w:val="28"/>
          <w:highlight w:val="none"/>
        </w:rPr>
      </w:pPr>
      <w:r>
        <w:rPr>
          <w:b/>
          <w:color w:val="auto"/>
          <w:sz w:val="28"/>
          <w:szCs w:val="28"/>
          <w:highlight w:val="none"/>
        </w:rPr>
        <w:t xml:space="preserve">注：请按以上顺序编排所需资格文件并填写页码，表后附上相关证明文件。未提供上述材料任何一项或未完整提供或无法证明是否符合资格要求的均按无效标处理。 </w:t>
      </w:r>
    </w:p>
    <w:p>
      <w:pPr>
        <w:snapToGrid w:val="0"/>
        <w:ind w:firstLine="0" w:firstLineChars="0"/>
        <w:rPr>
          <w:rFonts w:ascii="宋体" w:hAnsi="宋体"/>
          <w:b/>
          <w:color w:val="auto"/>
          <w:kern w:val="0"/>
          <w:sz w:val="32"/>
          <w:szCs w:val="32"/>
          <w:highlight w:val="none"/>
        </w:rPr>
      </w:pPr>
      <w:r>
        <w:rPr>
          <w:rFonts w:hint="eastAsia" w:ascii="宋体" w:hAnsi="宋体"/>
          <w:b/>
          <w:color w:val="auto"/>
          <w:kern w:val="0"/>
          <w:sz w:val="32"/>
          <w:szCs w:val="32"/>
          <w:highlight w:val="none"/>
        </w:rPr>
        <w:t>附件1：</w:t>
      </w:r>
    </w:p>
    <w:p>
      <w:pPr>
        <w:snapToGrid w:val="0"/>
        <w:ind w:firstLine="643"/>
        <w:jc w:val="center"/>
        <w:rPr>
          <w:rFonts w:ascii="宋体" w:hAnsi="宋体"/>
          <w:b/>
          <w:color w:val="auto"/>
          <w:kern w:val="0"/>
          <w:sz w:val="32"/>
          <w:szCs w:val="32"/>
          <w:highlight w:val="none"/>
        </w:rPr>
      </w:pPr>
      <w:r>
        <w:rPr>
          <w:rFonts w:hint="eastAsia" w:ascii="宋体" w:hAnsi="宋体"/>
          <w:b/>
          <w:color w:val="auto"/>
          <w:kern w:val="0"/>
          <w:sz w:val="32"/>
          <w:szCs w:val="32"/>
          <w:highlight w:val="none"/>
        </w:rPr>
        <w:t>具有良好商业信誉特别声明</w:t>
      </w:r>
    </w:p>
    <w:p>
      <w:pPr>
        <w:snapToGrid w:val="0"/>
        <w:ind w:firstLine="0" w:firstLineChars="0"/>
        <w:rPr>
          <w:rFonts w:ascii="宋体" w:hAnsi="宋体"/>
          <w:color w:val="auto"/>
          <w:highlight w:val="none"/>
        </w:rPr>
      </w:pPr>
      <w:r>
        <w:rPr>
          <w:rFonts w:hint="eastAsia" w:ascii="宋体" w:hAnsi="宋体"/>
          <w:color w:val="auto"/>
          <w:highlight w:val="none"/>
          <w:lang w:eastAsia="zh-CN"/>
        </w:rPr>
        <w:t>浙江机电职业技术学院</w:t>
      </w:r>
      <w:r>
        <w:rPr>
          <w:rFonts w:hint="eastAsia" w:ascii="宋体" w:hAnsi="宋体"/>
          <w:color w:val="auto"/>
          <w:highlight w:val="none"/>
        </w:rPr>
        <w:t>、浙江五石工程咨询有限公司：</w:t>
      </w:r>
    </w:p>
    <w:p>
      <w:pPr>
        <w:snapToGrid w:val="0"/>
        <w:ind w:firstLine="480"/>
        <w:rPr>
          <w:rFonts w:ascii="宋体" w:hAnsi="宋体"/>
          <w:color w:val="auto"/>
          <w:highlight w:val="none"/>
          <w:lang w:val="zh-CN"/>
        </w:rPr>
      </w:pPr>
      <w:r>
        <w:rPr>
          <w:rFonts w:hint="eastAsia" w:ascii="宋体" w:hAnsi="宋体"/>
          <w:color w:val="auto"/>
          <w:highlight w:val="none"/>
        </w:rPr>
        <w:t>截至投标截止时间，我方具有良好的商业信誉，不存在下列情形（包括但不限于）。否则，我方将承担在资格审查时不被通过的后果。</w:t>
      </w:r>
    </w:p>
    <w:p>
      <w:pPr>
        <w:snapToGrid w:val="0"/>
        <w:ind w:firstLine="480"/>
        <w:rPr>
          <w:rFonts w:ascii="宋体" w:hAnsi="宋体"/>
          <w:color w:val="auto"/>
          <w:highlight w:val="none"/>
        </w:rPr>
      </w:pPr>
      <w:r>
        <w:rPr>
          <w:rFonts w:hint="eastAsia" w:ascii="宋体" w:hAnsi="宋体"/>
          <w:color w:val="auto"/>
          <w:highlight w:val="none"/>
        </w:rPr>
        <w:t>1、按照招标文件规定的信用信息查询渠道及截止时间，经查询列入失信被执行人名单、重大税收违法案件当事人名单、政府采购严重违法失信行为记录名单；</w:t>
      </w:r>
    </w:p>
    <w:p>
      <w:pPr>
        <w:snapToGrid w:val="0"/>
        <w:ind w:firstLine="480"/>
        <w:rPr>
          <w:rFonts w:ascii="宋体" w:hAnsi="宋体"/>
          <w:color w:val="auto"/>
          <w:highlight w:val="none"/>
        </w:rPr>
      </w:pPr>
      <w:r>
        <w:rPr>
          <w:rFonts w:hint="eastAsia" w:ascii="宋体" w:hAnsi="宋体"/>
          <w:color w:val="auto"/>
          <w:highlight w:val="none"/>
        </w:rPr>
        <w:t xml:space="preserve">2、截至投标截止时间，因违反《浙江省政府采购供应商注册及诚信管理暂行办法》而被列入‘黑名单’，在处罚有效期内。 </w:t>
      </w:r>
    </w:p>
    <w:p>
      <w:pPr>
        <w:ind w:right="-934" w:rightChars="-389" w:firstLine="456"/>
        <w:rPr>
          <w:rFonts w:ascii="宋体" w:hAnsi="宋体"/>
          <w:color w:val="auto"/>
          <w:spacing w:val="-6"/>
          <w:highlight w:val="none"/>
        </w:rPr>
      </w:pPr>
    </w:p>
    <w:p>
      <w:pPr>
        <w:snapToGrid w:val="0"/>
        <w:ind w:firstLine="480"/>
        <w:rPr>
          <w:rFonts w:ascii="宋体" w:hAnsi="宋体"/>
          <w:color w:val="auto"/>
          <w:highlight w:val="none"/>
        </w:rPr>
      </w:pPr>
      <w:r>
        <w:rPr>
          <w:rFonts w:hint="eastAsia" w:ascii="宋体" w:hAnsi="宋体"/>
          <w:color w:val="auto"/>
          <w:highlight w:val="none"/>
          <w:lang w:val="zh-CN"/>
        </w:rPr>
        <w:t>投标人名称(公章)：</w:t>
      </w:r>
    </w:p>
    <w:p>
      <w:pPr>
        <w:snapToGrid w:val="0"/>
        <w:ind w:firstLine="480"/>
        <w:rPr>
          <w:rFonts w:ascii="宋体" w:hAnsi="宋体"/>
          <w:color w:val="auto"/>
          <w:highlight w:val="none"/>
        </w:rPr>
      </w:pPr>
      <w:r>
        <w:rPr>
          <w:rFonts w:hint="eastAsia" w:ascii="宋体" w:hAnsi="宋体"/>
          <w:color w:val="auto"/>
          <w:highlight w:val="none"/>
          <w:lang w:val="zh-CN"/>
        </w:rPr>
        <w:t>法定代表人或其授权代表(签字)：</w:t>
      </w:r>
    </w:p>
    <w:p>
      <w:pPr>
        <w:snapToGrid w:val="0"/>
        <w:ind w:firstLine="480"/>
        <w:rPr>
          <w:rFonts w:ascii="宋体" w:hAnsi="宋体"/>
          <w:color w:val="auto"/>
          <w:highlight w:val="none"/>
          <w:lang w:val="zh-CN"/>
        </w:rPr>
      </w:pPr>
      <w:r>
        <w:rPr>
          <w:rFonts w:hint="eastAsia" w:ascii="宋体" w:hAnsi="宋体"/>
          <w:color w:val="auto"/>
          <w:highlight w:val="none"/>
          <w:lang w:val="zh-CN"/>
        </w:rPr>
        <w:t>日期</w:t>
      </w:r>
      <w:r>
        <w:rPr>
          <w:rFonts w:hint="eastAsia" w:ascii="宋体" w:hAnsi="宋体"/>
          <w:color w:val="auto"/>
          <w:highlight w:val="none"/>
        </w:rPr>
        <w:t xml:space="preserve">：  年  </w:t>
      </w:r>
      <w:r>
        <w:rPr>
          <w:rFonts w:hint="eastAsia" w:ascii="宋体" w:hAnsi="宋体"/>
          <w:color w:val="auto"/>
          <w:highlight w:val="none"/>
          <w:lang w:val="zh-CN"/>
        </w:rPr>
        <w:t>月</w:t>
      </w:r>
      <w:r>
        <w:rPr>
          <w:rFonts w:hint="eastAsia" w:ascii="宋体" w:hAnsi="宋体"/>
          <w:color w:val="auto"/>
          <w:highlight w:val="none"/>
        </w:rPr>
        <w:t xml:space="preserve">   </w:t>
      </w:r>
      <w:r>
        <w:rPr>
          <w:rFonts w:hint="eastAsia" w:ascii="宋体" w:hAnsi="宋体"/>
          <w:color w:val="auto"/>
          <w:highlight w:val="none"/>
          <w:lang w:val="zh-CN"/>
        </w:rPr>
        <w:t>日</w:t>
      </w:r>
    </w:p>
    <w:p>
      <w:pPr>
        <w:pStyle w:val="2"/>
        <w:rPr>
          <w:rFonts w:ascii="仿宋" w:hAnsi="仿宋" w:eastAsia="仿宋" w:cs="仿宋_GB2312"/>
          <w:color w:val="auto"/>
          <w:sz w:val="36"/>
          <w:szCs w:val="36"/>
          <w:highlight w:val="none"/>
        </w:rPr>
      </w:pPr>
    </w:p>
    <w:p>
      <w:pPr>
        <w:snapToGrid w:val="0"/>
        <w:ind w:firstLine="0" w:firstLineChars="0"/>
        <w:rPr>
          <w:rFonts w:ascii="宋体" w:hAnsi="宋体"/>
          <w:b/>
          <w:color w:val="auto"/>
          <w:kern w:val="0"/>
          <w:sz w:val="32"/>
          <w:szCs w:val="32"/>
          <w:highlight w:val="none"/>
        </w:rPr>
      </w:pPr>
      <w:r>
        <w:rPr>
          <w:rFonts w:hint="eastAsia" w:ascii="宋体" w:hAnsi="宋体"/>
          <w:b/>
          <w:color w:val="auto"/>
          <w:kern w:val="0"/>
          <w:sz w:val="32"/>
          <w:szCs w:val="32"/>
          <w:highlight w:val="none"/>
        </w:rPr>
        <w:t>附件2：</w:t>
      </w:r>
    </w:p>
    <w:p>
      <w:pPr>
        <w:snapToGrid w:val="0"/>
        <w:ind w:right="480" w:firstLine="643"/>
        <w:jc w:val="center"/>
        <w:rPr>
          <w:rFonts w:ascii="宋体" w:hAnsi="宋体"/>
          <w:b/>
          <w:color w:val="auto"/>
          <w:kern w:val="0"/>
          <w:sz w:val="32"/>
          <w:szCs w:val="32"/>
          <w:highlight w:val="none"/>
        </w:rPr>
      </w:pPr>
      <w:r>
        <w:rPr>
          <w:rFonts w:hint="eastAsia" w:ascii="宋体" w:hAnsi="宋体"/>
          <w:b/>
          <w:color w:val="auto"/>
          <w:kern w:val="0"/>
          <w:sz w:val="32"/>
          <w:szCs w:val="32"/>
          <w:highlight w:val="none"/>
        </w:rPr>
        <w:t>具有履行合同所必需的设备和专业技术能力的承诺函</w:t>
      </w:r>
    </w:p>
    <w:p>
      <w:pPr>
        <w:snapToGrid w:val="0"/>
        <w:ind w:firstLine="0" w:firstLineChars="0"/>
        <w:rPr>
          <w:rFonts w:ascii="宋体" w:hAnsi="宋体"/>
          <w:color w:val="auto"/>
          <w:highlight w:val="none"/>
        </w:rPr>
      </w:pPr>
      <w:r>
        <w:rPr>
          <w:rFonts w:hint="eastAsia" w:ascii="宋体" w:hAnsi="宋体"/>
          <w:color w:val="auto"/>
          <w:highlight w:val="none"/>
          <w:lang w:eastAsia="zh-CN"/>
        </w:rPr>
        <w:t>浙江机电职业技术学院</w:t>
      </w:r>
      <w:r>
        <w:rPr>
          <w:rFonts w:hint="eastAsia" w:ascii="宋体" w:hAnsi="宋体"/>
          <w:color w:val="auto"/>
          <w:highlight w:val="none"/>
        </w:rPr>
        <w:t>、浙江五石工程咨询有限公司：</w:t>
      </w:r>
    </w:p>
    <w:p>
      <w:pPr>
        <w:ind w:firstLine="480"/>
        <w:rPr>
          <w:rFonts w:ascii="宋体" w:hAnsi="宋体"/>
          <w:color w:val="auto"/>
          <w:highlight w:val="none"/>
        </w:rPr>
      </w:pPr>
      <w:r>
        <w:rPr>
          <w:rFonts w:hint="eastAsia" w:ascii="宋体" w:hAnsi="宋体"/>
          <w:color w:val="auto"/>
          <w:highlight w:val="none"/>
        </w:rPr>
        <w:t>我方郑重承诺，我方具有履行</w:t>
      </w:r>
      <w:r>
        <w:rPr>
          <w:rFonts w:hint="eastAsia" w:ascii="宋体" w:hAnsi="宋体"/>
          <w:color w:val="auto"/>
          <w:highlight w:val="none"/>
          <w:u w:val="single"/>
        </w:rPr>
        <w:t>（项目名称：）（项目编号：）</w:t>
      </w:r>
      <w:r>
        <w:rPr>
          <w:rFonts w:hint="eastAsia" w:ascii="宋体" w:hAnsi="宋体"/>
          <w:color w:val="auto"/>
          <w:highlight w:val="none"/>
        </w:rPr>
        <w:t>合同所必需的设备和专业技术能力。如中标，我方将保证合同顺利履行。</w:t>
      </w:r>
    </w:p>
    <w:p>
      <w:pPr>
        <w:ind w:firstLine="480"/>
        <w:rPr>
          <w:rFonts w:ascii="宋体" w:hAnsi="宋体"/>
          <w:color w:val="auto"/>
          <w:highlight w:val="none"/>
          <w:lang w:val="zh-CN"/>
        </w:rPr>
      </w:pPr>
      <w:r>
        <w:rPr>
          <w:rFonts w:hint="eastAsia" w:ascii="宋体" w:hAnsi="宋体"/>
          <w:color w:val="auto"/>
          <w:highlight w:val="none"/>
          <w:lang w:val="zh-CN"/>
        </w:rPr>
        <w:t xml:space="preserve"> </w:t>
      </w:r>
    </w:p>
    <w:p>
      <w:pPr>
        <w:snapToGrid w:val="0"/>
        <w:ind w:firstLine="480"/>
        <w:rPr>
          <w:rFonts w:ascii="宋体" w:hAnsi="宋体"/>
          <w:color w:val="auto"/>
          <w:highlight w:val="none"/>
        </w:rPr>
      </w:pPr>
      <w:r>
        <w:rPr>
          <w:rFonts w:hint="eastAsia" w:ascii="宋体" w:hAnsi="宋体"/>
          <w:color w:val="auto"/>
          <w:highlight w:val="none"/>
          <w:lang w:val="zh-CN"/>
        </w:rPr>
        <w:t>投标人名称(公章)：</w:t>
      </w:r>
    </w:p>
    <w:p>
      <w:pPr>
        <w:snapToGrid w:val="0"/>
        <w:ind w:firstLine="480"/>
        <w:rPr>
          <w:rFonts w:ascii="宋体" w:hAnsi="宋体"/>
          <w:color w:val="auto"/>
          <w:highlight w:val="none"/>
        </w:rPr>
      </w:pPr>
      <w:r>
        <w:rPr>
          <w:rFonts w:hint="eastAsia" w:ascii="宋体" w:hAnsi="宋体"/>
          <w:color w:val="auto"/>
          <w:highlight w:val="none"/>
          <w:lang w:val="zh-CN"/>
        </w:rPr>
        <w:t>法定代表人或其授权代表(签字)：</w:t>
      </w:r>
    </w:p>
    <w:p>
      <w:pPr>
        <w:snapToGrid w:val="0"/>
        <w:ind w:firstLine="480"/>
        <w:rPr>
          <w:rFonts w:ascii="宋体" w:hAnsi="宋体"/>
          <w:b/>
          <w:color w:val="auto"/>
          <w:kern w:val="0"/>
          <w:sz w:val="32"/>
          <w:szCs w:val="32"/>
          <w:highlight w:val="none"/>
        </w:rPr>
      </w:pPr>
      <w:r>
        <w:rPr>
          <w:rFonts w:hint="eastAsia" w:ascii="宋体" w:hAnsi="宋体"/>
          <w:color w:val="auto"/>
          <w:highlight w:val="none"/>
          <w:lang w:val="zh-CN"/>
        </w:rPr>
        <w:t>日期</w:t>
      </w:r>
      <w:r>
        <w:rPr>
          <w:rFonts w:hint="eastAsia" w:ascii="宋体" w:hAnsi="宋体"/>
          <w:color w:val="auto"/>
          <w:highlight w:val="none"/>
        </w:rPr>
        <w:t xml:space="preserve">：  年  </w:t>
      </w:r>
      <w:r>
        <w:rPr>
          <w:rFonts w:hint="eastAsia" w:ascii="宋体" w:hAnsi="宋体"/>
          <w:color w:val="auto"/>
          <w:highlight w:val="none"/>
          <w:lang w:val="zh-CN"/>
        </w:rPr>
        <w:t>月</w:t>
      </w:r>
      <w:r>
        <w:rPr>
          <w:rFonts w:hint="eastAsia" w:ascii="宋体" w:hAnsi="宋体"/>
          <w:color w:val="auto"/>
          <w:highlight w:val="none"/>
        </w:rPr>
        <w:t xml:space="preserve">   </w:t>
      </w:r>
      <w:r>
        <w:rPr>
          <w:rFonts w:hint="eastAsia" w:ascii="宋体" w:hAnsi="宋体"/>
          <w:color w:val="auto"/>
          <w:highlight w:val="none"/>
          <w:lang w:val="zh-CN"/>
        </w:rPr>
        <w:t>日</w:t>
      </w:r>
    </w:p>
    <w:p>
      <w:pPr>
        <w:ind w:firstLine="480"/>
        <w:rPr>
          <w:color w:val="auto"/>
          <w:highlight w:val="none"/>
        </w:rPr>
      </w:pPr>
      <w:r>
        <w:rPr>
          <w:rFonts w:hint="eastAsia"/>
          <w:color w:val="auto"/>
          <w:highlight w:val="none"/>
        </w:rPr>
        <w:br w:type="page"/>
      </w:r>
    </w:p>
    <w:p>
      <w:pPr>
        <w:pStyle w:val="9"/>
        <w:rPr>
          <w:color w:val="auto"/>
          <w:highlight w:val="none"/>
        </w:rPr>
      </w:pPr>
    </w:p>
    <w:p>
      <w:pPr>
        <w:snapToGrid w:val="0"/>
        <w:ind w:firstLine="0" w:firstLineChars="0"/>
        <w:rPr>
          <w:rFonts w:ascii="宋体" w:hAnsi="宋体"/>
          <w:b/>
          <w:color w:val="auto"/>
          <w:kern w:val="0"/>
          <w:sz w:val="32"/>
          <w:szCs w:val="32"/>
          <w:highlight w:val="none"/>
        </w:rPr>
      </w:pPr>
      <w:r>
        <w:rPr>
          <w:rFonts w:hint="eastAsia" w:ascii="宋体" w:hAnsi="宋体"/>
          <w:b/>
          <w:color w:val="auto"/>
          <w:kern w:val="0"/>
          <w:sz w:val="32"/>
          <w:szCs w:val="32"/>
          <w:highlight w:val="none"/>
        </w:rPr>
        <w:t>附件3：</w:t>
      </w:r>
    </w:p>
    <w:p>
      <w:pPr>
        <w:pStyle w:val="36"/>
        <w:jc w:val="center"/>
        <w:rPr>
          <w:b/>
          <w:color w:val="auto"/>
          <w:sz w:val="32"/>
          <w:szCs w:val="32"/>
          <w:highlight w:val="none"/>
        </w:rPr>
      </w:pPr>
      <w:r>
        <w:rPr>
          <w:rFonts w:hint="eastAsia"/>
          <w:b/>
          <w:color w:val="auto"/>
          <w:sz w:val="32"/>
          <w:szCs w:val="32"/>
          <w:highlight w:val="none"/>
        </w:rPr>
        <w:t>没有重大违法记录承诺函</w:t>
      </w:r>
    </w:p>
    <w:p>
      <w:pPr>
        <w:snapToGrid w:val="0"/>
        <w:ind w:firstLine="0" w:firstLineChars="0"/>
        <w:rPr>
          <w:rFonts w:ascii="宋体" w:hAnsi="宋体"/>
          <w:color w:val="auto"/>
          <w:highlight w:val="none"/>
        </w:rPr>
      </w:pPr>
      <w:r>
        <w:rPr>
          <w:rFonts w:hint="eastAsia" w:ascii="宋体" w:hAnsi="宋体"/>
          <w:color w:val="auto"/>
          <w:highlight w:val="none"/>
          <w:lang w:eastAsia="zh-CN"/>
        </w:rPr>
        <w:t>浙江机电职业技术学院</w:t>
      </w:r>
      <w:r>
        <w:rPr>
          <w:rFonts w:hint="eastAsia" w:ascii="宋体" w:hAnsi="宋体"/>
          <w:color w:val="auto"/>
          <w:highlight w:val="none"/>
        </w:rPr>
        <w:t>、浙江五石工程咨询有限公司：</w:t>
      </w:r>
    </w:p>
    <w:p>
      <w:pPr>
        <w:snapToGrid w:val="0"/>
        <w:ind w:firstLine="480"/>
        <w:rPr>
          <w:rFonts w:ascii="宋体" w:hAnsi="宋体"/>
          <w:color w:val="auto"/>
          <w:highlight w:val="none"/>
          <w:lang w:val="zh-CN"/>
        </w:rPr>
      </w:pPr>
      <w:r>
        <w:rPr>
          <w:rFonts w:hint="eastAsia" w:ascii="宋体" w:hAnsi="宋体"/>
          <w:color w:val="auto"/>
          <w:highlight w:val="none"/>
          <w:lang w:val="zh-CN"/>
        </w:rPr>
        <w:t>我公司</w:t>
      </w:r>
      <w:r>
        <w:rPr>
          <w:rFonts w:hint="eastAsia" w:ascii="宋体" w:hAnsi="宋体"/>
          <w:color w:val="auto"/>
          <w:highlight w:val="none"/>
        </w:rPr>
        <w:t>声明截止投标时间近三年以来，在政府采购领域中，在项目招标、投标和合同履约期间无任何不良行为记录和违法、违规行为</w:t>
      </w:r>
      <w:r>
        <w:rPr>
          <w:rFonts w:hint="eastAsia" w:ascii="宋体" w:hAnsi="宋体"/>
          <w:color w:val="auto"/>
          <w:highlight w:val="none"/>
          <w:lang w:val="zh-CN"/>
        </w:rPr>
        <w:t>。</w:t>
      </w:r>
    </w:p>
    <w:p>
      <w:pPr>
        <w:snapToGrid w:val="0"/>
        <w:ind w:firstLine="480"/>
        <w:rPr>
          <w:rFonts w:ascii="宋体" w:hAnsi="宋体"/>
          <w:color w:val="auto"/>
          <w:highlight w:val="none"/>
          <w:lang w:val="zh-CN"/>
        </w:rPr>
      </w:pPr>
      <w:r>
        <w:rPr>
          <w:rFonts w:hint="eastAsia" w:ascii="宋体" w:hAnsi="宋体"/>
          <w:color w:val="auto"/>
          <w:highlight w:val="none"/>
          <w:lang w:val="zh-CN"/>
        </w:rPr>
        <w:t>我公司自愿参加（</w:t>
      </w:r>
      <w:r>
        <w:rPr>
          <w:rFonts w:hint="eastAsia" w:ascii="宋体" w:hAnsi="宋体"/>
          <w:color w:val="auto"/>
          <w:highlight w:val="none"/>
        </w:rPr>
        <w:t>项目名称）（项目编号）</w:t>
      </w:r>
      <w:r>
        <w:rPr>
          <w:rFonts w:hint="eastAsia" w:ascii="宋体" w:hAnsi="宋体"/>
          <w:color w:val="auto"/>
          <w:highlight w:val="none"/>
          <w:lang w:val="zh-CN"/>
        </w:rPr>
        <w:t>的投标，并保证投标文件中所列举的投标报价文件及相关资料和公司基本情况资料是真实的、合法的。</w:t>
      </w:r>
    </w:p>
    <w:p>
      <w:pPr>
        <w:snapToGrid w:val="0"/>
        <w:ind w:firstLine="480"/>
        <w:rPr>
          <w:rFonts w:ascii="宋体" w:hAnsi="宋体"/>
          <w:color w:val="auto"/>
          <w:highlight w:val="none"/>
          <w:lang w:val="zh-CN"/>
        </w:rPr>
      </w:pPr>
      <w:r>
        <w:rPr>
          <w:rFonts w:hint="eastAsia" w:ascii="宋体" w:hAnsi="宋体"/>
          <w:color w:val="auto"/>
          <w:highlight w:val="none"/>
          <w:lang w:val="zh-CN"/>
        </w:rPr>
        <w:t>我公司已详细阅读全部“招标文件”，包括修改文件（如果有）以及全部招标资料和相关附件，并已了解我公司在招投标过程中的权利和义务。</w:t>
      </w:r>
    </w:p>
    <w:p>
      <w:pPr>
        <w:snapToGrid w:val="0"/>
        <w:ind w:firstLine="480"/>
        <w:rPr>
          <w:rFonts w:ascii="宋体" w:hAnsi="宋体"/>
          <w:color w:val="auto"/>
          <w:highlight w:val="none"/>
        </w:rPr>
      </w:pPr>
      <w:r>
        <w:rPr>
          <w:rFonts w:hint="eastAsia" w:ascii="宋体" w:hAnsi="宋体"/>
          <w:color w:val="auto"/>
          <w:highlight w:val="none"/>
          <w:lang w:val="zh-CN"/>
        </w:rPr>
        <w:t>我公司理解并接受招标文件的各项规定和要求，同意此次招标文件中的各项内容，</w:t>
      </w:r>
      <w:r>
        <w:rPr>
          <w:rFonts w:hint="eastAsia" w:ascii="宋体" w:hAnsi="宋体"/>
          <w:color w:val="auto"/>
          <w:highlight w:val="none"/>
        </w:rPr>
        <w:t>并</w:t>
      </w:r>
      <w:r>
        <w:rPr>
          <w:rFonts w:hint="eastAsia" w:ascii="宋体" w:hAnsi="宋体"/>
          <w:color w:val="auto"/>
          <w:highlight w:val="none"/>
          <w:lang w:val="zh-CN"/>
        </w:rPr>
        <w:t>同意提供按照贵方可能要求的与投标有关的一切数据或资料等。</w:t>
      </w:r>
    </w:p>
    <w:p>
      <w:pPr>
        <w:snapToGrid w:val="0"/>
        <w:ind w:firstLine="480"/>
        <w:rPr>
          <w:rFonts w:ascii="宋体" w:hAnsi="宋体"/>
          <w:color w:val="auto"/>
          <w:highlight w:val="none"/>
          <w:lang w:val="zh-CN"/>
        </w:rPr>
      </w:pPr>
      <w:r>
        <w:rPr>
          <w:rFonts w:hint="eastAsia" w:ascii="宋体" w:hAnsi="宋体"/>
          <w:color w:val="auto"/>
          <w:highlight w:val="none"/>
          <w:lang w:val="zh-CN"/>
        </w:rPr>
        <w:t>本公司如中标，保证按照投标文件的承诺与贵方签订合同，保证履行合同条款并缴纳履约保证金。</w:t>
      </w:r>
    </w:p>
    <w:p>
      <w:pPr>
        <w:snapToGrid w:val="0"/>
        <w:ind w:firstLine="480"/>
        <w:rPr>
          <w:rFonts w:ascii="宋体" w:hAnsi="宋体"/>
          <w:color w:val="auto"/>
          <w:highlight w:val="none"/>
        </w:rPr>
      </w:pPr>
    </w:p>
    <w:p>
      <w:pPr>
        <w:snapToGrid w:val="0"/>
        <w:ind w:firstLine="480"/>
        <w:rPr>
          <w:rFonts w:ascii="宋体" w:hAnsi="宋体"/>
          <w:color w:val="auto"/>
          <w:highlight w:val="none"/>
        </w:rPr>
      </w:pPr>
      <w:r>
        <w:rPr>
          <w:rFonts w:hint="eastAsia" w:ascii="宋体" w:hAnsi="宋体"/>
          <w:color w:val="auto"/>
          <w:highlight w:val="none"/>
          <w:lang w:val="zh-CN"/>
        </w:rPr>
        <w:t>投标人名称(公章)：</w:t>
      </w:r>
    </w:p>
    <w:p>
      <w:pPr>
        <w:snapToGrid w:val="0"/>
        <w:ind w:firstLine="480"/>
        <w:rPr>
          <w:rFonts w:ascii="宋体" w:hAnsi="宋体"/>
          <w:color w:val="auto"/>
          <w:highlight w:val="none"/>
        </w:rPr>
      </w:pPr>
      <w:r>
        <w:rPr>
          <w:rFonts w:hint="eastAsia" w:ascii="宋体" w:hAnsi="宋体"/>
          <w:color w:val="auto"/>
          <w:highlight w:val="none"/>
          <w:lang w:val="zh-CN"/>
        </w:rPr>
        <w:t>法定代表人或其授权代表(签字)：</w:t>
      </w:r>
    </w:p>
    <w:p>
      <w:pPr>
        <w:snapToGrid w:val="0"/>
        <w:ind w:firstLine="480"/>
        <w:rPr>
          <w:rFonts w:ascii="宋体" w:hAnsi="宋体"/>
          <w:color w:val="auto"/>
          <w:highlight w:val="none"/>
          <w:lang w:val="zh-CN"/>
        </w:rPr>
      </w:pPr>
      <w:r>
        <w:rPr>
          <w:rFonts w:hint="eastAsia" w:ascii="宋体" w:hAnsi="宋体"/>
          <w:color w:val="auto"/>
          <w:highlight w:val="none"/>
          <w:lang w:val="zh-CN"/>
        </w:rPr>
        <w:t>日期</w:t>
      </w:r>
      <w:r>
        <w:rPr>
          <w:rFonts w:hint="eastAsia" w:ascii="宋体" w:hAnsi="宋体"/>
          <w:color w:val="auto"/>
          <w:highlight w:val="none"/>
        </w:rPr>
        <w:t xml:space="preserve">：  年  </w:t>
      </w:r>
      <w:r>
        <w:rPr>
          <w:rFonts w:hint="eastAsia" w:ascii="宋体" w:hAnsi="宋体"/>
          <w:color w:val="auto"/>
          <w:highlight w:val="none"/>
          <w:lang w:val="zh-CN"/>
        </w:rPr>
        <w:t>月</w:t>
      </w:r>
      <w:r>
        <w:rPr>
          <w:rFonts w:hint="eastAsia" w:ascii="宋体" w:hAnsi="宋体"/>
          <w:color w:val="auto"/>
          <w:highlight w:val="none"/>
        </w:rPr>
        <w:t xml:space="preserve">   </w:t>
      </w:r>
      <w:r>
        <w:rPr>
          <w:rFonts w:hint="eastAsia" w:ascii="宋体" w:hAnsi="宋体"/>
          <w:color w:val="auto"/>
          <w:highlight w:val="none"/>
          <w:lang w:val="zh-CN"/>
        </w:rPr>
        <w:t>日</w:t>
      </w: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color w:val="auto"/>
          <w:highlight w:val="none"/>
        </w:rPr>
      </w:pPr>
      <w:r>
        <w:rPr>
          <w:rFonts w:hAnsi="宋体" w:cs="宋体"/>
          <w:color w:val="auto"/>
          <w:szCs w:val="40"/>
          <w:highlight w:val="none"/>
        </w:rPr>
        <mc:AlternateContent>
          <mc:Choice Requires="wps">
            <w:drawing>
              <wp:anchor distT="0" distB="0" distL="114300" distR="114300" simplePos="0" relativeHeight="251657216"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1" name="文本框 7"/>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7" o:spid="_x0000_s1026" o:spt="202" type="#_x0000_t202" style="position:absolute;left:0pt;margin-left:362.9pt;margin-top:-4pt;height:31.65pt;width:106pt;z-index:251657216;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177LDZAAAACQEAAA8AAAAAAAAAAQAgAAAAIgAAAGRycy9kb3ducmV2LnhtbFBLAQIUABQA&#10;AAAIAIdO4kAc5Lqd7wEAAOgDAAAOAAAAAAAAAAEAIAAAACgBAABkcnMvZTJvRG9jLnhtbFBLBQYA&#10;AAAABgAGAFkBAACJBQ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color w:val="auto"/>
          <w:szCs w:val="40"/>
          <w:highlight w:val="none"/>
        </w:rPr>
        <w:t>报价</w:t>
      </w:r>
      <w:r>
        <w:rPr>
          <w:rFonts w:hint="eastAsia" w:ascii="宋体" w:hAnsi="宋体" w:cs="宋体"/>
          <w:color w:val="auto"/>
          <w:highlight w:val="none"/>
        </w:rPr>
        <w:t>文件封面</w:t>
      </w:r>
    </w:p>
    <w:p>
      <w:pPr>
        <w:ind w:firstLine="1124"/>
        <w:jc w:val="center"/>
        <w:rPr>
          <w:rFonts w:ascii="宋体" w:hAnsi="宋体" w:cs="宋体"/>
          <w:color w:val="auto"/>
          <w:sz w:val="40"/>
          <w:szCs w:val="40"/>
          <w:highlight w:val="none"/>
        </w:rPr>
      </w:pPr>
      <w:r>
        <w:rPr>
          <w:rFonts w:hint="eastAsia" w:ascii="宋体" w:hAnsi="宋体" w:cs="宋体"/>
          <w:b/>
          <w:bCs/>
          <w:color w:val="auto"/>
          <w:sz w:val="56"/>
          <w:szCs w:val="56"/>
          <w:highlight w:val="none"/>
        </w:rPr>
        <w:t xml:space="preserve"> </w:t>
      </w:r>
    </w:p>
    <w:p>
      <w:pPr>
        <w:ind w:firstLine="880"/>
        <w:rPr>
          <w:rFonts w:ascii="宋体" w:hAnsi="宋体" w:cs="宋体"/>
          <w:color w:val="auto"/>
          <w:sz w:val="44"/>
          <w:szCs w:val="32"/>
          <w:highlight w:val="none"/>
        </w:rPr>
      </w:pPr>
    </w:p>
    <w:p>
      <w:pPr>
        <w:ind w:firstLine="602"/>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报价文件</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采 购 人：</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项目名称：</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项目编号：</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投标人名称（盖章）：</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投标人地址：</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授权代表签字：</w:t>
      </w:r>
    </w:p>
    <w:p>
      <w:pPr>
        <w:ind w:firstLine="600"/>
        <w:rPr>
          <w:rFonts w:ascii="宋体" w:hAnsi="宋体" w:cs="宋体"/>
          <w:color w:val="auto"/>
          <w:sz w:val="30"/>
          <w:szCs w:val="30"/>
          <w:highlight w:val="none"/>
        </w:rPr>
        <w:sectPr>
          <w:pgSz w:w="11907" w:h="16840"/>
          <w:pgMar w:top="1247" w:right="1304" w:bottom="1021" w:left="1304" w:header="720" w:footer="720" w:gutter="0"/>
          <w:cols w:space="720" w:num="1"/>
          <w:docGrid w:linePitch="286" w:charSpace="0"/>
        </w:sectPr>
      </w:pPr>
      <w:r>
        <w:rPr>
          <w:rFonts w:hint="eastAsia" w:ascii="宋体" w:hAnsi="宋体" w:cs="宋体"/>
          <w:color w:val="auto"/>
          <w:sz w:val="30"/>
          <w:szCs w:val="30"/>
          <w:highlight w:val="none"/>
        </w:rPr>
        <w:t>日期：    年  月  日</w:t>
      </w:r>
    </w:p>
    <w:p>
      <w:pPr>
        <w:ind w:firstLine="723"/>
        <w:jc w:val="center"/>
        <w:outlineLvl w:val="0"/>
        <w:rPr>
          <w:rFonts w:ascii="宋体" w:hAnsi="宋体" w:cs="宋体"/>
          <w:b/>
          <w:color w:val="auto"/>
          <w:kern w:val="0"/>
          <w:sz w:val="36"/>
          <w:highlight w:val="none"/>
        </w:rPr>
      </w:pPr>
      <w:bookmarkStart w:id="94" w:name="_Toc6136"/>
      <w:r>
        <w:rPr>
          <w:rFonts w:hint="eastAsia" w:ascii="宋体" w:hAnsi="宋体" w:cs="宋体"/>
          <w:b/>
          <w:color w:val="auto"/>
          <w:kern w:val="0"/>
          <w:sz w:val="36"/>
          <w:highlight w:val="none"/>
        </w:rPr>
        <w:t>报价文件目录</w:t>
      </w:r>
      <w:bookmarkEnd w:id="94"/>
    </w:p>
    <w:p>
      <w:pPr>
        <w:ind w:firstLine="480"/>
        <w:outlineLvl w:val="0"/>
        <w:rPr>
          <w:rFonts w:ascii="宋体" w:hAnsi="宋体" w:cs="宋体"/>
          <w:color w:val="auto"/>
          <w:kern w:val="0"/>
          <w:highlight w:val="none"/>
        </w:rPr>
      </w:pPr>
      <w:bookmarkStart w:id="95" w:name="_Toc16666"/>
      <w:r>
        <w:rPr>
          <w:rFonts w:hint="eastAsia" w:ascii="宋体" w:hAnsi="宋体" w:cs="宋体"/>
          <w:color w:val="auto"/>
          <w:kern w:val="0"/>
          <w:highlight w:val="none"/>
        </w:rPr>
        <w:t>（1）投标响应函………………………………………………………………（页码）</w:t>
      </w:r>
      <w:bookmarkEnd w:id="95"/>
    </w:p>
    <w:p>
      <w:pPr>
        <w:ind w:firstLine="480"/>
        <w:outlineLvl w:val="0"/>
        <w:rPr>
          <w:rFonts w:ascii="宋体" w:hAnsi="宋体" w:cs="宋体"/>
          <w:color w:val="auto"/>
          <w:kern w:val="0"/>
          <w:highlight w:val="none"/>
        </w:rPr>
      </w:pPr>
      <w:bookmarkStart w:id="96" w:name="_Toc9814"/>
      <w:r>
        <w:rPr>
          <w:rFonts w:hint="eastAsia" w:ascii="宋体" w:hAnsi="宋体" w:cs="宋体"/>
          <w:color w:val="auto"/>
          <w:kern w:val="0"/>
          <w:highlight w:val="none"/>
        </w:rPr>
        <w:t>（2）开标一览表………………………………………………………………（页码）</w:t>
      </w:r>
      <w:bookmarkEnd w:id="96"/>
    </w:p>
    <w:p>
      <w:pPr>
        <w:ind w:firstLine="480"/>
        <w:outlineLvl w:val="0"/>
        <w:rPr>
          <w:rFonts w:ascii="宋体" w:hAnsi="宋体" w:cs="宋体"/>
          <w:color w:val="auto"/>
          <w:kern w:val="0"/>
          <w:highlight w:val="none"/>
        </w:rPr>
      </w:pPr>
      <w:bookmarkStart w:id="97" w:name="_Toc10349"/>
      <w:r>
        <w:rPr>
          <w:rFonts w:hint="eastAsia" w:ascii="宋体" w:hAnsi="宋体" w:cs="宋体"/>
          <w:color w:val="auto"/>
          <w:kern w:val="0"/>
          <w:highlight w:val="none"/>
        </w:rPr>
        <w:t>（3）投标报价明细表…………………………………………………………（页码）</w:t>
      </w:r>
      <w:bookmarkEnd w:id="97"/>
    </w:p>
    <w:p>
      <w:pPr>
        <w:ind w:firstLine="480"/>
        <w:outlineLvl w:val="0"/>
        <w:rPr>
          <w:rFonts w:ascii="宋体" w:hAnsi="宋体" w:cs="宋体"/>
          <w:color w:val="auto"/>
          <w:highlight w:val="none"/>
        </w:rPr>
      </w:pPr>
      <w:bookmarkStart w:id="98" w:name="_Toc20916"/>
      <w:r>
        <w:rPr>
          <w:rFonts w:hint="eastAsia" w:ascii="宋体" w:hAnsi="宋体" w:cs="宋体"/>
          <w:color w:val="auto"/>
          <w:highlight w:val="none"/>
        </w:rPr>
        <w:t>（4）《中小企业声明函》、（中、小微企业资格证明材料）、监狱企业资格证明材料、《残疾人福利性单位声明函》（如果有）………………</w:t>
      </w:r>
      <w:r>
        <w:rPr>
          <w:rFonts w:hint="eastAsia" w:ascii="宋体" w:hAnsi="宋体" w:cs="宋体"/>
          <w:color w:val="auto"/>
          <w:kern w:val="0"/>
          <w:highlight w:val="none"/>
        </w:rPr>
        <w:t>…</w:t>
      </w:r>
      <w:r>
        <w:rPr>
          <w:rFonts w:hint="eastAsia" w:ascii="宋体" w:hAnsi="宋体" w:cs="宋体"/>
          <w:color w:val="auto"/>
          <w:highlight w:val="none"/>
        </w:rPr>
        <w:t>…………………（页码）</w:t>
      </w:r>
      <w:bookmarkEnd w:id="98"/>
    </w:p>
    <w:p>
      <w:pPr>
        <w:pStyle w:val="6"/>
        <w:rPr>
          <w:rFonts w:ascii="宋体" w:hAnsi="宋体" w:cs="宋体"/>
          <w:color w:val="auto"/>
          <w:highlight w:val="none"/>
        </w:rPr>
        <w:sectPr>
          <w:headerReference r:id="rId19" w:type="default"/>
          <w:footerReference r:id="rId20" w:type="default"/>
          <w:pgSz w:w="11907" w:h="16840"/>
          <w:pgMar w:top="1247" w:right="1304" w:bottom="1021" w:left="1304" w:header="720" w:footer="720" w:gutter="0"/>
          <w:cols w:space="720" w:num="1"/>
          <w:docGrid w:linePitch="286" w:charSpace="0"/>
        </w:sectPr>
      </w:pPr>
    </w:p>
    <w:p>
      <w:pPr>
        <w:pStyle w:val="6"/>
        <w:rPr>
          <w:rFonts w:ascii="仿宋_GB2312" w:eastAsia="仿宋_GB2312"/>
          <w:color w:val="auto"/>
          <w:sz w:val="32"/>
          <w:highlight w:val="none"/>
        </w:rPr>
      </w:pPr>
      <w:r>
        <w:rPr>
          <w:rFonts w:hint="eastAsia" w:ascii="宋体" w:hAnsi="宋体" w:cs="宋体"/>
          <w:color w:val="auto"/>
          <w:highlight w:val="none"/>
        </w:rPr>
        <w:t xml:space="preserve">附件一 投标响应函   </w:t>
      </w:r>
    </w:p>
    <w:p>
      <w:pPr>
        <w:snapToGrid w:val="0"/>
        <w:ind w:firstLine="643"/>
        <w:jc w:val="center"/>
        <w:rPr>
          <w:rFonts w:ascii="仿宋_GB2312" w:hAnsi="仿宋_GB2312" w:eastAsia="仿宋_GB2312" w:cs="仿宋_GB2312"/>
          <w:color w:val="auto"/>
          <w:highlight w:val="none"/>
        </w:rPr>
      </w:pPr>
      <w:r>
        <w:rPr>
          <w:rFonts w:hint="eastAsia" w:ascii="仿宋_GB2312" w:hAnsi="宋体" w:eastAsia="仿宋_GB2312"/>
          <w:b/>
          <w:color w:val="auto"/>
          <w:kern w:val="0"/>
          <w:sz w:val="32"/>
          <w:highlight w:val="none"/>
        </w:rPr>
        <w:t>投标响应</w:t>
      </w:r>
      <w:r>
        <w:rPr>
          <w:rFonts w:hint="eastAsia" w:ascii="仿宋_GB2312" w:hAnsi="宋体" w:eastAsia="仿宋_GB2312"/>
          <w:b/>
          <w:color w:val="auto"/>
          <w:sz w:val="32"/>
          <w:highlight w:val="none"/>
        </w:rPr>
        <w:t>函</w:t>
      </w:r>
    </w:p>
    <w:p>
      <w:pPr>
        <w:ind w:firstLine="0" w:firstLineChars="0"/>
        <w:rPr>
          <w:rFonts w:ascii="宋体" w:hAnsi="宋体" w:cs="宋体"/>
          <w:color w:val="auto"/>
          <w:highlight w:val="none"/>
        </w:rPr>
      </w:pPr>
      <w:r>
        <w:rPr>
          <w:rFonts w:hint="eastAsia" w:ascii="宋体" w:hAnsi="宋体" w:cs="宋体"/>
          <w:color w:val="auto"/>
          <w:highlight w:val="none"/>
        </w:rPr>
        <w:t>致：</w:t>
      </w:r>
      <w:r>
        <w:rPr>
          <w:rFonts w:hint="eastAsia" w:ascii="宋体" w:hAnsi="宋体" w:cs="宋体"/>
          <w:bCs/>
          <w:color w:val="auto"/>
          <w:spacing w:val="-6"/>
          <w:highlight w:val="none"/>
          <w:lang w:eastAsia="zh-CN"/>
        </w:rPr>
        <w:t>浙江机电职业技术学院</w:t>
      </w:r>
      <w:r>
        <w:rPr>
          <w:rFonts w:hint="eastAsia" w:ascii="宋体" w:hAnsi="宋体" w:cs="宋体"/>
          <w:bCs/>
          <w:color w:val="auto"/>
          <w:spacing w:val="-6"/>
          <w:highlight w:val="none"/>
        </w:rPr>
        <w:t>、浙江五石工程咨询有限公司</w:t>
      </w:r>
      <w:r>
        <w:rPr>
          <w:rFonts w:hint="eastAsia" w:ascii="宋体" w:hAnsi="宋体" w:cs="宋体"/>
          <w:color w:val="auto"/>
          <w:spacing w:val="-6"/>
          <w:highlight w:val="none"/>
        </w:rPr>
        <w:t>：</w:t>
      </w:r>
      <w:r>
        <w:rPr>
          <w:rFonts w:hint="eastAsia" w:ascii="宋体" w:hAnsi="宋体" w:cs="宋体"/>
          <w:color w:val="auto"/>
          <w:highlight w:val="none"/>
        </w:rPr>
        <w:t xml:space="preserve"> </w:t>
      </w:r>
    </w:p>
    <w:p>
      <w:pPr>
        <w:snapToGrid w:val="0"/>
        <w:ind w:firstLine="480"/>
        <w:rPr>
          <w:rFonts w:ascii="宋体" w:hAnsi="宋体" w:cs="宋体"/>
          <w:color w:val="auto"/>
          <w:highlight w:val="none"/>
        </w:rPr>
      </w:pPr>
      <w:r>
        <w:rPr>
          <w:rFonts w:hint="eastAsia" w:ascii="宋体" w:hAnsi="宋体" w:cs="宋体"/>
          <w:color w:val="auto"/>
          <w:kern w:val="0"/>
          <w:highlight w:val="none"/>
          <w:u w:val="single"/>
          <w:lang w:val="zh-CN"/>
        </w:rPr>
        <w:t xml:space="preserve">                         </w:t>
      </w:r>
      <w:r>
        <w:rPr>
          <w:rFonts w:hint="eastAsia" w:ascii="宋体" w:hAnsi="宋体" w:cs="宋体"/>
          <w:color w:val="auto"/>
          <w:highlight w:val="none"/>
        </w:rPr>
        <w:t>(投标人全称)授权</w:t>
      </w:r>
      <w:r>
        <w:rPr>
          <w:rFonts w:hint="eastAsia" w:ascii="宋体" w:hAnsi="宋体" w:cs="宋体"/>
          <w:color w:val="auto"/>
          <w:kern w:val="0"/>
          <w:highlight w:val="none"/>
          <w:u w:val="single"/>
          <w:lang w:val="zh-CN"/>
        </w:rPr>
        <w:t xml:space="preserve">                    </w:t>
      </w:r>
      <w:r>
        <w:rPr>
          <w:rFonts w:hint="eastAsia" w:ascii="宋体" w:hAnsi="宋体" w:cs="宋体"/>
          <w:color w:val="auto"/>
          <w:highlight w:val="none"/>
        </w:rPr>
        <w:t>(全权代表姓名)</w:t>
      </w:r>
      <w:r>
        <w:rPr>
          <w:rFonts w:hint="eastAsia" w:ascii="宋体" w:hAnsi="宋体" w:cs="宋体"/>
          <w:color w:val="auto"/>
          <w:kern w:val="0"/>
          <w:highlight w:val="none"/>
          <w:u w:val="single"/>
          <w:lang w:val="zh-CN"/>
        </w:rPr>
        <w:t xml:space="preserve">              </w:t>
      </w:r>
      <w:r>
        <w:rPr>
          <w:rFonts w:hint="eastAsia" w:ascii="宋体" w:hAnsi="宋体" w:cs="宋体"/>
          <w:color w:val="auto"/>
          <w:highlight w:val="none"/>
        </w:rPr>
        <w:t>(职务、职称)为全权代表，参加贵方组织的</w:t>
      </w:r>
      <w:r>
        <w:rPr>
          <w:rFonts w:hint="eastAsia" w:ascii="宋体" w:hAnsi="宋体" w:cs="宋体"/>
          <w:color w:val="auto"/>
          <w:highlight w:val="none"/>
          <w:u w:val="single"/>
        </w:rPr>
        <w:t>（项目名称）（项目编号）</w:t>
      </w:r>
      <w:r>
        <w:rPr>
          <w:rFonts w:hint="eastAsia" w:ascii="宋体" w:hAnsi="宋体" w:cs="宋体"/>
          <w:color w:val="auto"/>
          <w:highlight w:val="none"/>
        </w:rPr>
        <w:t>招标的有关活动，并对此项目进行投标。为此：</w:t>
      </w:r>
    </w:p>
    <w:p>
      <w:pPr>
        <w:snapToGrid w:val="0"/>
        <w:ind w:firstLine="480"/>
        <w:rPr>
          <w:rFonts w:ascii="宋体" w:hAnsi="宋体" w:cs="宋体"/>
          <w:color w:val="auto"/>
          <w:highlight w:val="none"/>
        </w:rPr>
      </w:pPr>
      <w:r>
        <w:rPr>
          <w:rFonts w:hint="eastAsia" w:ascii="宋体" w:hAnsi="宋体" w:cs="宋体"/>
          <w:color w:val="auto"/>
          <w:highlight w:val="none"/>
        </w:rPr>
        <w:t>1、我方同意在投标人</w:t>
      </w:r>
      <w:r>
        <w:rPr>
          <w:rFonts w:hint="eastAsia" w:ascii="宋体" w:hAnsi="宋体" w:cs="宋体"/>
          <w:color w:val="auto"/>
          <w:kern w:val="44"/>
          <w:highlight w:val="none"/>
        </w:rPr>
        <w:t>编制和提交采购响应文件须知</w:t>
      </w:r>
      <w:r>
        <w:rPr>
          <w:rFonts w:hint="eastAsia" w:ascii="宋体" w:hAnsi="宋体" w:cs="宋体"/>
          <w:color w:val="auto"/>
          <w:highlight w:val="none"/>
        </w:rPr>
        <w:t>规定的开标日期起遵守本投标文件中的承诺且在投标有效期满之前均具有约束力。</w:t>
      </w:r>
    </w:p>
    <w:p>
      <w:pPr>
        <w:snapToGrid w:val="0"/>
        <w:ind w:firstLine="480"/>
        <w:rPr>
          <w:rFonts w:ascii="宋体" w:hAnsi="宋体" w:cs="宋体"/>
          <w:color w:val="auto"/>
          <w:highlight w:val="none"/>
        </w:rPr>
      </w:pPr>
      <w:r>
        <w:rPr>
          <w:rFonts w:hint="eastAsia" w:ascii="宋体" w:hAnsi="宋体" w:cs="宋体"/>
          <w:color w:val="auto"/>
          <w:highlight w:val="none"/>
        </w:rPr>
        <w:t>2、我方承诺已经具备《中华人民共和国政府采购法》中规定的参加政府采购活动的供应商应当具备的条件：</w:t>
      </w:r>
    </w:p>
    <w:p>
      <w:pPr>
        <w:snapToGrid w:val="0"/>
        <w:ind w:firstLine="480"/>
        <w:rPr>
          <w:rFonts w:ascii="宋体" w:hAnsi="宋体" w:cs="宋体"/>
          <w:color w:val="auto"/>
          <w:highlight w:val="none"/>
        </w:rPr>
      </w:pPr>
      <w:r>
        <w:rPr>
          <w:rFonts w:hint="eastAsia" w:ascii="宋体" w:hAnsi="宋体" w:cs="宋体"/>
          <w:color w:val="auto"/>
          <w:highlight w:val="none"/>
        </w:rPr>
        <w:t>(1)具有独立承担民事责任的能力；</w:t>
      </w:r>
    </w:p>
    <w:p>
      <w:pPr>
        <w:snapToGrid w:val="0"/>
        <w:ind w:firstLine="480"/>
        <w:rPr>
          <w:rFonts w:ascii="宋体" w:hAnsi="宋体" w:cs="宋体"/>
          <w:color w:val="auto"/>
          <w:highlight w:val="none"/>
        </w:rPr>
      </w:pPr>
      <w:r>
        <w:rPr>
          <w:rFonts w:hint="eastAsia" w:ascii="宋体" w:hAnsi="宋体" w:cs="宋体"/>
          <w:color w:val="auto"/>
          <w:highlight w:val="none"/>
        </w:rPr>
        <w:t>(2)遵守国家法律、行政法规，具有良好的信誉和商业道德；</w:t>
      </w:r>
    </w:p>
    <w:p>
      <w:pPr>
        <w:snapToGrid w:val="0"/>
        <w:ind w:firstLine="480"/>
        <w:rPr>
          <w:rFonts w:ascii="宋体" w:hAnsi="宋体" w:cs="宋体"/>
          <w:color w:val="auto"/>
          <w:highlight w:val="none"/>
        </w:rPr>
      </w:pPr>
      <w:r>
        <w:rPr>
          <w:rFonts w:hint="eastAsia" w:ascii="宋体" w:hAnsi="宋体" w:cs="宋体"/>
          <w:color w:val="auto"/>
          <w:highlight w:val="none"/>
        </w:rPr>
        <w:t>(3)具有履行合同的能力和良好的履行合同记录；</w:t>
      </w:r>
    </w:p>
    <w:p>
      <w:pPr>
        <w:snapToGrid w:val="0"/>
        <w:ind w:firstLine="480"/>
        <w:rPr>
          <w:rFonts w:ascii="宋体" w:hAnsi="宋体" w:cs="宋体"/>
          <w:color w:val="auto"/>
          <w:highlight w:val="none"/>
        </w:rPr>
      </w:pPr>
      <w:r>
        <w:rPr>
          <w:rFonts w:hint="eastAsia" w:ascii="宋体" w:hAnsi="宋体" w:cs="宋体"/>
          <w:color w:val="auto"/>
          <w:highlight w:val="none"/>
        </w:rPr>
        <w:t>(4)良好的资金、财务状况；</w:t>
      </w:r>
    </w:p>
    <w:p>
      <w:pPr>
        <w:snapToGrid w:val="0"/>
        <w:ind w:firstLine="480"/>
        <w:rPr>
          <w:rFonts w:ascii="宋体" w:hAnsi="宋体" w:cs="宋体"/>
          <w:color w:val="auto"/>
          <w:highlight w:val="none"/>
        </w:rPr>
      </w:pPr>
      <w:r>
        <w:rPr>
          <w:rFonts w:hint="eastAsia" w:ascii="宋体" w:hAnsi="宋体" w:cs="宋体"/>
          <w:color w:val="auto"/>
          <w:highlight w:val="none"/>
        </w:rPr>
        <w:t>(5)产品及生产所需装备符合中国政府规定的相应技术标准和环保标准；</w:t>
      </w:r>
    </w:p>
    <w:p>
      <w:pPr>
        <w:snapToGrid w:val="0"/>
        <w:ind w:firstLine="480"/>
        <w:rPr>
          <w:rFonts w:ascii="宋体" w:hAnsi="宋体" w:cs="宋体"/>
          <w:color w:val="auto"/>
          <w:highlight w:val="none"/>
        </w:rPr>
      </w:pPr>
      <w:r>
        <w:rPr>
          <w:rFonts w:hint="eastAsia" w:ascii="宋体" w:hAnsi="宋体" w:cs="宋体"/>
          <w:color w:val="auto"/>
          <w:highlight w:val="none"/>
        </w:rPr>
        <w:t>(6)没有违反政府采购法规、政策的记录；</w:t>
      </w:r>
    </w:p>
    <w:p>
      <w:pPr>
        <w:snapToGrid w:val="0"/>
        <w:ind w:firstLine="480"/>
        <w:rPr>
          <w:rFonts w:ascii="宋体" w:hAnsi="宋体" w:cs="宋体"/>
          <w:color w:val="auto"/>
          <w:highlight w:val="none"/>
        </w:rPr>
      </w:pPr>
      <w:r>
        <w:rPr>
          <w:rFonts w:hint="eastAsia" w:ascii="宋体" w:hAnsi="宋体" w:cs="宋体"/>
          <w:color w:val="auto"/>
          <w:highlight w:val="none"/>
        </w:rPr>
        <w:t>(7)没有发生重大经济纠纷和走私犯罪记录。</w:t>
      </w:r>
    </w:p>
    <w:p>
      <w:pPr>
        <w:pStyle w:val="20"/>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3、提供</w:t>
      </w:r>
      <w:r>
        <w:rPr>
          <w:rFonts w:hint="eastAsia" w:hAnsi="宋体" w:cs="宋体"/>
          <w:color w:val="auto"/>
          <w:kern w:val="44"/>
          <w:sz w:val="24"/>
          <w:highlight w:val="none"/>
        </w:rPr>
        <w:t>编制和提交采购响应文件须知</w:t>
      </w:r>
      <w:r>
        <w:rPr>
          <w:rFonts w:hint="eastAsia" w:hAnsi="宋体" w:cs="宋体"/>
          <w:color w:val="auto"/>
          <w:sz w:val="24"/>
          <w:highlight w:val="none"/>
        </w:rPr>
        <w:t>规定的全部投标文件，包括</w:t>
      </w:r>
      <w:r>
        <w:rPr>
          <w:rFonts w:hint="eastAsia" w:hAnsi="宋体" w:cs="宋体"/>
          <w:b/>
          <w:color w:val="auto"/>
          <w:sz w:val="24"/>
          <w:szCs w:val="24"/>
          <w:highlight w:val="none"/>
        </w:rPr>
        <w:t>资格文件正本1份；报价文件正本1份，副本</w:t>
      </w:r>
      <w:r>
        <w:rPr>
          <w:rFonts w:hint="eastAsia" w:hAnsi="宋体" w:cs="宋体"/>
          <w:color w:val="auto"/>
          <w:kern w:val="0"/>
          <w:sz w:val="24"/>
          <w:highlight w:val="none"/>
          <w:u w:val="single"/>
          <w:lang w:val="en-US" w:eastAsia="zh-CN"/>
        </w:rPr>
        <w:t>4</w:t>
      </w:r>
      <w:r>
        <w:rPr>
          <w:rFonts w:hint="eastAsia" w:hAnsi="宋体" w:cs="宋体"/>
          <w:b/>
          <w:color w:val="auto"/>
          <w:sz w:val="24"/>
          <w:szCs w:val="24"/>
          <w:highlight w:val="none"/>
        </w:rPr>
        <w:t>份；商务技术文件正本1份，副本</w:t>
      </w:r>
      <w:r>
        <w:rPr>
          <w:rFonts w:hint="eastAsia" w:hAnsi="宋体" w:cs="宋体"/>
          <w:color w:val="auto"/>
          <w:kern w:val="0"/>
          <w:sz w:val="24"/>
          <w:highlight w:val="none"/>
          <w:u w:val="single"/>
          <w:lang w:val="zh-CN"/>
        </w:rPr>
        <w:t xml:space="preserve"> </w:t>
      </w:r>
      <w:r>
        <w:rPr>
          <w:rFonts w:hint="eastAsia" w:hAnsi="宋体" w:cs="宋体"/>
          <w:color w:val="auto"/>
          <w:kern w:val="0"/>
          <w:sz w:val="24"/>
          <w:highlight w:val="none"/>
          <w:u w:val="single"/>
          <w:lang w:val="en-US" w:eastAsia="zh-CN"/>
        </w:rPr>
        <w:t>4</w:t>
      </w:r>
      <w:r>
        <w:rPr>
          <w:rFonts w:hint="eastAsia" w:hAnsi="宋体" w:cs="宋体"/>
          <w:b/>
          <w:color w:val="auto"/>
          <w:sz w:val="24"/>
          <w:szCs w:val="24"/>
          <w:highlight w:val="none"/>
        </w:rPr>
        <w:t>份；电子版</w:t>
      </w:r>
      <w:r>
        <w:rPr>
          <w:rFonts w:hint="eastAsia" w:hAnsi="宋体" w:cs="宋体"/>
          <w:b/>
          <w:color w:val="auto"/>
          <w:sz w:val="24"/>
          <w:szCs w:val="24"/>
          <w:highlight w:val="none"/>
          <w:u w:val="single"/>
        </w:rPr>
        <w:t>1</w:t>
      </w:r>
      <w:r>
        <w:rPr>
          <w:rFonts w:hint="eastAsia" w:hAnsi="宋体" w:cs="宋体"/>
          <w:b/>
          <w:color w:val="auto"/>
          <w:sz w:val="24"/>
          <w:szCs w:val="24"/>
          <w:highlight w:val="none"/>
        </w:rPr>
        <w:t>份。</w:t>
      </w:r>
      <w:r>
        <w:rPr>
          <w:rFonts w:hint="eastAsia" w:hAnsi="宋体" w:cs="宋体"/>
          <w:color w:val="auto"/>
          <w:sz w:val="24"/>
          <w:highlight w:val="none"/>
        </w:rPr>
        <w:t>具体内容为：</w:t>
      </w:r>
    </w:p>
    <w:p>
      <w:pPr>
        <w:snapToGrid w:val="0"/>
        <w:ind w:firstLine="480"/>
        <w:rPr>
          <w:rFonts w:ascii="宋体" w:hAnsi="宋体" w:cs="宋体"/>
          <w:color w:val="auto"/>
          <w:highlight w:val="none"/>
        </w:rPr>
      </w:pPr>
      <w:r>
        <w:rPr>
          <w:rFonts w:hint="eastAsia" w:ascii="宋体" w:hAnsi="宋体" w:cs="宋体"/>
          <w:color w:val="auto"/>
          <w:highlight w:val="none"/>
        </w:rPr>
        <w:t>(1)开标一览表及投标报价明细清单；</w:t>
      </w:r>
    </w:p>
    <w:p>
      <w:pPr>
        <w:snapToGrid w:val="0"/>
        <w:ind w:firstLine="480"/>
        <w:rPr>
          <w:rFonts w:ascii="宋体" w:hAnsi="宋体" w:cs="宋体"/>
          <w:color w:val="auto"/>
          <w:highlight w:val="none"/>
        </w:rPr>
      </w:pPr>
      <w:r>
        <w:rPr>
          <w:rFonts w:hint="eastAsia" w:ascii="宋体" w:hAnsi="宋体" w:cs="宋体"/>
          <w:color w:val="auto"/>
          <w:highlight w:val="none"/>
        </w:rPr>
        <w:t>(2)投标商务</w:t>
      </w:r>
      <w:r>
        <w:rPr>
          <w:rFonts w:hint="eastAsia" w:ascii="宋体" w:hAnsi="宋体" w:cs="宋体"/>
          <w:color w:val="auto"/>
          <w:kern w:val="0"/>
          <w:highlight w:val="none"/>
          <w:lang w:val="zh-CN"/>
        </w:rPr>
        <w:t>技术文件和</w:t>
      </w:r>
      <w:r>
        <w:rPr>
          <w:rFonts w:hint="eastAsia" w:ascii="宋体" w:hAnsi="宋体" w:cs="宋体"/>
          <w:color w:val="auto"/>
          <w:highlight w:val="none"/>
          <w:lang w:val="zh-CN"/>
        </w:rPr>
        <w:t>资格文件</w:t>
      </w:r>
      <w:r>
        <w:rPr>
          <w:rFonts w:hint="eastAsia" w:ascii="宋体" w:hAnsi="宋体" w:cs="宋体"/>
          <w:color w:val="auto"/>
          <w:highlight w:val="none"/>
        </w:rPr>
        <w:t>；</w:t>
      </w:r>
    </w:p>
    <w:p>
      <w:pPr>
        <w:snapToGrid w:val="0"/>
        <w:ind w:firstLine="48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kern w:val="44"/>
          <w:highlight w:val="none"/>
        </w:rPr>
        <w:t>编制和提交采购响应文件须知</w:t>
      </w:r>
      <w:r>
        <w:rPr>
          <w:rFonts w:hint="eastAsia" w:ascii="宋体" w:hAnsi="宋体" w:cs="宋体"/>
          <w:color w:val="auto"/>
          <w:highlight w:val="none"/>
        </w:rPr>
        <w:t>要求投标人提交的全部文件；</w:t>
      </w:r>
    </w:p>
    <w:p>
      <w:pPr>
        <w:snapToGrid w:val="0"/>
        <w:ind w:firstLine="480"/>
        <w:rPr>
          <w:rFonts w:ascii="宋体" w:hAnsi="宋体" w:cs="宋体"/>
          <w:color w:val="auto"/>
          <w:highlight w:val="none"/>
        </w:rPr>
      </w:pPr>
      <w:r>
        <w:rPr>
          <w:rFonts w:hint="eastAsia" w:ascii="宋体" w:hAnsi="宋体" w:cs="宋体"/>
          <w:color w:val="auto"/>
          <w:highlight w:val="none"/>
        </w:rPr>
        <w:t>(4)按招标文件要求提供和交付的货物和服务的投标报价详见投标(开标)一览表；</w:t>
      </w:r>
    </w:p>
    <w:p>
      <w:pPr>
        <w:snapToGrid w:val="0"/>
        <w:ind w:firstLine="480"/>
        <w:rPr>
          <w:rFonts w:ascii="宋体" w:hAnsi="宋体" w:cs="宋体"/>
          <w:color w:val="auto"/>
          <w:highlight w:val="none"/>
        </w:rPr>
      </w:pPr>
      <w:r>
        <w:rPr>
          <w:rFonts w:hint="eastAsia" w:ascii="宋体" w:hAnsi="宋体" w:cs="宋体"/>
          <w:color w:val="auto"/>
          <w:highlight w:val="none"/>
        </w:rPr>
        <w:t>(5)保证忠实地执行双方所签订的合同，并承担合同规定的责任和义务；</w:t>
      </w:r>
    </w:p>
    <w:p>
      <w:pPr>
        <w:snapToGrid w:val="0"/>
        <w:ind w:firstLine="480"/>
        <w:rPr>
          <w:rFonts w:ascii="宋体" w:hAnsi="宋体" w:cs="宋体"/>
          <w:color w:val="auto"/>
          <w:highlight w:val="none"/>
        </w:rPr>
      </w:pPr>
      <w:r>
        <w:rPr>
          <w:rFonts w:hint="eastAsia" w:ascii="宋体" w:hAnsi="宋体" w:cs="宋体"/>
          <w:color w:val="auto"/>
          <w:highlight w:val="none"/>
        </w:rPr>
        <w:t>(6)保证遵守招标文件中的其他有关规定。</w:t>
      </w:r>
    </w:p>
    <w:p>
      <w:pPr>
        <w:snapToGrid w:val="0"/>
        <w:ind w:firstLine="480"/>
        <w:rPr>
          <w:rFonts w:ascii="宋体" w:hAnsi="宋体" w:cs="宋体"/>
          <w:color w:val="auto"/>
          <w:highlight w:val="none"/>
        </w:rPr>
      </w:pPr>
      <w:r>
        <w:rPr>
          <w:rFonts w:hint="eastAsia" w:ascii="宋体" w:hAnsi="宋体" w:cs="宋体"/>
          <w:color w:val="auto"/>
          <w:highlight w:val="none"/>
        </w:rPr>
        <w:t>4、我方承诺投标有效期从提交投标文件的截止之日起</w:t>
      </w:r>
      <w:r>
        <w:rPr>
          <w:rFonts w:hint="eastAsia" w:ascii="宋体" w:hAnsi="宋体" w:cs="宋体"/>
          <w:color w:val="auto"/>
          <w:highlight w:val="none"/>
          <w:u w:val="single"/>
        </w:rPr>
        <w:t xml:space="preserve">     </w:t>
      </w:r>
      <w:r>
        <w:rPr>
          <w:rFonts w:hint="eastAsia" w:ascii="宋体" w:hAnsi="宋体" w:cs="宋体"/>
          <w:color w:val="auto"/>
          <w:highlight w:val="none"/>
        </w:rPr>
        <w:t>天，不少于招标文件中载明的投标有效期（从提交投标文件的截止之日起90天）。</w:t>
      </w:r>
    </w:p>
    <w:p>
      <w:pPr>
        <w:snapToGrid w:val="0"/>
        <w:ind w:firstLine="480"/>
        <w:rPr>
          <w:rFonts w:ascii="宋体" w:hAnsi="宋体" w:cs="宋体"/>
          <w:color w:val="auto"/>
          <w:highlight w:val="none"/>
        </w:rPr>
      </w:pPr>
      <w:r>
        <w:rPr>
          <w:rFonts w:hint="eastAsia" w:ascii="宋体" w:hAnsi="宋体" w:cs="宋体"/>
          <w:color w:val="auto"/>
          <w:highlight w:val="none"/>
        </w:rPr>
        <w:t>5、我方完全理解贵方不一定要接受最低价的投标。</w:t>
      </w:r>
    </w:p>
    <w:p>
      <w:pPr>
        <w:snapToGrid w:val="0"/>
        <w:ind w:firstLine="480"/>
        <w:rPr>
          <w:rFonts w:ascii="宋体" w:hAnsi="宋体" w:cs="宋体"/>
          <w:color w:val="auto"/>
          <w:highlight w:val="none"/>
        </w:rPr>
      </w:pPr>
      <w:r>
        <w:rPr>
          <w:rFonts w:hint="eastAsia" w:ascii="宋体" w:hAnsi="宋体" w:cs="宋体"/>
          <w:color w:val="auto"/>
          <w:highlight w:val="none"/>
        </w:rPr>
        <w:t>6、我方愿意向贵方提供任何与该项投标有关的数据、情况和技术资料。若贵方需要，我方愿意提供我方作出的一切承诺的证明材料。</w:t>
      </w:r>
    </w:p>
    <w:p>
      <w:pPr>
        <w:snapToGrid w:val="0"/>
        <w:ind w:firstLine="480"/>
        <w:rPr>
          <w:rFonts w:ascii="宋体" w:hAnsi="宋体" w:cs="宋体"/>
          <w:color w:val="auto"/>
          <w:highlight w:val="none"/>
        </w:rPr>
      </w:pPr>
      <w:r>
        <w:rPr>
          <w:rFonts w:hint="eastAsia" w:ascii="宋体" w:hAnsi="宋体" w:cs="宋体"/>
          <w:color w:val="auto"/>
          <w:highlight w:val="none"/>
        </w:rPr>
        <w:t>7、我方已详细审核全部招标文件，包括招标文件修改书(如果有)、参考资料及有关附件，确认无误。</w:t>
      </w:r>
    </w:p>
    <w:p>
      <w:pPr>
        <w:snapToGrid w:val="0"/>
        <w:ind w:firstLine="480"/>
        <w:rPr>
          <w:rFonts w:ascii="宋体" w:hAnsi="宋体" w:cs="宋体"/>
          <w:color w:val="auto"/>
          <w:highlight w:val="none"/>
        </w:rPr>
      </w:pPr>
      <w:r>
        <w:rPr>
          <w:rFonts w:hint="eastAsia" w:ascii="宋体" w:hAnsi="宋体" w:cs="宋体"/>
          <w:color w:val="auto"/>
          <w:highlight w:val="none"/>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ind w:firstLine="480"/>
        <w:rPr>
          <w:rFonts w:ascii="宋体" w:hAnsi="宋体" w:cs="宋体"/>
          <w:color w:val="auto"/>
          <w:highlight w:val="none"/>
        </w:rPr>
      </w:pPr>
      <w:r>
        <w:rPr>
          <w:rFonts w:hint="eastAsia" w:ascii="宋体" w:hAnsi="宋体" w:cs="宋体"/>
          <w:color w:val="auto"/>
          <w:highlight w:val="none"/>
        </w:rPr>
        <w:t>a)提供虚假材料谋取中标、成交的；</w:t>
      </w:r>
    </w:p>
    <w:p>
      <w:pPr>
        <w:snapToGrid w:val="0"/>
        <w:ind w:firstLine="480"/>
        <w:rPr>
          <w:rFonts w:ascii="宋体" w:hAnsi="宋体" w:cs="宋体"/>
          <w:color w:val="auto"/>
          <w:highlight w:val="none"/>
        </w:rPr>
      </w:pPr>
      <w:r>
        <w:rPr>
          <w:rFonts w:hint="eastAsia" w:ascii="宋体" w:hAnsi="宋体" w:cs="宋体"/>
          <w:color w:val="auto"/>
          <w:highlight w:val="none"/>
        </w:rPr>
        <w:t>b)采取不正当手段诋毁、排挤其他供应商的；</w:t>
      </w:r>
    </w:p>
    <w:p>
      <w:pPr>
        <w:snapToGrid w:val="0"/>
        <w:ind w:firstLine="480"/>
        <w:rPr>
          <w:rFonts w:ascii="宋体" w:hAnsi="宋体" w:cs="宋体"/>
          <w:color w:val="auto"/>
          <w:highlight w:val="none"/>
        </w:rPr>
      </w:pPr>
      <w:r>
        <w:rPr>
          <w:rFonts w:hint="eastAsia" w:ascii="宋体" w:hAnsi="宋体" w:cs="宋体"/>
          <w:color w:val="auto"/>
          <w:highlight w:val="none"/>
        </w:rPr>
        <w:t>c)与采购人、其它供应商或者采购代理机构恶意串通的；</w:t>
      </w:r>
    </w:p>
    <w:p>
      <w:pPr>
        <w:snapToGrid w:val="0"/>
        <w:ind w:firstLine="480"/>
        <w:rPr>
          <w:rFonts w:ascii="宋体" w:hAnsi="宋体" w:cs="宋体"/>
          <w:color w:val="auto"/>
          <w:highlight w:val="none"/>
        </w:rPr>
      </w:pPr>
      <w:r>
        <w:rPr>
          <w:rFonts w:hint="eastAsia" w:ascii="宋体" w:hAnsi="宋体" w:cs="宋体"/>
          <w:color w:val="auto"/>
          <w:highlight w:val="none"/>
        </w:rPr>
        <w:t>d)向采购人、采购代理机构行贿或者提供其他不正当利益的；</w:t>
      </w:r>
    </w:p>
    <w:p>
      <w:pPr>
        <w:snapToGrid w:val="0"/>
        <w:ind w:firstLine="480"/>
        <w:rPr>
          <w:rFonts w:ascii="宋体" w:hAnsi="宋体" w:cs="宋体"/>
          <w:color w:val="auto"/>
          <w:highlight w:val="none"/>
        </w:rPr>
      </w:pPr>
      <w:r>
        <w:rPr>
          <w:rFonts w:hint="eastAsia" w:ascii="宋体" w:hAnsi="宋体" w:cs="宋体"/>
          <w:color w:val="auto"/>
          <w:highlight w:val="none"/>
        </w:rPr>
        <w:t>e)在招标采购过程中与采购人进行协商谈判的；</w:t>
      </w:r>
    </w:p>
    <w:p>
      <w:pPr>
        <w:snapToGrid w:val="0"/>
        <w:ind w:firstLine="480"/>
        <w:rPr>
          <w:rFonts w:ascii="宋体" w:hAnsi="宋体" w:cs="宋体"/>
          <w:color w:val="auto"/>
          <w:highlight w:val="none"/>
        </w:rPr>
      </w:pPr>
      <w:r>
        <w:rPr>
          <w:rFonts w:hint="eastAsia" w:ascii="宋体" w:hAnsi="宋体" w:cs="宋体"/>
          <w:color w:val="auto"/>
          <w:highlight w:val="none"/>
        </w:rPr>
        <w:t>f)拒绝有关部门监督检查或提供虚假情况的。</w:t>
      </w:r>
    </w:p>
    <w:p>
      <w:pPr>
        <w:snapToGrid w:val="0"/>
        <w:ind w:firstLine="480"/>
        <w:rPr>
          <w:rFonts w:ascii="宋体" w:hAnsi="宋体" w:cs="宋体"/>
          <w:color w:val="auto"/>
          <w:highlight w:val="none"/>
        </w:rPr>
      </w:pPr>
      <w:r>
        <w:rPr>
          <w:rFonts w:hint="eastAsia" w:ascii="宋体" w:hAnsi="宋体" w:cs="宋体"/>
          <w:color w:val="auto"/>
          <w:highlight w:val="none"/>
        </w:rPr>
        <w:t>供应商有前款第a)至e)项情形之一的，中标、成交无效。</w:t>
      </w:r>
    </w:p>
    <w:p>
      <w:pPr>
        <w:ind w:firstLine="3600" w:firstLineChars="1500"/>
        <w:rPr>
          <w:rFonts w:ascii="宋体" w:hAnsi="宋体" w:cs="宋体"/>
          <w:color w:val="auto"/>
          <w:highlight w:val="none"/>
        </w:rPr>
      </w:pPr>
    </w:p>
    <w:p>
      <w:pPr>
        <w:pStyle w:val="2"/>
        <w:rPr>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snapToGrid w:val="0"/>
        <w:ind w:left="480" w:leftChars="200" w:firstLine="4200" w:firstLineChars="1750"/>
        <w:rPr>
          <w:rFonts w:ascii="宋体" w:hAnsi="宋体" w:cs="宋体"/>
          <w:color w:val="auto"/>
          <w:kern w:val="0"/>
          <w:highlight w:val="none"/>
          <w:u w:val="single"/>
          <w:lang w:val="zh-CN"/>
        </w:rPr>
      </w:pPr>
    </w:p>
    <w:p>
      <w:pPr>
        <w:ind w:firstLine="480"/>
        <w:rPr>
          <w:rFonts w:ascii="宋体" w:hAnsi="宋体" w:cs="宋体"/>
          <w:color w:val="auto"/>
          <w:highlight w:val="none"/>
        </w:rPr>
      </w:pPr>
      <w:r>
        <w:rPr>
          <w:rFonts w:hint="eastAsia" w:ascii="宋体" w:hAnsi="宋体" w:cs="宋体"/>
          <w:color w:val="auto"/>
          <w:highlight w:val="none"/>
          <w:lang w:val="zh-CN"/>
        </w:rPr>
        <w:t xml:space="preserve">联系人：                           联系电话：                 </w:t>
      </w:r>
    </w:p>
    <w:p>
      <w:pPr>
        <w:ind w:firstLine="480"/>
        <w:rPr>
          <w:rFonts w:ascii="宋体" w:hAnsi="宋体" w:cs="宋体"/>
          <w:color w:val="auto"/>
          <w:highlight w:val="none"/>
        </w:rPr>
      </w:pPr>
      <w:r>
        <w:rPr>
          <w:rFonts w:hint="eastAsia" w:ascii="宋体" w:hAnsi="宋体" w:cs="宋体"/>
          <w:color w:val="auto"/>
          <w:highlight w:val="none"/>
          <w:lang w:val="zh-CN"/>
        </w:rPr>
        <w:t xml:space="preserve">联系地址：                                                    </w:t>
      </w:r>
    </w:p>
    <w:p>
      <w:pPr>
        <w:ind w:firstLine="480"/>
        <w:rPr>
          <w:rFonts w:ascii="宋体" w:hAnsi="宋体" w:cs="宋体"/>
          <w:color w:val="auto"/>
          <w:highlight w:val="none"/>
        </w:rPr>
      </w:pPr>
      <w:r>
        <w:rPr>
          <w:rFonts w:hint="eastAsia" w:ascii="宋体" w:hAnsi="宋体" w:cs="宋体"/>
          <w:color w:val="auto"/>
          <w:highlight w:val="none"/>
          <w:lang w:val="zh-CN"/>
        </w:rPr>
        <w:t xml:space="preserve">邮政编码：                     传真号码：                     </w:t>
      </w:r>
    </w:p>
    <w:p>
      <w:pPr>
        <w:ind w:firstLine="482"/>
        <w:rPr>
          <w:rFonts w:ascii="宋体" w:hAnsi="宋体" w:cs="宋体"/>
          <w:b/>
          <w:bCs/>
          <w:color w:val="auto"/>
          <w:highlight w:val="none"/>
          <w:lang w:val="zh-CN"/>
        </w:rPr>
      </w:pPr>
    </w:p>
    <w:p>
      <w:pPr>
        <w:ind w:firstLine="482"/>
        <w:rPr>
          <w:rFonts w:ascii="宋体" w:hAnsi="宋体" w:cs="宋体"/>
          <w:b/>
          <w:bCs/>
          <w:color w:val="auto"/>
          <w:highlight w:val="none"/>
          <w:lang w:val="zh-CN"/>
        </w:rPr>
      </w:pPr>
      <w:r>
        <w:rPr>
          <w:rFonts w:hint="eastAsia" w:ascii="宋体" w:hAnsi="宋体" w:cs="宋体"/>
          <w:b/>
          <w:bCs/>
          <w:color w:val="auto"/>
          <w:highlight w:val="none"/>
          <w:lang w:val="zh-CN"/>
        </w:rPr>
        <w:t>注：未按照本投标响应函要求填报的将被视为非实质性响应投标，从而可能导致该投标被拒绝。</w:t>
      </w: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6"/>
        <w:rPr>
          <w:rFonts w:ascii="宋体" w:hAnsi="宋体" w:cs="宋体"/>
          <w:color w:val="auto"/>
          <w:highlight w:val="none"/>
        </w:rPr>
      </w:pPr>
      <w:r>
        <w:rPr>
          <w:rFonts w:hint="eastAsia" w:ascii="宋体" w:hAnsi="宋体" w:cs="宋体"/>
          <w:color w:val="auto"/>
          <w:highlight w:val="none"/>
        </w:rPr>
        <w:t xml:space="preserve">附件二 </w:t>
      </w:r>
      <w:r>
        <w:rPr>
          <w:rFonts w:hint="eastAsia" w:ascii="宋体" w:hAnsi="宋体" w:cs="宋体"/>
          <w:color w:val="auto"/>
          <w:sz w:val="28"/>
          <w:szCs w:val="28"/>
          <w:highlight w:val="none"/>
        </w:rPr>
        <w:t>开标一览表</w:t>
      </w:r>
    </w:p>
    <w:p>
      <w:pPr>
        <w:pStyle w:val="170"/>
        <w:keepNext w:val="0"/>
        <w:pageBreakBefore w:val="0"/>
        <w:tabs>
          <w:tab w:val="clear" w:pos="720"/>
        </w:tabs>
        <w:spacing w:line="460" w:lineRule="exact"/>
        <w:ind w:firstLine="482"/>
        <w:outlineLvl w:val="9"/>
        <w:rPr>
          <w:rFonts w:ascii="宋体" w:hAnsi="宋体" w:eastAsia="宋体" w:cs="宋体"/>
          <w:bCs/>
          <w:color w:val="auto"/>
          <w:kern w:val="2"/>
          <w:sz w:val="24"/>
          <w:szCs w:val="32"/>
          <w:highlight w:val="none"/>
        </w:rPr>
      </w:pPr>
      <w:bookmarkStart w:id="99" w:name="_Toc14446"/>
      <w:r>
        <w:rPr>
          <w:rFonts w:hint="eastAsia" w:ascii="宋体" w:hAnsi="宋体" w:eastAsia="宋体" w:cs="宋体"/>
          <w:bCs/>
          <w:color w:val="auto"/>
          <w:kern w:val="2"/>
          <w:sz w:val="24"/>
          <w:szCs w:val="32"/>
          <w:highlight w:val="none"/>
        </w:rPr>
        <w:t>开标一览表</w:t>
      </w:r>
      <w:bookmarkEnd w:id="99"/>
    </w:p>
    <w:p>
      <w:pPr>
        <w:pStyle w:val="170"/>
        <w:keepNext w:val="0"/>
        <w:pageBreakBefore w:val="0"/>
        <w:tabs>
          <w:tab w:val="clear" w:pos="720"/>
        </w:tabs>
        <w:spacing w:line="460" w:lineRule="exact"/>
        <w:ind w:firstLine="482"/>
        <w:outlineLvl w:val="9"/>
        <w:rPr>
          <w:rFonts w:ascii="宋体" w:hAnsi="宋体" w:eastAsia="宋体" w:cs="宋体"/>
          <w:color w:val="auto"/>
          <w:kern w:val="2"/>
          <w:sz w:val="24"/>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致：</w:t>
      </w:r>
      <w:r>
        <w:rPr>
          <w:rFonts w:hint="eastAsia" w:ascii="宋体" w:hAnsi="宋体" w:cs="宋体"/>
          <w:bCs/>
          <w:color w:val="auto"/>
          <w:spacing w:val="-6"/>
          <w:highlight w:val="none"/>
          <w:lang w:eastAsia="zh-CN"/>
        </w:rPr>
        <w:t>浙江机电职业技术学院</w:t>
      </w:r>
      <w:r>
        <w:rPr>
          <w:rFonts w:hint="eastAsia" w:ascii="宋体" w:hAnsi="宋体" w:cs="宋体"/>
          <w:bCs/>
          <w:color w:val="auto"/>
          <w:spacing w:val="-6"/>
          <w:highlight w:val="none"/>
        </w:rPr>
        <w:t>、浙江五石工程咨询有限公司</w:t>
      </w:r>
      <w:r>
        <w:rPr>
          <w:rFonts w:hint="eastAsia" w:ascii="宋体" w:hAnsi="宋体" w:cs="宋体"/>
          <w:color w:val="auto"/>
          <w:spacing w:val="-6"/>
          <w:highlight w:val="none"/>
        </w:rPr>
        <w:t>：</w:t>
      </w:r>
      <w:r>
        <w:rPr>
          <w:rFonts w:hint="eastAsia" w:ascii="宋体" w:hAnsi="宋体" w:cs="宋体"/>
          <w:color w:val="auto"/>
          <w:highlight w:val="none"/>
        </w:rPr>
        <w:t xml:space="preserve"> </w:t>
      </w:r>
    </w:p>
    <w:p>
      <w:pPr>
        <w:pStyle w:val="170"/>
        <w:keepNext w:val="0"/>
        <w:pageBreakBefore w:val="0"/>
        <w:tabs>
          <w:tab w:val="clear" w:pos="720"/>
        </w:tabs>
        <w:ind w:firstLine="480"/>
        <w:jc w:val="both"/>
        <w:outlineLvl w:val="9"/>
        <w:rPr>
          <w:rFonts w:ascii="宋体" w:hAnsi="宋体" w:eastAsia="宋体" w:cs="宋体"/>
          <w:b w:val="0"/>
          <w:color w:val="auto"/>
          <w:kern w:val="0"/>
          <w:sz w:val="24"/>
          <w:highlight w:val="none"/>
          <w:lang w:val="zh-CN"/>
        </w:rPr>
      </w:pPr>
      <w:bookmarkStart w:id="100" w:name="_Toc18686"/>
      <w:r>
        <w:rPr>
          <w:rFonts w:hint="eastAsia" w:ascii="宋体" w:hAnsi="宋体" w:eastAsia="宋体" w:cs="宋体"/>
          <w:b w:val="0"/>
          <w:color w:val="auto"/>
          <w:kern w:val="0"/>
          <w:sz w:val="24"/>
          <w:highlight w:val="none"/>
          <w:lang w:val="zh-CN"/>
        </w:rPr>
        <w:t>按招标文件要求，我方（</w:t>
      </w:r>
      <w:r>
        <w:rPr>
          <w:rFonts w:hint="eastAsia" w:ascii="宋体" w:hAnsi="宋体" w:eastAsia="宋体" w:cs="宋体"/>
          <w:b w:val="0"/>
          <w:color w:val="auto"/>
          <w:kern w:val="0"/>
          <w:sz w:val="24"/>
          <w:highlight w:val="none"/>
        </w:rPr>
        <w:t>投标人</w:t>
      </w:r>
      <w:r>
        <w:rPr>
          <w:rFonts w:hint="eastAsia" w:ascii="宋体" w:hAnsi="宋体" w:eastAsia="宋体" w:cs="宋体"/>
          <w:b w:val="0"/>
          <w:color w:val="auto"/>
          <w:kern w:val="0"/>
          <w:sz w:val="24"/>
          <w:highlight w:val="none"/>
          <w:lang w:val="zh-CN"/>
        </w:rPr>
        <w:t>）承诺按照如下开标一览表的价格完成[</w:t>
      </w:r>
      <w:r>
        <w:rPr>
          <w:rFonts w:hint="eastAsia" w:ascii="宋体" w:hAnsi="宋体" w:eastAsia="宋体" w:cs="宋体"/>
          <w:b w:val="0"/>
          <w:color w:val="auto"/>
          <w:kern w:val="0"/>
          <w:sz w:val="24"/>
          <w:highlight w:val="none"/>
        </w:rPr>
        <w:t>项目</w:t>
      </w:r>
      <w:r>
        <w:rPr>
          <w:rFonts w:hint="eastAsia" w:ascii="宋体" w:hAnsi="宋体" w:eastAsia="宋体" w:cs="宋体"/>
          <w:b w:val="0"/>
          <w:color w:val="auto"/>
          <w:kern w:val="0"/>
          <w:sz w:val="24"/>
          <w:highlight w:val="none"/>
          <w:lang w:val="zh-CN"/>
        </w:rPr>
        <w:t>编号：</w:t>
      </w:r>
      <w:r>
        <w:rPr>
          <w:rFonts w:hint="eastAsia" w:ascii="宋体" w:hAnsi="宋体" w:eastAsia="宋体" w:cs="宋体"/>
          <w:b w:val="0"/>
          <w:color w:val="auto"/>
          <w:kern w:val="0"/>
          <w:sz w:val="24"/>
          <w:highlight w:val="none"/>
          <w:u w:val="single"/>
        </w:rPr>
        <w:t xml:space="preserve">       </w:t>
      </w:r>
      <w:r>
        <w:rPr>
          <w:rFonts w:hint="eastAsia" w:ascii="宋体" w:hAnsi="宋体" w:eastAsia="宋体" w:cs="宋体"/>
          <w:b w:val="0"/>
          <w:color w:val="auto"/>
          <w:kern w:val="0"/>
          <w:sz w:val="24"/>
          <w:highlight w:val="none"/>
          <w:lang w:val="zh-CN"/>
        </w:rPr>
        <w:t>]项目名称：</w:t>
      </w:r>
      <w:r>
        <w:rPr>
          <w:rFonts w:hint="eastAsia" w:ascii="宋体" w:hAnsi="宋体" w:eastAsia="宋体" w:cs="宋体"/>
          <w:b w:val="0"/>
          <w:color w:val="auto"/>
          <w:sz w:val="24"/>
          <w:highlight w:val="none"/>
          <w:u w:val="single"/>
        </w:rPr>
        <w:t xml:space="preserve">      </w:t>
      </w:r>
      <w:r>
        <w:rPr>
          <w:rFonts w:hint="eastAsia" w:ascii="宋体" w:hAnsi="宋体" w:eastAsia="宋体" w:cs="宋体"/>
          <w:b w:val="0"/>
          <w:color w:val="auto"/>
          <w:kern w:val="0"/>
          <w:sz w:val="24"/>
          <w:highlight w:val="none"/>
          <w:lang w:val="zh-CN"/>
        </w:rPr>
        <w:t>]标项：</w:t>
      </w:r>
      <w:r>
        <w:rPr>
          <w:rFonts w:hint="eastAsia" w:ascii="宋体" w:hAnsi="宋体" w:eastAsia="宋体" w:cs="宋体"/>
          <w:b w:val="0"/>
          <w:color w:val="auto"/>
          <w:kern w:val="0"/>
          <w:sz w:val="24"/>
          <w:highlight w:val="none"/>
          <w:u w:val="single"/>
        </w:rPr>
        <w:t xml:space="preserve">     </w:t>
      </w:r>
      <w:r>
        <w:rPr>
          <w:rFonts w:hint="eastAsia" w:ascii="宋体" w:hAnsi="宋体" w:eastAsia="宋体" w:cs="宋体"/>
          <w:b w:val="0"/>
          <w:color w:val="auto"/>
          <w:kern w:val="0"/>
          <w:sz w:val="24"/>
          <w:highlight w:val="none"/>
          <w:lang w:val="zh-CN"/>
        </w:rPr>
        <w:t>的</w:t>
      </w:r>
      <w:r>
        <w:rPr>
          <w:rFonts w:hint="eastAsia" w:ascii="宋体" w:hAnsi="宋体" w:eastAsia="宋体" w:cs="宋体"/>
          <w:b w:val="0"/>
          <w:color w:val="auto"/>
          <w:kern w:val="0"/>
          <w:sz w:val="24"/>
          <w:highlight w:val="none"/>
        </w:rPr>
        <w:t>内容</w:t>
      </w:r>
      <w:r>
        <w:rPr>
          <w:rFonts w:hint="eastAsia" w:ascii="宋体" w:hAnsi="宋体" w:eastAsia="宋体" w:cs="宋体"/>
          <w:b w:val="0"/>
          <w:color w:val="auto"/>
          <w:kern w:val="0"/>
          <w:sz w:val="24"/>
          <w:highlight w:val="none"/>
          <w:lang w:val="zh-CN"/>
        </w:rPr>
        <w:t>实施。</w:t>
      </w:r>
      <w:bookmarkEnd w:id="100"/>
    </w:p>
    <w:p>
      <w:pPr>
        <w:ind w:firstLine="7228" w:firstLineChars="3000"/>
        <w:rPr>
          <w:rFonts w:hint="default" w:ascii="宋体" w:hAnsi="宋体" w:eastAsia="宋体" w:cs="宋体"/>
          <w:b/>
          <w:color w:val="auto"/>
          <w:kern w:val="0"/>
          <w:highlight w:val="none"/>
          <w:lang w:val="en-US" w:eastAsia="zh-CN"/>
        </w:rPr>
      </w:pPr>
      <w:r>
        <w:rPr>
          <w:rFonts w:hint="eastAsia" w:hAnsi="宋体" w:cs="宋体"/>
          <w:b/>
          <w:bCs/>
          <w:color w:val="auto"/>
          <w:sz w:val="24"/>
          <w:szCs w:val="24"/>
          <w:highlight w:val="none"/>
        </w:rPr>
        <w:t>金额单位：</w:t>
      </w:r>
      <w:r>
        <w:rPr>
          <w:rFonts w:hint="eastAsia" w:cs="宋体"/>
          <w:b/>
          <w:bCs/>
          <w:color w:val="auto"/>
          <w:sz w:val="24"/>
          <w:szCs w:val="24"/>
          <w:highlight w:val="none"/>
          <w:lang w:val="en-US" w:eastAsia="zh-CN"/>
        </w:rPr>
        <w:t xml:space="preserve">    </w:t>
      </w:r>
    </w:p>
    <w:tbl>
      <w:tblPr>
        <w:tblStyle w:val="39"/>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pacing w:val="-6"/>
                <w:highlight w:val="none"/>
                <w:u w:val="single"/>
              </w:rPr>
            </w:pPr>
            <w:r>
              <w:rPr>
                <w:rFonts w:hint="eastAsia" w:ascii="宋体" w:hAnsi="宋体"/>
                <w:b/>
                <w:color w:val="auto"/>
                <w:spacing w:val="-6"/>
                <w:highlight w:val="none"/>
                <w:lang w:val="en-US" w:eastAsia="zh-CN"/>
              </w:rPr>
              <w:t>投标</w:t>
            </w:r>
            <w:r>
              <w:rPr>
                <w:rFonts w:hint="eastAsia" w:ascii="宋体" w:hAnsi="宋体"/>
                <w:b/>
                <w:color w:val="auto"/>
                <w:spacing w:val="-6"/>
                <w:highlight w:val="none"/>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auto"/>
                <w:spacing w:val="-6"/>
                <w:highlight w:val="none"/>
              </w:rPr>
            </w:pPr>
          </w:p>
          <w:p>
            <w:pPr>
              <w:spacing w:line="360" w:lineRule="auto"/>
              <w:rPr>
                <w:rFonts w:hint="eastAsia" w:ascii="宋体" w:hAnsi="宋体"/>
                <w:color w:val="auto"/>
                <w:spacing w:val="-6"/>
                <w:highlight w:val="none"/>
              </w:rPr>
            </w:pPr>
            <w:r>
              <w:rPr>
                <w:rFonts w:hint="eastAsia" w:ascii="宋体" w:hAnsi="宋体"/>
                <w:color w:val="auto"/>
                <w:spacing w:val="-6"/>
                <w:highlight w:val="none"/>
              </w:rPr>
              <w:t>金额大写：          ，</w:t>
            </w:r>
          </w:p>
          <w:p>
            <w:pPr>
              <w:spacing w:line="360" w:lineRule="auto"/>
              <w:rPr>
                <w:rFonts w:ascii="宋体" w:hAnsi="宋体"/>
                <w:b/>
                <w:color w:val="auto"/>
                <w:spacing w:val="-6"/>
                <w:highlight w:val="none"/>
              </w:rPr>
            </w:pPr>
            <w:r>
              <w:rPr>
                <w:rFonts w:hint="eastAsia" w:ascii="宋体" w:hAnsi="宋体"/>
                <w:color w:val="auto"/>
                <w:spacing w:val="-6"/>
                <w:highlight w:val="none"/>
              </w:rPr>
              <w:t xml:space="preserve">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pacing w:val="-6"/>
                <w:highlight w:val="none"/>
              </w:rPr>
            </w:pPr>
            <w:r>
              <w:rPr>
                <w:rFonts w:hint="eastAsia" w:ascii="宋体" w:hAnsi="宋体"/>
                <w:color w:val="auto"/>
                <w:spacing w:val="-6"/>
                <w:highlight w:val="none"/>
              </w:rPr>
              <w:t>供货期/质保期：</w:t>
            </w:r>
          </w:p>
        </w:tc>
      </w:tr>
    </w:tbl>
    <w:p>
      <w:pPr>
        <w:snapToGrid w:val="0"/>
        <w:ind w:firstLine="0" w:firstLineChars="0"/>
        <w:rPr>
          <w:rFonts w:ascii="宋体" w:hAnsi="宋体" w:cs="宋体"/>
          <w:b/>
          <w:color w:val="auto"/>
          <w:kern w:val="0"/>
          <w:highlight w:val="none"/>
          <w:lang w:val="zh-CN"/>
        </w:rPr>
      </w:pPr>
    </w:p>
    <w:p>
      <w:pPr>
        <w:snapToGrid w:val="0"/>
        <w:ind w:firstLine="0" w:firstLineChars="0"/>
        <w:rPr>
          <w:rFonts w:ascii="宋体" w:hAnsi="宋体" w:cs="宋体"/>
          <w:b/>
          <w:color w:val="auto"/>
          <w:kern w:val="0"/>
          <w:highlight w:val="none"/>
          <w:lang w:val="zh-CN"/>
        </w:rPr>
      </w:pPr>
    </w:p>
    <w:p>
      <w:pPr>
        <w:snapToGrid w:val="0"/>
        <w:ind w:firstLine="0" w:firstLineChars="0"/>
        <w:rPr>
          <w:rFonts w:ascii="宋体" w:hAnsi="宋体" w:cs="宋体"/>
          <w:color w:val="auto"/>
          <w:kern w:val="0"/>
          <w:highlight w:val="none"/>
          <w:lang w:val="zh-CN"/>
        </w:rPr>
      </w:pPr>
      <w:r>
        <w:rPr>
          <w:rFonts w:hint="eastAsia" w:ascii="宋体" w:hAnsi="宋体" w:cs="宋体"/>
          <w:b/>
          <w:color w:val="auto"/>
          <w:kern w:val="0"/>
          <w:highlight w:val="none"/>
          <w:lang w:val="zh-CN"/>
        </w:rPr>
        <w:t>注：</w:t>
      </w:r>
      <w:r>
        <w:rPr>
          <w:rFonts w:hint="eastAsia" w:ascii="宋体" w:hAnsi="宋体" w:cs="宋体"/>
          <w:color w:val="auto"/>
          <w:kern w:val="0"/>
          <w:highlight w:val="none"/>
          <w:lang w:val="zh-CN"/>
        </w:rPr>
        <w:t>1、投标人需按本表格式填写，不得自行更改。</w:t>
      </w:r>
    </w:p>
    <w:p>
      <w:pPr>
        <w:snapToGrid w:val="0"/>
        <w:ind w:firstLine="480"/>
        <w:rPr>
          <w:rFonts w:ascii="宋体" w:hAnsi="宋体" w:cs="宋体"/>
          <w:color w:val="auto"/>
          <w:kern w:val="0"/>
          <w:highlight w:val="none"/>
          <w:lang w:val="zh-CN"/>
        </w:rPr>
      </w:pPr>
      <w:r>
        <w:rPr>
          <w:rFonts w:hint="eastAsia" w:ascii="宋体" w:hAnsi="宋体" w:cs="宋体"/>
          <w:color w:val="auto"/>
          <w:kern w:val="0"/>
          <w:highlight w:val="none"/>
          <w:lang w:val="zh-CN"/>
        </w:rPr>
        <w:t>2、有关本项目实施所涉及的一切费用（详见前附表）均计入报价。</w:t>
      </w:r>
    </w:p>
    <w:p>
      <w:pPr>
        <w:snapToGrid w:val="0"/>
        <w:ind w:firstLine="480"/>
        <w:rPr>
          <w:rFonts w:ascii="宋体" w:hAnsi="宋体" w:cs="宋体"/>
          <w:color w:val="auto"/>
          <w:kern w:val="0"/>
          <w:highlight w:val="none"/>
          <w:lang w:val="zh-CN"/>
        </w:rPr>
      </w:pPr>
      <w:r>
        <w:rPr>
          <w:rFonts w:hint="eastAsia" w:ascii="宋体" w:hAnsi="宋体" w:cs="宋体"/>
          <w:color w:val="auto"/>
          <w:kern w:val="0"/>
          <w:highlight w:val="none"/>
          <w:lang w:val="zh-CN"/>
        </w:rPr>
        <w:t>3、以上表格要求细分项目及报价。</w:t>
      </w:r>
    </w:p>
    <w:p>
      <w:pPr>
        <w:snapToGrid w:val="0"/>
        <w:ind w:firstLine="482"/>
        <w:rPr>
          <w:rFonts w:ascii="宋体" w:hAnsi="宋体" w:cs="宋体"/>
          <w:b/>
          <w:color w:val="auto"/>
          <w:kern w:val="0"/>
          <w:highlight w:val="none"/>
          <w:lang w:val="zh-CN"/>
        </w:rPr>
      </w:pPr>
      <w:r>
        <w:rPr>
          <w:rFonts w:hint="eastAsia" w:ascii="宋体" w:hAnsi="宋体" w:cs="宋体"/>
          <w:b/>
          <w:color w:val="auto"/>
          <w:kern w:val="0"/>
          <w:highlight w:val="none"/>
          <w:lang w:val="zh-CN"/>
        </w:rPr>
        <w:t>4、特别提示：采购机构将对</w:t>
      </w:r>
      <w:r>
        <w:rPr>
          <w:rFonts w:hint="eastAsia" w:ascii="宋体" w:hAnsi="宋体" w:cs="宋体"/>
          <w:b/>
          <w:color w:val="auto"/>
          <w:kern w:val="0"/>
          <w:highlight w:val="none"/>
        </w:rPr>
        <w:t>项目名称和项目编号，中标供应商名称、地址和中标金额，主要中标标的的名称、规格型号、数量、单价、服务要求等</w:t>
      </w:r>
      <w:r>
        <w:rPr>
          <w:rFonts w:hint="eastAsia" w:ascii="宋体" w:hAnsi="宋体" w:cs="宋体"/>
          <w:b/>
          <w:color w:val="auto"/>
          <w:kern w:val="0"/>
          <w:highlight w:val="none"/>
          <w:lang w:val="zh-CN"/>
        </w:rPr>
        <w:t>予以公示。</w:t>
      </w: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w:t>
      </w:r>
    </w:p>
    <w:p>
      <w:pPr>
        <w:ind w:firstLine="480"/>
        <w:rPr>
          <w:rFonts w:ascii="宋体" w:hAnsi="宋体" w:cs="宋体"/>
          <w:color w:val="auto"/>
          <w:highlight w:val="none"/>
        </w:rPr>
      </w:pPr>
      <w:r>
        <w:rPr>
          <w:rFonts w:hint="eastAsia" w:ascii="宋体" w:hAnsi="宋体" w:cs="宋体"/>
          <w:color w:val="auto"/>
          <w:highlight w:val="none"/>
        </w:rPr>
        <w:t>日期：  年   月   日</w:t>
      </w:r>
    </w:p>
    <w:p>
      <w:pPr>
        <w:ind w:firstLine="480"/>
        <w:rPr>
          <w:rFonts w:ascii="仿宋_GB2312" w:hAnsi="仿宋_GB2312" w:eastAsia="仿宋_GB2312" w:cs="仿宋_GB2312"/>
          <w:color w:val="auto"/>
          <w:highlight w:val="none"/>
          <w:lang w:val="zh-CN"/>
        </w:rPr>
      </w:pPr>
    </w:p>
    <w:p>
      <w:pPr>
        <w:adjustRightInd w:val="0"/>
        <w:snapToGrid w:val="0"/>
        <w:ind w:firstLine="0" w:firstLineChars="0"/>
        <w:rPr>
          <w:rFonts w:ascii="宋体" w:hAnsi="宋体" w:cs="宋体"/>
          <w:color w:val="auto"/>
          <w:szCs w:val="22"/>
          <w:highlight w:val="none"/>
        </w:rPr>
      </w:pPr>
    </w:p>
    <w:p>
      <w:pPr>
        <w:ind w:firstLine="0" w:firstLineChars="0"/>
        <w:rPr>
          <w:rFonts w:ascii="宋体" w:hAnsi="宋体" w:cs="宋体"/>
          <w:color w:val="auto"/>
          <w:szCs w:val="22"/>
          <w:highlight w:val="none"/>
        </w:rPr>
        <w:sectPr>
          <w:footerReference r:id="rId21" w:type="default"/>
          <w:pgSz w:w="11907" w:h="16840"/>
          <w:pgMar w:top="1247" w:right="1304" w:bottom="1021" w:left="1304" w:header="720" w:footer="720" w:gutter="0"/>
          <w:cols w:space="720" w:num="1"/>
          <w:docGrid w:linePitch="286" w:charSpace="0"/>
        </w:sectPr>
      </w:pPr>
    </w:p>
    <w:p>
      <w:pPr>
        <w:pStyle w:val="6"/>
        <w:rPr>
          <w:rFonts w:ascii="宋体" w:hAnsi="宋体" w:cs="宋体"/>
          <w:b w:val="0"/>
          <w:bCs w:val="0"/>
          <w:color w:val="auto"/>
          <w:highlight w:val="none"/>
        </w:rPr>
      </w:pPr>
      <w:r>
        <w:rPr>
          <w:rFonts w:hint="eastAsia" w:ascii="宋体" w:hAnsi="宋体" w:cs="宋体"/>
          <w:color w:val="auto"/>
          <w:highlight w:val="none"/>
        </w:rPr>
        <w:t>附件三 投标报价明细表</w:t>
      </w:r>
    </w:p>
    <w:p>
      <w:pPr>
        <w:pStyle w:val="170"/>
        <w:keepNext w:val="0"/>
        <w:pageBreakBefore w:val="0"/>
        <w:tabs>
          <w:tab w:val="clear" w:pos="720"/>
        </w:tabs>
        <w:spacing w:line="460" w:lineRule="exact"/>
        <w:ind w:firstLine="482"/>
        <w:outlineLvl w:val="9"/>
        <w:rPr>
          <w:rFonts w:ascii="宋体" w:hAnsi="宋体" w:eastAsia="宋体" w:cs="宋体"/>
          <w:bCs/>
          <w:color w:val="auto"/>
          <w:kern w:val="2"/>
          <w:sz w:val="24"/>
          <w:szCs w:val="32"/>
          <w:highlight w:val="none"/>
        </w:rPr>
      </w:pPr>
      <w:bookmarkStart w:id="101" w:name="_Toc17346"/>
      <w:r>
        <w:rPr>
          <w:rFonts w:hint="eastAsia" w:ascii="宋体" w:hAnsi="宋体" w:eastAsia="宋体" w:cs="宋体"/>
          <w:bCs/>
          <w:color w:val="auto"/>
          <w:kern w:val="2"/>
          <w:sz w:val="24"/>
          <w:szCs w:val="32"/>
          <w:highlight w:val="none"/>
        </w:rPr>
        <w:t>投标报价明细表</w:t>
      </w:r>
      <w:bookmarkEnd w:id="101"/>
    </w:p>
    <w:p>
      <w:pPr>
        <w:pStyle w:val="20"/>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项目名称：</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项目编号：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20"/>
        <w:snapToGrid w:val="0"/>
        <w:spacing w:line="360" w:lineRule="auto"/>
        <w:ind w:firstLine="480"/>
        <w:rPr>
          <w:rFonts w:hAnsi="宋体" w:cs="宋体"/>
          <w:color w:val="auto"/>
          <w:sz w:val="24"/>
          <w:szCs w:val="24"/>
          <w:highlight w:val="none"/>
        </w:rPr>
      </w:pPr>
      <w:r>
        <w:rPr>
          <w:rFonts w:hint="eastAsia" w:hAnsi="宋体" w:cs="宋体"/>
          <w:color w:val="auto"/>
          <w:sz w:val="24"/>
          <w:szCs w:val="24"/>
          <w:highlight w:val="none"/>
        </w:rPr>
        <w:t xml:space="preserve">      </w:t>
      </w:r>
    </w:p>
    <w:p>
      <w:pPr>
        <w:pStyle w:val="20"/>
        <w:wordWrap w:val="0"/>
        <w:snapToGrid w:val="0"/>
        <w:spacing w:line="360" w:lineRule="auto"/>
        <w:ind w:firstLine="480"/>
        <w:jc w:val="right"/>
        <w:rPr>
          <w:rFonts w:hAnsi="宋体" w:cs="宋体"/>
          <w:color w:val="auto"/>
          <w:sz w:val="24"/>
          <w:szCs w:val="24"/>
          <w:highlight w:val="none"/>
        </w:rPr>
      </w:pPr>
      <w:r>
        <w:rPr>
          <w:rFonts w:hint="eastAsia" w:hAnsi="宋体" w:cs="宋体"/>
          <w:b/>
          <w:bCs/>
          <w:color w:val="auto"/>
          <w:sz w:val="24"/>
          <w:szCs w:val="24"/>
          <w:highlight w:val="none"/>
        </w:rPr>
        <w:t xml:space="preserve">金额单位：     </w:t>
      </w:r>
      <w:r>
        <w:rPr>
          <w:rFonts w:hint="eastAsia" w:hAnsi="宋体" w:cs="宋体"/>
          <w:color w:val="auto"/>
          <w:sz w:val="24"/>
          <w:szCs w:val="24"/>
          <w:highlight w:val="none"/>
        </w:rPr>
        <w:t xml:space="preserve"> </w:t>
      </w:r>
    </w:p>
    <w:tbl>
      <w:tblPr>
        <w:tblStyle w:val="3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020"/>
        <w:gridCol w:w="1667"/>
        <w:gridCol w:w="1206"/>
        <w:gridCol w:w="926"/>
        <w:gridCol w:w="973"/>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857" w:type="dxa"/>
            <w:noWrap w:val="0"/>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序号</w:t>
            </w:r>
          </w:p>
        </w:tc>
        <w:tc>
          <w:tcPr>
            <w:tcW w:w="2020" w:type="dxa"/>
            <w:noWrap w:val="0"/>
            <w:vAlign w:val="center"/>
          </w:tcPr>
          <w:p>
            <w:pPr>
              <w:spacing w:line="240" w:lineRule="auto"/>
              <w:ind w:firstLine="0" w:firstLineChars="0"/>
              <w:rPr>
                <w:rFonts w:ascii="宋体" w:hAnsi="宋体" w:cs="宋体"/>
                <w:b/>
                <w:color w:val="auto"/>
                <w:highlight w:val="none"/>
              </w:rPr>
            </w:pPr>
            <w:r>
              <w:rPr>
                <w:rFonts w:hint="eastAsia" w:ascii="宋体" w:hAnsi="宋体" w:cs="宋体"/>
                <w:b/>
                <w:color w:val="auto"/>
                <w:highlight w:val="none"/>
              </w:rPr>
              <w:t>名称</w:t>
            </w:r>
          </w:p>
        </w:tc>
        <w:tc>
          <w:tcPr>
            <w:tcW w:w="1667" w:type="dxa"/>
            <w:noWrap w:val="0"/>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品牌</w:t>
            </w:r>
          </w:p>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（如果有）</w:t>
            </w:r>
          </w:p>
        </w:tc>
        <w:tc>
          <w:tcPr>
            <w:tcW w:w="1206" w:type="dxa"/>
            <w:noWrap w:val="0"/>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规格型号</w:t>
            </w:r>
          </w:p>
        </w:tc>
        <w:tc>
          <w:tcPr>
            <w:tcW w:w="926" w:type="dxa"/>
            <w:noWrap w:val="0"/>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数量</w:t>
            </w:r>
          </w:p>
        </w:tc>
        <w:tc>
          <w:tcPr>
            <w:tcW w:w="973" w:type="dxa"/>
            <w:noWrap w:val="0"/>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单价</w:t>
            </w:r>
          </w:p>
        </w:tc>
        <w:tc>
          <w:tcPr>
            <w:tcW w:w="879" w:type="dxa"/>
            <w:noWrap w:val="0"/>
            <w:vAlign w:val="center"/>
          </w:tcPr>
          <w:p>
            <w:pPr>
              <w:spacing w:line="240" w:lineRule="auto"/>
              <w:ind w:firstLine="0" w:firstLineChars="0"/>
              <w:jc w:val="center"/>
              <w:rPr>
                <w:rFonts w:ascii="宋体" w:hAnsi="宋体" w:cs="宋体"/>
                <w:b/>
                <w:color w:val="auto"/>
                <w:highlight w:val="none"/>
              </w:rPr>
            </w:pPr>
            <w:r>
              <w:rPr>
                <w:rFonts w:hint="eastAsia" w:ascii="宋体" w:hAnsi="宋体" w:cs="宋体"/>
                <w:b/>
                <w:color w:val="auto"/>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7" w:type="dxa"/>
            <w:noWrap w:val="0"/>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2020" w:type="dxa"/>
            <w:noWrap w:val="0"/>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多岗位联动应急演练实训平台</w:t>
            </w:r>
          </w:p>
        </w:tc>
        <w:tc>
          <w:tcPr>
            <w:tcW w:w="1667" w:type="dxa"/>
            <w:noWrap w:val="0"/>
            <w:vAlign w:val="center"/>
          </w:tcPr>
          <w:p>
            <w:pPr>
              <w:snapToGrid w:val="0"/>
              <w:ind w:firstLine="0" w:firstLineChars="0"/>
              <w:rPr>
                <w:rFonts w:ascii="宋体" w:hAnsi="宋体" w:cs="宋体"/>
                <w:color w:val="auto"/>
                <w:highlight w:val="none"/>
              </w:rPr>
            </w:pPr>
          </w:p>
        </w:tc>
        <w:tc>
          <w:tcPr>
            <w:tcW w:w="1206" w:type="dxa"/>
            <w:noWrap w:val="0"/>
            <w:vAlign w:val="center"/>
          </w:tcPr>
          <w:p>
            <w:pPr>
              <w:snapToGrid w:val="0"/>
              <w:ind w:firstLine="0" w:firstLineChars="0"/>
              <w:rPr>
                <w:rFonts w:ascii="宋体" w:hAnsi="宋体" w:cs="宋体"/>
                <w:color w:val="auto"/>
                <w:highlight w:val="none"/>
              </w:rPr>
            </w:pPr>
          </w:p>
        </w:tc>
        <w:tc>
          <w:tcPr>
            <w:tcW w:w="926" w:type="dxa"/>
            <w:noWrap w:val="0"/>
            <w:vAlign w:val="center"/>
          </w:tcPr>
          <w:p>
            <w:pPr>
              <w:snapToGrid w:val="0"/>
              <w:ind w:firstLine="0" w:firstLineChars="0"/>
              <w:rPr>
                <w:rFonts w:ascii="宋体" w:hAnsi="宋体" w:cs="宋体"/>
                <w:color w:val="auto"/>
                <w:highlight w:val="none"/>
              </w:rPr>
            </w:pPr>
          </w:p>
        </w:tc>
        <w:tc>
          <w:tcPr>
            <w:tcW w:w="973" w:type="dxa"/>
            <w:noWrap w:val="0"/>
            <w:vAlign w:val="center"/>
          </w:tcPr>
          <w:p>
            <w:pPr>
              <w:ind w:firstLine="0" w:firstLineChars="0"/>
              <w:rPr>
                <w:rFonts w:ascii="宋体" w:hAnsi="宋体" w:cs="宋体"/>
                <w:color w:val="auto"/>
                <w:highlight w:val="none"/>
              </w:rPr>
            </w:pPr>
          </w:p>
        </w:tc>
        <w:tc>
          <w:tcPr>
            <w:tcW w:w="879" w:type="dxa"/>
            <w:noWrap w:val="0"/>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7" w:type="dxa"/>
            <w:noWrap w:val="0"/>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2</w:t>
            </w:r>
          </w:p>
        </w:tc>
        <w:tc>
          <w:tcPr>
            <w:tcW w:w="2020" w:type="dxa"/>
            <w:noWrap w:val="0"/>
            <w:vAlign w:val="center"/>
          </w:tcPr>
          <w:p>
            <w:pPr>
              <w:widowControl/>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教师机系统</w:t>
            </w:r>
          </w:p>
        </w:tc>
        <w:tc>
          <w:tcPr>
            <w:tcW w:w="1667" w:type="dxa"/>
            <w:noWrap w:val="0"/>
            <w:vAlign w:val="center"/>
          </w:tcPr>
          <w:p>
            <w:pPr>
              <w:snapToGrid w:val="0"/>
              <w:ind w:firstLine="0" w:firstLineChars="0"/>
              <w:rPr>
                <w:rFonts w:ascii="宋体" w:hAnsi="宋体" w:cs="宋体"/>
                <w:color w:val="auto"/>
                <w:highlight w:val="none"/>
              </w:rPr>
            </w:pPr>
          </w:p>
        </w:tc>
        <w:tc>
          <w:tcPr>
            <w:tcW w:w="1206" w:type="dxa"/>
            <w:noWrap w:val="0"/>
            <w:vAlign w:val="center"/>
          </w:tcPr>
          <w:p>
            <w:pPr>
              <w:snapToGrid w:val="0"/>
              <w:ind w:firstLine="0" w:firstLineChars="0"/>
              <w:rPr>
                <w:rFonts w:ascii="宋体" w:hAnsi="宋体" w:cs="宋体"/>
                <w:color w:val="auto"/>
                <w:highlight w:val="none"/>
              </w:rPr>
            </w:pPr>
          </w:p>
        </w:tc>
        <w:tc>
          <w:tcPr>
            <w:tcW w:w="926" w:type="dxa"/>
            <w:noWrap w:val="0"/>
            <w:vAlign w:val="center"/>
          </w:tcPr>
          <w:p>
            <w:pPr>
              <w:snapToGrid w:val="0"/>
              <w:ind w:firstLine="0" w:firstLineChars="0"/>
              <w:rPr>
                <w:rFonts w:ascii="宋体" w:hAnsi="宋体" w:cs="宋体"/>
                <w:color w:val="auto"/>
                <w:highlight w:val="none"/>
              </w:rPr>
            </w:pPr>
          </w:p>
        </w:tc>
        <w:tc>
          <w:tcPr>
            <w:tcW w:w="973" w:type="dxa"/>
            <w:noWrap w:val="0"/>
            <w:vAlign w:val="center"/>
          </w:tcPr>
          <w:p>
            <w:pPr>
              <w:ind w:firstLine="0" w:firstLineChars="0"/>
              <w:rPr>
                <w:rFonts w:ascii="宋体" w:hAnsi="宋体" w:cs="宋体"/>
                <w:color w:val="auto"/>
                <w:highlight w:val="none"/>
              </w:rPr>
            </w:pPr>
          </w:p>
        </w:tc>
        <w:tc>
          <w:tcPr>
            <w:tcW w:w="879" w:type="dxa"/>
            <w:noWrap w:val="0"/>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7" w:type="dxa"/>
            <w:noWrap w:val="0"/>
            <w:vAlign w:val="center"/>
          </w:tcPr>
          <w:p>
            <w:pPr>
              <w:ind w:firstLine="0" w:firstLineChars="0"/>
              <w:jc w:val="center"/>
              <w:rPr>
                <w:rFonts w:ascii="宋体" w:hAnsi="宋体" w:cs="宋体"/>
                <w:color w:val="auto"/>
                <w:highlight w:val="none"/>
              </w:rPr>
            </w:pPr>
          </w:p>
        </w:tc>
        <w:tc>
          <w:tcPr>
            <w:tcW w:w="2020" w:type="dxa"/>
            <w:noWrap w:val="0"/>
            <w:vAlign w:val="center"/>
          </w:tcPr>
          <w:p>
            <w:pPr>
              <w:widowControl/>
              <w:spacing w:line="240" w:lineRule="auto"/>
              <w:ind w:firstLine="0" w:firstLineChars="0"/>
              <w:jc w:val="center"/>
              <w:rPr>
                <w:rFonts w:ascii="宋体" w:hAnsi="宋体" w:cs="宋体"/>
                <w:color w:val="auto"/>
                <w:highlight w:val="none"/>
              </w:rPr>
            </w:pPr>
          </w:p>
        </w:tc>
        <w:tc>
          <w:tcPr>
            <w:tcW w:w="1667" w:type="dxa"/>
            <w:noWrap w:val="0"/>
            <w:vAlign w:val="center"/>
          </w:tcPr>
          <w:p>
            <w:pPr>
              <w:snapToGrid w:val="0"/>
              <w:ind w:firstLine="0" w:firstLineChars="0"/>
              <w:rPr>
                <w:rFonts w:ascii="宋体" w:hAnsi="宋体" w:cs="宋体"/>
                <w:color w:val="auto"/>
                <w:highlight w:val="none"/>
              </w:rPr>
            </w:pPr>
          </w:p>
        </w:tc>
        <w:tc>
          <w:tcPr>
            <w:tcW w:w="1206" w:type="dxa"/>
            <w:noWrap w:val="0"/>
            <w:vAlign w:val="center"/>
          </w:tcPr>
          <w:p>
            <w:pPr>
              <w:snapToGrid w:val="0"/>
              <w:ind w:firstLine="0" w:firstLineChars="0"/>
              <w:rPr>
                <w:rFonts w:ascii="宋体" w:hAnsi="宋体" w:cs="宋体"/>
                <w:color w:val="auto"/>
                <w:highlight w:val="none"/>
              </w:rPr>
            </w:pPr>
          </w:p>
        </w:tc>
        <w:tc>
          <w:tcPr>
            <w:tcW w:w="926" w:type="dxa"/>
            <w:noWrap w:val="0"/>
            <w:vAlign w:val="center"/>
          </w:tcPr>
          <w:p>
            <w:pPr>
              <w:snapToGrid w:val="0"/>
              <w:ind w:firstLine="0" w:firstLineChars="0"/>
              <w:rPr>
                <w:rFonts w:ascii="宋体" w:hAnsi="宋体" w:cs="宋体"/>
                <w:color w:val="auto"/>
                <w:highlight w:val="none"/>
              </w:rPr>
            </w:pPr>
          </w:p>
        </w:tc>
        <w:tc>
          <w:tcPr>
            <w:tcW w:w="973" w:type="dxa"/>
            <w:noWrap w:val="0"/>
            <w:vAlign w:val="center"/>
          </w:tcPr>
          <w:p>
            <w:pPr>
              <w:ind w:firstLine="0" w:firstLineChars="0"/>
              <w:rPr>
                <w:rFonts w:ascii="宋体" w:hAnsi="宋体" w:cs="宋体"/>
                <w:color w:val="auto"/>
                <w:highlight w:val="none"/>
              </w:rPr>
            </w:pPr>
          </w:p>
        </w:tc>
        <w:tc>
          <w:tcPr>
            <w:tcW w:w="879" w:type="dxa"/>
            <w:noWrap w:val="0"/>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544" w:type="dxa"/>
            <w:gridSpan w:val="3"/>
            <w:noWrap w:val="0"/>
            <w:vAlign w:val="center"/>
          </w:tcPr>
          <w:p>
            <w:pPr>
              <w:snapToGrid w:val="0"/>
              <w:ind w:firstLine="0" w:firstLineChars="0"/>
              <w:rPr>
                <w:rFonts w:ascii="宋体" w:hAnsi="宋体" w:cs="宋体"/>
                <w:color w:val="auto"/>
                <w:highlight w:val="none"/>
              </w:rPr>
            </w:pPr>
            <w:r>
              <w:rPr>
                <w:rFonts w:hint="eastAsia" w:ascii="宋体" w:hAnsi="宋体" w:cs="宋体"/>
                <w:b/>
                <w:color w:val="auto"/>
                <w:highlight w:val="none"/>
              </w:rPr>
              <w:t>投标报价（小写）</w:t>
            </w:r>
          </w:p>
        </w:tc>
        <w:tc>
          <w:tcPr>
            <w:tcW w:w="1206" w:type="dxa"/>
            <w:noWrap w:val="0"/>
            <w:vAlign w:val="center"/>
          </w:tcPr>
          <w:p>
            <w:pPr>
              <w:snapToGrid w:val="0"/>
              <w:ind w:firstLine="0" w:firstLineChars="0"/>
              <w:rPr>
                <w:rFonts w:ascii="宋体" w:hAnsi="宋体" w:cs="宋体"/>
                <w:color w:val="auto"/>
                <w:highlight w:val="none"/>
              </w:rPr>
            </w:pPr>
          </w:p>
        </w:tc>
        <w:tc>
          <w:tcPr>
            <w:tcW w:w="926" w:type="dxa"/>
            <w:noWrap w:val="0"/>
            <w:vAlign w:val="center"/>
          </w:tcPr>
          <w:p>
            <w:pPr>
              <w:snapToGrid w:val="0"/>
              <w:ind w:firstLine="0" w:firstLineChars="0"/>
              <w:rPr>
                <w:rFonts w:ascii="宋体" w:hAnsi="宋体" w:cs="宋体"/>
                <w:color w:val="auto"/>
                <w:highlight w:val="none"/>
              </w:rPr>
            </w:pPr>
          </w:p>
        </w:tc>
        <w:tc>
          <w:tcPr>
            <w:tcW w:w="973" w:type="dxa"/>
            <w:noWrap w:val="0"/>
            <w:vAlign w:val="center"/>
          </w:tcPr>
          <w:p>
            <w:pPr>
              <w:ind w:firstLine="0" w:firstLineChars="0"/>
              <w:rPr>
                <w:rFonts w:ascii="宋体" w:hAnsi="宋体" w:cs="宋体"/>
                <w:color w:val="auto"/>
                <w:highlight w:val="none"/>
              </w:rPr>
            </w:pPr>
          </w:p>
        </w:tc>
        <w:tc>
          <w:tcPr>
            <w:tcW w:w="879" w:type="dxa"/>
            <w:noWrap w:val="0"/>
            <w:vAlign w:val="center"/>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544" w:type="dxa"/>
            <w:gridSpan w:val="3"/>
            <w:noWrap w:val="0"/>
            <w:vAlign w:val="center"/>
          </w:tcPr>
          <w:p>
            <w:pPr>
              <w:snapToGrid w:val="0"/>
              <w:ind w:firstLine="0" w:firstLineChars="0"/>
              <w:rPr>
                <w:rFonts w:ascii="宋体" w:hAnsi="宋体" w:cs="宋体"/>
                <w:color w:val="auto"/>
                <w:highlight w:val="none"/>
              </w:rPr>
            </w:pPr>
            <w:r>
              <w:rPr>
                <w:rFonts w:hint="eastAsia" w:ascii="宋体" w:hAnsi="宋体" w:cs="宋体"/>
                <w:b/>
                <w:color w:val="auto"/>
                <w:highlight w:val="none"/>
              </w:rPr>
              <w:t>投标报价（大写）</w:t>
            </w:r>
          </w:p>
        </w:tc>
        <w:tc>
          <w:tcPr>
            <w:tcW w:w="1206" w:type="dxa"/>
            <w:noWrap w:val="0"/>
            <w:vAlign w:val="center"/>
          </w:tcPr>
          <w:p>
            <w:pPr>
              <w:snapToGrid w:val="0"/>
              <w:ind w:firstLine="0" w:firstLineChars="0"/>
              <w:rPr>
                <w:rFonts w:ascii="宋体" w:hAnsi="宋体" w:cs="宋体"/>
                <w:color w:val="auto"/>
                <w:highlight w:val="none"/>
              </w:rPr>
            </w:pPr>
          </w:p>
        </w:tc>
        <w:tc>
          <w:tcPr>
            <w:tcW w:w="926" w:type="dxa"/>
            <w:noWrap w:val="0"/>
            <w:vAlign w:val="center"/>
          </w:tcPr>
          <w:p>
            <w:pPr>
              <w:snapToGrid w:val="0"/>
              <w:ind w:firstLine="0" w:firstLineChars="0"/>
              <w:rPr>
                <w:rFonts w:ascii="宋体" w:hAnsi="宋体" w:cs="宋体"/>
                <w:color w:val="auto"/>
                <w:highlight w:val="none"/>
              </w:rPr>
            </w:pPr>
          </w:p>
        </w:tc>
        <w:tc>
          <w:tcPr>
            <w:tcW w:w="973" w:type="dxa"/>
            <w:noWrap w:val="0"/>
            <w:vAlign w:val="center"/>
          </w:tcPr>
          <w:p>
            <w:pPr>
              <w:ind w:firstLine="0" w:firstLineChars="0"/>
              <w:rPr>
                <w:rFonts w:ascii="宋体" w:hAnsi="宋体" w:cs="宋体"/>
                <w:color w:val="auto"/>
                <w:highlight w:val="none"/>
              </w:rPr>
            </w:pPr>
          </w:p>
        </w:tc>
        <w:tc>
          <w:tcPr>
            <w:tcW w:w="879" w:type="dxa"/>
            <w:noWrap w:val="0"/>
            <w:vAlign w:val="center"/>
          </w:tcPr>
          <w:p>
            <w:pPr>
              <w:ind w:firstLine="0" w:firstLineChars="0"/>
              <w:rPr>
                <w:rFonts w:ascii="宋体" w:hAnsi="宋体" w:cs="宋体"/>
                <w:color w:val="auto"/>
                <w:highlight w:val="none"/>
              </w:rPr>
            </w:pPr>
          </w:p>
        </w:tc>
      </w:tr>
    </w:tbl>
    <w:p>
      <w:pPr>
        <w:pStyle w:val="20"/>
        <w:adjustRightInd w:val="0"/>
        <w:snapToGrid w:val="0"/>
        <w:spacing w:line="360" w:lineRule="auto"/>
        <w:jc w:val="left"/>
        <w:rPr>
          <w:rFonts w:ascii="Arial" w:hAnsi="宋体" w:cs="Arial"/>
          <w:b/>
          <w:bCs/>
          <w:color w:val="auto"/>
          <w:kern w:val="0"/>
          <w:szCs w:val="21"/>
          <w:highlight w:val="none"/>
        </w:rPr>
      </w:pPr>
    </w:p>
    <w:p>
      <w:pPr>
        <w:pStyle w:val="20"/>
        <w:adjustRightInd w:val="0"/>
        <w:snapToGrid w:val="0"/>
        <w:spacing w:line="360" w:lineRule="auto"/>
        <w:jc w:val="left"/>
        <w:rPr>
          <w:rFonts w:hAnsi="宋体" w:cs="宋体"/>
          <w:b/>
          <w:bCs/>
          <w:color w:val="auto"/>
          <w:szCs w:val="21"/>
          <w:highlight w:val="none"/>
        </w:rPr>
      </w:pPr>
    </w:p>
    <w:p>
      <w:pPr>
        <w:tabs>
          <w:tab w:val="left" w:pos="1418"/>
        </w:tabs>
        <w:snapToGrid w:val="0"/>
        <w:ind w:firstLine="0" w:firstLineChars="0"/>
        <w:rPr>
          <w:rFonts w:ascii="宋体" w:hAnsi="宋体" w:cs="宋体"/>
          <w:color w:val="auto"/>
          <w:spacing w:val="20"/>
          <w:highlight w:val="none"/>
          <w:u w:val="single"/>
        </w:rPr>
      </w:pPr>
    </w:p>
    <w:p>
      <w:pPr>
        <w:ind w:firstLine="480"/>
        <w:rPr>
          <w:rFonts w:ascii="宋体" w:hAnsi="宋体" w:cs="宋体"/>
          <w:color w:val="auto"/>
          <w:highlight w:val="none"/>
        </w:rPr>
      </w:pPr>
      <w:r>
        <w:rPr>
          <w:rFonts w:hint="eastAsia" w:ascii="宋体" w:hAnsi="宋体" w:cs="宋体"/>
          <w:color w:val="auto"/>
          <w:highlight w:val="none"/>
        </w:rPr>
        <w:t>投标人名称（盖章）：</w:t>
      </w:r>
    </w:p>
    <w:p>
      <w:pPr>
        <w:ind w:firstLine="480"/>
        <w:rPr>
          <w:rFonts w:ascii="宋体" w:hAnsi="宋体" w:cs="宋体"/>
          <w:color w:val="auto"/>
          <w:highlight w:val="none"/>
        </w:rPr>
      </w:pPr>
      <w:r>
        <w:rPr>
          <w:rFonts w:hint="eastAsia" w:ascii="宋体" w:hAnsi="宋体" w:cs="宋体"/>
          <w:color w:val="auto"/>
          <w:highlight w:val="none"/>
        </w:rPr>
        <w:t>法定代表人或授权代表签字（签字）：</w:t>
      </w:r>
    </w:p>
    <w:p>
      <w:pPr>
        <w:ind w:firstLine="480"/>
        <w:rPr>
          <w:rFonts w:ascii="宋体" w:hAnsi="宋体" w:cs="宋体"/>
          <w:color w:val="auto"/>
          <w:highlight w:val="none"/>
        </w:rPr>
      </w:pPr>
      <w:r>
        <w:rPr>
          <w:rFonts w:hint="eastAsia" w:ascii="宋体" w:hAnsi="宋体" w:cs="宋体"/>
          <w:color w:val="auto"/>
          <w:highlight w:val="none"/>
        </w:rPr>
        <w:t>日期：    年   月   日</w:t>
      </w:r>
    </w:p>
    <w:p>
      <w:pPr>
        <w:ind w:firstLine="480"/>
        <w:rPr>
          <w:rFonts w:ascii="宋体" w:hAnsi="宋体" w:cs="宋体"/>
          <w:color w:val="auto"/>
          <w:highlight w:val="none"/>
        </w:rPr>
        <w:sectPr>
          <w:footerReference r:id="rId22" w:type="default"/>
          <w:pgSz w:w="11906" w:h="16838"/>
          <w:pgMar w:top="1440" w:right="1797" w:bottom="1440" w:left="1797" w:header="851" w:footer="851" w:gutter="0"/>
          <w:cols w:space="720" w:num="1"/>
          <w:docGrid w:linePitch="312" w:charSpace="0"/>
        </w:sectPr>
      </w:pPr>
    </w:p>
    <w:p>
      <w:pPr>
        <w:pStyle w:val="6"/>
        <w:rPr>
          <w:rFonts w:ascii="仿宋_GB2312" w:hAnsi="微软雅黑" w:eastAsia="仿宋_GB2312"/>
          <w:color w:val="auto"/>
          <w:highlight w:val="none"/>
        </w:rPr>
      </w:pPr>
      <w:r>
        <w:rPr>
          <w:rFonts w:hint="eastAsia" w:ascii="仿宋_GB2312" w:eastAsia="仿宋_GB2312"/>
          <w:color w:val="auto"/>
          <w:sz w:val="32"/>
          <w:highlight w:val="none"/>
        </w:rPr>
        <w:t>附件四《中小企业声明函》、（中、小微企业资格证明材料）、监狱企业资格证明材料、《残疾人福利性单位声明函》（如果有）</w:t>
      </w:r>
    </w:p>
    <w:p>
      <w:pPr>
        <w:ind w:firstLine="480"/>
        <w:rPr>
          <w:rFonts w:ascii="仿宋_GB2312" w:hAnsi="仿宋_GB2312" w:eastAsia="仿宋_GB2312" w:cs="仿宋_GB2312"/>
          <w:color w:val="auto"/>
          <w:highlight w:val="none"/>
        </w:rPr>
      </w:pPr>
    </w:p>
    <w:p>
      <w:pPr>
        <w:ind w:firstLine="480"/>
        <w:rPr>
          <w:rFonts w:ascii="仿宋_GB2312" w:hAnsi="仿宋_GB2312" w:eastAsia="仿宋_GB2312" w:cs="仿宋_GB2312"/>
          <w:color w:val="auto"/>
          <w:highlight w:val="none"/>
        </w:rPr>
      </w:pPr>
    </w:p>
    <w:p>
      <w:pPr>
        <w:pStyle w:val="6"/>
        <w:jc w:val="center"/>
        <w:rPr>
          <w:rFonts w:ascii="宋体" w:hAnsi="宋体" w:cs="宋体"/>
          <w:color w:val="auto"/>
          <w:highlight w:val="none"/>
        </w:rPr>
      </w:pPr>
      <w:r>
        <w:rPr>
          <w:rFonts w:hint="eastAsia" w:ascii="宋体" w:hAnsi="宋体" w:cs="宋体"/>
          <w:color w:val="auto"/>
          <w:highlight w:val="none"/>
        </w:rPr>
        <w:t>中小企业声明函</w:t>
      </w:r>
    </w:p>
    <w:p>
      <w:pPr>
        <w:pStyle w:val="29"/>
        <w:spacing w:line="360" w:lineRule="auto"/>
        <w:ind w:left="169" w:hanging="169" w:hangingChars="74"/>
        <w:jc w:val="center"/>
        <w:rPr>
          <w:rFonts w:ascii="宋体" w:hAnsi="宋体" w:cs="宋体"/>
          <w:b/>
          <w:color w:val="auto"/>
          <w:spacing w:val="-6"/>
          <w:highlight w:val="none"/>
        </w:rPr>
      </w:pPr>
    </w:p>
    <w:p>
      <w:pPr>
        <w:ind w:firstLine="480"/>
        <w:rPr>
          <w:rFonts w:ascii="宋体" w:hAnsi="宋体" w:cs="宋体"/>
          <w:color w:val="auto"/>
          <w:highlight w:val="none"/>
        </w:rPr>
      </w:pPr>
      <w:r>
        <w:rPr>
          <w:rFonts w:hint="eastAsia" w:ascii="宋体" w:hAnsi="宋体" w:cs="宋体"/>
          <w:color w:val="auto"/>
          <w:highlight w:val="none"/>
        </w:rPr>
        <w:t>本公司郑重声明，根据《政府采购促进中小企业发展暂行办法》（财库[2011]181号）的规定，本公司为_____（请填写：大型、中型、小型、微型）企业。即，本公司同时满足以下条件：</w:t>
      </w:r>
    </w:p>
    <w:p>
      <w:pPr>
        <w:ind w:firstLine="480"/>
        <w:rPr>
          <w:rFonts w:ascii="宋体" w:hAnsi="宋体" w:cs="宋体"/>
          <w:color w:val="auto"/>
          <w:highlight w:val="none"/>
        </w:rPr>
      </w:pPr>
      <w:r>
        <w:rPr>
          <w:rFonts w:hint="eastAsia" w:ascii="宋体" w:hAnsi="宋体" w:cs="宋体"/>
          <w:color w:val="auto"/>
          <w:highlight w:val="none"/>
        </w:rPr>
        <w:t>1.根据《工业和信息化部、国家统计局、国家发展和改革委员会、财政部关于印发中小企业划型标准规定的通知》（工信部联企业[2011]300号）规定的划分标准，本公司为_____（请填写：大型、中型、小型、微型）企业。</w:t>
      </w:r>
    </w:p>
    <w:p>
      <w:pPr>
        <w:ind w:firstLine="480"/>
        <w:rPr>
          <w:rFonts w:ascii="宋体" w:hAnsi="宋体" w:cs="宋体"/>
          <w:color w:val="auto"/>
          <w:highlight w:val="none"/>
        </w:rPr>
      </w:pPr>
      <w:r>
        <w:rPr>
          <w:rFonts w:hint="eastAsia" w:ascii="宋体" w:hAnsi="宋体" w:cs="宋体"/>
          <w:color w:val="auto"/>
          <w:highlight w:val="none"/>
        </w:rPr>
        <w:t>2.本公司参加</w:t>
      </w:r>
      <w:r>
        <w:rPr>
          <w:rFonts w:hint="eastAsia" w:ascii="宋体" w:hAnsi="宋体" w:cs="宋体"/>
          <w:color w:val="auto"/>
          <w:highlight w:val="none"/>
          <w:lang w:eastAsia="zh-CN"/>
        </w:rPr>
        <w:t>浙江机电职业技术学院</w:t>
      </w:r>
      <w:r>
        <w:rPr>
          <w:rFonts w:hint="eastAsia" w:ascii="宋体" w:hAnsi="宋体" w:cs="宋体"/>
          <w:color w:val="auto"/>
          <w:highlight w:val="none"/>
          <w:u w:val="single"/>
        </w:rPr>
        <w:t xml:space="preserve">           </w:t>
      </w:r>
      <w:r>
        <w:rPr>
          <w:rFonts w:hint="eastAsia" w:ascii="宋体" w:hAnsi="宋体" w:cs="宋体"/>
          <w:color w:val="auto"/>
          <w:highlight w:val="none"/>
        </w:rPr>
        <w:t>（项目名称）采购活动（按投标形式选择填写）：</w:t>
      </w:r>
    </w:p>
    <w:p>
      <w:pPr>
        <w:ind w:firstLine="480"/>
        <w:rPr>
          <w:rFonts w:ascii="宋体" w:hAnsi="宋体" w:cs="宋体"/>
          <w:color w:val="auto"/>
          <w:highlight w:val="none"/>
        </w:rPr>
      </w:pPr>
      <w:r>
        <w:rPr>
          <w:rFonts w:hint="eastAsia" w:ascii="宋体" w:hAnsi="宋体" w:cs="宋体"/>
          <w:color w:val="auto"/>
          <w:highlight w:val="none"/>
        </w:rPr>
        <w:t>（1）□本公司为直接投标人提供本企业提供的货物。</w:t>
      </w:r>
    </w:p>
    <w:p>
      <w:pPr>
        <w:ind w:firstLine="480"/>
        <w:rPr>
          <w:rFonts w:ascii="宋体" w:hAnsi="宋体"/>
          <w:color w:val="auto"/>
          <w:highlight w:val="none"/>
        </w:rPr>
      </w:pPr>
      <w:r>
        <w:rPr>
          <w:rFonts w:hint="eastAsia" w:ascii="宋体" w:hAnsi="宋体"/>
          <w:color w:val="auto"/>
          <w:highlight w:val="none"/>
        </w:rPr>
        <w:t>（2）□本公司为代理商，提供其他______（请填写：中型、小型、微型）企业制造的货物。本条所称货物不包括使用大型企业注册商标的货物。</w:t>
      </w: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 xml:space="preserve">企业名称（盖章）：                                 </w:t>
      </w:r>
    </w:p>
    <w:p>
      <w:pPr>
        <w:ind w:firstLine="480"/>
        <w:rPr>
          <w:rFonts w:ascii="宋体" w:hAnsi="宋体" w:cs="宋体"/>
          <w:color w:val="auto"/>
          <w:highlight w:val="none"/>
        </w:rPr>
      </w:pPr>
      <w:r>
        <w:rPr>
          <w:rFonts w:hint="eastAsia" w:ascii="宋体" w:hAnsi="宋体" w:cs="宋体"/>
          <w:color w:val="auto"/>
          <w:highlight w:val="none"/>
        </w:rPr>
        <w:t xml:space="preserve">日期：     年     月   日 </w:t>
      </w: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jc w:val="center"/>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ind w:right="-934" w:rightChars="-389" w:firstLine="643"/>
        <w:jc w:val="center"/>
        <w:rPr>
          <w:rFonts w:ascii="宋体" w:hAnsi="宋体"/>
          <w:b/>
          <w:color w:val="auto"/>
          <w:highlight w:val="none"/>
        </w:rPr>
      </w:pPr>
      <w:r>
        <w:rPr>
          <w:rFonts w:hint="eastAsia" w:ascii="宋体" w:hAnsi="宋体"/>
          <w:b/>
          <w:color w:val="auto"/>
          <w:sz w:val="32"/>
          <w:szCs w:val="32"/>
          <w:highlight w:val="none"/>
        </w:rPr>
        <w:t>中、小微企业资格证明材料（满足以下其一即可）</w:t>
      </w:r>
    </w:p>
    <w:p>
      <w:pPr>
        <w:ind w:firstLine="480"/>
        <w:rPr>
          <w:rFonts w:ascii="宋体" w:hAnsi="宋体"/>
          <w:color w:val="auto"/>
          <w:highlight w:val="none"/>
        </w:rPr>
      </w:pPr>
      <w:r>
        <w:rPr>
          <w:rFonts w:hint="eastAsia" w:ascii="宋体" w:hAnsi="宋体"/>
          <w:color w:val="auto"/>
          <w:highlight w:val="none"/>
        </w:rPr>
        <w:t>（1）供应商和报价产品生产企业在当地中小企业行政主管部门的确认意见书或《中小企业申明函》。</w:t>
      </w:r>
    </w:p>
    <w:p>
      <w:pPr>
        <w:ind w:firstLine="480"/>
        <w:rPr>
          <w:rFonts w:ascii="宋体" w:hAnsi="宋体"/>
          <w:color w:val="auto"/>
          <w:highlight w:val="none"/>
        </w:rPr>
      </w:pPr>
      <w:r>
        <w:rPr>
          <w:rFonts w:hint="eastAsia" w:ascii="宋体" w:hAnsi="宋体"/>
          <w:color w:val="auto"/>
          <w:highlight w:val="none"/>
        </w:rPr>
        <w:t>（2）供应商和报价产品生产企业相关网站的网页打印件并（网页打印件应当显示为小型或微型企业）加盖公章。相关网站：小微企业名录（http://xwqy.gsxt.gov.cn/）或浙江省政府采购网（http://www.zjzfcg.gov.cn/）</w:t>
      </w:r>
    </w:p>
    <w:p>
      <w:pPr>
        <w:ind w:firstLine="480"/>
        <w:rPr>
          <w:rFonts w:ascii="宋体" w:hAnsi="宋体"/>
          <w:color w:val="auto"/>
          <w:highlight w:val="none"/>
        </w:rPr>
      </w:pPr>
      <w:r>
        <w:rPr>
          <w:rFonts w:hint="eastAsia" w:ascii="宋体" w:hAnsi="宋体"/>
          <w:color w:val="auto"/>
          <w:highlight w:val="none"/>
        </w:rPr>
        <w:t>（3） 供应商和报价产品生产企业已通过浙江政府采购网申请注册并成为正式入库供应商的网页打印件并（网页打印件应当显示为小型或微型企业）加盖公章。</w:t>
      </w:r>
    </w:p>
    <w:p>
      <w:pPr>
        <w:ind w:firstLine="482"/>
        <w:rPr>
          <w:rFonts w:ascii="宋体" w:hAnsi="宋体"/>
          <w:b/>
          <w:bCs/>
          <w:color w:val="auto"/>
          <w:szCs w:val="21"/>
          <w:highlight w:val="none"/>
        </w:rPr>
      </w:pPr>
    </w:p>
    <w:p>
      <w:pPr>
        <w:pStyle w:val="2"/>
        <w:rPr>
          <w:color w:val="auto"/>
          <w:highlight w:val="none"/>
        </w:rPr>
      </w:pPr>
    </w:p>
    <w:p>
      <w:pPr>
        <w:ind w:firstLine="643"/>
        <w:jc w:val="center"/>
        <w:rPr>
          <w:rFonts w:ascii="宋体" w:hAnsi="宋体"/>
          <w:b/>
          <w:color w:val="auto"/>
          <w:sz w:val="32"/>
          <w:szCs w:val="32"/>
          <w:highlight w:val="none"/>
        </w:rPr>
      </w:pPr>
      <w:r>
        <w:rPr>
          <w:rFonts w:hint="eastAsia" w:ascii="宋体" w:hAnsi="宋体"/>
          <w:b/>
          <w:color w:val="auto"/>
          <w:sz w:val="32"/>
          <w:szCs w:val="32"/>
          <w:highlight w:val="none"/>
        </w:rPr>
        <w:t>小企业资格确认意见书</w:t>
      </w:r>
    </w:p>
    <w:p>
      <w:pPr>
        <w:ind w:firstLine="480"/>
        <w:rPr>
          <w:rFonts w:ascii="宋体" w:hAnsi="宋体"/>
          <w:color w:val="auto"/>
          <w:szCs w:val="21"/>
          <w:highlight w:val="none"/>
        </w:rPr>
      </w:pPr>
    </w:p>
    <w:p>
      <w:pPr>
        <w:ind w:firstLine="480"/>
        <w:rPr>
          <w:rFonts w:ascii="宋体" w:hAnsi="宋体"/>
          <w:color w:val="auto"/>
          <w:highlight w:val="none"/>
        </w:rPr>
      </w:pPr>
      <w:r>
        <w:rPr>
          <w:rFonts w:hint="eastAsia" w:ascii="宋体" w:hAnsi="宋体"/>
          <w:color w:val="auto"/>
          <w:highlight w:val="none"/>
        </w:rPr>
        <w:t>根据《工业和信息化部、国家统计局、国家发展和改革委员会、财政部关于印发中小企业划型标准规定的通知》（工信部联企业[2011]300号）规定的划分标准，兹确认</w:t>
      </w:r>
      <w:r>
        <w:rPr>
          <w:rFonts w:hint="eastAsia" w:ascii="宋体" w:hAnsi="宋体"/>
          <w:color w:val="auto"/>
          <w:highlight w:val="none"/>
          <w:u w:val="single"/>
        </w:rPr>
        <w:t xml:space="preserve">    </w:t>
      </w:r>
      <w:r>
        <w:rPr>
          <w:rFonts w:hint="eastAsia" w:ascii="宋体" w:hAnsi="宋体"/>
          <w:color w:val="auto"/>
          <w:highlight w:val="none"/>
        </w:rPr>
        <w:t>公司为</w:t>
      </w:r>
      <w:r>
        <w:rPr>
          <w:rFonts w:hint="eastAsia" w:ascii="宋体" w:hAnsi="宋体"/>
          <w:color w:val="auto"/>
          <w:highlight w:val="none"/>
          <w:u w:val="single"/>
        </w:rPr>
        <w:t xml:space="preserve">     </w:t>
      </w:r>
      <w:r>
        <w:rPr>
          <w:rFonts w:hint="eastAsia" w:ascii="宋体" w:hAnsi="宋体"/>
          <w:color w:val="auto"/>
          <w:highlight w:val="none"/>
        </w:rPr>
        <w:t>行业的</w:t>
      </w:r>
      <w:r>
        <w:rPr>
          <w:rFonts w:hint="eastAsia" w:ascii="宋体" w:hAnsi="宋体"/>
          <w:color w:val="auto"/>
          <w:highlight w:val="none"/>
          <w:u w:val="single"/>
        </w:rPr>
        <w:t xml:space="preserve">   </w:t>
      </w:r>
      <w:r>
        <w:rPr>
          <w:rFonts w:hint="eastAsia" w:ascii="宋体" w:hAnsi="宋体"/>
          <w:color w:val="auto"/>
          <w:highlight w:val="none"/>
        </w:rPr>
        <w:t>（请填写：中型、小型、微型）企业</w:t>
      </w: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2880" w:firstLineChars="1200"/>
        <w:rPr>
          <w:rFonts w:ascii="宋体" w:hAnsi="宋体"/>
          <w:color w:val="auto"/>
          <w:highlight w:val="none"/>
        </w:rPr>
      </w:pPr>
      <w:r>
        <w:rPr>
          <w:rFonts w:hint="eastAsia" w:ascii="宋体" w:hAnsi="宋体"/>
          <w:color w:val="auto"/>
          <w:highlight w:val="none"/>
        </w:rPr>
        <w:t>省（市、县、区）中小企业局或其他具有认定资格的职能部门</w:t>
      </w:r>
    </w:p>
    <w:p>
      <w:pPr>
        <w:ind w:firstLine="480"/>
        <w:rPr>
          <w:rFonts w:ascii="宋体" w:hAnsi="宋体"/>
          <w:color w:val="auto"/>
          <w:highlight w:val="none"/>
        </w:rPr>
      </w:pPr>
    </w:p>
    <w:p>
      <w:pPr>
        <w:ind w:firstLine="5520" w:firstLineChars="2300"/>
        <w:rPr>
          <w:rFonts w:ascii="宋体" w:hAnsi="宋体"/>
          <w:color w:val="auto"/>
          <w:highlight w:val="none"/>
        </w:rPr>
      </w:pPr>
      <w:r>
        <w:rPr>
          <w:rFonts w:hint="eastAsia" w:ascii="宋体" w:hAnsi="宋体"/>
          <w:color w:val="auto"/>
          <w:highlight w:val="none"/>
        </w:rPr>
        <w:t>年     月     日</w:t>
      </w:r>
    </w:p>
    <w:p>
      <w:pPr>
        <w:ind w:firstLine="480"/>
        <w:rPr>
          <w:rFonts w:ascii="宋体" w:hAnsi="宋体"/>
          <w:color w:val="auto"/>
          <w:highlight w:val="none"/>
        </w:rPr>
        <w:sectPr>
          <w:headerReference r:id="rId23" w:type="default"/>
          <w:footerReference r:id="rId24" w:type="default"/>
          <w:pgSz w:w="11907" w:h="16840"/>
          <w:pgMar w:top="1247" w:right="1304" w:bottom="1021" w:left="1304" w:header="720" w:footer="720" w:gutter="0"/>
          <w:cols w:space="720" w:num="1"/>
          <w:docGrid w:linePitch="286" w:charSpace="0"/>
        </w:sectPr>
      </w:pPr>
    </w:p>
    <w:p>
      <w:pPr>
        <w:pStyle w:val="6"/>
        <w:jc w:val="center"/>
        <w:rPr>
          <w:rFonts w:ascii="宋体" w:hAnsi="宋体" w:cs="宋体"/>
          <w:color w:val="auto"/>
          <w:highlight w:val="none"/>
        </w:rPr>
      </w:pPr>
      <w:r>
        <w:rPr>
          <w:rFonts w:hint="eastAsia" w:ascii="宋体" w:hAnsi="宋体" w:cs="宋体"/>
          <w:color w:val="auto"/>
          <w:highlight w:val="none"/>
        </w:rPr>
        <w:t>监狱企业资格证明材料</w:t>
      </w:r>
    </w:p>
    <w:p>
      <w:pPr>
        <w:ind w:firstLine="480"/>
        <w:rPr>
          <w:rFonts w:ascii="宋体" w:hAnsi="宋体" w:cs="宋体"/>
          <w:color w:val="auto"/>
          <w:highlight w:val="none"/>
        </w:rPr>
      </w:pPr>
      <w:r>
        <w:rPr>
          <w:rFonts w:hint="eastAsia" w:ascii="宋体" w:hAnsi="宋体" w:cs="宋体"/>
          <w:color w:val="auto"/>
          <w:highlight w:val="none"/>
        </w:rPr>
        <w:t>（省级以上监狱管理局、戒毒管理局（含新疆生产建设兵团）出具的属于监狱企业的证明文件）</w:t>
      </w: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说明：监狱企业视同小型、微型企业。</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6"/>
        <w:jc w:val="center"/>
        <w:rPr>
          <w:rFonts w:ascii="宋体" w:hAnsi="宋体" w:cs="宋体"/>
          <w:color w:val="auto"/>
          <w:highlight w:val="none"/>
        </w:rPr>
      </w:pPr>
      <w:r>
        <w:rPr>
          <w:rFonts w:hint="eastAsia" w:ascii="宋体" w:hAnsi="宋体" w:cs="宋体"/>
          <w:color w:val="auto"/>
          <w:highlight w:val="none"/>
        </w:rPr>
        <w:t>残疾人福利性单位声明函</w:t>
      </w:r>
    </w:p>
    <w:p>
      <w:pPr>
        <w:ind w:firstLine="506"/>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（非残疾人福利性单位可不提供）</w:t>
      </w:r>
    </w:p>
    <w:p>
      <w:pPr>
        <w:ind w:firstLine="504"/>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w:t>
      </w:r>
      <w:r>
        <w:rPr>
          <w:rFonts w:hint="eastAsia" w:ascii="宋体" w:hAnsi="宋体" w:cs="宋体"/>
          <w:color w:val="auto"/>
          <w:highlight w:val="none"/>
        </w:rPr>
        <w:t>[2017]141</w:t>
      </w:r>
      <w:r>
        <w:rPr>
          <w:rFonts w:hint="eastAsia" w:ascii="宋体" w:hAnsi="宋体" w:cs="宋体"/>
          <w:color w:val="auto"/>
          <w:spacing w:val="6"/>
          <w:highlight w:val="none"/>
        </w:rPr>
        <w:t>号）的规定，本单位为符合条件的残疾人福利性单位，且本单位参加</w:t>
      </w:r>
      <w:r>
        <w:rPr>
          <w:rFonts w:hint="eastAsia" w:ascii="宋体" w:hAnsi="宋体" w:cs="宋体"/>
          <w:color w:val="auto"/>
          <w:highlight w:val="none"/>
          <w:lang w:eastAsia="zh-CN"/>
        </w:rPr>
        <w:t>浙江机电职业技术学院</w:t>
      </w:r>
      <w:r>
        <w:rPr>
          <w:rFonts w:hint="eastAsia" w:ascii="宋体" w:hAnsi="宋体" w:cs="宋体"/>
          <w:color w:val="auto"/>
          <w:spacing w:val="6"/>
          <w:highlight w:val="none"/>
        </w:rPr>
        <w:t>的</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提供本单位制造的货物，或者提供其他残疾人福利性单位制造的货物（不包括使用非残疾人福利性单位注册商标的货物）。</w:t>
      </w:r>
    </w:p>
    <w:p>
      <w:pPr>
        <w:ind w:firstLine="504"/>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ind w:firstLine="456"/>
        <w:rPr>
          <w:rFonts w:ascii="宋体" w:hAnsi="宋体" w:cs="宋体"/>
          <w:color w:val="auto"/>
          <w:spacing w:val="-6"/>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spacing w:line="288" w:lineRule="auto"/>
        <w:ind w:firstLine="506"/>
        <w:jc w:val="left"/>
        <w:rPr>
          <w:rFonts w:ascii="宋体" w:hAnsi="宋体" w:cs="宋体"/>
          <w:b/>
          <w:bCs/>
          <w:color w:val="auto"/>
          <w:highlight w:val="none"/>
        </w:rPr>
      </w:pPr>
      <w:r>
        <w:rPr>
          <w:rFonts w:hint="eastAsia" w:ascii="宋体" w:hAnsi="宋体" w:cs="宋体"/>
          <w:b/>
          <w:color w:val="auto"/>
          <w:spacing w:val="6"/>
          <w:highlight w:val="none"/>
        </w:rPr>
        <w:t>投标人不属于残疾人福利性单位的，无需提供此声明函，如提供所引起的后果由投标人承担。</w:t>
      </w:r>
    </w:p>
    <w:p>
      <w:pPr>
        <w:spacing w:line="288" w:lineRule="auto"/>
        <w:ind w:firstLine="456"/>
        <w:rPr>
          <w:rFonts w:ascii="宋体" w:hAnsi="宋体" w:cs="宋体"/>
          <w:color w:val="auto"/>
          <w:spacing w:val="-6"/>
          <w:highlight w:val="none"/>
        </w:rPr>
      </w:pPr>
    </w:p>
    <w:p>
      <w:pPr>
        <w:spacing w:line="288" w:lineRule="auto"/>
        <w:ind w:firstLine="482"/>
        <w:rPr>
          <w:rFonts w:ascii="宋体" w:hAnsi="宋体" w:cs="宋体"/>
          <w:b/>
          <w:bCs/>
          <w:color w:val="auto"/>
          <w:szCs w:val="21"/>
          <w:highlight w:val="none"/>
        </w:rPr>
      </w:pPr>
      <w:r>
        <w:rPr>
          <w:rFonts w:hint="eastAsia" w:ascii="宋体" w:hAnsi="宋体" w:cs="宋体"/>
          <w:b/>
          <w:bCs/>
          <w:color w:val="auto"/>
          <w:szCs w:val="21"/>
          <w:highlight w:val="none"/>
        </w:rPr>
        <w:t>说明：</w:t>
      </w:r>
    </w:p>
    <w:p>
      <w:pPr>
        <w:spacing w:line="288" w:lineRule="auto"/>
        <w:ind w:firstLine="480"/>
        <w:jc w:val="left"/>
        <w:rPr>
          <w:rFonts w:ascii="宋体" w:hAnsi="宋体" w:cs="宋体"/>
          <w:color w:val="auto"/>
          <w:spacing w:val="6"/>
          <w:szCs w:val="21"/>
          <w:highlight w:val="none"/>
        </w:rPr>
      </w:pPr>
      <w:r>
        <w:rPr>
          <w:rFonts w:hint="eastAsia" w:ascii="宋体" w:hAnsi="宋体" w:cs="宋体"/>
          <w:bCs/>
          <w:color w:val="auto"/>
          <w:szCs w:val="21"/>
          <w:highlight w:val="none"/>
        </w:rPr>
        <w:t>1</w:t>
      </w:r>
      <w:r>
        <w:rPr>
          <w:rFonts w:hint="eastAsia" w:ascii="宋体" w:hAnsi="宋体" w:cs="宋体"/>
          <w:color w:val="auto"/>
          <w:spacing w:val="6"/>
          <w:szCs w:val="21"/>
          <w:highlight w:val="none"/>
        </w:rPr>
        <w:t>、若投标人同时满足以下条件，则属于依法享受政府采购支持政策的残疾人福利性单位，可提供《残疾人福利性单位声明函》，并对声明的真实性负责：</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（一）安置的残疾人占本单位在职职工人数的比例不低于25%（含25%），并且安置的残疾人人数不少于10人（含10人）；</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（二）依法与安置的每位残疾人签订了一年以上（含一年）的劳动合同或服务协议；</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（三）为安置的每位残疾人按月足额缴纳了基本养老保险、基本医疗保险、失业保险、工伤保险和生育保险等社会保险费；</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（四）通过银行等金融机构向安置的每位残疾人，按月支付了不低于单位所在区县适用的经省级人民政府批准的月最低工资标准的工资；</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288" w:lineRule="auto"/>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2、中标人为残疾人福利性单位的，《残疾人福利性单位声明函》随中标结果同时公告，接受社会监督。</w:t>
      </w:r>
    </w:p>
    <w:p>
      <w:pPr>
        <w:ind w:firstLine="456"/>
        <w:rPr>
          <w:rFonts w:ascii="宋体" w:hAnsi="宋体" w:cs="宋体"/>
          <w:bCs/>
          <w:color w:val="auto"/>
          <w:spacing w:val="-6"/>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color w:val="auto"/>
          <w:highlight w:val="none"/>
        </w:rPr>
      </w:pPr>
      <w:r>
        <w:rPr>
          <w:rFonts w:hAnsi="宋体" w:cs="宋体"/>
          <w:color w:val="auto"/>
          <w:szCs w:val="40"/>
          <w:highlight w:val="none"/>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2" name="文本框 8"/>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8" o:spid="_x0000_s1026" o:spt="202" type="#_x0000_t202" style="position:absolute;left:0pt;margin-left:362.9pt;margin-top:-4pt;height:31.65pt;width:106pt;z-index:251658240;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e+yw2QAAAAkBAAAPAAAAAAAAAAEAIAAAACIAAABkcnMvZG93bnJldi54bWxQSwECFAAU&#10;AAAACACHTuJABIbGFvABAADoAwAADgAAAAAAAAABACAAAAAoAQAAZHJzL2Uyb0RvYy54bWxQSwUG&#10;AAAAAAYABgBZAQAAigU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color w:val="auto"/>
          <w:szCs w:val="40"/>
          <w:highlight w:val="none"/>
        </w:rPr>
        <w:t>商务技术文件</w:t>
      </w:r>
      <w:r>
        <w:rPr>
          <w:rFonts w:hint="eastAsia" w:ascii="宋体" w:hAnsi="宋体" w:cs="宋体"/>
          <w:color w:val="auto"/>
          <w:highlight w:val="none"/>
        </w:rPr>
        <w:t>封面</w:t>
      </w:r>
    </w:p>
    <w:p>
      <w:pPr>
        <w:ind w:firstLine="1124"/>
        <w:jc w:val="center"/>
        <w:rPr>
          <w:rFonts w:ascii="宋体" w:hAnsi="宋体" w:cs="宋体"/>
          <w:color w:val="auto"/>
          <w:sz w:val="40"/>
          <w:szCs w:val="40"/>
          <w:highlight w:val="none"/>
        </w:rPr>
      </w:pPr>
      <w:r>
        <w:rPr>
          <w:rFonts w:hint="eastAsia" w:ascii="宋体" w:hAnsi="宋体" w:cs="宋体"/>
          <w:b/>
          <w:bCs/>
          <w:color w:val="auto"/>
          <w:sz w:val="56"/>
          <w:szCs w:val="56"/>
          <w:highlight w:val="none"/>
        </w:rPr>
        <w:t xml:space="preserve"> </w:t>
      </w:r>
    </w:p>
    <w:p>
      <w:pPr>
        <w:ind w:firstLine="880"/>
        <w:rPr>
          <w:rFonts w:ascii="宋体" w:hAnsi="宋体" w:cs="宋体"/>
          <w:color w:val="auto"/>
          <w:sz w:val="44"/>
          <w:szCs w:val="32"/>
          <w:highlight w:val="none"/>
        </w:rPr>
      </w:pPr>
    </w:p>
    <w:p>
      <w:pPr>
        <w:ind w:firstLine="602"/>
        <w:jc w:val="center"/>
        <w:rPr>
          <w:rFonts w:ascii="宋体" w:hAnsi="宋体" w:cs="宋体"/>
          <w:color w:val="auto"/>
          <w:sz w:val="30"/>
          <w:szCs w:val="30"/>
          <w:highlight w:val="none"/>
        </w:rPr>
      </w:pPr>
      <w:r>
        <w:rPr>
          <w:rFonts w:hint="eastAsia" w:ascii="宋体" w:hAnsi="宋体" w:cs="宋体"/>
          <w:b/>
          <w:bCs/>
          <w:color w:val="auto"/>
          <w:sz w:val="30"/>
          <w:szCs w:val="30"/>
          <w:highlight w:val="none"/>
        </w:rPr>
        <w:t>商务技术文件</w:t>
      </w:r>
    </w:p>
    <w:p>
      <w:pPr>
        <w:ind w:firstLine="600"/>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采 购 人：</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项目名称：</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项目编号：</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投标人名称（盖章）：</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投标人地址：</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授权代表签字：</w:t>
      </w:r>
    </w:p>
    <w:p>
      <w:pPr>
        <w:ind w:firstLine="600"/>
        <w:rPr>
          <w:rFonts w:ascii="宋体" w:hAnsi="宋体" w:cs="宋体"/>
          <w:color w:val="auto"/>
          <w:sz w:val="30"/>
          <w:szCs w:val="30"/>
          <w:highlight w:val="none"/>
        </w:rPr>
        <w:sectPr>
          <w:pgSz w:w="11907" w:h="16840"/>
          <w:pgMar w:top="1247" w:right="1304" w:bottom="1021" w:left="1304" w:header="720" w:footer="720" w:gutter="0"/>
          <w:cols w:space="720" w:num="1"/>
          <w:docGrid w:linePitch="286" w:charSpace="0"/>
        </w:sectPr>
      </w:pPr>
      <w:r>
        <w:rPr>
          <w:rFonts w:hint="eastAsia" w:ascii="宋体" w:hAnsi="宋体" w:cs="宋体"/>
          <w:color w:val="auto"/>
          <w:sz w:val="30"/>
          <w:szCs w:val="30"/>
          <w:highlight w:val="none"/>
        </w:rPr>
        <w:t>日期：    年  月  日</w:t>
      </w:r>
    </w:p>
    <w:p>
      <w:pPr>
        <w:pStyle w:val="6"/>
        <w:rPr>
          <w:rFonts w:ascii="宋体" w:hAnsi="宋体" w:cs="宋体"/>
          <w:color w:val="auto"/>
          <w:highlight w:val="none"/>
        </w:rPr>
      </w:pPr>
      <w:bookmarkStart w:id="102" w:name="_Toc7692"/>
      <w:r>
        <w:rPr>
          <w:rFonts w:hint="eastAsia" w:ascii="宋体" w:hAnsi="宋体" w:cs="宋体"/>
          <w:color w:val="auto"/>
          <w:highlight w:val="none"/>
        </w:rPr>
        <w:t>资信技术评分索引表（请放在目录前页）</w:t>
      </w:r>
    </w:p>
    <w:tbl>
      <w:tblPr>
        <w:tblStyle w:val="39"/>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851"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评分</w:t>
            </w:r>
          </w:p>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内容</w:t>
            </w:r>
          </w:p>
        </w:tc>
        <w:tc>
          <w:tcPr>
            <w:tcW w:w="6175"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资信分</w:t>
            </w: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51"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color w:val="auto"/>
                <w:szCs w:val="32"/>
                <w:highlight w:val="none"/>
              </w:rPr>
            </w:pPr>
          </w:p>
        </w:tc>
        <w:tc>
          <w:tcPr>
            <w:tcW w:w="850"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r>
              <w:rPr>
                <w:rFonts w:hint="eastAsia" w:ascii="宋体" w:hAnsi="宋体"/>
                <w:color w:val="auto"/>
                <w:kern w:val="0"/>
                <w:szCs w:val="21"/>
                <w:highlight w:val="none"/>
              </w:rPr>
              <w:t>专家自主评分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color w:val="auto"/>
                <w:szCs w:val="32"/>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color w:val="auto"/>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color w:val="auto"/>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42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jc w:val="left"/>
              <w:rPr>
                <w:rFonts w:ascii="宋体" w:hAnsi="宋体"/>
                <w:color w:val="auto"/>
                <w:highlight w:val="none"/>
              </w:rPr>
            </w:pPr>
          </w:p>
        </w:tc>
        <w:tc>
          <w:tcPr>
            <w:tcW w:w="850"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r>
        <w:tblPrEx>
          <w:tblLayout w:type="fixed"/>
          <w:tblCellMar>
            <w:top w:w="0" w:type="dxa"/>
            <w:left w:w="108" w:type="dxa"/>
            <w:bottom w:w="0" w:type="dxa"/>
            <w:right w:w="108" w:type="dxa"/>
          </w:tblCellMar>
        </w:tblPrEx>
        <w:trPr>
          <w:trHeight w:val="543"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olor w:val="auto"/>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atLeast"/>
              <w:ind w:firstLine="0" w:firstLineChars="0"/>
              <w:rPr>
                <w:rFonts w:ascii="宋体" w:hAnsi="宋体"/>
                <w:color w:val="auto"/>
                <w:highlight w:val="none"/>
              </w:rPr>
            </w:pPr>
          </w:p>
        </w:tc>
        <w:tc>
          <w:tcPr>
            <w:tcW w:w="850"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olor w:val="auto"/>
                <w:kern w:val="0"/>
                <w:szCs w:val="21"/>
                <w:highlight w:val="none"/>
              </w:rPr>
            </w:pPr>
          </w:p>
        </w:tc>
      </w:tr>
    </w:tbl>
    <w:p>
      <w:pPr>
        <w:ind w:firstLine="482"/>
        <w:rPr>
          <w:rFonts w:ascii="宋体" w:hAnsi="宋体" w:cs="宋体"/>
          <w:b/>
          <w:color w:val="auto"/>
          <w:kern w:val="0"/>
          <w:szCs w:val="20"/>
          <w:highlight w:val="none"/>
        </w:rPr>
      </w:pPr>
      <w:r>
        <w:rPr>
          <w:rFonts w:hint="eastAsia" w:ascii="宋体" w:hAnsi="宋体" w:cs="宋体"/>
          <w:b/>
          <w:color w:val="auto"/>
          <w:kern w:val="0"/>
          <w:szCs w:val="20"/>
          <w:highlight w:val="none"/>
        </w:rPr>
        <w:t>根据评分标准自行调整。</w:t>
      </w:r>
    </w:p>
    <w:p>
      <w:pPr>
        <w:ind w:firstLine="723"/>
        <w:rPr>
          <w:rFonts w:ascii="宋体" w:hAnsi="宋体" w:cs="宋体"/>
          <w:b/>
          <w:color w:val="auto"/>
          <w:kern w:val="0"/>
          <w:sz w:val="36"/>
          <w:highlight w:val="none"/>
        </w:rPr>
      </w:pPr>
      <w:r>
        <w:rPr>
          <w:rFonts w:hint="eastAsia" w:ascii="宋体" w:hAnsi="宋体" w:cs="宋体"/>
          <w:b/>
          <w:color w:val="auto"/>
          <w:kern w:val="0"/>
          <w:sz w:val="36"/>
          <w:highlight w:val="none"/>
        </w:rPr>
        <w:br w:type="page"/>
      </w:r>
    </w:p>
    <w:p>
      <w:pPr>
        <w:ind w:firstLine="723"/>
        <w:jc w:val="center"/>
        <w:outlineLvl w:val="0"/>
        <w:rPr>
          <w:rFonts w:ascii="宋体" w:hAnsi="宋体" w:cs="宋体"/>
          <w:b/>
          <w:color w:val="auto"/>
          <w:kern w:val="0"/>
          <w:sz w:val="36"/>
          <w:highlight w:val="none"/>
        </w:rPr>
      </w:pPr>
      <w:r>
        <w:rPr>
          <w:rFonts w:hint="eastAsia" w:ascii="宋体" w:hAnsi="宋体" w:cs="宋体"/>
          <w:b/>
          <w:color w:val="auto"/>
          <w:kern w:val="0"/>
          <w:sz w:val="36"/>
          <w:highlight w:val="none"/>
        </w:rPr>
        <w:t>商务技术文件目录</w:t>
      </w:r>
      <w:bookmarkEnd w:id="102"/>
      <w:r>
        <w:rPr>
          <w:rFonts w:hint="eastAsia" w:ascii="宋体" w:hAnsi="宋体" w:cs="宋体"/>
          <w:b/>
          <w:color w:val="auto"/>
          <w:kern w:val="0"/>
          <w:sz w:val="36"/>
          <w:highlight w:val="none"/>
        </w:rPr>
        <w:t xml:space="preserve"> </w:t>
      </w:r>
    </w:p>
    <w:p>
      <w:pPr>
        <w:numPr>
          <w:ilvl w:val="0"/>
          <w:numId w:val="22"/>
        </w:numPr>
        <w:tabs>
          <w:tab w:val="left" w:pos="312"/>
        </w:tabs>
        <w:ind w:firstLineChars="0"/>
        <w:rPr>
          <w:rFonts w:ascii="宋体" w:hAnsi="宋体" w:cs="宋体"/>
          <w:color w:val="auto"/>
          <w:highlight w:val="none"/>
        </w:rPr>
      </w:pPr>
      <w:r>
        <w:rPr>
          <w:rFonts w:hint="eastAsia" w:ascii="宋体" w:hAnsi="宋体" w:cs="宋体"/>
          <w:color w:val="auto"/>
          <w:highlight w:val="none"/>
        </w:rPr>
        <w:t>法定代表人的身份证和法定代表人授权委托书</w:t>
      </w:r>
      <w:r>
        <w:rPr>
          <w:rFonts w:hint="eastAsia" w:ascii="宋体" w:hAnsi="宋体" w:cs="宋体"/>
          <w:color w:val="auto"/>
          <w:kern w:val="0"/>
          <w:highlight w:val="none"/>
        </w:rPr>
        <w:t>……………   ………………（页码）</w:t>
      </w:r>
    </w:p>
    <w:p>
      <w:pPr>
        <w:numPr>
          <w:ilvl w:val="0"/>
          <w:numId w:val="22"/>
        </w:numPr>
        <w:tabs>
          <w:tab w:val="left" w:pos="312"/>
        </w:tabs>
        <w:ind w:firstLineChars="0"/>
        <w:rPr>
          <w:rFonts w:ascii="宋体" w:hAnsi="宋体" w:cs="宋体"/>
          <w:color w:val="auto"/>
          <w:highlight w:val="none"/>
        </w:rPr>
      </w:pPr>
      <w:r>
        <w:rPr>
          <w:rFonts w:hint="eastAsia" w:ascii="宋体" w:hAnsi="宋体" w:cs="宋体"/>
          <w:color w:val="auto"/>
          <w:highlight w:val="none"/>
        </w:rPr>
        <w:t>投标声明书</w:t>
      </w:r>
      <w:r>
        <w:rPr>
          <w:rFonts w:hint="eastAsia" w:ascii="宋体" w:hAnsi="宋体" w:cs="宋体"/>
          <w:color w:val="auto"/>
          <w:kern w:val="0"/>
          <w:highlight w:val="none"/>
        </w:rPr>
        <w:t>……………………………………………………   ………………（页码）</w:t>
      </w:r>
    </w:p>
    <w:p>
      <w:pPr>
        <w:numPr>
          <w:ilvl w:val="0"/>
          <w:numId w:val="22"/>
        </w:numPr>
        <w:ind w:firstLineChars="0"/>
        <w:rPr>
          <w:rFonts w:ascii="宋体" w:hAnsi="宋体" w:cs="宋体"/>
          <w:color w:val="auto"/>
          <w:highlight w:val="none"/>
        </w:rPr>
      </w:pPr>
      <w:r>
        <w:rPr>
          <w:rFonts w:hint="eastAsia" w:ascii="宋体" w:hAnsi="宋体" w:cs="宋体"/>
          <w:color w:val="auto"/>
          <w:szCs w:val="32"/>
          <w:highlight w:val="none"/>
        </w:rPr>
        <w:t>提供有效的经营执照复印件</w:t>
      </w:r>
      <w:r>
        <w:rPr>
          <w:rFonts w:hint="eastAsia" w:ascii="宋体" w:hAnsi="宋体" w:cs="宋体"/>
          <w:color w:val="auto"/>
          <w:kern w:val="0"/>
          <w:highlight w:val="none"/>
        </w:rPr>
        <w:t>……………………………………………………（页码）</w:t>
      </w:r>
    </w:p>
    <w:p>
      <w:pPr>
        <w:numPr>
          <w:ilvl w:val="0"/>
          <w:numId w:val="22"/>
        </w:numPr>
        <w:ind w:firstLineChars="0"/>
        <w:rPr>
          <w:rFonts w:ascii="宋体" w:hAnsi="宋体" w:cs="宋体"/>
          <w:color w:val="auto"/>
          <w:highlight w:val="none"/>
        </w:rPr>
      </w:pPr>
      <w:r>
        <w:rPr>
          <w:rFonts w:hint="eastAsia" w:ascii="宋体" w:hAnsi="宋体" w:cs="宋体"/>
          <w:color w:val="auto"/>
          <w:highlight w:val="none"/>
        </w:rPr>
        <w:t>质量管理体系（如有）、环境管理体系（如有）、职业健康及安全管理体系（如有）等三体系认证证书；资质证书复印件</w:t>
      </w:r>
      <w:r>
        <w:rPr>
          <w:rFonts w:hint="eastAsia" w:ascii="宋体" w:hAnsi="宋体" w:cs="宋体"/>
          <w:color w:val="auto"/>
          <w:kern w:val="0"/>
          <w:highlight w:val="none"/>
        </w:rPr>
        <w:t>…………………………………………（页码）</w:t>
      </w:r>
    </w:p>
    <w:p>
      <w:pPr>
        <w:numPr>
          <w:ilvl w:val="0"/>
          <w:numId w:val="22"/>
        </w:numPr>
        <w:ind w:firstLineChars="0"/>
        <w:rPr>
          <w:rFonts w:ascii="宋体" w:hAnsi="宋体" w:cs="宋体"/>
          <w:color w:val="auto"/>
          <w:highlight w:val="none"/>
        </w:rPr>
      </w:pPr>
      <w:r>
        <w:rPr>
          <w:rFonts w:hint="eastAsia" w:ascii="宋体" w:hAnsi="宋体" w:cs="宋体"/>
          <w:color w:val="auto"/>
          <w:highlight w:val="none"/>
        </w:rPr>
        <w:t>廉政承诺书</w:t>
      </w:r>
      <w:r>
        <w:rPr>
          <w:rFonts w:hint="eastAsia" w:ascii="宋体" w:hAnsi="宋体" w:cs="宋体"/>
          <w:color w:val="auto"/>
          <w:kern w:val="0"/>
          <w:highlight w:val="none"/>
        </w:rPr>
        <w:t>…………………………………………… ………………… ……（页码）</w:t>
      </w:r>
    </w:p>
    <w:p>
      <w:pPr>
        <w:numPr>
          <w:ilvl w:val="0"/>
          <w:numId w:val="22"/>
        </w:numPr>
        <w:ind w:firstLineChars="0"/>
        <w:rPr>
          <w:rFonts w:ascii="宋体" w:hAnsi="宋体" w:cs="宋体"/>
          <w:color w:val="auto"/>
          <w:kern w:val="0"/>
          <w:highlight w:val="none"/>
        </w:rPr>
      </w:pPr>
      <w:r>
        <w:rPr>
          <w:rFonts w:hint="eastAsia" w:ascii="宋体" w:hAnsi="宋体" w:cs="宋体"/>
          <w:color w:val="auto"/>
          <w:highlight w:val="none"/>
        </w:rPr>
        <w:t>商务条款偏离表</w:t>
      </w:r>
      <w:r>
        <w:rPr>
          <w:rFonts w:hint="eastAsia" w:ascii="宋体" w:hAnsi="宋体" w:cs="宋体"/>
          <w:color w:val="auto"/>
          <w:kern w:val="0"/>
          <w:highlight w:val="none"/>
        </w:rPr>
        <w:t>……………………………………… …………………………（页码）</w:t>
      </w:r>
    </w:p>
    <w:p>
      <w:pPr>
        <w:numPr>
          <w:ilvl w:val="0"/>
          <w:numId w:val="22"/>
        </w:numPr>
        <w:ind w:firstLineChars="0"/>
        <w:rPr>
          <w:rFonts w:ascii="宋体" w:hAnsi="宋体" w:cs="宋体"/>
          <w:color w:val="auto"/>
          <w:kern w:val="0"/>
          <w:highlight w:val="none"/>
        </w:rPr>
      </w:pPr>
      <w:r>
        <w:rPr>
          <w:rFonts w:hint="eastAsia" w:ascii="宋体" w:hAnsi="宋体" w:cs="宋体"/>
          <w:color w:val="auto"/>
          <w:highlight w:val="none"/>
        </w:rPr>
        <w:t>投标人情况表</w:t>
      </w:r>
      <w:r>
        <w:rPr>
          <w:rFonts w:hint="eastAsia" w:ascii="宋体" w:hAnsi="宋体" w:cs="宋体"/>
          <w:color w:val="auto"/>
          <w:kern w:val="0"/>
          <w:highlight w:val="none"/>
        </w:rPr>
        <w:t>……………………………………… ……………………………（页码）</w:t>
      </w:r>
    </w:p>
    <w:p>
      <w:pPr>
        <w:numPr>
          <w:ilvl w:val="0"/>
          <w:numId w:val="22"/>
        </w:numPr>
        <w:ind w:firstLineChars="0"/>
        <w:rPr>
          <w:color w:val="auto"/>
          <w:highlight w:val="none"/>
        </w:rPr>
      </w:pPr>
      <w:r>
        <w:rPr>
          <w:rFonts w:ascii="宋体" w:hAnsi="宋体" w:cs="宋体"/>
          <w:color w:val="auto"/>
          <w:highlight w:val="none"/>
        </w:rPr>
        <w:t>技术规范偏离表</w:t>
      </w:r>
      <w:r>
        <w:rPr>
          <w:rFonts w:hint="eastAsia" w:ascii="宋体" w:hAnsi="宋体" w:cs="宋体"/>
          <w:color w:val="auto"/>
          <w:kern w:val="0"/>
          <w:highlight w:val="none"/>
        </w:rPr>
        <w:t>……………………………………………………………   …（页码）</w:t>
      </w:r>
    </w:p>
    <w:p>
      <w:pPr>
        <w:numPr>
          <w:ilvl w:val="0"/>
          <w:numId w:val="22"/>
        </w:numPr>
        <w:ind w:firstLineChars="0"/>
        <w:rPr>
          <w:color w:val="auto"/>
          <w:highlight w:val="none"/>
        </w:rPr>
      </w:pPr>
      <w:r>
        <w:rPr>
          <w:rFonts w:hint="eastAsia" w:ascii="宋体" w:hAnsi="宋体" w:cs="宋体"/>
          <w:color w:val="auto"/>
          <w:kern w:val="0"/>
          <w:highlight w:val="none"/>
        </w:rPr>
        <w:t>技术服务方案………………………………………    …………………  ……（页码）</w:t>
      </w:r>
    </w:p>
    <w:p>
      <w:pPr>
        <w:numPr>
          <w:ilvl w:val="0"/>
          <w:numId w:val="22"/>
        </w:numPr>
        <w:ind w:firstLineChars="0"/>
        <w:rPr>
          <w:rFonts w:ascii="宋体" w:hAnsi="宋体" w:cs="宋体"/>
          <w:color w:val="auto"/>
          <w:highlight w:val="none"/>
        </w:rPr>
      </w:pPr>
      <w:r>
        <w:rPr>
          <w:rFonts w:hint="eastAsia" w:ascii="宋体" w:hAnsi="宋体" w:cs="宋体"/>
          <w:color w:val="auto"/>
          <w:highlight w:val="none"/>
        </w:rPr>
        <w:t>实施技术人员一览表</w:t>
      </w:r>
      <w:r>
        <w:rPr>
          <w:rFonts w:hint="eastAsia" w:ascii="宋体" w:hAnsi="宋体" w:cs="宋体"/>
          <w:color w:val="auto"/>
          <w:kern w:val="0"/>
          <w:highlight w:val="none"/>
        </w:rPr>
        <w:t>……………………………………………………   ……（页码）</w:t>
      </w:r>
    </w:p>
    <w:p>
      <w:pPr>
        <w:numPr>
          <w:ilvl w:val="0"/>
          <w:numId w:val="22"/>
        </w:numPr>
        <w:ind w:firstLineChars="0"/>
        <w:rPr>
          <w:rFonts w:ascii="宋体" w:hAnsi="宋体" w:cs="宋体"/>
          <w:color w:val="auto"/>
          <w:highlight w:val="none"/>
        </w:rPr>
      </w:pPr>
      <w:r>
        <w:rPr>
          <w:rFonts w:hint="eastAsia" w:ascii="宋体" w:hAnsi="宋体" w:cs="宋体"/>
          <w:color w:val="auto"/>
          <w:kern w:val="0"/>
          <w:highlight w:val="none"/>
          <w:lang w:val="en-US" w:eastAsia="zh-CN"/>
        </w:rPr>
        <w:t>质量保证措施</w:t>
      </w:r>
      <w:r>
        <w:rPr>
          <w:rFonts w:hint="eastAsia" w:ascii="宋体" w:hAnsi="宋体" w:cs="宋体"/>
          <w:color w:val="auto"/>
          <w:kern w:val="0"/>
          <w:highlight w:val="none"/>
        </w:rPr>
        <w:t>………………………………………………………………………（页码）</w:t>
      </w:r>
    </w:p>
    <w:p>
      <w:pPr>
        <w:numPr>
          <w:ilvl w:val="0"/>
          <w:numId w:val="22"/>
        </w:numPr>
        <w:ind w:firstLineChars="0"/>
        <w:rPr>
          <w:rFonts w:ascii="宋体" w:hAnsi="宋体" w:cs="宋体"/>
          <w:color w:val="auto"/>
          <w:highlight w:val="none"/>
        </w:rPr>
      </w:pPr>
      <w:r>
        <w:rPr>
          <w:rFonts w:hint="eastAsia" w:ascii="宋体" w:hAnsi="宋体" w:cs="宋体"/>
          <w:color w:val="auto"/>
          <w:kern w:val="0"/>
          <w:highlight w:val="none"/>
        </w:rPr>
        <w:t>培训方案…………………………………………………………………………（页码）</w:t>
      </w:r>
    </w:p>
    <w:p>
      <w:pPr>
        <w:numPr>
          <w:ilvl w:val="0"/>
          <w:numId w:val="22"/>
        </w:numPr>
        <w:ind w:firstLineChars="0"/>
        <w:rPr>
          <w:rFonts w:ascii="宋体" w:hAnsi="宋体" w:cs="宋体"/>
          <w:color w:val="auto"/>
          <w:kern w:val="0"/>
          <w:highlight w:val="none"/>
        </w:rPr>
      </w:pPr>
      <w:r>
        <w:rPr>
          <w:rFonts w:hint="eastAsia" w:ascii="宋体" w:hAnsi="宋体" w:cs="宋体"/>
          <w:color w:val="auto"/>
          <w:highlight w:val="none"/>
        </w:rPr>
        <w:t>售后服务方案</w:t>
      </w:r>
      <w:r>
        <w:rPr>
          <w:rFonts w:hint="eastAsia" w:ascii="宋体" w:hAnsi="宋体" w:cs="宋体"/>
          <w:color w:val="auto"/>
          <w:kern w:val="0"/>
          <w:highlight w:val="none"/>
        </w:rPr>
        <w:t>……………………………………………………………  ………（页码）</w:t>
      </w:r>
    </w:p>
    <w:p>
      <w:pPr>
        <w:numPr>
          <w:ilvl w:val="0"/>
          <w:numId w:val="22"/>
        </w:numPr>
        <w:ind w:firstLineChars="0"/>
        <w:rPr>
          <w:rFonts w:ascii="宋体" w:hAnsi="宋体" w:cs="宋体"/>
          <w:color w:val="auto"/>
          <w:kern w:val="0"/>
          <w:highlight w:val="none"/>
        </w:rPr>
      </w:pPr>
      <w:r>
        <w:rPr>
          <w:rFonts w:hint="eastAsia" w:ascii="宋体" w:hAnsi="宋体" w:cs="宋体"/>
          <w:color w:val="auto"/>
          <w:highlight w:val="none"/>
        </w:rPr>
        <w:t>同类项目实施情况一览表</w:t>
      </w:r>
      <w:r>
        <w:rPr>
          <w:rFonts w:hint="eastAsia" w:ascii="宋体" w:hAnsi="宋体" w:cs="宋体"/>
          <w:color w:val="auto"/>
          <w:kern w:val="0"/>
          <w:highlight w:val="none"/>
        </w:rPr>
        <w:t>………………………………………………………  （页码）</w:t>
      </w:r>
    </w:p>
    <w:p>
      <w:pPr>
        <w:numPr>
          <w:ilvl w:val="0"/>
          <w:numId w:val="22"/>
        </w:numPr>
        <w:ind w:firstLineChars="0"/>
        <w:rPr>
          <w:rFonts w:ascii="宋体" w:hAnsi="宋体" w:cs="宋体"/>
          <w:color w:val="auto"/>
          <w:kern w:val="0"/>
          <w:highlight w:val="none"/>
        </w:rPr>
      </w:pPr>
      <w:r>
        <w:rPr>
          <w:rFonts w:hint="eastAsia" w:ascii="宋体" w:hAnsi="宋体" w:cs="宋体"/>
          <w:color w:val="auto"/>
          <w:kern w:val="0"/>
          <w:highlight w:val="none"/>
        </w:rPr>
        <w:t>其他……</w:t>
      </w:r>
    </w:p>
    <w:p>
      <w:pPr>
        <w:pStyle w:val="9"/>
        <w:rPr>
          <w:color w:val="auto"/>
          <w:highlight w:val="none"/>
        </w:rPr>
      </w:pPr>
      <w:r>
        <w:rPr>
          <w:rFonts w:hint="eastAsia" w:ascii="宋体" w:hAnsi="宋体" w:cs="宋体"/>
          <w:color w:val="auto"/>
          <w:kern w:val="0"/>
          <w:highlight w:val="none"/>
        </w:rPr>
        <w:t>……</w:t>
      </w:r>
    </w:p>
    <w:p>
      <w:pPr>
        <w:pStyle w:val="2"/>
        <w:rPr>
          <w:rFonts w:ascii="宋体" w:hAnsi="宋体" w:eastAsia="宋体" w:cs="宋体"/>
          <w:color w:val="auto"/>
          <w:highlight w:val="none"/>
        </w:rPr>
      </w:pPr>
    </w:p>
    <w:p>
      <w:pPr>
        <w:ind w:firstLine="480"/>
        <w:rPr>
          <w:rFonts w:ascii="宋体" w:hAnsi="宋体" w:cs="宋体"/>
          <w:iCs/>
          <w:color w:val="auto"/>
          <w:highlight w:val="none"/>
        </w:rPr>
      </w:pPr>
      <w:r>
        <w:rPr>
          <w:rFonts w:hint="eastAsia" w:ascii="宋体" w:hAnsi="宋体" w:cs="宋体"/>
          <w:iCs/>
          <w:color w:val="auto"/>
          <w:highlight w:val="none"/>
        </w:rPr>
        <w:br w:type="page"/>
      </w:r>
    </w:p>
    <w:p>
      <w:pPr>
        <w:pStyle w:val="6"/>
        <w:rPr>
          <w:rFonts w:ascii="宋体" w:hAnsi="宋体" w:cs="宋体"/>
          <w:color w:val="auto"/>
          <w:highlight w:val="none"/>
        </w:rPr>
      </w:pPr>
      <w:r>
        <w:rPr>
          <w:rFonts w:hint="eastAsia" w:ascii="宋体" w:hAnsi="宋体" w:cs="宋体"/>
          <w:iCs/>
          <w:color w:val="auto"/>
          <w:highlight w:val="none"/>
        </w:rPr>
        <w:t>附件五：法定代表人资格证明书、</w:t>
      </w:r>
      <w:r>
        <w:rPr>
          <w:rFonts w:hint="eastAsia" w:ascii="宋体" w:hAnsi="宋体" w:cs="宋体"/>
          <w:color w:val="auto"/>
          <w:highlight w:val="none"/>
        </w:rPr>
        <w:t>法定代表人授权书</w:t>
      </w:r>
    </w:p>
    <w:p>
      <w:pPr>
        <w:ind w:firstLine="0" w:firstLineChars="0"/>
        <w:rPr>
          <w:rFonts w:ascii="宋体" w:hAnsi="宋体" w:cs="宋体"/>
          <w:i/>
          <w:iCs/>
          <w:color w:val="auto"/>
          <w:highlight w:val="none"/>
        </w:rPr>
      </w:pPr>
    </w:p>
    <w:p>
      <w:pPr>
        <w:ind w:firstLine="458"/>
        <w:jc w:val="center"/>
        <w:rPr>
          <w:rFonts w:ascii="宋体" w:hAnsi="宋体"/>
          <w:b/>
          <w:color w:val="auto"/>
          <w:spacing w:val="-6"/>
          <w:highlight w:val="none"/>
        </w:rPr>
      </w:pPr>
      <w:r>
        <w:rPr>
          <w:rFonts w:ascii="宋体" w:hAnsi="宋体"/>
          <w:b/>
          <w:color w:val="auto"/>
          <w:spacing w:val="-6"/>
          <w:highlight w:val="none"/>
        </w:rPr>
        <w:t>法定代表人资格证明书</w:t>
      </w:r>
    </w:p>
    <w:p>
      <w:pPr>
        <w:ind w:firstLine="456"/>
        <w:rPr>
          <w:rFonts w:ascii="宋体" w:hAnsi="宋体"/>
          <w:bCs/>
          <w:color w:val="auto"/>
          <w:spacing w:val="-6"/>
          <w:highlight w:val="none"/>
        </w:rPr>
      </w:pPr>
      <w:r>
        <w:rPr>
          <w:rFonts w:hint="eastAsia" w:ascii="宋体" w:hAnsi="宋体"/>
          <w:bCs/>
          <w:color w:val="auto"/>
          <w:spacing w:val="-6"/>
          <w:highlight w:val="none"/>
        </w:rPr>
        <w:t>致：</w:t>
      </w:r>
      <w:r>
        <w:rPr>
          <w:rFonts w:hint="eastAsia" w:ascii="宋体" w:hAnsi="宋体" w:cs="宋体"/>
          <w:color w:val="auto"/>
          <w:spacing w:val="-6"/>
          <w:highlight w:val="none"/>
          <w:u w:val="single"/>
          <w:lang w:eastAsia="zh-CN"/>
        </w:rPr>
        <w:t>浙江机电职业技术学院</w:t>
      </w:r>
      <w:r>
        <w:rPr>
          <w:rFonts w:hint="eastAsia" w:ascii="宋体" w:hAnsi="宋体" w:cs="宋体"/>
          <w:color w:val="auto"/>
          <w:spacing w:val="-6"/>
          <w:highlight w:val="none"/>
          <w:u w:val="single"/>
        </w:rPr>
        <w:t>、浙江五石工程咨询有限公司</w:t>
      </w:r>
    </w:p>
    <w:p>
      <w:pPr>
        <w:ind w:firstLine="456"/>
        <w:rPr>
          <w:rFonts w:ascii="宋体" w:hAnsi="宋体"/>
          <w:bCs/>
          <w:color w:val="auto"/>
          <w:spacing w:val="-6"/>
          <w:highlight w:val="none"/>
        </w:rPr>
      </w:pPr>
      <w:r>
        <w:rPr>
          <w:rFonts w:hint="eastAsia" w:ascii="宋体" w:hAnsi="宋体"/>
          <w:bCs/>
          <w:color w:val="auto"/>
          <w:spacing w:val="-6"/>
          <w:highlight w:val="none"/>
        </w:rPr>
        <w:t>我</w:t>
      </w:r>
      <w:r>
        <w:rPr>
          <w:rFonts w:ascii="宋体" w:hAnsi="宋体"/>
          <w:color w:val="auto"/>
          <w:spacing w:val="-6"/>
          <w:highlight w:val="none"/>
        </w:rPr>
        <w:t>________________</w:t>
      </w:r>
      <w:r>
        <w:rPr>
          <w:rFonts w:ascii="宋体" w:hAnsi="宋体"/>
          <w:bCs/>
          <w:color w:val="auto"/>
          <w:spacing w:val="-6"/>
          <w:highlight w:val="none"/>
        </w:rPr>
        <w:t>（姓名）系</w:t>
      </w:r>
      <w:r>
        <w:rPr>
          <w:rFonts w:hint="eastAsia" w:ascii="宋体" w:hAnsi="宋体"/>
          <w:bCs/>
          <w:color w:val="auto"/>
          <w:spacing w:val="-6"/>
          <w:highlight w:val="none"/>
        </w:rPr>
        <w:t>_________________________投标人名称）</w:t>
      </w:r>
      <w:r>
        <w:rPr>
          <w:rFonts w:ascii="宋体" w:hAnsi="宋体"/>
          <w:bCs/>
          <w:color w:val="auto"/>
          <w:spacing w:val="-6"/>
          <w:highlight w:val="none"/>
        </w:rPr>
        <w:t>的法定代表人，身份证</w:t>
      </w:r>
      <w:r>
        <w:rPr>
          <w:rFonts w:hint="eastAsia" w:ascii="宋体" w:hAnsi="宋体"/>
          <w:bCs/>
          <w:color w:val="auto"/>
          <w:spacing w:val="-6"/>
          <w:highlight w:val="none"/>
        </w:rPr>
        <w:t>号码：_________________________________。</w:t>
      </w:r>
    </w:p>
    <w:p>
      <w:pPr>
        <w:ind w:firstLine="456"/>
        <w:rPr>
          <w:rFonts w:ascii="宋体" w:hAnsi="宋体"/>
          <w:bCs/>
          <w:color w:val="auto"/>
          <w:spacing w:val="-6"/>
          <w:highlight w:val="none"/>
        </w:rPr>
      </w:pPr>
      <w:r>
        <w:rPr>
          <w:rFonts w:ascii="宋体" w:hAnsi="宋体"/>
          <w:bCs/>
          <w:color w:val="auto"/>
          <w:spacing w:val="-6"/>
          <w:highlight w:val="none"/>
        </w:rPr>
        <w:t>特此证明。</w:t>
      </w:r>
    </w:p>
    <w:p>
      <w:pPr>
        <w:ind w:firstLine="456"/>
        <w:rPr>
          <w:rFonts w:ascii="宋体" w:hAnsi="宋体"/>
          <w:bCs/>
          <w:color w:val="auto"/>
          <w:spacing w:val="-6"/>
          <w:highlight w:val="none"/>
        </w:rPr>
      </w:pPr>
    </w:p>
    <w:tbl>
      <w:tblPr>
        <w:tblStyle w:val="3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ind w:firstLine="480"/>
              <w:rPr>
                <w:rFonts w:ascii="宋体" w:hAnsi="宋体"/>
                <w:color w:val="auto"/>
                <w:highlight w:val="none"/>
              </w:rPr>
            </w:pPr>
            <w:r>
              <w:rPr>
                <w:rFonts w:hint="eastAsia" w:ascii="新宋体" w:hAnsi="新宋体" w:eastAsia="新宋体"/>
                <w:color w:val="auto"/>
                <w:highlight w:val="none"/>
              </w:rPr>
              <w:t>法定代表人</w:t>
            </w:r>
            <w:r>
              <w:rPr>
                <w:rFonts w:hint="eastAsia" w:ascii="宋体" w:hAnsi="宋体"/>
                <w:color w:val="auto"/>
                <w:highlight w:val="none"/>
              </w:rPr>
              <w:t>身份证：</w:t>
            </w: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p>
          <w:p>
            <w:pPr>
              <w:ind w:firstLine="480"/>
              <w:rPr>
                <w:rFonts w:ascii="宋体" w:hAnsi="宋体"/>
                <w:color w:val="auto"/>
                <w:highlight w:val="none"/>
              </w:rPr>
            </w:pPr>
            <w:r>
              <w:rPr>
                <w:rFonts w:hint="eastAsia" w:ascii="宋体" w:hAnsi="宋体"/>
                <w:color w:val="auto"/>
                <w:highlight w:val="none"/>
              </w:rPr>
              <w:t>复印件粘贴处</w:t>
            </w:r>
          </w:p>
          <w:p>
            <w:pPr>
              <w:ind w:firstLine="456"/>
              <w:rPr>
                <w:rFonts w:ascii="宋体" w:hAnsi="宋体"/>
                <w:bCs/>
                <w:color w:val="auto"/>
                <w:spacing w:val="-6"/>
                <w:highlight w:val="none"/>
              </w:rPr>
            </w:pPr>
          </w:p>
        </w:tc>
      </w:tr>
    </w:tbl>
    <w:p>
      <w:pPr>
        <w:ind w:firstLine="456"/>
        <w:rPr>
          <w:rFonts w:ascii="宋体" w:hAnsi="宋体"/>
          <w:bCs/>
          <w:color w:val="auto"/>
          <w:spacing w:val="-6"/>
          <w:highlight w:val="none"/>
        </w:rPr>
      </w:pPr>
    </w:p>
    <w:p>
      <w:pPr>
        <w:ind w:right="456" w:firstLine="458"/>
        <w:rPr>
          <w:rFonts w:ascii="宋体" w:hAnsi="宋体"/>
          <w:b/>
          <w:bCs/>
          <w:color w:val="auto"/>
          <w:spacing w:val="-6"/>
          <w:highlight w:val="none"/>
        </w:rPr>
      </w:pPr>
    </w:p>
    <w:p>
      <w:pPr>
        <w:ind w:right="456" w:firstLine="458"/>
        <w:rPr>
          <w:rFonts w:ascii="宋体" w:hAnsi="宋体"/>
          <w:b/>
          <w:bCs/>
          <w:color w:val="auto"/>
          <w:spacing w:val="-6"/>
          <w:highlight w:val="none"/>
        </w:rPr>
      </w:pPr>
    </w:p>
    <w:p>
      <w:pPr>
        <w:ind w:right="456" w:firstLine="458"/>
        <w:rPr>
          <w:rFonts w:ascii="宋体" w:hAnsi="宋体"/>
          <w:b/>
          <w:bCs/>
          <w:color w:val="auto"/>
          <w:spacing w:val="-6"/>
          <w:highlight w:val="none"/>
        </w:rPr>
      </w:pPr>
    </w:p>
    <w:p>
      <w:pPr>
        <w:ind w:right="456" w:firstLine="458"/>
        <w:rPr>
          <w:rFonts w:ascii="宋体" w:hAnsi="宋体"/>
          <w:b/>
          <w:bCs/>
          <w:color w:val="auto"/>
          <w:spacing w:val="-6"/>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ind w:right="456" w:firstLine="456"/>
        <w:rPr>
          <w:rFonts w:ascii="宋体" w:hAnsi="宋体"/>
          <w:bCs/>
          <w:color w:val="auto"/>
          <w:spacing w:val="-6"/>
          <w:highlight w:val="none"/>
        </w:rPr>
        <w:sectPr>
          <w:pgSz w:w="11907" w:h="16840"/>
          <w:pgMar w:top="1247" w:right="1304" w:bottom="1021" w:left="1304" w:header="720" w:footer="720" w:gutter="0"/>
          <w:cols w:space="720" w:num="1"/>
          <w:docGrid w:linePitch="286" w:charSpace="0"/>
        </w:sectPr>
      </w:pPr>
    </w:p>
    <w:p>
      <w:pPr>
        <w:ind w:left="-720" w:right="-965" w:firstLine="0" w:firstLineChars="0"/>
        <w:jc w:val="center"/>
        <w:rPr>
          <w:rFonts w:ascii="宋体" w:hAnsi="宋体" w:cs="宋体"/>
          <w:b/>
          <w:bCs/>
          <w:color w:val="auto"/>
          <w:spacing w:val="30"/>
          <w:highlight w:val="none"/>
        </w:rPr>
      </w:pPr>
      <w:r>
        <w:rPr>
          <w:rFonts w:hint="eastAsia" w:ascii="宋体" w:hAnsi="宋体" w:cs="宋体"/>
          <w:b/>
          <w:bCs/>
          <w:color w:val="auto"/>
          <w:spacing w:val="30"/>
          <w:highlight w:val="none"/>
        </w:rPr>
        <w:t>法定代表人授权书</w:t>
      </w:r>
    </w:p>
    <w:p>
      <w:pPr>
        <w:tabs>
          <w:tab w:val="left" w:pos="1575"/>
        </w:tabs>
        <w:ind w:firstLine="0" w:firstLineChars="0"/>
        <w:jc w:val="center"/>
        <w:rPr>
          <w:rFonts w:ascii="宋体" w:hAnsi="宋体" w:cs="宋体"/>
          <w:color w:val="auto"/>
          <w:highlight w:val="none"/>
        </w:rPr>
      </w:pPr>
    </w:p>
    <w:p>
      <w:pPr>
        <w:ind w:firstLine="0" w:firstLineChars="0"/>
        <w:rPr>
          <w:rFonts w:ascii="宋体" w:hAnsi="宋体" w:cs="宋体"/>
          <w:color w:val="auto"/>
          <w:highlight w:val="none"/>
          <w:u w:val="single"/>
        </w:rPr>
      </w:pPr>
      <w:r>
        <w:rPr>
          <w:rFonts w:hint="eastAsia" w:ascii="宋体" w:hAnsi="宋体" w:cs="宋体"/>
          <w:color w:val="auto"/>
          <w:highlight w:val="none"/>
        </w:rPr>
        <w:t>致：</w:t>
      </w:r>
      <w:r>
        <w:rPr>
          <w:rFonts w:hint="eastAsia" w:ascii="宋体" w:hAnsi="宋体" w:cs="宋体"/>
          <w:color w:val="auto"/>
          <w:spacing w:val="-6"/>
          <w:highlight w:val="none"/>
          <w:u w:val="single"/>
          <w:lang w:eastAsia="zh-CN"/>
        </w:rPr>
        <w:t>浙江机电职业技术学院</w:t>
      </w:r>
      <w:r>
        <w:rPr>
          <w:rFonts w:hint="eastAsia" w:ascii="宋体" w:hAnsi="宋体" w:cs="宋体"/>
          <w:color w:val="auto"/>
          <w:spacing w:val="-6"/>
          <w:highlight w:val="none"/>
          <w:u w:val="single"/>
        </w:rPr>
        <w:t>、浙江五石工程咨询有限公司</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（投标人全称）法定代表人</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rPr>
      </w:pPr>
      <w:r>
        <w:rPr>
          <w:rFonts w:hint="eastAsia" w:ascii="宋体" w:hAnsi="宋体" w:cs="宋体"/>
          <w:color w:val="auto"/>
          <w:highlight w:val="none"/>
        </w:rPr>
        <w:t>授权</w:t>
      </w:r>
      <w:r>
        <w:rPr>
          <w:rFonts w:hint="eastAsia" w:ascii="宋体" w:hAnsi="宋体" w:cs="宋体"/>
          <w:color w:val="auto"/>
          <w:highlight w:val="none"/>
          <w:u w:val="single"/>
        </w:rPr>
        <w:t xml:space="preserve">                       </w:t>
      </w:r>
      <w:r>
        <w:rPr>
          <w:rFonts w:hint="eastAsia" w:ascii="宋体" w:hAnsi="宋体" w:cs="宋体"/>
          <w:color w:val="auto"/>
          <w:highlight w:val="none"/>
        </w:rPr>
        <w:t>（全权代表姓名、职务）为全权代表，参加贵方组织的</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项目（招标编号）采购活动，全权处理采购活动中的一切事宜。</w:t>
      </w:r>
    </w:p>
    <w:p>
      <w:pPr>
        <w:ind w:firstLine="0" w:firstLineChars="0"/>
        <w:rPr>
          <w:rFonts w:ascii="宋体" w:hAnsi="宋体" w:cs="宋体"/>
          <w:color w:val="auto"/>
          <w:highlight w:val="none"/>
        </w:rPr>
      </w:pPr>
      <w:r>
        <w:rPr>
          <w:rFonts w:hint="eastAsia" w:ascii="宋体" w:hAnsi="宋体" w:cs="宋体"/>
          <w:color w:val="auto"/>
          <w:highlight w:val="none"/>
        </w:rPr>
        <w:t xml:space="preserve">    本授权书于</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日签署生效，特此声明。</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b/>
          <w:bCs/>
          <w:color w:val="auto"/>
          <w:highlight w:val="none"/>
        </w:rPr>
        <w:t>附法定代表人、授权委托人身份证复印件正反面及社保证明。</w:t>
      </w:r>
    </w:p>
    <w:p>
      <w:pPr>
        <w:ind w:firstLine="0" w:firstLineChars="0"/>
        <w:rPr>
          <w:rFonts w:ascii="宋体" w:hAnsi="宋体" w:cs="宋体"/>
          <w:color w:val="auto"/>
          <w:highlight w:val="none"/>
        </w:rPr>
      </w:pPr>
      <w:r>
        <w:rPr>
          <w:rFonts w:hint="eastAsia" w:ascii="宋体" w:hAnsi="宋体" w:cs="宋体"/>
          <w:color w:val="auto"/>
          <w:highlight w:val="none"/>
        </w:rPr>
        <w:t>法定代表人（签字或签章）：</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投标人名称（公章）：</w:t>
      </w:r>
    </w:p>
    <w:p>
      <w:pPr>
        <w:ind w:firstLine="0" w:firstLineChars="0"/>
        <w:rPr>
          <w:rFonts w:ascii="宋体" w:hAnsi="宋体" w:cs="宋体"/>
          <w:color w:val="auto"/>
          <w:highlight w:val="none"/>
        </w:rPr>
      </w:pPr>
      <w:r>
        <w:rPr>
          <w:rFonts w:hint="eastAsia" w:ascii="宋体" w:hAnsi="宋体" w:cs="宋体"/>
          <w:color w:val="auto"/>
          <w:highlight w:val="none"/>
        </w:rPr>
        <w:t>日期：</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p>
    <w:p>
      <w:pPr>
        <w:ind w:firstLine="0" w:firstLineChars="0"/>
        <w:rPr>
          <w:rFonts w:ascii="宋体" w:hAnsi="宋体" w:cs="宋体"/>
          <w:color w:val="auto"/>
          <w:highlight w:val="none"/>
        </w:rPr>
      </w:pPr>
      <w:r>
        <w:rPr>
          <w:rFonts w:hint="eastAsia" w:ascii="宋体" w:hAnsi="宋体" w:cs="宋体"/>
          <w:color w:val="auto"/>
          <w:highlight w:val="none"/>
        </w:rPr>
        <w:t xml:space="preserve"> 附：</w:t>
      </w:r>
    </w:p>
    <w:p>
      <w:pPr>
        <w:ind w:firstLine="0" w:firstLineChars="0"/>
        <w:rPr>
          <w:rFonts w:ascii="宋体" w:hAnsi="宋体" w:cs="宋体"/>
          <w:color w:val="auto"/>
          <w:highlight w:val="none"/>
        </w:rPr>
      </w:pPr>
      <w:r>
        <w:rPr>
          <w:rFonts w:hint="eastAsia" w:ascii="宋体" w:hAnsi="宋体" w:cs="宋体"/>
          <w:color w:val="auto"/>
          <w:highlight w:val="none"/>
        </w:rPr>
        <w:t>全权代表姓名（签字）：</w:t>
      </w:r>
    </w:p>
    <w:p>
      <w:pPr>
        <w:ind w:firstLine="0" w:firstLineChars="0"/>
        <w:rPr>
          <w:rFonts w:ascii="宋体" w:hAnsi="宋体" w:cs="宋体"/>
          <w:color w:val="auto"/>
          <w:highlight w:val="none"/>
        </w:rPr>
      </w:pPr>
      <w:r>
        <w:rPr>
          <w:rFonts w:hint="eastAsia" w:ascii="宋体" w:hAnsi="宋体" w:cs="宋体"/>
          <w:color w:val="auto"/>
          <w:highlight w:val="none"/>
        </w:rPr>
        <w:t xml:space="preserve">    职        务：</w:t>
      </w:r>
    </w:p>
    <w:p>
      <w:pPr>
        <w:ind w:firstLine="0" w:firstLineChars="0"/>
        <w:rPr>
          <w:rFonts w:ascii="宋体" w:hAnsi="宋体" w:cs="宋体"/>
          <w:color w:val="auto"/>
          <w:highlight w:val="none"/>
        </w:rPr>
      </w:pPr>
      <w:r>
        <w:rPr>
          <w:rFonts w:hint="eastAsia" w:ascii="宋体" w:hAnsi="宋体" w:cs="宋体"/>
          <w:color w:val="auto"/>
          <w:highlight w:val="none"/>
        </w:rPr>
        <w:t xml:space="preserve">    详细通讯地址：</w:t>
      </w:r>
    </w:p>
    <w:p>
      <w:pPr>
        <w:ind w:firstLine="0" w:firstLineChars="0"/>
        <w:rPr>
          <w:rFonts w:ascii="宋体" w:hAnsi="宋体" w:cs="宋体"/>
          <w:color w:val="auto"/>
          <w:highlight w:val="none"/>
        </w:rPr>
      </w:pPr>
      <w:r>
        <w:rPr>
          <w:rFonts w:hint="eastAsia" w:ascii="宋体" w:hAnsi="宋体" w:cs="宋体"/>
          <w:color w:val="auto"/>
          <w:highlight w:val="none"/>
        </w:rPr>
        <w:t xml:space="preserve">    邮 政  编 码：</w:t>
      </w:r>
    </w:p>
    <w:p>
      <w:pPr>
        <w:ind w:firstLine="0" w:firstLineChars="0"/>
        <w:rPr>
          <w:rFonts w:ascii="宋体" w:hAnsi="宋体" w:cs="宋体"/>
          <w:color w:val="auto"/>
          <w:highlight w:val="none"/>
        </w:rPr>
      </w:pPr>
      <w:r>
        <w:rPr>
          <w:rFonts w:hint="eastAsia" w:ascii="宋体" w:hAnsi="宋体" w:cs="宋体"/>
          <w:color w:val="auto"/>
          <w:highlight w:val="none"/>
        </w:rPr>
        <w:t xml:space="preserve">    传        真：</w:t>
      </w:r>
    </w:p>
    <w:p>
      <w:pPr>
        <w:ind w:firstLine="0" w:firstLineChars="0"/>
        <w:rPr>
          <w:rFonts w:ascii="宋体" w:hAnsi="宋体" w:cs="宋体"/>
          <w:color w:val="auto"/>
          <w:highlight w:val="none"/>
        </w:rPr>
      </w:pPr>
      <w:r>
        <w:rPr>
          <w:rFonts w:hint="eastAsia" w:ascii="宋体" w:hAnsi="宋体" w:cs="宋体"/>
          <w:color w:val="auto"/>
          <w:highlight w:val="none"/>
        </w:rPr>
        <w:t xml:space="preserve">    移 动  电 话：</w:t>
      </w:r>
    </w:p>
    <w:p>
      <w:pPr>
        <w:ind w:firstLine="0" w:firstLineChars="0"/>
        <w:rPr>
          <w:rFonts w:ascii="宋体" w:hAnsi="宋体" w:cs="宋体"/>
          <w:color w:val="auto"/>
          <w:spacing w:val="6"/>
          <w:highlight w:val="none"/>
        </w:rPr>
      </w:pPr>
    </w:p>
    <w:p>
      <w:pPr>
        <w:ind w:firstLine="0" w:firstLineChars="0"/>
        <w:rPr>
          <w:rFonts w:ascii="宋体" w:hAnsi="宋体" w:cs="宋体"/>
          <w:color w:val="auto"/>
          <w:highlight w:val="none"/>
        </w:rPr>
      </w:pPr>
    </w:p>
    <w:p>
      <w:pPr>
        <w:ind w:firstLine="0" w:firstLineChars="0"/>
        <w:rPr>
          <w:rFonts w:ascii="宋体" w:hAnsi="宋体" w:cs="宋体"/>
          <w:b/>
          <w:color w:val="auto"/>
          <w:highlight w:val="none"/>
        </w:rPr>
      </w:pPr>
    </w:p>
    <w:p>
      <w:pPr>
        <w:ind w:left="525" w:firstLine="0" w:firstLineChars="0"/>
        <w:jc w:val="center"/>
        <w:rPr>
          <w:rFonts w:ascii="宋体" w:hAnsi="宋体" w:cs="宋体"/>
          <w:b/>
          <w:color w:val="auto"/>
          <w:highlight w:val="none"/>
        </w:rPr>
      </w:pPr>
    </w:p>
    <w:p>
      <w:pPr>
        <w:ind w:left="525" w:firstLine="0" w:firstLineChars="0"/>
        <w:jc w:val="center"/>
        <w:rPr>
          <w:rFonts w:ascii="宋体" w:hAnsi="宋体" w:cs="宋体"/>
          <w:b/>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6"/>
        <w:rPr>
          <w:rFonts w:ascii="宋体" w:hAnsi="宋体" w:cs="宋体"/>
          <w:color w:val="auto"/>
          <w:highlight w:val="none"/>
        </w:rPr>
      </w:pPr>
      <w:r>
        <w:rPr>
          <w:rFonts w:hint="eastAsia" w:ascii="宋体" w:hAnsi="宋体" w:cs="宋体"/>
          <w:color w:val="auto"/>
          <w:highlight w:val="none"/>
        </w:rPr>
        <w:t>附件六 投标声明书</w:t>
      </w:r>
    </w:p>
    <w:p>
      <w:pPr>
        <w:ind w:firstLine="4337" w:firstLineChars="1800"/>
        <w:rPr>
          <w:rFonts w:ascii="宋体" w:hAnsi="宋体" w:cs="宋体"/>
          <w:b/>
          <w:bCs/>
          <w:color w:val="auto"/>
          <w:szCs w:val="40"/>
          <w:highlight w:val="none"/>
        </w:rPr>
      </w:pPr>
      <w:r>
        <w:rPr>
          <w:rFonts w:hint="eastAsia" w:ascii="宋体" w:hAnsi="宋体" w:cs="宋体"/>
          <w:b/>
          <w:bCs/>
          <w:color w:val="auto"/>
          <w:szCs w:val="40"/>
          <w:highlight w:val="none"/>
        </w:rPr>
        <w:t>投标声明书</w:t>
      </w:r>
    </w:p>
    <w:p>
      <w:pPr>
        <w:snapToGrid w:val="0"/>
        <w:ind w:firstLine="0" w:firstLineChars="0"/>
        <w:rPr>
          <w:rFonts w:ascii="宋体" w:hAnsi="宋体" w:cs="宋体"/>
          <w:color w:val="auto"/>
          <w:highlight w:val="none"/>
        </w:rPr>
      </w:pPr>
      <w:r>
        <w:rPr>
          <w:rFonts w:hint="eastAsia" w:ascii="宋体" w:hAnsi="宋体" w:cs="宋体"/>
          <w:color w:val="auto"/>
          <w:highlight w:val="none"/>
          <w:lang w:eastAsia="zh-CN"/>
        </w:rPr>
        <w:t>浙江机电职业技术学院</w:t>
      </w:r>
      <w:r>
        <w:rPr>
          <w:rFonts w:hint="eastAsia" w:ascii="宋体" w:hAnsi="宋体" w:cs="宋体"/>
          <w:color w:val="auto"/>
          <w:highlight w:val="none"/>
        </w:rPr>
        <w:t>、浙江五石工程咨询有限公司：</w:t>
      </w:r>
    </w:p>
    <w:p>
      <w:pPr>
        <w:ind w:firstLine="480"/>
        <w:rPr>
          <w:rFonts w:ascii="宋体" w:hAnsi="宋体" w:cs="宋体"/>
          <w:color w:val="auto"/>
          <w:highlight w:val="none"/>
        </w:rPr>
      </w:pPr>
      <w:r>
        <w:rPr>
          <w:rFonts w:hint="eastAsia" w:ascii="宋体" w:hAnsi="宋体" w:cs="宋体"/>
          <w:color w:val="auto"/>
          <w:kern w:val="0"/>
          <w:highlight w:val="none"/>
          <w:lang w:val="zh-CN"/>
        </w:rPr>
        <w:t>我公司</w:t>
      </w:r>
      <w:r>
        <w:rPr>
          <w:rFonts w:hint="eastAsia" w:ascii="宋体" w:hAnsi="宋体" w:cs="宋体"/>
          <w:color w:val="auto"/>
          <w:highlight w:val="none"/>
        </w:rPr>
        <w:t>声明截止投标时间近三年以来，在</w:t>
      </w:r>
      <w:r>
        <w:rPr>
          <w:rFonts w:hint="eastAsia" w:ascii="宋体" w:hAnsi="宋体" w:cs="宋体"/>
          <w:color w:val="auto"/>
          <w:kern w:val="0"/>
          <w:highlight w:val="none"/>
        </w:rPr>
        <w:t>政府采购领域中</w:t>
      </w:r>
      <w:r>
        <w:rPr>
          <w:rFonts w:hint="eastAsia" w:ascii="宋体" w:hAnsi="宋体" w:cs="宋体"/>
          <w:color w:val="auto"/>
          <w:highlight w:val="none"/>
        </w:rPr>
        <w:t>，在项目招标、投标和合同履约期间无任何不良行为记录和违法、违规行为</w:t>
      </w:r>
      <w:r>
        <w:rPr>
          <w:rFonts w:hint="eastAsia" w:ascii="宋体" w:hAnsi="宋体" w:cs="宋体"/>
          <w:color w:val="auto"/>
          <w:kern w:val="0"/>
          <w:highlight w:val="none"/>
          <w:lang w:val="zh-CN"/>
        </w:rPr>
        <w:t>。</w:t>
      </w:r>
    </w:p>
    <w:p>
      <w:pPr>
        <w:ind w:firstLine="480"/>
        <w:rPr>
          <w:rFonts w:ascii="宋体" w:hAnsi="宋体" w:cs="宋体"/>
          <w:color w:val="auto"/>
          <w:highlight w:val="none"/>
        </w:rPr>
      </w:pPr>
      <w:r>
        <w:rPr>
          <w:rFonts w:hint="eastAsia" w:ascii="宋体" w:hAnsi="宋体" w:cs="宋体"/>
          <w:color w:val="auto"/>
          <w:highlight w:val="none"/>
        </w:rPr>
        <w:t>我公司自愿参加杭州市开元商贸职业学校体艺楼音响、灯光设备、LED显示屏、三校区统一网络出口升级改造、录播机房兼教室项目[招标编号：HJZCD-2019-014]的投标，并保证投标文件中所列举的投标报价文件及相关资料和公司基本情况资料是真实的、合法的。</w:t>
      </w:r>
    </w:p>
    <w:p>
      <w:pPr>
        <w:ind w:firstLine="480"/>
        <w:rPr>
          <w:rFonts w:ascii="宋体" w:hAnsi="宋体" w:cs="宋体"/>
          <w:color w:val="auto"/>
          <w:kern w:val="0"/>
          <w:highlight w:val="none"/>
          <w:lang w:val="zh-CN"/>
        </w:rPr>
      </w:pPr>
      <w:r>
        <w:rPr>
          <w:rFonts w:hint="eastAsia" w:ascii="宋体" w:hAnsi="宋体" w:cs="宋体"/>
          <w:color w:val="auto"/>
          <w:kern w:val="0"/>
          <w:highlight w:val="none"/>
          <w:lang w:val="zh-CN"/>
        </w:rPr>
        <w:t>我公司已详细阅读全部“招标文件”，包括修改文件（如果有）以及全部招标资料和相关附件，并已了解我公司在招投标过程中的权利和义务。</w:t>
      </w:r>
    </w:p>
    <w:p>
      <w:pPr>
        <w:ind w:firstLine="480"/>
        <w:rPr>
          <w:rFonts w:ascii="宋体" w:hAnsi="宋体" w:cs="宋体"/>
          <w:color w:val="auto"/>
          <w:highlight w:val="none"/>
        </w:rPr>
      </w:pPr>
      <w:r>
        <w:rPr>
          <w:rFonts w:hint="eastAsia" w:ascii="宋体" w:hAnsi="宋体" w:cs="宋体"/>
          <w:color w:val="auto"/>
          <w:kern w:val="0"/>
          <w:highlight w:val="none"/>
          <w:lang w:val="zh-CN"/>
        </w:rPr>
        <w:t>我公司理解并接受招标文件的各项规定和要求，同意此次招标文件中的各项内容，</w:t>
      </w:r>
      <w:r>
        <w:rPr>
          <w:rFonts w:hint="eastAsia" w:ascii="宋体" w:hAnsi="宋体" w:cs="宋体"/>
          <w:color w:val="auto"/>
          <w:kern w:val="0"/>
          <w:highlight w:val="none"/>
        </w:rPr>
        <w:t>并</w:t>
      </w:r>
      <w:r>
        <w:rPr>
          <w:rFonts w:hint="eastAsia" w:ascii="宋体" w:hAnsi="宋体" w:cs="宋体"/>
          <w:color w:val="auto"/>
          <w:kern w:val="0"/>
          <w:highlight w:val="none"/>
          <w:lang w:val="zh-CN"/>
        </w:rPr>
        <w:t>同意提供按照贵方可能要求的与投标有关的一切数据或资料等。</w:t>
      </w:r>
    </w:p>
    <w:p>
      <w:pPr>
        <w:ind w:firstLine="480"/>
        <w:rPr>
          <w:rFonts w:ascii="宋体" w:hAnsi="宋体" w:cs="宋体"/>
          <w:color w:val="auto"/>
          <w:kern w:val="0"/>
          <w:highlight w:val="none"/>
          <w:lang w:val="zh-CN"/>
        </w:rPr>
      </w:pPr>
      <w:r>
        <w:rPr>
          <w:rFonts w:hint="eastAsia" w:ascii="宋体" w:hAnsi="宋体" w:cs="宋体"/>
          <w:color w:val="auto"/>
          <w:kern w:val="0"/>
          <w:highlight w:val="none"/>
          <w:lang w:val="zh-CN"/>
        </w:rPr>
        <w:t>本公司如中标，保证按照投标文件的承诺与贵方签订合同，保证履行合同条款并缴纳履约保证金。</w:t>
      </w:r>
    </w:p>
    <w:p>
      <w:pPr>
        <w:pStyle w:val="2"/>
        <w:rPr>
          <w:rFonts w:ascii="宋体" w:hAnsi="宋体" w:eastAsia="宋体" w:cs="宋体"/>
          <w:color w:val="auto"/>
          <w:highlight w:val="none"/>
          <w:lang w:val="zh-CN"/>
        </w:rPr>
      </w:pPr>
    </w:p>
    <w:p>
      <w:pPr>
        <w:pStyle w:val="2"/>
        <w:rPr>
          <w:rFonts w:ascii="宋体" w:hAnsi="宋体" w:eastAsia="宋体" w:cs="宋体"/>
          <w:color w:val="auto"/>
          <w:highlight w:val="none"/>
          <w:lang w:val="zh-CN"/>
        </w:rPr>
      </w:pPr>
    </w:p>
    <w:p>
      <w:pPr>
        <w:pStyle w:val="2"/>
        <w:rPr>
          <w:rFonts w:ascii="宋体" w:hAnsi="宋体" w:eastAsia="宋体" w:cs="宋体"/>
          <w:color w:val="auto"/>
          <w:highlight w:val="none"/>
          <w:lang w:val="zh-CN"/>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2"/>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6"/>
        <w:rPr>
          <w:rFonts w:ascii="宋体" w:hAnsi="宋体" w:cs="宋体"/>
          <w:color w:val="auto"/>
          <w:highlight w:val="none"/>
        </w:rPr>
      </w:pPr>
      <w:r>
        <w:rPr>
          <w:rFonts w:hint="eastAsia" w:ascii="宋体" w:hAnsi="宋体" w:cs="宋体"/>
          <w:color w:val="auto"/>
          <w:highlight w:val="none"/>
        </w:rPr>
        <w:t>附件七 廉政承诺书</w:t>
      </w:r>
    </w:p>
    <w:p>
      <w:pPr>
        <w:spacing w:line="240" w:lineRule="auto"/>
        <w:ind w:firstLine="0" w:firstLineChars="0"/>
        <w:rPr>
          <w:rFonts w:ascii="宋体" w:hAnsi="宋体" w:cs="宋体"/>
          <w:color w:val="auto"/>
          <w:sz w:val="32"/>
          <w:szCs w:val="32"/>
          <w:highlight w:val="none"/>
        </w:rPr>
      </w:pPr>
    </w:p>
    <w:p>
      <w:pPr>
        <w:spacing w:line="240" w:lineRule="auto"/>
        <w:ind w:firstLine="0" w:firstLineChars="0"/>
        <w:rPr>
          <w:rFonts w:ascii="宋体" w:hAnsi="宋体" w:cs="宋体"/>
          <w:color w:val="auto"/>
          <w:highlight w:val="none"/>
        </w:rPr>
      </w:pPr>
      <w:r>
        <w:rPr>
          <w:rFonts w:hint="eastAsia" w:ascii="宋体" w:hAnsi="宋体" w:cs="宋体"/>
          <w:color w:val="auto"/>
          <w:highlight w:val="none"/>
          <w:lang w:eastAsia="zh-CN"/>
        </w:rPr>
        <w:t>浙江机电职业技术学院</w:t>
      </w:r>
      <w:r>
        <w:rPr>
          <w:rFonts w:hint="eastAsia" w:ascii="宋体" w:hAnsi="宋体" w:cs="宋体"/>
          <w:color w:val="auto"/>
          <w:highlight w:val="none"/>
        </w:rPr>
        <w:t>：</w:t>
      </w:r>
    </w:p>
    <w:p>
      <w:pPr>
        <w:pStyle w:val="2"/>
        <w:rPr>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 xml:space="preserve">我单位响应你单位项目招标要求参加投标。在这次投标过程中和中标后，我们将严格遵守国家法律法规要求，并郑重承诺： </w:t>
      </w:r>
    </w:p>
    <w:p>
      <w:pPr>
        <w:ind w:firstLine="480"/>
        <w:rPr>
          <w:rFonts w:ascii="宋体" w:hAnsi="宋体" w:cs="宋体"/>
          <w:color w:val="auto"/>
          <w:highlight w:val="none"/>
        </w:rPr>
      </w:pPr>
      <w:r>
        <w:rPr>
          <w:rFonts w:hint="eastAsia" w:ascii="宋体" w:hAnsi="宋体" w:cs="宋体"/>
          <w:color w:val="auto"/>
          <w:highlight w:val="none"/>
        </w:rPr>
        <w:t>一、不向项目有关人员及部门赠送礼金礼物、有价证券、回扣以及中介费、介绍费、咨询费等好处费；</w:t>
      </w:r>
    </w:p>
    <w:p>
      <w:pPr>
        <w:ind w:firstLine="480"/>
        <w:rPr>
          <w:rFonts w:ascii="宋体" w:hAnsi="宋体" w:cs="宋体"/>
          <w:color w:val="auto"/>
          <w:highlight w:val="none"/>
        </w:rPr>
      </w:pPr>
      <w:r>
        <w:rPr>
          <w:rFonts w:hint="eastAsia" w:ascii="宋体" w:hAnsi="宋体" w:cs="宋体"/>
          <w:color w:val="auto"/>
          <w:highlight w:val="none"/>
        </w:rPr>
        <w:t>二、不为项目有关人员及部门报销应由你方单位或个人支付的费用；</w:t>
      </w:r>
    </w:p>
    <w:p>
      <w:pPr>
        <w:ind w:firstLine="480"/>
        <w:rPr>
          <w:rFonts w:ascii="宋体" w:hAnsi="宋体" w:cs="宋体"/>
          <w:color w:val="auto"/>
          <w:highlight w:val="none"/>
        </w:rPr>
      </w:pPr>
      <w:r>
        <w:rPr>
          <w:rFonts w:hint="eastAsia" w:ascii="宋体" w:hAnsi="宋体" w:cs="宋体"/>
          <w:color w:val="auto"/>
          <w:highlight w:val="none"/>
        </w:rPr>
        <w:t>三、不向项目有关人员及部门提供有可能影响公正的宴请和健身娱乐等活动；</w:t>
      </w:r>
    </w:p>
    <w:p>
      <w:pPr>
        <w:ind w:firstLine="480"/>
        <w:rPr>
          <w:rFonts w:ascii="宋体" w:hAnsi="宋体" w:cs="宋体"/>
          <w:color w:val="auto"/>
          <w:highlight w:val="none"/>
        </w:rPr>
      </w:pPr>
      <w:r>
        <w:rPr>
          <w:rFonts w:hint="eastAsia" w:ascii="宋体" w:hAnsi="宋体" w:cs="宋体"/>
          <w:color w:val="auto"/>
          <w:highlight w:val="none"/>
        </w:rPr>
        <w:t>四、不为项目有关人员及部门出国（境）、旅游等提供方便；</w:t>
      </w:r>
    </w:p>
    <w:p>
      <w:pPr>
        <w:ind w:firstLine="480"/>
        <w:rPr>
          <w:rFonts w:ascii="宋体" w:hAnsi="宋体" w:cs="宋体"/>
          <w:color w:val="auto"/>
          <w:highlight w:val="none"/>
        </w:rPr>
      </w:pPr>
      <w:r>
        <w:rPr>
          <w:rFonts w:hint="eastAsia" w:ascii="宋体" w:hAnsi="宋体" w:cs="宋体"/>
          <w:color w:val="auto"/>
          <w:highlight w:val="none"/>
        </w:rPr>
        <w:t>五、不为项目有关人员个人装修住房、婚丧嫁娶、配偶子女工作安排等提供好处；</w:t>
      </w:r>
    </w:p>
    <w:p>
      <w:pPr>
        <w:ind w:firstLine="480"/>
        <w:rPr>
          <w:rFonts w:ascii="宋体" w:hAnsi="宋体" w:cs="宋体"/>
          <w:color w:val="auto"/>
          <w:highlight w:val="none"/>
        </w:rPr>
      </w:pPr>
      <w:r>
        <w:rPr>
          <w:rFonts w:hint="eastAsia" w:ascii="宋体" w:hAnsi="宋体" w:cs="宋体"/>
          <w:color w:val="auto"/>
          <w:highlight w:val="none"/>
        </w:rPr>
        <w:t>六、严格遵守政府采购法、招标投标法、合同法等法律，诚实守信，合法经营，坚决抵制各种违法违纪行为。</w:t>
      </w:r>
    </w:p>
    <w:p>
      <w:pPr>
        <w:ind w:firstLine="480"/>
        <w:rPr>
          <w:rFonts w:ascii="宋体" w:hAnsi="宋体" w:cs="宋体"/>
          <w:color w:val="auto"/>
          <w:highlight w:val="none"/>
        </w:rPr>
      </w:pPr>
      <w:r>
        <w:rPr>
          <w:rFonts w:hint="eastAsia" w:ascii="宋体" w:hAnsi="宋体" w:cs="宋体"/>
          <w:color w:val="auto"/>
          <w:highlight w:val="none"/>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p>
    <w:p>
      <w:pPr>
        <w:ind w:firstLine="0" w:firstLineChars="0"/>
        <w:jc w:val="left"/>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ind w:firstLine="228" w:firstLineChars="95"/>
        <w:jc w:val="left"/>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color w:val="auto"/>
          <w:highlight w:val="none"/>
        </w:rPr>
      </w:pPr>
      <w:r>
        <w:rPr>
          <w:rFonts w:hint="eastAsia" w:ascii="宋体" w:hAnsi="宋体" w:cs="宋体"/>
          <w:color w:val="auto"/>
          <w:highlight w:val="none"/>
        </w:rPr>
        <w:t>附件八 商务条款偏离表</w:t>
      </w:r>
    </w:p>
    <w:p>
      <w:pPr>
        <w:ind w:firstLine="480"/>
        <w:rPr>
          <w:color w:val="auto"/>
          <w:highlight w:val="none"/>
        </w:rPr>
      </w:pPr>
      <w:r>
        <w:rPr>
          <w:rFonts w:hint="eastAsia" w:ascii="宋体" w:hAnsi="宋体" w:cs="宋体"/>
          <w:color w:val="auto"/>
          <w:highlight w:val="none"/>
        </w:rPr>
        <w:t xml:space="preserve">                            商务条款偏离表</w:t>
      </w:r>
    </w:p>
    <w:p>
      <w:pPr>
        <w:ind w:firstLine="0" w:firstLineChars="0"/>
        <w:rPr>
          <w:rFonts w:ascii="宋体" w:hAnsi="宋体" w:cs="宋体"/>
          <w:color w:val="auto"/>
          <w:highlight w:val="none"/>
        </w:rPr>
      </w:pPr>
      <w:r>
        <w:rPr>
          <w:rFonts w:hint="eastAsia" w:ascii="宋体" w:hAnsi="宋体" w:cs="宋体"/>
          <w:color w:val="auto"/>
          <w:highlight w:val="none"/>
        </w:rPr>
        <w:t xml:space="preserve">项目名称：                   项目编号：               </w:t>
      </w:r>
    </w:p>
    <w:tbl>
      <w:tblPr>
        <w:tblStyle w:val="39"/>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序号</w:t>
            </w:r>
          </w:p>
        </w:tc>
        <w:tc>
          <w:tcPr>
            <w:tcW w:w="3125"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招标要求</w:t>
            </w:r>
          </w:p>
        </w:tc>
        <w:tc>
          <w:tcPr>
            <w:tcW w:w="3037" w:type="dxa"/>
            <w:vAlign w:val="center"/>
          </w:tcPr>
          <w:p>
            <w:pPr>
              <w:ind w:left="102" w:firstLine="0" w:firstLineChars="0"/>
              <w:jc w:val="center"/>
              <w:rPr>
                <w:rFonts w:ascii="宋体" w:hAnsi="宋体" w:cs="宋体"/>
                <w:color w:val="auto"/>
                <w:highlight w:val="none"/>
              </w:rPr>
            </w:pPr>
            <w:r>
              <w:rPr>
                <w:rFonts w:hint="eastAsia" w:ascii="宋体" w:hAnsi="宋体" w:cs="宋体"/>
                <w:color w:val="auto"/>
                <w:highlight w:val="none"/>
              </w:rPr>
              <w:t>投标响应</w:t>
            </w:r>
          </w:p>
        </w:tc>
        <w:tc>
          <w:tcPr>
            <w:tcW w:w="2187"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bl>
    <w:p>
      <w:pPr>
        <w:ind w:firstLine="0" w:firstLineChars="0"/>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spacing w:line="500" w:lineRule="exact"/>
        <w:ind w:firstLine="720"/>
        <w:rPr>
          <w:rFonts w:ascii="宋体" w:hAnsi="宋体" w:cs="宋体"/>
          <w:color w:val="auto"/>
          <w:sz w:val="36"/>
          <w:szCs w:val="32"/>
          <w:highlight w:val="none"/>
        </w:rPr>
      </w:pPr>
    </w:p>
    <w:p>
      <w:pPr>
        <w:ind w:firstLine="640"/>
        <w:rPr>
          <w:rFonts w:ascii="宋体" w:hAnsi="宋体" w:cs="宋体"/>
          <w:color w:val="auto"/>
          <w:sz w:val="32"/>
          <w:szCs w:val="32"/>
          <w:highlight w:val="none"/>
        </w:rPr>
      </w:pPr>
    </w:p>
    <w:p>
      <w:pPr>
        <w:ind w:firstLine="0" w:firstLineChars="0"/>
        <w:rPr>
          <w:rFonts w:ascii="宋体" w:hAnsi="宋体" w:cs="宋体"/>
          <w:color w:val="auto"/>
          <w:szCs w:val="32"/>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color w:val="auto"/>
          <w:highlight w:val="none"/>
        </w:rPr>
      </w:pPr>
      <w:r>
        <w:rPr>
          <w:rFonts w:hint="eastAsia" w:ascii="宋体" w:hAnsi="宋体" w:cs="宋体"/>
          <w:color w:val="auto"/>
          <w:highlight w:val="none"/>
        </w:rPr>
        <w:t>附件九 投标人情况表</w:t>
      </w:r>
    </w:p>
    <w:p>
      <w:pPr>
        <w:spacing w:line="240" w:lineRule="auto"/>
        <w:ind w:firstLine="0" w:firstLineChars="0"/>
        <w:jc w:val="right"/>
        <w:rPr>
          <w:rFonts w:ascii="宋体" w:hAnsi="宋体" w:cs="宋体"/>
          <w:color w:val="auto"/>
          <w:sz w:val="28"/>
          <w:highlight w:val="none"/>
        </w:rPr>
      </w:pPr>
    </w:p>
    <w:p>
      <w:pPr>
        <w:spacing w:line="240" w:lineRule="auto"/>
        <w:ind w:firstLine="0" w:firstLineChars="0"/>
        <w:jc w:val="right"/>
        <w:rPr>
          <w:rFonts w:ascii="宋体" w:hAnsi="宋体" w:cs="宋体"/>
          <w:b/>
          <w:bCs/>
          <w:color w:val="auto"/>
          <w:sz w:val="28"/>
          <w:highlight w:val="none"/>
        </w:rPr>
      </w:pPr>
    </w:p>
    <w:p>
      <w:pPr>
        <w:spacing w:line="240" w:lineRule="auto"/>
        <w:ind w:firstLine="0" w:firstLineChars="0"/>
        <w:jc w:val="center"/>
        <w:rPr>
          <w:rFonts w:ascii="宋体" w:hAnsi="宋体" w:cs="宋体"/>
          <w:b/>
          <w:bCs/>
          <w:color w:val="auto"/>
          <w:sz w:val="28"/>
          <w:highlight w:val="none"/>
        </w:rPr>
      </w:pPr>
      <w:r>
        <w:rPr>
          <w:rFonts w:hint="eastAsia" w:ascii="宋体" w:hAnsi="宋体" w:cs="宋体"/>
          <w:b/>
          <w:bCs/>
          <w:color w:val="auto"/>
          <w:highlight w:val="none"/>
        </w:rPr>
        <w:t>投标人情况表</w:t>
      </w:r>
    </w:p>
    <w:p>
      <w:pPr>
        <w:spacing w:line="240" w:lineRule="auto"/>
        <w:ind w:firstLine="0" w:firstLineChars="0"/>
        <w:jc w:val="right"/>
        <w:rPr>
          <w:rFonts w:ascii="宋体" w:hAnsi="宋体" w:cs="宋体"/>
          <w:color w:val="auto"/>
          <w:sz w:val="28"/>
          <w:highlight w:val="none"/>
        </w:rPr>
      </w:pPr>
      <w:r>
        <w:rPr>
          <w:rFonts w:hint="eastAsia" w:ascii="宋体" w:hAnsi="宋体" w:cs="宋体"/>
          <w:color w:val="auto"/>
          <w:sz w:val="28"/>
          <w:highlight w:val="none"/>
        </w:rPr>
        <w:t>填表日期：</w:t>
      </w:r>
    </w:p>
    <w:tbl>
      <w:tblPr>
        <w:tblStyle w:val="39"/>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1.编号:          2.营业范围:         3.发证单位: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color w:val="auto"/>
                <w:highlight w:val="none"/>
              </w:rPr>
            </w:pPr>
            <w:r>
              <w:rPr>
                <w:rFonts w:hint="eastAsia" w:ascii="宋体" w:hAnsi="宋体"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color w:val="auto"/>
                <w:highlight w:val="none"/>
              </w:rPr>
            </w:pPr>
            <w:r>
              <w:rPr>
                <w:rFonts w:hint="eastAsia" w:ascii="宋体" w:hAnsi="宋体"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本项目负责人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地址</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邮编:</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电话:  </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传真:       </w:t>
            </w:r>
          </w:p>
        </w:tc>
      </w:tr>
      <w:tr>
        <w:tblPrEx>
          <w:tblLayout w:type="fixed"/>
          <w:tblCellMar>
            <w:top w:w="0" w:type="dxa"/>
            <w:left w:w="28" w:type="dxa"/>
            <w:bottom w:w="0" w:type="dxa"/>
            <w:right w:w="28" w:type="dxa"/>
          </w:tblCellMar>
        </w:tblPrEx>
        <w:trPr>
          <w:cantSplit/>
          <w:trHeight w:val="2722"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组织机构框图</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证书情况</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bl>
    <w:p>
      <w:pPr>
        <w:spacing w:line="240" w:lineRule="auto"/>
        <w:ind w:firstLine="0" w:firstLineChars="0"/>
        <w:rPr>
          <w:rFonts w:ascii="宋体" w:hAnsi="宋体" w:cs="宋体"/>
          <w:i/>
          <w:color w:val="auto"/>
          <w:sz w:val="22"/>
          <w:szCs w:val="22"/>
          <w:highlight w:val="none"/>
        </w:rPr>
      </w:pPr>
    </w:p>
    <w:p>
      <w:pPr>
        <w:spacing w:line="240" w:lineRule="auto"/>
        <w:ind w:firstLine="480"/>
        <w:rPr>
          <w:rFonts w:ascii="宋体" w:hAnsi="宋体" w:cs="宋体"/>
          <w:snapToGrid w:val="0"/>
          <w:color w:val="auto"/>
          <w:highlight w:val="none"/>
        </w:rPr>
      </w:pPr>
      <w:r>
        <w:rPr>
          <w:rFonts w:hint="eastAsia" w:ascii="宋体" w:hAnsi="宋体" w:cs="宋体"/>
          <w:snapToGrid w:val="0"/>
          <w:color w:val="auto"/>
          <w:highlight w:val="none"/>
        </w:rPr>
        <w:t>应附上加盖公章的营业执照副本、相关资质、各资信类证书、认证体系证书等的清晰复印件。</w:t>
      </w:r>
    </w:p>
    <w:p>
      <w:pPr>
        <w:spacing w:line="240" w:lineRule="auto"/>
        <w:ind w:firstLine="480"/>
        <w:rPr>
          <w:rFonts w:ascii="宋体" w:hAnsi="宋体" w:cs="宋体"/>
          <w:snapToGrid w:val="0"/>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6"/>
        <w:rPr>
          <w:rFonts w:ascii="宋体" w:hAnsi="宋体" w:cs="宋体"/>
          <w:color w:val="auto"/>
          <w:highlight w:val="none"/>
        </w:rPr>
      </w:pPr>
      <w:r>
        <w:rPr>
          <w:rFonts w:hint="eastAsia" w:ascii="宋体" w:hAnsi="宋体" w:cs="宋体"/>
          <w:color w:val="auto"/>
          <w:highlight w:val="none"/>
        </w:rPr>
        <w:t>附件十 技术规范偏离表</w:t>
      </w:r>
    </w:p>
    <w:p>
      <w:pPr>
        <w:ind w:firstLine="482"/>
        <w:jc w:val="center"/>
        <w:rPr>
          <w:rFonts w:ascii="宋体" w:hAnsi="宋体" w:cs="宋体"/>
          <w:b/>
          <w:bCs/>
          <w:color w:val="auto"/>
          <w:szCs w:val="32"/>
          <w:highlight w:val="none"/>
        </w:rPr>
      </w:pPr>
      <w:r>
        <w:rPr>
          <w:rFonts w:hint="eastAsia" w:ascii="宋体" w:hAnsi="宋体" w:cs="宋体"/>
          <w:b/>
          <w:bCs/>
          <w:color w:val="auto"/>
          <w:highlight w:val="none"/>
        </w:rPr>
        <w:t>技术规范偏离表</w:t>
      </w:r>
    </w:p>
    <w:p>
      <w:pPr>
        <w:ind w:firstLine="0" w:firstLineChars="0"/>
        <w:rPr>
          <w:rFonts w:ascii="宋体" w:hAnsi="宋体" w:cs="宋体"/>
          <w:color w:val="auto"/>
          <w:highlight w:val="none"/>
        </w:rPr>
      </w:pPr>
      <w:r>
        <w:rPr>
          <w:rFonts w:hint="eastAsia" w:ascii="宋体" w:hAnsi="宋体" w:cs="宋体"/>
          <w:color w:val="auto"/>
          <w:highlight w:val="none"/>
        </w:rPr>
        <w:t xml:space="preserve">项目名称：                      项目编号：               </w:t>
      </w:r>
    </w:p>
    <w:tbl>
      <w:tblPr>
        <w:tblStyle w:val="39"/>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400"/>
        <w:gridCol w:w="1621"/>
        <w:gridCol w:w="2377"/>
        <w:gridCol w:w="2122"/>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序号</w:t>
            </w:r>
          </w:p>
        </w:tc>
        <w:tc>
          <w:tcPr>
            <w:tcW w:w="1400"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产品名称</w:t>
            </w:r>
          </w:p>
        </w:tc>
        <w:tc>
          <w:tcPr>
            <w:tcW w:w="1621"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招标要求</w:t>
            </w:r>
          </w:p>
        </w:tc>
        <w:tc>
          <w:tcPr>
            <w:tcW w:w="2377" w:type="dxa"/>
            <w:vAlign w:val="center"/>
          </w:tcPr>
          <w:p>
            <w:pPr>
              <w:ind w:left="102" w:firstLine="0" w:firstLineChars="0"/>
              <w:jc w:val="center"/>
              <w:rPr>
                <w:rFonts w:ascii="宋体" w:hAnsi="宋体" w:cs="宋体"/>
                <w:color w:val="auto"/>
                <w:highlight w:val="none"/>
              </w:rPr>
            </w:pPr>
            <w:r>
              <w:rPr>
                <w:rFonts w:hint="eastAsia" w:ascii="宋体" w:hAnsi="宋体" w:cs="宋体"/>
                <w:color w:val="auto"/>
                <w:highlight w:val="none"/>
              </w:rPr>
              <w:t>投标响应</w:t>
            </w:r>
          </w:p>
        </w:tc>
        <w:tc>
          <w:tcPr>
            <w:tcW w:w="2122"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偏离情况</w:t>
            </w:r>
          </w:p>
        </w:tc>
        <w:tc>
          <w:tcPr>
            <w:tcW w:w="1294"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备注</w:t>
            </w:r>
          </w:p>
          <w:p>
            <w:pPr>
              <w:ind w:firstLine="0" w:firstLineChars="0"/>
              <w:jc w:val="center"/>
              <w:rPr>
                <w:rFonts w:ascii="宋体" w:hAnsi="宋体" w:cs="宋体"/>
                <w:color w:val="auto"/>
                <w:highlight w:val="none"/>
              </w:rPr>
            </w:pPr>
            <w:r>
              <w:rPr>
                <w:rFonts w:hint="eastAsia" w:ascii="宋体" w:hAnsi="宋体" w:cs="宋体"/>
                <w:color w:val="auto"/>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tcPr>
          <w:p>
            <w:pPr>
              <w:ind w:firstLine="0" w:firstLineChars="0"/>
              <w:rPr>
                <w:rFonts w:ascii="宋体" w:hAnsi="宋体" w:cs="宋体"/>
                <w:color w:val="auto"/>
                <w:highlight w:val="none"/>
              </w:rPr>
            </w:pPr>
          </w:p>
        </w:tc>
        <w:tc>
          <w:tcPr>
            <w:tcW w:w="1400" w:type="dxa"/>
          </w:tcPr>
          <w:p>
            <w:pPr>
              <w:ind w:firstLine="0" w:firstLineChars="0"/>
              <w:rPr>
                <w:rFonts w:ascii="宋体" w:hAnsi="宋体" w:cs="宋体"/>
                <w:color w:val="auto"/>
                <w:highlight w:val="none"/>
              </w:rPr>
            </w:pPr>
          </w:p>
        </w:tc>
        <w:tc>
          <w:tcPr>
            <w:tcW w:w="1621" w:type="dxa"/>
          </w:tcPr>
          <w:p>
            <w:pPr>
              <w:ind w:firstLine="0" w:firstLineChars="0"/>
              <w:rPr>
                <w:rFonts w:ascii="宋体" w:hAnsi="宋体" w:cs="宋体"/>
                <w:color w:val="auto"/>
                <w:highlight w:val="none"/>
              </w:rPr>
            </w:pPr>
          </w:p>
        </w:tc>
        <w:tc>
          <w:tcPr>
            <w:tcW w:w="2377" w:type="dxa"/>
          </w:tcPr>
          <w:p>
            <w:pPr>
              <w:ind w:firstLine="0" w:firstLineChars="0"/>
              <w:rPr>
                <w:rFonts w:ascii="宋体" w:hAnsi="宋体" w:cs="宋体"/>
                <w:color w:val="auto"/>
                <w:highlight w:val="none"/>
              </w:rPr>
            </w:pPr>
          </w:p>
        </w:tc>
        <w:tc>
          <w:tcPr>
            <w:tcW w:w="2122" w:type="dxa"/>
          </w:tcPr>
          <w:p>
            <w:pPr>
              <w:ind w:firstLine="0" w:firstLineChars="0"/>
              <w:rPr>
                <w:rFonts w:ascii="宋体" w:hAnsi="宋体" w:cs="宋体"/>
                <w:color w:val="auto"/>
                <w:highlight w:val="none"/>
              </w:rPr>
            </w:pPr>
          </w:p>
        </w:tc>
        <w:tc>
          <w:tcPr>
            <w:tcW w:w="1294" w:type="dxa"/>
          </w:tcPr>
          <w:p>
            <w:pPr>
              <w:ind w:firstLine="0" w:firstLineChars="0"/>
              <w:rPr>
                <w:rFonts w:ascii="宋体" w:hAnsi="宋体" w:cs="宋体"/>
                <w:color w:val="auto"/>
                <w:highlight w:val="none"/>
              </w:rPr>
            </w:pPr>
          </w:p>
        </w:tc>
      </w:tr>
    </w:tbl>
    <w:p>
      <w:pPr>
        <w:ind w:firstLine="0" w:firstLineChars="0"/>
        <w:rPr>
          <w:rFonts w:ascii="宋体" w:hAnsi="宋体" w:cs="宋体"/>
          <w:color w:val="auto"/>
          <w:highlight w:val="none"/>
        </w:rPr>
      </w:pPr>
    </w:p>
    <w:p>
      <w:pPr>
        <w:adjustRightInd w:val="0"/>
        <w:snapToGrid w:val="0"/>
        <w:spacing w:line="312" w:lineRule="auto"/>
        <w:ind w:firstLine="0" w:firstLineChars="0"/>
        <w:rPr>
          <w:rFonts w:ascii="宋体" w:hAnsi="宋体" w:cs="宋体"/>
          <w:color w:val="auto"/>
          <w:sz w:val="22"/>
          <w:szCs w:val="21"/>
          <w:highlight w:val="none"/>
        </w:rPr>
      </w:pPr>
      <w:r>
        <w:rPr>
          <w:rFonts w:hint="eastAsia" w:ascii="宋体" w:hAnsi="宋体" w:cs="宋体"/>
          <w:color w:val="auto"/>
          <w:sz w:val="22"/>
          <w:szCs w:val="21"/>
          <w:highlight w:val="none"/>
        </w:rPr>
        <w:t>注：1.逐项按照招标文件要求填写响应规格；</w:t>
      </w:r>
    </w:p>
    <w:p>
      <w:pPr>
        <w:adjustRightInd w:val="0"/>
        <w:snapToGrid w:val="0"/>
        <w:spacing w:line="312" w:lineRule="auto"/>
        <w:ind w:firstLine="0" w:firstLineChars="0"/>
        <w:rPr>
          <w:rFonts w:ascii="宋体" w:hAnsi="宋体" w:cs="宋体"/>
          <w:color w:val="auto"/>
          <w:sz w:val="22"/>
          <w:szCs w:val="21"/>
          <w:highlight w:val="none"/>
        </w:rPr>
      </w:pPr>
      <w:r>
        <w:rPr>
          <w:rFonts w:hint="eastAsia" w:ascii="宋体" w:hAnsi="宋体" w:cs="宋体"/>
          <w:color w:val="auto"/>
          <w:sz w:val="22"/>
          <w:szCs w:val="21"/>
          <w:highlight w:val="none"/>
        </w:rPr>
        <w:t>2.表后需提供</w:t>
      </w:r>
      <w:r>
        <w:rPr>
          <w:rFonts w:hint="eastAsia" w:ascii="宋体" w:hAnsi="宋体" w:cs="宋体"/>
          <w:b/>
          <w:bCs/>
          <w:color w:val="auto"/>
          <w:sz w:val="22"/>
          <w:szCs w:val="21"/>
          <w:highlight w:val="none"/>
        </w:rPr>
        <w:t>技术支持资料</w:t>
      </w:r>
      <w:r>
        <w:rPr>
          <w:rFonts w:hint="eastAsia" w:ascii="宋体" w:hAnsi="宋体" w:cs="宋体"/>
          <w:color w:val="auto"/>
          <w:sz w:val="22"/>
          <w:szCs w:val="21"/>
          <w:highlight w:val="none"/>
        </w:rPr>
        <w:t>以证明其对技术指标的应答。若对技术指标的应答无技术支持资料证明，评标委员会可不予承认，并可认为该应答不符合招标文件要求，将作出不利于投标人的技术评审，其后果将由投标人自行承担；</w:t>
      </w:r>
    </w:p>
    <w:p>
      <w:pPr>
        <w:adjustRightInd w:val="0"/>
        <w:snapToGrid w:val="0"/>
        <w:spacing w:line="312" w:lineRule="auto"/>
        <w:ind w:firstLine="0" w:firstLineChars="0"/>
        <w:rPr>
          <w:rFonts w:ascii="宋体" w:hAnsi="宋体" w:cs="宋体"/>
          <w:color w:val="auto"/>
          <w:sz w:val="22"/>
          <w:szCs w:val="21"/>
          <w:highlight w:val="none"/>
        </w:rPr>
      </w:pPr>
      <w:r>
        <w:rPr>
          <w:rFonts w:hint="eastAsia" w:ascii="宋体" w:hAnsi="宋体" w:cs="宋体"/>
          <w:color w:val="auto"/>
          <w:sz w:val="22"/>
          <w:szCs w:val="21"/>
          <w:highlight w:val="none"/>
        </w:rPr>
        <w:t>3.投标人可提供同等于或优于招标文件要求的设备和服务。</w:t>
      </w:r>
    </w:p>
    <w:p>
      <w:pPr>
        <w:pStyle w:val="2"/>
        <w:rPr>
          <w:color w:val="auto"/>
          <w:highlight w:val="none"/>
        </w:rPr>
      </w:pPr>
    </w:p>
    <w:p>
      <w:pPr>
        <w:pStyle w:val="2"/>
        <w:rPr>
          <w:color w:val="auto"/>
          <w:highlight w:val="none"/>
        </w:rPr>
      </w:pPr>
    </w:p>
    <w:p>
      <w:pPr>
        <w:pStyle w:val="2"/>
        <w:rPr>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6"/>
        <w:rPr>
          <w:rFonts w:ascii="宋体" w:hAnsi="宋体" w:cs="宋体"/>
          <w:color w:val="auto"/>
          <w:highlight w:val="none"/>
        </w:rPr>
      </w:pPr>
      <w:r>
        <w:rPr>
          <w:rFonts w:hint="eastAsia" w:ascii="宋体" w:hAnsi="宋体" w:cs="宋体"/>
          <w:color w:val="auto"/>
          <w:highlight w:val="none"/>
        </w:rPr>
        <w:t>附件十一 实施技术人员一览表</w:t>
      </w:r>
    </w:p>
    <w:p>
      <w:pPr>
        <w:ind w:left="-720" w:right="-965" w:firstLine="0" w:firstLineChars="0"/>
        <w:jc w:val="center"/>
        <w:rPr>
          <w:rFonts w:ascii="宋体" w:hAnsi="宋体"/>
          <w:b/>
          <w:bCs/>
          <w:color w:val="auto"/>
          <w:spacing w:val="30"/>
          <w:highlight w:val="none"/>
        </w:rPr>
      </w:pPr>
      <w:r>
        <w:rPr>
          <w:rFonts w:hint="eastAsia" w:ascii="宋体" w:hAnsi="宋体"/>
          <w:b/>
          <w:bCs/>
          <w:color w:val="auto"/>
          <w:spacing w:val="30"/>
          <w:highlight w:val="none"/>
        </w:rPr>
        <w:t>项目负责人情况表</w:t>
      </w:r>
    </w:p>
    <w:p>
      <w:pPr>
        <w:ind w:firstLine="0" w:firstLineChars="0"/>
        <w:rPr>
          <w:rFonts w:ascii="宋体" w:hAnsi="宋体" w:cs="宋体"/>
          <w:color w:val="auto"/>
          <w:highlight w:val="none"/>
        </w:rPr>
      </w:pPr>
      <w:r>
        <w:rPr>
          <w:rFonts w:hint="eastAsia" w:ascii="宋体" w:hAnsi="宋体" w:cs="宋体"/>
          <w:color w:val="auto"/>
          <w:highlight w:val="none"/>
        </w:rPr>
        <w:t xml:space="preserve">项目名称：                   项目编号：           </w:t>
      </w:r>
    </w:p>
    <w:tbl>
      <w:tblPr>
        <w:tblStyle w:val="39"/>
        <w:tblW w:w="9287" w:type="dxa"/>
        <w:tblInd w:w="0" w:type="dxa"/>
        <w:tblLayout w:type="fixed"/>
        <w:tblCellMar>
          <w:top w:w="0" w:type="dxa"/>
          <w:left w:w="108" w:type="dxa"/>
          <w:bottom w:w="0" w:type="dxa"/>
          <w:right w:w="108" w:type="dxa"/>
        </w:tblCellMar>
      </w:tblPr>
      <w:tblGrid>
        <w:gridCol w:w="2061"/>
        <w:gridCol w:w="1824"/>
        <w:gridCol w:w="5402"/>
      </w:tblGrid>
      <w:tr>
        <w:tblPrEx>
          <w:tblLayout w:type="fixed"/>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业绩及承担的主要工作情况</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r>
        <w:tblPrEx>
          <w:tblLayout w:type="fixed"/>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r>
              <w:rPr>
                <w:rFonts w:hint="eastAsia" w:ascii="宋体" w:hAnsi="宋体" w:cs="宋体"/>
                <w:color w:val="auto"/>
                <w:highlight w:val="none"/>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color w:val="auto"/>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color w:val="auto"/>
                <w:highlight w:val="none"/>
              </w:rPr>
            </w:pPr>
          </w:p>
        </w:tc>
      </w:tr>
    </w:tbl>
    <w:p>
      <w:pPr>
        <w:ind w:left="-720" w:right="-965" w:firstLine="0" w:firstLineChars="0"/>
        <w:jc w:val="center"/>
        <w:rPr>
          <w:rFonts w:ascii="宋体" w:hAnsi="宋体" w:cs="宋体"/>
          <w:b/>
          <w:bCs/>
          <w:color w:val="auto"/>
          <w:spacing w:val="30"/>
          <w:highlight w:val="none"/>
        </w:rPr>
      </w:pPr>
    </w:p>
    <w:p>
      <w:pPr>
        <w:ind w:left="-720" w:right="-965" w:firstLine="0" w:firstLineChars="0"/>
        <w:jc w:val="center"/>
        <w:rPr>
          <w:rFonts w:ascii="宋体" w:hAnsi="宋体" w:cs="宋体"/>
          <w:b/>
          <w:bCs/>
          <w:color w:val="auto"/>
          <w:spacing w:val="30"/>
          <w:highlight w:val="none"/>
        </w:rPr>
      </w:pPr>
      <w:r>
        <w:rPr>
          <w:rFonts w:hint="eastAsia" w:ascii="宋体" w:hAnsi="宋体" w:cs="宋体"/>
          <w:b/>
          <w:bCs/>
          <w:color w:val="auto"/>
          <w:spacing w:val="30"/>
          <w:highlight w:val="none"/>
        </w:rPr>
        <w:t>实施技术人员一览表</w:t>
      </w:r>
    </w:p>
    <w:tbl>
      <w:tblPr>
        <w:tblStyle w:val="39"/>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职位</w:t>
            </w:r>
          </w:p>
        </w:tc>
        <w:tc>
          <w:tcPr>
            <w:tcW w:w="25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负责工作任务</w:t>
            </w:r>
          </w:p>
        </w:tc>
        <w:tc>
          <w:tcPr>
            <w:tcW w:w="2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olor w:val="auto"/>
                <w:highlight w:val="none"/>
              </w:rPr>
            </w:pPr>
            <w:r>
              <w:rPr>
                <w:rFonts w:hint="eastAsia" w:ascii="宋体" w:hAnsi="宋体"/>
                <w:color w:val="auto"/>
                <w:highlight w:val="none"/>
                <w:lang w:val="zh-CN"/>
              </w:rPr>
              <w:t>备</w:t>
            </w:r>
            <w:r>
              <w:rPr>
                <w:rFonts w:ascii="宋体" w:hAnsi="宋体"/>
                <w:color w:val="auto"/>
                <w:highlight w:val="none"/>
                <w:lang w:val="zh-CN"/>
              </w:rPr>
              <w:t xml:space="preserve"> </w:t>
            </w:r>
            <w:r>
              <w:rPr>
                <w:rFonts w:hint="eastAsia" w:ascii="宋体" w:hAnsi="宋体"/>
                <w:color w:val="auto"/>
                <w:highlight w:val="none"/>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1</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2</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3</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4</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5</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6</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7</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8</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olor w:val="auto"/>
                <w:highlight w:val="none"/>
              </w:rPr>
            </w:pPr>
            <w:r>
              <w:rPr>
                <w:rFonts w:ascii="宋体" w:hAnsi="宋体"/>
                <w:color w:val="auto"/>
                <w:highlight w:val="none"/>
              </w:rPr>
              <w:t>9</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olor w:val="auto"/>
                <w:highlight w:val="none"/>
              </w:rPr>
            </w:pPr>
          </w:p>
        </w:tc>
      </w:tr>
    </w:tbl>
    <w:p>
      <w:pPr>
        <w:ind w:firstLine="0" w:firstLineChars="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6"/>
        <w:rPr>
          <w:rFonts w:ascii="宋体" w:hAnsi="宋体" w:cs="宋体"/>
          <w:color w:val="auto"/>
          <w:highlight w:val="none"/>
        </w:rPr>
      </w:pPr>
      <w:r>
        <w:rPr>
          <w:rFonts w:hint="eastAsia" w:ascii="宋体" w:hAnsi="宋体" w:cs="宋体"/>
          <w:color w:val="auto"/>
          <w:highlight w:val="none"/>
        </w:rPr>
        <w:t>附件十二 售后服务方案</w:t>
      </w:r>
    </w:p>
    <w:p>
      <w:pPr>
        <w:spacing w:line="200" w:lineRule="atLeast"/>
        <w:ind w:left="-720" w:right="-965" w:firstLine="602"/>
        <w:jc w:val="center"/>
        <w:rPr>
          <w:rFonts w:ascii="宋体" w:hAnsi="宋体" w:cs="宋体"/>
          <w:b/>
          <w:bCs/>
          <w:color w:val="auto"/>
          <w:spacing w:val="30"/>
          <w:highlight w:val="none"/>
        </w:rPr>
      </w:pPr>
      <w:r>
        <w:rPr>
          <w:rFonts w:hint="eastAsia" w:ascii="宋体" w:hAnsi="宋体" w:cs="宋体"/>
          <w:b/>
          <w:bCs/>
          <w:color w:val="auto"/>
          <w:spacing w:val="30"/>
          <w:highlight w:val="none"/>
        </w:rPr>
        <w:t>售后服务方案</w:t>
      </w:r>
    </w:p>
    <w:p>
      <w:pPr>
        <w:ind w:right="-965" w:firstLine="0" w:firstLineChars="0"/>
        <w:rPr>
          <w:rFonts w:ascii="宋体" w:hAnsi="宋体" w:cs="宋体"/>
          <w:color w:val="auto"/>
          <w:spacing w:val="4"/>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 xml:space="preserve">项目名称：                   项目编号：              </w:t>
      </w:r>
    </w:p>
    <w:tbl>
      <w:tblPr>
        <w:tblStyle w:val="39"/>
        <w:tblW w:w="100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0"/>
        <w:gridCol w:w="9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highlight w:val="none"/>
              </w:rPr>
            </w:pPr>
            <w:r>
              <w:rPr>
                <w:rFonts w:hint="eastAsia" w:ascii="宋体" w:hAnsi="宋体" w:cs="宋体"/>
                <w:color w:val="auto"/>
                <w:highlight w:val="none"/>
              </w:rPr>
              <w:t>售后服务机构介绍</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highlight w:val="none"/>
              </w:rPr>
            </w:pPr>
            <w:r>
              <w:rPr>
                <w:rFonts w:hint="eastAsia" w:ascii="宋体" w:hAnsi="宋体" w:cs="宋体"/>
                <w:color w:val="auto"/>
                <w:highlight w:val="none"/>
              </w:rPr>
              <w:t>服务方案内容、措施及承诺</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spacing w:val="4"/>
                <w:highlight w:val="none"/>
              </w:rPr>
            </w:pPr>
            <w:r>
              <w:rPr>
                <w:rFonts w:hint="eastAsia" w:ascii="宋体" w:hAnsi="宋体" w:cs="宋体"/>
                <w:color w:val="auto"/>
                <w:spacing w:val="4"/>
                <w:highlight w:val="none"/>
              </w:rPr>
              <w:t>可提供的优惠条件</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bl>
    <w:p>
      <w:pPr>
        <w:ind w:left="-720" w:right="-960" w:firstLine="0" w:firstLineChars="0"/>
        <w:rPr>
          <w:rFonts w:ascii="宋体" w:hAnsi="宋体" w:cs="宋体"/>
          <w:i/>
          <w:color w:val="auto"/>
          <w:spacing w:val="4"/>
          <w:highlight w:val="none"/>
        </w:rPr>
      </w:pPr>
      <w:r>
        <w:rPr>
          <w:rFonts w:hint="eastAsia" w:ascii="宋体" w:hAnsi="宋体" w:cs="宋体"/>
          <w:i/>
          <w:color w:val="auto"/>
          <w:spacing w:val="4"/>
          <w:highlight w:val="none"/>
        </w:rPr>
        <w:t>（若不够填写可附页，格式可自拟）</w:t>
      </w: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2"/>
        <w:rPr>
          <w:color w:val="auto"/>
          <w:highlight w:val="none"/>
        </w:rPr>
      </w:pPr>
    </w:p>
    <w:p>
      <w:pPr>
        <w:ind w:left="-720" w:right="-958" w:firstLine="0" w:firstLineChars="0"/>
        <w:rPr>
          <w:rFonts w:ascii="宋体" w:hAnsi="宋体" w:cs="宋体"/>
          <w:color w:val="auto"/>
          <w:szCs w:val="32"/>
          <w:highlight w:val="none"/>
        </w:rPr>
      </w:pPr>
      <w:r>
        <w:rPr>
          <w:rFonts w:hint="eastAsia" w:ascii="宋体" w:hAnsi="宋体" w:cs="宋体"/>
          <w:color w:val="auto"/>
          <w:szCs w:val="32"/>
          <w:highlight w:val="none"/>
        </w:rPr>
        <w:t xml:space="preserve"> </w:t>
      </w:r>
    </w:p>
    <w:p>
      <w:pPr>
        <w:pStyle w:val="6"/>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color w:val="auto"/>
          <w:highlight w:val="none"/>
        </w:rPr>
      </w:pPr>
      <w:r>
        <w:rPr>
          <w:rFonts w:hint="eastAsia" w:ascii="宋体" w:hAnsi="宋体" w:cs="宋体"/>
          <w:color w:val="auto"/>
          <w:highlight w:val="none"/>
        </w:rPr>
        <w:t>附件十三 同类项目实施情况一览表</w:t>
      </w:r>
    </w:p>
    <w:p>
      <w:pPr>
        <w:ind w:firstLine="0" w:firstLineChars="0"/>
        <w:jc w:val="center"/>
        <w:rPr>
          <w:rFonts w:ascii="宋体" w:hAnsi="宋体" w:cs="宋体"/>
          <w:b/>
          <w:bCs/>
          <w:color w:val="auto"/>
          <w:highlight w:val="none"/>
        </w:rPr>
      </w:pPr>
      <w:r>
        <w:rPr>
          <w:rFonts w:hint="eastAsia" w:ascii="宋体" w:hAnsi="宋体" w:cs="宋体"/>
          <w:b/>
          <w:bCs/>
          <w:color w:val="auto"/>
          <w:highlight w:val="none"/>
        </w:rPr>
        <w:t>同类项目实施情况一览表</w:t>
      </w:r>
    </w:p>
    <w:p>
      <w:pPr>
        <w:ind w:firstLine="0" w:firstLineChars="0"/>
        <w:rPr>
          <w:rFonts w:ascii="宋体" w:hAnsi="宋体" w:cs="宋体"/>
          <w:b/>
          <w:bCs/>
          <w:color w:val="auto"/>
          <w:highlight w:val="none"/>
          <w:lang w:val="zh-CN"/>
        </w:rPr>
      </w:pPr>
      <w:r>
        <w:rPr>
          <w:rFonts w:hint="eastAsia" w:ascii="宋体" w:hAnsi="宋体" w:cs="宋体"/>
          <w:color w:val="auto"/>
          <w:highlight w:val="none"/>
        </w:rPr>
        <w:t xml:space="preserve">项目名称：                   项目编号：              </w:t>
      </w:r>
    </w:p>
    <w:tbl>
      <w:tblPr>
        <w:tblStyle w:val="39"/>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项目时间</w:t>
            </w:r>
          </w:p>
          <w:p>
            <w:pPr>
              <w:ind w:firstLine="0" w:firstLineChars="0"/>
              <w:jc w:val="center"/>
              <w:rPr>
                <w:rFonts w:ascii="宋体" w:hAnsi="宋体" w:cs="宋体"/>
                <w:color w:val="auto"/>
                <w:highlight w:val="none"/>
              </w:rPr>
            </w:pPr>
            <w:r>
              <w:rPr>
                <w:rFonts w:hint="eastAsia" w:ascii="宋体" w:hAnsi="宋体" w:cs="宋体"/>
                <w:color w:val="auto"/>
                <w:highlight w:val="none"/>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2</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3</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4</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5</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6</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7</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8</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9</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bl>
    <w:p>
      <w:pPr>
        <w:ind w:firstLine="458"/>
        <w:rPr>
          <w:rFonts w:ascii="宋体" w:hAnsi="宋体"/>
          <w:b/>
          <w:color w:val="auto"/>
          <w:spacing w:val="-6"/>
          <w:highlight w:val="none"/>
        </w:rPr>
      </w:pPr>
      <w:r>
        <w:rPr>
          <w:rFonts w:hint="eastAsia" w:ascii="宋体" w:hAnsi="宋体"/>
          <w:b/>
          <w:color w:val="auto"/>
          <w:spacing w:val="-6"/>
          <w:highlight w:val="none"/>
        </w:rPr>
        <w:t>说明：</w:t>
      </w:r>
    </w:p>
    <w:p>
      <w:pPr>
        <w:ind w:firstLine="458"/>
        <w:rPr>
          <w:rFonts w:ascii="宋体" w:hAnsi="宋体"/>
          <w:b/>
          <w:color w:val="auto"/>
          <w:spacing w:val="-6"/>
          <w:highlight w:val="none"/>
        </w:rPr>
      </w:pPr>
      <w:r>
        <w:rPr>
          <w:rFonts w:hint="eastAsia" w:ascii="宋体" w:hAnsi="宋体"/>
          <w:b/>
          <w:color w:val="auto"/>
          <w:spacing w:val="-6"/>
          <w:highlight w:val="none"/>
        </w:rPr>
        <w:t>1、投标人须按照评分标准要求提交相应证明材料；</w:t>
      </w:r>
    </w:p>
    <w:p>
      <w:pPr>
        <w:ind w:firstLine="458"/>
        <w:rPr>
          <w:rFonts w:ascii="宋体" w:hAnsi="宋体"/>
          <w:b/>
          <w:color w:val="auto"/>
          <w:spacing w:val="-6"/>
          <w:highlight w:val="none"/>
        </w:rPr>
      </w:pPr>
      <w:r>
        <w:rPr>
          <w:rFonts w:hint="eastAsia" w:ascii="宋体" w:hAnsi="宋体"/>
          <w:b/>
          <w:color w:val="auto"/>
          <w:spacing w:val="-6"/>
          <w:highlight w:val="none"/>
        </w:rPr>
        <w:t>2、所有证明材料复印件应清晰，应能体现签订时间、双方签字盖章等内容；</w:t>
      </w:r>
    </w:p>
    <w:p>
      <w:pPr>
        <w:ind w:firstLine="458"/>
        <w:rPr>
          <w:rFonts w:ascii="宋体" w:hAnsi="宋体"/>
          <w:b/>
          <w:color w:val="auto"/>
          <w:spacing w:val="-6"/>
          <w:highlight w:val="none"/>
        </w:rPr>
      </w:pPr>
      <w:r>
        <w:rPr>
          <w:rFonts w:hint="eastAsia" w:ascii="宋体" w:hAnsi="宋体"/>
          <w:b/>
          <w:color w:val="auto"/>
          <w:spacing w:val="-6"/>
          <w:highlight w:val="none"/>
        </w:rPr>
        <w:t>3、投标人应在不涉及商业秘密的前提下尽可能提供详细的复印件内容。</w:t>
      </w:r>
    </w:p>
    <w:p>
      <w:pPr>
        <w:ind w:firstLine="0" w:firstLineChars="0"/>
        <w:rPr>
          <w:rFonts w:ascii="宋体" w:hAnsi="宋体" w:cs="宋体"/>
          <w:color w:val="auto"/>
          <w:highlight w:val="none"/>
        </w:rPr>
      </w:pPr>
    </w:p>
    <w:p>
      <w:pPr>
        <w:ind w:left="-720" w:right="-960" w:firstLine="0" w:firstLineChars="0"/>
        <w:rPr>
          <w:rFonts w:ascii="宋体" w:hAnsi="宋体" w:cs="宋体"/>
          <w:color w:val="auto"/>
          <w:spacing w:val="4"/>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ind w:firstLine="480"/>
        <w:rPr>
          <w:color w:val="auto"/>
          <w:highlight w:val="none"/>
        </w:rPr>
      </w:pPr>
      <w:r>
        <w:rPr>
          <w:rFonts w:hint="eastAsia"/>
          <w:color w:val="auto"/>
          <w:highlight w:val="none"/>
        </w:rPr>
        <w:br w:type="page"/>
      </w:r>
    </w:p>
    <w:p>
      <w:pPr>
        <w:pStyle w:val="6"/>
        <w:rPr>
          <w:rFonts w:ascii="宋体" w:hAnsi="宋体" w:cs="宋体"/>
          <w:color w:val="auto"/>
          <w:highlight w:val="none"/>
        </w:rPr>
      </w:pPr>
      <w:r>
        <w:rPr>
          <w:rFonts w:hint="eastAsia" w:ascii="宋体" w:hAnsi="宋体" w:cs="宋体"/>
          <w:color w:val="auto"/>
          <w:highlight w:val="none"/>
          <w:lang w:val="en-US" w:eastAsia="zh-CN"/>
        </w:rPr>
        <w:t xml:space="preserve">附件十四 </w:t>
      </w:r>
      <w:r>
        <w:rPr>
          <w:rFonts w:hint="eastAsia" w:ascii="宋体" w:hAnsi="宋体" w:cs="宋体"/>
          <w:color w:val="auto"/>
          <w:highlight w:val="none"/>
        </w:rPr>
        <w:t>质保期满后备品备件的配置清单</w:t>
      </w:r>
    </w:p>
    <w:p>
      <w:pPr>
        <w:ind w:firstLine="480"/>
        <w:rPr>
          <w:color w:val="auto"/>
          <w:highlight w:val="none"/>
        </w:rPr>
      </w:pPr>
    </w:p>
    <w:p>
      <w:pPr>
        <w:ind w:firstLine="562"/>
        <w:jc w:val="center"/>
        <w:rPr>
          <w:rFonts w:ascii="宋体" w:hAnsi="宋体" w:cs="宋体"/>
          <w:b/>
          <w:color w:val="auto"/>
          <w:sz w:val="28"/>
          <w:szCs w:val="28"/>
          <w:highlight w:val="none"/>
        </w:rPr>
      </w:pPr>
      <w:r>
        <w:rPr>
          <w:rFonts w:hint="eastAsia" w:ascii="宋体" w:hAnsi="宋体" w:cs="宋体"/>
          <w:b/>
          <w:color w:val="auto"/>
          <w:sz w:val="28"/>
          <w:szCs w:val="28"/>
          <w:highlight w:val="none"/>
        </w:rPr>
        <w:t>质保期满后备品备件的配置清单</w:t>
      </w:r>
    </w:p>
    <w:tbl>
      <w:tblPr>
        <w:tblStyle w:val="39"/>
        <w:tblW w:w="96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5"/>
        <w:gridCol w:w="993"/>
        <w:gridCol w:w="1560"/>
        <w:gridCol w:w="1418"/>
        <w:gridCol w:w="1419"/>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r>
              <w:rPr>
                <w:rFonts w:hint="eastAsia" w:ascii="宋体" w:hAnsi="宋体"/>
                <w:b/>
                <w:color w:val="auto"/>
                <w:highlight w:val="none"/>
              </w:rPr>
              <w:t>序号</w:t>
            </w: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r>
              <w:rPr>
                <w:rFonts w:hint="eastAsia" w:ascii="宋体" w:hAnsi="宋体"/>
                <w:b/>
                <w:color w:val="auto"/>
                <w:highlight w:val="none"/>
              </w:rPr>
              <w:t>名称</w:t>
            </w: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r>
              <w:rPr>
                <w:rFonts w:hint="eastAsia" w:ascii="宋体" w:hAnsi="宋体"/>
                <w:b/>
                <w:color w:val="auto"/>
                <w:highlight w:val="none"/>
              </w:rPr>
              <w:t>数量</w:t>
            </w: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r>
              <w:rPr>
                <w:rFonts w:hint="eastAsia" w:ascii="宋体" w:hAnsi="宋体"/>
                <w:b/>
                <w:color w:val="auto"/>
                <w:highlight w:val="none"/>
              </w:rPr>
              <w:t>品牌型号</w:t>
            </w: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r>
              <w:rPr>
                <w:rFonts w:ascii="宋体" w:eastAsia="宋体"/>
                <w:b/>
                <w:color w:val="auto"/>
                <w:highlight w:val="none"/>
              </w:rPr>
              <w:t>产地</w:t>
            </w: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r>
              <w:rPr>
                <w:rFonts w:ascii="宋体" w:eastAsia="宋体"/>
                <w:b/>
                <w:color w:val="auto"/>
                <w:kern w:val="2"/>
                <w:highlight w:val="none"/>
              </w:rPr>
              <w:t>单价</w:t>
            </w: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r>
              <w:rPr>
                <w:rFonts w:ascii="宋体" w:eastAsia="宋体"/>
                <w:b/>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noWrap/>
            <w:vAlign w:val="center"/>
          </w:tcPr>
          <w:p>
            <w:pPr>
              <w:pStyle w:val="127"/>
              <w:widowControl w:val="0"/>
              <w:spacing w:before="0" w:beforeAutospacing="0" w:after="0" w:afterAutospacing="0"/>
              <w:rPr>
                <w:rFonts w:hint="default" w:ascii="宋体" w:eastAsia="宋体"/>
                <w:b/>
                <w:color w:val="auto"/>
                <w:kern w:val="2"/>
                <w:highlight w:val="none"/>
              </w:rPr>
            </w:pPr>
          </w:p>
        </w:tc>
      </w:tr>
    </w:tbl>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投标人名称（公章）：</w:t>
      </w:r>
    </w:p>
    <w:p>
      <w:pPr>
        <w:ind w:firstLine="480"/>
        <w:rPr>
          <w:rFonts w:ascii="宋体" w:hAnsi="宋体" w:cs="宋体"/>
          <w:color w:val="auto"/>
          <w:highlight w:val="none"/>
        </w:rPr>
      </w:pPr>
      <w:r>
        <w:rPr>
          <w:rFonts w:hint="eastAsia" w:ascii="宋体" w:hAnsi="宋体" w:cs="宋体"/>
          <w:color w:val="auto"/>
          <w:highlight w:val="none"/>
        </w:rPr>
        <w:t>法定代表人或其授权代表（签字或盖章）：</w:t>
      </w:r>
    </w:p>
    <w:p>
      <w:pPr>
        <w:ind w:firstLine="480"/>
        <w:rPr>
          <w:rFonts w:ascii="宋体" w:hAnsi="宋体" w:cs="宋体"/>
          <w:color w:val="auto"/>
          <w:highlight w:val="none"/>
        </w:rPr>
      </w:pPr>
      <w:r>
        <w:rPr>
          <w:rFonts w:hint="eastAsia" w:ascii="宋体" w:hAnsi="宋体" w:cs="宋体"/>
          <w:color w:val="auto"/>
          <w:highlight w:val="none"/>
        </w:rPr>
        <w:t>日期：  年   月   日</w:t>
      </w:r>
    </w:p>
    <w:p>
      <w:pPr>
        <w:rPr>
          <w:rFonts w:hint="eastAsia"/>
          <w:color w:val="auto"/>
          <w:highlight w:val="none"/>
        </w:rPr>
      </w:pPr>
      <w:r>
        <w:rPr>
          <w:rFonts w:hint="eastAsia"/>
          <w:color w:val="auto"/>
          <w:highlight w:val="none"/>
        </w:rPr>
        <w:br w:type="page"/>
      </w:r>
    </w:p>
    <w:bookmarkEnd w:id="52"/>
    <w:bookmarkEnd w:id="53"/>
    <w:bookmarkEnd w:id="54"/>
    <w:bookmarkEnd w:id="55"/>
    <w:bookmarkEnd w:id="56"/>
    <w:bookmarkEnd w:id="57"/>
    <w:bookmarkEnd w:id="58"/>
    <w:bookmarkEnd w:id="59"/>
    <w:p>
      <w:pPr>
        <w:pStyle w:val="6"/>
        <w:rPr>
          <w:rFonts w:ascii="宋体" w:hAnsi="宋体" w:cs="宋体"/>
          <w:color w:val="auto"/>
          <w:highlight w:val="none"/>
        </w:rPr>
      </w:pPr>
      <w:r>
        <w:rPr>
          <w:rFonts w:hint="eastAsia" w:ascii="宋体" w:hAnsi="宋体" w:cs="宋体"/>
          <w:color w:val="auto"/>
          <w:highlight w:val="none"/>
        </w:rPr>
        <w:t>附件十</w:t>
      </w:r>
      <w:r>
        <w:rPr>
          <w:rFonts w:hint="eastAsia" w:ascii="宋体" w:hAnsi="宋体" w:cs="宋体"/>
          <w:color w:val="auto"/>
          <w:highlight w:val="none"/>
          <w:lang w:val="en-US" w:eastAsia="zh-CN"/>
        </w:rPr>
        <w:t>五</w:t>
      </w:r>
      <w:r>
        <w:rPr>
          <w:rFonts w:hint="eastAsia" w:ascii="宋体" w:hAnsi="宋体" w:cs="宋体"/>
          <w:color w:val="auto"/>
          <w:highlight w:val="none"/>
        </w:rPr>
        <w:t xml:space="preserve"> 质疑函</w:t>
      </w:r>
    </w:p>
    <w:p>
      <w:pPr>
        <w:ind w:firstLine="562"/>
        <w:jc w:val="center"/>
        <w:rPr>
          <w:rFonts w:ascii="宋体" w:hAnsi="宋体" w:cs="宋体"/>
          <w:b/>
          <w:color w:val="auto"/>
          <w:sz w:val="32"/>
          <w:highlight w:val="none"/>
        </w:rPr>
      </w:pPr>
      <w:r>
        <w:rPr>
          <w:rFonts w:hint="eastAsia" w:ascii="宋体" w:hAnsi="宋体" w:cs="宋体"/>
          <w:b/>
          <w:color w:val="auto"/>
          <w:sz w:val="28"/>
          <w:szCs w:val="28"/>
          <w:highlight w:val="none"/>
        </w:rPr>
        <w:t>质疑函</w:t>
      </w:r>
    </w:p>
    <w:p>
      <w:pPr>
        <w:adjustRightInd w:val="0"/>
        <w:snapToGrid w:val="0"/>
        <w:spacing w:before="312" w:beforeLines="100"/>
        <w:ind w:firstLine="482"/>
        <w:rPr>
          <w:rFonts w:ascii="宋体" w:hAnsi="宋体" w:cs="宋体"/>
          <w:b/>
          <w:color w:val="auto"/>
          <w:highlight w:val="none"/>
        </w:rPr>
      </w:pPr>
      <w:r>
        <w:rPr>
          <w:rFonts w:hint="eastAsia" w:ascii="宋体" w:hAnsi="宋体" w:cs="宋体"/>
          <w:b/>
          <w:color w:val="auto"/>
          <w:highlight w:val="none"/>
        </w:rPr>
        <w:t>一、质疑供应商基本信息</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质疑供应商：</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地址：                          邮编：</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联系人：                        联系电话：</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授权代表：</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dotted"/>
        </w:rPr>
        <w:t xml:space="preserve">                                           </w:t>
      </w:r>
      <w:r>
        <w:rPr>
          <w:rFonts w:hint="eastAsia" w:ascii="宋体" w:hAnsi="宋体" w:cs="宋体"/>
          <w:color w:val="auto"/>
          <w:highlight w:val="none"/>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地址：                          邮编：</w:t>
      </w:r>
      <w:r>
        <w:rPr>
          <w:rFonts w:hint="eastAsia" w:ascii="宋体" w:hAnsi="宋体" w:cs="宋体"/>
          <w:color w:val="auto"/>
          <w:highlight w:val="none"/>
          <w:u w:val="dotted"/>
        </w:rPr>
        <w:t xml:space="preserve">                                                </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二、质疑项目基本情况</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质疑项目的名称：</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质疑项目的编号：                包号：</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采购人名称：</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采购文件获取日期：</w:t>
      </w:r>
      <w:r>
        <w:rPr>
          <w:rFonts w:hint="eastAsia" w:ascii="宋体" w:hAnsi="宋体" w:cs="宋体"/>
          <w:color w:val="auto"/>
          <w:highlight w:val="none"/>
          <w:u w:val="dotted"/>
        </w:rPr>
        <w:t xml:space="preserve">                                           </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三、质疑事项具体内容</w:t>
      </w:r>
    </w:p>
    <w:p>
      <w:pPr>
        <w:adjustRightInd w:val="0"/>
        <w:snapToGrid w:val="0"/>
        <w:ind w:firstLine="480"/>
        <w:rPr>
          <w:rFonts w:ascii="宋体" w:hAnsi="宋体" w:cs="宋体"/>
          <w:color w:val="auto"/>
          <w:highlight w:val="none"/>
          <w:u w:val="single"/>
        </w:rPr>
      </w:pPr>
      <w:r>
        <w:rPr>
          <w:rFonts w:hint="eastAsia" w:ascii="宋体" w:hAnsi="宋体" w:cs="宋体"/>
          <w:color w:val="auto"/>
          <w:highlight w:val="none"/>
        </w:rPr>
        <w:t>质疑事项1：</w:t>
      </w:r>
      <w:r>
        <w:rPr>
          <w:rFonts w:hint="eastAsia" w:ascii="宋体" w:hAnsi="宋体" w:cs="宋体"/>
          <w:color w:val="auto"/>
          <w:highlight w:val="none"/>
          <w:u w:val="single"/>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事实依据：</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法律依据：</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质疑事项2</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四、与质疑事项相关的质疑请求</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请求：</w:t>
      </w:r>
      <w:r>
        <w:rPr>
          <w:rFonts w:hint="eastAsia" w:ascii="宋体" w:hAnsi="宋体" w:cs="宋体"/>
          <w:color w:val="auto"/>
          <w:highlight w:val="none"/>
          <w:u w:val="dotted"/>
        </w:rPr>
        <w:t xml:space="preserve">                                               </w:t>
      </w:r>
    </w:p>
    <w:p>
      <w:pPr>
        <w:ind w:firstLine="480"/>
        <w:rPr>
          <w:rFonts w:ascii="宋体" w:hAnsi="宋体" w:cs="宋体"/>
          <w:color w:val="auto"/>
          <w:highlight w:val="none"/>
        </w:rPr>
      </w:pPr>
      <w:r>
        <w:rPr>
          <w:rFonts w:hint="eastAsia" w:ascii="宋体" w:hAnsi="宋体" w:cs="宋体"/>
          <w:color w:val="auto"/>
          <w:highlight w:val="none"/>
        </w:rPr>
        <w:t xml:space="preserve">签字(签章)：                    公章：                      </w:t>
      </w:r>
    </w:p>
    <w:p>
      <w:pPr>
        <w:ind w:firstLine="480"/>
        <w:rPr>
          <w:rFonts w:ascii="宋体" w:hAnsi="宋体" w:cs="宋体"/>
          <w:color w:val="auto"/>
          <w:highlight w:val="none"/>
        </w:rPr>
      </w:pPr>
      <w:r>
        <w:rPr>
          <w:rFonts w:hint="eastAsia" w:ascii="宋体" w:hAnsi="宋体" w:cs="宋体"/>
          <w:color w:val="auto"/>
          <w:highlight w:val="none"/>
        </w:rPr>
        <w:t xml:space="preserve">日期：     </w:t>
      </w:r>
    </w:p>
    <w:p>
      <w:pPr>
        <w:ind w:firstLine="643"/>
        <w:jc w:val="left"/>
        <w:rPr>
          <w:rFonts w:ascii="宋体" w:hAnsi="宋体" w:cs="宋体"/>
          <w:b/>
          <w:color w:val="auto"/>
          <w:sz w:val="32"/>
          <w:highlight w:val="none"/>
        </w:rPr>
      </w:pPr>
    </w:p>
    <w:p>
      <w:pPr>
        <w:spacing w:line="500" w:lineRule="exact"/>
        <w:ind w:firstLine="442"/>
        <w:rPr>
          <w:rFonts w:ascii="宋体" w:hAnsi="宋体" w:cs="宋体"/>
          <w:b/>
          <w:bCs/>
          <w:i/>
          <w:color w:val="auto"/>
          <w:sz w:val="22"/>
          <w:szCs w:val="22"/>
          <w:highlight w:val="none"/>
        </w:rPr>
      </w:pPr>
      <w:r>
        <w:rPr>
          <w:rFonts w:hint="eastAsia" w:ascii="宋体" w:hAnsi="宋体" w:cs="宋体"/>
          <w:b/>
          <w:bCs/>
          <w:i/>
          <w:color w:val="auto"/>
          <w:sz w:val="22"/>
          <w:szCs w:val="22"/>
          <w:highlight w:val="none"/>
        </w:rPr>
        <w:t>质疑函制作说明：</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1.供应商提出质疑时，应提交质疑函和必要的证明材料。</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3.质疑供应商若对项目的某一分包进行质疑，质疑函中应列明具体分包号。</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4.质疑函的质疑事项应具体、明确，并有必要的事实依据和法律依据。</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5.质疑函的质疑请求应与质疑事项相关。</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6.质疑供应商为自然人的，质疑函应由本人签字；质疑供应商为法人或者其他组织的，质疑函应由法定代表人、主要负责人，或者其授权代表签字或者盖章，并加盖公章。</w:t>
      </w:r>
    </w:p>
    <w:p>
      <w:pPr>
        <w:ind w:firstLine="0" w:firstLineChars="0"/>
        <w:rPr>
          <w:rFonts w:ascii="宋体" w:hAnsi="宋体" w:cs="宋体"/>
          <w:color w:val="auto"/>
          <w:highlight w:val="none"/>
        </w:rPr>
      </w:pPr>
    </w:p>
    <w:sectPr>
      <w:footerReference r:id="rId25" w:type="default"/>
      <w:pgSz w:w="11906" w:h="16838"/>
      <w:pgMar w:top="1440" w:right="1304" w:bottom="10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MT Extra">
    <w:panose1 w:val="05050102010205020202"/>
    <w:charset w:val="00"/>
    <w:family w:val="decorative"/>
    <w:pitch w:val="default"/>
    <w:sig w:usb0="8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D86XoqwAQAA&#10;TAMAAA4AAAAAAAAAAQAgAAAAHgEAAGRycy9lMm9Eb2MueG1sUEsFBgAAAAAGAAYAWQEAAEAFAAAA&#10;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eTgVWK8BAABN&#10;AwAADgAAAAAAAAABACAAAAAeAQAAZHJzL2Uyb0RvYy54bWxQSwUGAAAAAAYABgBZAQAAPwU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127KrgEAAE0D&#10;AAAOAAAAAAAAAAEAIAAAAB4BAABkcnMvZTJvRG9jLnhtbFBLBQYAAAAABgAGAFkBAAA+BQ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70</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-20734020</wp:posOffset>
              </wp:positionV>
              <wp:extent cx="1828800" cy="1828800"/>
              <wp:effectExtent l="0" t="0" r="0" b="0"/>
              <wp:wrapNone/>
              <wp:docPr id="5"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2" o:spid="_x0000_s1026" o:spt="202" type="#_x0000_t202" style="position:absolute;left:0pt;margin-top:-1632.6pt;height:144pt;width:144pt;mso-position-horizontal:outside;mso-position-horizontal-relative:margin;mso-wrap-style:none;z-index:251653120;mso-width-relative:page;mso-height-relative:page;" filled="f" stroked="f" coordsize="21600,21600" o:gfxdata="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TbS&#10;7dgAAAAMAQAADwAAAAAAAAABACAAAAAiAAAAZHJzL2Rvd25yZXYueG1sUEsBAhQAFAAAAAgAh07i&#10;QGuA+IGwAQAATAMAAA4AAAAAAAAAAQAgAAAAJwEAAGRycy9lMm9Eb2MueG1sUEsFBgAAAAAGAAYA&#10;WQEAAEkFA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5Kv3LABAABMAwAADgAAAGRycy9lMm9Eb2MueG1srVPNahsxEL4H+g5C&#10;91prQ4N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9k+iX3pw+xxrTbgIlp+OYHnPPoj+jMsgcFNn9R&#10;EME4dnp36q4cEhH50Xw2n1cYEhgbL4jPXp8HiOm79JZko6GA4ytd5dubmA6pY0qu5vyVNqaM0Lh3&#10;DsTMHpa5HzhmKw2r4Sho5dsd6ulx8g11uJqUmGuHjc1LMhowGqvR2ATQ6w6pTQuvGL5u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KOSr9ywAQAA&#10;TAMAAA4AAAAAAAAAAQAgAAAAHgEAAGRycy9lMm9Eb2MueG1sUEsFBgAAAAAGAAYAWQEAAEAFAAAA&#10;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l7zDuwAQAA&#10;TAMAAA4AAAAAAAAAAQAgAAAAHgEAAGRycy9lMm9Eb2MueG1sUEsFBgAAAAAGAAYAWQEAAEAFAAAA&#10;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153"/>
      </w:tabs>
      <w:ind w:right="360" w:firstLine="0" w:firstLineChars="0"/>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e/q2q8BAABM&#10;AwAADgAAAAAAAAABACAAAAAeAQAAZHJzL2Uyb0RvYy54bWxQSwUGAAAAAAYABgBZAQAAPwU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rPr>
        <w:sz w:val="24"/>
        <w:szCs w:val="24"/>
      </w:rPr>
    </w:pPr>
    <w:r>
      <w:rPr>
        <w:rFonts w:hint="eastAsia"/>
        <w:i/>
        <w:iCs/>
        <w:sz w:val="24"/>
        <w:szCs w:val="24"/>
      </w:rPr>
      <w:t>浙江五石工程咨询有限公司(2019版)</w:t>
    </w:r>
    <w:r>
      <w:rPr>
        <w:rFonts w:hint="eastAsia"/>
        <w:sz w:val="24"/>
        <w:szCs w:val="24"/>
      </w:rPr>
      <w:t xml:space="preserve">                      </w:t>
    </w:r>
    <w:r>
      <w:rPr>
        <w:rFonts w:hint="eastAsia"/>
        <w:i/>
        <w:iCs/>
        <w:sz w:val="24"/>
        <w:szCs w:val="24"/>
      </w:rPr>
      <w:t>精细 专业 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both"/>
    </w:pPr>
    <w:r>
      <w:rPr>
        <w:rFonts w:hint="eastAsia"/>
        <w:lang w:eastAsia="zh-CN"/>
      </w:rPr>
      <w:t>浙江机电职业技术学院</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rPr>
        <w:i/>
        <w:iCs/>
        <w:sz w:val="24"/>
        <w:szCs w:val="24"/>
      </w:rPr>
    </w:pPr>
  </w:p>
  <w:p>
    <w:pPr>
      <w:pStyle w:val="25"/>
      <w:ind w:firstLine="0" w:firstLineChars="0"/>
    </w:pPr>
    <w:r>
      <w:rPr>
        <w:rFonts w:hint="eastAsia"/>
        <w:i/>
        <w:iCs/>
        <w:sz w:val="24"/>
        <w:szCs w:val="24"/>
      </w:rPr>
      <w:t>浙江五石工程咨询有限公司（2019版）</w:t>
    </w:r>
    <w:r>
      <w:rPr>
        <w:rFonts w:hint="eastAsia"/>
        <w:sz w:val="24"/>
        <w:szCs w:val="24"/>
      </w:rPr>
      <w:t xml:space="preserve">                     </w:t>
    </w:r>
    <w:r>
      <w:rPr>
        <w:rFonts w:hint="eastAsia"/>
        <w:i/>
        <w:iCs/>
        <w:sz w:val="24"/>
        <w:szCs w:val="24"/>
      </w:rPr>
      <w:t>精细 专业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right"/>
    </w:pPr>
    <w:r>
      <w:rPr>
        <w:rFonts w:hint="eastAsia"/>
      </w:rPr>
      <w:t>浙江五石工程咨询有限公司招标文件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9128C"/>
    <w:multiLevelType w:val="singleLevel"/>
    <w:tmpl w:val="9B89128C"/>
    <w:lvl w:ilvl="0" w:tentative="0">
      <w:start w:val="1"/>
      <w:numFmt w:val="decimal"/>
      <w:suff w:val="nothing"/>
      <w:lvlText w:val="（%1）"/>
      <w:lvlJc w:val="left"/>
    </w:lvl>
  </w:abstractNum>
  <w:abstractNum w:abstractNumId="1">
    <w:nsid w:val="9D52DCE6"/>
    <w:multiLevelType w:val="singleLevel"/>
    <w:tmpl w:val="9D52DCE6"/>
    <w:lvl w:ilvl="0" w:tentative="0">
      <w:start w:val="1"/>
      <w:numFmt w:val="decimal"/>
      <w:lvlText w:val="%1."/>
      <w:lvlJc w:val="left"/>
      <w:pPr>
        <w:tabs>
          <w:tab w:val="left" w:pos="312"/>
        </w:tabs>
      </w:pPr>
    </w:lvl>
  </w:abstractNum>
  <w:abstractNum w:abstractNumId="2">
    <w:nsid w:val="A523208E"/>
    <w:multiLevelType w:val="singleLevel"/>
    <w:tmpl w:val="A523208E"/>
    <w:lvl w:ilvl="0" w:tentative="0">
      <w:start w:val="1"/>
      <w:numFmt w:val="decimal"/>
      <w:suff w:val="nothing"/>
      <w:lvlText w:val="（%1）"/>
      <w:lvlJc w:val="left"/>
    </w:lvl>
  </w:abstractNum>
  <w:abstractNum w:abstractNumId="3">
    <w:nsid w:val="B813CD19"/>
    <w:multiLevelType w:val="singleLevel"/>
    <w:tmpl w:val="B813CD19"/>
    <w:lvl w:ilvl="0" w:tentative="0">
      <w:start w:val="1"/>
      <w:numFmt w:val="decimal"/>
      <w:suff w:val="nothing"/>
      <w:lvlText w:val="%1、"/>
      <w:lvlJc w:val="left"/>
    </w:lvl>
  </w:abstractNum>
  <w:abstractNum w:abstractNumId="4">
    <w:nsid w:val="B9FECD7A"/>
    <w:multiLevelType w:val="singleLevel"/>
    <w:tmpl w:val="B9FECD7A"/>
    <w:lvl w:ilvl="0" w:tentative="0">
      <w:start w:val="1"/>
      <w:numFmt w:val="decimal"/>
      <w:lvlText w:val="(%1)"/>
      <w:lvlJc w:val="left"/>
      <w:pPr>
        <w:ind w:left="425" w:hanging="425"/>
      </w:pPr>
      <w:rPr>
        <w:rFonts w:hint="default"/>
      </w:rPr>
    </w:lvl>
  </w:abstractNum>
  <w:abstractNum w:abstractNumId="5">
    <w:nsid w:val="C9753911"/>
    <w:multiLevelType w:val="singleLevel"/>
    <w:tmpl w:val="C9753911"/>
    <w:lvl w:ilvl="0" w:tentative="0">
      <w:start w:val="1"/>
      <w:numFmt w:val="decimal"/>
      <w:suff w:val="nothing"/>
      <w:lvlText w:val="（%1）"/>
      <w:lvlJc w:val="left"/>
    </w:lvl>
  </w:abstractNum>
  <w:abstractNum w:abstractNumId="6">
    <w:nsid w:val="E419C3B5"/>
    <w:multiLevelType w:val="singleLevel"/>
    <w:tmpl w:val="E419C3B5"/>
    <w:lvl w:ilvl="0" w:tentative="0">
      <w:start w:val="1"/>
      <w:numFmt w:val="decimal"/>
      <w:suff w:val="nothing"/>
      <w:lvlText w:val="%1，"/>
      <w:lvlJc w:val="left"/>
    </w:lvl>
  </w:abstractNum>
  <w:abstractNum w:abstractNumId="7">
    <w:nsid w:val="F56FB2D7"/>
    <w:multiLevelType w:val="singleLevel"/>
    <w:tmpl w:val="F56FB2D7"/>
    <w:lvl w:ilvl="0" w:tentative="0">
      <w:start w:val="4"/>
      <w:numFmt w:val="decimal"/>
      <w:suff w:val="nothing"/>
      <w:lvlText w:val="（%1）"/>
      <w:lvlJc w:val="left"/>
    </w:lvl>
  </w:abstractNum>
  <w:abstractNum w:abstractNumId="8">
    <w:nsid w:val="F6D5FE6C"/>
    <w:multiLevelType w:val="singleLevel"/>
    <w:tmpl w:val="F6D5FE6C"/>
    <w:lvl w:ilvl="0" w:tentative="0">
      <w:start w:val="1"/>
      <w:numFmt w:val="decimal"/>
      <w:lvlText w:val="%1."/>
      <w:lvlJc w:val="left"/>
      <w:pPr>
        <w:ind w:left="425" w:hanging="425"/>
      </w:pPr>
      <w:rPr>
        <w:rFonts w:hint="default"/>
      </w:rPr>
    </w:lvl>
  </w:abstractNum>
  <w:abstractNum w:abstractNumId="9">
    <w:nsid w:val="F81965CD"/>
    <w:multiLevelType w:val="singleLevel"/>
    <w:tmpl w:val="F81965CD"/>
    <w:lvl w:ilvl="0" w:tentative="0">
      <w:start w:val="1"/>
      <w:numFmt w:val="decimal"/>
      <w:suff w:val="nothing"/>
      <w:lvlText w:val="（%1）"/>
      <w:lvlJc w:val="left"/>
    </w:lvl>
  </w:abstractNum>
  <w:abstractNum w:abstractNumId="10">
    <w:nsid w:val="F9A5FCD9"/>
    <w:multiLevelType w:val="singleLevel"/>
    <w:tmpl w:val="F9A5FCD9"/>
    <w:lvl w:ilvl="0" w:tentative="0">
      <w:start w:val="1"/>
      <w:numFmt w:val="bullet"/>
      <w:lvlText w:val=""/>
      <w:lvlJc w:val="left"/>
      <w:pPr>
        <w:ind w:left="420" w:hanging="420"/>
      </w:pPr>
      <w:rPr>
        <w:rFonts w:hint="default" w:ascii="Wingdings" w:hAnsi="Wingdings"/>
      </w:rPr>
    </w:lvl>
  </w:abstractNum>
  <w:abstractNum w:abstractNumId="11">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
    <w:nsid w:val="02B09879"/>
    <w:multiLevelType w:val="singleLevel"/>
    <w:tmpl w:val="02B09879"/>
    <w:lvl w:ilvl="0" w:tentative="0">
      <w:start w:val="1"/>
      <w:numFmt w:val="decimal"/>
      <w:suff w:val="nothing"/>
      <w:lvlText w:val="（%1）"/>
      <w:lvlJc w:val="left"/>
    </w:lvl>
  </w:abstractNum>
  <w:abstractNum w:abstractNumId="13">
    <w:nsid w:val="2B1A34EB"/>
    <w:multiLevelType w:val="multilevel"/>
    <w:tmpl w:val="2B1A34EB"/>
    <w:lvl w:ilvl="0" w:tentative="0">
      <w:start w:val="1"/>
      <w:numFmt w:val="decimal"/>
      <w:lvlText w:val="%1."/>
      <w:lvlJc w:val="left"/>
      <w:pPr>
        <w:ind w:left="420" w:hanging="420"/>
      </w:pPr>
    </w:lvl>
    <w:lvl w:ilvl="1" w:tentative="0">
      <w:start w:val="1"/>
      <w:numFmt w:val="lowerLetter"/>
      <w:pStyle w:val="138"/>
      <w:lvlText w:val="%2)"/>
      <w:lvlJc w:val="left"/>
      <w:pPr>
        <w:ind w:left="840" w:hanging="420"/>
      </w:pPr>
    </w:lvl>
    <w:lvl w:ilvl="2" w:tentative="0">
      <w:start w:val="1"/>
      <w:numFmt w:val="lowerRoman"/>
      <w:pStyle w:val="13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A1E5315"/>
    <w:multiLevelType w:val="singleLevel"/>
    <w:tmpl w:val="3A1E5315"/>
    <w:lvl w:ilvl="0" w:tentative="0">
      <w:start w:val="1"/>
      <w:numFmt w:val="bullet"/>
      <w:lvlText w:val=""/>
      <w:lvlJc w:val="left"/>
      <w:pPr>
        <w:ind w:left="420" w:hanging="420"/>
      </w:pPr>
      <w:rPr>
        <w:rFonts w:hint="default" w:ascii="Wingdings" w:hAnsi="Wingdings"/>
      </w:rPr>
    </w:lvl>
  </w:abstractNum>
  <w:abstractNum w:abstractNumId="15">
    <w:nsid w:val="3EC71058"/>
    <w:multiLevelType w:val="singleLevel"/>
    <w:tmpl w:val="3EC71058"/>
    <w:lvl w:ilvl="0" w:tentative="0">
      <w:start w:val="1"/>
      <w:numFmt w:val="decimal"/>
      <w:lvlText w:val="%1."/>
      <w:lvlJc w:val="left"/>
      <w:pPr>
        <w:tabs>
          <w:tab w:val="left" w:pos="312"/>
        </w:tabs>
      </w:pPr>
    </w:lvl>
  </w:abstractNum>
  <w:abstractNum w:abstractNumId="16">
    <w:nsid w:val="4068A08C"/>
    <w:multiLevelType w:val="singleLevel"/>
    <w:tmpl w:val="4068A08C"/>
    <w:lvl w:ilvl="0" w:tentative="0">
      <w:start w:val="1"/>
      <w:numFmt w:val="decimal"/>
      <w:lvlText w:val="%1."/>
      <w:lvlJc w:val="left"/>
      <w:pPr>
        <w:ind w:left="425" w:hanging="425"/>
      </w:pPr>
      <w:rPr>
        <w:rFonts w:hint="default"/>
      </w:rPr>
    </w:lvl>
  </w:abstractNum>
  <w:abstractNum w:abstractNumId="17">
    <w:nsid w:val="41C5F5BA"/>
    <w:multiLevelType w:val="singleLevel"/>
    <w:tmpl w:val="41C5F5BA"/>
    <w:lvl w:ilvl="0" w:tentative="0">
      <w:start w:val="1"/>
      <w:numFmt w:val="decimal"/>
      <w:lvlText w:val="%1."/>
      <w:lvlJc w:val="left"/>
      <w:pPr>
        <w:ind w:left="425" w:hanging="425"/>
      </w:pPr>
      <w:rPr>
        <w:rFonts w:hint="default"/>
      </w:rPr>
    </w:lvl>
  </w:abstractNum>
  <w:abstractNum w:abstractNumId="18">
    <w:nsid w:val="4BFDDBFF"/>
    <w:multiLevelType w:val="singleLevel"/>
    <w:tmpl w:val="4BFDDBFF"/>
    <w:lvl w:ilvl="0" w:tentative="0">
      <w:start w:val="1"/>
      <w:numFmt w:val="decimal"/>
      <w:suff w:val="nothing"/>
      <w:lvlText w:val="（%1）"/>
      <w:lvlJc w:val="left"/>
    </w:lvl>
  </w:abstractNum>
  <w:abstractNum w:abstractNumId="19">
    <w:nsid w:val="5A1BA331"/>
    <w:multiLevelType w:val="singleLevel"/>
    <w:tmpl w:val="5A1BA331"/>
    <w:lvl w:ilvl="0" w:tentative="0">
      <w:start w:val="1"/>
      <w:numFmt w:val="decimal"/>
      <w:suff w:val="nothing"/>
      <w:lvlText w:val="%1、"/>
      <w:lvlJc w:val="left"/>
    </w:lvl>
  </w:abstractNum>
  <w:abstractNum w:abstractNumId="20">
    <w:nsid w:val="641723FF"/>
    <w:multiLevelType w:val="multilevel"/>
    <w:tmpl w:val="641723FF"/>
    <w:lvl w:ilvl="0" w:tentative="0">
      <w:start w:val="1"/>
      <w:numFmt w:val="decimal"/>
      <w:pStyle w:val="13"/>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6DE11870"/>
    <w:multiLevelType w:val="multilevel"/>
    <w:tmpl w:val="6DE11870"/>
    <w:lvl w:ilvl="0" w:tentative="0">
      <w:start w:val="1"/>
      <w:numFmt w:val="decimal"/>
      <w:pStyle w:val="1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0"/>
  </w:num>
  <w:num w:numId="2">
    <w:abstractNumId w:val="21"/>
  </w:num>
  <w:num w:numId="3">
    <w:abstractNumId w:val="13"/>
  </w:num>
  <w:num w:numId="4">
    <w:abstractNumId w:val="14"/>
  </w:num>
  <w:num w:numId="5">
    <w:abstractNumId w:val="10"/>
  </w:num>
  <w:num w:numId="6">
    <w:abstractNumId w:val="19"/>
  </w:num>
  <w:num w:numId="7">
    <w:abstractNumId w:val="1"/>
  </w:num>
  <w:num w:numId="8">
    <w:abstractNumId w:val="15"/>
  </w:num>
  <w:num w:numId="9">
    <w:abstractNumId w:val="3"/>
  </w:num>
  <w:num w:numId="10">
    <w:abstractNumId w:val="6"/>
  </w:num>
  <w:num w:numId="11">
    <w:abstractNumId w:val="17"/>
  </w:num>
  <w:num w:numId="12">
    <w:abstractNumId w:val="18"/>
  </w:num>
  <w:num w:numId="13">
    <w:abstractNumId w:val="4"/>
  </w:num>
  <w:num w:numId="14">
    <w:abstractNumId w:val="7"/>
  </w:num>
  <w:num w:numId="15">
    <w:abstractNumId w:val="2"/>
  </w:num>
  <w:num w:numId="16">
    <w:abstractNumId w:val="11"/>
  </w:num>
  <w:num w:numId="17">
    <w:abstractNumId w:val="8"/>
  </w:num>
  <w:num w:numId="18">
    <w:abstractNumId w:val="9"/>
  </w:num>
  <w:num w:numId="19">
    <w:abstractNumId w:val="0"/>
  </w:num>
  <w:num w:numId="20">
    <w:abstractNumId w:val="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E"/>
    <w:rsid w:val="0000025A"/>
    <w:rsid w:val="00001CC1"/>
    <w:rsid w:val="000035F4"/>
    <w:rsid w:val="000037F0"/>
    <w:rsid w:val="00011721"/>
    <w:rsid w:val="000138E8"/>
    <w:rsid w:val="00015136"/>
    <w:rsid w:val="0001591E"/>
    <w:rsid w:val="00015D46"/>
    <w:rsid w:val="00017060"/>
    <w:rsid w:val="00025F4A"/>
    <w:rsid w:val="00026A02"/>
    <w:rsid w:val="00030E74"/>
    <w:rsid w:val="00031467"/>
    <w:rsid w:val="0003254D"/>
    <w:rsid w:val="00032E39"/>
    <w:rsid w:val="00034AF2"/>
    <w:rsid w:val="00036D69"/>
    <w:rsid w:val="000404A4"/>
    <w:rsid w:val="00041C10"/>
    <w:rsid w:val="00042B4E"/>
    <w:rsid w:val="00042EB3"/>
    <w:rsid w:val="00045487"/>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421C"/>
    <w:rsid w:val="00064331"/>
    <w:rsid w:val="0006488C"/>
    <w:rsid w:val="00066FF5"/>
    <w:rsid w:val="00071D0C"/>
    <w:rsid w:val="00073925"/>
    <w:rsid w:val="000745F6"/>
    <w:rsid w:val="0007498A"/>
    <w:rsid w:val="00080A0E"/>
    <w:rsid w:val="000839F9"/>
    <w:rsid w:val="00084E75"/>
    <w:rsid w:val="00085C83"/>
    <w:rsid w:val="00087CAA"/>
    <w:rsid w:val="00090D1F"/>
    <w:rsid w:val="00090FF6"/>
    <w:rsid w:val="0009249B"/>
    <w:rsid w:val="00092B40"/>
    <w:rsid w:val="00093E97"/>
    <w:rsid w:val="000943A3"/>
    <w:rsid w:val="00094405"/>
    <w:rsid w:val="00094BA4"/>
    <w:rsid w:val="00097898"/>
    <w:rsid w:val="000979EB"/>
    <w:rsid w:val="000A06EB"/>
    <w:rsid w:val="000A1C87"/>
    <w:rsid w:val="000A1CDE"/>
    <w:rsid w:val="000A1D3B"/>
    <w:rsid w:val="000A2B27"/>
    <w:rsid w:val="000A5003"/>
    <w:rsid w:val="000A587C"/>
    <w:rsid w:val="000A7A8F"/>
    <w:rsid w:val="000B1739"/>
    <w:rsid w:val="000B18F5"/>
    <w:rsid w:val="000B46DF"/>
    <w:rsid w:val="000B58E3"/>
    <w:rsid w:val="000C250F"/>
    <w:rsid w:val="000C2DAF"/>
    <w:rsid w:val="000C30E1"/>
    <w:rsid w:val="000C37C9"/>
    <w:rsid w:val="000C5DBD"/>
    <w:rsid w:val="000D2071"/>
    <w:rsid w:val="000D331A"/>
    <w:rsid w:val="000D4D96"/>
    <w:rsid w:val="000D57D1"/>
    <w:rsid w:val="000D788C"/>
    <w:rsid w:val="000D7C23"/>
    <w:rsid w:val="000D7FEC"/>
    <w:rsid w:val="000E1852"/>
    <w:rsid w:val="000E1EAA"/>
    <w:rsid w:val="000E1EEA"/>
    <w:rsid w:val="000E3154"/>
    <w:rsid w:val="000E77D9"/>
    <w:rsid w:val="000F12CA"/>
    <w:rsid w:val="000F3297"/>
    <w:rsid w:val="000F444F"/>
    <w:rsid w:val="000F4473"/>
    <w:rsid w:val="000F58E0"/>
    <w:rsid w:val="000F6102"/>
    <w:rsid w:val="000F64D5"/>
    <w:rsid w:val="0010080A"/>
    <w:rsid w:val="0010157A"/>
    <w:rsid w:val="0011181B"/>
    <w:rsid w:val="0011211A"/>
    <w:rsid w:val="00112B47"/>
    <w:rsid w:val="001148C6"/>
    <w:rsid w:val="00115094"/>
    <w:rsid w:val="001200F0"/>
    <w:rsid w:val="0012516A"/>
    <w:rsid w:val="001266F7"/>
    <w:rsid w:val="00127E3B"/>
    <w:rsid w:val="00134E45"/>
    <w:rsid w:val="0013792B"/>
    <w:rsid w:val="00140519"/>
    <w:rsid w:val="001443A3"/>
    <w:rsid w:val="0014477F"/>
    <w:rsid w:val="00144E22"/>
    <w:rsid w:val="00145FC1"/>
    <w:rsid w:val="00153938"/>
    <w:rsid w:val="00154FA3"/>
    <w:rsid w:val="001568D6"/>
    <w:rsid w:val="001603BB"/>
    <w:rsid w:val="00160F1A"/>
    <w:rsid w:val="001613F6"/>
    <w:rsid w:val="00162AC7"/>
    <w:rsid w:val="00163CF5"/>
    <w:rsid w:val="00163D3F"/>
    <w:rsid w:val="00164038"/>
    <w:rsid w:val="0016454E"/>
    <w:rsid w:val="00164B17"/>
    <w:rsid w:val="00166F73"/>
    <w:rsid w:val="0017056C"/>
    <w:rsid w:val="001719C5"/>
    <w:rsid w:val="0017260C"/>
    <w:rsid w:val="0017509E"/>
    <w:rsid w:val="00176C19"/>
    <w:rsid w:val="00181D19"/>
    <w:rsid w:val="00182B31"/>
    <w:rsid w:val="0018410D"/>
    <w:rsid w:val="001843C6"/>
    <w:rsid w:val="00184735"/>
    <w:rsid w:val="00184FB7"/>
    <w:rsid w:val="001858A6"/>
    <w:rsid w:val="00186FFB"/>
    <w:rsid w:val="00187352"/>
    <w:rsid w:val="00187590"/>
    <w:rsid w:val="00187674"/>
    <w:rsid w:val="00190477"/>
    <w:rsid w:val="00194B73"/>
    <w:rsid w:val="00195532"/>
    <w:rsid w:val="00195F5B"/>
    <w:rsid w:val="001967ED"/>
    <w:rsid w:val="001A0A45"/>
    <w:rsid w:val="001A1F36"/>
    <w:rsid w:val="001A24A9"/>
    <w:rsid w:val="001A5AD8"/>
    <w:rsid w:val="001A6304"/>
    <w:rsid w:val="001B0AEC"/>
    <w:rsid w:val="001B4607"/>
    <w:rsid w:val="001B6084"/>
    <w:rsid w:val="001B68D8"/>
    <w:rsid w:val="001C031F"/>
    <w:rsid w:val="001C09CF"/>
    <w:rsid w:val="001C42CD"/>
    <w:rsid w:val="001C441C"/>
    <w:rsid w:val="001C4DD1"/>
    <w:rsid w:val="001C4DE4"/>
    <w:rsid w:val="001C6E99"/>
    <w:rsid w:val="001C78A7"/>
    <w:rsid w:val="001D25B6"/>
    <w:rsid w:val="001D2793"/>
    <w:rsid w:val="001D6435"/>
    <w:rsid w:val="001D67D5"/>
    <w:rsid w:val="001E4700"/>
    <w:rsid w:val="001E6BA1"/>
    <w:rsid w:val="001F1D58"/>
    <w:rsid w:val="001F2B86"/>
    <w:rsid w:val="001F4CF7"/>
    <w:rsid w:val="001F6B29"/>
    <w:rsid w:val="001F72A2"/>
    <w:rsid w:val="001F7AB6"/>
    <w:rsid w:val="00200224"/>
    <w:rsid w:val="00201004"/>
    <w:rsid w:val="00202DB8"/>
    <w:rsid w:val="00204B71"/>
    <w:rsid w:val="00207178"/>
    <w:rsid w:val="002122DB"/>
    <w:rsid w:val="00213994"/>
    <w:rsid w:val="00213B07"/>
    <w:rsid w:val="002152F0"/>
    <w:rsid w:val="00216EB4"/>
    <w:rsid w:val="00221913"/>
    <w:rsid w:val="00221953"/>
    <w:rsid w:val="00226E86"/>
    <w:rsid w:val="00226F50"/>
    <w:rsid w:val="00230A4E"/>
    <w:rsid w:val="00232602"/>
    <w:rsid w:val="00232F13"/>
    <w:rsid w:val="00233085"/>
    <w:rsid w:val="0023344E"/>
    <w:rsid w:val="00234F46"/>
    <w:rsid w:val="00237051"/>
    <w:rsid w:val="002372E3"/>
    <w:rsid w:val="002408C8"/>
    <w:rsid w:val="0024232D"/>
    <w:rsid w:val="00242A24"/>
    <w:rsid w:val="002434B6"/>
    <w:rsid w:val="002447B7"/>
    <w:rsid w:val="002452ED"/>
    <w:rsid w:val="002510A9"/>
    <w:rsid w:val="0025343D"/>
    <w:rsid w:val="002539A2"/>
    <w:rsid w:val="00254E25"/>
    <w:rsid w:val="0026022B"/>
    <w:rsid w:val="0026685D"/>
    <w:rsid w:val="0026688A"/>
    <w:rsid w:val="00266937"/>
    <w:rsid w:val="00267608"/>
    <w:rsid w:val="00267CCE"/>
    <w:rsid w:val="00270528"/>
    <w:rsid w:val="0027327B"/>
    <w:rsid w:val="00277B3D"/>
    <w:rsid w:val="00281B19"/>
    <w:rsid w:val="00282430"/>
    <w:rsid w:val="00283762"/>
    <w:rsid w:val="00283A95"/>
    <w:rsid w:val="00283DBA"/>
    <w:rsid w:val="00287043"/>
    <w:rsid w:val="002A0D60"/>
    <w:rsid w:val="002A1458"/>
    <w:rsid w:val="002A2966"/>
    <w:rsid w:val="002A2D74"/>
    <w:rsid w:val="002A350A"/>
    <w:rsid w:val="002A5605"/>
    <w:rsid w:val="002B1E3C"/>
    <w:rsid w:val="002B4EEF"/>
    <w:rsid w:val="002B510A"/>
    <w:rsid w:val="002B5196"/>
    <w:rsid w:val="002B5982"/>
    <w:rsid w:val="002B6139"/>
    <w:rsid w:val="002C1486"/>
    <w:rsid w:val="002C549E"/>
    <w:rsid w:val="002C55D2"/>
    <w:rsid w:val="002D3BB1"/>
    <w:rsid w:val="002D4566"/>
    <w:rsid w:val="002D4C27"/>
    <w:rsid w:val="002D4D08"/>
    <w:rsid w:val="002D6292"/>
    <w:rsid w:val="002D6B47"/>
    <w:rsid w:val="002D73CD"/>
    <w:rsid w:val="002E2BEE"/>
    <w:rsid w:val="002E3D90"/>
    <w:rsid w:val="002E41DB"/>
    <w:rsid w:val="002E5D7F"/>
    <w:rsid w:val="002F3D28"/>
    <w:rsid w:val="002F603A"/>
    <w:rsid w:val="003034D2"/>
    <w:rsid w:val="00305221"/>
    <w:rsid w:val="00306305"/>
    <w:rsid w:val="0030784B"/>
    <w:rsid w:val="00311320"/>
    <w:rsid w:val="00312109"/>
    <w:rsid w:val="00313C6B"/>
    <w:rsid w:val="00314DA9"/>
    <w:rsid w:val="00317FBE"/>
    <w:rsid w:val="0032495C"/>
    <w:rsid w:val="00325B6A"/>
    <w:rsid w:val="0032613D"/>
    <w:rsid w:val="00327F94"/>
    <w:rsid w:val="00330393"/>
    <w:rsid w:val="0033149C"/>
    <w:rsid w:val="00335987"/>
    <w:rsid w:val="00345C73"/>
    <w:rsid w:val="00345F39"/>
    <w:rsid w:val="0034601A"/>
    <w:rsid w:val="00347C07"/>
    <w:rsid w:val="00350C68"/>
    <w:rsid w:val="00353396"/>
    <w:rsid w:val="00354041"/>
    <w:rsid w:val="00356AA8"/>
    <w:rsid w:val="003618CD"/>
    <w:rsid w:val="003630D0"/>
    <w:rsid w:val="00366D40"/>
    <w:rsid w:val="00367ED7"/>
    <w:rsid w:val="003751EF"/>
    <w:rsid w:val="00375E93"/>
    <w:rsid w:val="003977AF"/>
    <w:rsid w:val="00397FCB"/>
    <w:rsid w:val="003A17D7"/>
    <w:rsid w:val="003A21C4"/>
    <w:rsid w:val="003A3CE9"/>
    <w:rsid w:val="003A52B2"/>
    <w:rsid w:val="003B0382"/>
    <w:rsid w:val="003C0650"/>
    <w:rsid w:val="003C0693"/>
    <w:rsid w:val="003C430F"/>
    <w:rsid w:val="003C6FB6"/>
    <w:rsid w:val="003C70A4"/>
    <w:rsid w:val="003D111D"/>
    <w:rsid w:val="003D1A1D"/>
    <w:rsid w:val="003D441F"/>
    <w:rsid w:val="003D655A"/>
    <w:rsid w:val="003D71E5"/>
    <w:rsid w:val="003D79E7"/>
    <w:rsid w:val="003E284D"/>
    <w:rsid w:val="003E2AB8"/>
    <w:rsid w:val="003E5143"/>
    <w:rsid w:val="003E69EF"/>
    <w:rsid w:val="003E7AC3"/>
    <w:rsid w:val="003F281F"/>
    <w:rsid w:val="003F310F"/>
    <w:rsid w:val="003F34D7"/>
    <w:rsid w:val="003F440F"/>
    <w:rsid w:val="003F491A"/>
    <w:rsid w:val="003F6B3A"/>
    <w:rsid w:val="003F7C56"/>
    <w:rsid w:val="00403094"/>
    <w:rsid w:val="00405EBF"/>
    <w:rsid w:val="004076A6"/>
    <w:rsid w:val="00407BB7"/>
    <w:rsid w:val="004105ED"/>
    <w:rsid w:val="004120D4"/>
    <w:rsid w:val="00412FF5"/>
    <w:rsid w:val="004137FE"/>
    <w:rsid w:val="0041720E"/>
    <w:rsid w:val="0043001F"/>
    <w:rsid w:val="004341AA"/>
    <w:rsid w:val="00434685"/>
    <w:rsid w:val="00434C28"/>
    <w:rsid w:val="0043524F"/>
    <w:rsid w:val="00437350"/>
    <w:rsid w:val="0043763D"/>
    <w:rsid w:val="00440896"/>
    <w:rsid w:val="00445CFD"/>
    <w:rsid w:val="004468DE"/>
    <w:rsid w:val="00447A63"/>
    <w:rsid w:val="0045047B"/>
    <w:rsid w:val="004537CA"/>
    <w:rsid w:val="0045693A"/>
    <w:rsid w:val="004574CF"/>
    <w:rsid w:val="00460B52"/>
    <w:rsid w:val="0046116C"/>
    <w:rsid w:val="00461887"/>
    <w:rsid w:val="0046220A"/>
    <w:rsid w:val="00462D41"/>
    <w:rsid w:val="00464FB5"/>
    <w:rsid w:val="00465A03"/>
    <w:rsid w:val="00465C7B"/>
    <w:rsid w:val="004673A3"/>
    <w:rsid w:val="004700E2"/>
    <w:rsid w:val="00470586"/>
    <w:rsid w:val="00470BCA"/>
    <w:rsid w:val="00471405"/>
    <w:rsid w:val="004725F2"/>
    <w:rsid w:val="00475E8A"/>
    <w:rsid w:val="00477053"/>
    <w:rsid w:val="00477109"/>
    <w:rsid w:val="0048641F"/>
    <w:rsid w:val="00486775"/>
    <w:rsid w:val="0049040C"/>
    <w:rsid w:val="00492413"/>
    <w:rsid w:val="00492B7F"/>
    <w:rsid w:val="00492C6B"/>
    <w:rsid w:val="00492E09"/>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C60E9"/>
    <w:rsid w:val="004D0206"/>
    <w:rsid w:val="004D048E"/>
    <w:rsid w:val="004D0C51"/>
    <w:rsid w:val="004D0DD6"/>
    <w:rsid w:val="004D150A"/>
    <w:rsid w:val="004D29FF"/>
    <w:rsid w:val="004D626B"/>
    <w:rsid w:val="004D6905"/>
    <w:rsid w:val="004D6F27"/>
    <w:rsid w:val="004D7553"/>
    <w:rsid w:val="004D7C4C"/>
    <w:rsid w:val="004E0F9A"/>
    <w:rsid w:val="004E21F5"/>
    <w:rsid w:val="004E4CB6"/>
    <w:rsid w:val="004E6BA4"/>
    <w:rsid w:val="004E7787"/>
    <w:rsid w:val="004F0B26"/>
    <w:rsid w:val="004F0FCE"/>
    <w:rsid w:val="004F1662"/>
    <w:rsid w:val="004F202B"/>
    <w:rsid w:val="004F3507"/>
    <w:rsid w:val="004F3EE4"/>
    <w:rsid w:val="004F42C4"/>
    <w:rsid w:val="004F5477"/>
    <w:rsid w:val="004F7E99"/>
    <w:rsid w:val="004F7FE8"/>
    <w:rsid w:val="0050000D"/>
    <w:rsid w:val="00500645"/>
    <w:rsid w:val="00503042"/>
    <w:rsid w:val="00503AA5"/>
    <w:rsid w:val="00504E09"/>
    <w:rsid w:val="00516B63"/>
    <w:rsid w:val="005206C3"/>
    <w:rsid w:val="00521C7F"/>
    <w:rsid w:val="00522CAF"/>
    <w:rsid w:val="00526755"/>
    <w:rsid w:val="00526C59"/>
    <w:rsid w:val="00530109"/>
    <w:rsid w:val="00530BB1"/>
    <w:rsid w:val="0053248E"/>
    <w:rsid w:val="00532B43"/>
    <w:rsid w:val="00533248"/>
    <w:rsid w:val="005345B3"/>
    <w:rsid w:val="00537959"/>
    <w:rsid w:val="00541249"/>
    <w:rsid w:val="00541A28"/>
    <w:rsid w:val="00543072"/>
    <w:rsid w:val="005507B7"/>
    <w:rsid w:val="005527B8"/>
    <w:rsid w:val="00557FFD"/>
    <w:rsid w:val="005618A8"/>
    <w:rsid w:val="00561DC5"/>
    <w:rsid w:val="005630BA"/>
    <w:rsid w:val="005661C0"/>
    <w:rsid w:val="00566D88"/>
    <w:rsid w:val="005701DE"/>
    <w:rsid w:val="0057111D"/>
    <w:rsid w:val="00574EF9"/>
    <w:rsid w:val="005770DF"/>
    <w:rsid w:val="00577127"/>
    <w:rsid w:val="00580F00"/>
    <w:rsid w:val="005827EF"/>
    <w:rsid w:val="00583761"/>
    <w:rsid w:val="0058503E"/>
    <w:rsid w:val="0058622B"/>
    <w:rsid w:val="00587A9A"/>
    <w:rsid w:val="005964EA"/>
    <w:rsid w:val="005A002A"/>
    <w:rsid w:val="005A010C"/>
    <w:rsid w:val="005A130D"/>
    <w:rsid w:val="005A1ACF"/>
    <w:rsid w:val="005A1B31"/>
    <w:rsid w:val="005A7C49"/>
    <w:rsid w:val="005B6142"/>
    <w:rsid w:val="005C0C63"/>
    <w:rsid w:val="005C0E04"/>
    <w:rsid w:val="005C19C0"/>
    <w:rsid w:val="005C6B3F"/>
    <w:rsid w:val="005D46CD"/>
    <w:rsid w:val="005D4A96"/>
    <w:rsid w:val="005D5E1B"/>
    <w:rsid w:val="005E654C"/>
    <w:rsid w:val="005E7132"/>
    <w:rsid w:val="005F26B4"/>
    <w:rsid w:val="005F2D62"/>
    <w:rsid w:val="005F2D88"/>
    <w:rsid w:val="005F4D1B"/>
    <w:rsid w:val="005F4FB8"/>
    <w:rsid w:val="005F6C39"/>
    <w:rsid w:val="005F79FD"/>
    <w:rsid w:val="00600341"/>
    <w:rsid w:val="00602E21"/>
    <w:rsid w:val="00603612"/>
    <w:rsid w:val="0060380C"/>
    <w:rsid w:val="00603FC0"/>
    <w:rsid w:val="0060545C"/>
    <w:rsid w:val="00605AF4"/>
    <w:rsid w:val="00606E06"/>
    <w:rsid w:val="00607AAE"/>
    <w:rsid w:val="00613372"/>
    <w:rsid w:val="0062425C"/>
    <w:rsid w:val="00624392"/>
    <w:rsid w:val="006262D0"/>
    <w:rsid w:val="00626C87"/>
    <w:rsid w:val="006270E1"/>
    <w:rsid w:val="00633F76"/>
    <w:rsid w:val="00635A21"/>
    <w:rsid w:val="006371A6"/>
    <w:rsid w:val="00640C70"/>
    <w:rsid w:val="006411C0"/>
    <w:rsid w:val="006444C5"/>
    <w:rsid w:val="00644AED"/>
    <w:rsid w:val="006457E3"/>
    <w:rsid w:val="00646067"/>
    <w:rsid w:val="00647592"/>
    <w:rsid w:val="0065067F"/>
    <w:rsid w:val="006506AA"/>
    <w:rsid w:val="00652FD2"/>
    <w:rsid w:val="006531B2"/>
    <w:rsid w:val="006542CD"/>
    <w:rsid w:val="006544E3"/>
    <w:rsid w:val="00654780"/>
    <w:rsid w:val="00655B0E"/>
    <w:rsid w:val="006566B1"/>
    <w:rsid w:val="0065776D"/>
    <w:rsid w:val="0066048B"/>
    <w:rsid w:val="006607A7"/>
    <w:rsid w:val="00664BDC"/>
    <w:rsid w:val="00665DFD"/>
    <w:rsid w:val="00682742"/>
    <w:rsid w:val="0068504F"/>
    <w:rsid w:val="00690CFF"/>
    <w:rsid w:val="00690F83"/>
    <w:rsid w:val="0069131A"/>
    <w:rsid w:val="00693444"/>
    <w:rsid w:val="006938F3"/>
    <w:rsid w:val="006A06BA"/>
    <w:rsid w:val="006A31FD"/>
    <w:rsid w:val="006A482E"/>
    <w:rsid w:val="006A68D0"/>
    <w:rsid w:val="006A7262"/>
    <w:rsid w:val="006A778E"/>
    <w:rsid w:val="006B1CA2"/>
    <w:rsid w:val="006B5B1F"/>
    <w:rsid w:val="006B608F"/>
    <w:rsid w:val="006B6A8F"/>
    <w:rsid w:val="006C0C12"/>
    <w:rsid w:val="006C3BD9"/>
    <w:rsid w:val="006C5238"/>
    <w:rsid w:val="006C641F"/>
    <w:rsid w:val="006D0972"/>
    <w:rsid w:val="006D09C6"/>
    <w:rsid w:val="006D3640"/>
    <w:rsid w:val="006D64A1"/>
    <w:rsid w:val="006D65A8"/>
    <w:rsid w:val="006D73CA"/>
    <w:rsid w:val="006E086A"/>
    <w:rsid w:val="006E2A3C"/>
    <w:rsid w:val="006E4E59"/>
    <w:rsid w:val="006E5367"/>
    <w:rsid w:val="006E67C2"/>
    <w:rsid w:val="006F033A"/>
    <w:rsid w:val="006F5547"/>
    <w:rsid w:val="00701BD2"/>
    <w:rsid w:val="00703DFE"/>
    <w:rsid w:val="0070413B"/>
    <w:rsid w:val="007066D4"/>
    <w:rsid w:val="00706F94"/>
    <w:rsid w:val="00711281"/>
    <w:rsid w:val="0071168F"/>
    <w:rsid w:val="007133A7"/>
    <w:rsid w:val="00714D40"/>
    <w:rsid w:val="0071607F"/>
    <w:rsid w:val="00716992"/>
    <w:rsid w:val="00717FBE"/>
    <w:rsid w:val="00720A4F"/>
    <w:rsid w:val="00721700"/>
    <w:rsid w:val="007238B9"/>
    <w:rsid w:val="007256CA"/>
    <w:rsid w:val="00731786"/>
    <w:rsid w:val="00740830"/>
    <w:rsid w:val="00741369"/>
    <w:rsid w:val="007420A7"/>
    <w:rsid w:val="00742819"/>
    <w:rsid w:val="00742F45"/>
    <w:rsid w:val="007454AA"/>
    <w:rsid w:val="00746A57"/>
    <w:rsid w:val="00747F36"/>
    <w:rsid w:val="00751D07"/>
    <w:rsid w:val="00751D77"/>
    <w:rsid w:val="00754AB3"/>
    <w:rsid w:val="00756186"/>
    <w:rsid w:val="007647EC"/>
    <w:rsid w:val="00765AAB"/>
    <w:rsid w:val="00770034"/>
    <w:rsid w:val="00771DDD"/>
    <w:rsid w:val="0077232D"/>
    <w:rsid w:val="00772782"/>
    <w:rsid w:val="00772DBD"/>
    <w:rsid w:val="0077469F"/>
    <w:rsid w:val="00774992"/>
    <w:rsid w:val="007805C7"/>
    <w:rsid w:val="00781678"/>
    <w:rsid w:val="0078362A"/>
    <w:rsid w:val="00790F04"/>
    <w:rsid w:val="0079359D"/>
    <w:rsid w:val="007941ED"/>
    <w:rsid w:val="00794800"/>
    <w:rsid w:val="007949C9"/>
    <w:rsid w:val="007A02ED"/>
    <w:rsid w:val="007A0B2E"/>
    <w:rsid w:val="007A117E"/>
    <w:rsid w:val="007A1406"/>
    <w:rsid w:val="007A17EB"/>
    <w:rsid w:val="007A1D06"/>
    <w:rsid w:val="007A1E93"/>
    <w:rsid w:val="007A2211"/>
    <w:rsid w:val="007A3CB2"/>
    <w:rsid w:val="007A4BE9"/>
    <w:rsid w:val="007A4DCD"/>
    <w:rsid w:val="007A4FBC"/>
    <w:rsid w:val="007A5E90"/>
    <w:rsid w:val="007A7FF2"/>
    <w:rsid w:val="007B0B00"/>
    <w:rsid w:val="007C15BB"/>
    <w:rsid w:val="007C2C88"/>
    <w:rsid w:val="007C39DB"/>
    <w:rsid w:val="007C3B8F"/>
    <w:rsid w:val="007C4D0F"/>
    <w:rsid w:val="007C505D"/>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622F"/>
    <w:rsid w:val="007F7FBD"/>
    <w:rsid w:val="0080561C"/>
    <w:rsid w:val="00813D5B"/>
    <w:rsid w:val="008143A5"/>
    <w:rsid w:val="008153C6"/>
    <w:rsid w:val="00816D37"/>
    <w:rsid w:val="00817EFC"/>
    <w:rsid w:val="00820225"/>
    <w:rsid w:val="00824D2A"/>
    <w:rsid w:val="00825638"/>
    <w:rsid w:val="00831D3E"/>
    <w:rsid w:val="00834967"/>
    <w:rsid w:val="00835A5B"/>
    <w:rsid w:val="00836D1E"/>
    <w:rsid w:val="00837C31"/>
    <w:rsid w:val="0084192B"/>
    <w:rsid w:val="00841B4E"/>
    <w:rsid w:val="00841F1F"/>
    <w:rsid w:val="008447E2"/>
    <w:rsid w:val="00845A18"/>
    <w:rsid w:val="0084601B"/>
    <w:rsid w:val="00850352"/>
    <w:rsid w:val="00850D6C"/>
    <w:rsid w:val="00852693"/>
    <w:rsid w:val="008527E2"/>
    <w:rsid w:val="00852A18"/>
    <w:rsid w:val="00853B02"/>
    <w:rsid w:val="008540D8"/>
    <w:rsid w:val="00854DBF"/>
    <w:rsid w:val="00854F0A"/>
    <w:rsid w:val="00856D3F"/>
    <w:rsid w:val="008571D4"/>
    <w:rsid w:val="00860099"/>
    <w:rsid w:val="00862E74"/>
    <w:rsid w:val="008630CF"/>
    <w:rsid w:val="00863205"/>
    <w:rsid w:val="00863AA6"/>
    <w:rsid w:val="0086405A"/>
    <w:rsid w:val="00865708"/>
    <w:rsid w:val="00866030"/>
    <w:rsid w:val="0086685B"/>
    <w:rsid w:val="00873F7F"/>
    <w:rsid w:val="00875802"/>
    <w:rsid w:val="008767C2"/>
    <w:rsid w:val="00876FE0"/>
    <w:rsid w:val="00881677"/>
    <w:rsid w:val="00881B22"/>
    <w:rsid w:val="00883AF0"/>
    <w:rsid w:val="00884CE1"/>
    <w:rsid w:val="00885632"/>
    <w:rsid w:val="008863D7"/>
    <w:rsid w:val="0088691B"/>
    <w:rsid w:val="008879E8"/>
    <w:rsid w:val="00887D37"/>
    <w:rsid w:val="00892D18"/>
    <w:rsid w:val="00895CE2"/>
    <w:rsid w:val="008A35CC"/>
    <w:rsid w:val="008A389F"/>
    <w:rsid w:val="008A52F9"/>
    <w:rsid w:val="008B14D4"/>
    <w:rsid w:val="008B1740"/>
    <w:rsid w:val="008B36B7"/>
    <w:rsid w:val="008B3A60"/>
    <w:rsid w:val="008B3DCC"/>
    <w:rsid w:val="008B3EE4"/>
    <w:rsid w:val="008B4E9D"/>
    <w:rsid w:val="008B5DE4"/>
    <w:rsid w:val="008B63ED"/>
    <w:rsid w:val="008B72F5"/>
    <w:rsid w:val="008B7CD5"/>
    <w:rsid w:val="008B7DC8"/>
    <w:rsid w:val="008C3CCF"/>
    <w:rsid w:val="008C63E2"/>
    <w:rsid w:val="008D0DFF"/>
    <w:rsid w:val="008D11C5"/>
    <w:rsid w:val="008D1CA5"/>
    <w:rsid w:val="008D2B04"/>
    <w:rsid w:val="008D3DC8"/>
    <w:rsid w:val="008D4A85"/>
    <w:rsid w:val="008D761B"/>
    <w:rsid w:val="008E071B"/>
    <w:rsid w:val="008E0F66"/>
    <w:rsid w:val="008E1797"/>
    <w:rsid w:val="008E62C8"/>
    <w:rsid w:val="008F0A38"/>
    <w:rsid w:val="008F2CC1"/>
    <w:rsid w:val="008F488E"/>
    <w:rsid w:val="008F5610"/>
    <w:rsid w:val="008F7594"/>
    <w:rsid w:val="0090119A"/>
    <w:rsid w:val="00901E6E"/>
    <w:rsid w:val="0090228C"/>
    <w:rsid w:val="00902733"/>
    <w:rsid w:val="00903B2E"/>
    <w:rsid w:val="0090571D"/>
    <w:rsid w:val="009073FB"/>
    <w:rsid w:val="009153BC"/>
    <w:rsid w:val="00915E4E"/>
    <w:rsid w:val="0091775E"/>
    <w:rsid w:val="009178D0"/>
    <w:rsid w:val="00917E73"/>
    <w:rsid w:val="00917EF0"/>
    <w:rsid w:val="00921EB3"/>
    <w:rsid w:val="0092282C"/>
    <w:rsid w:val="00923A58"/>
    <w:rsid w:val="009249F8"/>
    <w:rsid w:val="00930BA8"/>
    <w:rsid w:val="0093785D"/>
    <w:rsid w:val="00940BBF"/>
    <w:rsid w:val="00943BC8"/>
    <w:rsid w:val="00944741"/>
    <w:rsid w:val="00946A18"/>
    <w:rsid w:val="00950FF3"/>
    <w:rsid w:val="00951580"/>
    <w:rsid w:val="009539A2"/>
    <w:rsid w:val="009539F3"/>
    <w:rsid w:val="009550F2"/>
    <w:rsid w:val="0095737E"/>
    <w:rsid w:val="00957BA4"/>
    <w:rsid w:val="00957F04"/>
    <w:rsid w:val="00960D9D"/>
    <w:rsid w:val="00962F90"/>
    <w:rsid w:val="00965393"/>
    <w:rsid w:val="00965885"/>
    <w:rsid w:val="00965F40"/>
    <w:rsid w:val="00966CEF"/>
    <w:rsid w:val="00971572"/>
    <w:rsid w:val="00973266"/>
    <w:rsid w:val="009743FD"/>
    <w:rsid w:val="00974FBE"/>
    <w:rsid w:val="00975A8E"/>
    <w:rsid w:val="0097668C"/>
    <w:rsid w:val="009766A1"/>
    <w:rsid w:val="00976A77"/>
    <w:rsid w:val="0097746C"/>
    <w:rsid w:val="00977776"/>
    <w:rsid w:val="00980747"/>
    <w:rsid w:val="00980C44"/>
    <w:rsid w:val="00983278"/>
    <w:rsid w:val="0098366F"/>
    <w:rsid w:val="00984782"/>
    <w:rsid w:val="00986CB3"/>
    <w:rsid w:val="0099174A"/>
    <w:rsid w:val="009946C9"/>
    <w:rsid w:val="00994B9D"/>
    <w:rsid w:val="00995EBC"/>
    <w:rsid w:val="009A0068"/>
    <w:rsid w:val="009A1381"/>
    <w:rsid w:val="009A22B8"/>
    <w:rsid w:val="009A3005"/>
    <w:rsid w:val="009A5355"/>
    <w:rsid w:val="009A627B"/>
    <w:rsid w:val="009A6D84"/>
    <w:rsid w:val="009A7882"/>
    <w:rsid w:val="009B22B7"/>
    <w:rsid w:val="009B3A51"/>
    <w:rsid w:val="009B7465"/>
    <w:rsid w:val="009C6164"/>
    <w:rsid w:val="009C6AB8"/>
    <w:rsid w:val="009C761C"/>
    <w:rsid w:val="009D0232"/>
    <w:rsid w:val="009D0EC8"/>
    <w:rsid w:val="009D34ED"/>
    <w:rsid w:val="009D436A"/>
    <w:rsid w:val="009D7FCF"/>
    <w:rsid w:val="009E09CB"/>
    <w:rsid w:val="009E25ED"/>
    <w:rsid w:val="009E3BB3"/>
    <w:rsid w:val="009E4587"/>
    <w:rsid w:val="009E5E84"/>
    <w:rsid w:val="009E6073"/>
    <w:rsid w:val="009F1945"/>
    <w:rsid w:val="009F1FBA"/>
    <w:rsid w:val="009F2A5C"/>
    <w:rsid w:val="009F4B23"/>
    <w:rsid w:val="009F4DCC"/>
    <w:rsid w:val="009F5A70"/>
    <w:rsid w:val="009F636D"/>
    <w:rsid w:val="00A02599"/>
    <w:rsid w:val="00A0280C"/>
    <w:rsid w:val="00A03400"/>
    <w:rsid w:val="00A06D5A"/>
    <w:rsid w:val="00A07964"/>
    <w:rsid w:val="00A1043F"/>
    <w:rsid w:val="00A12827"/>
    <w:rsid w:val="00A15FDB"/>
    <w:rsid w:val="00A208F6"/>
    <w:rsid w:val="00A26FA5"/>
    <w:rsid w:val="00A27D3E"/>
    <w:rsid w:val="00A27F2E"/>
    <w:rsid w:val="00A31392"/>
    <w:rsid w:val="00A35E28"/>
    <w:rsid w:val="00A416A5"/>
    <w:rsid w:val="00A41CDC"/>
    <w:rsid w:val="00A4648E"/>
    <w:rsid w:val="00A4744B"/>
    <w:rsid w:val="00A47B0E"/>
    <w:rsid w:val="00A52FA5"/>
    <w:rsid w:val="00A558DC"/>
    <w:rsid w:val="00A6086B"/>
    <w:rsid w:val="00A60970"/>
    <w:rsid w:val="00A61171"/>
    <w:rsid w:val="00A6337F"/>
    <w:rsid w:val="00A64FF4"/>
    <w:rsid w:val="00A71092"/>
    <w:rsid w:val="00A72D91"/>
    <w:rsid w:val="00A767E4"/>
    <w:rsid w:val="00A775F2"/>
    <w:rsid w:val="00A7767F"/>
    <w:rsid w:val="00A825C8"/>
    <w:rsid w:val="00A82E91"/>
    <w:rsid w:val="00A82F39"/>
    <w:rsid w:val="00A83F86"/>
    <w:rsid w:val="00A851FF"/>
    <w:rsid w:val="00A852A7"/>
    <w:rsid w:val="00A92DEE"/>
    <w:rsid w:val="00A93771"/>
    <w:rsid w:val="00A941EE"/>
    <w:rsid w:val="00A97026"/>
    <w:rsid w:val="00AA0F8D"/>
    <w:rsid w:val="00AA36B8"/>
    <w:rsid w:val="00AA587A"/>
    <w:rsid w:val="00AB202E"/>
    <w:rsid w:val="00AB20E9"/>
    <w:rsid w:val="00AB590A"/>
    <w:rsid w:val="00AB6F47"/>
    <w:rsid w:val="00AC0B0F"/>
    <w:rsid w:val="00AC2070"/>
    <w:rsid w:val="00AC44A1"/>
    <w:rsid w:val="00AC44F6"/>
    <w:rsid w:val="00AC4A05"/>
    <w:rsid w:val="00AC5F87"/>
    <w:rsid w:val="00AC6830"/>
    <w:rsid w:val="00AC7DFE"/>
    <w:rsid w:val="00AD14B2"/>
    <w:rsid w:val="00AD1EAD"/>
    <w:rsid w:val="00AD2938"/>
    <w:rsid w:val="00AD5ADE"/>
    <w:rsid w:val="00AD6AD1"/>
    <w:rsid w:val="00AD71F6"/>
    <w:rsid w:val="00AE169A"/>
    <w:rsid w:val="00AE4371"/>
    <w:rsid w:val="00AE44AF"/>
    <w:rsid w:val="00AE45F5"/>
    <w:rsid w:val="00AE5BFD"/>
    <w:rsid w:val="00AE6075"/>
    <w:rsid w:val="00AE6F8F"/>
    <w:rsid w:val="00AE73AD"/>
    <w:rsid w:val="00AE755A"/>
    <w:rsid w:val="00AF2013"/>
    <w:rsid w:val="00AF3DB1"/>
    <w:rsid w:val="00AF3E73"/>
    <w:rsid w:val="00AF4BAE"/>
    <w:rsid w:val="00AF70AD"/>
    <w:rsid w:val="00B00312"/>
    <w:rsid w:val="00B01703"/>
    <w:rsid w:val="00B04D98"/>
    <w:rsid w:val="00B05578"/>
    <w:rsid w:val="00B06906"/>
    <w:rsid w:val="00B06B5E"/>
    <w:rsid w:val="00B06F67"/>
    <w:rsid w:val="00B07230"/>
    <w:rsid w:val="00B076F8"/>
    <w:rsid w:val="00B10FCB"/>
    <w:rsid w:val="00B11F97"/>
    <w:rsid w:val="00B16BAF"/>
    <w:rsid w:val="00B21805"/>
    <w:rsid w:val="00B234F6"/>
    <w:rsid w:val="00B24D66"/>
    <w:rsid w:val="00B25010"/>
    <w:rsid w:val="00B25637"/>
    <w:rsid w:val="00B26DF0"/>
    <w:rsid w:val="00B273CA"/>
    <w:rsid w:val="00B27E1C"/>
    <w:rsid w:val="00B27E49"/>
    <w:rsid w:val="00B303E7"/>
    <w:rsid w:val="00B333BE"/>
    <w:rsid w:val="00B3632A"/>
    <w:rsid w:val="00B4367A"/>
    <w:rsid w:val="00B440A3"/>
    <w:rsid w:val="00B45C49"/>
    <w:rsid w:val="00B46ACC"/>
    <w:rsid w:val="00B47A71"/>
    <w:rsid w:val="00B51B99"/>
    <w:rsid w:val="00B56F8E"/>
    <w:rsid w:val="00B57506"/>
    <w:rsid w:val="00B613C7"/>
    <w:rsid w:val="00B627FD"/>
    <w:rsid w:val="00B72636"/>
    <w:rsid w:val="00B72B6B"/>
    <w:rsid w:val="00B734A3"/>
    <w:rsid w:val="00B74E07"/>
    <w:rsid w:val="00B757B0"/>
    <w:rsid w:val="00B7754F"/>
    <w:rsid w:val="00B81E5E"/>
    <w:rsid w:val="00B8205F"/>
    <w:rsid w:val="00B83A8F"/>
    <w:rsid w:val="00B84D2E"/>
    <w:rsid w:val="00B939AC"/>
    <w:rsid w:val="00B948A0"/>
    <w:rsid w:val="00B954D6"/>
    <w:rsid w:val="00B972D7"/>
    <w:rsid w:val="00B97E4A"/>
    <w:rsid w:val="00BA1774"/>
    <w:rsid w:val="00BA31C9"/>
    <w:rsid w:val="00BA5BA6"/>
    <w:rsid w:val="00BB033B"/>
    <w:rsid w:val="00BB2CD1"/>
    <w:rsid w:val="00BB3FF1"/>
    <w:rsid w:val="00BB4E29"/>
    <w:rsid w:val="00BB534A"/>
    <w:rsid w:val="00BB6D81"/>
    <w:rsid w:val="00BC0B4A"/>
    <w:rsid w:val="00BC3172"/>
    <w:rsid w:val="00BC588C"/>
    <w:rsid w:val="00BC710C"/>
    <w:rsid w:val="00BD224C"/>
    <w:rsid w:val="00BD23F2"/>
    <w:rsid w:val="00BD4341"/>
    <w:rsid w:val="00BD6EF0"/>
    <w:rsid w:val="00BE073B"/>
    <w:rsid w:val="00BE1E83"/>
    <w:rsid w:val="00BE2CD7"/>
    <w:rsid w:val="00BE30C3"/>
    <w:rsid w:val="00BE3E96"/>
    <w:rsid w:val="00BE4293"/>
    <w:rsid w:val="00BF3167"/>
    <w:rsid w:val="00BF4E44"/>
    <w:rsid w:val="00BF5EF7"/>
    <w:rsid w:val="00C028CC"/>
    <w:rsid w:val="00C02E8B"/>
    <w:rsid w:val="00C12049"/>
    <w:rsid w:val="00C1235B"/>
    <w:rsid w:val="00C13BEA"/>
    <w:rsid w:val="00C1406E"/>
    <w:rsid w:val="00C1483A"/>
    <w:rsid w:val="00C14A02"/>
    <w:rsid w:val="00C15DA0"/>
    <w:rsid w:val="00C16FE9"/>
    <w:rsid w:val="00C178DB"/>
    <w:rsid w:val="00C201E6"/>
    <w:rsid w:val="00C22097"/>
    <w:rsid w:val="00C228FA"/>
    <w:rsid w:val="00C25B05"/>
    <w:rsid w:val="00C26519"/>
    <w:rsid w:val="00C26FC4"/>
    <w:rsid w:val="00C2766D"/>
    <w:rsid w:val="00C27CFE"/>
    <w:rsid w:val="00C30EEC"/>
    <w:rsid w:val="00C3196C"/>
    <w:rsid w:val="00C369E9"/>
    <w:rsid w:val="00C376AD"/>
    <w:rsid w:val="00C37E7D"/>
    <w:rsid w:val="00C416C2"/>
    <w:rsid w:val="00C426AE"/>
    <w:rsid w:val="00C43374"/>
    <w:rsid w:val="00C433DB"/>
    <w:rsid w:val="00C438F0"/>
    <w:rsid w:val="00C45722"/>
    <w:rsid w:val="00C47B02"/>
    <w:rsid w:val="00C53349"/>
    <w:rsid w:val="00C54AAD"/>
    <w:rsid w:val="00C564FA"/>
    <w:rsid w:val="00C5747E"/>
    <w:rsid w:val="00C57981"/>
    <w:rsid w:val="00C62C73"/>
    <w:rsid w:val="00C6573F"/>
    <w:rsid w:val="00C66F21"/>
    <w:rsid w:val="00C72AF5"/>
    <w:rsid w:val="00C75619"/>
    <w:rsid w:val="00C75EF1"/>
    <w:rsid w:val="00C7782D"/>
    <w:rsid w:val="00C82B0E"/>
    <w:rsid w:val="00C82F96"/>
    <w:rsid w:val="00C8440C"/>
    <w:rsid w:val="00C860FF"/>
    <w:rsid w:val="00C90A69"/>
    <w:rsid w:val="00C91706"/>
    <w:rsid w:val="00C92EBB"/>
    <w:rsid w:val="00C94CCC"/>
    <w:rsid w:val="00C951F9"/>
    <w:rsid w:val="00C96BA0"/>
    <w:rsid w:val="00C96C28"/>
    <w:rsid w:val="00C97DD4"/>
    <w:rsid w:val="00C97FDC"/>
    <w:rsid w:val="00CA15E8"/>
    <w:rsid w:val="00CA2440"/>
    <w:rsid w:val="00CA3316"/>
    <w:rsid w:val="00CA621E"/>
    <w:rsid w:val="00CA6E64"/>
    <w:rsid w:val="00CA7433"/>
    <w:rsid w:val="00CB0E34"/>
    <w:rsid w:val="00CB15A0"/>
    <w:rsid w:val="00CB1F87"/>
    <w:rsid w:val="00CB6D94"/>
    <w:rsid w:val="00CB6F74"/>
    <w:rsid w:val="00CB716F"/>
    <w:rsid w:val="00CC1016"/>
    <w:rsid w:val="00CC1641"/>
    <w:rsid w:val="00CC1A04"/>
    <w:rsid w:val="00CC1B34"/>
    <w:rsid w:val="00CC1B6E"/>
    <w:rsid w:val="00CC38DF"/>
    <w:rsid w:val="00CC3E73"/>
    <w:rsid w:val="00CC4133"/>
    <w:rsid w:val="00CC5CB8"/>
    <w:rsid w:val="00CC6722"/>
    <w:rsid w:val="00CC6FE4"/>
    <w:rsid w:val="00CC70BF"/>
    <w:rsid w:val="00CD134A"/>
    <w:rsid w:val="00CD1628"/>
    <w:rsid w:val="00CD2193"/>
    <w:rsid w:val="00CD269D"/>
    <w:rsid w:val="00CE068C"/>
    <w:rsid w:val="00CE144F"/>
    <w:rsid w:val="00CE2597"/>
    <w:rsid w:val="00CE2A93"/>
    <w:rsid w:val="00CE359D"/>
    <w:rsid w:val="00CE3795"/>
    <w:rsid w:val="00CE4D92"/>
    <w:rsid w:val="00CE61FB"/>
    <w:rsid w:val="00CF1033"/>
    <w:rsid w:val="00CF1865"/>
    <w:rsid w:val="00CF393D"/>
    <w:rsid w:val="00CF393E"/>
    <w:rsid w:val="00CF4448"/>
    <w:rsid w:val="00CF4526"/>
    <w:rsid w:val="00CF5760"/>
    <w:rsid w:val="00CF7C79"/>
    <w:rsid w:val="00D00BCA"/>
    <w:rsid w:val="00D00FE8"/>
    <w:rsid w:val="00D026AE"/>
    <w:rsid w:val="00D0412A"/>
    <w:rsid w:val="00D044BD"/>
    <w:rsid w:val="00D05127"/>
    <w:rsid w:val="00D0616B"/>
    <w:rsid w:val="00D10DE4"/>
    <w:rsid w:val="00D115A1"/>
    <w:rsid w:val="00D116A9"/>
    <w:rsid w:val="00D1591F"/>
    <w:rsid w:val="00D16044"/>
    <w:rsid w:val="00D1689A"/>
    <w:rsid w:val="00D2256C"/>
    <w:rsid w:val="00D259BA"/>
    <w:rsid w:val="00D25AC3"/>
    <w:rsid w:val="00D27E7B"/>
    <w:rsid w:val="00D3031A"/>
    <w:rsid w:val="00D32582"/>
    <w:rsid w:val="00D32FF1"/>
    <w:rsid w:val="00D33AEF"/>
    <w:rsid w:val="00D374F5"/>
    <w:rsid w:val="00D37542"/>
    <w:rsid w:val="00D37D1D"/>
    <w:rsid w:val="00D405B7"/>
    <w:rsid w:val="00D40CB0"/>
    <w:rsid w:val="00D42FF4"/>
    <w:rsid w:val="00D438DD"/>
    <w:rsid w:val="00D45B1C"/>
    <w:rsid w:val="00D45F49"/>
    <w:rsid w:val="00D46B36"/>
    <w:rsid w:val="00D477C1"/>
    <w:rsid w:val="00D50258"/>
    <w:rsid w:val="00D51912"/>
    <w:rsid w:val="00D51D81"/>
    <w:rsid w:val="00D56D8B"/>
    <w:rsid w:val="00D57109"/>
    <w:rsid w:val="00D57421"/>
    <w:rsid w:val="00D575E6"/>
    <w:rsid w:val="00D61D10"/>
    <w:rsid w:val="00D62454"/>
    <w:rsid w:val="00D70AC4"/>
    <w:rsid w:val="00D74CF3"/>
    <w:rsid w:val="00D77E6B"/>
    <w:rsid w:val="00D818E5"/>
    <w:rsid w:val="00D822A3"/>
    <w:rsid w:val="00D8342B"/>
    <w:rsid w:val="00D83B39"/>
    <w:rsid w:val="00D84923"/>
    <w:rsid w:val="00D865C6"/>
    <w:rsid w:val="00D870D4"/>
    <w:rsid w:val="00D9046D"/>
    <w:rsid w:val="00D93B3F"/>
    <w:rsid w:val="00D9574A"/>
    <w:rsid w:val="00D979A1"/>
    <w:rsid w:val="00DA2CF3"/>
    <w:rsid w:val="00DA5D97"/>
    <w:rsid w:val="00DB082A"/>
    <w:rsid w:val="00DB28BD"/>
    <w:rsid w:val="00DB34B5"/>
    <w:rsid w:val="00DB45A5"/>
    <w:rsid w:val="00DB4CA6"/>
    <w:rsid w:val="00DB5C8D"/>
    <w:rsid w:val="00DB65A0"/>
    <w:rsid w:val="00DC1397"/>
    <w:rsid w:val="00DC3403"/>
    <w:rsid w:val="00DC4019"/>
    <w:rsid w:val="00DC78F1"/>
    <w:rsid w:val="00DD0004"/>
    <w:rsid w:val="00DD07CE"/>
    <w:rsid w:val="00DD53ED"/>
    <w:rsid w:val="00DD5C78"/>
    <w:rsid w:val="00DD7428"/>
    <w:rsid w:val="00DE0130"/>
    <w:rsid w:val="00DE0DB4"/>
    <w:rsid w:val="00DE2D30"/>
    <w:rsid w:val="00DE3012"/>
    <w:rsid w:val="00DE338A"/>
    <w:rsid w:val="00DE3636"/>
    <w:rsid w:val="00DE49AD"/>
    <w:rsid w:val="00DE4CFC"/>
    <w:rsid w:val="00DE5E1C"/>
    <w:rsid w:val="00DE6680"/>
    <w:rsid w:val="00DE7EBE"/>
    <w:rsid w:val="00DF2D86"/>
    <w:rsid w:val="00DF4044"/>
    <w:rsid w:val="00DF6A10"/>
    <w:rsid w:val="00E00EA5"/>
    <w:rsid w:val="00E0462E"/>
    <w:rsid w:val="00E059D1"/>
    <w:rsid w:val="00E061C1"/>
    <w:rsid w:val="00E06CCA"/>
    <w:rsid w:val="00E116B6"/>
    <w:rsid w:val="00E1516B"/>
    <w:rsid w:val="00E16DE7"/>
    <w:rsid w:val="00E16F67"/>
    <w:rsid w:val="00E20612"/>
    <w:rsid w:val="00E221EF"/>
    <w:rsid w:val="00E27ED1"/>
    <w:rsid w:val="00E30ACB"/>
    <w:rsid w:val="00E32B9F"/>
    <w:rsid w:val="00E33708"/>
    <w:rsid w:val="00E35027"/>
    <w:rsid w:val="00E36879"/>
    <w:rsid w:val="00E37772"/>
    <w:rsid w:val="00E37FA9"/>
    <w:rsid w:val="00E40758"/>
    <w:rsid w:val="00E40F88"/>
    <w:rsid w:val="00E45E27"/>
    <w:rsid w:val="00E479F6"/>
    <w:rsid w:val="00E50C26"/>
    <w:rsid w:val="00E51177"/>
    <w:rsid w:val="00E521C8"/>
    <w:rsid w:val="00E544B2"/>
    <w:rsid w:val="00E57012"/>
    <w:rsid w:val="00E666C3"/>
    <w:rsid w:val="00E66AD8"/>
    <w:rsid w:val="00E67979"/>
    <w:rsid w:val="00E714B1"/>
    <w:rsid w:val="00E721E4"/>
    <w:rsid w:val="00E74F68"/>
    <w:rsid w:val="00E75727"/>
    <w:rsid w:val="00E80206"/>
    <w:rsid w:val="00E8068A"/>
    <w:rsid w:val="00E8172F"/>
    <w:rsid w:val="00E830B3"/>
    <w:rsid w:val="00E84C31"/>
    <w:rsid w:val="00E8502D"/>
    <w:rsid w:val="00E8545D"/>
    <w:rsid w:val="00E864DD"/>
    <w:rsid w:val="00E86E4B"/>
    <w:rsid w:val="00E873D5"/>
    <w:rsid w:val="00E90B0A"/>
    <w:rsid w:val="00E926BB"/>
    <w:rsid w:val="00E93C39"/>
    <w:rsid w:val="00E945CE"/>
    <w:rsid w:val="00E946AD"/>
    <w:rsid w:val="00E9697F"/>
    <w:rsid w:val="00E97BB5"/>
    <w:rsid w:val="00EA3335"/>
    <w:rsid w:val="00EA33AB"/>
    <w:rsid w:val="00EA3A6C"/>
    <w:rsid w:val="00EA773C"/>
    <w:rsid w:val="00EA78B6"/>
    <w:rsid w:val="00EA7950"/>
    <w:rsid w:val="00EA79AF"/>
    <w:rsid w:val="00EA7F50"/>
    <w:rsid w:val="00EB16A5"/>
    <w:rsid w:val="00EB20B1"/>
    <w:rsid w:val="00EB713F"/>
    <w:rsid w:val="00EC00ED"/>
    <w:rsid w:val="00EC1034"/>
    <w:rsid w:val="00EC1F1A"/>
    <w:rsid w:val="00EC5011"/>
    <w:rsid w:val="00EC5F12"/>
    <w:rsid w:val="00ED25DF"/>
    <w:rsid w:val="00ED315D"/>
    <w:rsid w:val="00EE08B0"/>
    <w:rsid w:val="00EE265E"/>
    <w:rsid w:val="00EE4578"/>
    <w:rsid w:val="00EE47DC"/>
    <w:rsid w:val="00EF0786"/>
    <w:rsid w:val="00EF0B21"/>
    <w:rsid w:val="00EF2236"/>
    <w:rsid w:val="00EF34D3"/>
    <w:rsid w:val="00EF3E8B"/>
    <w:rsid w:val="00EF4F5D"/>
    <w:rsid w:val="00EF78A8"/>
    <w:rsid w:val="00F000C6"/>
    <w:rsid w:val="00F006BD"/>
    <w:rsid w:val="00F013B5"/>
    <w:rsid w:val="00F01936"/>
    <w:rsid w:val="00F05EC5"/>
    <w:rsid w:val="00F10401"/>
    <w:rsid w:val="00F15BDE"/>
    <w:rsid w:val="00F16CB9"/>
    <w:rsid w:val="00F17DAE"/>
    <w:rsid w:val="00F20EFD"/>
    <w:rsid w:val="00F25157"/>
    <w:rsid w:val="00F266D4"/>
    <w:rsid w:val="00F31F60"/>
    <w:rsid w:val="00F33890"/>
    <w:rsid w:val="00F33B48"/>
    <w:rsid w:val="00F34962"/>
    <w:rsid w:val="00F40F18"/>
    <w:rsid w:val="00F4120E"/>
    <w:rsid w:val="00F41536"/>
    <w:rsid w:val="00F418DF"/>
    <w:rsid w:val="00F44001"/>
    <w:rsid w:val="00F46C8C"/>
    <w:rsid w:val="00F46F3A"/>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56C6"/>
    <w:rsid w:val="00F77980"/>
    <w:rsid w:val="00F779AA"/>
    <w:rsid w:val="00F82AF1"/>
    <w:rsid w:val="00F83187"/>
    <w:rsid w:val="00F84082"/>
    <w:rsid w:val="00F86BA5"/>
    <w:rsid w:val="00F87C39"/>
    <w:rsid w:val="00F902D3"/>
    <w:rsid w:val="00F905B6"/>
    <w:rsid w:val="00F93D63"/>
    <w:rsid w:val="00F93DBA"/>
    <w:rsid w:val="00F954E4"/>
    <w:rsid w:val="00F95872"/>
    <w:rsid w:val="00F95F2A"/>
    <w:rsid w:val="00F96C4E"/>
    <w:rsid w:val="00F97D52"/>
    <w:rsid w:val="00FA0F8B"/>
    <w:rsid w:val="00FA262F"/>
    <w:rsid w:val="00FA3492"/>
    <w:rsid w:val="00FA3AE1"/>
    <w:rsid w:val="00FA49C0"/>
    <w:rsid w:val="00FA5B10"/>
    <w:rsid w:val="00FA5CD7"/>
    <w:rsid w:val="00FA688C"/>
    <w:rsid w:val="00FB08B6"/>
    <w:rsid w:val="00FB1CC5"/>
    <w:rsid w:val="00FB43F1"/>
    <w:rsid w:val="00FB5216"/>
    <w:rsid w:val="00FB76D3"/>
    <w:rsid w:val="00FC0FE8"/>
    <w:rsid w:val="00FC2217"/>
    <w:rsid w:val="00FC25B9"/>
    <w:rsid w:val="00FC2CE1"/>
    <w:rsid w:val="00FC3A91"/>
    <w:rsid w:val="00FC3F8F"/>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60BC"/>
    <w:rsid w:val="00FF6519"/>
    <w:rsid w:val="01A01AFA"/>
    <w:rsid w:val="01A9153E"/>
    <w:rsid w:val="01CB5453"/>
    <w:rsid w:val="02132159"/>
    <w:rsid w:val="025F5776"/>
    <w:rsid w:val="0269067C"/>
    <w:rsid w:val="028C6E95"/>
    <w:rsid w:val="02DF5978"/>
    <w:rsid w:val="02F01C71"/>
    <w:rsid w:val="02F95629"/>
    <w:rsid w:val="03187AD4"/>
    <w:rsid w:val="03210061"/>
    <w:rsid w:val="039B2825"/>
    <w:rsid w:val="03D21196"/>
    <w:rsid w:val="043B11C4"/>
    <w:rsid w:val="04415EE3"/>
    <w:rsid w:val="046B6B89"/>
    <w:rsid w:val="04DD2267"/>
    <w:rsid w:val="05273450"/>
    <w:rsid w:val="054B15E0"/>
    <w:rsid w:val="05B01605"/>
    <w:rsid w:val="066A7233"/>
    <w:rsid w:val="06C705E9"/>
    <w:rsid w:val="06F32C4C"/>
    <w:rsid w:val="07221759"/>
    <w:rsid w:val="078020E7"/>
    <w:rsid w:val="07845EBA"/>
    <w:rsid w:val="078E7909"/>
    <w:rsid w:val="07996EB4"/>
    <w:rsid w:val="079E733B"/>
    <w:rsid w:val="07D945DC"/>
    <w:rsid w:val="082D669C"/>
    <w:rsid w:val="092D4ADB"/>
    <w:rsid w:val="094B0040"/>
    <w:rsid w:val="095005D1"/>
    <w:rsid w:val="096B7ED1"/>
    <w:rsid w:val="096D0679"/>
    <w:rsid w:val="09A13A7B"/>
    <w:rsid w:val="09D51869"/>
    <w:rsid w:val="0A676977"/>
    <w:rsid w:val="0B5673B8"/>
    <w:rsid w:val="0BA33880"/>
    <w:rsid w:val="0BDB2861"/>
    <w:rsid w:val="0CA8083B"/>
    <w:rsid w:val="0CD26A47"/>
    <w:rsid w:val="0CE64047"/>
    <w:rsid w:val="0DDE177A"/>
    <w:rsid w:val="0E3777BE"/>
    <w:rsid w:val="0E867930"/>
    <w:rsid w:val="0EE43718"/>
    <w:rsid w:val="0EE90B68"/>
    <w:rsid w:val="0F333C8A"/>
    <w:rsid w:val="0F6D01FB"/>
    <w:rsid w:val="0FBC0D1A"/>
    <w:rsid w:val="101E7B78"/>
    <w:rsid w:val="102927A5"/>
    <w:rsid w:val="10475F34"/>
    <w:rsid w:val="104C58A2"/>
    <w:rsid w:val="10B70EA4"/>
    <w:rsid w:val="10FE4C21"/>
    <w:rsid w:val="11A842FF"/>
    <w:rsid w:val="120E0E48"/>
    <w:rsid w:val="123F4C14"/>
    <w:rsid w:val="12B1627A"/>
    <w:rsid w:val="12CB1F54"/>
    <w:rsid w:val="12F12AA5"/>
    <w:rsid w:val="1402655C"/>
    <w:rsid w:val="141A42B8"/>
    <w:rsid w:val="147A2410"/>
    <w:rsid w:val="14852C6F"/>
    <w:rsid w:val="148A5002"/>
    <w:rsid w:val="14A502EF"/>
    <w:rsid w:val="15871E93"/>
    <w:rsid w:val="15F003C1"/>
    <w:rsid w:val="15F61009"/>
    <w:rsid w:val="15FC3115"/>
    <w:rsid w:val="16C83D17"/>
    <w:rsid w:val="17445402"/>
    <w:rsid w:val="17640FE7"/>
    <w:rsid w:val="17CA2B8F"/>
    <w:rsid w:val="18367E2D"/>
    <w:rsid w:val="18767486"/>
    <w:rsid w:val="18E00489"/>
    <w:rsid w:val="19282791"/>
    <w:rsid w:val="192C2D7A"/>
    <w:rsid w:val="19810432"/>
    <w:rsid w:val="19F45009"/>
    <w:rsid w:val="1A5E1863"/>
    <w:rsid w:val="1AB83062"/>
    <w:rsid w:val="1B87118E"/>
    <w:rsid w:val="1D4F47D6"/>
    <w:rsid w:val="1D704D16"/>
    <w:rsid w:val="1D7C153E"/>
    <w:rsid w:val="1DE00986"/>
    <w:rsid w:val="1E055C9E"/>
    <w:rsid w:val="1E646060"/>
    <w:rsid w:val="1E8D072E"/>
    <w:rsid w:val="1F0136F8"/>
    <w:rsid w:val="1F1C1A13"/>
    <w:rsid w:val="1F8A0112"/>
    <w:rsid w:val="20015A6D"/>
    <w:rsid w:val="200C3AA1"/>
    <w:rsid w:val="20974516"/>
    <w:rsid w:val="20CB3924"/>
    <w:rsid w:val="21220D3E"/>
    <w:rsid w:val="214A3DCF"/>
    <w:rsid w:val="21A45DF2"/>
    <w:rsid w:val="21BF72A1"/>
    <w:rsid w:val="21C3592D"/>
    <w:rsid w:val="21C55F53"/>
    <w:rsid w:val="21FC530F"/>
    <w:rsid w:val="225A2932"/>
    <w:rsid w:val="22A84E37"/>
    <w:rsid w:val="22B32043"/>
    <w:rsid w:val="233A2E59"/>
    <w:rsid w:val="23594B35"/>
    <w:rsid w:val="2360386D"/>
    <w:rsid w:val="23EA5690"/>
    <w:rsid w:val="244157BB"/>
    <w:rsid w:val="247240E4"/>
    <w:rsid w:val="24D54DB0"/>
    <w:rsid w:val="24DD44A9"/>
    <w:rsid w:val="24F82B87"/>
    <w:rsid w:val="25056175"/>
    <w:rsid w:val="259879AE"/>
    <w:rsid w:val="25D27E7B"/>
    <w:rsid w:val="26700C16"/>
    <w:rsid w:val="27144105"/>
    <w:rsid w:val="274F2171"/>
    <w:rsid w:val="275E0F3C"/>
    <w:rsid w:val="27797DE0"/>
    <w:rsid w:val="27965B8B"/>
    <w:rsid w:val="27A47A84"/>
    <w:rsid w:val="282657F7"/>
    <w:rsid w:val="287F59EE"/>
    <w:rsid w:val="28FC2B68"/>
    <w:rsid w:val="29147CD7"/>
    <w:rsid w:val="29172B11"/>
    <w:rsid w:val="29223179"/>
    <w:rsid w:val="29523F82"/>
    <w:rsid w:val="297F63E2"/>
    <w:rsid w:val="29AA4023"/>
    <w:rsid w:val="29FF498C"/>
    <w:rsid w:val="2A3B1864"/>
    <w:rsid w:val="2A456589"/>
    <w:rsid w:val="2A5B4807"/>
    <w:rsid w:val="2AC46B39"/>
    <w:rsid w:val="2ADE0C2E"/>
    <w:rsid w:val="2B16314B"/>
    <w:rsid w:val="2B53670E"/>
    <w:rsid w:val="2C0E274C"/>
    <w:rsid w:val="2C0E5414"/>
    <w:rsid w:val="2C1864B9"/>
    <w:rsid w:val="2C3042EA"/>
    <w:rsid w:val="2C5466FC"/>
    <w:rsid w:val="2CCB7C80"/>
    <w:rsid w:val="2D4477EE"/>
    <w:rsid w:val="2D7E7EA2"/>
    <w:rsid w:val="2DC41DAC"/>
    <w:rsid w:val="2DD4300E"/>
    <w:rsid w:val="2E413F38"/>
    <w:rsid w:val="2EC14611"/>
    <w:rsid w:val="2ED30F2A"/>
    <w:rsid w:val="2EDF0D4E"/>
    <w:rsid w:val="2FC16D53"/>
    <w:rsid w:val="30300320"/>
    <w:rsid w:val="305E4CC4"/>
    <w:rsid w:val="311A734D"/>
    <w:rsid w:val="31D7543E"/>
    <w:rsid w:val="31EE4BAA"/>
    <w:rsid w:val="31F5436E"/>
    <w:rsid w:val="32010731"/>
    <w:rsid w:val="320107D3"/>
    <w:rsid w:val="32243194"/>
    <w:rsid w:val="3263631F"/>
    <w:rsid w:val="32A355BC"/>
    <w:rsid w:val="32C00D78"/>
    <w:rsid w:val="33222A9A"/>
    <w:rsid w:val="332D1CBE"/>
    <w:rsid w:val="33480719"/>
    <w:rsid w:val="339D5261"/>
    <w:rsid w:val="34955EDA"/>
    <w:rsid w:val="349A334C"/>
    <w:rsid w:val="34CA78C0"/>
    <w:rsid w:val="35586223"/>
    <w:rsid w:val="35A418C4"/>
    <w:rsid w:val="36253B84"/>
    <w:rsid w:val="36401A4A"/>
    <w:rsid w:val="368920CF"/>
    <w:rsid w:val="36FE5573"/>
    <w:rsid w:val="37662A4B"/>
    <w:rsid w:val="37D078F7"/>
    <w:rsid w:val="37F76452"/>
    <w:rsid w:val="38735C94"/>
    <w:rsid w:val="38CE707C"/>
    <w:rsid w:val="38FB4AF5"/>
    <w:rsid w:val="39104B12"/>
    <w:rsid w:val="39C16CB7"/>
    <w:rsid w:val="3A1B760C"/>
    <w:rsid w:val="3A8F150F"/>
    <w:rsid w:val="3B0D4A62"/>
    <w:rsid w:val="3B216441"/>
    <w:rsid w:val="3BFB42C7"/>
    <w:rsid w:val="3CAA46F7"/>
    <w:rsid w:val="3CE57D2D"/>
    <w:rsid w:val="3CE77BA9"/>
    <w:rsid w:val="3E217459"/>
    <w:rsid w:val="3E2805F5"/>
    <w:rsid w:val="3E2A4E15"/>
    <w:rsid w:val="3E36706F"/>
    <w:rsid w:val="3E892E16"/>
    <w:rsid w:val="3F255D56"/>
    <w:rsid w:val="3F416A26"/>
    <w:rsid w:val="40223FBC"/>
    <w:rsid w:val="40327BAF"/>
    <w:rsid w:val="4082593F"/>
    <w:rsid w:val="41474308"/>
    <w:rsid w:val="41681941"/>
    <w:rsid w:val="41E47D60"/>
    <w:rsid w:val="422024E8"/>
    <w:rsid w:val="423D6569"/>
    <w:rsid w:val="437B3C36"/>
    <w:rsid w:val="44560F40"/>
    <w:rsid w:val="44720E16"/>
    <w:rsid w:val="44B40707"/>
    <w:rsid w:val="44C41913"/>
    <w:rsid w:val="44D619FA"/>
    <w:rsid w:val="45905FBF"/>
    <w:rsid w:val="45E54860"/>
    <w:rsid w:val="466C6EAA"/>
    <w:rsid w:val="473D6B0A"/>
    <w:rsid w:val="482B2304"/>
    <w:rsid w:val="4853715D"/>
    <w:rsid w:val="48857FBF"/>
    <w:rsid w:val="48C21E3A"/>
    <w:rsid w:val="48DE11B8"/>
    <w:rsid w:val="49205619"/>
    <w:rsid w:val="4922547B"/>
    <w:rsid w:val="494E6C8C"/>
    <w:rsid w:val="497820E7"/>
    <w:rsid w:val="49A60ED9"/>
    <w:rsid w:val="49D54F3C"/>
    <w:rsid w:val="4A1F67CA"/>
    <w:rsid w:val="4A3E154B"/>
    <w:rsid w:val="4AB7573A"/>
    <w:rsid w:val="4AC63524"/>
    <w:rsid w:val="4AEC40DB"/>
    <w:rsid w:val="4B8A72CF"/>
    <w:rsid w:val="4B972445"/>
    <w:rsid w:val="4BF66FD0"/>
    <w:rsid w:val="4C1065B5"/>
    <w:rsid w:val="4C217E66"/>
    <w:rsid w:val="4C6C4B2C"/>
    <w:rsid w:val="4C70027F"/>
    <w:rsid w:val="4C8937D3"/>
    <w:rsid w:val="4D943011"/>
    <w:rsid w:val="4DDF3F73"/>
    <w:rsid w:val="4E1973F1"/>
    <w:rsid w:val="4EF15DC5"/>
    <w:rsid w:val="4F8119B1"/>
    <w:rsid w:val="4F92238A"/>
    <w:rsid w:val="4FE062A3"/>
    <w:rsid w:val="5043798C"/>
    <w:rsid w:val="50731BAF"/>
    <w:rsid w:val="510E0E2A"/>
    <w:rsid w:val="515B5BAE"/>
    <w:rsid w:val="51C25525"/>
    <w:rsid w:val="5298489A"/>
    <w:rsid w:val="52E223AA"/>
    <w:rsid w:val="53FD089E"/>
    <w:rsid w:val="54321EEE"/>
    <w:rsid w:val="54453B17"/>
    <w:rsid w:val="54765614"/>
    <w:rsid w:val="54963849"/>
    <w:rsid w:val="54D633B1"/>
    <w:rsid w:val="55323649"/>
    <w:rsid w:val="556A2FD5"/>
    <w:rsid w:val="55A528AD"/>
    <w:rsid w:val="55AE7FA6"/>
    <w:rsid w:val="55D634ED"/>
    <w:rsid w:val="564C7AD5"/>
    <w:rsid w:val="56B332E9"/>
    <w:rsid w:val="571230E5"/>
    <w:rsid w:val="571826D1"/>
    <w:rsid w:val="57C62622"/>
    <w:rsid w:val="585D5FB5"/>
    <w:rsid w:val="588D4FA6"/>
    <w:rsid w:val="589A1AC2"/>
    <w:rsid w:val="593B0594"/>
    <w:rsid w:val="59BF3C49"/>
    <w:rsid w:val="5B0C31E8"/>
    <w:rsid w:val="5B252510"/>
    <w:rsid w:val="5BFF7AE6"/>
    <w:rsid w:val="5C0B789C"/>
    <w:rsid w:val="5C1218CF"/>
    <w:rsid w:val="5C372F37"/>
    <w:rsid w:val="5C8D2447"/>
    <w:rsid w:val="5CAB7727"/>
    <w:rsid w:val="5CC441E1"/>
    <w:rsid w:val="5CE760ED"/>
    <w:rsid w:val="5D673A5A"/>
    <w:rsid w:val="5D8D5661"/>
    <w:rsid w:val="5E851E72"/>
    <w:rsid w:val="5EA62EF7"/>
    <w:rsid w:val="5EBA517D"/>
    <w:rsid w:val="5EEC4DA1"/>
    <w:rsid w:val="5F0F52C8"/>
    <w:rsid w:val="5F281498"/>
    <w:rsid w:val="5FA017D7"/>
    <w:rsid w:val="5FFA1888"/>
    <w:rsid w:val="600960AF"/>
    <w:rsid w:val="62CE0974"/>
    <w:rsid w:val="62E0024A"/>
    <w:rsid w:val="63463232"/>
    <w:rsid w:val="636B19CD"/>
    <w:rsid w:val="64045B83"/>
    <w:rsid w:val="641724DD"/>
    <w:rsid w:val="644A12F2"/>
    <w:rsid w:val="644F09B6"/>
    <w:rsid w:val="648D4DC3"/>
    <w:rsid w:val="64937B40"/>
    <w:rsid w:val="64DC13D3"/>
    <w:rsid w:val="64E414E0"/>
    <w:rsid w:val="652C15E3"/>
    <w:rsid w:val="656B25DE"/>
    <w:rsid w:val="65991807"/>
    <w:rsid w:val="665F1C74"/>
    <w:rsid w:val="66730C34"/>
    <w:rsid w:val="66A43656"/>
    <w:rsid w:val="66C806BD"/>
    <w:rsid w:val="66EF7312"/>
    <w:rsid w:val="67822F4A"/>
    <w:rsid w:val="67A04650"/>
    <w:rsid w:val="680F0D3C"/>
    <w:rsid w:val="68A439F1"/>
    <w:rsid w:val="68F63773"/>
    <w:rsid w:val="69010518"/>
    <w:rsid w:val="69440073"/>
    <w:rsid w:val="69E105C7"/>
    <w:rsid w:val="69FD0E66"/>
    <w:rsid w:val="6A396569"/>
    <w:rsid w:val="6A9916AC"/>
    <w:rsid w:val="6AAC6B9E"/>
    <w:rsid w:val="6B0D754B"/>
    <w:rsid w:val="6B865118"/>
    <w:rsid w:val="6B871777"/>
    <w:rsid w:val="6BA33D7F"/>
    <w:rsid w:val="6BF32268"/>
    <w:rsid w:val="6BFC2786"/>
    <w:rsid w:val="6C0D5A20"/>
    <w:rsid w:val="6C1E03F6"/>
    <w:rsid w:val="6C2C2459"/>
    <w:rsid w:val="6C887360"/>
    <w:rsid w:val="6D476454"/>
    <w:rsid w:val="6D980233"/>
    <w:rsid w:val="6DB07064"/>
    <w:rsid w:val="6E39307B"/>
    <w:rsid w:val="6E875598"/>
    <w:rsid w:val="6F0247A4"/>
    <w:rsid w:val="6F2C13F5"/>
    <w:rsid w:val="7021225E"/>
    <w:rsid w:val="70730315"/>
    <w:rsid w:val="709A551D"/>
    <w:rsid w:val="71E963C9"/>
    <w:rsid w:val="727C1491"/>
    <w:rsid w:val="72B566B1"/>
    <w:rsid w:val="72BC0BF9"/>
    <w:rsid w:val="72D14842"/>
    <w:rsid w:val="73021A4B"/>
    <w:rsid w:val="730456BB"/>
    <w:rsid w:val="73CF5E6E"/>
    <w:rsid w:val="73E35C27"/>
    <w:rsid w:val="74425093"/>
    <w:rsid w:val="748B4D1D"/>
    <w:rsid w:val="757C7A9C"/>
    <w:rsid w:val="758461E8"/>
    <w:rsid w:val="75DC2DB7"/>
    <w:rsid w:val="75E32B1D"/>
    <w:rsid w:val="75E63D2A"/>
    <w:rsid w:val="766E3BB5"/>
    <w:rsid w:val="76C84CCD"/>
    <w:rsid w:val="76F01E2B"/>
    <w:rsid w:val="76F22868"/>
    <w:rsid w:val="773D5C32"/>
    <w:rsid w:val="77672932"/>
    <w:rsid w:val="78E131DA"/>
    <w:rsid w:val="7AA01F48"/>
    <w:rsid w:val="7B0A05EE"/>
    <w:rsid w:val="7C4D5033"/>
    <w:rsid w:val="7C660A57"/>
    <w:rsid w:val="7C8B5068"/>
    <w:rsid w:val="7D8F1A26"/>
    <w:rsid w:val="7D95465E"/>
    <w:rsid w:val="7DA5350B"/>
    <w:rsid w:val="7E192C83"/>
    <w:rsid w:val="7F2B5BA3"/>
    <w:rsid w:val="7F2F55CA"/>
    <w:rsid w:val="7F753532"/>
    <w:rsid w:val="7FCD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4">
    <w:name w:val="heading 1"/>
    <w:basedOn w:val="1"/>
    <w:next w:val="1"/>
    <w:link w:val="72"/>
    <w:qFormat/>
    <w:uiPriority w:val="0"/>
    <w:pPr>
      <w:keepNext/>
      <w:keepLines/>
      <w:ind w:firstLine="0" w:firstLineChars="0"/>
      <w:jc w:val="center"/>
      <w:outlineLvl w:val="0"/>
    </w:pPr>
    <w:rPr>
      <w:rFonts w:ascii="宋体" w:hAnsi="宋体"/>
      <w:b/>
      <w:bCs/>
      <w:kern w:val="44"/>
      <w:sz w:val="32"/>
      <w:szCs w:val="52"/>
    </w:rPr>
  </w:style>
  <w:style w:type="paragraph" w:styleId="5">
    <w:name w:val="heading 2"/>
    <w:basedOn w:val="1"/>
    <w:next w:val="1"/>
    <w:link w:val="68"/>
    <w:qFormat/>
    <w:uiPriority w:val="0"/>
    <w:pPr>
      <w:keepNext/>
      <w:keepLines/>
      <w:ind w:firstLine="0" w:firstLineChars="0"/>
      <w:jc w:val="left"/>
      <w:outlineLvl w:val="1"/>
    </w:pPr>
    <w:rPr>
      <w:rFonts w:ascii="Cambria" w:hAnsi="Cambria"/>
      <w:b/>
      <w:bCs/>
      <w:sz w:val="28"/>
      <w:szCs w:val="32"/>
    </w:rPr>
  </w:style>
  <w:style w:type="paragraph" w:styleId="6">
    <w:name w:val="heading 3"/>
    <w:basedOn w:val="1"/>
    <w:next w:val="1"/>
    <w:link w:val="171"/>
    <w:qFormat/>
    <w:uiPriority w:val="0"/>
    <w:pPr>
      <w:keepNext/>
      <w:keepLines/>
      <w:ind w:firstLine="0" w:firstLineChars="0"/>
      <w:outlineLvl w:val="2"/>
    </w:pPr>
    <w:rPr>
      <w:b/>
      <w:bCs/>
      <w:szCs w:val="32"/>
    </w:rPr>
  </w:style>
  <w:style w:type="paragraph" w:styleId="7">
    <w:name w:val="heading 4"/>
    <w:basedOn w:val="1"/>
    <w:next w:val="1"/>
    <w:link w:val="97"/>
    <w:qFormat/>
    <w:uiPriority w:val="9"/>
    <w:pPr>
      <w:keepNext/>
      <w:keepLines/>
      <w:outlineLvl w:val="3"/>
    </w:pPr>
    <w:rPr>
      <w:rFonts w:ascii="Cambria" w:hAnsi="Cambria"/>
      <w:b/>
      <w:bCs/>
      <w:sz w:val="21"/>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toc 7"/>
    <w:basedOn w:val="1"/>
    <w:next w:val="1"/>
    <w:unhideWhenUsed/>
    <w:qFormat/>
    <w:uiPriority w:val="39"/>
    <w:pPr>
      <w:spacing w:line="240" w:lineRule="auto"/>
      <w:ind w:left="1260" w:firstLine="0" w:firstLineChars="0"/>
      <w:jc w:val="left"/>
    </w:pPr>
    <w:rPr>
      <w:szCs w:val="21"/>
    </w:rPr>
  </w:style>
  <w:style w:type="paragraph" w:styleId="9">
    <w:name w:val="Normal Indent"/>
    <w:basedOn w:val="1"/>
    <w:link w:val="61"/>
    <w:unhideWhenUsed/>
    <w:qFormat/>
    <w:uiPriority w:val="0"/>
    <w:pPr>
      <w:spacing w:line="240" w:lineRule="auto"/>
      <w:ind w:firstLine="420" w:firstLineChars="0"/>
    </w:pPr>
    <w:rPr>
      <w:sz w:val="21"/>
    </w:rPr>
  </w:style>
  <w:style w:type="paragraph" w:styleId="10">
    <w:name w:val="Document Map"/>
    <w:basedOn w:val="1"/>
    <w:link w:val="65"/>
    <w:unhideWhenUsed/>
    <w:qFormat/>
    <w:uiPriority w:val="0"/>
    <w:rPr>
      <w:rFonts w:ascii="宋体" w:hAnsi="Times New Roman"/>
      <w:kern w:val="0"/>
      <w:sz w:val="18"/>
      <w:szCs w:val="18"/>
    </w:rPr>
  </w:style>
  <w:style w:type="paragraph" w:styleId="11">
    <w:name w:val="annotation text"/>
    <w:basedOn w:val="1"/>
    <w:link w:val="80"/>
    <w:unhideWhenUsed/>
    <w:qFormat/>
    <w:uiPriority w:val="0"/>
    <w:pPr>
      <w:spacing w:line="240" w:lineRule="auto"/>
      <w:ind w:firstLine="0" w:firstLineChars="0"/>
      <w:jc w:val="left"/>
    </w:pPr>
    <w:rPr>
      <w:rFonts w:ascii="Times New Roman" w:hAnsi="Times New Roman"/>
      <w:sz w:val="21"/>
    </w:rPr>
  </w:style>
  <w:style w:type="paragraph" w:styleId="12">
    <w:name w:val="Body Text 3"/>
    <w:basedOn w:val="1"/>
    <w:link w:val="95"/>
    <w:unhideWhenUsed/>
    <w:qFormat/>
    <w:uiPriority w:val="0"/>
    <w:pPr>
      <w:spacing w:line="440" w:lineRule="atLeast"/>
      <w:ind w:firstLine="0" w:firstLineChars="0"/>
      <w:jc w:val="center"/>
    </w:pPr>
    <w:rPr>
      <w:rFonts w:ascii="楷体_GB2312" w:hAnsi="Times New Roman" w:eastAsia="楷体_GB2312"/>
      <w:b/>
      <w:color w:val="000000"/>
      <w:sz w:val="30"/>
    </w:rPr>
  </w:style>
  <w:style w:type="paragraph" w:styleId="13">
    <w:name w:val="List Bullet 3"/>
    <w:basedOn w:val="1"/>
    <w:unhideWhenUsed/>
    <w:qFormat/>
    <w:uiPriority w:val="0"/>
    <w:pPr>
      <w:numPr>
        <w:ilvl w:val="0"/>
        <w:numId w:val="1"/>
      </w:numPr>
      <w:tabs>
        <w:tab w:val="left" w:pos="720"/>
      </w:tabs>
      <w:spacing w:line="240" w:lineRule="auto"/>
      <w:ind w:firstLine="0" w:firstLineChars="0"/>
    </w:pPr>
  </w:style>
  <w:style w:type="paragraph" w:styleId="14">
    <w:name w:val="Body Text"/>
    <w:basedOn w:val="1"/>
    <w:link w:val="69"/>
    <w:unhideWhenUsed/>
    <w:qFormat/>
    <w:uiPriority w:val="0"/>
    <w:pPr>
      <w:adjustRightInd w:val="0"/>
      <w:spacing w:line="315" w:lineRule="atLeast"/>
      <w:ind w:firstLine="0" w:firstLineChars="0"/>
      <w:jc w:val="left"/>
    </w:pPr>
    <w:rPr>
      <w:rFonts w:ascii="仿宋_GB2312" w:hAnsi="Times New Roman" w:eastAsia="仿宋_GB2312"/>
      <w:kern w:val="0"/>
      <w:sz w:val="28"/>
      <w:szCs w:val="20"/>
    </w:rPr>
  </w:style>
  <w:style w:type="paragraph" w:styleId="15">
    <w:name w:val="Body Text Indent"/>
    <w:basedOn w:val="1"/>
    <w:link w:val="78"/>
    <w:unhideWhenUsed/>
    <w:qFormat/>
    <w:uiPriority w:val="0"/>
    <w:pPr>
      <w:widowControl/>
      <w:autoSpaceDE w:val="0"/>
      <w:autoSpaceDN w:val="0"/>
      <w:snapToGrid w:val="0"/>
      <w:spacing w:before="120" w:line="400" w:lineRule="atLeast"/>
      <w:ind w:firstLine="570" w:firstLineChars="0"/>
    </w:pPr>
    <w:rPr>
      <w:rFonts w:ascii="宋体" w:hAnsi="Times New Roman"/>
      <w:kern w:val="0"/>
      <w:szCs w:val="20"/>
    </w:rPr>
  </w:style>
  <w:style w:type="paragraph" w:styleId="16">
    <w:name w:val="List 2"/>
    <w:basedOn w:val="1"/>
    <w:unhideWhenUsed/>
    <w:qFormat/>
    <w:uiPriority w:val="0"/>
    <w:pPr>
      <w:spacing w:line="240" w:lineRule="auto"/>
      <w:ind w:left="100" w:leftChars="200" w:hanging="200" w:hangingChars="200"/>
    </w:pPr>
  </w:style>
  <w:style w:type="paragraph" w:styleId="17">
    <w:name w:val="List Bullet 2"/>
    <w:basedOn w:val="1"/>
    <w:next w:val="13"/>
    <w:unhideWhenUsed/>
    <w:qFormat/>
    <w:uiPriority w:val="0"/>
    <w:pPr>
      <w:numPr>
        <w:ilvl w:val="0"/>
        <w:numId w:val="2"/>
      </w:numPr>
      <w:tabs>
        <w:tab w:val="left" w:pos="780"/>
      </w:tabs>
      <w:spacing w:after="100" w:afterAutospacing="1" w:line="240" w:lineRule="auto"/>
      <w:ind w:firstLine="0" w:firstLineChars="0"/>
    </w:pPr>
    <w:rPr>
      <w:rFonts w:eastAsia="仿宋_GB2312"/>
    </w:rPr>
  </w:style>
  <w:style w:type="paragraph" w:styleId="18">
    <w:name w:val="toc 5"/>
    <w:basedOn w:val="1"/>
    <w:next w:val="1"/>
    <w:unhideWhenUsed/>
    <w:qFormat/>
    <w:uiPriority w:val="39"/>
    <w:pPr>
      <w:spacing w:line="240" w:lineRule="auto"/>
      <w:ind w:left="840" w:firstLine="0" w:firstLineChars="0"/>
      <w:jc w:val="left"/>
    </w:pPr>
    <w:rPr>
      <w:szCs w:val="21"/>
    </w:rPr>
  </w:style>
  <w:style w:type="paragraph" w:styleId="19">
    <w:name w:val="toc 3"/>
    <w:basedOn w:val="1"/>
    <w:next w:val="1"/>
    <w:unhideWhenUsed/>
    <w:qFormat/>
    <w:uiPriority w:val="39"/>
    <w:pPr>
      <w:spacing w:line="240" w:lineRule="auto"/>
      <w:ind w:left="420" w:firstLine="0" w:firstLineChars="0"/>
      <w:jc w:val="left"/>
    </w:pPr>
    <w:rPr>
      <w:i/>
      <w:iCs/>
    </w:rPr>
  </w:style>
  <w:style w:type="paragraph" w:styleId="20">
    <w:name w:val="Plain Text"/>
    <w:basedOn w:val="1"/>
    <w:link w:val="93"/>
    <w:unhideWhenUsed/>
    <w:qFormat/>
    <w:uiPriority w:val="0"/>
    <w:pPr>
      <w:spacing w:line="240" w:lineRule="auto"/>
      <w:ind w:firstLine="0" w:firstLineChars="0"/>
    </w:pPr>
    <w:rPr>
      <w:rFonts w:ascii="宋体" w:hAnsi="Courier New"/>
      <w:sz w:val="21"/>
      <w:szCs w:val="20"/>
    </w:rPr>
  </w:style>
  <w:style w:type="paragraph" w:styleId="21">
    <w:name w:val="toc 8"/>
    <w:basedOn w:val="1"/>
    <w:next w:val="1"/>
    <w:unhideWhenUsed/>
    <w:qFormat/>
    <w:uiPriority w:val="39"/>
    <w:pPr>
      <w:spacing w:line="240" w:lineRule="auto"/>
      <w:ind w:left="1470" w:firstLine="0" w:firstLineChars="0"/>
      <w:jc w:val="left"/>
    </w:pPr>
    <w:rPr>
      <w:szCs w:val="21"/>
    </w:rPr>
  </w:style>
  <w:style w:type="paragraph" w:styleId="22">
    <w:name w:val="Date"/>
    <w:basedOn w:val="1"/>
    <w:next w:val="1"/>
    <w:link w:val="99"/>
    <w:unhideWhenUsed/>
    <w:qFormat/>
    <w:uiPriority w:val="0"/>
    <w:pPr>
      <w:spacing w:line="240" w:lineRule="auto"/>
      <w:ind w:left="100" w:leftChars="2500" w:firstLine="0" w:firstLineChars="0"/>
    </w:pPr>
    <w:rPr>
      <w:rFonts w:ascii="Times New Roman" w:hAnsi="Times New Roman"/>
      <w:color w:val="000000"/>
    </w:rPr>
  </w:style>
  <w:style w:type="paragraph" w:styleId="23">
    <w:name w:val="Body Text Indent 2"/>
    <w:basedOn w:val="1"/>
    <w:link w:val="49"/>
    <w:unhideWhenUsed/>
    <w:qFormat/>
    <w:uiPriority w:val="0"/>
    <w:pPr>
      <w:widowControl/>
      <w:spacing w:line="480" w:lineRule="atLeast"/>
      <w:ind w:firstLine="480" w:firstLineChars="0"/>
    </w:pPr>
    <w:rPr>
      <w:rFonts w:ascii="宋体" w:hAnsi="Times New Roman"/>
      <w:kern w:val="0"/>
      <w:szCs w:val="20"/>
    </w:rPr>
  </w:style>
  <w:style w:type="paragraph" w:styleId="24">
    <w:name w:val="Balloon Text"/>
    <w:basedOn w:val="1"/>
    <w:link w:val="87"/>
    <w:unhideWhenUsed/>
    <w:qFormat/>
    <w:uiPriority w:val="0"/>
    <w:rPr>
      <w:rFonts w:ascii="Times New Roman" w:hAnsi="Times New Roman"/>
      <w:kern w:val="0"/>
      <w:sz w:val="18"/>
      <w:szCs w:val="18"/>
    </w:rPr>
  </w:style>
  <w:style w:type="paragraph" w:styleId="25">
    <w:name w:val="footer"/>
    <w:basedOn w:val="1"/>
    <w:link w:val="67"/>
    <w:unhideWhenUsed/>
    <w:qFormat/>
    <w:uiPriority w:val="99"/>
    <w:pPr>
      <w:tabs>
        <w:tab w:val="center" w:pos="4153"/>
        <w:tab w:val="right" w:pos="8306"/>
      </w:tabs>
      <w:snapToGrid w:val="0"/>
      <w:jc w:val="left"/>
    </w:pPr>
    <w:rPr>
      <w:kern w:val="0"/>
      <w:sz w:val="18"/>
      <w:szCs w:val="18"/>
    </w:rPr>
  </w:style>
  <w:style w:type="paragraph" w:styleId="26">
    <w:name w:val="header"/>
    <w:basedOn w:val="1"/>
    <w:link w:val="8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unhideWhenUsed/>
    <w:qFormat/>
    <w:uiPriority w:val="39"/>
    <w:pPr>
      <w:tabs>
        <w:tab w:val="right" w:leader="dot" w:pos="8296"/>
      </w:tabs>
      <w:ind w:firstLine="0" w:firstLineChars="0"/>
    </w:pPr>
  </w:style>
  <w:style w:type="paragraph" w:styleId="28">
    <w:name w:val="toc 4"/>
    <w:basedOn w:val="1"/>
    <w:next w:val="1"/>
    <w:unhideWhenUsed/>
    <w:qFormat/>
    <w:uiPriority w:val="39"/>
    <w:pPr>
      <w:spacing w:line="240" w:lineRule="auto"/>
      <w:ind w:left="630" w:firstLine="0" w:firstLineChars="0"/>
      <w:jc w:val="left"/>
    </w:pPr>
    <w:rPr>
      <w:szCs w:val="21"/>
    </w:rPr>
  </w:style>
  <w:style w:type="paragraph" w:styleId="29">
    <w:name w:val="List"/>
    <w:basedOn w:val="1"/>
    <w:unhideWhenUsed/>
    <w:qFormat/>
    <w:uiPriority w:val="0"/>
    <w:pPr>
      <w:spacing w:line="240" w:lineRule="auto"/>
      <w:ind w:left="420" w:hanging="420" w:firstLineChars="0"/>
    </w:pPr>
    <w:rPr>
      <w:szCs w:val="20"/>
    </w:rPr>
  </w:style>
  <w:style w:type="paragraph" w:styleId="30">
    <w:name w:val="toc 6"/>
    <w:basedOn w:val="1"/>
    <w:next w:val="1"/>
    <w:unhideWhenUsed/>
    <w:qFormat/>
    <w:uiPriority w:val="39"/>
    <w:pPr>
      <w:spacing w:line="240" w:lineRule="auto"/>
      <w:ind w:left="1050" w:firstLine="0" w:firstLineChars="0"/>
      <w:jc w:val="left"/>
    </w:pPr>
    <w:rPr>
      <w:szCs w:val="21"/>
    </w:rPr>
  </w:style>
  <w:style w:type="paragraph" w:styleId="31">
    <w:name w:val="Body Text Indent 3"/>
    <w:basedOn w:val="1"/>
    <w:link w:val="81"/>
    <w:unhideWhenUsed/>
    <w:qFormat/>
    <w:uiPriority w:val="0"/>
    <w:pPr>
      <w:autoSpaceDE w:val="0"/>
      <w:autoSpaceDN w:val="0"/>
      <w:spacing w:line="400" w:lineRule="atLeast"/>
      <w:ind w:firstLine="443"/>
    </w:pPr>
    <w:rPr>
      <w:rFonts w:ascii="Times New Roman" w:hAnsi="Times New Roman" w:eastAsia="黑体"/>
      <w:color w:val="000000"/>
    </w:rPr>
  </w:style>
  <w:style w:type="paragraph" w:styleId="32">
    <w:name w:val="toc 2"/>
    <w:basedOn w:val="1"/>
    <w:next w:val="1"/>
    <w:unhideWhenUsed/>
    <w:qFormat/>
    <w:uiPriority w:val="39"/>
    <w:pPr>
      <w:tabs>
        <w:tab w:val="right" w:leader="dot" w:pos="8296"/>
      </w:tabs>
      <w:ind w:left="420" w:leftChars="200" w:firstLine="0" w:firstLineChars="0"/>
    </w:pPr>
  </w:style>
  <w:style w:type="paragraph" w:styleId="33">
    <w:name w:val="toc 9"/>
    <w:basedOn w:val="1"/>
    <w:next w:val="1"/>
    <w:unhideWhenUsed/>
    <w:qFormat/>
    <w:uiPriority w:val="39"/>
    <w:pPr>
      <w:spacing w:line="240" w:lineRule="auto"/>
      <w:ind w:left="1680" w:firstLine="0" w:firstLineChars="0"/>
      <w:jc w:val="left"/>
    </w:pPr>
    <w:rPr>
      <w:szCs w:val="21"/>
    </w:rPr>
  </w:style>
  <w:style w:type="paragraph" w:styleId="34">
    <w:name w:val="Body Text 2"/>
    <w:basedOn w:val="1"/>
    <w:link w:val="77"/>
    <w:unhideWhenUsed/>
    <w:qFormat/>
    <w:uiPriority w:val="0"/>
    <w:pPr>
      <w:spacing w:line="240" w:lineRule="auto"/>
      <w:ind w:firstLine="0" w:firstLineChars="0"/>
    </w:pPr>
    <w:rPr>
      <w:rFonts w:ascii="Times New Roman" w:hAnsi="Times New Roman"/>
      <w:b/>
      <w:bCs/>
      <w:color w:val="000000"/>
      <w:sz w:val="28"/>
    </w:rPr>
  </w:style>
  <w:style w:type="paragraph" w:styleId="35">
    <w:name w:val="HTML Preformatted"/>
    <w:basedOn w:val="1"/>
    <w:link w:val="48"/>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6">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kern w:val="0"/>
    </w:rPr>
  </w:style>
  <w:style w:type="paragraph" w:styleId="37">
    <w:name w:val="Title"/>
    <w:basedOn w:val="1"/>
    <w:link w:val="96"/>
    <w:qFormat/>
    <w:uiPriority w:val="0"/>
    <w:pPr>
      <w:spacing w:line="240" w:lineRule="auto"/>
      <w:ind w:firstLine="0" w:firstLineChars="0"/>
      <w:jc w:val="center"/>
    </w:pPr>
    <w:rPr>
      <w:rFonts w:ascii="Times New Roman" w:hAnsi="Times New Roman"/>
      <w:sz w:val="30"/>
    </w:rPr>
  </w:style>
  <w:style w:type="paragraph" w:styleId="38">
    <w:name w:val="annotation subject"/>
    <w:basedOn w:val="11"/>
    <w:next w:val="11"/>
    <w:link w:val="54"/>
    <w:unhideWhenUsed/>
    <w:qFormat/>
    <w:uiPriority w:val="0"/>
    <w:rPr>
      <w:b/>
      <w:bCs/>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2">
    <w:name w:val="Strong"/>
    <w:qFormat/>
    <w:uiPriority w:val="22"/>
    <w:rPr>
      <w:b/>
    </w:rPr>
  </w:style>
  <w:style w:type="character" w:styleId="43">
    <w:name w:val="page number"/>
    <w:basedOn w:val="41"/>
    <w:qFormat/>
    <w:uiPriority w:val="0"/>
  </w:style>
  <w:style w:type="character" w:styleId="44">
    <w:name w:val="FollowedHyperlink"/>
    <w:unhideWhenUsed/>
    <w:qFormat/>
    <w:uiPriority w:val="0"/>
    <w:rPr>
      <w:color w:val="800080"/>
      <w:u w:val="single"/>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customStyle="1" w:styleId="47">
    <w:name w:val="font71"/>
    <w:qFormat/>
    <w:uiPriority w:val="0"/>
    <w:rPr>
      <w:rFonts w:ascii="Arial" w:hAnsi="Arial" w:cs="Arial"/>
      <w:b/>
      <w:color w:val="333333"/>
      <w:sz w:val="20"/>
      <w:szCs w:val="20"/>
      <w:u w:val="none"/>
    </w:rPr>
  </w:style>
  <w:style w:type="character" w:customStyle="1" w:styleId="48">
    <w:name w:val="HTML 预设格式 字符"/>
    <w:link w:val="35"/>
    <w:semiHidden/>
    <w:qFormat/>
    <w:uiPriority w:val="0"/>
    <w:rPr>
      <w:rFonts w:ascii="Arial Unicode MS" w:hAnsi="Arial Unicode MS" w:eastAsia="Arial Unicode MS" w:cs="Arial Unicode MS"/>
    </w:rPr>
  </w:style>
  <w:style w:type="character" w:customStyle="1" w:styleId="49">
    <w:name w:val="正文文本缩进 2 字符"/>
    <w:link w:val="23"/>
    <w:semiHidden/>
    <w:qFormat/>
    <w:uiPriority w:val="0"/>
    <w:rPr>
      <w:rFonts w:ascii="宋体" w:hAnsi="Times New Roman"/>
      <w:sz w:val="24"/>
    </w:rPr>
  </w:style>
  <w:style w:type="character" w:customStyle="1" w:styleId="50">
    <w:name w:val="wz1"/>
    <w:basedOn w:val="41"/>
    <w:qFormat/>
    <w:uiPriority w:val="0"/>
  </w:style>
  <w:style w:type="character" w:customStyle="1" w:styleId="51">
    <w:name w:val="button1"/>
    <w:qFormat/>
    <w:uiPriority w:val="0"/>
    <w:rPr>
      <w:rFonts w:hint="default" w:ascii="Verdana" w:hAnsi="Verdana"/>
      <w:b/>
      <w:bCs/>
      <w:sz w:val="20"/>
      <w:szCs w:val="20"/>
    </w:rPr>
  </w:style>
  <w:style w:type="character" w:customStyle="1" w:styleId="52">
    <w:name w:val="font01"/>
    <w:qFormat/>
    <w:uiPriority w:val="0"/>
    <w:rPr>
      <w:rFonts w:hint="eastAsia" w:ascii="宋体" w:hAnsi="宋体" w:eastAsia="宋体" w:cs="宋体"/>
      <w:b/>
      <w:color w:val="333333"/>
      <w:sz w:val="20"/>
      <w:szCs w:val="20"/>
      <w:u w:val="none"/>
    </w:rPr>
  </w:style>
  <w:style w:type="character" w:customStyle="1" w:styleId="53">
    <w:name w:val="标题 3 字符"/>
    <w:qFormat/>
    <w:uiPriority w:val="0"/>
    <w:rPr>
      <w:b/>
      <w:bCs/>
      <w:kern w:val="2"/>
      <w:sz w:val="24"/>
      <w:szCs w:val="32"/>
    </w:rPr>
  </w:style>
  <w:style w:type="character" w:customStyle="1" w:styleId="54">
    <w:name w:val="批注主题 字符"/>
    <w:link w:val="38"/>
    <w:semiHidden/>
    <w:qFormat/>
    <w:uiPriority w:val="0"/>
    <w:rPr>
      <w:rFonts w:ascii="Times New Roman" w:hAnsi="Times New Roman"/>
      <w:b/>
      <w:bCs/>
      <w:kern w:val="2"/>
      <w:sz w:val="21"/>
      <w:szCs w:val="24"/>
    </w:rPr>
  </w:style>
  <w:style w:type="character" w:customStyle="1" w:styleId="55">
    <w:name w:val="标题 Char"/>
    <w:qFormat/>
    <w:uiPriority w:val="0"/>
    <w:rPr>
      <w:rFonts w:ascii="Cambria" w:hAnsi="Cambria" w:cs="Times New Roman"/>
      <w:b/>
      <w:bCs/>
      <w:kern w:val="2"/>
      <w:sz w:val="32"/>
      <w:szCs w:val="32"/>
    </w:rPr>
  </w:style>
  <w:style w:type="character" w:customStyle="1" w:styleId="56">
    <w:name w:val="search_result_snap1"/>
    <w:qFormat/>
    <w:uiPriority w:val="0"/>
    <w:rPr>
      <w:sz w:val="21"/>
      <w:szCs w:val="21"/>
    </w:rPr>
  </w:style>
  <w:style w:type="character" w:customStyle="1" w:styleId="57">
    <w:name w:val="l17"/>
    <w:basedOn w:val="41"/>
    <w:qFormat/>
    <w:uiPriority w:val="0"/>
  </w:style>
  <w:style w:type="character" w:customStyle="1" w:styleId="58">
    <w:name w:val="s"/>
    <w:basedOn w:val="41"/>
    <w:qFormat/>
    <w:uiPriority w:val="0"/>
  </w:style>
  <w:style w:type="character" w:customStyle="1" w:styleId="59">
    <w:name w:val="(aNormal) + 宋体 Char"/>
    <w:link w:val="60"/>
    <w:qFormat/>
    <w:locked/>
    <w:uiPriority w:val="0"/>
    <w:rPr>
      <w:rFonts w:ascii="宋体" w:hAnsi="宋体"/>
      <w:lang w:val="en-GB"/>
    </w:rPr>
  </w:style>
  <w:style w:type="paragraph" w:customStyle="1" w:styleId="60">
    <w:name w:val="(aNormal) + 宋体"/>
    <w:basedOn w:val="1"/>
    <w:link w:val="59"/>
    <w:qFormat/>
    <w:uiPriority w:val="0"/>
    <w:pPr>
      <w:widowControl/>
      <w:spacing w:before="240" w:after="120" w:line="240" w:lineRule="auto"/>
      <w:ind w:firstLine="0" w:firstLineChars="0"/>
    </w:pPr>
    <w:rPr>
      <w:rFonts w:ascii="宋体" w:hAnsi="宋体"/>
      <w:kern w:val="0"/>
      <w:sz w:val="20"/>
      <w:szCs w:val="20"/>
      <w:lang w:val="en-GB"/>
    </w:rPr>
  </w:style>
  <w:style w:type="character" w:customStyle="1" w:styleId="61">
    <w:name w:val="正文缩进 字符"/>
    <w:link w:val="9"/>
    <w:semiHidden/>
    <w:qFormat/>
    <w:locked/>
    <w:uiPriority w:val="0"/>
    <w:rPr>
      <w:kern w:val="2"/>
      <w:sz w:val="21"/>
      <w:szCs w:val="24"/>
    </w:rPr>
  </w:style>
  <w:style w:type="character" w:customStyle="1" w:styleId="62">
    <w:name w:val="正文文本首行缩进 字符"/>
    <w:link w:val="63"/>
    <w:semiHidden/>
    <w:qFormat/>
    <w:uiPriority w:val="0"/>
    <w:rPr>
      <w:rFonts w:ascii="Times New Roman" w:hAnsi="Times New Roman" w:eastAsia="仿宋_GB2312"/>
      <w:kern w:val="2"/>
      <w:sz w:val="21"/>
      <w:szCs w:val="24"/>
    </w:rPr>
  </w:style>
  <w:style w:type="paragraph" w:customStyle="1" w:styleId="63">
    <w:name w:val="正文文本首行缩进1"/>
    <w:basedOn w:val="14"/>
    <w:link w:val="62"/>
    <w:unhideWhenUsed/>
    <w:qFormat/>
    <w:uiPriority w:val="0"/>
    <w:pPr>
      <w:adjustRightInd/>
      <w:spacing w:after="120" w:line="240" w:lineRule="auto"/>
      <w:ind w:firstLine="420" w:firstLineChars="100"/>
      <w:jc w:val="both"/>
    </w:pPr>
    <w:rPr>
      <w:rFonts w:ascii="Times New Roman"/>
      <w:kern w:val="2"/>
      <w:sz w:val="21"/>
      <w:szCs w:val="24"/>
    </w:rPr>
  </w:style>
  <w:style w:type="character" w:customStyle="1" w:styleId="64">
    <w:name w:val="huei12b1"/>
    <w:qFormat/>
    <w:uiPriority w:val="0"/>
    <w:rPr>
      <w:b/>
      <w:bCs/>
      <w:color w:val="333333"/>
      <w:sz w:val="20"/>
      <w:szCs w:val="20"/>
    </w:rPr>
  </w:style>
  <w:style w:type="character" w:customStyle="1" w:styleId="65">
    <w:name w:val="文档结构图 字符"/>
    <w:link w:val="10"/>
    <w:semiHidden/>
    <w:qFormat/>
    <w:uiPriority w:val="0"/>
    <w:rPr>
      <w:rFonts w:ascii="宋体" w:hAnsi="Times New Roman" w:eastAsia="宋体" w:cs="Times New Roman"/>
      <w:sz w:val="18"/>
      <w:szCs w:val="18"/>
    </w:rPr>
  </w:style>
  <w:style w:type="character" w:customStyle="1" w:styleId="66">
    <w:name w:val="content"/>
    <w:basedOn w:val="41"/>
    <w:qFormat/>
    <w:uiPriority w:val="0"/>
  </w:style>
  <w:style w:type="character" w:customStyle="1" w:styleId="67">
    <w:name w:val="页脚 字符1"/>
    <w:link w:val="25"/>
    <w:qFormat/>
    <w:uiPriority w:val="99"/>
    <w:rPr>
      <w:sz w:val="18"/>
      <w:szCs w:val="18"/>
    </w:rPr>
  </w:style>
  <w:style w:type="character" w:customStyle="1" w:styleId="68">
    <w:name w:val="标题 2 字符"/>
    <w:link w:val="5"/>
    <w:qFormat/>
    <w:uiPriority w:val="0"/>
    <w:rPr>
      <w:rFonts w:ascii="Cambria" w:hAnsi="Cambria" w:eastAsia="宋体"/>
      <w:b/>
      <w:bCs/>
      <w:kern w:val="2"/>
      <w:sz w:val="28"/>
      <w:szCs w:val="32"/>
    </w:rPr>
  </w:style>
  <w:style w:type="character" w:customStyle="1" w:styleId="69">
    <w:name w:val="正文文本 字符"/>
    <w:link w:val="14"/>
    <w:semiHidden/>
    <w:qFormat/>
    <w:uiPriority w:val="0"/>
    <w:rPr>
      <w:rFonts w:ascii="仿宋_GB2312" w:hAnsi="Times New Roman" w:eastAsia="仿宋_GB2312"/>
      <w:sz w:val="28"/>
    </w:rPr>
  </w:style>
  <w:style w:type="character" w:customStyle="1" w:styleId="70">
    <w:name w:val="style8"/>
    <w:basedOn w:val="41"/>
    <w:qFormat/>
    <w:uiPriority w:val="0"/>
  </w:style>
  <w:style w:type="character" w:customStyle="1" w:styleId="71">
    <w:name w:val="正文文本缩进 字符"/>
    <w:qFormat/>
    <w:uiPriority w:val="0"/>
    <w:rPr>
      <w:rFonts w:ascii="仿宋_GB2312" w:eastAsia="仿宋_GB2312"/>
      <w:kern w:val="2"/>
      <w:sz w:val="28"/>
      <w:lang w:val="en-US" w:eastAsia="zh-CN" w:bidi="ar-SA"/>
    </w:rPr>
  </w:style>
  <w:style w:type="character" w:customStyle="1" w:styleId="72">
    <w:name w:val="标题 1 字符"/>
    <w:link w:val="4"/>
    <w:qFormat/>
    <w:uiPriority w:val="0"/>
    <w:rPr>
      <w:rFonts w:ascii="宋体" w:hAnsi="宋体" w:cs="宋体"/>
      <w:b/>
      <w:bCs/>
      <w:kern w:val="44"/>
      <w:sz w:val="32"/>
      <w:szCs w:val="52"/>
    </w:rPr>
  </w:style>
  <w:style w:type="character" w:customStyle="1" w:styleId="73">
    <w:name w:val="页脚 字符"/>
    <w:qFormat/>
    <w:uiPriority w:val="99"/>
    <w:rPr>
      <w:rFonts w:eastAsia="宋体"/>
      <w:kern w:val="2"/>
      <w:sz w:val="18"/>
      <w:lang w:val="en-US" w:eastAsia="zh-CN" w:bidi="ar-SA"/>
    </w:rPr>
  </w:style>
  <w:style w:type="character" w:customStyle="1" w:styleId="74">
    <w:name w:val="不明显强调1"/>
    <w:qFormat/>
    <w:uiPriority w:val="0"/>
    <w:rPr>
      <w:i/>
      <w:iCs/>
      <w:color w:val="808080"/>
    </w:rPr>
  </w:style>
  <w:style w:type="character" w:customStyle="1" w:styleId="75">
    <w:name w:val="Char Char2"/>
    <w:qFormat/>
    <w:uiPriority w:val="0"/>
    <w:rPr>
      <w:rFonts w:hint="eastAsia" w:ascii="宋体" w:hAnsi="Courier New" w:eastAsia="宋体"/>
      <w:kern w:val="2"/>
      <w:sz w:val="21"/>
    </w:rPr>
  </w:style>
  <w:style w:type="character" w:customStyle="1" w:styleId="76">
    <w:name w:val="Char Char"/>
    <w:qFormat/>
    <w:uiPriority w:val="0"/>
    <w:rPr>
      <w:rFonts w:hint="eastAsia" w:ascii="宋体" w:hAnsi="Courier New" w:eastAsia="宋体"/>
      <w:kern w:val="2"/>
      <w:sz w:val="21"/>
      <w:lang w:val="en-US" w:eastAsia="zh-CN" w:bidi="ar-SA"/>
    </w:rPr>
  </w:style>
  <w:style w:type="character" w:customStyle="1" w:styleId="77">
    <w:name w:val="正文文本 2 字符"/>
    <w:link w:val="34"/>
    <w:semiHidden/>
    <w:qFormat/>
    <w:uiPriority w:val="0"/>
    <w:rPr>
      <w:rFonts w:ascii="Times New Roman" w:hAnsi="Times New Roman"/>
      <w:b/>
      <w:bCs/>
      <w:color w:val="000000"/>
      <w:kern w:val="2"/>
      <w:sz w:val="28"/>
      <w:szCs w:val="24"/>
    </w:rPr>
  </w:style>
  <w:style w:type="character" w:customStyle="1" w:styleId="78">
    <w:name w:val="正文文本缩进 字符1"/>
    <w:link w:val="15"/>
    <w:semiHidden/>
    <w:qFormat/>
    <w:uiPriority w:val="0"/>
    <w:rPr>
      <w:rFonts w:ascii="宋体" w:hAnsi="Times New Roman"/>
      <w:sz w:val="24"/>
    </w:rPr>
  </w:style>
  <w:style w:type="character" w:customStyle="1" w:styleId="79">
    <w:name w:val="纯文本 字符"/>
    <w:qFormat/>
    <w:uiPriority w:val="0"/>
    <w:rPr>
      <w:rFonts w:ascii="宋体" w:hAnsi="Courier New" w:eastAsia="宋体" w:cs="Courier New"/>
      <w:kern w:val="2"/>
      <w:sz w:val="21"/>
      <w:szCs w:val="21"/>
      <w:lang w:val="en-US" w:eastAsia="zh-CN" w:bidi="ar-SA"/>
    </w:rPr>
  </w:style>
  <w:style w:type="character" w:customStyle="1" w:styleId="80">
    <w:name w:val="批注文字 字符"/>
    <w:link w:val="11"/>
    <w:semiHidden/>
    <w:qFormat/>
    <w:uiPriority w:val="0"/>
    <w:rPr>
      <w:rFonts w:ascii="Times New Roman" w:hAnsi="Times New Roman"/>
      <w:kern w:val="2"/>
      <w:sz w:val="21"/>
      <w:szCs w:val="24"/>
    </w:rPr>
  </w:style>
  <w:style w:type="character" w:customStyle="1" w:styleId="81">
    <w:name w:val="正文文本缩进 3 字符"/>
    <w:link w:val="31"/>
    <w:semiHidden/>
    <w:qFormat/>
    <w:uiPriority w:val="0"/>
    <w:rPr>
      <w:rFonts w:ascii="Times New Roman" w:hAnsi="Times New Roman" w:eastAsia="黑体"/>
      <w:color w:val="000000"/>
      <w:kern w:val="2"/>
      <w:sz w:val="24"/>
      <w:szCs w:val="24"/>
    </w:rPr>
  </w:style>
  <w:style w:type="character" w:customStyle="1" w:styleId="82">
    <w:name w:val="无间隔 字符"/>
    <w:link w:val="83"/>
    <w:qFormat/>
    <w:locked/>
    <w:uiPriority w:val="0"/>
    <w:rPr>
      <w:rFonts w:cs="Calibri"/>
      <w:kern w:val="2"/>
      <w:sz w:val="21"/>
      <w:szCs w:val="22"/>
      <w:lang w:val="en-US" w:eastAsia="zh-CN" w:bidi="ar-SA"/>
    </w:rPr>
  </w:style>
  <w:style w:type="paragraph" w:styleId="83">
    <w:name w:val="No Spacing"/>
    <w:link w:val="82"/>
    <w:qFormat/>
    <w:uiPriority w:val="0"/>
    <w:pPr>
      <w:widowControl w:val="0"/>
      <w:jc w:val="both"/>
    </w:pPr>
    <w:rPr>
      <w:rFonts w:ascii="Calibri" w:hAnsi="Calibri" w:eastAsia="宋体" w:cs="Calibri"/>
      <w:kern w:val="2"/>
      <w:sz w:val="21"/>
      <w:szCs w:val="22"/>
      <w:lang w:val="en-US" w:eastAsia="zh-CN" w:bidi="ar-SA"/>
    </w:rPr>
  </w:style>
  <w:style w:type="character" w:customStyle="1" w:styleId="84">
    <w:name w:val="unnamed1"/>
    <w:basedOn w:val="41"/>
    <w:qFormat/>
    <w:uiPriority w:val="0"/>
  </w:style>
  <w:style w:type="character" w:customStyle="1" w:styleId="85">
    <w:name w:val="Char Char3"/>
    <w:qFormat/>
    <w:uiPriority w:val="0"/>
    <w:rPr>
      <w:rFonts w:hint="eastAsia" w:ascii="宋体" w:hAnsi="Courier New" w:eastAsia="宋体"/>
      <w:kern w:val="2"/>
      <w:sz w:val="21"/>
      <w:lang w:val="en-US" w:eastAsia="zh-CN" w:bidi="ar-SA"/>
    </w:rPr>
  </w:style>
  <w:style w:type="character" w:customStyle="1" w:styleId="86">
    <w:name w:val="纯文本 Char"/>
    <w:qFormat/>
    <w:uiPriority w:val="0"/>
    <w:rPr>
      <w:rFonts w:ascii="宋体" w:hAnsi="Courier New" w:cs="Courier New"/>
      <w:kern w:val="2"/>
      <w:sz w:val="21"/>
      <w:szCs w:val="21"/>
    </w:rPr>
  </w:style>
  <w:style w:type="character" w:customStyle="1" w:styleId="87">
    <w:name w:val="批注框文本 字符"/>
    <w:link w:val="24"/>
    <w:semiHidden/>
    <w:qFormat/>
    <w:uiPriority w:val="0"/>
    <w:rPr>
      <w:rFonts w:ascii="Times New Roman" w:hAnsi="Times New Roman" w:eastAsia="宋体" w:cs="Times New Roman"/>
      <w:sz w:val="18"/>
      <w:szCs w:val="18"/>
    </w:rPr>
  </w:style>
  <w:style w:type="character" w:customStyle="1" w:styleId="88">
    <w:name w:val="页眉 字符1"/>
    <w:link w:val="26"/>
    <w:qFormat/>
    <w:uiPriority w:val="99"/>
    <w:rPr>
      <w:sz w:val="18"/>
      <w:szCs w:val="18"/>
    </w:rPr>
  </w:style>
  <w:style w:type="character" w:customStyle="1" w:styleId="89">
    <w:name w:val="body001"/>
    <w:qFormat/>
    <w:uiPriority w:val="0"/>
    <w:rPr>
      <w:rFonts w:hint="default" w:ascii="ˎ̥" w:hAnsi="ˎ̥"/>
      <w:color w:val="333333"/>
      <w:sz w:val="18"/>
      <w:szCs w:val="18"/>
    </w:rPr>
  </w:style>
  <w:style w:type="character" w:customStyle="1" w:styleId="90">
    <w:name w:val="search_content1"/>
    <w:qFormat/>
    <w:uiPriority w:val="0"/>
    <w:rPr>
      <w:sz w:val="20"/>
      <w:szCs w:val="20"/>
    </w:rPr>
  </w:style>
  <w:style w:type="character" w:customStyle="1" w:styleId="91">
    <w:name w:val="apple-converted-space"/>
    <w:basedOn w:val="41"/>
    <w:qFormat/>
    <w:uiPriority w:val="0"/>
  </w:style>
  <w:style w:type="character" w:customStyle="1" w:styleId="92">
    <w:name w:val="style1"/>
    <w:basedOn w:val="41"/>
    <w:qFormat/>
    <w:uiPriority w:val="0"/>
  </w:style>
  <w:style w:type="character" w:customStyle="1" w:styleId="93">
    <w:name w:val="纯文本 字符1"/>
    <w:link w:val="20"/>
    <w:qFormat/>
    <w:locked/>
    <w:uiPriority w:val="0"/>
    <w:rPr>
      <w:rFonts w:ascii="宋体" w:hAnsi="Courier New"/>
      <w:kern w:val="2"/>
      <w:sz w:val="21"/>
    </w:rPr>
  </w:style>
  <w:style w:type="character" w:customStyle="1" w:styleId="94">
    <w:name w:val="hei16b1"/>
    <w:qFormat/>
    <w:uiPriority w:val="0"/>
    <w:rPr>
      <w:rFonts w:hint="default" w:ascii="Arial" w:hAnsi="Arial" w:cs="Arial"/>
      <w:b/>
      <w:bCs/>
      <w:color w:val="000000"/>
      <w:sz w:val="24"/>
      <w:szCs w:val="24"/>
    </w:rPr>
  </w:style>
  <w:style w:type="character" w:customStyle="1" w:styleId="95">
    <w:name w:val="正文文本 3 字符"/>
    <w:link w:val="12"/>
    <w:semiHidden/>
    <w:qFormat/>
    <w:uiPriority w:val="0"/>
    <w:rPr>
      <w:rFonts w:ascii="楷体_GB2312" w:hAnsi="Times New Roman" w:eastAsia="楷体_GB2312"/>
      <w:b/>
      <w:color w:val="000000"/>
      <w:kern w:val="2"/>
      <w:sz w:val="30"/>
      <w:szCs w:val="24"/>
    </w:rPr>
  </w:style>
  <w:style w:type="character" w:customStyle="1" w:styleId="96">
    <w:name w:val="标题 字符"/>
    <w:link w:val="37"/>
    <w:qFormat/>
    <w:locked/>
    <w:uiPriority w:val="0"/>
    <w:rPr>
      <w:rFonts w:ascii="Times New Roman" w:hAnsi="Times New Roman"/>
      <w:kern w:val="2"/>
      <w:sz w:val="30"/>
      <w:szCs w:val="24"/>
    </w:rPr>
  </w:style>
  <w:style w:type="character" w:customStyle="1" w:styleId="97">
    <w:name w:val="标题 4 字符"/>
    <w:link w:val="7"/>
    <w:qFormat/>
    <w:uiPriority w:val="9"/>
    <w:rPr>
      <w:rFonts w:ascii="Cambria" w:hAnsi="Cambria" w:eastAsia="宋体" w:cs="Times New Roman"/>
      <w:b/>
      <w:bCs/>
      <w:kern w:val="2"/>
      <w:sz w:val="21"/>
      <w:szCs w:val="28"/>
    </w:rPr>
  </w:style>
  <w:style w:type="character" w:customStyle="1" w:styleId="98">
    <w:name w:val="unnamed51"/>
    <w:qFormat/>
    <w:uiPriority w:val="0"/>
    <w:rPr>
      <w:sz w:val="22"/>
      <w:szCs w:val="22"/>
    </w:rPr>
  </w:style>
  <w:style w:type="character" w:customStyle="1" w:styleId="99">
    <w:name w:val="日期 字符"/>
    <w:link w:val="22"/>
    <w:semiHidden/>
    <w:qFormat/>
    <w:uiPriority w:val="0"/>
    <w:rPr>
      <w:rFonts w:ascii="Times New Roman" w:hAnsi="Times New Roman"/>
      <w:color w:val="000000"/>
      <w:kern w:val="2"/>
      <w:sz w:val="24"/>
      <w:szCs w:val="24"/>
    </w:rPr>
  </w:style>
  <w:style w:type="character" w:customStyle="1" w:styleId="100">
    <w:name w:val="页眉 字符"/>
    <w:qFormat/>
    <w:locked/>
    <w:uiPriority w:val="0"/>
    <w:rPr>
      <w:rFonts w:eastAsia="宋体"/>
      <w:kern w:val="2"/>
      <w:sz w:val="18"/>
      <w:lang w:val="en-US" w:eastAsia="zh-CN" w:bidi="ar-SA"/>
    </w:rPr>
  </w:style>
  <w:style w:type="paragraph" w:customStyle="1" w:styleId="10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0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103">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104">
    <w:name w:val="标题3"/>
    <w:basedOn w:val="6"/>
    <w:qFormat/>
    <w:uiPriority w:val="0"/>
    <w:pPr>
      <w:spacing w:before="260" w:after="260" w:line="415" w:lineRule="auto"/>
    </w:pPr>
    <w:rPr>
      <w:rFonts w:ascii="宋体" w:hAnsi="宋体"/>
      <w:sz w:val="28"/>
      <w:szCs w:val="28"/>
    </w:rPr>
  </w:style>
  <w:style w:type="paragraph" w:customStyle="1" w:styleId="105">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6">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10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8">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109">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110">
    <w:name w:val="样式1"/>
    <w:basedOn w:val="1"/>
    <w:qFormat/>
    <w:uiPriority w:val="0"/>
    <w:pPr>
      <w:spacing w:line="360" w:lineRule="exact"/>
    </w:pPr>
    <w:rPr>
      <w:rFonts w:ascii="Arial" w:hAnsi="Arial"/>
      <w:sz w:val="21"/>
    </w:rPr>
  </w:style>
  <w:style w:type="paragraph" w:customStyle="1" w:styleId="111">
    <w:name w:val="_Style 40"/>
    <w:basedOn w:val="1"/>
    <w:qFormat/>
    <w:uiPriority w:val="0"/>
    <w:pPr>
      <w:spacing w:line="240" w:lineRule="auto"/>
      <w:ind w:firstLine="0" w:firstLineChars="0"/>
    </w:pPr>
  </w:style>
  <w:style w:type="paragraph" w:customStyle="1" w:styleId="11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3">
    <w:name w:val="TOC 标题1"/>
    <w:basedOn w:val="5"/>
    <w:next w:val="1"/>
    <w:qFormat/>
    <w:uiPriority w:val="39"/>
    <w:pPr>
      <w:widowControl/>
      <w:spacing w:line="240" w:lineRule="auto"/>
      <w:outlineLvl w:val="9"/>
    </w:pPr>
    <w:rPr>
      <w:kern w:val="0"/>
      <w:sz w:val="21"/>
      <w:szCs w:val="28"/>
    </w:rPr>
  </w:style>
  <w:style w:type="paragraph" w:customStyle="1" w:styleId="11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1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7">
    <w:name w:val="列表段落1"/>
    <w:basedOn w:val="1"/>
    <w:qFormat/>
    <w:uiPriority w:val="0"/>
    <w:pPr>
      <w:ind w:firstLine="420"/>
    </w:pPr>
  </w:style>
  <w:style w:type="paragraph" w:customStyle="1" w:styleId="118">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1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20">
    <w:name w:val="Char Char Char Char Char Char Char Char"/>
    <w:basedOn w:val="1"/>
    <w:qFormat/>
    <w:uiPriority w:val="0"/>
    <w:pPr>
      <w:tabs>
        <w:tab w:val="left" w:pos="360"/>
      </w:tabs>
      <w:spacing w:line="240" w:lineRule="auto"/>
      <w:ind w:firstLine="0" w:firstLineChars="0"/>
    </w:pPr>
    <w:rPr>
      <w:szCs w:val="20"/>
    </w:rPr>
  </w:style>
  <w:style w:type="paragraph" w:customStyle="1" w:styleId="121">
    <w:name w:val="正文格式"/>
    <w:basedOn w:val="1"/>
    <w:qFormat/>
    <w:uiPriority w:val="0"/>
    <w:pPr>
      <w:widowControl/>
      <w:adjustRightInd w:val="0"/>
      <w:snapToGrid w:val="0"/>
      <w:ind w:firstLine="482" w:firstLineChars="0"/>
    </w:pPr>
    <w:rPr>
      <w:kern w:val="0"/>
      <w:szCs w:val="20"/>
    </w:rPr>
  </w:style>
  <w:style w:type="paragraph" w:customStyle="1" w:styleId="122">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123">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124">
    <w:name w:val="Char Char Char Char Char Char"/>
    <w:basedOn w:val="1"/>
    <w:qFormat/>
    <w:uiPriority w:val="0"/>
    <w:pPr>
      <w:spacing w:line="240" w:lineRule="auto"/>
    </w:pPr>
    <w:rPr>
      <w:rFonts w:ascii="Tahoma" w:hAnsi="Tahoma"/>
      <w:szCs w:val="20"/>
    </w:rPr>
  </w:style>
  <w:style w:type="paragraph" w:customStyle="1" w:styleId="12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26">
    <w:name w:val="小标题2"/>
    <w:basedOn w:val="1"/>
    <w:next w:val="1"/>
    <w:qFormat/>
    <w:uiPriority w:val="0"/>
    <w:pPr>
      <w:spacing w:beforeLines="20" w:afterLines="20" w:line="400" w:lineRule="exact"/>
    </w:pPr>
    <w:rPr>
      <w:rFonts w:eastAsia="楷体_GB2312"/>
    </w:rPr>
  </w:style>
  <w:style w:type="paragraph" w:customStyle="1" w:styleId="127">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hAnsi="宋体" w:eastAsia="楷体_GB2312"/>
      <w:kern w:val="0"/>
    </w:rPr>
  </w:style>
  <w:style w:type="paragraph" w:customStyle="1" w:styleId="128">
    <w:name w:val="_Style 54"/>
    <w:basedOn w:val="1"/>
    <w:qFormat/>
    <w:uiPriority w:val="0"/>
    <w:pPr>
      <w:spacing w:line="240" w:lineRule="auto"/>
      <w:ind w:firstLine="0" w:firstLineChars="0"/>
    </w:pPr>
  </w:style>
  <w:style w:type="paragraph" w:customStyle="1" w:styleId="129">
    <w:name w:val="p16"/>
    <w:basedOn w:val="1"/>
    <w:qFormat/>
    <w:uiPriority w:val="0"/>
    <w:pPr>
      <w:widowControl/>
      <w:spacing w:line="240" w:lineRule="auto"/>
      <w:ind w:left="420" w:hanging="420" w:firstLineChars="0"/>
    </w:pPr>
    <w:rPr>
      <w:kern w:val="0"/>
      <w:szCs w:val="21"/>
    </w:rPr>
  </w:style>
  <w:style w:type="paragraph" w:customStyle="1" w:styleId="130">
    <w:name w:val="xl82"/>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31">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13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33">
    <w:name w:val="head 1.1.1"/>
    <w:basedOn w:val="117"/>
    <w:qFormat/>
    <w:uiPriority w:val="0"/>
    <w:pPr>
      <w:numPr>
        <w:ilvl w:val="2"/>
        <w:numId w:val="3"/>
      </w:numPr>
      <w:spacing w:line="240" w:lineRule="auto"/>
      <w:ind w:firstLine="0" w:firstLineChars="0"/>
    </w:pPr>
    <w:rPr>
      <w:bCs/>
      <w:szCs w:val="22"/>
    </w:rPr>
  </w:style>
  <w:style w:type="paragraph" w:customStyle="1" w:styleId="1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35">
    <w:name w:val="正文缩进1"/>
    <w:basedOn w:val="1"/>
    <w:next w:val="15"/>
    <w:qFormat/>
    <w:uiPriority w:val="0"/>
    <w:pPr>
      <w:autoSpaceDE w:val="0"/>
      <w:autoSpaceDN w:val="0"/>
      <w:adjustRightInd w:val="0"/>
      <w:snapToGrid w:val="0"/>
      <w:spacing w:after="120"/>
      <w:ind w:left="420" w:firstLine="480" w:firstLineChars="0"/>
    </w:pPr>
    <w:rPr>
      <w:szCs w:val="20"/>
    </w:rPr>
  </w:style>
  <w:style w:type="paragraph" w:customStyle="1" w:styleId="136">
    <w:name w:val="默认段落字体 Para Char Char Char Char Char Char Char Char Char1 Char Char Char Char"/>
    <w:basedOn w:val="1"/>
    <w:qFormat/>
    <w:uiPriority w:val="0"/>
    <w:rPr>
      <w:rFonts w:ascii="Tahoma" w:hAnsi="Tahoma"/>
      <w:szCs w:val="20"/>
    </w:rPr>
  </w:style>
  <w:style w:type="paragraph" w:customStyle="1" w:styleId="1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38">
    <w:name w:val="head 1.1"/>
    <w:basedOn w:val="117"/>
    <w:qFormat/>
    <w:uiPriority w:val="0"/>
    <w:pPr>
      <w:numPr>
        <w:ilvl w:val="1"/>
        <w:numId w:val="3"/>
      </w:numPr>
      <w:spacing w:before="260" w:after="260" w:line="240" w:lineRule="auto"/>
      <w:ind w:firstLine="0" w:firstLineChars="0"/>
    </w:pPr>
    <w:rPr>
      <w:rFonts w:ascii="宋体" w:hAnsi="宋体"/>
      <w:bCs/>
      <w:szCs w:val="22"/>
    </w:rPr>
  </w:style>
  <w:style w:type="paragraph" w:customStyle="1" w:styleId="139">
    <w:name w:val="Char2"/>
    <w:basedOn w:val="1"/>
    <w:qFormat/>
    <w:uiPriority w:val="0"/>
    <w:pPr>
      <w:spacing w:line="240" w:lineRule="auto"/>
      <w:ind w:firstLine="0" w:firstLineChars="0"/>
    </w:pPr>
    <w:rPr>
      <w:rFonts w:ascii="仿宋_GB2312" w:eastAsia="仿宋_GB2312"/>
      <w:b/>
      <w:sz w:val="32"/>
      <w:szCs w:val="32"/>
    </w:rPr>
  </w:style>
  <w:style w:type="paragraph" w:customStyle="1" w:styleId="140">
    <w:name w:val="Proposals body"/>
    <w:basedOn w:val="1"/>
    <w:next w:val="1"/>
    <w:qFormat/>
    <w:uiPriority w:val="0"/>
    <w:pPr>
      <w:widowControl/>
      <w:snapToGrid w:val="0"/>
      <w:ind w:firstLine="0" w:firstLineChars="0"/>
      <w:jc w:val="left"/>
    </w:pPr>
    <w:rPr>
      <w:rFonts w:ascii="宋体"/>
      <w:color w:val="000000"/>
      <w:kern w:val="0"/>
      <w:szCs w:val="20"/>
    </w:rPr>
  </w:style>
  <w:style w:type="paragraph" w:customStyle="1" w:styleId="141">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1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143">
    <w:name w:val="Char Char Char Char Char Char Char Char Char Char"/>
    <w:basedOn w:val="10"/>
    <w:qFormat/>
    <w:uiPriority w:val="0"/>
    <w:pPr>
      <w:shd w:val="clear" w:color="auto" w:fill="000080"/>
      <w:spacing w:line="240" w:lineRule="auto"/>
      <w:ind w:firstLine="0" w:firstLineChars="0"/>
    </w:pPr>
    <w:rPr>
      <w:rFonts w:ascii="Tahoma" w:hAnsi="Tahoma"/>
      <w:sz w:val="24"/>
      <w:szCs w:val="24"/>
    </w:rPr>
  </w:style>
  <w:style w:type="paragraph" w:customStyle="1" w:styleId="144">
    <w:name w:val="p0"/>
    <w:basedOn w:val="1"/>
    <w:qFormat/>
    <w:uiPriority w:val="0"/>
    <w:pPr>
      <w:widowControl/>
      <w:spacing w:line="240" w:lineRule="auto"/>
      <w:ind w:firstLine="0" w:firstLineChars="0"/>
    </w:pPr>
    <w:rPr>
      <w:kern w:val="0"/>
      <w:szCs w:val="21"/>
    </w:rPr>
  </w:style>
  <w:style w:type="paragraph" w:customStyle="1" w:styleId="14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46">
    <w:name w:val="正文－恩普"/>
    <w:basedOn w:val="9"/>
    <w:qFormat/>
    <w:uiPriority w:val="0"/>
    <w:pPr>
      <w:widowControl/>
      <w:spacing w:afterLines="50" w:line="360" w:lineRule="auto"/>
      <w:ind w:firstLine="480" w:firstLineChars="200"/>
      <w:jc w:val="left"/>
    </w:pPr>
  </w:style>
  <w:style w:type="paragraph" w:customStyle="1" w:styleId="1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48">
    <w:name w:val="1"/>
    <w:basedOn w:val="1"/>
    <w:next w:val="36"/>
    <w:qFormat/>
    <w:uiPriority w:val="0"/>
    <w:pPr>
      <w:widowControl/>
      <w:spacing w:before="100" w:beforeAutospacing="1" w:after="100" w:afterAutospacing="1" w:line="240" w:lineRule="auto"/>
      <w:ind w:firstLine="0" w:firstLineChars="0"/>
      <w:jc w:val="left"/>
    </w:pPr>
    <w:rPr>
      <w:rFonts w:ascii="宋体" w:hAnsi="宋体"/>
      <w:kern w:val="0"/>
    </w:rPr>
  </w:style>
  <w:style w:type="paragraph" w:customStyle="1" w:styleId="14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50">
    <w:name w:val="Blockquote"/>
    <w:basedOn w:val="1"/>
    <w:qFormat/>
    <w:uiPriority w:val="0"/>
    <w:pPr>
      <w:autoSpaceDE w:val="0"/>
      <w:autoSpaceDN w:val="0"/>
      <w:adjustRightInd w:val="0"/>
      <w:spacing w:before="100" w:after="100"/>
      <w:ind w:left="360" w:right="360"/>
      <w:jc w:val="left"/>
    </w:pPr>
    <w:rPr>
      <w:kern w:val="0"/>
    </w:rPr>
  </w:style>
  <w:style w:type="paragraph" w:customStyle="1" w:styleId="151">
    <w:name w:val="Char Char Char"/>
    <w:basedOn w:val="1"/>
    <w:qFormat/>
    <w:uiPriority w:val="0"/>
    <w:pPr>
      <w:spacing w:line="240" w:lineRule="auto"/>
      <w:ind w:firstLine="0" w:firstLineChars="0"/>
    </w:pPr>
    <w:rPr>
      <w:rFonts w:ascii="Tahoma" w:hAnsi="Tahoma"/>
      <w:szCs w:val="20"/>
    </w:rPr>
  </w:style>
  <w:style w:type="paragraph" w:customStyle="1" w:styleId="152">
    <w:name w:val="列出段落1"/>
    <w:basedOn w:val="1"/>
    <w:qFormat/>
    <w:uiPriority w:val="0"/>
    <w:pPr>
      <w:spacing w:line="240" w:lineRule="auto"/>
      <w:ind w:firstLine="420"/>
    </w:pPr>
  </w:style>
  <w:style w:type="paragraph" w:customStyle="1" w:styleId="153">
    <w:name w:val="Char"/>
    <w:basedOn w:val="1"/>
    <w:qFormat/>
    <w:uiPriority w:val="0"/>
    <w:pPr>
      <w:spacing w:line="240" w:lineRule="auto"/>
      <w:ind w:firstLine="0" w:firstLineChars="0"/>
    </w:pPr>
    <w:rPr>
      <w:rFonts w:ascii="仿宋_GB2312" w:eastAsia="仿宋_GB2312"/>
      <w:b/>
      <w:sz w:val="32"/>
      <w:szCs w:val="32"/>
    </w:rPr>
  </w:style>
  <w:style w:type="paragraph" w:customStyle="1" w:styleId="15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55">
    <w:name w:val="默认段落字体 Para Char"/>
    <w:basedOn w:val="1"/>
    <w:qFormat/>
    <w:uiPriority w:val="0"/>
    <w:pPr>
      <w:spacing w:line="240" w:lineRule="auto"/>
      <w:ind w:firstLine="0" w:firstLineChars="0"/>
    </w:pPr>
  </w:style>
  <w:style w:type="paragraph" w:customStyle="1" w:styleId="156">
    <w:name w:val="Char1"/>
    <w:basedOn w:val="1"/>
    <w:qFormat/>
    <w:uiPriority w:val="0"/>
    <w:rPr>
      <w:rFonts w:ascii="Tahoma" w:hAnsi="Tahoma"/>
      <w:szCs w:val="20"/>
    </w:rPr>
  </w:style>
  <w:style w:type="paragraph" w:customStyle="1" w:styleId="157">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158">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59">
    <w:name w:val="四级目录 Char Char Char Char Char"/>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160">
    <w:name w:val="font8"/>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1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character" w:customStyle="1" w:styleId="164">
    <w:name w:val="font11"/>
    <w:qFormat/>
    <w:uiPriority w:val="0"/>
    <w:rPr>
      <w:rFonts w:hint="eastAsia" w:ascii="宋体" w:hAnsi="宋体" w:eastAsia="宋体" w:cs="宋体"/>
      <w:color w:val="000000"/>
      <w:sz w:val="40"/>
      <w:szCs w:val="40"/>
      <w:u w:val="none"/>
    </w:rPr>
  </w:style>
  <w:style w:type="character" w:customStyle="1" w:styleId="165">
    <w:name w:val="font101"/>
    <w:qFormat/>
    <w:uiPriority w:val="0"/>
    <w:rPr>
      <w:rFonts w:hint="eastAsia" w:ascii="宋体" w:hAnsi="宋体" w:eastAsia="宋体" w:cs="宋体"/>
      <w:color w:val="000000"/>
      <w:sz w:val="18"/>
      <w:szCs w:val="18"/>
      <w:u w:val="none"/>
    </w:rPr>
  </w:style>
  <w:style w:type="paragraph" w:customStyle="1" w:styleId="166">
    <w:name w:val="trs_editor"/>
    <w:basedOn w:val="1"/>
    <w:qFormat/>
    <w:uiPriority w:val="0"/>
    <w:pPr>
      <w:widowControl/>
      <w:spacing w:before="100" w:beforeAutospacing="1" w:after="100" w:afterAutospacing="1"/>
      <w:jc w:val="left"/>
    </w:pPr>
    <w:rPr>
      <w:rFonts w:ascii="宋体" w:hAnsi="宋体" w:cs="宋体"/>
      <w:kern w:val="0"/>
    </w:rPr>
  </w:style>
  <w:style w:type="paragraph" w:styleId="167">
    <w:name w:val="List Paragraph"/>
    <w:basedOn w:val="1"/>
    <w:qFormat/>
    <w:uiPriority w:val="34"/>
    <w:pPr>
      <w:ind w:firstLine="420"/>
    </w:pPr>
    <w:rPr>
      <w:szCs w:val="22"/>
    </w:rPr>
  </w:style>
  <w:style w:type="paragraph" w:customStyle="1" w:styleId="168">
    <w:name w:val="正文2"/>
    <w:basedOn w:val="1"/>
    <w:qFormat/>
    <w:uiPriority w:val="0"/>
    <w:pPr>
      <w:spacing w:before="156"/>
      <w:ind w:firstLine="510"/>
    </w:pPr>
    <w:rPr>
      <w:rFonts w:ascii="MT Extra" w:hAnsi="MT Extra" w:cs="MT Extra"/>
    </w:rPr>
  </w:style>
  <w:style w:type="paragraph" w:customStyle="1" w:styleId="169">
    <w:name w:val="正文 A"/>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170">
    <w:name w:val="部分1"/>
    <w:basedOn w:val="1"/>
    <w:qFormat/>
    <w:uiPriority w:val="99"/>
    <w:pPr>
      <w:keepNext/>
      <w:pageBreakBefore/>
      <w:tabs>
        <w:tab w:val="left" w:pos="720"/>
      </w:tabs>
      <w:jc w:val="center"/>
      <w:outlineLvl w:val="0"/>
    </w:pPr>
    <w:rPr>
      <w:rFonts w:eastAsia="黑体"/>
      <w:b/>
      <w:kern w:val="44"/>
      <w:sz w:val="36"/>
    </w:rPr>
  </w:style>
  <w:style w:type="character" w:customStyle="1" w:styleId="171">
    <w:name w:val="标题 3 字符1"/>
    <w:link w:val="6"/>
    <w:qFormat/>
    <w:uiPriority w:val="0"/>
    <w:rPr>
      <w:rFonts w:ascii="Times New Roman" w:hAnsi="Times New Roman"/>
      <w:b/>
      <w:bCs/>
      <w:kern w:val="2"/>
      <w:sz w:val="21"/>
      <w:szCs w:val="32"/>
    </w:rPr>
  </w:style>
  <w:style w:type="paragraph" w:customStyle="1" w:styleId="172">
    <w:name w:val="_Style 3"/>
    <w:basedOn w:val="1"/>
    <w:next w:val="167"/>
    <w:qFormat/>
    <w:uiPriority w:val="34"/>
    <w:pPr>
      <w:ind w:firstLine="420"/>
    </w:pPr>
    <w:rPr>
      <w:szCs w:val="22"/>
    </w:rPr>
  </w:style>
  <w:style w:type="paragraph" w:customStyle="1" w:styleId="173">
    <w:name w:val="正文1"/>
    <w:basedOn w:val="1"/>
    <w:qFormat/>
    <w:uiPriority w:val="0"/>
    <w:pPr>
      <w:widowControl/>
      <w:spacing w:after="200" w:line="300" w:lineRule="atLeast"/>
      <w:jc w:val="left"/>
    </w:pPr>
    <w:rPr>
      <w:rFonts w:cs="宋体"/>
      <w:kern w:val="0"/>
      <w:sz w:val="22"/>
      <w:szCs w:val="22"/>
    </w:rPr>
  </w:style>
  <w:style w:type="paragraph" w:customStyle="1" w:styleId="174">
    <w:name w:val="表格"/>
    <w:basedOn w:val="14"/>
    <w:next w:val="1"/>
    <w:qFormat/>
    <w:uiPriority w:val="0"/>
    <w:pPr>
      <w:spacing w:line="240" w:lineRule="auto"/>
      <w:ind w:firstLine="0" w:firstLineChars="0"/>
      <w:jc w:val="center"/>
    </w:pPr>
    <w:rPr>
      <w:rFonts w:ascii="Times New Roman" w:hAnsi="Times New Roman"/>
    </w:rPr>
  </w:style>
  <w:style w:type="paragraph" w:customStyle="1" w:styleId="17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176">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177">
    <w:name w:val="正文段"/>
    <w:basedOn w:val="1"/>
    <w:qFormat/>
    <w:uiPriority w:val="0"/>
    <w:pPr>
      <w:widowControl/>
      <w:snapToGrid w:val="0"/>
      <w:spacing w:after="50" w:afterLines="50"/>
      <w:ind w:firstLine="200" w:firstLineChars="200"/>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jpe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header" Target="header8.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73</Pages>
  <Words>6651</Words>
  <Characters>37913</Characters>
  <Lines>315</Lines>
  <Paragraphs>88</Paragraphs>
  <TotalTime>35</TotalTime>
  <ScaleCrop>false</ScaleCrop>
  <LinksUpToDate>false</LinksUpToDate>
  <CharactersWithSpaces>44476</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2019-06-11T08:29:00Z</dcterms:created>
  <dc:creator>Administrator</dc:creator>
  <cp:lastModifiedBy>dell</cp:lastModifiedBy>
  <cp:lastPrinted>2019-08-29T03:05:00Z</cp:lastPrinted>
  <dcterms:modified xsi:type="dcterms:W3CDTF">2019-08-29T07:57:58Z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