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浙江机电职业技术学院</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pStyle w:val="2"/>
        <w:rPr>
          <w:color w:val="auto"/>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多岗位联动控制演练实训室</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确认书号：[2019]47962号</w:t>
      </w:r>
      <w:r>
        <w:rPr>
          <w:rFonts w:hint="eastAsia" w:ascii="宋体" w:hAnsi="宋体" w:cs="宋体"/>
          <w:b/>
          <w:bCs/>
          <w:color w:val="auto"/>
          <w:sz w:val="32"/>
          <w:szCs w:val="32"/>
          <w:highlight w:val="none"/>
          <w:lang w:eastAsia="zh-CN"/>
        </w:rPr>
        <w:t>、[2019]47963号</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ZJWSBJ-JD-201917G</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lang w:eastAsia="zh-CN"/>
        </w:rPr>
        <w:t>浙江机电职业技术学院</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八</w:t>
      </w:r>
      <w:r>
        <w:rPr>
          <w:rFonts w:hint="eastAsia" w:ascii="宋体" w:hAnsi="宋体" w:cs="宋体"/>
          <w:b/>
          <w:bCs/>
          <w:color w:val="auto"/>
          <w:sz w:val="32"/>
          <w:szCs w:val="32"/>
          <w:highlight w:val="none"/>
        </w:rPr>
        <w:t>月</w:t>
      </w:r>
    </w:p>
    <w:p>
      <w:pPr>
        <w:pStyle w:val="2"/>
        <w:rPr>
          <w:rFonts w:hint="eastAsia"/>
          <w:color w:val="auto"/>
          <w:highlight w:val="none"/>
        </w:rPr>
      </w:pP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pStyle w:val="32"/>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"_Toc4470" </w:instrText>
      </w:r>
      <w:r>
        <w:rPr>
          <w:color w:val="auto"/>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"_Toc8514" </w:instrText>
      </w:r>
      <w:r>
        <w:rPr>
          <w:color w:val="auto"/>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"_Toc17984" </w:instrText>
      </w:r>
      <w:r>
        <w:rPr>
          <w:color w:val="auto"/>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"_Toc20600" </w:instrText>
      </w:r>
      <w:r>
        <w:rPr>
          <w:color w:val="auto"/>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"_Toc27145" </w:instrText>
      </w:r>
      <w:r>
        <w:rPr>
          <w:color w:val="auto"/>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47</w:t>
      </w:r>
      <w:r>
        <w:rPr>
          <w:color w:val="auto"/>
          <w:sz w:val="28"/>
          <w:szCs w:val="28"/>
          <w:highlight w:val="none"/>
        </w:rPr>
        <w:fldChar w:fldCharType="end"/>
      </w:r>
      <w:r>
        <w:rPr>
          <w:color w:val="auto"/>
          <w:sz w:val="28"/>
          <w:szCs w:val="28"/>
          <w:highlight w:val="none"/>
        </w:rPr>
        <w:fldChar w:fldCharType="end"/>
      </w:r>
    </w:p>
    <w:p>
      <w:pPr>
        <w:pStyle w:val="32"/>
        <w:tabs>
          <w:tab w:val="right" w:leader="dot" w:pos="8306"/>
          <w:tab w:val="clear" w:pos="8296"/>
        </w:tabs>
        <w:ind w:left="480"/>
        <w:jc w:val="center"/>
        <w:rPr>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4"/>
        <w:rPr>
          <w:color w:val="auto"/>
          <w:highlight w:val="none"/>
        </w:rPr>
      </w:pPr>
      <w:bookmarkStart w:id="1" w:name="_Toc12653"/>
      <w:bookmarkStart w:id="2" w:name="_Toc4470"/>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[2019]47962号、[2019]47963号的批准，浙江五石工程咨询有限公司受</w:t>
      </w:r>
      <w:r>
        <w:rPr>
          <w:rFonts w:hint="eastAsia"/>
          <w:color w:val="auto"/>
          <w:highlight w:val="none"/>
          <w:lang w:eastAsia="zh-CN"/>
        </w:rPr>
        <w:t>浙江机电职业技术学院</w:t>
      </w:r>
      <w:r>
        <w:rPr>
          <w:rFonts w:hint="eastAsia"/>
          <w:color w:val="auto"/>
          <w:highlight w:val="none"/>
        </w:rPr>
        <w:t>委托，就</w:t>
      </w:r>
      <w:r>
        <w:rPr>
          <w:rFonts w:hint="eastAsia"/>
          <w:color w:val="auto"/>
          <w:highlight w:val="none"/>
          <w:u w:val="single"/>
          <w:lang w:eastAsia="zh-CN"/>
        </w:rPr>
        <w:t>多岗位联动控制演练实训室</w:t>
      </w:r>
      <w:r>
        <w:rPr>
          <w:rFonts w:hint="eastAsia"/>
          <w:color w:val="auto"/>
          <w:highlight w:val="none"/>
        </w:rPr>
        <w:t>进行公开招标采购，欢迎国内合格的供应商前来投标。具体如下：</w:t>
      </w:r>
    </w:p>
    <w:p>
      <w:pPr>
        <w:pStyle w:val="5"/>
        <w:rPr>
          <w:rFonts w:ascii="宋体" w:hAnsi="宋体" w:cs="宋体"/>
          <w:color w:val="auto"/>
          <w:sz w:val="24"/>
          <w:szCs w:val="24"/>
          <w:highlight w:val="none"/>
        </w:rPr>
      </w:pPr>
      <w:bookmarkStart w:id="4" w:name="_Toc29586"/>
      <w:r>
        <w:rPr>
          <w:rStyle w:val="42"/>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lang w:eastAsia="zh-CN"/>
        </w:rPr>
        <w:t>ZJWSBJ-JD-201917G</w:t>
      </w:r>
    </w:p>
    <w:p>
      <w:pPr>
        <w:pStyle w:val="5"/>
        <w:rPr>
          <w:rFonts w:ascii="宋体" w:hAnsi="宋体" w:cs="宋体"/>
          <w:color w:val="auto"/>
          <w:sz w:val="24"/>
          <w:szCs w:val="24"/>
          <w:highlight w:val="none"/>
        </w:rPr>
      </w:pPr>
      <w:bookmarkStart w:id="5" w:name="_Toc11203"/>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5"/>
        <w:rPr>
          <w:rStyle w:val="42"/>
          <w:rFonts w:hint="eastAsia" w:ascii="宋体" w:hAnsi="宋体" w:cs="宋体"/>
          <w:b/>
          <w:color w:val="auto"/>
          <w:sz w:val="24"/>
          <w:szCs w:val="24"/>
          <w:highlight w:val="none"/>
        </w:rPr>
      </w:pPr>
      <w:bookmarkStart w:id="6" w:name="_Toc5262"/>
      <w:r>
        <w:rPr>
          <w:rStyle w:val="42"/>
          <w:rFonts w:hint="eastAsia" w:ascii="宋体" w:hAnsi="宋体" w:cs="宋体"/>
          <w:b/>
          <w:color w:val="auto"/>
          <w:sz w:val="24"/>
          <w:szCs w:val="24"/>
          <w:highlight w:val="none"/>
        </w:rPr>
        <w:t>三、项目概况</w:t>
      </w:r>
      <w:bookmarkEnd w:id="6"/>
    </w:p>
    <w:tbl>
      <w:tblPr>
        <w:tblStyle w:val="39"/>
        <w:tblW w:w="9860" w:type="dxa"/>
        <w:tblInd w:w="0" w:type="dxa"/>
        <w:tblLayout w:type="fixed"/>
        <w:tblCellMar>
          <w:top w:w="15" w:type="dxa"/>
          <w:left w:w="15" w:type="dxa"/>
          <w:bottom w:w="15" w:type="dxa"/>
          <w:right w:w="15" w:type="dxa"/>
        </w:tblCellMar>
      </w:tblPr>
      <w:tblGrid>
        <w:gridCol w:w="814"/>
        <w:gridCol w:w="2355"/>
        <w:gridCol w:w="915"/>
        <w:gridCol w:w="1440"/>
        <w:gridCol w:w="1065"/>
        <w:gridCol w:w="2401"/>
        <w:gridCol w:w="870"/>
      </w:tblGrid>
      <w:tr>
        <w:tblPrEx>
          <w:tblLayout w:type="fixed"/>
          <w:tblCellMar>
            <w:top w:w="15" w:type="dxa"/>
            <w:left w:w="15" w:type="dxa"/>
            <w:bottom w:w="15" w:type="dxa"/>
            <w:right w:w="15" w:type="dxa"/>
          </w:tblCellMar>
        </w:tblPrEx>
        <w:tc>
          <w:tcPr>
            <w:tcW w:w="81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235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标项名称</w:t>
            </w:r>
          </w:p>
        </w:tc>
        <w:tc>
          <w:tcPr>
            <w:tcW w:w="91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预算金额(</w:t>
            </w:r>
            <w:r>
              <w:rPr>
                <w:rFonts w:hint="eastAsia" w:ascii="宋体" w:hAnsi="宋体" w:cs="宋体"/>
                <w:color w:val="auto"/>
                <w:kern w:val="0"/>
                <w:highlight w:val="none"/>
                <w:lang w:val="en-US" w:eastAsia="zh-CN"/>
              </w:rPr>
              <w:t>万</w:t>
            </w:r>
            <w:r>
              <w:rPr>
                <w:rFonts w:hint="eastAsia" w:ascii="宋体" w:hAnsi="宋体" w:cs="宋体"/>
                <w:color w:val="auto"/>
                <w:kern w:val="0"/>
                <w:highlight w:val="none"/>
              </w:rPr>
              <w:t>元)</w:t>
            </w:r>
          </w:p>
        </w:tc>
        <w:tc>
          <w:tcPr>
            <w:tcW w:w="106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单位</w:t>
            </w:r>
          </w:p>
        </w:tc>
        <w:tc>
          <w:tcPr>
            <w:tcW w:w="240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简要规格描述</w:t>
            </w:r>
          </w:p>
        </w:tc>
        <w:tc>
          <w:tcPr>
            <w:tcW w:w="87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c>
          <w:tcPr>
            <w:tcW w:w="81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235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多岗位联动控制演练实训室</w:t>
            </w:r>
          </w:p>
        </w:tc>
        <w:tc>
          <w:tcPr>
            <w:tcW w:w="91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4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kern w:val="0"/>
                <w:highlight w:val="none"/>
                <w:lang w:val="en-US" w:eastAsia="zh-CN"/>
              </w:rPr>
              <w:t>376.5</w:t>
            </w:r>
          </w:p>
        </w:tc>
        <w:tc>
          <w:tcPr>
            <w:tcW w:w="106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批</w:t>
            </w:r>
          </w:p>
        </w:tc>
        <w:tc>
          <w:tcPr>
            <w:tcW w:w="240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 xml:space="preserve">详见第二章项目需求说明 </w:t>
            </w:r>
          </w:p>
        </w:tc>
        <w:tc>
          <w:tcPr>
            <w:tcW w:w="87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rPr>
          <w:color w:val="auto"/>
          <w:highlight w:val="none"/>
        </w:rPr>
      </w:pPr>
    </w:p>
    <w:p>
      <w:pPr>
        <w:pStyle w:val="5"/>
        <w:rPr>
          <w:rFonts w:ascii="宋体" w:hAnsi="宋体" w:cs="宋体"/>
          <w:color w:val="auto"/>
          <w:sz w:val="24"/>
          <w:szCs w:val="24"/>
          <w:highlight w:val="none"/>
        </w:rPr>
      </w:pPr>
      <w:bookmarkStart w:id="7" w:name="_Toc24393"/>
      <w:r>
        <w:rPr>
          <w:rStyle w:val="42"/>
          <w:rFonts w:hint="eastAsia" w:ascii="宋体" w:hAnsi="宋体" w:cs="宋体"/>
          <w:b/>
          <w:color w:val="auto"/>
          <w:sz w:val="24"/>
          <w:szCs w:val="24"/>
          <w:highlight w:val="none"/>
        </w:rPr>
        <w:t>四、投标人资格要求:</w:t>
      </w:r>
      <w:bookmarkEnd w:id="7"/>
    </w:p>
    <w:p>
      <w:pPr>
        <w:pStyle w:val="6"/>
        <w:ind w:firstLine="241" w:firstLineChars="100"/>
        <w:rPr>
          <w:rFonts w:ascii="宋体" w:hAnsi="宋体" w:cs="宋体"/>
          <w:b w:val="0"/>
          <w:color w:val="auto"/>
          <w:kern w:val="0"/>
          <w:highlight w:val="none"/>
        </w:rPr>
      </w:pPr>
      <w:r>
        <w:rPr>
          <w:rFonts w:hint="eastAsia" w:ascii="宋体" w:hAnsi="宋体" w:cs="宋体"/>
          <w:color w:val="auto"/>
          <w:highlight w:val="none"/>
        </w:rPr>
        <w:t>（一）基本资格要求</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1.符合《中华人民共和国政府采购法》第二十二条第一款的规定。</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color w:val="auto"/>
          <w:highlight w:val="none"/>
        </w:rPr>
      </w:pPr>
      <w:r>
        <w:rPr>
          <w:rFonts w:hint="eastAsia" w:ascii="宋体" w:hAnsi="宋体" w:cs="宋体"/>
          <w:color w:val="auto"/>
          <w:highlight w:val="none"/>
        </w:rPr>
        <w:t>（二）特定资格要求：无。</w:t>
      </w:r>
    </w:p>
    <w:p>
      <w:pPr>
        <w:pStyle w:val="6"/>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6"/>
        <w:spacing w:before="75" w:beforeAutospacing="0" w:after="75" w:afterAutospacing="0" w:line="360" w:lineRule="auto"/>
        <w:rPr>
          <w:rFonts w:cs="宋体"/>
          <w:color w:val="auto"/>
          <w:highlight w:val="none"/>
        </w:rPr>
      </w:pPr>
      <w:r>
        <w:rPr>
          <w:rStyle w:val="42"/>
          <w:rFonts w:hint="eastAsia" w:cs="宋体"/>
          <w:color w:val="auto"/>
          <w:highlight w:val="none"/>
        </w:rPr>
        <w:t>五、</w:t>
      </w:r>
      <w:r>
        <w:rPr>
          <w:rStyle w:val="42"/>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2"/>
          <w:rFonts w:hint="eastAsia" w:ascii="宋体" w:hAnsi="宋体" w:cs="宋体"/>
          <w:color w:val="auto"/>
          <w:highlight w:val="none"/>
        </w:rPr>
        <w:t>1.</w:t>
      </w:r>
      <w:r>
        <w:rPr>
          <w:rStyle w:val="42"/>
          <w:rFonts w:hint="eastAsia" w:ascii="宋体" w:hAnsi="宋体" w:cs="宋体"/>
          <w:bCs/>
          <w:color w:val="auto"/>
          <w:highlight w:val="none"/>
        </w:rPr>
        <w:t>时间期限：</w:t>
      </w:r>
      <w:r>
        <w:rPr>
          <w:rFonts w:hint="eastAsia" w:ascii="宋体" w:hAnsi="宋体" w:cs="宋体"/>
          <w:color w:val="auto"/>
          <w:highlight w:val="none"/>
        </w:rPr>
        <w:t>2019-0</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29</w:t>
      </w:r>
      <w:r>
        <w:rPr>
          <w:rFonts w:hint="eastAsia" w:ascii="宋体" w:hAnsi="宋体" w:cs="宋体"/>
          <w:color w:val="auto"/>
          <w:highlight w:val="none"/>
        </w:rPr>
        <w:t>至2019-0</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05</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2"/>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2"/>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w:t>
      </w:r>
      <w:r>
        <w:rPr>
          <w:rFonts w:hint="eastAsia" w:ascii="宋体" w:hAnsi="宋体" w:cs="宋体"/>
          <w:color w:val="auto"/>
          <w:highlight w:val="none"/>
          <w:lang w:eastAsia="zh-CN"/>
        </w:rPr>
        <w:t>。</w:t>
      </w:r>
      <w:r>
        <w:rPr>
          <w:rFonts w:hint="eastAsia" w:ascii="宋体" w:hAnsi="宋体" w:cs="宋体"/>
          <w:color w:val="auto"/>
          <w:highlight w:val="none"/>
        </w:rPr>
        <w:t>（3）投标人报名时应提交的资料：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6"/>
        <w:spacing w:before="0" w:beforeAutospacing="0" w:after="0" w:afterAutospacing="0" w:line="360" w:lineRule="auto"/>
        <w:ind w:firstLine="480" w:firstLineChars="200"/>
        <w:rPr>
          <w:rStyle w:val="42"/>
          <w:rFonts w:cs="宋体"/>
          <w:b w:val="0"/>
          <w:color w:val="auto"/>
          <w:highlight w:val="none"/>
        </w:rPr>
      </w:pPr>
      <w:r>
        <w:rPr>
          <w:rFonts w:hint="eastAsia" w:cs="宋体"/>
          <w:color w:val="auto"/>
          <w:highlight w:val="none"/>
        </w:rPr>
        <w:t>5）提示：</w:t>
      </w:r>
      <w:r>
        <w:rPr>
          <w:rStyle w:val="42"/>
          <w:rFonts w:hint="eastAsia" w:cs="宋体"/>
          <w:b w:val="0"/>
          <w:color w:val="auto"/>
          <w:highlight w:val="none"/>
        </w:rPr>
        <w:t>投标人未按上述方式获取的招标文件与采购代理机构发布的招标文件不一致的，由其自行承担由此产生的后果。</w:t>
      </w:r>
    </w:p>
    <w:p>
      <w:pPr>
        <w:pStyle w:val="36"/>
        <w:spacing w:before="0" w:beforeAutospacing="0" w:after="0" w:afterAutospacing="0" w:line="360" w:lineRule="auto"/>
        <w:ind w:firstLine="480" w:firstLineChars="200"/>
        <w:rPr>
          <w:rStyle w:val="42"/>
          <w:rFonts w:cs="宋体"/>
          <w:b w:val="0"/>
          <w:color w:val="auto"/>
          <w:highlight w:val="none"/>
        </w:rPr>
      </w:pPr>
      <w:r>
        <w:rPr>
          <w:rStyle w:val="42"/>
          <w:rFonts w:hint="eastAsia" w:cs="宋体"/>
          <w:b w:val="0"/>
          <w:color w:val="auto"/>
          <w:highlight w:val="none"/>
        </w:rPr>
        <w:t>6）</w:t>
      </w:r>
      <w:r>
        <w:rPr>
          <w:rFonts w:hint="eastAsia" w:cs="宋体"/>
          <w:color w:val="auto"/>
          <w:szCs w:val="32"/>
          <w:highlight w:val="none"/>
        </w:rPr>
        <w:t>招标文件发售截止之后有潜在投标人提出要求获取招标文件的允许其获取，如对招标文件有质疑的应在规定质疑期限内提出。</w:t>
      </w:r>
    </w:p>
    <w:p>
      <w:pPr>
        <w:ind w:firstLine="482"/>
        <w:rPr>
          <w:rStyle w:val="42"/>
          <w:rFonts w:ascii="宋体" w:hAnsi="宋体" w:cs="宋体"/>
          <w:bCs/>
          <w:color w:val="auto"/>
          <w:highlight w:val="none"/>
        </w:rPr>
      </w:pPr>
      <w:r>
        <w:rPr>
          <w:rStyle w:val="42"/>
          <w:rFonts w:hint="eastAsia" w:ascii="宋体" w:hAnsi="宋体" w:cs="宋体"/>
          <w:bCs/>
          <w:color w:val="auto"/>
          <w:highlight w:val="none"/>
        </w:rPr>
        <w:t>4.招标文件售价：</w:t>
      </w:r>
      <w:r>
        <w:rPr>
          <w:rStyle w:val="42"/>
          <w:rFonts w:hint="eastAsia" w:ascii="宋体" w:hAnsi="宋体" w:cs="宋体"/>
          <w:bCs/>
          <w:color w:val="auto"/>
          <w:highlight w:val="none"/>
          <w:lang w:val="en-US" w:eastAsia="zh-CN"/>
        </w:rPr>
        <w:t>5</w:t>
      </w:r>
      <w:r>
        <w:rPr>
          <w:rStyle w:val="42"/>
          <w:rFonts w:hint="eastAsia" w:ascii="宋体" w:hAnsi="宋体" w:cs="宋体"/>
          <w:bCs/>
          <w:color w:val="auto"/>
          <w:highlight w:val="none"/>
        </w:rPr>
        <w:t>00元</w:t>
      </w:r>
      <w:r>
        <w:rPr>
          <w:rStyle w:val="42"/>
          <w:rFonts w:hint="eastAsia" w:ascii="宋体" w:hAnsi="宋体" w:cs="宋体"/>
          <w:bCs/>
          <w:color w:val="auto"/>
          <w:highlight w:val="none"/>
          <w:lang w:val="en-US" w:eastAsia="zh-CN"/>
        </w:rPr>
        <w:t>/本</w:t>
      </w:r>
      <w:r>
        <w:rPr>
          <w:rStyle w:val="42"/>
          <w:rFonts w:hint="eastAsia" w:ascii="宋体" w:hAnsi="宋体" w:cs="宋体"/>
          <w:bCs/>
          <w:color w:val="auto"/>
          <w:highlight w:val="none"/>
        </w:rPr>
        <w:t xml:space="preserve">（售后不退） </w:t>
      </w:r>
    </w:p>
    <w:p>
      <w:pPr>
        <w:pStyle w:val="36"/>
        <w:spacing w:before="75" w:beforeAutospacing="0" w:after="75" w:afterAutospacing="0" w:line="360" w:lineRule="auto"/>
        <w:rPr>
          <w:rStyle w:val="42"/>
          <w:rFonts w:cs="宋体"/>
          <w:color w:val="auto"/>
          <w:highlight w:val="none"/>
        </w:rPr>
      </w:pPr>
      <w:r>
        <w:rPr>
          <w:rStyle w:val="42"/>
          <w:rFonts w:hint="eastAsia" w:cs="宋体"/>
          <w:color w:val="auto"/>
          <w:highlight w:val="none"/>
        </w:rPr>
        <w:t>六、本项目招标文件公告期限为：</w:t>
      </w:r>
      <w:r>
        <w:rPr>
          <w:rStyle w:val="42"/>
          <w:rFonts w:hint="eastAsia" w:cs="宋体"/>
          <w:b w:val="0"/>
          <w:bCs/>
          <w:color w:val="auto"/>
          <w:highlight w:val="none"/>
        </w:rPr>
        <w:t>本公告发布之日起五个工作日。</w:t>
      </w:r>
    </w:p>
    <w:p>
      <w:pPr>
        <w:pStyle w:val="5"/>
        <w:rPr>
          <w:rFonts w:ascii="宋体" w:hAnsi="宋体" w:cs="宋体"/>
          <w:color w:val="auto"/>
          <w:kern w:val="0"/>
          <w:sz w:val="24"/>
          <w:szCs w:val="24"/>
          <w:highlight w:val="none"/>
          <w:shd w:val="clear" w:color="auto" w:fill="FFFFFF"/>
          <w:lang w:bidi="ar"/>
        </w:rPr>
      </w:pPr>
      <w:bookmarkStart w:id="8" w:name="_Toc1080"/>
      <w:r>
        <w:rPr>
          <w:rStyle w:val="42"/>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8"/>
    </w:p>
    <w:p>
      <w:pPr>
        <w:pStyle w:val="5"/>
        <w:ind w:firstLine="482" w:firstLineChars="200"/>
        <w:rPr>
          <w:rFonts w:hint="eastAsia" w:ascii="宋体" w:hAnsi="宋体" w:eastAsia="宋体" w:cs="宋体"/>
          <w:b w:val="0"/>
          <w:bCs w:val="0"/>
          <w:color w:val="auto"/>
          <w:sz w:val="24"/>
          <w:szCs w:val="24"/>
          <w:highlight w:val="none"/>
          <w:lang w:eastAsia="zh-CN"/>
        </w:rPr>
      </w:pPr>
      <w:bookmarkStart w:id="9" w:name="_Toc2231"/>
      <w:r>
        <w:rPr>
          <w:rStyle w:val="42"/>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bookmarkEnd w:id="9"/>
      <w:r>
        <w:rPr>
          <w:rFonts w:hint="eastAsia" w:ascii="宋体" w:hAnsi="宋体" w:cs="宋体"/>
          <w:b w:val="0"/>
          <w:bCs w:val="0"/>
          <w:color w:val="auto"/>
          <w:sz w:val="24"/>
          <w:szCs w:val="24"/>
          <w:highlight w:val="none"/>
          <w:lang w:eastAsia="zh-CN"/>
        </w:rPr>
        <w:t>2019-09-18  09:30:00</w:t>
      </w:r>
    </w:p>
    <w:p>
      <w:pPr>
        <w:pStyle w:val="5"/>
        <w:ind w:firstLine="482" w:firstLineChars="200"/>
        <w:rPr>
          <w:rStyle w:val="42"/>
          <w:rFonts w:hint="eastAsia" w:ascii="宋体" w:hAnsi="宋体" w:eastAsia="宋体" w:cs="宋体"/>
          <w:b w:val="0"/>
          <w:bCs w:val="0"/>
          <w:color w:val="auto"/>
          <w:sz w:val="24"/>
          <w:szCs w:val="24"/>
          <w:highlight w:val="none"/>
          <w:lang w:eastAsia="zh-CN"/>
        </w:rPr>
      </w:pPr>
      <w:bookmarkStart w:id="10" w:name="_Toc22852"/>
      <w:r>
        <w:rPr>
          <w:rStyle w:val="42"/>
          <w:rFonts w:hint="eastAsia" w:ascii="宋体" w:hAnsi="宋体" w:cs="宋体"/>
          <w:b/>
          <w:color w:val="auto"/>
          <w:sz w:val="24"/>
          <w:szCs w:val="24"/>
          <w:highlight w:val="none"/>
        </w:rPr>
        <w:t>2.开标时间：</w:t>
      </w:r>
      <w:r>
        <w:rPr>
          <w:rStyle w:val="42"/>
          <w:rFonts w:hint="eastAsia" w:ascii="宋体" w:hAnsi="宋体" w:cs="宋体"/>
          <w:b w:val="0"/>
          <w:bCs w:val="0"/>
          <w:color w:val="auto"/>
          <w:sz w:val="24"/>
          <w:szCs w:val="24"/>
          <w:highlight w:val="none"/>
        </w:rPr>
        <w:t xml:space="preserve"> </w:t>
      </w:r>
      <w:bookmarkEnd w:id="10"/>
      <w:r>
        <w:rPr>
          <w:rStyle w:val="42"/>
          <w:rFonts w:hint="eastAsia" w:ascii="宋体" w:hAnsi="宋体" w:cs="宋体"/>
          <w:b w:val="0"/>
          <w:bCs w:val="0"/>
          <w:color w:val="auto"/>
          <w:sz w:val="24"/>
          <w:szCs w:val="24"/>
          <w:highlight w:val="none"/>
          <w:lang w:eastAsia="zh-CN"/>
        </w:rPr>
        <w:t>2019-09-18  09:30:00</w:t>
      </w:r>
    </w:p>
    <w:p>
      <w:pPr>
        <w:pStyle w:val="5"/>
        <w:ind w:firstLine="482" w:firstLineChars="200"/>
        <w:rPr>
          <w:rStyle w:val="42"/>
          <w:rFonts w:ascii="宋体" w:hAnsi="宋体" w:cs="宋体"/>
          <w:b w:val="0"/>
          <w:bCs w:val="0"/>
          <w:color w:val="auto"/>
          <w:sz w:val="24"/>
          <w:szCs w:val="24"/>
          <w:highlight w:val="none"/>
        </w:rPr>
      </w:pPr>
      <w:bookmarkStart w:id="11" w:name="_Toc26036"/>
      <w:r>
        <w:rPr>
          <w:rStyle w:val="42"/>
          <w:rFonts w:hint="eastAsia" w:ascii="宋体" w:hAnsi="宋体" w:cs="宋体"/>
          <w:b/>
          <w:color w:val="auto"/>
          <w:sz w:val="24"/>
          <w:szCs w:val="24"/>
          <w:highlight w:val="none"/>
        </w:rPr>
        <w:t>3.开标地点：</w:t>
      </w:r>
      <w:bookmarkEnd w:id="11"/>
      <w:r>
        <w:rPr>
          <w:rStyle w:val="42"/>
          <w:rFonts w:hint="eastAsia" w:ascii="宋体" w:hAnsi="宋体" w:cs="宋体"/>
          <w:b/>
          <w:color w:val="auto"/>
          <w:sz w:val="24"/>
          <w:szCs w:val="24"/>
          <w:highlight w:val="none"/>
          <w:lang w:eastAsia="zh-CN"/>
        </w:rPr>
        <w:t>杭州市滨江区东信大道66号东方通信科技园启迪楼2楼会议室2</w:t>
      </w:r>
    </w:p>
    <w:p>
      <w:pPr>
        <w:pStyle w:val="5"/>
        <w:rPr>
          <w:rFonts w:ascii="宋体" w:hAnsi="宋体" w:cs="宋体"/>
          <w:color w:val="auto"/>
          <w:sz w:val="24"/>
          <w:szCs w:val="24"/>
          <w:highlight w:val="none"/>
        </w:rPr>
      </w:pPr>
      <w:bookmarkStart w:id="12" w:name="_Toc15758"/>
      <w:r>
        <w:rPr>
          <w:rStyle w:val="42"/>
          <w:rFonts w:hint="eastAsia" w:ascii="宋体" w:hAnsi="宋体" w:cs="宋体"/>
          <w:b/>
          <w:color w:val="auto"/>
          <w:sz w:val="24"/>
          <w:szCs w:val="24"/>
          <w:highlight w:val="none"/>
        </w:rPr>
        <w:t>八、投标保证金：无</w:t>
      </w:r>
      <w:bookmarkEnd w:id="12"/>
    </w:p>
    <w:p>
      <w:pPr>
        <w:pStyle w:val="5"/>
        <w:rPr>
          <w:rFonts w:ascii="宋体" w:hAnsi="宋体" w:cs="宋体"/>
          <w:color w:val="auto"/>
          <w:sz w:val="24"/>
          <w:szCs w:val="24"/>
          <w:highlight w:val="none"/>
        </w:rPr>
      </w:pPr>
      <w:bookmarkStart w:id="13" w:name="_Toc6191"/>
      <w:r>
        <w:rPr>
          <w:rStyle w:val="42"/>
          <w:rFonts w:hint="eastAsia" w:ascii="宋体" w:hAnsi="宋体" w:cs="宋体"/>
          <w:b/>
          <w:color w:val="auto"/>
          <w:sz w:val="24"/>
          <w:szCs w:val="24"/>
          <w:highlight w:val="none"/>
        </w:rPr>
        <w:t>九、其他事项：</w:t>
      </w:r>
      <w:bookmarkEnd w:id="13"/>
    </w:p>
    <w:p>
      <w:pPr>
        <w:pStyle w:val="36"/>
        <w:spacing w:before="0" w:beforeAutospacing="0" w:after="0" w:afterAutospacing="0" w:line="360" w:lineRule="auto"/>
        <w:ind w:firstLine="334"/>
        <w:rPr>
          <w:rStyle w:val="42"/>
          <w:rFonts w:cs="宋体"/>
          <w:b w:val="0"/>
          <w:color w:val="auto"/>
          <w:kern w:val="2"/>
          <w:highlight w:val="none"/>
        </w:rPr>
      </w:pPr>
      <w:r>
        <w:rPr>
          <w:rStyle w:val="42"/>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color w:val="auto"/>
          <w:highlight w:val="none"/>
        </w:rPr>
      </w:pPr>
      <w:r>
        <w:rPr>
          <w:rStyle w:val="42"/>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color w:val="auto"/>
          <w:sz w:val="24"/>
          <w:szCs w:val="24"/>
          <w:highlight w:val="none"/>
        </w:rPr>
      </w:pPr>
      <w:bookmarkStart w:id="14" w:name="_Toc5293"/>
      <w:r>
        <w:rPr>
          <w:rStyle w:val="42"/>
          <w:rFonts w:hint="eastAsia" w:ascii="宋体" w:hAnsi="宋体" w:cs="宋体"/>
          <w:b/>
          <w:color w:val="auto"/>
          <w:sz w:val="24"/>
          <w:szCs w:val="24"/>
          <w:highlight w:val="none"/>
        </w:rPr>
        <w:t>十、联系方式</w:t>
      </w:r>
      <w:bookmarkEnd w:id="14"/>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1.采购人名称：</w:t>
      </w:r>
      <w:r>
        <w:rPr>
          <w:rFonts w:hint="eastAsia" w:ascii="宋体" w:hAnsi="宋体" w:cs="宋体"/>
          <w:color w:val="auto"/>
          <w:highlight w:val="none"/>
          <w:lang w:eastAsia="zh-CN"/>
        </w:rPr>
        <w:t>浙江机电职业技术学院</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val="en-US" w:eastAsia="zh-CN"/>
        </w:rPr>
        <w:t>王菲</w:t>
      </w:r>
    </w:p>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联系电话：0571-8</w:t>
      </w:r>
      <w:r>
        <w:rPr>
          <w:rFonts w:hint="eastAsia" w:ascii="宋体" w:hAnsi="宋体" w:cs="宋体"/>
          <w:color w:val="auto"/>
          <w:highlight w:val="none"/>
          <w:lang w:val="en-US" w:eastAsia="zh-CN"/>
        </w:rPr>
        <w:t>7773085</w:t>
      </w:r>
    </w:p>
    <w:p>
      <w:pPr>
        <w:ind w:firstLine="480"/>
        <w:rPr>
          <w:rFonts w:ascii="宋体" w:hAnsi="宋体" w:cs="宋体"/>
          <w:color w:val="auto"/>
          <w:highlight w:val="none"/>
        </w:rPr>
      </w:pPr>
      <w:r>
        <w:rPr>
          <w:rFonts w:hint="eastAsia" w:ascii="宋体" w:hAnsi="宋体" w:cs="宋体"/>
          <w:color w:val="auto"/>
          <w:highlight w:val="none"/>
        </w:rPr>
        <w:t>地址：杭州市滨江区滨文路528号</w:t>
      </w:r>
    </w:p>
    <w:p>
      <w:pPr>
        <w:spacing w:line="360" w:lineRule="auto"/>
        <w:ind w:firstLine="480" w:firstLineChars="200"/>
        <w:rPr>
          <w:rFonts w:hint="default" w:ascii="宋体" w:hAnsi="宋体" w:eastAsia="宋体"/>
          <w:color w:val="auto"/>
          <w:kern w:val="0"/>
          <w:highlight w:val="none"/>
          <w:lang w:val="en-US" w:eastAsia="zh-CN"/>
        </w:rPr>
      </w:pPr>
      <w:r>
        <w:rPr>
          <w:rFonts w:hint="eastAsia" w:ascii="宋体" w:hAnsi="宋体"/>
          <w:color w:val="auto"/>
          <w:kern w:val="0"/>
          <w:highlight w:val="none"/>
        </w:rPr>
        <w:t>采购项目联系人：</w:t>
      </w:r>
      <w:r>
        <w:rPr>
          <w:rFonts w:hint="eastAsia" w:ascii="宋体" w:hAnsi="宋体"/>
          <w:color w:val="auto"/>
          <w:kern w:val="0"/>
          <w:highlight w:val="none"/>
          <w:lang w:val="en-US" w:eastAsia="zh-CN"/>
        </w:rPr>
        <w:t>曹老师</w:t>
      </w:r>
    </w:p>
    <w:p>
      <w:pPr>
        <w:spacing w:line="360" w:lineRule="auto"/>
        <w:ind w:firstLine="480" w:firstLineChars="200"/>
        <w:rPr>
          <w:rFonts w:hint="default" w:ascii="宋体" w:hAnsi="宋体" w:eastAsia="宋体"/>
          <w:color w:val="auto"/>
          <w:kern w:val="0"/>
          <w:highlight w:val="none"/>
          <w:lang w:val="en-US" w:eastAsia="zh-CN"/>
        </w:rPr>
      </w:pPr>
      <w:r>
        <w:rPr>
          <w:rFonts w:hint="eastAsia" w:ascii="宋体" w:hAnsi="宋体"/>
          <w:color w:val="auto"/>
          <w:kern w:val="0"/>
          <w:highlight w:val="none"/>
        </w:rPr>
        <w:t>联系电话：</w:t>
      </w:r>
      <w:r>
        <w:rPr>
          <w:rFonts w:hint="eastAsia" w:ascii="宋体" w:hAnsi="宋体"/>
          <w:color w:val="auto"/>
          <w:kern w:val="0"/>
          <w:highlight w:val="none"/>
          <w:lang w:val="en-US" w:eastAsia="zh-CN"/>
        </w:rPr>
        <w:t>0571-87772900</w:t>
      </w:r>
    </w:p>
    <w:p>
      <w:pPr>
        <w:ind w:firstLine="480"/>
        <w:rPr>
          <w:rFonts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ascii="宋体" w:hAnsi="宋体" w:cs="宋体"/>
          <w:color w:val="auto"/>
          <w:highlight w:val="none"/>
        </w:rPr>
      </w:pPr>
      <w:r>
        <w:rPr>
          <w:rFonts w:hint="eastAsia" w:ascii="宋体" w:hAnsi="宋体" w:cs="宋体"/>
          <w:color w:val="auto"/>
          <w:highlight w:val="none"/>
        </w:rPr>
        <w:t>项目联系人：陈工</w:t>
      </w:r>
    </w:p>
    <w:p>
      <w:pPr>
        <w:ind w:firstLine="480"/>
        <w:rPr>
          <w:rFonts w:ascii="宋体" w:hAnsi="宋体" w:cs="宋体"/>
          <w:color w:val="auto"/>
          <w:highlight w:val="none"/>
        </w:rPr>
      </w:pPr>
      <w:r>
        <w:rPr>
          <w:rFonts w:hint="eastAsia" w:ascii="宋体" w:hAnsi="宋体" w:cs="宋体"/>
          <w:color w:val="auto"/>
          <w:highlight w:val="none"/>
        </w:rPr>
        <w:t>联系电话：0571-86098397</w:t>
      </w:r>
    </w:p>
    <w:p>
      <w:pPr>
        <w:ind w:firstLine="480"/>
        <w:rPr>
          <w:rFonts w:ascii="宋体" w:hAnsi="宋体" w:cs="宋体"/>
          <w:color w:val="auto"/>
          <w:highlight w:val="none"/>
        </w:rPr>
      </w:pPr>
      <w:r>
        <w:rPr>
          <w:rFonts w:hint="eastAsia" w:ascii="宋体" w:hAnsi="宋体" w:cs="宋体"/>
          <w:color w:val="auto"/>
          <w:highlight w:val="none"/>
        </w:rPr>
        <w:t>报名联系人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财务</w:t>
      </w:r>
      <w:r>
        <w:rPr>
          <w:rFonts w:hint="eastAsia" w:ascii="宋体" w:hAnsi="宋体" w:cs="宋体"/>
          <w:color w:val="auto"/>
          <w:highlight w:val="none"/>
        </w:rPr>
        <w:t>：梁工</w:t>
      </w:r>
    </w:p>
    <w:p>
      <w:pPr>
        <w:ind w:firstLine="480"/>
        <w:rPr>
          <w:rFonts w:ascii="宋体" w:hAnsi="宋体" w:cs="宋体"/>
          <w:color w:val="auto"/>
          <w:highlight w:val="none"/>
        </w:rPr>
      </w:pPr>
      <w:r>
        <w:rPr>
          <w:rFonts w:hint="eastAsia" w:ascii="宋体" w:hAnsi="宋体" w:cs="宋体"/>
          <w:color w:val="auto"/>
          <w:highlight w:val="none"/>
        </w:rPr>
        <w:t>联系电话：17746806483</w:t>
      </w:r>
    </w:p>
    <w:p>
      <w:pPr>
        <w:ind w:firstLine="480"/>
        <w:rPr>
          <w:rFonts w:ascii="宋体" w:hAnsi="宋体" w:cs="宋体"/>
          <w:color w:val="auto"/>
          <w:highlight w:val="none"/>
        </w:rPr>
      </w:pPr>
      <w:r>
        <w:rPr>
          <w:rFonts w:hint="eastAsia" w:ascii="宋体" w:hAnsi="宋体" w:cs="宋体"/>
          <w:color w:val="auto"/>
          <w:highlight w:val="none"/>
        </w:rPr>
        <w:t>邮箱：2810140286@qq.com</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质疑联系人及电话：毛工/0571-</w:t>
      </w:r>
      <w:r>
        <w:rPr>
          <w:rFonts w:hint="eastAsia" w:ascii="宋体" w:hAnsi="宋体" w:cs="宋体"/>
          <w:color w:val="auto"/>
          <w:highlight w:val="none"/>
          <w:lang w:eastAsia="zh-CN"/>
        </w:rPr>
        <w:t>87919156</w:t>
      </w:r>
    </w:p>
    <w:p>
      <w:pPr>
        <w:ind w:firstLine="480"/>
        <w:rPr>
          <w:rFonts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ascii="宋体" w:hAnsi="宋体" w:cs="宋体"/>
          <w:color w:val="auto"/>
          <w:highlight w:val="none"/>
        </w:rPr>
      </w:pPr>
      <w:r>
        <w:rPr>
          <w:rFonts w:hint="eastAsia" w:ascii="宋体" w:hAnsi="宋体" w:cs="宋体"/>
          <w:color w:val="auto"/>
          <w:highlight w:val="none"/>
        </w:rPr>
        <w:t>联系人：倪老师</w:t>
      </w:r>
    </w:p>
    <w:p>
      <w:pPr>
        <w:ind w:firstLine="480"/>
        <w:rPr>
          <w:rFonts w:ascii="宋体" w:hAnsi="宋体" w:cs="宋体"/>
          <w:color w:val="auto"/>
          <w:highlight w:val="none"/>
        </w:rPr>
      </w:pPr>
      <w:r>
        <w:rPr>
          <w:rFonts w:hint="eastAsia" w:ascii="宋体" w:hAnsi="宋体" w:cs="宋体"/>
          <w:color w:val="auto"/>
          <w:highlight w:val="none"/>
        </w:rPr>
        <w:t>监督投诉电话：0571-87057615</w:t>
      </w:r>
    </w:p>
    <w:p>
      <w:pPr>
        <w:ind w:firstLine="480"/>
        <w:rPr>
          <w:rFonts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w:t>
      </w:r>
      <w:r>
        <w:rPr>
          <w:rFonts w:hint="eastAsia" w:ascii="宋体" w:hAnsi="宋体" w:cs="宋体"/>
          <w:color w:val="auto"/>
          <w:kern w:val="0"/>
          <w:szCs w:val="32"/>
          <w:highlight w:val="none"/>
          <w:lang w:val="en-US" w:eastAsia="zh-CN"/>
        </w:rPr>
        <w:t>8</w:t>
      </w:r>
      <w:r>
        <w:rPr>
          <w:rFonts w:hint="eastAsia" w:ascii="宋体" w:hAnsi="宋体" w:cs="宋体"/>
          <w:color w:val="auto"/>
          <w:kern w:val="0"/>
          <w:szCs w:val="32"/>
          <w:highlight w:val="none"/>
        </w:rPr>
        <w:t>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pgNumType w:start="1"/>
          <w:cols w:space="720" w:num="1"/>
          <w:docGrid w:linePitch="381" w:charSpace="0"/>
        </w:sectPr>
      </w:pPr>
    </w:p>
    <w:bookmarkEnd w:id="3"/>
    <w:p>
      <w:pPr>
        <w:pStyle w:val="4"/>
        <w:rPr>
          <w:color w:val="auto"/>
          <w:highlight w:val="none"/>
        </w:rPr>
      </w:pPr>
      <w:bookmarkStart w:id="15" w:name="_Toc8514"/>
      <w:r>
        <w:rPr>
          <w:rFonts w:hint="eastAsia" w:cs="宋体"/>
          <w:color w:val="auto"/>
          <w:highlight w:val="none"/>
        </w:rPr>
        <w:t>第二章 项目需求说明</w:t>
      </w:r>
      <w:bookmarkEnd w:id="15"/>
    </w:p>
    <w:p>
      <w:pPr>
        <w:pStyle w:val="5"/>
        <w:rPr>
          <w:rFonts w:ascii="宋体" w:hAnsi="宋体" w:cs="宋体"/>
          <w:color w:val="auto"/>
          <w:sz w:val="24"/>
          <w:szCs w:val="40"/>
          <w:highlight w:val="none"/>
        </w:rPr>
      </w:pPr>
      <w:bookmarkStart w:id="16" w:name="_Toc21112"/>
      <w:bookmarkStart w:id="17" w:name="_Toc18187"/>
      <w:bookmarkStart w:id="18" w:name="_Toc450840085"/>
      <w:r>
        <w:rPr>
          <w:rFonts w:hint="eastAsia" w:ascii="宋体" w:hAnsi="宋体" w:cs="宋体"/>
          <w:color w:val="auto"/>
          <w:sz w:val="24"/>
          <w:szCs w:val="40"/>
          <w:highlight w:val="none"/>
        </w:rPr>
        <w:t>一、货物或产品的说明和具体技术要求</w:t>
      </w:r>
      <w:bookmarkEnd w:id="16"/>
      <w:bookmarkEnd w:id="17"/>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rFonts w:hint="eastAsia"/>
          <w:b/>
          <w:bCs/>
          <w:color w:val="auto"/>
          <w:szCs w:val="40"/>
          <w:highlight w:val="none"/>
        </w:rPr>
      </w:pPr>
      <w:r>
        <w:rPr>
          <w:rFonts w:hint="eastAsia"/>
          <w:color w:val="auto"/>
          <w:szCs w:val="40"/>
          <w:highlight w:val="none"/>
        </w:rPr>
        <w:t>2、具体技术要求</w:t>
      </w:r>
      <w:bookmarkStart w:id="19" w:name="_Toc6282"/>
      <w:bookmarkStart w:id="20" w:name="_Toc4822"/>
    </w:p>
    <w:p>
      <w:pPr>
        <w:pStyle w:val="2"/>
        <w:numPr>
          <w:ilvl w:val="0"/>
          <w:numId w:val="0"/>
        </w:numPr>
        <w:outlineLvl w:val="3"/>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2.1、</w:t>
      </w:r>
      <w:r>
        <w:rPr>
          <w:rFonts w:hint="eastAsia" w:ascii="宋体" w:hAnsi="宋体" w:eastAsia="宋体" w:cs="宋体"/>
          <w:b/>
          <w:bCs/>
          <w:color w:val="auto"/>
          <w:highlight w:val="none"/>
          <w:lang w:eastAsia="zh-CN"/>
        </w:rPr>
        <w:t>多岗位联动应急演练实训平台</w:t>
      </w:r>
    </w:p>
    <w:p>
      <w:pPr>
        <w:pStyle w:val="2"/>
        <w:numPr>
          <w:ilvl w:val="0"/>
          <w:numId w:val="0"/>
        </w:numPr>
        <w:rPr>
          <w:rFonts w:hint="eastAsia" w:ascii="宋体" w:hAnsi="宋体" w:eastAsia="宋体" w:cs="宋体"/>
          <w:b/>
          <w:bCs/>
          <w:color w:val="auto"/>
          <w:highlight w:val="none"/>
          <w:lang w:eastAsia="zh-CN"/>
        </w:rPr>
      </w:pPr>
    </w:p>
    <w:p>
      <w:pPr>
        <w:pStyle w:val="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多岗位联动应急演练实训平台，由多岗位联动应急演练实训硬件平台和软件系统构成，是多岗位联动应急演练实训室的核心组成。每套实训平台设有司机、车站值班员、环电调、行调、站务等5个工作岗位，在紧急状态下，进行多岗位联动应急演练。</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次购买多岗位联动应急演练实训平台，和教师机系统，构成多岗位联动应急演练实训室，实训室可以实现以运营岗位联动为主的多专业多岗位的交互和场景教学，教师机系统统一管理和考核。多岗位联动应急演练实训平台，是在真实的ISCS系统平台和真实的ATC系统平台上，通过构建纯虚拟化的车站环境和控制调度环境，还原各类日常运营场景和应急演练场景，为城市轨道交通运营管理、机电、信号等相关专业提供培训服务。</w:t>
      </w:r>
    </w:p>
    <w:p>
      <w:pPr>
        <w:pStyle w:val="17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三、多岗位联动应急演练实训系统，可以实现在紧急状态时，下列应急预案的演练：</w:t>
      </w:r>
    </w:p>
    <w:p>
      <w:pPr>
        <w:numPr>
          <w:ilvl w:val="0"/>
          <w:numId w:val="4"/>
        </w:numPr>
        <w:ind w:left="0" w:firstLine="1134"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AFC系统故障应急预案</w:t>
      </w:r>
    </w:p>
    <w:p>
      <w:pPr>
        <w:numPr>
          <w:ilvl w:val="0"/>
          <w:numId w:val="4"/>
        </w:numPr>
        <w:ind w:left="0" w:firstLine="1134"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突发大客流应急预案</w:t>
      </w:r>
    </w:p>
    <w:p>
      <w:pPr>
        <w:numPr>
          <w:ilvl w:val="0"/>
          <w:numId w:val="4"/>
        </w:numPr>
        <w:ind w:left="0" w:firstLine="1134"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站厅火灾应急预案</w:t>
      </w:r>
    </w:p>
    <w:p>
      <w:pPr>
        <w:numPr>
          <w:ilvl w:val="0"/>
          <w:numId w:val="4"/>
        </w:numPr>
        <w:ind w:left="0" w:firstLine="1134"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区间火灾应急预案</w:t>
      </w:r>
    </w:p>
    <w:p>
      <w:pPr>
        <w:numPr>
          <w:ilvl w:val="0"/>
          <w:numId w:val="4"/>
        </w:numPr>
        <w:ind w:left="0" w:firstLine="1134"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车站大面积停电应急预案</w:t>
      </w:r>
    </w:p>
    <w:p>
      <w:pPr>
        <w:numPr>
          <w:ilvl w:val="0"/>
          <w:numId w:val="4"/>
        </w:numPr>
        <w:ind w:left="0" w:firstLine="1134"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电扶梯摔人现场应急预案</w:t>
      </w:r>
    </w:p>
    <w:p>
      <w:pPr>
        <w:pStyle w:val="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四、多岗位应急演练实训平台，既</w:t>
      </w:r>
      <w:r>
        <w:rPr>
          <w:rFonts w:hint="eastAsia" w:ascii="宋体" w:hAnsi="宋体" w:eastAsia="宋体" w:cs="宋体"/>
          <w:color w:val="auto"/>
          <w:sz w:val="24"/>
          <w:szCs w:val="24"/>
          <w:highlight w:val="none"/>
          <w:lang w:val="en-US" w:eastAsia="zh-CN"/>
        </w:rPr>
        <w:t>要</w:t>
      </w:r>
      <w:r>
        <w:rPr>
          <w:rFonts w:hint="eastAsia" w:ascii="宋体" w:hAnsi="宋体" w:eastAsia="宋体" w:cs="宋体"/>
          <w:color w:val="auto"/>
          <w:sz w:val="24"/>
          <w:szCs w:val="24"/>
          <w:highlight w:val="none"/>
        </w:rPr>
        <w:t>有综合监控系统和信号系统的组态、编辑、监控、储存、回放、查看等功能，也</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再现城市轨道交通日常中正常运营和非正常运营的各种场景，以及在紧急状态下学员进行应急处置的演练功能；教师也可通过系统自我编制其他的各种应急预案。</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五、软件系统包含了</w:t>
      </w:r>
      <w:r>
        <w:rPr>
          <w:rFonts w:hint="eastAsia" w:ascii="宋体" w:hAnsi="宋体" w:eastAsia="宋体" w:cs="宋体"/>
          <w:color w:val="auto"/>
          <w:sz w:val="24"/>
          <w:szCs w:val="24"/>
          <w:highlight w:val="none"/>
        </w:rPr>
        <w:t>多岗位信号系统平台、多岗位综合监控系统平台、多岗位三维车站系统平台、多岗位模拟驾驶系统平台和多岗位电子沙盘系统平台等5套系统</w:t>
      </w:r>
      <w:r>
        <w:rPr>
          <w:rFonts w:hint="eastAsia" w:ascii="宋体" w:hAnsi="宋体" w:cs="宋体"/>
          <w:color w:val="auto"/>
          <w:sz w:val="24"/>
          <w:szCs w:val="24"/>
          <w:highlight w:val="none"/>
          <w:lang w:val="en-US" w:eastAsia="zh-CN"/>
        </w:rPr>
        <w:t>平台</w:t>
      </w:r>
      <w:r>
        <w:rPr>
          <w:rFonts w:hint="eastAsia" w:ascii="宋体" w:hAnsi="宋体" w:eastAsia="宋体" w:cs="宋体"/>
          <w:color w:val="auto"/>
          <w:sz w:val="24"/>
          <w:szCs w:val="24"/>
          <w:highlight w:val="none"/>
        </w:rPr>
        <w:t>。软件系统既可进行多岗位联动应急演练，也可进行单独的功能实训。</w:t>
      </w:r>
    </w:p>
    <w:p>
      <w:pPr>
        <w:rPr>
          <w:rFonts w:hint="eastAsia" w:ascii="宋体" w:hAnsi="宋体" w:eastAsia="宋体" w:cs="宋体"/>
          <w:color w:val="auto"/>
          <w:kern w:val="0"/>
          <w:sz w:val="24"/>
          <w:szCs w:val="24"/>
          <w:highlight w:val="none"/>
        </w:rPr>
      </w:pPr>
      <w:r>
        <w:rPr>
          <w:rFonts w:hint="eastAsia"/>
          <w:color w:val="auto"/>
          <w:highlight w:val="none"/>
          <w:lang w:val="en-US" w:eastAsia="zh-CN"/>
        </w:rPr>
        <w:t>多</w:t>
      </w:r>
      <w:r>
        <w:rPr>
          <w:rFonts w:hint="eastAsia" w:ascii="宋体" w:hAnsi="宋体" w:eastAsia="宋体" w:cs="宋体"/>
          <w:b/>
          <w:bCs/>
          <w:color w:val="auto"/>
          <w:kern w:val="0"/>
          <w:sz w:val="24"/>
          <w:szCs w:val="24"/>
          <w:highlight w:val="none"/>
        </w:rPr>
        <w:t>岗位联动信号系统</w:t>
      </w:r>
    </w:p>
    <w:p>
      <w:pP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信号系统</w:t>
      </w:r>
      <w:r>
        <w:rPr>
          <w:rFonts w:hint="eastAsia" w:ascii="宋体" w:hAnsi="宋体" w:cs="宋体"/>
          <w:b/>
          <w:bCs/>
          <w:color w:val="auto"/>
          <w:kern w:val="0"/>
          <w:sz w:val="24"/>
          <w:szCs w:val="24"/>
          <w:highlight w:val="none"/>
          <w:lang w:val="en-US" w:eastAsia="zh-CN"/>
        </w:rPr>
        <w:t>基于</w:t>
      </w:r>
      <w:r>
        <w:rPr>
          <w:rFonts w:hint="eastAsia" w:ascii="宋体" w:hAnsi="宋体" w:eastAsia="宋体" w:cs="宋体"/>
          <w:b/>
          <w:bCs/>
          <w:color w:val="auto"/>
          <w:kern w:val="0"/>
          <w:sz w:val="24"/>
          <w:szCs w:val="24"/>
          <w:highlight w:val="none"/>
        </w:rPr>
        <w:t>地铁使用的真实平台</w:t>
      </w:r>
      <w:r>
        <w:rPr>
          <w:rFonts w:hint="eastAsia" w:ascii="宋体" w:hAnsi="宋体" w:cs="宋体"/>
          <w:b/>
          <w:bCs/>
          <w:color w:val="auto"/>
          <w:kern w:val="0"/>
          <w:sz w:val="24"/>
          <w:szCs w:val="24"/>
          <w:highlight w:val="none"/>
          <w:lang w:val="en-US" w:eastAsia="zh-CN"/>
        </w:rPr>
        <w:t>开发</w:t>
      </w:r>
      <w:r>
        <w:rPr>
          <w:rFonts w:hint="eastAsia" w:ascii="宋体" w:hAnsi="宋体" w:eastAsia="宋体" w:cs="宋体"/>
          <w:color w:val="auto"/>
          <w:kern w:val="0"/>
          <w:sz w:val="24"/>
          <w:szCs w:val="24"/>
          <w:highlight w:val="none"/>
        </w:rPr>
        <w:t>，应包含信号系统平台软件相关工具软件、中心级ATS系统、车站级ATS系统、车辆段ATS系统、车载仿真系统、联锁仿真系统、运行计划工作站系统、派班系统等完整的信号子系统功能，满足车站行车值班员、行车调度员、行车计划员、派班员等信号系统本身涉及的岗位的培训功能，同时满足信号系统与综合监控系统、模拟驾驶系统、三维车站和电子沙盘系统的联动、联合演练功能。</w:t>
      </w:r>
    </w:p>
    <w:p>
      <w:pP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多岗位联动综合监控系统</w:t>
      </w:r>
    </w:p>
    <w:p>
      <w:pP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综合监控系统</w:t>
      </w:r>
      <w:r>
        <w:rPr>
          <w:rFonts w:hint="eastAsia" w:ascii="宋体" w:hAnsi="宋体" w:cs="宋体"/>
          <w:b/>
          <w:bCs/>
          <w:color w:val="auto"/>
          <w:kern w:val="0"/>
          <w:sz w:val="24"/>
          <w:szCs w:val="24"/>
          <w:highlight w:val="none"/>
          <w:lang w:val="en-US" w:eastAsia="zh-CN"/>
        </w:rPr>
        <w:t>基于</w:t>
      </w:r>
      <w:r>
        <w:rPr>
          <w:rFonts w:hint="eastAsia" w:ascii="宋体" w:hAnsi="宋体" w:eastAsia="宋体" w:cs="宋体"/>
          <w:b/>
          <w:bCs/>
          <w:color w:val="auto"/>
          <w:kern w:val="0"/>
          <w:sz w:val="24"/>
          <w:szCs w:val="24"/>
          <w:highlight w:val="none"/>
        </w:rPr>
        <w:t>地铁使用的真实平台</w:t>
      </w:r>
      <w:r>
        <w:rPr>
          <w:rFonts w:hint="eastAsia" w:ascii="宋体" w:hAnsi="宋体" w:cs="宋体"/>
          <w:b/>
          <w:bCs/>
          <w:color w:val="auto"/>
          <w:kern w:val="0"/>
          <w:sz w:val="24"/>
          <w:szCs w:val="24"/>
          <w:highlight w:val="none"/>
          <w:lang w:val="en-US" w:eastAsia="zh-CN"/>
        </w:rPr>
        <w:t>开发</w:t>
      </w:r>
      <w:r>
        <w:rPr>
          <w:rFonts w:hint="eastAsia" w:ascii="宋体" w:hAnsi="宋体" w:eastAsia="宋体" w:cs="宋体"/>
          <w:color w:val="auto"/>
          <w:kern w:val="0"/>
          <w:sz w:val="24"/>
          <w:szCs w:val="24"/>
          <w:highlight w:val="none"/>
        </w:rPr>
        <w:t>，应包含综合监控系统平台软件相关工具软件、FEP系统、服务器系统、ISCS客户端系统等完整的综合监控系统构架应有的软硬件，满足车站设备值班员、环电调度员、系统维护员等系统本身涉及的岗位的培训功能，综合监控系统可对三维车站虚拟设备实现实时监控功能，同时可与信号系统、模拟驾驶系统、和电子沙盘系统实现联动、联合演练功能。</w:t>
      </w:r>
    </w:p>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多岗位联动三维车站系统</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岗位联动三维车站系统平台，车站漫游、设备介绍、应急演练三大功能模块，可以进行车站站长、值班员、票务员和站务员的角色选择，还可进行第一视角和第二视角的视角选择。车站漫游模块包括：车站站厅漫游、车站站台漫游、设备房漫游、站台轨行区漫游；设备介绍模块包括：站厅层、站台层、车控室、空调通风机房、气瓶室；应急演练模块预案包括：</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突发运营事故</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乘客斗殴事件演练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防恐应急演练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化学物品事故</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AFC进站闸机故障</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大客流应急演练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突发公共卫生演练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地震事件应急演练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水管爆裂演练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火灾应急演练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车站停电演练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炸弹袭击演练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机电设备故障</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站台落物摔人演练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电话闭塞调度</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接触网停电演练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电扶梯摔人</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车站清客作业演练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炸弹应急演练</w:t>
      </w:r>
    </w:p>
    <w:p>
      <w:pPr>
        <w:numPr>
          <w:ilvl w:val="0"/>
          <w:numId w:val="5"/>
        </w:numPr>
        <w:ind w:leftChars="20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车站投毒应急演练</w:t>
      </w:r>
    </w:p>
    <w:p>
      <w:pPr>
        <w:numPr>
          <w:ilvl w:val="0"/>
          <w:numId w:val="0"/>
        </w:numPr>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多岗位联动电子沙盘系统</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多视角切换：提供站台视角、正线轨道视角；</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通过场景漫游实现对线路信号设备进行认知与学习；</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符合真实地铁行车逻辑的操作体验、操作方式以及操作顺序如：升降弓按钮，高速断路器等；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信号灯与道岔，信号灯异步接收ATS信号可实现任意信号灯变化；</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具备单机应急演练功能，如：岩石挡道，水淹道岔等；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小沙盘功能模块功能，实时展现当前线路上的车辆运行情况，包括车辆车次、运行方向、车辆数量、到站情况等。</w:t>
      </w:r>
    </w:p>
    <w:p>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、多岗位联动模拟驾驶系统</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系统包含视景仿真、声音模拟、信号系统仿真、驾驶台仿真和逻辑数据仿真模块，</w:t>
      </w:r>
      <w:r>
        <w:rPr>
          <w:rFonts w:hint="eastAsia" w:ascii="宋体" w:hAnsi="宋体" w:eastAsia="宋体" w:cs="宋体"/>
          <w:color w:val="auto"/>
          <w:sz w:val="24"/>
          <w:szCs w:val="24"/>
          <w:highlight w:val="none"/>
          <w:lang w:val="zh-CN"/>
        </w:rPr>
        <w:t>提供了逼真的</w:t>
      </w:r>
      <w:r>
        <w:rPr>
          <w:rFonts w:hint="eastAsia" w:ascii="宋体" w:hAnsi="宋体" w:eastAsia="宋体" w:cs="宋体"/>
          <w:color w:val="auto"/>
          <w:sz w:val="24"/>
          <w:szCs w:val="24"/>
          <w:highlight w:val="none"/>
        </w:rPr>
        <w:t>驾驶</w:t>
      </w:r>
      <w:r>
        <w:rPr>
          <w:rFonts w:hint="eastAsia" w:ascii="宋体" w:hAnsi="宋体" w:eastAsia="宋体" w:cs="宋体"/>
          <w:color w:val="auto"/>
          <w:sz w:val="24"/>
          <w:szCs w:val="24"/>
          <w:highlight w:val="none"/>
          <w:lang w:val="zh-CN"/>
        </w:rPr>
        <w:t>培训环境，</w:t>
      </w:r>
      <w:r>
        <w:rPr>
          <w:rFonts w:hint="eastAsia" w:ascii="宋体" w:hAnsi="宋体" w:eastAsia="宋体" w:cs="宋体"/>
          <w:color w:val="auto"/>
          <w:sz w:val="24"/>
          <w:szCs w:val="24"/>
          <w:highlight w:val="none"/>
        </w:rPr>
        <w:t>系统仿真系统基于真实地铁系统平台和线路数据，既可满足独立的司机驾驶培训功能，又可快速部署参与多岗位联合应急实训，与信号系统、综合监控系统等子系统的联动功能。</w:t>
      </w:r>
    </w:p>
    <w:p>
      <w:pP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、多岗位联动应急演练实训平台配置</w:t>
      </w:r>
      <w:r>
        <w:rPr>
          <w:rFonts w:hint="eastAsia" w:ascii="宋体" w:hAnsi="宋体" w:eastAsia="宋体" w:cs="宋体"/>
          <w:color w:val="auto"/>
          <w:kern w:val="0"/>
          <w:sz w:val="24"/>
          <w:szCs w:val="24"/>
          <w:highlight w:val="none"/>
          <w:lang w:eastAsia="zh-CN"/>
        </w:rPr>
        <w:t>参数</w:t>
      </w:r>
    </w:p>
    <w:tbl>
      <w:tblPr>
        <w:tblStyle w:val="39"/>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91"/>
        <w:gridCol w:w="965"/>
        <w:gridCol w:w="960"/>
        <w:gridCol w:w="495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noWrap/>
            <w:vAlign w:val="center"/>
          </w:tcPr>
          <w:p>
            <w:pPr>
              <w:pStyle w:val="174"/>
              <w:adjustRightInd w:val="0"/>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56" w:type="dxa"/>
            <w:gridSpan w:val="2"/>
            <w:noWrap/>
            <w:vAlign w:val="center"/>
          </w:tcPr>
          <w:p>
            <w:pPr>
              <w:pStyle w:val="174"/>
              <w:adjustRightInd w:val="0"/>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品目名称</w:t>
            </w:r>
          </w:p>
        </w:tc>
        <w:tc>
          <w:tcPr>
            <w:tcW w:w="5913" w:type="dxa"/>
            <w:gridSpan w:val="2"/>
            <w:noWrap/>
            <w:vAlign w:val="center"/>
          </w:tcPr>
          <w:p>
            <w:pPr>
              <w:pStyle w:val="174"/>
              <w:adjustRightInd w:val="0"/>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技术规格、参数与要求</w:t>
            </w:r>
          </w:p>
        </w:tc>
        <w:tc>
          <w:tcPr>
            <w:tcW w:w="761" w:type="dxa"/>
            <w:noWrap/>
            <w:vAlign w:val="center"/>
          </w:tcPr>
          <w:p>
            <w:pPr>
              <w:pStyle w:val="174"/>
              <w:adjustRightInd w:val="0"/>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91" w:type="dxa"/>
            <w:vMerge w:val="restart"/>
            <w:noWrap/>
            <w:vAlign w:val="center"/>
          </w:tcPr>
          <w:p>
            <w:pPr>
              <w:pStyle w:val="174"/>
              <w:adjustRightInd w:val="0"/>
              <w:snapToGrid w:val="0"/>
              <w:spacing w:line="24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多岗位联动应急演练实训硬件平台</w:t>
            </w:r>
          </w:p>
          <w:p>
            <w:pPr>
              <w:ind w:left="0" w:leftChars="0" w:firstLine="0" w:firstLineChars="0"/>
              <w:rPr>
                <w:rFonts w:hint="eastAsia"/>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核心产品</w:t>
            </w:r>
            <w:r>
              <w:rPr>
                <w:rFonts w:hint="eastAsia" w:ascii="宋体" w:hAnsi="宋体" w:eastAsia="宋体" w:cs="宋体"/>
                <w:b/>
                <w:bCs/>
                <w:color w:val="auto"/>
                <w:highlight w:val="none"/>
                <w:lang w:eastAsia="zh-CN"/>
              </w:rPr>
              <w:t>）</w:t>
            </w: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多岗位联动实训操作台</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长度不小于3500mm，宽度不小于700mm，高度不小于1400mm；台柜体选用优质冷轧钢板，喷塑，颜色为浅灰色；控制台、工作台后门板采用百叶窗式设计，底柜通透式设计，散热性能好。</w:t>
            </w:r>
            <w:r>
              <w:rPr>
                <w:rFonts w:hint="eastAsia" w:ascii="宋体" w:hAnsi="宋体" w:eastAsia="宋体" w:cs="宋体"/>
                <w:color w:val="auto"/>
                <w:sz w:val="24"/>
                <w:szCs w:val="24"/>
                <w:highlight w:val="none"/>
                <w:lang w:val="en-US" w:eastAsia="zh-CN"/>
              </w:rPr>
              <w:t>安装环电调培训终端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车站培训终端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乘务培训终端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信号培训终端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行调培训终端</w:t>
            </w:r>
            <w:r>
              <w:rPr>
                <w:rFonts w:hint="eastAsia" w:ascii="宋体" w:hAnsi="宋体" w:eastAsia="宋体" w:cs="宋体"/>
                <w:color w:val="auto"/>
                <w:sz w:val="24"/>
                <w:szCs w:val="24"/>
                <w:highlight w:val="none"/>
              </w:rPr>
              <w:t>等5个</w:t>
            </w:r>
            <w:r>
              <w:rPr>
                <w:rFonts w:hint="eastAsia" w:ascii="宋体" w:hAnsi="宋体" w:eastAsia="宋体" w:cs="宋体"/>
                <w:color w:val="auto"/>
                <w:sz w:val="24"/>
                <w:szCs w:val="24"/>
                <w:highlight w:val="none"/>
                <w:lang w:val="en-US" w:eastAsia="zh-CN"/>
              </w:rPr>
              <w:t>使用终端</w:t>
            </w:r>
            <w:r>
              <w:rPr>
                <w:rFonts w:hint="eastAsia" w:ascii="宋体" w:hAnsi="宋体" w:eastAsia="宋体" w:cs="宋体"/>
                <w:color w:val="auto"/>
                <w:sz w:val="24"/>
                <w:szCs w:val="24"/>
                <w:highlight w:val="none"/>
              </w:rPr>
              <w:t>。操作台顶部设有2套显示器，显示器多角度可变换。每套含5组工作站座椅。</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教员管理终端</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安装教学管理系统</w:t>
            </w:r>
          </w:p>
          <w:p>
            <w:pPr>
              <w:pStyle w:val="174"/>
              <w:adjustRightInd w:val="0"/>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通过软件实现教师机管理功能，包括：学生机管理、</w:t>
            </w:r>
            <w:r>
              <w:rPr>
                <w:rFonts w:hint="eastAsia" w:ascii="宋体" w:hAnsi="宋体" w:eastAsia="宋体" w:cs="宋体"/>
                <w:b w:val="0"/>
                <w:bCs w:val="0"/>
                <w:color w:val="auto"/>
                <w:sz w:val="24"/>
                <w:szCs w:val="24"/>
                <w:highlight w:val="none"/>
                <w:lang w:val="en-US" w:eastAsia="zh-CN"/>
              </w:rPr>
              <w:t>试题</w:t>
            </w:r>
            <w:r>
              <w:rPr>
                <w:rFonts w:hint="eastAsia" w:ascii="宋体" w:hAnsi="宋体" w:eastAsia="宋体" w:cs="宋体"/>
                <w:b w:val="0"/>
                <w:bCs w:val="0"/>
                <w:color w:val="auto"/>
                <w:sz w:val="24"/>
                <w:szCs w:val="24"/>
                <w:highlight w:val="none"/>
                <w:lang w:val="en-US"/>
              </w:rPr>
              <w:t>管理、</w:t>
            </w:r>
            <w:r>
              <w:rPr>
                <w:rFonts w:hint="eastAsia" w:ascii="宋体" w:hAnsi="宋体" w:eastAsia="宋体" w:cs="宋体"/>
                <w:b w:val="0"/>
                <w:bCs w:val="0"/>
                <w:color w:val="auto"/>
                <w:sz w:val="24"/>
                <w:szCs w:val="24"/>
                <w:highlight w:val="none"/>
                <w:lang w:val="en-US" w:eastAsia="zh-CN"/>
              </w:rPr>
              <w:t>考核管理、</w:t>
            </w:r>
            <w:r>
              <w:rPr>
                <w:rFonts w:hint="eastAsia" w:ascii="宋体" w:hAnsi="宋体" w:eastAsia="宋体" w:cs="宋体"/>
                <w:b w:val="0"/>
                <w:bCs w:val="0"/>
                <w:color w:val="auto"/>
                <w:sz w:val="24"/>
                <w:szCs w:val="24"/>
                <w:highlight w:val="none"/>
                <w:lang w:val="en-US"/>
              </w:rPr>
              <w:t>屏幕显示管理</w:t>
            </w:r>
            <w:r>
              <w:rPr>
                <w:rFonts w:hint="eastAsia" w:ascii="宋体" w:hAnsi="宋体" w:eastAsia="宋体" w:cs="宋体"/>
                <w:b w:val="0"/>
                <w:bCs w:val="0"/>
                <w:color w:val="auto"/>
                <w:sz w:val="24"/>
                <w:szCs w:val="24"/>
                <w:highlight w:val="none"/>
                <w:lang w:val="en-US" w:eastAsia="zh-CN"/>
              </w:rPr>
              <w:t>、数据管理</w:t>
            </w:r>
            <w:r>
              <w:rPr>
                <w:rFonts w:hint="eastAsia" w:ascii="宋体" w:hAnsi="宋体" w:eastAsia="宋体" w:cs="宋体"/>
                <w:b w:val="0"/>
                <w:bCs w:val="0"/>
                <w:color w:val="auto"/>
                <w:sz w:val="24"/>
                <w:szCs w:val="24"/>
                <w:highlight w:val="none"/>
                <w:lang w:val="en-US"/>
              </w:rPr>
              <w:t>等等。</w:t>
            </w:r>
            <w:r>
              <w:rPr>
                <w:rFonts w:hint="eastAsia" w:ascii="宋体" w:hAnsi="宋体" w:eastAsia="宋体" w:cs="宋体"/>
                <w:b w:val="0"/>
                <w:bCs w:val="0"/>
                <w:color w:val="auto"/>
                <w:sz w:val="24"/>
                <w:szCs w:val="24"/>
                <w:highlight w:val="none"/>
                <w:lang w:val="en-US" w:eastAsia="zh-CN"/>
              </w:rPr>
              <w:t>其中通用管理包括全部</w:t>
            </w:r>
            <w:r>
              <w:rPr>
                <w:rFonts w:hint="eastAsia" w:ascii="宋体" w:hAnsi="宋体" w:eastAsia="宋体" w:cs="宋体"/>
                <w:b w:val="0"/>
                <w:bCs w:val="0"/>
                <w:color w:val="auto"/>
                <w:sz w:val="24"/>
                <w:szCs w:val="24"/>
                <w:highlight w:val="none"/>
                <w:lang w:val="en-US"/>
              </w:rPr>
              <w:t>教学辅助功能</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广播教学</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电子黑板</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教学示范</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电子抢答</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远程控制</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电子黑屏</w:t>
            </w:r>
            <w:r>
              <w:rPr>
                <w:rFonts w:hint="eastAsia" w:ascii="宋体" w:hAnsi="宋体" w:eastAsia="宋体" w:cs="宋体"/>
                <w:b w:val="0"/>
                <w:bCs w:val="0"/>
                <w:color w:val="auto"/>
                <w:sz w:val="24"/>
                <w:szCs w:val="24"/>
                <w:highlight w:val="none"/>
                <w:lang w:val="en-US" w:eastAsia="zh-CN"/>
              </w:rPr>
              <w:t>等课堂教学通用功能。</w:t>
            </w:r>
          </w:p>
          <w:p>
            <w:pPr>
              <w:pStyle w:val="174"/>
              <w:adjustRightInd w:val="0"/>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Intel酷睿i7处理器；</w:t>
            </w:r>
          </w:p>
          <w:p>
            <w:pPr>
              <w:pStyle w:val="174"/>
              <w:adjustRightInd w:val="0"/>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内存：8GB DDR4；硬盘：1TB 硬盘；</w:t>
            </w:r>
          </w:p>
          <w:p>
            <w:pPr>
              <w:pStyle w:val="174"/>
              <w:adjustRightInd w:val="0"/>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显卡：独立显卡；</w:t>
            </w:r>
          </w:p>
          <w:p>
            <w:pPr>
              <w:pStyle w:val="174"/>
              <w:adjustRightInd w:val="0"/>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内置千兆网卡；</w:t>
            </w:r>
          </w:p>
          <w:p>
            <w:pPr>
              <w:pStyle w:val="174"/>
              <w:adjustRightInd w:val="0"/>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配套：USB键盘、USB鼠标</w:t>
            </w:r>
          </w:p>
          <w:p>
            <w:pPr>
              <w:pStyle w:val="174"/>
              <w:adjustRightInd w:val="0"/>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采用嵌入式键盘，自带4寸显示触摸屏，具备放音功能，无需外接音箱即可出音，支持外接3.5mm耳机。</w:t>
            </w:r>
          </w:p>
        </w:tc>
        <w:tc>
          <w:tcPr>
            <w:tcW w:w="761" w:type="dxa"/>
            <w:noWrap/>
            <w:vAlign w:val="center"/>
          </w:tcPr>
          <w:p>
            <w:pPr>
              <w:pStyle w:val="174"/>
              <w:adjustRightInd w:val="0"/>
              <w:snapToGrid w:val="0"/>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环电调培训终端</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多岗位联动综合监控系统</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产品依托实际地铁</w:t>
            </w:r>
            <w:r>
              <w:rPr>
                <w:rFonts w:hint="eastAsia" w:ascii="宋体" w:hAnsi="宋体" w:eastAsia="宋体" w:cs="宋体"/>
                <w:color w:val="auto"/>
                <w:sz w:val="24"/>
                <w:szCs w:val="24"/>
                <w:highlight w:val="none"/>
                <w:lang w:eastAsia="zh-CN"/>
              </w:rPr>
              <w:t>多岗位综合监控系统</w:t>
            </w:r>
            <w:r>
              <w:rPr>
                <w:rFonts w:hint="eastAsia" w:ascii="宋体" w:hAnsi="宋体" w:eastAsia="宋体" w:cs="宋体"/>
                <w:color w:val="auto"/>
                <w:sz w:val="24"/>
                <w:szCs w:val="24"/>
                <w:highlight w:val="none"/>
              </w:rPr>
              <w:t>平台的软件技术和运营数据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系统采用C/S构架</w:t>
            </w:r>
            <w:r>
              <w:rPr>
                <w:rFonts w:hint="eastAsia" w:ascii="宋体" w:hAnsi="宋体" w:eastAsia="宋体" w:cs="宋体"/>
                <w:color w:val="auto"/>
                <w:sz w:val="24"/>
                <w:szCs w:val="24"/>
                <w:highlight w:val="none"/>
              </w:rPr>
              <w:t>。ISCS系统对应的人机终端-----</w:t>
            </w:r>
            <w:r>
              <w:rPr>
                <w:rFonts w:hint="eastAsia" w:ascii="宋体" w:hAnsi="宋体" w:eastAsia="宋体" w:cs="宋体"/>
                <w:color w:val="auto"/>
                <w:sz w:val="24"/>
                <w:szCs w:val="24"/>
                <w:highlight w:val="none"/>
                <w:lang w:val="en-US" w:eastAsia="zh-CN"/>
              </w:rPr>
              <w:t>教师机</w:t>
            </w:r>
            <w:r>
              <w:rPr>
                <w:rFonts w:hint="eastAsia" w:ascii="宋体" w:hAnsi="宋体" w:eastAsia="宋体" w:cs="宋体"/>
                <w:color w:val="auto"/>
                <w:sz w:val="24"/>
                <w:szCs w:val="24"/>
                <w:highlight w:val="none"/>
              </w:rPr>
              <w:t>满足环调、客调、防灾调度、电调和维调的岗位功能，包括车站的</w:t>
            </w:r>
            <w:r>
              <w:rPr>
                <w:rFonts w:hint="eastAsia" w:ascii="宋体" w:hAnsi="宋体" w:eastAsia="宋体" w:cs="宋体"/>
                <w:color w:val="auto"/>
                <w:sz w:val="24"/>
                <w:szCs w:val="24"/>
                <w:highlight w:val="none"/>
                <w:lang w:val="en-US" w:eastAsia="zh-CN"/>
              </w:rPr>
              <w:t>PSCADA电力系统、</w:t>
            </w:r>
            <w:r>
              <w:rPr>
                <w:rFonts w:hint="eastAsia" w:ascii="宋体" w:hAnsi="宋体" w:eastAsia="宋体" w:cs="宋体"/>
                <w:color w:val="auto"/>
                <w:sz w:val="24"/>
                <w:szCs w:val="24"/>
                <w:highlight w:val="none"/>
              </w:rPr>
              <w:t>BAS系统、PIS系统、AFC系统、FAS系统、PSD系统、SIG系统等画面和功能。</w:t>
            </w:r>
          </w:p>
          <w:p>
            <w:pPr>
              <w:pStyle w:val="174"/>
              <w:adjustRightInd w:val="0"/>
              <w:snapToGrid w:val="0"/>
              <w:spacing w:line="24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学员能够使用环电调培训终端对环控、火灾、屏蔽门等系统进行集成监控和联动控制管理。关键设备状态变化与车站培训终端同步。</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Intel酷睿i7处理器；</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内存：8GB DDR4；硬盘：1TB 硬盘；</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显卡：独立显卡；</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内置千兆网卡；</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配套：USB键盘、USB鼠标</w:t>
            </w:r>
          </w:p>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采用嵌入式键盘，自带4寸显示触摸屏，具备放音功能，无需外接音箱即可出音，支持外接3.5mm耳机。</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车站培训终端</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多岗位联动三维车站系统平台</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虚拟仿真技术构建三维数字化地铁车站，作为演练平台。平台提供场景漫游、标注讲解、设备交互操作、各岗位角色扮演、各种应急演练场景的还原等功能，可实现单专业单岗位的独立交互和场景教学，也可实现多岗位多专业的综合场景演练教学。</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应急演练模块里包含了多种真实地铁应急演练实训，为学员提供了真实的地铁应急演练的场景、操作培训和教学。</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Intel酷睿i7处理器；</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内存：8GB DDR4；硬盘：1TB 硬盘；</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显卡：独立显卡；</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内置千兆网卡；</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配套：USB键盘、USB鼠标</w:t>
            </w:r>
          </w:p>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采用嵌入式键盘，自带4寸显示触摸屏，具备放音功能，无需外接音箱即可出音，支持外接3.5mm耳机。</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乘务培训终端</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多岗位联动驾驶系统</w:t>
            </w:r>
          </w:p>
          <w:p>
            <w:pPr>
              <w:pStyle w:val="174"/>
              <w:adjustRightInd w:val="0"/>
              <w:snapToGrid w:val="0"/>
              <w:spacing w:line="24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驾驶仿真软件将实体驾驶台虚拟化，部署于触摸屏操作，包含司控器、牵引、制动功能的操作按钮与转换开关、指示显示灯等。</w:t>
            </w:r>
            <w:r>
              <w:rPr>
                <w:rFonts w:hint="eastAsia" w:ascii="宋体" w:hAnsi="宋体" w:eastAsia="宋体" w:cs="宋体"/>
                <w:color w:val="auto"/>
                <w:sz w:val="24"/>
                <w:szCs w:val="24"/>
                <w:highlight w:val="none"/>
                <w:lang w:val="en-US" w:eastAsia="zh-CN"/>
              </w:rPr>
              <w:t>学员可操作该终端体验列车驾驶的流程。</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逻辑内核涵盖司机日常驾驶作业的标准流程，导入车辆物理模型与线路数据，驾驶感接近实体车辆。集成三维模拟驾驶场景，可进行常规的车辆控制与驾驶训练。</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CPU：英特尔® 酷睿 i7；</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内存：8GB DDR4；硬盘：1TB  SATA硬盘；</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显卡：独立显卡，独立显存4G；</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内置千兆网卡；</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电源：不小于300W；</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配套：USB键盘、USB鼠标；</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操作系统：win 7 64位旗舰版。</w:t>
            </w:r>
          </w:p>
        </w:tc>
        <w:tc>
          <w:tcPr>
            <w:tcW w:w="761" w:type="dxa"/>
            <w:noWrap/>
            <w:vAlign w:val="center"/>
          </w:tcPr>
          <w:p>
            <w:pPr>
              <w:pStyle w:val="174"/>
              <w:adjustRightInd w:val="0"/>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信号培训终端</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多岗位联动三维电子沙盘系统平台</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计算机技术构建三维数字化电子沙盘，提供站台视角、正线轨道视角，通过场景漫游实现对线路信号设备进行认知与学习，通过情景模拟实现对行车调度的教学以及过程中不同突发情况的应急处理实训演练。电子沙盘上地铁线路车站的站台分别有侧式站台、岛式站台。与多岗位ATS系统状态同步。</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Intel酷睿i7处理器；</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内存：8GB DDR4；硬盘：1TB 硬盘；</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显卡：独立显卡；</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内置千兆网卡；</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配套：USB键盘、USB鼠标</w:t>
            </w:r>
          </w:p>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采用嵌入式键盘，自带4寸显示触摸屏，具备放音功能，无需外接音箱即可出音，支持外接3.5mm耳机。</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行调培训终端</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多岗位联动信号系统平台</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系统平台可实现学员自主课程设计实验功能，通过DCT数据组态工具软件实现图形化线路的设计和数据配置功能，学生可基于平台图元化绘制线路，平台具备道岔、信号机、杂项设备、区段的选择和绘制功能，并可对设备进行属性编辑。辅助学生使用并熟悉配置站场数据的流程，搭建一条完整的线路数据，使学生能够有效地了解底层信号数据的相互关系。具备进路编辑、关联关系编辑和数据导出的功能。</w:t>
            </w:r>
          </w:p>
          <w:p>
            <w:pPr>
              <w:pStyle w:val="174"/>
              <w:adjustRightInd w:val="0"/>
              <w:snapToGrid w:val="0"/>
              <w:spacing w:line="24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学员通过操作行调培训终端可进行监控线路设备、时刻表上传、编辑派班计划、排列进路等操作。关键线路数据与信号培训终端同步。</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Intel酷睿i7处理器；</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内存：8GB DDR4；硬盘：1TB 硬盘；</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显卡：独立显卡；</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内置千兆网卡；</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配套：USB键盘、USB鼠标</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采用嵌入式键盘，自带4寸显示触摸屏，具备放音功能，无需外接音箱即可出音，支持外接3.5mm耳机。</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教师机座椅</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产品尺寸（cm)65.5*65.5*125</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产品承重量（kg）110</w:t>
            </w:r>
          </w:p>
          <w:p>
            <w:pPr>
              <w:pStyle w:val="174"/>
              <w:adjustRightInd w:val="0"/>
              <w:snapToGrid w:val="0"/>
              <w:spacing w:line="240" w:lineRule="auto"/>
              <w:jc w:val="left"/>
              <w:rPr>
                <w:rFonts w:hint="default" w:ascii="宋体" w:hAnsi="宋体" w:eastAsia="宋体" w:cs="宋体"/>
                <w:color w:val="auto"/>
                <w:sz w:val="24"/>
                <w:szCs w:val="24"/>
                <w:highlight w:val="none"/>
                <w:lang w:val="en-US" w:eastAsia="zh-CN"/>
              </w:rPr>
            </w:pPr>
            <w:r>
              <w:rPr>
                <w:rFonts w:hint="eastAsia" w:ascii="Tahoma" w:hAnsi="Tahoma" w:eastAsia="Tahoma" w:cs="Tahoma"/>
                <w:i w:val="0"/>
                <w:caps w:val="0"/>
                <w:color w:val="auto"/>
                <w:spacing w:val="0"/>
                <w:sz w:val="16"/>
                <w:szCs w:val="16"/>
                <w:highlight w:val="none"/>
                <w:u w:val="none"/>
              </w:rPr>
              <w:drawing>
                <wp:anchor distT="0" distB="0" distL="114300" distR="114300" simplePos="0" relativeHeight="251659264" behindDoc="0" locked="0" layoutInCell="1" allowOverlap="1">
                  <wp:simplePos x="0" y="0"/>
                  <wp:positionH relativeFrom="column">
                    <wp:posOffset>25400</wp:posOffset>
                  </wp:positionH>
                  <wp:positionV relativeFrom="paragraph">
                    <wp:posOffset>234950</wp:posOffset>
                  </wp:positionV>
                  <wp:extent cx="831215" cy="1184275"/>
                  <wp:effectExtent l="0" t="0" r="6985" b="4445"/>
                  <wp:wrapTopAndBottom/>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27"/>
                          <a:srcRect l="21557" t="26745" r="24701" b="9967"/>
                          <a:stretch>
                            <a:fillRect/>
                          </a:stretch>
                        </pic:blipFill>
                        <pic:spPr>
                          <a:xfrm>
                            <a:off x="0" y="0"/>
                            <a:ext cx="831215" cy="1184275"/>
                          </a:xfrm>
                          <a:prstGeom prst="rect">
                            <a:avLst/>
                          </a:prstGeom>
                          <a:noFill/>
                          <a:ln w="9525">
                            <a:noFill/>
                          </a:ln>
                        </pic:spPr>
                      </pic:pic>
                    </a:graphicData>
                  </a:graphic>
                </wp:anchor>
              </w:drawing>
            </w:r>
            <w:r>
              <w:rPr>
                <w:rFonts w:hint="eastAsia" w:ascii="宋体" w:hAnsi="宋体" w:eastAsia="宋体" w:cs="宋体"/>
                <w:color w:val="auto"/>
                <w:sz w:val="24"/>
                <w:szCs w:val="24"/>
                <w:highlight w:val="none"/>
                <w:lang w:val="en-US" w:eastAsia="zh-CN"/>
              </w:rPr>
              <w:t>参考图片：</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教师机工作台</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实木办公班台，</w:t>
            </w:r>
            <w:r>
              <w:rPr>
                <w:rFonts w:hint="eastAsia" w:ascii="宋体" w:hAnsi="宋体" w:eastAsia="宋体" w:cs="宋体"/>
                <w:color w:val="auto"/>
                <w:sz w:val="24"/>
                <w:szCs w:val="24"/>
                <w:highlight w:val="none"/>
              </w:rPr>
              <w:t>产品尺寸</w:t>
            </w:r>
            <w:r>
              <w:rPr>
                <w:rFonts w:hint="eastAsia" w:ascii="宋体" w:hAnsi="宋体" w:eastAsia="宋体" w:cs="宋体"/>
                <w:color w:val="auto"/>
                <w:sz w:val="24"/>
                <w:szCs w:val="24"/>
                <w:highlight w:val="none"/>
                <w:lang w:val="en-US" w:eastAsia="zh-CN"/>
              </w:rPr>
              <w:t>不小于</w:t>
            </w:r>
            <w:r>
              <w:rPr>
                <w:rFonts w:hint="eastAsia" w:ascii="宋体" w:hAnsi="宋体" w:eastAsia="宋体" w:cs="宋体"/>
                <w:color w:val="auto"/>
                <w:sz w:val="24"/>
                <w:szCs w:val="24"/>
                <w:highlight w:val="none"/>
              </w:rPr>
              <w:t>（cm)</w:t>
            </w:r>
            <w:r>
              <w:rPr>
                <w:rFonts w:hint="eastAsia" w:ascii="宋体" w:hAnsi="宋体" w:eastAsia="宋体" w:cs="宋体"/>
                <w:color w:val="auto"/>
                <w:sz w:val="24"/>
                <w:szCs w:val="24"/>
                <w:highlight w:val="none"/>
                <w:lang w:val="en-US" w:eastAsia="zh-CN"/>
              </w:rPr>
              <w:t>宽80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高75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长</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50。</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参考图片：</w:t>
            </w:r>
          </w:p>
          <w:p>
            <w:pPr>
              <w:rPr>
                <w:rFonts w:hint="default"/>
                <w:color w:val="auto"/>
                <w:highlight w:val="none"/>
                <w:lang w:val="en-US"/>
              </w:rPr>
            </w:pPr>
            <w:r>
              <w:rPr>
                <w:rFonts w:hint="eastAsia" w:ascii="Tahoma" w:hAnsi="Tahoma" w:eastAsia="Tahoma" w:cs="Tahoma"/>
                <w:i w:val="0"/>
                <w:caps w:val="0"/>
                <w:color w:val="auto"/>
                <w:spacing w:val="0"/>
                <w:sz w:val="16"/>
                <w:szCs w:val="16"/>
                <w:highlight w:val="none"/>
                <w:u w:val="none"/>
              </w:rPr>
              <w:drawing>
                <wp:inline distT="0" distB="0" distL="114300" distR="114300">
                  <wp:extent cx="2165350" cy="1329055"/>
                  <wp:effectExtent l="0" t="0" r="13970" b="12065"/>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28"/>
                          <a:srcRect l="3684" t="80634" r="50794" b="2364"/>
                          <a:stretch>
                            <a:fillRect/>
                          </a:stretch>
                        </pic:blipFill>
                        <pic:spPr>
                          <a:xfrm>
                            <a:off x="0" y="0"/>
                            <a:ext cx="2165350" cy="1329055"/>
                          </a:xfrm>
                          <a:prstGeom prst="rect">
                            <a:avLst/>
                          </a:prstGeom>
                          <a:noFill/>
                          <a:ln w="9525">
                            <a:noFill/>
                          </a:ln>
                        </pic:spPr>
                      </pic:pic>
                    </a:graphicData>
                  </a:graphic>
                </wp:inline>
              </w:drawing>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司乘培训终端</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面板类型 ADS TFT面板</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屏幕尺寸 21.5"</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最佳分辨率 1920 x 1080</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亮度 250 cd/m2（典型）</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对比度 1000:1（典型）</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动态对比度 DCR 5000W：1</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可视角度（水平/垂直） 水平：178度；垂直：178 度 (CR&gt;10)</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反应时间 5ms</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点距 0.24825mm</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表面涂层 7H硬度玻璃</w:t>
            </w:r>
          </w:p>
          <w:p>
            <w:pPr>
              <w:pStyle w:val="174"/>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触摸屏 十点电容触摸</w:t>
            </w:r>
          </w:p>
          <w:p>
            <w:pPr>
              <w:pStyle w:val="174"/>
              <w:adjustRightInd w:val="0"/>
              <w:snapToGrid w:val="0"/>
              <w:spacing w:line="240" w:lineRule="auto"/>
              <w:jc w:val="left"/>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安装有通过司乘培训软件，学员可进行城轨的模拟驾驶实训。</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显示屏</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27吋显示器</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网络机柜</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网络机柜，不低于以下配置：</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类型：网络机柜；</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容量：42U。</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实训室整体布线等配线设施。</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智能教学黑板</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1.产品整体尺寸：宽：4024mm ，高：1224mm ，厚：90mm。模块化设计，壁挂式安装，拆卸方便。触摸区域为86寸。</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2：采用工业级A规液晶面板，1080P高清显示，对比度：6000:1，色温：10000K，亮度：480cd/㎡，响应速度：8ms，单屏物理分辨率：3840*2160（4K显示）；可视角度：（水平/垂直)：178°，液晶屏使用寿命大于50000小时</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3：内置音频喇叭：2*10w，控制接口：RS232*1，外部接口：HDMI*1</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4：产品采用国内最先进的纳米电容触控技术，手指轻触式多点（不小于10点触控）互动体验，满足连接 Windows 操作系统（Win 7、Win8专业版 旗舰版）电脑外部设备时正常无障碍使用</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5：OPS架构，数据USB*4，处理器：Intel Corei5处理器，内存：8G  ，硬盘：128G-SSD 固态硬盘，内置 WiFi：IEEE 802.11n 标准，保证足够的信号强度;内置网卡：10M/100M/1000M,RJ45*1，自带window7旗舰版系统。</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ISCS实时服务器系统</w:t>
            </w:r>
          </w:p>
        </w:tc>
        <w:tc>
          <w:tcPr>
            <w:tcW w:w="5913" w:type="dxa"/>
            <w:gridSpan w:val="2"/>
            <w:noWrap/>
            <w:vAlign w:val="center"/>
          </w:tcPr>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配</w:t>
            </w:r>
            <w:r>
              <w:rPr>
                <w:rFonts w:hint="eastAsia" w:ascii="宋体" w:hAnsi="宋体" w:eastAsia="宋体" w:cs="宋体"/>
                <w:color w:val="auto"/>
                <w:sz w:val="24"/>
                <w:szCs w:val="24"/>
                <w:highlight w:val="none"/>
              </w:rPr>
              <w:t>真实地铁综合监控服务器系统软硬件，由机架式服务器和综合监控服务器软件组成，操作系统：linux，</w:t>
            </w:r>
            <w:r>
              <w:rPr>
                <w:rFonts w:hint="eastAsia" w:ascii="宋体" w:hAnsi="宋体" w:eastAsia="宋体" w:cs="宋体"/>
                <w:color w:val="auto"/>
                <w:kern w:val="2"/>
                <w:sz w:val="24"/>
                <w:szCs w:val="24"/>
                <w:highlight w:val="none"/>
                <w:lang w:val="en-US" w:eastAsia="zh-CN" w:bidi="ar-SA"/>
              </w:rPr>
              <w:t>现场验证真实的设备和系统架构，验证内容：1、实时服务器只安装</w:t>
            </w:r>
            <w:r>
              <w:rPr>
                <w:rFonts w:hint="eastAsia" w:ascii="宋体" w:hAnsi="宋体" w:eastAsia="宋体" w:cs="宋体"/>
                <w:color w:val="auto"/>
                <w:sz w:val="24"/>
                <w:szCs w:val="24"/>
                <w:highlight w:val="none"/>
              </w:rPr>
              <w:t>linux</w:t>
            </w:r>
            <w:r>
              <w:rPr>
                <w:rFonts w:hint="eastAsia" w:ascii="宋体" w:hAnsi="宋体" w:eastAsia="宋体" w:cs="宋体"/>
                <w:color w:val="auto"/>
                <w:sz w:val="24"/>
                <w:szCs w:val="24"/>
                <w:highlight w:val="none"/>
                <w:lang w:val="en-US" w:eastAsia="zh-CN"/>
              </w:rPr>
              <w:t>操作系统，别无其他系统和软件。2、服务器开启时，综合监控系统可用户登陆，正常运行。3、关闭服务器后，综合监控系统无法登出，出现报警提醒，无法正常运行</w:t>
            </w:r>
            <w:r>
              <w:rPr>
                <w:rFonts w:hint="eastAsia" w:ascii="宋体" w:hAnsi="宋体" w:eastAsia="宋体" w:cs="宋体"/>
                <w:color w:val="auto"/>
                <w:kern w:val="2"/>
                <w:sz w:val="24"/>
                <w:szCs w:val="24"/>
                <w:highlight w:val="none"/>
                <w:lang w:val="en-US" w:eastAsia="zh-CN" w:bidi="ar-SA"/>
              </w:rPr>
              <w:t>。</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机架式服务器硬件性能：</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芯片组：英特尔C610系列</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处理器：至强Xeon-E5系列，六核12线程，主频2.4GHZ</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内存：62G</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硬盘：2T</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网卡：1个千兆四端口5720网卡</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阵列卡：智能PERCH330或730阵列卡</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电源可扩展冗余</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带远程管理卡</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综合监控服务器软件性能：</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每个服务器集群支持255个以上客户端的应用</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综合监控系统提供HMI管理、权限管理、配置服务、接口管理、报表服务、数据库服务、报警服务、控制服务、计算服务、日志服务等系统功能。</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FEP 前置处理器系统</w:t>
            </w:r>
          </w:p>
        </w:tc>
        <w:tc>
          <w:tcPr>
            <w:tcW w:w="5913" w:type="dxa"/>
            <w:gridSpan w:val="2"/>
            <w:noWrap/>
            <w:vAlign w:val="center"/>
          </w:tcPr>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真实地铁FEP系统，应用于真实地铁项目，</w:t>
            </w:r>
            <w:r>
              <w:rPr>
                <w:rFonts w:hint="eastAsia" w:ascii="宋体" w:hAnsi="宋体" w:eastAsia="宋体" w:cs="宋体"/>
                <w:color w:val="auto"/>
                <w:kern w:val="2"/>
                <w:sz w:val="24"/>
                <w:szCs w:val="24"/>
                <w:highlight w:val="none"/>
                <w:lang w:val="en-US" w:eastAsia="zh-CN" w:bidi="ar-SA"/>
              </w:rPr>
              <w:t>现场验证真实的设备和系统架构。</w:t>
            </w:r>
            <w:r>
              <w:rPr>
                <w:rFonts w:hint="eastAsia" w:ascii="宋体" w:hAnsi="宋体" w:eastAsia="宋体" w:cs="宋体"/>
                <w:color w:val="auto"/>
                <w:sz w:val="24"/>
                <w:szCs w:val="24"/>
                <w:highlight w:val="none"/>
                <w:lang w:val="zh-CN"/>
              </w:rPr>
              <w:t>FEP用于管理ISCS与各被集成和互联系统的接口，具有转换各种硬件接口、软件协议的能力，同时能有效地把ISCS与各被集成和互联系统的数据进行隔离。</w:t>
            </w:r>
            <w:r>
              <w:rPr>
                <w:rFonts w:hint="eastAsia" w:ascii="宋体" w:hAnsi="宋体" w:eastAsia="宋体" w:cs="宋体"/>
                <w:color w:val="auto"/>
                <w:kern w:val="2"/>
                <w:sz w:val="24"/>
                <w:szCs w:val="24"/>
                <w:highlight w:val="none"/>
                <w:lang w:val="en-US" w:eastAsia="zh-CN" w:bidi="ar-SA"/>
              </w:rPr>
              <w:t>验证内容：1、FEP只安装</w:t>
            </w:r>
            <w:r>
              <w:rPr>
                <w:rFonts w:hint="eastAsia" w:ascii="宋体" w:hAnsi="宋体" w:eastAsia="宋体" w:cs="宋体"/>
                <w:color w:val="auto"/>
                <w:sz w:val="24"/>
                <w:szCs w:val="24"/>
                <w:highlight w:val="none"/>
              </w:rPr>
              <w:t>linux或UNIX</w:t>
            </w:r>
            <w:r>
              <w:rPr>
                <w:rFonts w:hint="eastAsia" w:ascii="宋体" w:hAnsi="宋体" w:eastAsia="宋体" w:cs="宋体"/>
                <w:color w:val="auto"/>
                <w:sz w:val="24"/>
                <w:szCs w:val="24"/>
                <w:highlight w:val="none"/>
                <w:lang w:val="en-US" w:eastAsia="zh-CN"/>
              </w:rPr>
              <w:t>操作系统，别无其他系统和软件。2、FEP开启时，综合监控系统可以和外部进行数据通讯。3关闭FEP后，综合监控系统无法和外部数据通讯</w:t>
            </w:r>
            <w:r>
              <w:rPr>
                <w:rFonts w:hint="eastAsia" w:ascii="宋体" w:hAnsi="宋体" w:eastAsia="宋体" w:cs="宋体"/>
                <w:color w:val="auto"/>
                <w:kern w:val="2"/>
                <w:sz w:val="24"/>
                <w:szCs w:val="24"/>
                <w:highlight w:val="none"/>
                <w:lang w:val="en-US" w:eastAsia="zh-CN" w:bidi="ar-SA"/>
              </w:rPr>
              <w:t>。</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FEP</w:t>
            </w:r>
            <w:r>
              <w:rPr>
                <w:rFonts w:hint="eastAsia" w:ascii="宋体" w:hAnsi="宋体" w:eastAsia="宋体" w:cs="宋体"/>
                <w:color w:val="auto"/>
                <w:sz w:val="24"/>
                <w:szCs w:val="24"/>
                <w:highlight w:val="none"/>
              </w:rPr>
              <w:t>前置处理器硬件性能</w:t>
            </w:r>
            <w:r>
              <w:rPr>
                <w:rFonts w:hint="eastAsia" w:ascii="宋体" w:hAnsi="宋体" w:eastAsia="宋体" w:cs="宋体"/>
                <w:color w:val="auto"/>
                <w:sz w:val="24"/>
                <w:szCs w:val="24"/>
                <w:highlight w:val="none"/>
                <w:lang w:val="zh-CN"/>
              </w:rPr>
              <w:t>：</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FEP为工业级产品，模块化结构，</w:t>
            </w:r>
            <w:r>
              <w:rPr>
                <w:rFonts w:hint="eastAsia" w:ascii="宋体" w:hAnsi="宋体" w:eastAsia="宋体" w:cs="宋体"/>
                <w:color w:val="auto"/>
                <w:sz w:val="24"/>
                <w:szCs w:val="24"/>
                <w:highlight w:val="none"/>
              </w:rPr>
              <w:t>2U机架式设计，</w:t>
            </w:r>
            <w:r>
              <w:rPr>
                <w:rFonts w:hint="eastAsia" w:ascii="宋体" w:hAnsi="宋体" w:eastAsia="宋体" w:cs="宋体"/>
                <w:color w:val="auto"/>
                <w:sz w:val="24"/>
                <w:szCs w:val="24"/>
                <w:highlight w:val="none"/>
                <w:lang w:val="zh-CN"/>
              </w:rPr>
              <w:t>不采用工控机；</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FEP为无硬盘设计，</w:t>
            </w:r>
            <w:r>
              <w:rPr>
                <w:rFonts w:hint="eastAsia" w:ascii="宋体" w:hAnsi="宋体" w:eastAsia="宋体" w:cs="宋体"/>
                <w:color w:val="auto"/>
                <w:sz w:val="24"/>
                <w:szCs w:val="24"/>
                <w:highlight w:val="none"/>
              </w:rPr>
              <w:t>采用工业级DOM电子硬盘；</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FEP采用</w:t>
            </w:r>
            <w:r>
              <w:rPr>
                <w:rFonts w:hint="eastAsia" w:ascii="宋体" w:hAnsi="宋体" w:eastAsia="宋体" w:cs="宋体"/>
                <w:color w:val="auto"/>
                <w:sz w:val="24"/>
                <w:szCs w:val="24"/>
                <w:highlight w:val="none"/>
              </w:rPr>
              <w:t>Linux</w:t>
            </w:r>
            <w:r>
              <w:rPr>
                <w:rFonts w:hint="eastAsia" w:ascii="宋体" w:hAnsi="宋体" w:eastAsia="宋体" w:cs="宋体"/>
                <w:color w:val="auto"/>
                <w:sz w:val="24"/>
                <w:szCs w:val="24"/>
                <w:highlight w:val="none"/>
                <w:lang w:val="zh-CN"/>
              </w:rPr>
              <w:t>操作系统</w:t>
            </w:r>
            <w:r>
              <w:rPr>
                <w:rFonts w:hint="eastAsia" w:ascii="宋体" w:hAnsi="宋体" w:eastAsia="宋体" w:cs="宋体"/>
                <w:color w:val="auto"/>
                <w:sz w:val="24"/>
                <w:szCs w:val="24"/>
                <w:highlight w:val="none"/>
              </w:rPr>
              <w:t>或UNIX操作系统</w:t>
            </w:r>
            <w:r>
              <w:rPr>
                <w:rFonts w:hint="eastAsia" w:ascii="宋体" w:hAnsi="宋体" w:eastAsia="宋体" w:cs="宋体"/>
                <w:color w:val="auto"/>
                <w:sz w:val="24"/>
                <w:szCs w:val="24"/>
                <w:highlight w:val="none"/>
                <w:lang w:val="zh-CN"/>
              </w:rPr>
              <w:t>；</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FEP支持多种协议转换、支持多串口的接口模块；支持网络冗余，2个PCI扩展插槽，用于扩展模块，1个CF卡插槽，用于存储扩展，19英寸2U机架式安装，100/240 VAC电源输入，无风扇设计；内存2GB；硬盘8GB</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FEP可提供6个千兆网口，4个USB端口；</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各功能模块应具有自诊断功能，单点故障时不应影响系统功能；</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val="zh-CN"/>
              </w:rPr>
              <w:t>各种DA扩展模块，包括8口RS-232/422/485串口通信模块、4口10/100 Mbps LAN模块和通用PCI扩展模块；</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报警工具：内置蜂鸣器和RTC（实时时钟），带备份电池；</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自动重启触发器：内置WDT看门狗定时器，支持1-255级时间间隔系统重启设置，可由软件编程。</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FEP软件性能：</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基于嵌入式的系统平台（Linux或UNIX）；</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支持实时变化上送功能，减少网络流量；</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提供实时数据的缓存功能，减少数据丢失；</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提供API接口，支持自定义协议的驱动开发；</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支持40,000点的实时数据容量。</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ISCS历史服务器系统</w:t>
            </w:r>
          </w:p>
        </w:tc>
        <w:tc>
          <w:tcPr>
            <w:tcW w:w="5913" w:type="dxa"/>
            <w:gridSpan w:val="2"/>
            <w:noWrap/>
            <w:vAlign w:val="center"/>
          </w:tcPr>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机架式服务器</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数据库：Oracle数据库</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芯片组:Intel H61芯片组</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处理器：酷睿I3以上</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硬盘：1T</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内存：4G</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系统：windows7 32位旗舰版</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历史服务器软件性能：</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每个服务器集群支持255个以上客户端的应用</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为综合监控系统提供历史数据查询，包含：报表服务、数据库服务、报警服务、控制服务、计算服务、日志服务等系统功能。</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ISCS服务器授权狗</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ISCS系统授权加密狗，一套服务器配套一个</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91"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软件系统</w:t>
            </w:r>
          </w:p>
        </w:tc>
        <w:tc>
          <w:tcPr>
            <w:tcW w:w="965"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多岗位联动信号系统平台</w:t>
            </w: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DCT数据组态工具</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系统平台可实现学员自主课程设计实验功能，通过DCT数据组态工具软件实现图形化线路的设计和数据配置功能，学生可基于平台图元化绘制线路，平台具备道岔、信号机、杂项设备、区段的选择和绘制功能，并可对设备进行属性编辑。辅助学生使用并熟悉配置站场数据的流程，搭建一条完整的线路数据，使学生能够有效地了解底层信号数据的相互关系。具备进路编辑、关联关系编辑和数据导出的功能。</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1、可通过图形化工具便捷的绘制两站一区间线路，一个车站为岛式站台，另一个车站为侧式站台；</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2、线路包含交叉渡线区段、渡线区段和折返区段；</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3、信号设备图元（信号机、道岔）的类型选择、位置调整；</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4、信号设备图元的属性修改，例如信号机设备类型的选择、信号机灯位显示选择、道岔定位线段类型的选择；</w:t>
            </w:r>
          </w:p>
          <w:p>
            <w:pPr>
              <w:pStyle w:val="174"/>
              <w:adjustRightInd w:val="0"/>
              <w:snapToGri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5、进路逻辑的编辑和校验。</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ATS数据生成工具</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利用DCT导出的线路数据，可以通过ATS系统数据生成工具来校验并完成车站级ATS、中心级ATS的界面生成所需的底层数据。</w:t>
            </w:r>
          </w:p>
          <w:p>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利用DCT导出的线路数据来加载出线路编辑器所需要的格式文件，再通过“生成进路”、“导出车站数据”和“导出联锁关系”等功能，转换成联锁集中站所需要的底层数据</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ATS系统线路编辑器</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进行联锁集中车站的界面编辑和调整、停车场（或车辆段）的界面编辑和调整，以及中心级ATS-OCC的界面编辑和调整。可通过ATS数据生成工具生成的数据快速生成ATS软件人机界面功能，方便学员开展自主DIY课程设计实验功能。</w:t>
            </w:r>
          </w:p>
          <w:p>
            <w:pPr>
              <w:adjustRightInd w:val="0"/>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w:t>
            </w:r>
          </w:p>
          <w:p>
            <w:pPr>
              <w:adjustRightInd w:val="0"/>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1、基于数据生成工具导出的XX车站一组csv数据文件，生成车站级HMI界面；</w:t>
            </w:r>
          </w:p>
          <w:p>
            <w:pPr>
              <w:adjustRightInd w:val="0"/>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2、基于数据生成工具导出的多个车站csv数据文件，组合生成中心级HMI界面；</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3、可进行区段上列车图元的添加和位置编辑。</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集中站ATS系统</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车站值班员工作站的控制功能，接口到OCC系统。</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中心级ATS系统</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真实地铁系统，软件界面功能和底层仿真数据与真实地铁完全一致，并能够与ATS教学考核软件互联，实现故障、应急培训和教学管理功能。系统符合轨道交通SIL安全等级要求</w:t>
            </w:r>
            <w:r>
              <w:rPr>
                <w:rFonts w:hint="eastAsia" w:ascii="宋体" w:hAnsi="宋体" w:eastAsia="宋体" w:cs="宋体"/>
                <w:color w:val="auto"/>
                <w:sz w:val="24"/>
                <w:szCs w:val="24"/>
                <w:highlight w:val="none"/>
                <w:lang w:val="en-US" w:eastAsia="zh-CN"/>
              </w:rPr>
              <w:t>2级以上</w:t>
            </w:r>
            <w:r>
              <w:rPr>
                <w:rFonts w:hint="eastAsia" w:ascii="宋体" w:hAnsi="宋体" w:eastAsia="宋体" w:cs="宋体"/>
                <w:color w:val="auto"/>
                <w:sz w:val="24"/>
                <w:szCs w:val="24"/>
                <w:highlight w:val="none"/>
              </w:rPr>
              <w:t>的系统</w:t>
            </w:r>
            <w:r>
              <w:rPr>
                <w:rFonts w:hint="eastAsia" w:ascii="宋体" w:hAnsi="宋体" w:eastAsia="宋体" w:cs="宋体"/>
                <w:b/>
                <w:bCs/>
                <w:color w:val="auto"/>
                <w:kern w:val="2"/>
                <w:sz w:val="24"/>
                <w:szCs w:val="24"/>
                <w:highlight w:val="none"/>
                <w:lang w:val="en-US" w:eastAsia="zh-CN" w:bidi="ar-SA"/>
              </w:rPr>
              <w:t>。</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车辆段值班员系统</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实现在车辆段典型发车、接车和调车日常工作及常见故障的，具备与控制中心ATS工作站和车站值班员工作站的功能接口，以便实现整体运营过程的模拟。</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CBTC仿真系统</w:t>
            </w:r>
          </w:p>
        </w:tc>
        <w:tc>
          <w:tcPr>
            <w:tcW w:w="4953" w:type="dxa"/>
            <w:noWrap/>
            <w:vAlign w:val="center"/>
          </w:tcPr>
          <w:p>
            <w:pPr>
              <w:pStyle w:val="174"/>
              <w:numPr>
                <w:ilvl w:val="0"/>
                <w:numId w:val="6"/>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CBTC系统，搭建完整的CBTC运行集成环境。为各个子系统及CBTC系统提供基础平台。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2、所有运营和非运营列车的车辆信息管理；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3、所有运营和非运营列车的车载功能。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4、CBTC系统能适应不同级别的要求，可提供虚拟硬件平台的纯软件运行环境或真实硬件平台。</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5、产品需基于真实的地铁系统平台和数据开发。</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运行图软件</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系统与中心、车站、车辆段、CBTC和时刻表等系统应是集成在同一个信号系统平台下的不同子系统，界面风格统一。</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离线时刻表</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用于完成时刻表和日历的离线编辑并上传到应用服务器。</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在线时刻表和VR控制软件</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系统与中心、车站、车辆段、CBTC等系统应是集成在同一个信号系统平台下的不同子系统，界面风格统一。</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派班员编辑器</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派班计划人员可以利用派班计划编辑器编制派班计划，将车次号与列车车组号对应起来。</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系统与中心、车站、车辆段、CBTC和时刻表等系统应是集成在同一个信号系统平台下的不同子系统，界面风格统一。</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HMI人机界面及功能：</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下载时刻表</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编辑列车PID、PVID、TripID、发车点、发车时间、列车所在股道号</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自动生成PVID</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上传派班计划</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保存派班计划</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打开一份新的派班计划；</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提供派班计划的打印功能。</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历史记录回放软件</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系统与中心、车站、车辆段、CBTC、和时刻表等系统应是集成在同一个信号系统平台下的不同子系统，界面风格统一。</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HMI人机界面及功能：</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可在指定时间内从系统的角度重现并回放传输系统事件和设备状态。回放能重现特定时间范围内的界面显示，并在回放文本窗口里显示相匹配的已记录的文本信息。</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多岗位联动三维电子沙盘系统平台</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1、电子沙盘平台</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计算机技术构建三维数字化电子沙盘，提供站台视角、正线轨道视角，通过场景漫游实现对线路信号设备进行认知与学习，通过情景模拟实现对行车调度的教学以及过程中不同突发情况的应急处理实训演练。电子沙盘上地铁线路车站的站台分别有侧式站台、岛式站台。与多岗位ATS系统状态同步。</w:t>
            </w:r>
          </w:p>
        </w:tc>
        <w:tc>
          <w:tcPr>
            <w:tcW w:w="761"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2、基础列车运行模块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列车RM/ATP/ATO/ATB的驾驶模式、符合真实地铁行车逻辑的按钮、操作方式以及操作顺序、列车出入车辆段，站停上下客，列车各视角查看等功能。以射线碰撞检测（RayCast）等方法实现模拟真实列车各个功能按钮如：升降弓按钮，高速断路器等。</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3、车站线路查看模块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全线路车站站台以及所有轨旁设备，每个站台安排乘客与屏蔽门开关，设置各个站台可查看。模型按照真实地铁走向，利用三维拼接完成；在Unity中以Curvy Spline完成对线路走线的绘制，数据量庞大包括33000多个点位。</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4、线路轨旁设备模块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信号灯与道岔，信号灯异步接收ATS信号可实现任意信号灯变化，道岔异步接受命令后可实现道岔正位反位。运用数据中心以及UDP完成数据交互与传输，减小软件之间的延迟时间，摄像头第一时间识别到变化的信号设备并将其展现给使用者。</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现场演示：操作ATS工作站随机操作任意数量的信号灯，三维沙盘的相应信号灯会同步变化。可控信号灯数量不低于50个。可控道岔数量不低于30个。</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5、单机应急演练模块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包括岩石挡道，行人当道，水淹道岔等等十几个单机应急演练，列车驾驶员遇到以上突发情况时的反应与操作，其中加入了对其行为操作的考核，内置评审后台对于操作者的每一次操作进行记录与评分。</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6、联合实训演练模块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隧道火灾、车站火灾、大客流等联合实训场景，包括五机七显岗位组合形式。软件之间通过学生机实现通讯，有教师机来记录与评分操作者的操作情况并给出相应分数，各个场景按照真实地铁紧急事故预案去处理事件，将其用于对学生的考核。</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现场演示：站厅火灾应急预案。预案由独立的综合监控工作站、信号系统工作站、三维车站工作站、三维沙盘工作站、模拟驾驶工作站配合完成。</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教师机下达站厅火灾考核后，各工作初始状态为正常工况；</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10秒后自动触发火灾突发情况，三维车站工位人员发现火情后，通知车控室值班人员；</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独立的综合监控系统工作站采集到火灾报警信息，触发火灾模式；</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在三维车站内的风机风阀、电扶梯、站台乘客信息系统、闸机接收综合监控的控制，状态与综合监控同步，站台乘客信息系统发送火灾命令，闸机处于常开状态；</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设备变化状态在三维车站的状态屏幕中显示；</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在三维车站内发送报告给控制中心；</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独立的控制中心工作站下发调度命令给司机，安排列车跳停火灾车站；</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独立的司机工作站接受命令后操作列车跳停通过火灾车站；</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考核结束教师机收到全部工位的操作结果，输出考核结果报表，报表需含得分、错误步骤分析、分步骤得分、参与考核小组成员；</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另提供突发大客流应急预案内容电子存档备案；</w:t>
            </w:r>
          </w:p>
          <w:p>
            <w:pPr>
              <w:pStyle w:val="174"/>
              <w:numPr>
                <w:ilvl w:val="0"/>
                <w:numId w:val="7"/>
              </w:num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另提供区间火灾预案内容电子存档备案。</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7、小沙盘功能模块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实时展现当前线路上的车辆运行情况，包括车辆车次、运行方向、车辆数量、到站情况等，以区段来定位车辆，将小沙盘上的车辆图标与实体模型车辆在线路上的运行位置信息相连，并通知行调。</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投标文件提供应急演练系统相关软件著作权证书复印件。</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多岗位联动驾驶系统</w:t>
            </w: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驾驶仿真软件</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驾驶仿真软件将实体驾驶台虚拟化，部署于触摸屏操作，包含司控器、牵引、制动功能的操作按钮与转换开关、指示显示灯等。</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逻辑内核涵盖司机日常驾驶作业的标准流程，导入车辆物理模型与线路数据，驾驶感接近实体车辆。集成三维模拟驾驶场景，可进行常规的车辆控制与驾驶训练。</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w:t>
            </w:r>
          </w:p>
          <w:p>
            <w:pPr>
              <w:numPr>
                <w:ilvl w:val="0"/>
                <w:numId w:val="8"/>
              </w:num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一机双显硬件架构，其中触摸屏部署驾驶操作界面，另一屏显示视景画面；</w:t>
            </w:r>
          </w:p>
          <w:p>
            <w:pPr>
              <w:numPr>
                <w:ilvl w:val="0"/>
                <w:numId w:val="8"/>
              </w:num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驾驶操作界面包含驾驶台电气按钮开关指示灯等，并集成TOD界面；通过触摸屏操作正确表现司控器机械联锁和警惕开关报警机制；</w:t>
            </w:r>
          </w:p>
          <w:p>
            <w:pPr>
              <w:numPr>
                <w:ilvl w:val="0"/>
                <w:numId w:val="8"/>
              </w:num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2站1区间的正线操作流程，包含列车发车、驾驶模式转换、站停作业等；</w:t>
            </w:r>
          </w:p>
          <w:p>
            <w:pPr>
              <w:numPr>
                <w:ilvl w:val="0"/>
                <w:numId w:val="8"/>
              </w:num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演示与ATS系统联动，实现列车定位与追踪功能。</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数据仿真软件</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作为数据交互的中枢。</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支持ATS相关调度命令，信号设备状态同步与联动控制；</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支持车辆关键数据的同步；</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支持实时车辆追踪功能；</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支持教学扩展功能；</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TOD仿真软件</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列车操作显示器(TOD)是列车操作控制台(驾驶室)的一部分，主要由公共控制区、驾驶界面和系统管理界面组成。提供驾驶员和车载控制系统之间的人机交互界面。 TOD向列车驾驶员提供运行模式，故障，操作等信息。</w:t>
            </w:r>
          </w:p>
          <w:p>
            <w:pPr>
              <w:adjustRightInd w:val="0"/>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符合所接入ATS系统的TOD人机界面技术规格书，可与ATS系统无缝对接。</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车辆HMI仿真软件</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车辆HMI界面是车辆运行时，司机查看车辆状态的主要界面，包含网压、牵引、制动、空调和速度等重要信息。子界面包含运行、车辆状态、空调状态、紧急广播、事件和帮助等界面。</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多岗位联动综合监控系统</w:t>
            </w: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综合监控系统平台</w:t>
            </w:r>
          </w:p>
        </w:tc>
        <w:tc>
          <w:tcPr>
            <w:tcW w:w="4953" w:type="dxa"/>
            <w:noWrap/>
            <w:vAlign w:val="center"/>
          </w:tcPr>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⑴真实地铁系统平台</w:t>
            </w:r>
            <w:r>
              <w:rPr>
                <w:rFonts w:hint="eastAsia" w:ascii="宋体" w:hAnsi="宋体" w:eastAsia="宋体" w:cs="宋体"/>
                <w:color w:val="auto"/>
                <w:sz w:val="24"/>
                <w:szCs w:val="24"/>
                <w:highlight w:val="none"/>
                <w:lang w:eastAsia="zh-CN"/>
              </w:rPr>
              <w:t>，应用于在营线路。</w:t>
            </w:r>
          </w:p>
          <w:p>
            <w:pPr>
              <w:adjustRightInd w:val="0"/>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⑵服务器采用linux系统。</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⑶系统平台包含组态管理软件（VFExplorer）、系统结构组态软件（VFSysBuilder）、VFtimeSync时间同步模块。</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平台支持分布式技术，支持数据及服务1:N冗余，支持Oracle、MySQL、SQLserver等通用的关系型历史库，开放与地铁实际设备接入的接口。系统可集成多个地铁自动化专业子系统，并在统一的集成平台支持下对地铁各专业进行监视、控制和管理，实现各专业系统的信息共享及系统之间的联动控制功能。系统面向的对象为车站的值班站长、值班人员等，系统应满足这些岗位的功能要求。平台特性：安全稳定的C/S架构；支持多任务、多用户、内部通信和前台/后台实时处理能力；符合开放式系统的标准；支持高速的网络通信协议、TCP/IP；支持第三方ActiveX控件；外部接口方式：API/ODBC/OPC提供接口开发的接口，可供第三方开发使用，具有</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车站级平台软件著作权证书的平台，</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color w:val="auto"/>
                <w:sz w:val="24"/>
                <w:szCs w:val="24"/>
                <w:highlight w:val="none"/>
              </w:rPr>
              <w:t>提供证书复印件。</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平台软件应具备权限管理软件、模式工具、联动编辑工具、联动查看工具HMI界面功能，具体演示以下几点功能：</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1、打开联动编辑工具登陆管理员权限；</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2、新建一个运营联动；</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3、添加联动明细；</w:t>
            </w:r>
          </w:p>
          <w:p>
            <w:pPr>
              <w:pStyle w:val="174"/>
              <w:adjustRightInd w:val="0"/>
              <w:snapToGri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4、发布联动。</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ISCS系统</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车站级ISCS系统，具有强大的接口联通功能，取得</w:t>
            </w:r>
            <w:r>
              <w:rPr>
                <w:rFonts w:hint="eastAsia" w:ascii="宋体" w:hAnsi="宋体" w:eastAsia="宋体" w:cs="宋体"/>
                <w:color w:val="auto"/>
                <w:sz w:val="24"/>
                <w:szCs w:val="24"/>
                <w:highlight w:val="none"/>
                <w:lang w:val="en-US" w:eastAsia="zh-CN"/>
              </w:rPr>
              <w:t>相关</w:t>
            </w:r>
            <w:r>
              <w:rPr>
                <w:rFonts w:hint="eastAsia" w:ascii="宋体" w:hAnsi="宋体" w:eastAsia="宋体" w:cs="宋体"/>
                <w:b/>
                <w:bCs/>
                <w:color w:val="auto"/>
                <w:sz w:val="24"/>
                <w:szCs w:val="24"/>
                <w:highlight w:val="none"/>
                <w:lang w:val="en-US" w:eastAsia="zh-CN"/>
              </w:rPr>
              <w:t>轨道交通综合监控</w:t>
            </w:r>
            <w:r>
              <w:rPr>
                <w:rFonts w:hint="eastAsia" w:ascii="宋体" w:hAnsi="宋体" w:eastAsia="宋体" w:cs="宋体"/>
                <w:color w:val="auto"/>
                <w:sz w:val="24"/>
                <w:szCs w:val="24"/>
                <w:highlight w:val="none"/>
              </w:rPr>
              <w:t>通用接口软件著作权，</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color w:val="auto"/>
                <w:sz w:val="24"/>
                <w:szCs w:val="24"/>
                <w:highlight w:val="none"/>
              </w:rPr>
              <w:t>提供证书复印件，提供车站各子系统监控画面和功能，包括BAS、FAS、AFC、PSD、ACS、PIS、SIG、PA、PSCADA、联动控制系统、CCTV、时间表等子系统，还可和三维车站联通</w:t>
            </w:r>
            <w:r>
              <w:rPr>
                <w:rFonts w:hint="eastAsia" w:ascii="宋体" w:hAnsi="宋体" w:eastAsia="宋体" w:cs="宋体"/>
                <w:color w:val="auto"/>
                <w:sz w:val="24"/>
                <w:szCs w:val="24"/>
                <w:highlight w:val="none"/>
                <w:lang w:eastAsia="zh-CN"/>
              </w:rPr>
              <w:t>。</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现场演示三维车站火灾时，综合监控ISCS系统收到火灾报警信号后，综合监控对三维车站虚拟设备的监控，两者是独立的系统，而非三维车站系统内的岗位操作。</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服务器管理软件</w:t>
            </w:r>
          </w:p>
        </w:tc>
        <w:tc>
          <w:tcPr>
            <w:tcW w:w="4953" w:type="dxa"/>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主要用于对服务器及FEP的管理，可以远程操作服务器及FEP的软件，实现管理功能，包括：关闭设备，重启设备，开启所有服务项，关闭所有服务项，切换用户等。</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1、通过输入命令“stop all”远程关闭所有服务项；</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2、通过输入命令“start all”远程开启所有服务项；</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3、通过输入命令“reboot”远程重启服务器；</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4、通过输入命令“poweroff”远程关闭服务器。</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综合监控点表配置工具</w:t>
            </w:r>
          </w:p>
        </w:tc>
        <w:tc>
          <w:tcPr>
            <w:tcW w:w="4953" w:type="dxa"/>
            <w:noWrap/>
            <w:vAlign w:val="center"/>
          </w:tcPr>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真实地铁ISCS软件，综合监控系统所有设备的点表配置工具。</w:t>
            </w:r>
          </w:p>
          <w:p>
            <w:pPr>
              <w:pStyle w:val="174"/>
              <w:tabs>
                <w:tab w:val="left" w:pos="567"/>
              </w:tabs>
              <w:adjustRightInd w:val="0"/>
              <w:snapToGrid w:val="0"/>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同时该工具作为工程组态建模，主要提供设备模板、车站设备、模式配置、时间表、RTU配置、权限配置、区域配置等组态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软件平台具有相关轨道交通综合监控流程图绘制著作权证书，投标文件提供证书复印件</w:t>
            </w:r>
            <w:r>
              <w:rPr>
                <w:rFonts w:hint="eastAsia" w:ascii="宋体" w:hAnsi="宋体" w:eastAsia="宋体" w:cs="宋体"/>
                <w:b/>
                <w:bCs/>
                <w:color w:val="auto"/>
                <w:sz w:val="24"/>
                <w:szCs w:val="24"/>
                <w:highlight w:val="none"/>
              </w:rPr>
              <w:t>。</w:t>
            </w:r>
          </w:p>
          <w:p>
            <w:pPr>
              <w:pStyle w:val="174"/>
              <w:tabs>
                <w:tab w:val="left" w:pos="567"/>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集成在统一的ISCS系统平台下，提供统一风格的人机界面。</w:t>
            </w:r>
          </w:p>
          <w:p>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w:t>
            </w:r>
          </w:p>
          <w:p>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软件应包含设备模板、车站设备、模式配置、时间表、RTU配置、权限配置、区域配置HMI界面功能。并具体演示其中以下几项功能：</w:t>
            </w:r>
          </w:p>
          <w:p>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1、打开已有的模板文件在车站设备下属Z02车站大系统中增加一个新的设备；</w:t>
            </w:r>
          </w:p>
          <w:p>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2、在RTU配置中绑定新增设备到一条链路下面；</w:t>
            </w:r>
          </w:p>
          <w:p>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3、在RTU中配置新绑定设备的协议参数；</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4、点击发布按钮把配置文件发布到实时服务器，FEP，oracle中。</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0"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数据模拟器软件</w:t>
            </w:r>
          </w:p>
        </w:tc>
        <w:tc>
          <w:tcPr>
            <w:tcW w:w="4953" w:type="dxa"/>
            <w:noWrap/>
            <w:vAlign w:val="center"/>
          </w:tcPr>
          <w:p>
            <w:pPr>
              <w:pStyle w:val="174"/>
              <w:adjustRightInd w:val="0"/>
              <w:snapToGrid w:val="0"/>
              <w:spacing w:line="24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数据模拟器软件提供底层的所有虚拟设备数据，所有虚拟数据交至虚拟FEP前置处理器系统处理，完全仿真实际地铁传输构架和过程，以及子系统协议处理方式。</w:t>
            </w:r>
            <w:r>
              <w:rPr>
                <w:rFonts w:hint="eastAsia" w:ascii="宋体" w:hAnsi="宋体" w:eastAsia="宋体" w:cs="宋体"/>
                <w:b/>
                <w:bCs/>
                <w:color w:val="auto"/>
                <w:sz w:val="24"/>
                <w:szCs w:val="24"/>
                <w:highlight w:val="none"/>
                <w:lang w:val="en-US" w:eastAsia="zh-CN"/>
              </w:rPr>
              <w:t>投标文件需提供相关综合监控数据服务软件著作权证书复印件。</w:t>
            </w:r>
          </w:p>
          <w:p>
            <w:pPr>
              <w:adjustRightInd w:val="0"/>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数据通过模拟器软件可以全部进行控制修改模拟现场信号，模拟器可以和第三方软件进行数据连接使第三方软件和综合监控软件数据互通。模拟器修改数据简单方便，现场演示。</w:t>
            </w:r>
          </w:p>
          <w:p>
            <w:pPr>
              <w:adjustRightInd w:val="0"/>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w:t>
            </w:r>
          </w:p>
          <w:p>
            <w:pPr>
              <w:adjustRightInd w:val="0"/>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软件包含导入链路，链路配置，查看链路HMI人机界面功能，具体功能演示：</w:t>
            </w:r>
          </w:p>
          <w:p>
            <w:pPr>
              <w:pStyle w:val="2"/>
              <w:numPr>
                <w:ilvl w:val="0"/>
                <w:numId w:val="9"/>
              </w:numPr>
              <w:snapToGrid w:val="0"/>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点击导入链路按钮导入链路文件；</w:t>
            </w:r>
          </w:p>
          <w:p>
            <w:pPr>
              <w:pStyle w:val="2"/>
              <w:numPr>
                <w:ilvl w:val="0"/>
                <w:numId w:val="9"/>
              </w:numPr>
              <w:snapToGrid w:val="0"/>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点击链路配置配置链路参数；</w:t>
            </w:r>
          </w:p>
          <w:p>
            <w:pPr>
              <w:pStyle w:val="2"/>
              <w:numPr>
                <w:ilvl w:val="0"/>
                <w:numId w:val="9"/>
              </w:numPr>
              <w:snapToGrid w:val="0"/>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点击查看链路查看设备状态，通过搜索功能查找设备；</w:t>
            </w:r>
          </w:p>
          <w:p>
            <w:pPr>
              <w:pStyle w:val="2"/>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对搜索到的设备进行人工置值修改设备状态。</w:t>
            </w:r>
          </w:p>
        </w:tc>
        <w:tc>
          <w:tcPr>
            <w:tcW w:w="761" w:type="dxa"/>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多岗位联动三维车站系统平台</w:t>
            </w: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1、三维车站平台</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虚拟仿真技术构建三维数字化地铁车站，作为演练平台。平台提供场景漫游、标注讲解、设备交互操作、各岗位角色扮演、各种应急演练场景的还原等功能，可实现单专业单岗位的独立交互和场景教学，也可实现多岗位多专业的综合场景演练教学。</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应急演练模块里包含了多种真实地铁应急演练实训，为学员提供了真实的地铁应急演练的场景、操作培训和教学。</w:t>
            </w:r>
          </w:p>
        </w:tc>
        <w:tc>
          <w:tcPr>
            <w:tcW w:w="761" w:type="dxa"/>
            <w:vMerge w:val="restart"/>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2、三维车站应急演练模块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照真实车站应急演练案例进行应急演练编写，对实物车站进行真实建模，使用者通过该模块操作并切换不同的车站工作人员在车站发生突发事故时进行应急处置，学习掌握作为一名车站工作人员应如何在车站突发事故时使用相应的事故处理方法。</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3、三维车站虚实联动应急演练模块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通过与综合监控进行通信监控实物设备的状况，在进行应急演练时涉及到部分实物设施的操作时可直接操作实物设备完成对应事件。</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4、通讯模块</w:t>
            </w:r>
          </w:p>
          <w:p>
            <w:pPr>
              <w:pStyle w:val="174"/>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可与综合监控系统、信号系统、教学管理系统、三维沙盘系统进行联合通讯</w:t>
            </w:r>
            <w:r>
              <w:rPr>
                <w:rFonts w:hint="eastAsia" w:ascii="宋体" w:hAnsi="宋体" w:eastAsia="宋体" w:cs="宋体"/>
                <w:color w:val="auto"/>
                <w:sz w:val="24"/>
                <w:szCs w:val="24"/>
                <w:highlight w:val="none"/>
                <w:lang w:eastAsia="zh-CN"/>
              </w:rPr>
              <w:t>。</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现场演示：三维车站在站厅火灾紧急演练过程中，和教师机系统的考题下发、答卷提交、考核分值等内容。</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5、车站漫游模块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使用者操作工作人员在真实建模的车站模型中自由移动，点击对应的车站设备获取设备信息。通过该模块可熟悉了解车站布局与车站常见设备的信息。</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6、设备介绍模块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可通过该模块迅速认识车站各设备。能在车站中点选相应车站设备，进行设备认知教学。</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9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965"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c>
          <w:tcPr>
            <w:tcW w:w="5913" w:type="dxa"/>
            <w:gridSpan w:val="2"/>
            <w:noWrap/>
            <w:vAlign w:val="center"/>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7、操作助手模块</w:t>
            </w:r>
          </w:p>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用户能在软件中通过该模块学习三维车站的各项操作，展开无纸化教学。</w:t>
            </w:r>
          </w:p>
          <w:p>
            <w:pPr>
              <w:adjustRightInd w:val="0"/>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现场演示：通过操作触摸屏一键开启教学软件和自定义启动功能。</w:t>
            </w:r>
          </w:p>
        </w:tc>
        <w:tc>
          <w:tcPr>
            <w:tcW w:w="761" w:type="dxa"/>
            <w:vMerge w:val="continue"/>
            <w:noWrap/>
            <w:vAlign w:val="center"/>
          </w:tcPr>
          <w:p>
            <w:pPr>
              <w:pStyle w:val="174"/>
              <w:adjustRightInd w:val="0"/>
              <w:snapToGrid w:val="0"/>
              <w:spacing w:line="240" w:lineRule="auto"/>
              <w:rPr>
                <w:rFonts w:hint="eastAsia" w:ascii="宋体" w:hAnsi="宋体" w:eastAsia="宋体" w:cs="宋体"/>
                <w:color w:val="auto"/>
                <w:sz w:val="24"/>
                <w:szCs w:val="24"/>
                <w:highlight w:val="none"/>
              </w:rPr>
            </w:pPr>
          </w:p>
        </w:tc>
      </w:tr>
    </w:tbl>
    <w:p>
      <w:pPr>
        <w:pStyle w:val="2"/>
        <w:rPr>
          <w:rFonts w:hint="eastAsia" w:ascii="宋体" w:hAnsi="宋体" w:eastAsia="宋体" w:cs="宋体"/>
          <w:b/>
          <w:bCs/>
          <w:color w:val="auto"/>
          <w:highlight w:val="none"/>
          <w:lang w:eastAsia="zh-CN"/>
        </w:rPr>
      </w:pPr>
    </w:p>
    <w:p>
      <w:pPr>
        <w:pStyle w:val="2"/>
        <w:numPr>
          <w:ilvl w:val="0"/>
          <w:numId w:val="0"/>
        </w:numPr>
        <w:ind w:leftChars="0"/>
        <w:outlineLvl w:val="3"/>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2.2、教师机系统</w:t>
      </w:r>
    </w:p>
    <w:p>
      <w:pPr>
        <w:pStyle w:val="2"/>
        <w:numPr>
          <w:ilvl w:val="0"/>
          <w:numId w:val="0"/>
        </w:numPr>
        <w:ind w:leftChars="0"/>
        <w:rPr>
          <w:rFonts w:hint="default" w:ascii="宋体" w:hAnsi="宋体" w:eastAsia="宋体" w:cs="宋体"/>
          <w:b/>
          <w:bCs/>
          <w:color w:val="auto"/>
          <w:highlight w:val="none"/>
          <w:lang w:val="en-US" w:eastAsia="zh-CN"/>
        </w:rPr>
      </w:pPr>
    </w:p>
    <w:p>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一、教师机系统和多岗位联动应急演练实训平台互联互通，一起构成多岗位联动应急演练实训室。</w:t>
      </w:r>
    </w:p>
    <w:p>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教师机系统具有学生机管理、试题管理、考核管理、数据管理等等。其中通用管理包括全部教学辅助功能：广播教学、电子黑板、教学示范、电子抢答、远程控制、电子黑屏等课堂教学通用功能。含综合监控考核、行车调度考核和三维车站与应急演练考核功能。</w:t>
      </w:r>
    </w:p>
    <w:p>
      <w:pPr>
        <w:pStyle w:val="2"/>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三、教师机系统配置</w:t>
      </w:r>
      <w:r>
        <w:rPr>
          <w:rFonts w:hint="eastAsia" w:ascii="宋体" w:hAnsi="宋体" w:eastAsia="宋体" w:cs="宋体"/>
          <w:color w:val="auto"/>
          <w:sz w:val="24"/>
          <w:szCs w:val="24"/>
          <w:highlight w:val="none"/>
          <w:lang w:eastAsia="zh-CN"/>
        </w:rPr>
        <w:t>参数</w:t>
      </w:r>
    </w:p>
    <w:tbl>
      <w:tblPr>
        <w:tblStyle w:val="40"/>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710"/>
        <w:gridCol w:w="804"/>
        <w:gridCol w:w="923"/>
        <w:gridCol w:w="54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noWrap/>
            <w:vAlign w:val="center"/>
          </w:tcPr>
          <w:p>
            <w:pPr>
              <w:pStyle w:val="174"/>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10" w:type="dxa"/>
            <w:noWrap/>
            <w:vAlign w:val="center"/>
          </w:tcPr>
          <w:p>
            <w:pPr>
              <w:pStyle w:val="174"/>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品目名称</w:t>
            </w:r>
          </w:p>
        </w:tc>
        <w:tc>
          <w:tcPr>
            <w:tcW w:w="7167" w:type="dxa"/>
            <w:gridSpan w:val="3"/>
            <w:noWrap/>
            <w:vAlign w:val="center"/>
          </w:tcPr>
          <w:p>
            <w:pPr>
              <w:pStyle w:val="174"/>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技术规格、参数与要求</w:t>
            </w:r>
          </w:p>
        </w:tc>
        <w:tc>
          <w:tcPr>
            <w:tcW w:w="750" w:type="dxa"/>
            <w:noWrap/>
            <w:vAlign w:val="center"/>
          </w:tcPr>
          <w:p>
            <w:pPr>
              <w:pStyle w:val="174"/>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restart"/>
            <w:noWrap/>
            <w:vAlign w:val="center"/>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0" w:type="dxa"/>
            <w:vMerge w:val="restart"/>
            <w:noWrap/>
            <w:vAlign w:val="center"/>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教师机系统</w:t>
            </w:r>
          </w:p>
        </w:tc>
        <w:tc>
          <w:tcPr>
            <w:tcW w:w="804" w:type="dxa"/>
            <w:noWrap/>
            <w:vAlign w:val="center"/>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教学管理平台</w:t>
            </w:r>
          </w:p>
        </w:tc>
        <w:tc>
          <w:tcPr>
            <w:tcW w:w="6363" w:type="dxa"/>
            <w:gridSpan w:val="2"/>
            <w:noWrap/>
            <w:vAlign w:val="center"/>
          </w:tcPr>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软件实现教师机管理功能，包括：学生机管理、试题管理、考核管理、数据管理等等。其中通用管理包括全部教学辅助功能：广播教学、电子黑板、教学示范、电子抢答、远程控制、电子黑屏等课堂教学通用功能。含综合监控考核、行车调度考核和三维车站与应急演练考核功能。</w:t>
            </w:r>
          </w:p>
        </w:tc>
        <w:tc>
          <w:tcPr>
            <w:tcW w:w="750" w:type="dxa"/>
            <w:noWrap/>
            <w:vAlign w:val="center"/>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restart"/>
            <w:noWrap/>
            <w:vAlign w:val="center"/>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学生端</w:t>
            </w: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日常练习模块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自动获取教师端日常练习数据，用于学生练习。</w:t>
            </w:r>
          </w:p>
        </w:tc>
        <w:tc>
          <w:tcPr>
            <w:tcW w:w="750" w:type="dxa"/>
            <w:vMerge w:val="restart"/>
            <w:noWrap/>
          </w:tcPr>
          <w:p>
            <w:pPr>
              <w:pStyle w:val="174"/>
              <w:adjustRightInd w:val="0"/>
              <w:snapToGrid w:val="0"/>
              <w:jc w:val="both"/>
              <w:rPr>
                <w:rFonts w:hint="eastAsia" w:ascii="宋体" w:hAnsi="宋体" w:eastAsia="宋体" w:cs="宋体"/>
                <w:color w:val="auto"/>
                <w:sz w:val="24"/>
                <w:szCs w:val="24"/>
                <w:highlight w:val="none"/>
              </w:rPr>
            </w:pPr>
          </w:p>
          <w:p>
            <w:pPr>
              <w:pStyle w:val="174"/>
              <w:adjustRightInd w:val="0"/>
              <w:snapToGrid w:val="0"/>
              <w:jc w:val="both"/>
              <w:rPr>
                <w:rFonts w:hint="eastAsia" w:ascii="宋体" w:hAnsi="宋体" w:eastAsia="宋体" w:cs="宋体"/>
                <w:color w:val="auto"/>
                <w:sz w:val="24"/>
                <w:szCs w:val="24"/>
                <w:highlight w:val="none"/>
              </w:rPr>
            </w:pPr>
          </w:p>
          <w:p>
            <w:pPr>
              <w:pStyle w:val="174"/>
              <w:adjustRightInd w:val="0"/>
              <w:snapToGrid w:val="0"/>
              <w:jc w:val="both"/>
              <w:rPr>
                <w:rFonts w:hint="eastAsia" w:ascii="宋体" w:hAnsi="宋体" w:eastAsia="宋体" w:cs="宋体"/>
                <w:color w:val="auto"/>
                <w:sz w:val="24"/>
                <w:szCs w:val="24"/>
                <w:highlight w:val="none"/>
              </w:rPr>
            </w:pPr>
          </w:p>
          <w:p>
            <w:pPr>
              <w:pStyle w:val="174"/>
              <w:adjustRightInd w:val="0"/>
              <w:snapToGrid w:val="0"/>
              <w:jc w:val="both"/>
              <w:rPr>
                <w:rFonts w:hint="eastAsia" w:ascii="宋体" w:hAnsi="宋体" w:eastAsia="宋体" w:cs="宋体"/>
                <w:color w:val="auto"/>
                <w:sz w:val="24"/>
                <w:szCs w:val="24"/>
                <w:highlight w:val="none"/>
              </w:rPr>
            </w:pPr>
          </w:p>
          <w:p>
            <w:pPr>
              <w:pStyle w:val="174"/>
              <w:adjustRightInd w:val="0"/>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软件管理模块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调用系统方法，快捷开启软件。</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课堂讨论模块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通过调用教师端提供的服务协议，实现题目讨论，回答问题等操作。</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考核</w:t>
            </w:r>
            <w:r>
              <w:rPr>
                <w:rFonts w:hint="eastAsia" w:ascii="宋体" w:hAnsi="宋体" w:eastAsia="宋体" w:cs="宋体"/>
                <w:color w:val="auto"/>
                <w:sz w:val="24"/>
                <w:szCs w:val="24"/>
                <w:highlight w:val="none"/>
              </w:rPr>
              <w:t>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通过使用通讯协议来获取（ATS，三维沙盘，三维车站，综合监控，模拟教师）软件操作，并记录上传给教师端临时服务。</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restart"/>
            <w:noWrap/>
            <w:vAlign w:val="center"/>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教师端</w:t>
            </w: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教员管理模块</w:t>
            </w:r>
          </w:p>
        </w:tc>
        <w:tc>
          <w:tcPr>
            <w:tcW w:w="5440" w:type="dxa"/>
            <w:noWrap/>
          </w:tcPr>
          <w:p>
            <w:pPr>
              <w:pStyle w:val="174"/>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使用操作数据库文件，来实现教员信息进行增删改查操作，以及赋予权限。</w:t>
            </w:r>
          </w:p>
        </w:tc>
        <w:tc>
          <w:tcPr>
            <w:tcW w:w="750" w:type="dxa"/>
            <w:vMerge w:val="restart"/>
            <w:noWrap/>
            <w:vAlign w:val="center"/>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学员管理模块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使用操作数据库文件，对于学员信息进行增删改查操作，以及赋予学生用于登录学生端的账号密码。</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软件管理模块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调用系统方法，快捷开启软件。</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设备管理模块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调用系统方法，来实现管理学员机。</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通用教学模块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实现辅助教学，课堂讨论，电子黑屏，查看学生屏幕，广播教学，远程控制，学生与教师之间交流，信息求助，显示选择在线信息。</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现场演示课堂讨论功能：</w:t>
            </w:r>
          </w:p>
          <w:p>
            <w:pPr>
              <w:pStyle w:val="174"/>
              <w:numPr>
                <w:ilvl w:val="0"/>
                <w:numId w:val="10"/>
              </w:num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点击“课堂讨论”进入课堂讨论页面；</w:t>
            </w:r>
          </w:p>
          <w:p>
            <w:pPr>
              <w:pStyle w:val="174"/>
              <w:numPr>
                <w:ilvl w:val="0"/>
                <w:numId w:val="10"/>
              </w:num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在教师端界面上端写入题目，点击发布，发布讨论题目；</w:t>
            </w:r>
          </w:p>
          <w:p>
            <w:pPr>
              <w:pStyle w:val="174"/>
              <w:numPr>
                <w:ilvl w:val="0"/>
                <w:numId w:val="10"/>
              </w:num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在教师端界面上中间的对话框，显示学生讨论的相应信息，</w:t>
            </w:r>
          </w:p>
          <w:p>
            <w:pPr>
              <w:pStyle w:val="174"/>
              <w:numPr>
                <w:ilvl w:val="0"/>
                <w:numId w:val="10"/>
              </w:num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在教师端最下面输入框中输入具体的答案，点击发送，学生端可以接受到该答案。</w:t>
            </w:r>
          </w:p>
        </w:tc>
        <w:tc>
          <w:tcPr>
            <w:tcW w:w="750" w:type="dxa"/>
            <w:vMerge w:val="continue"/>
            <w:noWrap/>
          </w:tcPr>
          <w:p>
            <w:pPr>
              <w:pStyle w:val="2"/>
              <w:snapToGrid w:val="0"/>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习题管理</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操作多个数据库文件，来实现数据编辑，可用于编辑：操作题，选择题，填空题等题型。</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试卷管理</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通过获取多个数据库文件内部数据，来实现数据选择，最后生成新的试卷文件，同时，存储在新的数据库文件中。</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通过获取数据进行选择，设置考核需要的一些参数，下发考核。</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现场演示三维车站考核：</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1.通过点击“日常与考核”按钮进入考核选择页面；</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2.点击“三维车站”按钮，进入试题页面；</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3.在页面上端选择实训题，选择需要下发的试卷，同时设置考试时间和选择下发的学生端，点击下发；</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4.学生端自动弹出试题框，同时开始计时；</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5.三维车站操作结束后，在学生端自动提交；</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6，在教师端页面点击成绩管理，进入选择页面；</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7，点击三维车站按钮进入三维车站学生成绩管理页面；</w:t>
            </w:r>
          </w:p>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8，在页面上端选择实训题，选择刚刚提交的试卷，双击查看详情，并人工调整最终成绩。</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成绩管理模块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接收学生端上传的操作数据，存储为数据库文件，同时系统自动评分学生上传的操作数据，以及显示错误详情</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710"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804" w:type="dxa"/>
            <w:vMerge w:val="continue"/>
            <w:noWrap/>
            <w:vAlign w:val="center"/>
          </w:tcPr>
          <w:p>
            <w:pPr>
              <w:pStyle w:val="174"/>
              <w:adjustRightInd w:val="0"/>
              <w:snapToGrid w:val="0"/>
              <w:rPr>
                <w:rFonts w:hint="eastAsia" w:ascii="宋体" w:hAnsi="宋体" w:eastAsia="宋体" w:cs="宋体"/>
                <w:color w:val="auto"/>
                <w:sz w:val="24"/>
                <w:szCs w:val="24"/>
                <w:highlight w:val="none"/>
              </w:rPr>
            </w:pPr>
          </w:p>
        </w:tc>
        <w:tc>
          <w:tcPr>
            <w:tcW w:w="923" w:type="dxa"/>
            <w:noWrap/>
          </w:tcPr>
          <w:p>
            <w:pPr>
              <w:pStyle w:val="174"/>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日志模块</w:t>
            </w:r>
          </w:p>
        </w:tc>
        <w:tc>
          <w:tcPr>
            <w:tcW w:w="5440" w:type="dxa"/>
            <w:noWrap/>
          </w:tcPr>
          <w:p>
            <w:pPr>
              <w:pStyle w:val="174"/>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记录系统内部信息，错误信息，操作信息。</w:t>
            </w:r>
          </w:p>
        </w:tc>
        <w:tc>
          <w:tcPr>
            <w:tcW w:w="750" w:type="dxa"/>
            <w:vMerge w:val="continue"/>
            <w:noWrap/>
          </w:tcPr>
          <w:p>
            <w:pPr>
              <w:pStyle w:val="174"/>
              <w:adjustRightInd w:val="0"/>
              <w:snapToGrid w:val="0"/>
              <w:rPr>
                <w:rFonts w:hint="eastAsia" w:ascii="宋体" w:hAnsi="宋体" w:eastAsia="宋体" w:cs="宋体"/>
                <w:color w:val="auto"/>
                <w:sz w:val="24"/>
                <w:szCs w:val="24"/>
                <w:highlight w:val="none"/>
              </w:rPr>
            </w:pPr>
          </w:p>
        </w:tc>
      </w:tr>
    </w:tbl>
    <w:p>
      <w:pPr>
        <w:pStyle w:val="2"/>
        <w:numPr>
          <w:ilvl w:val="0"/>
          <w:numId w:val="0"/>
        </w:numPr>
        <w:ind w:leftChars="0"/>
        <w:rPr>
          <w:rFonts w:hint="default" w:ascii="宋体" w:hAnsi="宋体" w:eastAsia="宋体" w:cs="宋体"/>
          <w:b/>
          <w:bCs/>
          <w:color w:val="auto"/>
          <w:highlight w:val="none"/>
          <w:lang w:val="en-US" w:eastAsia="zh-CN"/>
        </w:rPr>
      </w:pPr>
    </w:p>
    <w:p>
      <w:pPr>
        <w:pStyle w:val="3"/>
        <w:rPr>
          <w:rFonts w:hint="default"/>
          <w:color w:val="auto"/>
          <w:highlight w:val="none"/>
          <w:lang w:val="en-US" w:eastAsia="zh-CN"/>
        </w:rPr>
      </w:pPr>
    </w:p>
    <w:p>
      <w:pPr>
        <w:pStyle w:val="5"/>
        <w:rPr>
          <w:rFonts w:ascii="宋体" w:hAnsi="宋体" w:cs="宋体"/>
          <w:color w:val="auto"/>
          <w:sz w:val="24"/>
          <w:szCs w:val="40"/>
          <w:highlight w:val="none"/>
        </w:rPr>
      </w:pPr>
      <w:r>
        <w:rPr>
          <w:rFonts w:hint="eastAsia" w:ascii="宋体" w:hAnsi="宋体" w:cs="宋体"/>
          <w:color w:val="auto"/>
          <w:sz w:val="24"/>
          <w:szCs w:val="40"/>
          <w:highlight w:val="none"/>
        </w:rPr>
        <w:t>二、商务要求</w:t>
      </w:r>
    </w:p>
    <w:p>
      <w:pPr>
        <w:pStyle w:val="6"/>
        <w:rPr>
          <w:rFonts w:hint="eastAsia" w:eastAsia="宋体"/>
          <w:color w:val="auto"/>
          <w:highlight w:val="none"/>
          <w:lang w:eastAsia="zh-CN"/>
        </w:rPr>
      </w:pPr>
      <w:r>
        <w:rPr>
          <w:rFonts w:hint="eastAsia"/>
          <w:color w:val="auto"/>
          <w:highlight w:val="none"/>
        </w:rPr>
        <w:t>（一）</w:t>
      </w:r>
      <w:bookmarkEnd w:id="19"/>
      <w:bookmarkEnd w:id="20"/>
      <w:r>
        <w:rPr>
          <w:rFonts w:hint="eastAsia" w:ascii="宋体" w:hAnsi="宋体" w:cs="宋体"/>
          <w:bCs/>
          <w:color w:val="auto"/>
          <w:kern w:val="0"/>
          <w:szCs w:val="21"/>
          <w:highlight w:val="none"/>
        </w:rPr>
        <w:t>★</w:t>
      </w:r>
      <w:r>
        <w:rPr>
          <w:rFonts w:hint="eastAsia"/>
          <w:color w:val="auto"/>
          <w:highlight w:val="none"/>
          <w:lang w:eastAsia="zh-CN"/>
        </w:rPr>
        <w:t>交货时间及地点</w:t>
      </w:r>
    </w:p>
    <w:p>
      <w:pPr>
        <w:pStyle w:val="167"/>
        <w:numPr>
          <w:ilvl w:val="0"/>
          <w:numId w:val="0"/>
        </w:numPr>
        <w:spacing w:line="408" w:lineRule="auto"/>
        <w:ind w:left="420" w:leftChars="0" w:firstLine="240" w:firstLineChars="100"/>
        <w:jc w:val="left"/>
        <w:rPr>
          <w:rFonts w:asciiTheme="minorEastAsia" w:hAnsiTheme="minorEastAsia"/>
          <w:color w:val="auto"/>
          <w:highlight w:val="none"/>
        </w:rPr>
      </w:pPr>
      <w:bookmarkStart w:id="21" w:name="_Toc14429"/>
      <w:bookmarkStart w:id="22" w:name="_Toc3146"/>
      <w:r>
        <w:rPr>
          <w:rFonts w:hint="eastAsia" w:asciiTheme="minorEastAsia" w:hAnsiTheme="minorEastAsia"/>
          <w:color w:val="auto"/>
          <w:highlight w:val="none"/>
        </w:rPr>
        <w:t>交货时间：</w:t>
      </w:r>
      <w:r>
        <w:rPr>
          <w:rFonts w:hint="eastAsia" w:ascii="等线" w:hAnsi="等线"/>
          <w:color w:val="auto"/>
          <w:highlight w:val="none"/>
        </w:rPr>
        <w:t>接到甲方通知后</w:t>
      </w:r>
      <w:r>
        <w:rPr>
          <w:rFonts w:hint="eastAsia" w:ascii="等线" w:hAnsi="等线"/>
          <w:color w:val="auto"/>
          <w:highlight w:val="none"/>
          <w:lang w:val="en-US" w:eastAsia="zh-CN"/>
        </w:rPr>
        <w:t>15</w:t>
      </w:r>
      <w:r>
        <w:rPr>
          <w:rFonts w:hint="eastAsia" w:ascii="等线" w:hAnsi="等线"/>
          <w:color w:val="auto"/>
          <w:highlight w:val="none"/>
        </w:rPr>
        <w:t>天内完成供货、安装、调试</w:t>
      </w:r>
      <w:r>
        <w:rPr>
          <w:rFonts w:hint="eastAsia" w:asciiTheme="minorEastAsia" w:hAnsiTheme="minorEastAsia"/>
          <w:color w:val="auto"/>
          <w:highlight w:val="none"/>
        </w:rPr>
        <w:t>。</w:t>
      </w:r>
    </w:p>
    <w:p>
      <w:pPr>
        <w:pStyle w:val="167"/>
        <w:numPr>
          <w:ilvl w:val="0"/>
          <w:numId w:val="0"/>
        </w:numPr>
        <w:spacing w:line="408" w:lineRule="auto"/>
        <w:ind w:left="420" w:leftChars="0" w:firstLine="240" w:firstLineChars="100"/>
        <w:jc w:val="left"/>
        <w:rPr>
          <w:rFonts w:asciiTheme="minorEastAsia" w:hAnsiTheme="minorEastAsia"/>
          <w:color w:val="auto"/>
          <w:highlight w:val="none"/>
        </w:rPr>
      </w:pPr>
      <w:r>
        <w:rPr>
          <w:rFonts w:hint="eastAsia" w:asciiTheme="minorEastAsia" w:hAnsiTheme="minorEastAsia"/>
          <w:color w:val="auto"/>
          <w:highlight w:val="none"/>
        </w:rPr>
        <w:t>地点：浙江机电职业技术学院。</w:t>
      </w:r>
    </w:p>
    <w:bookmarkEnd w:id="21"/>
    <w:bookmarkEnd w:id="22"/>
    <w:p>
      <w:pPr>
        <w:pStyle w:val="6"/>
        <w:rPr>
          <w:color w:val="auto"/>
          <w:highlight w:val="none"/>
        </w:rPr>
      </w:pPr>
      <w:bookmarkStart w:id="23" w:name="_Toc10286"/>
      <w:bookmarkStart w:id="24" w:name="_Toc22183"/>
      <w:r>
        <w:rPr>
          <w:rFonts w:hint="eastAsia"/>
          <w:color w:val="auto"/>
          <w:highlight w:val="none"/>
        </w:rPr>
        <w:t>（</w:t>
      </w:r>
      <w:r>
        <w:rPr>
          <w:rFonts w:hint="eastAsia"/>
          <w:color w:val="auto"/>
          <w:highlight w:val="none"/>
          <w:lang w:eastAsia="zh-CN"/>
        </w:rPr>
        <w:t>二</w:t>
      </w:r>
      <w:r>
        <w:rPr>
          <w:rFonts w:hint="eastAsia"/>
          <w:color w:val="auto"/>
          <w:highlight w:val="none"/>
        </w:rPr>
        <w:t>）保存和运输要求</w:t>
      </w:r>
      <w:bookmarkEnd w:id="23"/>
      <w:bookmarkEnd w:id="24"/>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送货至指定地点。</w:t>
      </w:r>
    </w:p>
    <w:p>
      <w:pPr>
        <w:pStyle w:val="6"/>
        <w:rPr>
          <w:color w:val="auto"/>
          <w:highlight w:val="none"/>
        </w:rPr>
      </w:pPr>
      <w:bookmarkStart w:id="25" w:name="_Toc14375"/>
      <w:bookmarkStart w:id="26" w:name="_Toc3643"/>
      <w:r>
        <w:rPr>
          <w:rFonts w:hint="eastAsia"/>
          <w:color w:val="auto"/>
          <w:highlight w:val="none"/>
        </w:rPr>
        <w:t>（</w:t>
      </w:r>
      <w:r>
        <w:rPr>
          <w:rFonts w:hint="eastAsia"/>
          <w:color w:val="auto"/>
          <w:highlight w:val="none"/>
          <w:lang w:eastAsia="zh-CN"/>
        </w:rPr>
        <w:t>三</w:t>
      </w:r>
      <w:r>
        <w:rPr>
          <w:rFonts w:hint="eastAsia"/>
          <w:color w:val="auto"/>
          <w:highlight w:val="none"/>
        </w:rPr>
        <w:t>）验收标准</w:t>
      </w:r>
      <w:bookmarkEnd w:id="25"/>
      <w:bookmarkEnd w:id="26"/>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w:t>
      </w:r>
      <w:r>
        <w:rPr>
          <w:rFonts w:hint="eastAsia" w:ascii="宋体" w:hAnsi="宋体" w:cs="宋体"/>
          <w:color w:val="auto"/>
          <w:szCs w:val="32"/>
          <w:highlight w:val="none"/>
          <w:lang w:eastAsia="zh-CN"/>
        </w:rPr>
        <w:t>浙江机电职业技术学院</w:t>
      </w:r>
      <w:r>
        <w:rPr>
          <w:rFonts w:hint="eastAsia" w:ascii="宋体" w:hAnsi="宋体" w:cs="宋体"/>
          <w:color w:val="auto"/>
          <w:szCs w:val="32"/>
          <w:highlight w:val="none"/>
        </w:rPr>
        <w:t>标准验收和确认。</w:t>
      </w:r>
    </w:p>
    <w:p>
      <w:pPr>
        <w:pStyle w:val="6"/>
        <w:rPr>
          <w:rFonts w:hint="eastAsia" w:eastAsia="宋体"/>
          <w:color w:val="auto"/>
          <w:highlight w:val="none"/>
          <w:lang w:eastAsia="zh-CN"/>
        </w:rPr>
      </w:pPr>
      <w:bookmarkStart w:id="27" w:name="_Toc32145"/>
      <w:bookmarkStart w:id="28" w:name="_Toc30601"/>
      <w:r>
        <w:rPr>
          <w:rFonts w:hint="eastAsia"/>
          <w:color w:val="auto"/>
          <w:highlight w:val="none"/>
        </w:rPr>
        <w:t>（</w:t>
      </w:r>
      <w:r>
        <w:rPr>
          <w:rFonts w:hint="eastAsia"/>
          <w:color w:val="auto"/>
          <w:highlight w:val="none"/>
          <w:lang w:eastAsia="zh-CN"/>
        </w:rPr>
        <w:t>四</w:t>
      </w:r>
      <w:r>
        <w:rPr>
          <w:rFonts w:hint="eastAsia"/>
          <w:color w:val="auto"/>
          <w:highlight w:val="none"/>
        </w:rPr>
        <w:t>）售后服务</w:t>
      </w:r>
      <w:bookmarkEnd w:id="27"/>
      <w:bookmarkEnd w:id="28"/>
      <w:r>
        <w:rPr>
          <w:rFonts w:hint="eastAsia"/>
          <w:color w:val="auto"/>
          <w:highlight w:val="none"/>
          <w:lang w:eastAsia="zh-CN"/>
        </w:rPr>
        <w:t>保障要求</w:t>
      </w:r>
    </w:p>
    <w:p>
      <w:pPr>
        <w:pStyle w:val="167"/>
        <w:ind w:firstLine="720" w:firstLineChars="300"/>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货物（设备/软件）验收合格后提供</w:t>
      </w:r>
      <w:r>
        <w:rPr>
          <w:rFonts w:hint="eastAsia" w:ascii="宋体" w:hAnsi="宋体" w:eastAsia="宋体" w:cs="宋体"/>
          <w:color w:val="auto"/>
          <w:sz w:val="24"/>
          <w:szCs w:val="24"/>
          <w:highlight w:val="none"/>
          <w:u w:val="none"/>
          <w:shd w:val="clear" w:color="auto" w:fill="auto"/>
        </w:rPr>
        <w:t>≥</w:t>
      </w:r>
      <w:r>
        <w:rPr>
          <w:rFonts w:hint="eastAsia" w:ascii="宋体" w:hAnsi="宋体" w:eastAsia="宋体" w:cs="宋体"/>
          <w:color w:val="auto"/>
          <w:sz w:val="24"/>
          <w:szCs w:val="24"/>
          <w:highlight w:val="none"/>
          <w:u w:val="none"/>
          <w:shd w:val="clear" w:color="auto" w:fill="auto"/>
          <w:lang w:eastAsia="zh-CN"/>
        </w:rPr>
        <w:t>三</w:t>
      </w:r>
      <w:r>
        <w:rPr>
          <w:rFonts w:hint="eastAsia" w:ascii="宋体" w:hAnsi="宋体" w:eastAsia="宋体" w:cs="宋体"/>
          <w:color w:val="auto"/>
          <w:sz w:val="24"/>
          <w:szCs w:val="24"/>
          <w:highlight w:val="none"/>
        </w:rPr>
        <w:t>年质保，质保期内因不能排除的故障而影响工作的情况每发生一次，质保期相应延长60天，质保期内因设备本身缺陷造成各种故障应由卖方免费技术服务和维修，若技术需求中有质保要求，以技术需求为准。</w:t>
      </w:r>
      <w:r>
        <w:rPr>
          <w:rFonts w:hint="eastAsia" w:ascii="宋体" w:hAnsi="宋体" w:cs="宋体"/>
          <w:color w:val="auto"/>
          <w:szCs w:val="24"/>
          <w:highlight w:val="none"/>
          <w:lang w:val="en-US" w:eastAsia="zh-CN"/>
        </w:rPr>
        <w:t>所有的数据接口需将源代码提供给用户，确保数据接口的开放。</w:t>
      </w:r>
    </w:p>
    <w:p>
      <w:pPr>
        <w:pStyle w:val="167"/>
        <w:numPr>
          <w:ilvl w:val="0"/>
          <w:numId w:val="0"/>
        </w:numPr>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pStyle w:val="167"/>
        <w:numPr>
          <w:ilvl w:val="0"/>
          <w:numId w:val="0"/>
        </w:numPr>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货物（设备/软件）发生故障接到用户维修要求后，投标人应承诺在</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小时内响应并提出解决方案，</w:t>
      </w:r>
      <w:r>
        <w:rPr>
          <w:rFonts w:hint="eastAsia" w:ascii="宋体" w:hAnsi="宋体" w:eastAsia="宋体" w:cs="宋体"/>
          <w:color w:val="auto"/>
          <w:sz w:val="24"/>
          <w:szCs w:val="24"/>
          <w:highlight w:val="none"/>
          <w:u w:val="single"/>
        </w:rPr>
        <w:t>4</w:t>
      </w:r>
      <w:r>
        <w:rPr>
          <w:rFonts w:hint="eastAsia" w:ascii="宋体" w:hAnsi="宋体" w:eastAsia="宋体" w:cs="宋体"/>
          <w:color w:val="auto"/>
          <w:sz w:val="24"/>
          <w:szCs w:val="24"/>
          <w:highlight w:val="none"/>
        </w:rPr>
        <w:t>小时内到现场进行故障处理，维修过程中所需材料在接到通知后应及时提供，最多不超过</w:t>
      </w:r>
      <w:r>
        <w:rPr>
          <w:rFonts w:hint="eastAsia" w:ascii="宋体" w:hAnsi="宋体" w:eastAsia="宋体" w:cs="宋体"/>
          <w:color w:val="auto"/>
          <w:sz w:val="24"/>
          <w:szCs w:val="24"/>
          <w:highlight w:val="none"/>
          <w:u w:val="single"/>
        </w:rPr>
        <w:t>12</w:t>
      </w:r>
      <w:r>
        <w:rPr>
          <w:rFonts w:hint="eastAsia" w:ascii="宋体" w:hAnsi="宋体" w:eastAsia="宋体" w:cs="宋体"/>
          <w:color w:val="auto"/>
          <w:sz w:val="24"/>
          <w:szCs w:val="24"/>
          <w:highlight w:val="none"/>
        </w:rPr>
        <w:t>小时。若（设备）短期无法修复，应提供相应备件并负责安装调试。</w:t>
      </w:r>
    </w:p>
    <w:p>
      <w:pPr>
        <w:pStyle w:val="6"/>
        <w:rPr>
          <w:color w:val="auto"/>
          <w:highlight w:val="none"/>
        </w:rPr>
      </w:pPr>
      <w:bookmarkStart w:id="29" w:name="_Toc11083"/>
      <w:bookmarkStart w:id="30" w:name="_Toc27073"/>
      <w:r>
        <w:rPr>
          <w:rFonts w:hint="eastAsia"/>
          <w:color w:val="auto"/>
          <w:highlight w:val="none"/>
        </w:rPr>
        <w:t>（</w:t>
      </w:r>
      <w:r>
        <w:rPr>
          <w:rFonts w:hint="eastAsia"/>
          <w:color w:val="auto"/>
          <w:highlight w:val="none"/>
          <w:lang w:eastAsia="zh-CN"/>
        </w:rPr>
        <w:t>五</w:t>
      </w:r>
      <w:r>
        <w:rPr>
          <w:rFonts w:hint="eastAsia"/>
          <w:color w:val="auto"/>
          <w:highlight w:val="none"/>
        </w:rPr>
        <w:t>）付款方式</w:t>
      </w:r>
      <w:bookmarkEnd w:id="29"/>
      <w:bookmarkEnd w:id="30"/>
    </w:p>
    <w:p>
      <w:pPr>
        <w:pStyle w:val="167"/>
        <w:numPr>
          <w:ilvl w:val="0"/>
          <w:numId w:val="0"/>
        </w:numPr>
        <w:spacing w:line="408" w:lineRule="auto"/>
        <w:ind w:firstLine="720" w:firstLineChars="300"/>
        <w:jc w:val="left"/>
        <w:rPr>
          <w:rFonts w:hint="eastAsia" w:ascii="宋体" w:hAnsi="宋体" w:eastAsia="宋体" w:cs="宋体"/>
          <w:color w:val="auto"/>
          <w:highlight w:val="none"/>
          <w:lang w:val="en-US" w:eastAsia="zh-CN"/>
        </w:rPr>
      </w:pPr>
      <w:bookmarkStart w:id="31" w:name="_Toc12425"/>
      <w:r>
        <w:rPr>
          <w:rFonts w:hint="eastAsia" w:ascii="宋体" w:hAnsi="宋体" w:eastAsia="宋体" w:cs="宋体"/>
          <w:color w:val="auto"/>
          <w:highlight w:val="none"/>
          <w:lang w:val="en-US" w:eastAsia="zh-CN"/>
        </w:rPr>
        <w:t>1、签订合同后7日内向采购人交纳合同总金额的5％作为履约保证金，未按规定时间缴纳似作违约。履约保证金在合同内容完成验收合格后自动转为质量保证金。质量保证金自验收合格后12个月内没有质量问题和售后服务问题，无息退还。</w:t>
      </w:r>
    </w:p>
    <w:p>
      <w:pPr>
        <w:pStyle w:val="167"/>
        <w:numPr>
          <w:ilvl w:val="0"/>
          <w:numId w:val="0"/>
        </w:numPr>
        <w:spacing w:line="408" w:lineRule="auto"/>
        <w:ind w:firstLine="720" w:firstLineChars="3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rPr>
        <w:t>货物自验收合格并正常运行后</w:t>
      </w:r>
      <w:r>
        <w:rPr>
          <w:rFonts w:hint="eastAsia" w:ascii="宋体" w:hAnsi="宋体" w:cs="宋体"/>
          <w:color w:val="auto"/>
          <w:highlight w:val="none"/>
          <w:lang w:val="en-US" w:eastAsia="zh-CN"/>
        </w:rPr>
        <w:t>三个月</w:t>
      </w:r>
      <w:r>
        <w:rPr>
          <w:rFonts w:hint="eastAsia" w:ascii="宋体" w:hAnsi="宋体" w:cs="宋体"/>
          <w:color w:val="auto"/>
          <w:highlight w:val="none"/>
        </w:rPr>
        <w:t>内，采购人向中标方</w:t>
      </w:r>
      <w:r>
        <w:rPr>
          <w:rFonts w:hint="eastAsia" w:ascii="宋体" w:hAnsi="宋体" w:cs="宋体"/>
          <w:color w:val="auto"/>
          <w:highlight w:val="none"/>
          <w:lang w:val="en-US" w:eastAsia="zh-CN"/>
        </w:rPr>
        <w:t>支付95%的货款，剩余5%的货款在验收合格并正常运行后六个月内支付</w:t>
      </w:r>
      <w:r>
        <w:rPr>
          <w:rFonts w:hint="eastAsia" w:ascii="宋体" w:hAnsi="宋体" w:eastAsia="宋体" w:cs="宋体"/>
          <w:color w:val="auto"/>
          <w:highlight w:val="none"/>
          <w:lang w:val="en-US" w:eastAsia="zh-CN"/>
        </w:rPr>
        <w:t>。</w:t>
      </w:r>
    </w:p>
    <w:p>
      <w:pPr>
        <w:pStyle w:val="6"/>
        <w:rPr>
          <w:color w:val="auto"/>
          <w:highlight w:val="none"/>
        </w:rPr>
      </w:pPr>
      <w:bookmarkStart w:id="32" w:name="_Toc12409"/>
      <w:r>
        <w:rPr>
          <w:rFonts w:hint="eastAsia"/>
          <w:color w:val="auto"/>
          <w:highlight w:val="none"/>
        </w:rPr>
        <w:t>（</w:t>
      </w:r>
      <w:r>
        <w:rPr>
          <w:rFonts w:hint="eastAsia"/>
          <w:color w:val="auto"/>
          <w:highlight w:val="none"/>
          <w:lang w:val="en-US" w:eastAsia="zh-CN"/>
        </w:rPr>
        <w:t>六</w:t>
      </w:r>
      <w:r>
        <w:rPr>
          <w:rFonts w:hint="eastAsia"/>
          <w:color w:val="auto"/>
          <w:highlight w:val="none"/>
        </w:rPr>
        <w:t>）合同履行</w:t>
      </w:r>
      <w:bookmarkEnd w:id="31"/>
      <w:bookmarkEnd w:id="32"/>
    </w:p>
    <w:p>
      <w:pPr>
        <w:ind w:left="0" w:leftChars="0" w:firstLine="720" w:firstLineChars="300"/>
        <w:rPr>
          <w:rFonts w:ascii="宋体" w:hAnsi="宋体" w:cs="宋体"/>
          <w:color w:val="auto"/>
          <w:szCs w:val="32"/>
          <w:highlight w:val="none"/>
        </w:rPr>
      </w:pPr>
      <w:r>
        <w:rPr>
          <w:rFonts w:hint="eastAsia" w:ascii="宋体" w:hAnsi="宋体" w:cs="宋体"/>
          <w:color w:val="auto"/>
          <w:szCs w:val="32"/>
          <w:highlight w:val="none"/>
        </w:rPr>
        <w:t>必须由投标主体履行合同。</w:t>
      </w:r>
    </w:p>
    <w:p>
      <w:pPr>
        <w:pStyle w:val="6"/>
        <w:rPr>
          <w:color w:val="auto"/>
          <w:highlight w:val="none"/>
        </w:rPr>
      </w:pPr>
      <w:bookmarkStart w:id="33" w:name="_Toc28352"/>
      <w:bookmarkStart w:id="34" w:name="_Toc26669"/>
      <w:r>
        <w:rPr>
          <w:rFonts w:hint="eastAsia"/>
          <w:color w:val="auto"/>
          <w:highlight w:val="none"/>
        </w:rPr>
        <w:t>（</w:t>
      </w:r>
      <w:r>
        <w:rPr>
          <w:rFonts w:hint="eastAsia"/>
          <w:color w:val="auto"/>
          <w:highlight w:val="none"/>
          <w:lang w:val="en-US" w:eastAsia="zh-CN"/>
        </w:rPr>
        <w:t>七</w:t>
      </w:r>
      <w:r>
        <w:rPr>
          <w:rFonts w:hint="eastAsia"/>
          <w:color w:val="auto"/>
          <w:highlight w:val="none"/>
        </w:rPr>
        <w:t>）培训</w:t>
      </w:r>
      <w:bookmarkEnd w:id="33"/>
      <w:bookmarkEnd w:id="34"/>
    </w:p>
    <w:p>
      <w:pPr>
        <w:ind w:firstLine="720" w:firstLineChars="300"/>
        <w:rPr>
          <w:color w:val="auto"/>
          <w:szCs w:val="32"/>
          <w:highlight w:val="none"/>
        </w:rPr>
      </w:pPr>
      <w:r>
        <w:rPr>
          <w:rFonts w:hint="eastAsia"/>
          <w:color w:val="auto"/>
          <w:szCs w:val="32"/>
          <w:highlight w:val="none"/>
        </w:rPr>
        <w:t>中标人应对采购人的操作人员、维修人员免费进行培训，</w:t>
      </w:r>
      <w:r>
        <w:rPr>
          <w:rFonts w:hint="eastAsia" w:ascii="宋体" w:hAnsi="宋体"/>
          <w:color w:val="auto"/>
          <w:highlight w:val="none"/>
        </w:rPr>
        <w:t>使之能够熟练掌握设备的操作、维护及保养技能</w:t>
      </w:r>
      <w:r>
        <w:rPr>
          <w:rFonts w:hint="eastAsia"/>
          <w:color w:val="auto"/>
          <w:szCs w:val="32"/>
          <w:highlight w:val="none"/>
        </w:rPr>
        <w:t>。</w:t>
      </w:r>
    </w:p>
    <w:p>
      <w:pPr>
        <w:ind w:firstLine="720" w:firstLineChars="300"/>
        <w:rPr>
          <w:color w:val="auto"/>
          <w:szCs w:val="32"/>
          <w:highlight w:val="none"/>
        </w:rPr>
      </w:pPr>
      <w:r>
        <w:rPr>
          <w:rFonts w:hint="eastAsia"/>
          <w:color w:val="auto"/>
          <w:szCs w:val="32"/>
          <w:highlight w:val="none"/>
        </w:rPr>
        <w:t>中标人应提供相应的培训计划。</w:t>
      </w:r>
    </w:p>
    <w:p>
      <w:pPr>
        <w:ind w:firstLine="720" w:firstLineChars="300"/>
        <w:rPr>
          <w:rFonts w:hint="eastAsia" w:ascii="宋体" w:hAnsi="宋体"/>
          <w:color w:val="auto"/>
          <w:highlight w:val="none"/>
        </w:rPr>
      </w:pPr>
      <w:r>
        <w:rPr>
          <w:rFonts w:hint="eastAsia"/>
          <w:color w:val="auto"/>
          <w:szCs w:val="32"/>
          <w:highlight w:val="none"/>
        </w:rPr>
        <w:t>中标人应对上述内容的实现方式、地点、人数、时间在投标文件中详细说明。（请附加培训计划书）提供不少于3人次的现场技术培训。</w:t>
      </w:r>
      <w:r>
        <w:rPr>
          <w:rFonts w:hint="eastAsia" w:ascii="宋体" w:hAnsi="宋体"/>
          <w:color w:val="auto"/>
          <w:highlight w:val="none"/>
        </w:rPr>
        <w:t>培训的时间、地点、人数均由用户确定。</w:t>
      </w:r>
    </w:p>
    <w:p>
      <w:pPr>
        <w:pStyle w:val="2"/>
        <w:spacing w:line="360" w:lineRule="auto"/>
        <w:ind w:firstLine="720" w:firstLineChars="3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提供所有实训设备操作培训及相关培训资料</w:t>
      </w:r>
    </w:p>
    <w:p>
      <w:pPr>
        <w:pStyle w:val="2"/>
        <w:numPr>
          <w:ilvl w:val="0"/>
          <w:numId w:val="0"/>
        </w:numPr>
        <w:spacing w:line="360" w:lineRule="auto"/>
        <w:outlineLvl w:val="2"/>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lang w:eastAsia="zh-CN"/>
        </w:rPr>
        <w:t>）备品备件及耗材等要求</w:t>
      </w:r>
    </w:p>
    <w:p>
      <w:pPr>
        <w:pStyle w:val="2"/>
        <w:numPr>
          <w:ilvl w:val="0"/>
          <w:numId w:val="0"/>
        </w:numPr>
        <w:spacing w:line="360" w:lineRule="auto"/>
        <w:ind w:firstLine="720" w:firstLineChars="300"/>
        <w:rPr>
          <w:rFonts w:hint="default" w:ascii="宋体" w:hAnsi="宋体" w:eastAsia="宋体" w:cs="宋体"/>
          <w:b/>
          <w:bCs/>
          <w:color w:val="auto"/>
          <w:highlight w:val="none"/>
          <w:lang w:val="en-US" w:eastAsia="zh-CN"/>
        </w:rPr>
      </w:pPr>
      <w:r>
        <w:rPr>
          <w:rFonts w:hint="default" w:ascii="宋体" w:hAnsi="宋体" w:eastAsia="宋体" w:cs="宋体"/>
          <w:b w:val="0"/>
          <w:bCs w:val="0"/>
          <w:color w:val="auto"/>
          <w:highlight w:val="none"/>
          <w:lang w:val="en-US" w:eastAsia="zh-CN"/>
        </w:rPr>
        <w:t>投标时标明常用备品备件及耗材的投标价，并承诺所报价格不高于市场价格</w:t>
      </w:r>
      <w:r>
        <w:rPr>
          <w:rFonts w:hint="eastAsia" w:ascii="宋体" w:hAnsi="宋体" w:eastAsia="宋体" w:cs="宋体"/>
          <w:b w:val="0"/>
          <w:bCs w:val="0"/>
          <w:color w:val="auto"/>
          <w:highlight w:val="none"/>
          <w:lang w:val="en-US" w:eastAsia="zh-CN"/>
        </w:rPr>
        <w:t>。</w:t>
      </w:r>
    </w:p>
    <w:p>
      <w:pPr>
        <w:pStyle w:val="6"/>
        <w:rPr>
          <w:color w:val="auto"/>
          <w:highlight w:val="none"/>
        </w:rPr>
      </w:pPr>
      <w:bookmarkStart w:id="35" w:name="_Toc4662"/>
      <w:bookmarkStart w:id="36" w:name="_Toc30890"/>
      <w:r>
        <w:rPr>
          <w:rFonts w:hint="eastAsia"/>
          <w:color w:val="auto"/>
          <w:highlight w:val="none"/>
        </w:rPr>
        <w:t>（</w:t>
      </w:r>
      <w:r>
        <w:rPr>
          <w:rFonts w:hint="eastAsia"/>
          <w:color w:val="auto"/>
          <w:highlight w:val="none"/>
          <w:lang w:val="en-US" w:eastAsia="zh-CN"/>
        </w:rPr>
        <w:t>九</w:t>
      </w:r>
      <w:r>
        <w:rPr>
          <w:rFonts w:hint="eastAsia"/>
          <w:color w:val="auto"/>
          <w:highlight w:val="none"/>
        </w:rPr>
        <w:t>）安装调试</w:t>
      </w:r>
      <w:bookmarkEnd w:id="35"/>
      <w:bookmarkEnd w:id="36"/>
    </w:p>
    <w:p>
      <w:pPr>
        <w:ind w:firstLine="720" w:firstLineChars="300"/>
        <w:rPr>
          <w:color w:val="auto"/>
          <w:szCs w:val="32"/>
          <w:highlight w:val="none"/>
        </w:rPr>
      </w:pPr>
      <w:r>
        <w:rPr>
          <w:rFonts w:hint="eastAsia"/>
          <w:color w:val="auto"/>
          <w:szCs w:val="32"/>
          <w:highlight w:val="none"/>
        </w:rPr>
        <w:t>安装地点：采购人指定地点。</w:t>
      </w:r>
    </w:p>
    <w:p>
      <w:pPr>
        <w:ind w:firstLine="720" w:firstLineChars="300"/>
        <w:rPr>
          <w:color w:val="auto"/>
          <w:szCs w:val="32"/>
          <w:highlight w:val="none"/>
        </w:rPr>
      </w:pPr>
      <w:r>
        <w:rPr>
          <w:rFonts w:hint="eastAsia"/>
          <w:color w:val="auto"/>
          <w:szCs w:val="32"/>
          <w:highlight w:val="none"/>
        </w:rPr>
        <w:t>安装完成时间：</w:t>
      </w:r>
      <w:r>
        <w:rPr>
          <w:rFonts w:hint="eastAsia" w:asciiTheme="minorEastAsia" w:hAnsiTheme="minorEastAsia"/>
          <w:color w:val="auto"/>
          <w:highlight w:val="none"/>
          <w:lang w:val="en-US" w:eastAsia="zh-CN"/>
        </w:rPr>
        <w:t>接到甲方通知后15天</w:t>
      </w:r>
      <w:r>
        <w:rPr>
          <w:rFonts w:hint="eastAsia"/>
          <w:color w:val="auto"/>
          <w:szCs w:val="32"/>
          <w:highlight w:val="none"/>
        </w:rPr>
        <w:t>完成安装和调试（“投标人须知前附表”有规定的除外），如在规定的时间内由于中标人的原因不能完成安装和调试，中标人应承担由此给采购人造成的损失。</w:t>
      </w:r>
    </w:p>
    <w:p>
      <w:pPr>
        <w:ind w:firstLine="720" w:firstLineChars="300"/>
        <w:rPr>
          <w:color w:val="auto"/>
          <w:szCs w:val="32"/>
          <w:highlight w:val="none"/>
        </w:rPr>
      </w:pPr>
      <w:r>
        <w:rPr>
          <w:rFonts w:hint="eastAsia"/>
          <w:color w:val="auto"/>
          <w:szCs w:val="32"/>
          <w:highlight w:val="none"/>
        </w:rPr>
        <w:t>安装标准：符合我国国家有关技术规范要求和技术标准，所有的软件和硬件必须保证同时安装到位。</w:t>
      </w:r>
    </w:p>
    <w:p>
      <w:pPr>
        <w:ind w:firstLine="720" w:firstLineChars="300"/>
        <w:rPr>
          <w:color w:val="auto"/>
          <w:szCs w:val="32"/>
          <w:highlight w:val="none"/>
        </w:rPr>
      </w:pPr>
      <w:r>
        <w:rPr>
          <w:rFonts w:hint="eastAsia"/>
          <w:color w:val="auto"/>
          <w:szCs w:val="32"/>
          <w:highlight w:val="none"/>
        </w:rPr>
        <w:t>中标人应免费提供合同货物的安装服务。</w:t>
      </w:r>
    </w:p>
    <w:p>
      <w:pPr>
        <w:ind w:firstLine="720" w:firstLineChars="300"/>
        <w:rPr>
          <w:rFonts w:ascii="宋体" w:hAnsi="宋体" w:cs="宋体"/>
          <w:color w:val="auto"/>
          <w:highlight w:val="none"/>
        </w:rPr>
      </w:pPr>
      <w:r>
        <w:rPr>
          <w:rFonts w:hint="eastAsia"/>
          <w:color w:val="auto"/>
          <w:szCs w:val="32"/>
          <w:highlight w:val="none"/>
        </w:rPr>
        <w:t>中标人在投标文件中应提供安装调试计划、对安装场地和环境的要求。</w:t>
      </w:r>
    </w:p>
    <w:p>
      <w:pPr>
        <w:pStyle w:val="2"/>
        <w:rPr>
          <w:rFonts w:ascii="宋体" w:hAnsi="宋体" w:cs="宋体"/>
          <w:color w:val="auto"/>
          <w:highlight w:val="none"/>
        </w:rPr>
      </w:pPr>
    </w:p>
    <w:p>
      <w:pPr>
        <w:pStyle w:val="2"/>
        <w:rPr>
          <w:rFonts w:ascii="宋体" w:hAnsi="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18"/>
    <w:p>
      <w:pPr>
        <w:pStyle w:val="4"/>
        <w:rPr>
          <w:color w:val="auto"/>
          <w:highlight w:val="none"/>
        </w:rPr>
      </w:pPr>
      <w:bookmarkStart w:id="37" w:name="_Toc17984"/>
      <w:r>
        <w:rPr>
          <w:rFonts w:hint="eastAsia" w:cs="宋体"/>
          <w:color w:val="auto"/>
          <w:highlight w:val="none"/>
        </w:rPr>
        <w:t>第三章 投标人须知</w:t>
      </w:r>
      <w:bookmarkEnd w:id="37"/>
    </w:p>
    <w:p>
      <w:pPr>
        <w:pStyle w:val="5"/>
        <w:jc w:val="center"/>
        <w:rPr>
          <w:rFonts w:ascii="宋体" w:hAnsi="宋体" w:cs="宋体"/>
          <w:color w:val="auto"/>
          <w:highlight w:val="none"/>
        </w:rPr>
      </w:pPr>
      <w:bookmarkStart w:id="38" w:name="_Toc21699"/>
      <w:bookmarkStart w:id="39" w:name="_Toc2290"/>
      <w:bookmarkStart w:id="40" w:name="_Toc452457413"/>
      <w:r>
        <w:rPr>
          <w:rFonts w:hint="eastAsia" w:ascii="宋体" w:hAnsi="宋体" w:cs="宋体"/>
          <w:color w:val="auto"/>
          <w:highlight w:val="none"/>
        </w:rPr>
        <w:t>前 附 表</w:t>
      </w:r>
      <w:bookmarkEnd w:id="38"/>
      <w:bookmarkEnd w:id="39"/>
      <w:bookmarkEnd w:id="40"/>
    </w:p>
    <w:tbl>
      <w:tblPr>
        <w:tblStyle w:val="3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ind w:firstLine="480"/>
              <w:rPr>
                <w:rFonts w:hint="eastAsia" w:ascii="宋体" w:hAnsi="宋体" w:cs="宋体"/>
                <w:color w:val="auto"/>
                <w:highlight w:val="none"/>
              </w:rPr>
            </w:pPr>
            <w:r>
              <w:rPr>
                <w:rFonts w:hint="eastAsia" w:ascii="宋体" w:hAnsi="宋体" w:cs="宋体"/>
                <w:color w:val="auto"/>
                <w:highlight w:val="none"/>
              </w:rPr>
              <w:t>本次投标采用人民币报价。</w:t>
            </w:r>
          </w:p>
          <w:p>
            <w:pPr>
              <w:ind w:firstLine="480"/>
              <w:rPr>
                <w:rFonts w:hint="eastAsia" w:ascii="宋体" w:hAnsi="宋体" w:cs="宋体"/>
                <w:color w:val="auto"/>
                <w:highlight w:val="none"/>
              </w:rPr>
            </w:pPr>
            <w:r>
              <w:rPr>
                <w:rFonts w:hint="eastAsia" w:ascii="宋体" w:hAnsi="宋体" w:cs="宋体"/>
                <w:color w:val="auto"/>
                <w:highlight w:val="none"/>
              </w:rPr>
              <w:t>有关本项目建设所需的技术方案编写、设备购置费、安装调试和系统集成费、验收、质保期运行维护、技术支持、测试费、培训费、售后服务和税金等费用均计入报价。《投标（开标）一览表》是报价的唯一载体。投标文件中价格全部采用人民币报价。招标文件未列明，而投标人认为必需的费用也需列入报价。</w:t>
            </w:r>
          </w:p>
          <w:p>
            <w:pPr>
              <w:ind w:firstLine="480"/>
              <w:rPr>
                <w:rFonts w:hint="eastAsia" w:ascii="宋体" w:hAnsi="宋体" w:cs="宋体"/>
                <w:color w:val="auto"/>
                <w:highlight w:val="none"/>
              </w:rPr>
            </w:pPr>
            <w:r>
              <w:rPr>
                <w:rFonts w:hint="eastAsia" w:ascii="宋体" w:hAnsi="宋体" w:cs="宋体"/>
                <w:color w:val="auto"/>
                <w:highlight w:val="none"/>
              </w:rPr>
              <w:t>投标报价出现下列情形的，投标无效：</w:t>
            </w:r>
          </w:p>
          <w:p>
            <w:pPr>
              <w:ind w:firstLine="480"/>
              <w:rPr>
                <w:rFonts w:hint="eastAsia" w:ascii="宋体" w:hAnsi="宋体" w:cs="宋体"/>
                <w:color w:val="auto"/>
                <w:highlight w:val="none"/>
              </w:rPr>
            </w:pPr>
            <w:r>
              <w:rPr>
                <w:rFonts w:hint="eastAsia" w:ascii="宋体" w:hAnsi="宋体" w:cs="宋体"/>
                <w:color w:val="auto"/>
                <w:highlight w:val="none"/>
              </w:rPr>
              <w:t>★投标文件出现不是唯一的、有选择性投标报价的；</w:t>
            </w:r>
          </w:p>
          <w:p>
            <w:pPr>
              <w:ind w:firstLine="480"/>
              <w:rPr>
                <w:rFonts w:hint="eastAsia" w:ascii="宋体" w:hAnsi="宋体" w:cs="宋体"/>
                <w:color w:val="auto"/>
                <w:highlight w:val="none"/>
              </w:rPr>
            </w:pPr>
            <w:r>
              <w:rPr>
                <w:rFonts w:hint="eastAsia" w:ascii="宋体" w:hAnsi="宋体" w:cs="宋体"/>
                <w:color w:val="auto"/>
                <w:highlight w:val="none"/>
              </w:rPr>
              <w:t>★投标报价高于本项目采购预算或者最高限价的;</w:t>
            </w:r>
          </w:p>
          <w:p>
            <w:pPr>
              <w:ind w:firstLine="480"/>
              <w:rPr>
                <w:rFonts w:hint="eastAsia" w:ascii="宋体" w:hAnsi="宋体" w:cs="宋体"/>
                <w:color w:val="auto"/>
                <w:highlight w:val="none"/>
              </w:rPr>
            </w:pPr>
            <w:r>
              <w:rPr>
                <w:rFonts w:hint="eastAsia" w:ascii="宋体" w:hAnsi="宋体" w:cs="宋体"/>
                <w:color w:val="auto"/>
                <w:highlight w:val="none"/>
              </w:rPr>
              <w:t>★报价明显低于其他通过符合性审查投标人的报价，有可能影响产品质量或者不能诚信履约的，未能按要求提供书面说明或者提交相关证明材料，不能证明其报价合理性的;</w:t>
            </w:r>
          </w:p>
          <w:p>
            <w:pPr>
              <w:ind w:firstLine="480"/>
              <w:rPr>
                <w:rFonts w:hint="eastAsia" w:ascii="宋体" w:hAnsi="宋体" w:cs="宋体"/>
                <w:color w:val="auto"/>
                <w:highlight w:val="none"/>
              </w:rPr>
            </w:pPr>
            <w:r>
              <w:rPr>
                <w:rFonts w:hint="eastAsia" w:ascii="宋体" w:hAnsi="宋体" w:cs="宋体"/>
                <w:color w:val="auto"/>
                <w:highlight w:val="none"/>
              </w:rPr>
              <w:t>★《投标（开标）一览表》填写不完整或字迹不能辨认或有漏项的；</w:t>
            </w:r>
          </w:p>
          <w:p>
            <w:pPr>
              <w:ind w:firstLine="480"/>
              <w:rPr>
                <w:rFonts w:ascii="仿宋" w:hAnsi="仿宋" w:eastAsia="仿宋" w:cs="仿宋_GB2312"/>
                <w:b/>
                <w:color w:val="auto"/>
                <w:highlight w:val="none"/>
              </w:rPr>
            </w:pPr>
            <w:r>
              <w:rPr>
                <w:rFonts w:hint="eastAsia" w:ascii="宋体" w:hAnsi="宋体" w:cs="宋体"/>
                <w:color w:val="auto"/>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12"/>
              </w:numPr>
              <w:ind w:firstLine="0" w:firstLineChars="0"/>
              <w:rPr>
                <w:color w:val="auto"/>
                <w:highlight w:val="none"/>
              </w:rPr>
            </w:pPr>
            <w:r>
              <w:rPr>
                <w:rFonts w:hint="eastAsia"/>
                <w:color w:val="auto"/>
                <w:highlight w:val="none"/>
              </w:rPr>
              <w:t>采购人不同意分包。</w:t>
            </w:r>
          </w:p>
          <w:p>
            <w:pPr>
              <w:pStyle w:val="9"/>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w:t>
            </w:r>
            <w:r>
              <w:rPr>
                <w:rFonts w:hint="eastAsia"/>
                <w:color w:val="auto"/>
                <w:highlight w:val="none"/>
                <w:lang w:val="en-US" w:eastAsia="zh-CN"/>
              </w:rPr>
              <w:t>四</w:t>
            </w:r>
            <w:r>
              <w:rPr>
                <w:rFonts w:hint="eastAsia"/>
                <w:color w:val="auto"/>
                <w:highlight w:val="none"/>
              </w:rPr>
              <w:t>份；商务技术文件正本一份，副本</w:t>
            </w:r>
            <w:r>
              <w:rPr>
                <w:rFonts w:hint="eastAsia"/>
                <w:color w:val="auto"/>
                <w:highlight w:val="none"/>
                <w:lang w:val="en-US" w:eastAsia="zh-CN"/>
              </w:rPr>
              <w:t>四</w:t>
            </w:r>
            <w:r>
              <w:rPr>
                <w:rFonts w:hint="eastAsia"/>
                <w:color w:val="auto"/>
                <w:highlight w:val="none"/>
              </w:rPr>
              <w:t>份。</w:t>
            </w:r>
          </w:p>
          <w:p>
            <w:pPr>
              <w:ind w:firstLine="0" w:firstLineChars="0"/>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现场</w:t>
            </w:r>
            <w:r>
              <w:rPr>
                <w:rFonts w:hint="eastAsia" w:ascii="宋体" w:hAnsi="宋体" w:cs="宋体"/>
                <w:color w:val="auto"/>
                <w:highlight w:val="none"/>
              </w:rPr>
              <w:t>演示</w:t>
            </w:r>
          </w:p>
        </w:tc>
        <w:tc>
          <w:tcPr>
            <w:tcW w:w="6670" w:type="dxa"/>
            <w:vAlign w:val="center"/>
          </w:tcPr>
          <w:p>
            <w:pPr>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采用现场演示和验证的方式，时长15分钟内，ppt演示、动画演示、不演示作无效供应商处理。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ind w:firstLine="480"/>
              <w:jc w:val="left"/>
              <w:rPr>
                <w:rFonts w:hint="eastAsia" w:ascii="宋体" w:hAnsi="宋体" w:cs="宋体"/>
                <w:color w:val="auto"/>
                <w:highlight w:val="none"/>
              </w:rPr>
            </w:pPr>
            <w:r>
              <w:rPr>
                <w:rFonts w:hint="eastAsia" w:ascii="宋体" w:hAnsi="宋体" w:cs="宋体"/>
                <w:color w:val="auto"/>
                <w:highlight w:val="none"/>
              </w:rPr>
              <w:t>(1)参照浙价服[2003]77号文规定的招标费率七折收取，按照中标通知书确定的金额，向中标人收取服务费，不足3000按3000收取。</w:t>
            </w:r>
          </w:p>
          <w:p>
            <w:pPr>
              <w:ind w:firstLine="480"/>
              <w:jc w:val="left"/>
              <w:rPr>
                <w:rFonts w:hint="eastAsia"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w:t>
            </w:r>
          </w:p>
          <w:p>
            <w:pPr>
              <w:ind w:firstLine="480"/>
              <w:jc w:val="left"/>
              <w:rPr>
                <w:rFonts w:hint="eastAsia" w:ascii="宋体" w:hAnsi="宋体" w:cs="宋体"/>
                <w:color w:val="auto"/>
                <w:highlight w:val="none"/>
              </w:rPr>
            </w:pPr>
            <w:r>
              <w:rPr>
                <w:rFonts w:hint="eastAsia" w:ascii="宋体" w:hAnsi="宋体" w:cs="宋体"/>
                <w:color w:val="auto"/>
                <w:highlight w:val="none"/>
              </w:rPr>
              <w:t>(3)招标代理服务费以电汇方式支付。</w:t>
            </w:r>
          </w:p>
          <w:p>
            <w:pPr>
              <w:ind w:firstLine="480"/>
              <w:jc w:val="left"/>
              <w:rPr>
                <w:rFonts w:hint="eastAsia" w:ascii="宋体" w:hAnsi="宋体" w:cs="宋体"/>
                <w:color w:val="auto"/>
                <w:highlight w:val="none"/>
              </w:rPr>
            </w:pPr>
            <w:r>
              <w:rPr>
                <w:rFonts w:hint="eastAsia" w:ascii="宋体" w:hAnsi="宋体" w:cs="宋体"/>
                <w:color w:val="auto"/>
                <w:highlight w:val="none"/>
              </w:rPr>
              <w:t>(4)服务费缴纳账号：</w:t>
            </w:r>
          </w:p>
          <w:p>
            <w:pPr>
              <w:ind w:firstLine="480"/>
              <w:jc w:val="left"/>
              <w:rPr>
                <w:rFonts w:hint="eastAsia" w:ascii="宋体" w:hAnsi="宋体" w:cs="宋体"/>
                <w:color w:val="auto"/>
                <w:highlight w:val="none"/>
              </w:rPr>
            </w:pPr>
            <w:r>
              <w:rPr>
                <w:rFonts w:hint="eastAsia" w:ascii="宋体" w:hAnsi="宋体" w:cs="宋体"/>
                <w:color w:val="auto"/>
                <w:highlight w:val="none"/>
              </w:rPr>
              <w:t>单位名称：浙江五石工程咨询有限公司萧山分公司</w:t>
            </w:r>
          </w:p>
          <w:p>
            <w:pPr>
              <w:ind w:firstLine="480"/>
              <w:jc w:val="left"/>
              <w:rPr>
                <w:rFonts w:hint="eastAsia" w:ascii="宋体" w:hAnsi="宋体" w:cs="宋体"/>
                <w:color w:val="auto"/>
                <w:highlight w:val="none"/>
              </w:rPr>
            </w:pPr>
            <w:r>
              <w:rPr>
                <w:rFonts w:hint="eastAsia" w:ascii="宋体" w:hAnsi="宋体" w:cs="宋体"/>
                <w:color w:val="auto"/>
                <w:highlight w:val="none"/>
              </w:rPr>
              <w:t>开户银行：浙江民泰商业银行杭州钱江新城支行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13"/>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13"/>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13"/>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11"/>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11"/>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11"/>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5"/>
        <w:jc w:val="center"/>
        <w:rPr>
          <w:rFonts w:ascii="宋体" w:hAnsi="宋体" w:cs="宋体"/>
          <w:color w:val="auto"/>
          <w:highlight w:val="none"/>
        </w:rPr>
      </w:pPr>
      <w:bookmarkStart w:id="41" w:name="_Toc246996175"/>
      <w:bookmarkStart w:id="42" w:name="_Toc144974497"/>
      <w:bookmarkStart w:id="43" w:name="_Toc452457414"/>
      <w:bookmarkStart w:id="44" w:name="_Toc247085689"/>
      <w:bookmarkStart w:id="45" w:name="_Toc296602420"/>
      <w:bookmarkStart w:id="46" w:name="_Toc152045529"/>
      <w:bookmarkStart w:id="47" w:name="_Toc179632546"/>
      <w:bookmarkStart w:id="48" w:name="_Toc246996918"/>
      <w:bookmarkStart w:id="49" w:name="_Toc152042305"/>
      <w:r>
        <w:rPr>
          <w:rFonts w:hint="eastAsia" w:ascii="宋体" w:hAnsi="宋体" w:cs="宋体"/>
          <w:color w:val="auto"/>
          <w:highlight w:val="none"/>
        </w:rPr>
        <w:br w:type="page"/>
      </w:r>
      <w:bookmarkEnd w:id="41"/>
      <w:bookmarkEnd w:id="42"/>
      <w:bookmarkEnd w:id="43"/>
      <w:bookmarkEnd w:id="44"/>
      <w:bookmarkEnd w:id="45"/>
      <w:bookmarkEnd w:id="46"/>
      <w:bookmarkEnd w:id="47"/>
      <w:bookmarkEnd w:id="48"/>
      <w:bookmarkEnd w:id="49"/>
      <w:bookmarkStart w:id="50" w:name="_Toc2440"/>
      <w:bookmarkStart w:id="51" w:name="_Toc22147"/>
      <w:bookmarkStart w:id="52" w:name="_Toc152045530"/>
      <w:bookmarkStart w:id="53" w:name="_Toc144974498"/>
      <w:bookmarkStart w:id="54" w:name="_Toc179632547"/>
      <w:bookmarkStart w:id="55" w:name="_Toc247085690"/>
      <w:bookmarkStart w:id="56" w:name="_Toc246996919"/>
      <w:bookmarkStart w:id="57" w:name="_Toc296602421"/>
      <w:bookmarkStart w:id="58" w:name="_Toc152042306"/>
      <w:bookmarkStart w:id="59" w:name="_Toc246996176"/>
      <w:r>
        <w:rPr>
          <w:rFonts w:hint="eastAsia" w:ascii="宋体" w:hAnsi="宋体" w:cs="宋体"/>
          <w:color w:val="auto"/>
          <w:highlight w:val="none"/>
        </w:rPr>
        <w:t>第一节 总 则</w:t>
      </w:r>
      <w:bookmarkEnd w:id="50"/>
      <w:bookmarkEnd w:id="51"/>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w:t>
      </w:r>
      <w:r>
        <w:rPr>
          <w:rFonts w:hint="eastAsia" w:ascii="宋体" w:hAnsi="宋体" w:cs="宋体"/>
          <w:color w:val="auto"/>
          <w:highlight w:val="none"/>
          <w:lang w:eastAsia="zh-CN"/>
        </w:rPr>
        <w:t>浙江机电职业技术学院</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6"/>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20"/>
        <w:numPr>
          <w:ilvl w:val="0"/>
          <w:numId w:val="14"/>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14"/>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20"/>
        <w:numPr>
          <w:ilvl w:val="0"/>
          <w:numId w:val="14"/>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w:t>
      </w:r>
      <w:r>
        <w:rPr>
          <w:rFonts w:hint="eastAsia" w:hAnsi="宋体" w:cs="宋体"/>
          <w:color w:val="auto"/>
          <w:sz w:val="24"/>
          <w:szCs w:val="24"/>
          <w:highlight w:val="none"/>
          <w:lang w:eastAsia="zh-CN"/>
        </w:rPr>
        <w:t>87919156</w:t>
      </w:r>
      <w:r>
        <w:rPr>
          <w:rFonts w:hint="eastAsia" w:hAnsi="宋体" w:cs="宋体"/>
          <w:color w:val="auto"/>
          <w:sz w:val="24"/>
          <w:szCs w:val="24"/>
          <w:highlight w:val="none"/>
        </w:rPr>
        <w:t>，</w:t>
      </w:r>
    </w:p>
    <w:p>
      <w:pPr>
        <w:pStyle w:val="20"/>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20"/>
        <w:numPr>
          <w:ilvl w:val="0"/>
          <w:numId w:val="15"/>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15"/>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20"/>
        <w:numPr>
          <w:ilvl w:val="0"/>
          <w:numId w:val="15"/>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20"/>
        <w:numPr>
          <w:ilvl w:val="0"/>
          <w:numId w:val="15"/>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6"/>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numPr>
          <w:ilvl w:val="0"/>
          <w:numId w:val="0"/>
        </w:numPr>
        <w:ind w:firstLine="48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60" w:name="_Toc91899879"/>
      <w:bookmarkStart w:id="61" w:name="_Toc16985"/>
      <w:r>
        <w:rPr>
          <w:rFonts w:hint="eastAsia" w:ascii="宋体" w:hAnsi="宋体" w:cs="宋体"/>
          <w:b/>
          <w:bCs/>
          <w:color w:val="auto"/>
          <w:sz w:val="28"/>
          <w:szCs w:val="32"/>
          <w:highlight w:val="none"/>
        </w:rPr>
        <w:t>第二节 招标文件</w:t>
      </w:r>
      <w:bookmarkEnd w:id="60"/>
      <w:r>
        <w:rPr>
          <w:rFonts w:hint="eastAsia" w:ascii="宋体" w:hAnsi="宋体" w:cs="宋体"/>
          <w:b/>
          <w:bCs/>
          <w:color w:val="auto"/>
          <w:sz w:val="28"/>
          <w:szCs w:val="32"/>
          <w:highlight w:val="none"/>
        </w:rPr>
        <w:t>的构成、澄清、修改</w:t>
      </w:r>
      <w:bookmarkEnd w:id="61"/>
    </w:p>
    <w:p>
      <w:pPr>
        <w:pStyle w:val="6"/>
        <w:rPr>
          <w:rFonts w:ascii="宋体" w:hAnsi="宋体" w:cs="宋体"/>
          <w:color w:val="auto"/>
          <w:highlight w:val="none"/>
        </w:rPr>
      </w:pPr>
      <w:bookmarkStart w:id="62" w:name="_Toc91899880"/>
      <w:bookmarkStart w:id="63" w:name="_Hlt74730307"/>
      <w:r>
        <w:rPr>
          <w:rFonts w:hint="eastAsia" w:ascii="宋体" w:hAnsi="宋体" w:cs="宋体"/>
          <w:color w:val="auto"/>
          <w:highlight w:val="none"/>
        </w:rPr>
        <w:t>一、招标文件的构成</w:t>
      </w:r>
      <w:bookmarkEnd w:id="62"/>
    </w:p>
    <w:bookmarkEnd w:id="63"/>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20"/>
        <w:numPr>
          <w:ilvl w:val="0"/>
          <w:numId w:val="1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20"/>
        <w:numPr>
          <w:ilvl w:val="0"/>
          <w:numId w:val="1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20"/>
        <w:numPr>
          <w:ilvl w:val="0"/>
          <w:numId w:val="1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20"/>
        <w:numPr>
          <w:ilvl w:val="0"/>
          <w:numId w:val="1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20"/>
        <w:numPr>
          <w:ilvl w:val="0"/>
          <w:numId w:val="1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20"/>
        <w:numPr>
          <w:ilvl w:val="0"/>
          <w:numId w:val="1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20"/>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5"/>
        <w:jc w:val="center"/>
        <w:rPr>
          <w:rFonts w:ascii="宋体" w:hAnsi="宋体" w:cs="宋体"/>
          <w:color w:val="auto"/>
          <w:highlight w:val="none"/>
        </w:rPr>
      </w:pPr>
      <w:bookmarkStart w:id="64" w:name="_Toc450840075"/>
      <w:bookmarkStart w:id="65" w:name="_Toc204"/>
      <w:bookmarkStart w:id="66" w:name="_Toc1096"/>
      <w:bookmarkStart w:id="67" w:name="_Toc82338241"/>
      <w:bookmarkStart w:id="68" w:name="_Toc82873324"/>
      <w:r>
        <w:rPr>
          <w:rFonts w:hint="eastAsia" w:ascii="宋体" w:hAnsi="宋体" w:cs="宋体"/>
          <w:color w:val="auto"/>
          <w:highlight w:val="none"/>
        </w:rPr>
        <w:t>第三节 投标文件</w:t>
      </w:r>
      <w:bookmarkEnd w:id="64"/>
      <w:bookmarkEnd w:id="65"/>
      <w:bookmarkEnd w:id="66"/>
      <w:bookmarkEnd w:id="67"/>
      <w:bookmarkEnd w:id="68"/>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法定代表人的身份证和法定代表人授权委托书（投标人的代表若为非法定代表人的，必须提交法定代表人授权书；身份证复印件、授权委托人社保证明（至少开标前三个月任1个月的社保证明）；（附件五）</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7"/>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17"/>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技术服务方案</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实施技术人员一览表</w:t>
      </w:r>
    </w:p>
    <w:p>
      <w:pPr>
        <w:numPr>
          <w:ilvl w:val="0"/>
          <w:numId w:val="17"/>
        </w:numPr>
        <w:ind w:firstLineChars="0"/>
        <w:rPr>
          <w:rFonts w:ascii="宋体" w:hAnsi="宋体" w:cs="宋体"/>
          <w:color w:val="auto"/>
          <w:highlight w:val="none"/>
        </w:rPr>
      </w:pPr>
      <w:r>
        <w:rPr>
          <w:rFonts w:hint="eastAsia" w:ascii="宋体" w:hAnsi="宋体" w:cs="宋体"/>
          <w:color w:val="auto"/>
          <w:highlight w:val="none"/>
          <w:lang w:val="en-US" w:eastAsia="zh-CN"/>
        </w:rPr>
        <w:t>质量保证措施</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培训方案</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复印件（加盖公章），相关实施经验及成功案例介绍（要求提供有关情况，包括：项目名称、项目基本内容、业主名称、联系人及电话，项目金额、实施日期等，附件十三）</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保期满后备品备件的配置清单</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附件十四</w:t>
      </w:r>
      <w:r>
        <w:rPr>
          <w:rFonts w:hint="eastAsia" w:ascii="宋体" w:hAnsi="宋体" w:cs="宋体"/>
          <w:color w:val="auto"/>
          <w:highlight w:val="none"/>
          <w:lang w:eastAsia="zh-CN"/>
        </w:rPr>
        <w:t>）</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69" w:name="_Toc12521"/>
      <w:bookmarkStart w:id="70" w:name="_Toc1"/>
      <w:r>
        <w:rPr>
          <w:rFonts w:hint="eastAsia" w:ascii="宋体" w:hAnsi="宋体" w:cs="宋体"/>
          <w:color w:val="auto"/>
          <w:highlight w:val="none"/>
        </w:rPr>
        <w:t>第四节 投标文件的递交</w:t>
      </w:r>
      <w:bookmarkEnd w:id="69"/>
      <w:bookmarkEnd w:id="70"/>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5"/>
        <w:jc w:val="center"/>
        <w:rPr>
          <w:rFonts w:ascii="宋体" w:hAnsi="宋体" w:cs="宋体"/>
          <w:color w:val="auto"/>
          <w:highlight w:val="none"/>
        </w:rPr>
      </w:pPr>
      <w:bookmarkStart w:id="71" w:name="_Toc20835"/>
      <w:bookmarkStart w:id="72" w:name="_Toc27893"/>
      <w:r>
        <w:rPr>
          <w:rFonts w:hint="eastAsia" w:ascii="宋体" w:hAnsi="宋体" w:cs="宋体"/>
          <w:color w:val="auto"/>
          <w:highlight w:val="none"/>
        </w:rPr>
        <w:t>第五节 开标</w:t>
      </w:r>
      <w:bookmarkEnd w:id="71"/>
      <w:bookmarkEnd w:id="72"/>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73" w:name="_Toc13357"/>
      <w:bookmarkStart w:id="74" w:name="_Toc13687"/>
      <w:r>
        <w:rPr>
          <w:rFonts w:hint="eastAsia" w:ascii="宋体" w:hAnsi="宋体" w:cs="宋体"/>
          <w:color w:val="auto"/>
          <w:highlight w:val="none"/>
        </w:rPr>
        <w:t>第六节 评标</w:t>
      </w:r>
      <w:bookmarkEnd w:id="73"/>
      <w:bookmarkEnd w:id="74"/>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w:t>
      </w:r>
      <w:r>
        <w:rPr>
          <w:rFonts w:hint="eastAsia" w:ascii="宋体" w:hAnsi="宋体" w:cs="宋体"/>
          <w:color w:val="auto"/>
          <w:highlight w:val="none"/>
          <w:lang w:val="en-US" w:eastAsia="zh-CN"/>
        </w:rPr>
        <w:t>型号</w:t>
      </w:r>
      <w:r>
        <w:rPr>
          <w:rFonts w:hint="eastAsia" w:ascii="宋体" w:hAnsi="宋体" w:cs="宋体"/>
          <w:color w:val="auto"/>
          <w:highlight w:val="none"/>
        </w:rPr>
        <w:t>产品且通过资格审查、符合性审查的不同投标人参加同一合同项下投标的，按一家投标人计算，评审后得分最高的同品牌</w:t>
      </w:r>
      <w:r>
        <w:rPr>
          <w:rFonts w:hint="eastAsia" w:ascii="宋体" w:hAnsi="宋体" w:cs="宋体"/>
          <w:color w:val="auto"/>
          <w:highlight w:val="none"/>
          <w:lang w:val="en-US" w:eastAsia="zh-CN"/>
        </w:rPr>
        <w:t>型号</w:t>
      </w:r>
      <w:r>
        <w:rPr>
          <w:rFonts w:hint="eastAsia" w:ascii="宋体" w:hAnsi="宋体" w:cs="宋体"/>
          <w:color w:val="auto"/>
          <w:highlight w:val="none"/>
        </w:rPr>
        <w:t>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w:t>
      </w:r>
      <w:r>
        <w:rPr>
          <w:rFonts w:hint="eastAsia" w:ascii="宋体" w:hAnsi="宋体" w:cs="宋体"/>
          <w:color w:val="auto"/>
          <w:highlight w:val="none"/>
          <w:lang w:val="en-US" w:eastAsia="zh-CN"/>
        </w:rPr>
        <w:t>型号</w:t>
      </w:r>
      <w:r>
        <w:rPr>
          <w:rFonts w:hint="eastAsia" w:ascii="宋体" w:hAnsi="宋体" w:cs="宋体"/>
          <w:color w:val="auto"/>
          <w:highlight w:val="none"/>
        </w:rPr>
        <w:t>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75" w:name="_Toc31535"/>
      <w:bookmarkStart w:id="76" w:name="_Toc24239"/>
      <w:r>
        <w:rPr>
          <w:rFonts w:hint="eastAsia" w:ascii="宋体" w:hAnsi="宋体" w:cs="宋体"/>
          <w:color w:val="auto"/>
          <w:highlight w:val="none"/>
        </w:rPr>
        <w:t>第七节 授予合同</w:t>
      </w:r>
      <w:bookmarkEnd w:id="75"/>
      <w:bookmarkEnd w:id="76"/>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w:t>
      </w:r>
      <w:r>
        <w:rPr>
          <w:rFonts w:hint="eastAsia" w:ascii="宋体" w:hAnsi="宋体" w:cs="宋体"/>
          <w:color w:val="auto"/>
          <w:highlight w:val="none"/>
          <w:lang w:eastAsia="zh-CN"/>
        </w:rPr>
        <w:t>浙江机电职业技术学院</w:t>
      </w:r>
      <w:r>
        <w:rPr>
          <w:rFonts w:hint="eastAsia" w:ascii="宋体" w:hAnsi="宋体" w:cs="宋体"/>
          <w:color w:val="auto"/>
          <w:highlight w:val="none"/>
        </w:rPr>
        <w:t>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
        <w:rPr>
          <w:rFonts w:ascii="宋体" w:hAnsi="宋体" w:cs="宋体"/>
          <w:color w:val="auto"/>
          <w:highlight w:val="none"/>
        </w:rPr>
      </w:pPr>
    </w:p>
    <w:p>
      <w:pPr>
        <w:pStyle w:val="5"/>
        <w:jc w:val="center"/>
        <w:rPr>
          <w:rFonts w:ascii="宋体" w:hAnsi="宋体" w:cs="宋体"/>
          <w:color w:val="auto"/>
          <w:highlight w:val="none"/>
        </w:rPr>
      </w:pPr>
      <w:bookmarkStart w:id="77" w:name="_Toc12481"/>
      <w:bookmarkStart w:id="78" w:name="_Toc15220"/>
      <w:r>
        <w:rPr>
          <w:rFonts w:hint="eastAsia" w:ascii="宋体" w:hAnsi="宋体" w:cs="宋体"/>
          <w:color w:val="auto"/>
          <w:highlight w:val="none"/>
        </w:rPr>
        <w:t>第八节 例外处理</w:t>
      </w:r>
      <w:bookmarkEnd w:id="77"/>
      <w:bookmarkEnd w:id="78"/>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79" w:name="_Toc82873316"/>
      <w:bookmarkStart w:id="80" w:name="_Toc82338233"/>
      <w:bookmarkStart w:id="81" w:name="_Toc450840079"/>
      <w:bookmarkStart w:id="82" w:name="_Toc20600"/>
      <w:r>
        <w:rPr>
          <w:rFonts w:hint="eastAsia" w:cs="宋体"/>
          <w:color w:val="auto"/>
          <w:highlight w:val="none"/>
        </w:rPr>
        <w:t xml:space="preserve">第四章 </w:t>
      </w:r>
      <w:bookmarkEnd w:id="79"/>
      <w:bookmarkEnd w:id="80"/>
      <w:bookmarkEnd w:id="81"/>
      <w:r>
        <w:rPr>
          <w:rFonts w:hint="eastAsia" w:cs="宋体"/>
          <w:color w:val="auto"/>
          <w:highlight w:val="none"/>
        </w:rPr>
        <w:t>评标办法及评分标准</w:t>
      </w:r>
      <w:bookmarkEnd w:id="82"/>
    </w:p>
    <w:p>
      <w:pPr>
        <w:pStyle w:val="5"/>
        <w:rPr>
          <w:rFonts w:ascii="宋体" w:hAnsi="宋体" w:cs="宋体"/>
          <w:color w:val="auto"/>
          <w:highlight w:val="none"/>
        </w:rPr>
      </w:pPr>
      <w:bookmarkStart w:id="83" w:name="_Toc3811"/>
      <w:bookmarkStart w:id="84" w:name="_Toc11391"/>
      <w:bookmarkStart w:id="85" w:name="_Toc3110"/>
      <w:bookmarkStart w:id="86" w:name="OLE_LINK3"/>
      <w:r>
        <w:rPr>
          <w:rFonts w:hint="eastAsia" w:ascii="宋体" w:hAnsi="宋体" w:cs="宋体"/>
          <w:color w:val="auto"/>
          <w:highlight w:val="none"/>
        </w:rPr>
        <w:t>一、评分总则</w:t>
      </w:r>
      <w:bookmarkEnd w:id="83"/>
      <w:bookmarkEnd w:id="84"/>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以招标文件要求为基础，考虑各项相关因素的影响，将相关因素以定量计算的办法转换成分数表示形式，以最高“评标分数”确定评标结果顺序。</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本次招标的评标采用</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评标总分为100分，其中：</w:t>
      </w:r>
      <w:r>
        <w:rPr>
          <w:rFonts w:hint="eastAsia" w:ascii="宋体" w:hAnsi="宋体" w:eastAsia="宋体" w:cs="宋体"/>
          <w:b/>
          <w:color w:val="auto"/>
          <w:sz w:val="24"/>
          <w:szCs w:val="24"/>
          <w:highlight w:val="none"/>
        </w:rPr>
        <w:t>投标价格得分</w:t>
      </w:r>
      <w:r>
        <w:rPr>
          <w:rFonts w:hint="eastAsia" w:ascii="宋体" w:hAnsi="宋体" w:eastAsia="宋体" w:cs="宋体"/>
          <w:b/>
          <w:color w:val="auto"/>
          <w:sz w:val="24"/>
          <w:szCs w:val="24"/>
          <w:highlight w:val="none"/>
          <w:u w:val="single"/>
        </w:rPr>
        <w:t>3</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A</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技术和服务方案得分</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57</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B</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，投标人</w:t>
      </w:r>
      <w:r>
        <w:rPr>
          <w:rFonts w:hint="eastAsia" w:ascii="宋体" w:hAnsi="宋体" w:cs="宋体"/>
          <w:b/>
          <w:color w:val="auto"/>
          <w:sz w:val="24"/>
          <w:szCs w:val="24"/>
          <w:highlight w:val="none"/>
          <w:lang w:val="en-US" w:eastAsia="zh-CN"/>
        </w:rPr>
        <w:t>的资质和</w:t>
      </w:r>
      <w:r>
        <w:rPr>
          <w:rFonts w:hint="eastAsia" w:ascii="宋体" w:hAnsi="宋体" w:eastAsia="宋体" w:cs="宋体"/>
          <w:b/>
          <w:color w:val="auto"/>
          <w:sz w:val="24"/>
          <w:szCs w:val="24"/>
          <w:highlight w:val="none"/>
        </w:rPr>
        <w:t>业绩情况得分</w:t>
      </w:r>
      <w:r>
        <w:rPr>
          <w:rFonts w:hint="eastAsia" w:ascii="宋体" w:hAnsi="宋体" w:cs="宋体"/>
          <w:b/>
          <w:color w:val="auto"/>
          <w:sz w:val="24"/>
          <w:szCs w:val="24"/>
          <w:highlight w:val="none"/>
          <w:u w:val="single"/>
          <w:lang w:val="en-US" w:eastAsia="zh-CN"/>
        </w:rPr>
        <w:t>8</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(C)</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0"/>
        </w:tabs>
        <w:spacing w:line="360" w:lineRule="auto"/>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各投标人的技术和服务方案、投标人</w:t>
      </w:r>
      <w:r>
        <w:rPr>
          <w:rFonts w:hint="eastAsia" w:ascii="宋体" w:hAnsi="宋体" w:cs="宋体"/>
          <w:b/>
          <w:color w:val="auto"/>
          <w:sz w:val="24"/>
          <w:szCs w:val="24"/>
          <w:highlight w:val="none"/>
          <w:lang w:val="en-US" w:eastAsia="zh-CN"/>
        </w:rPr>
        <w:t>和投标产品</w:t>
      </w:r>
      <w:r>
        <w:rPr>
          <w:rFonts w:hint="eastAsia" w:ascii="宋体" w:hAnsi="宋体" w:eastAsia="宋体" w:cs="宋体"/>
          <w:b/>
          <w:color w:val="auto"/>
          <w:sz w:val="24"/>
          <w:szCs w:val="24"/>
          <w:highlight w:val="none"/>
        </w:rPr>
        <w:t>的业绩情况得分为：评标委员会各成员评分的算术平均值。各投标人的投标价格得分按投标价格评分</w:t>
      </w:r>
      <w:r>
        <w:rPr>
          <w:rFonts w:hint="eastAsia" w:ascii="宋体" w:hAnsi="宋体" w:eastAsia="宋体" w:cs="宋体"/>
          <w:b/>
          <w:color w:val="auto"/>
          <w:kern w:val="0"/>
          <w:sz w:val="24"/>
          <w:szCs w:val="24"/>
          <w:highlight w:val="none"/>
        </w:rPr>
        <w:t>公式由采购机构计算，</w:t>
      </w:r>
      <w:r>
        <w:rPr>
          <w:rFonts w:hint="eastAsia" w:ascii="宋体" w:hAnsi="宋体" w:eastAsia="宋体" w:cs="宋体"/>
          <w:b/>
          <w:color w:val="auto"/>
          <w:sz w:val="24"/>
          <w:szCs w:val="24"/>
          <w:highlight w:val="none"/>
        </w:rPr>
        <w:t>评标委员会审核。</w:t>
      </w:r>
      <w:r>
        <w:rPr>
          <w:rFonts w:hint="eastAsia" w:ascii="宋体" w:hAnsi="宋体" w:eastAsia="宋体" w:cs="宋体"/>
          <w:color w:val="auto"/>
          <w:sz w:val="24"/>
          <w:szCs w:val="24"/>
          <w:highlight w:val="none"/>
        </w:rPr>
        <w:t>根据上述评标原则，安排如下：</w:t>
      </w:r>
    </w:p>
    <w:p>
      <w:pPr>
        <w:pStyle w:val="5"/>
        <w:rPr>
          <w:rFonts w:hint="eastAsia" w:ascii="宋体" w:hAnsi="宋体" w:eastAsia="宋体" w:cs="宋体"/>
          <w:color w:val="auto"/>
          <w:sz w:val="24"/>
          <w:szCs w:val="24"/>
          <w:highlight w:val="none"/>
        </w:rPr>
      </w:pPr>
      <w:bookmarkStart w:id="87" w:name="_Toc7789"/>
      <w:r>
        <w:rPr>
          <w:rFonts w:hint="eastAsia" w:ascii="宋体" w:hAnsi="宋体" w:eastAsia="宋体" w:cs="宋体"/>
          <w:color w:val="auto"/>
          <w:sz w:val="24"/>
          <w:szCs w:val="24"/>
          <w:highlight w:val="none"/>
        </w:rPr>
        <w:t>二、评分内容及标准</w:t>
      </w:r>
      <w:bookmarkEnd w:id="85"/>
      <w:bookmarkEnd w:id="87"/>
    </w:p>
    <w:bookmarkEnd w:id="86"/>
    <w:p>
      <w:pPr>
        <w:spacing w:line="360" w:lineRule="auto"/>
        <w:ind w:firstLine="482" w:firstLineChars="200"/>
        <w:rPr>
          <w:rFonts w:hint="eastAsia" w:ascii="宋体" w:hAnsi="宋体" w:eastAsia="宋体" w:cs="宋体"/>
          <w:b/>
          <w:color w:val="auto"/>
          <w:sz w:val="24"/>
          <w:szCs w:val="24"/>
          <w:highlight w:val="none"/>
        </w:rPr>
      </w:pPr>
      <w:bookmarkStart w:id="88" w:name="_Toc82873317"/>
      <w:bookmarkStart w:id="89" w:name="_Toc82338234"/>
      <w:r>
        <w:rPr>
          <w:rFonts w:hint="eastAsia" w:ascii="宋体" w:hAnsi="宋体" w:eastAsia="宋体" w:cs="宋体"/>
          <w:b/>
          <w:color w:val="auto"/>
          <w:sz w:val="24"/>
          <w:szCs w:val="24"/>
          <w:highlight w:val="none"/>
        </w:rPr>
        <w:t>A、投标价格【A=3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pPr>
        <w:autoSpaceDE w:val="0"/>
        <w:autoSpaceDN w:val="0"/>
        <w:spacing w:line="36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投标价格的合理性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分析总报价及各个分项报价是否合理，报价范围是否完整，有否重大错漏项</w:t>
      </w:r>
      <w:r>
        <w:rPr>
          <w:rFonts w:hint="eastAsia" w:ascii="宋体" w:hAnsi="宋体" w:eastAsia="宋体" w:cs="宋体"/>
          <w:color w:val="auto"/>
          <w:sz w:val="24"/>
          <w:szCs w:val="24"/>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宋体" w:hAnsi="宋体" w:eastAsia="宋体" w:cs="宋体"/>
          <w:color w:val="auto"/>
          <w:sz w:val="24"/>
          <w:szCs w:val="24"/>
          <w:highlight w:val="none"/>
          <w:lang w:val="zh-CN"/>
        </w:rPr>
        <w:t>。</w:t>
      </w:r>
    </w:p>
    <w:p>
      <w:pPr>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报价分计算方法：根据各投标人的有效投标报价，以满足招标文件要求且有效投标价格的最低的投标报价为评标基准价，其价格分为</w:t>
      </w:r>
      <w:r>
        <w:rPr>
          <w:rFonts w:hint="eastAsia" w:ascii="宋体" w:hAnsi="宋体" w:eastAsia="宋体" w:cs="宋体"/>
          <w:color w:val="auto"/>
          <w:sz w:val="24"/>
          <w:szCs w:val="24"/>
          <w:highlight w:val="none"/>
          <w:u w:val="single"/>
          <w:lang w:val="zh-CN"/>
        </w:rPr>
        <w:t>3</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。其他投标人的价格分统一按照下列公式计算：投标报价得分＝(评标基准价/有效投标报价)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价格权值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100(精确到小数点后二位，由采购机构当场统一计算)。</w:t>
      </w:r>
    </w:p>
    <w:p>
      <w:pPr>
        <w:ind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注：本项目</w:t>
      </w:r>
      <w:r>
        <w:rPr>
          <w:rFonts w:hint="eastAsia" w:ascii="宋体" w:hAnsi="宋体" w:eastAsia="宋体" w:cs="宋体"/>
          <w:b/>
          <w:bCs/>
          <w:color w:val="auto"/>
          <w:sz w:val="24"/>
          <w:szCs w:val="24"/>
          <w:highlight w:val="none"/>
        </w:rPr>
        <w:t>根据《政府采购促进中小企业发展暂行办法》（财库【2011】181号）规定，对小型和微型企业的价格给予6%的扣除，用扣除后的价格参与评审。监狱企业视同小型、微型企业。投标报价得分=(评标基准价／投标报价*94%)×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p>
    <w:p>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B、技术和服务方案（B= </w:t>
      </w:r>
      <w:r>
        <w:rPr>
          <w:rFonts w:hint="eastAsia" w:ascii="宋体" w:hAnsi="宋体" w:cs="宋体"/>
          <w:b/>
          <w:bCs/>
          <w:color w:val="auto"/>
          <w:sz w:val="24"/>
          <w:szCs w:val="24"/>
          <w:highlight w:val="none"/>
          <w:lang w:val="en-US" w:eastAsia="zh-CN"/>
        </w:rPr>
        <w:t>57</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主要包含方案的</w:t>
      </w:r>
      <w:r>
        <w:rPr>
          <w:rFonts w:hint="eastAsia" w:ascii="宋体" w:hAnsi="宋体" w:eastAsia="宋体" w:cs="宋体"/>
          <w:bCs/>
          <w:color w:val="auto"/>
          <w:sz w:val="24"/>
          <w:szCs w:val="24"/>
          <w:highlight w:val="none"/>
        </w:rPr>
        <w:t>先进性、科学性和完整性，产品与</w:t>
      </w:r>
      <w:r>
        <w:rPr>
          <w:rFonts w:hint="eastAsia" w:ascii="宋体" w:hAnsi="宋体" w:eastAsia="宋体" w:cs="宋体"/>
          <w:color w:val="auto"/>
          <w:sz w:val="24"/>
          <w:szCs w:val="24"/>
          <w:highlight w:val="none"/>
        </w:rPr>
        <w:t>需求的吻合程度</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提供的售后服务方案、维护人员和机构等情况的服务优劣程度等方面的因素</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以及承诺和优惠。</w:t>
      </w:r>
    </w:p>
    <w:p>
      <w:pPr>
        <w:adjustRightInd w:val="0"/>
        <w:snapToGrid w:val="0"/>
        <w:spacing w:line="360" w:lineRule="auto"/>
        <w:ind w:left="361" w:right="-125" w:rightChars="-5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（1）投标方案的</w:t>
      </w:r>
      <w:r>
        <w:rPr>
          <w:rFonts w:hint="eastAsia" w:ascii="宋体" w:hAnsi="宋体" w:eastAsia="宋体" w:cs="宋体"/>
          <w:b/>
          <w:bCs/>
          <w:color w:val="auto"/>
          <w:sz w:val="24"/>
          <w:szCs w:val="24"/>
          <w:highlight w:val="none"/>
        </w:rPr>
        <w:t>科学性和完整性</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分）：</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投标方案总体设计、建设方案等，与需求的吻合程度，包括方案的科学性、先进性、可行性和扩展性，根据提供的方案内容进行评分，方案是否科学合理、安全严密、具有一定的前瞻性，是否有独到的优势</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177"/>
        <w:snapToGrid/>
        <w:spacing w:before="120" w:afterLines="0"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投标方案中</w:t>
      </w:r>
      <w:r>
        <w:rPr>
          <w:rFonts w:hint="eastAsia" w:ascii="宋体" w:hAnsi="宋体" w:eastAsia="宋体" w:cs="宋体"/>
          <w:color w:val="auto"/>
          <w:sz w:val="24"/>
          <w:szCs w:val="24"/>
          <w:highlight w:val="none"/>
        </w:rPr>
        <w:t>①</w:t>
      </w:r>
      <w:r>
        <w:rPr>
          <w:rFonts w:hint="eastAsia" w:ascii="宋体" w:hAnsi="宋体" w:eastAsia="宋体" w:cs="宋体"/>
          <w:color w:val="auto"/>
          <w:kern w:val="2"/>
          <w:sz w:val="24"/>
          <w:szCs w:val="24"/>
          <w:highlight w:val="none"/>
        </w:rPr>
        <w:t>对系统提出整合建议和措施；</w:t>
      </w:r>
      <w:r>
        <w:rPr>
          <w:rFonts w:hint="eastAsia" w:ascii="宋体" w:hAnsi="宋体" w:eastAsia="宋体" w:cs="宋体"/>
          <w:color w:val="auto"/>
          <w:sz w:val="24"/>
          <w:szCs w:val="24"/>
          <w:highlight w:val="none"/>
        </w:rPr>
        <w:t>②</w:t>
      </w:r>
      <w:r>
        <w:rPr>
          <w:rFonts w:hint="eastAsia" w:ascii="宋体" w:hAnsi="宋体" w:eastAsia="宋体" w:cs="宋体"/>
          <w:color w:val="auto"/>
          <w:kern w:val="2"/>
          <w:sz w:val="24"/>
          <w:szCs w:val="24"/>
          <w:highlight w:val="none"/>
        </w:rPr>
        <w:t>详细阐述对系统建设目标、功能模块、实现思路和关键技术的理解。</w:t>
      </w:r>
      <w:r>
        <w:rPr>
          <w:rFonts w:hint="eastAsia" w:ascii="宋体" w:hAnsi="宋体" w:eastAsia="宋体" w:cs="宋体"/>
          <w:color w:val="auto"/>
          <w:sz w:val="24"/>
          <w:szCs w:val="24"/>
          <w:highlight w:val="none"/>
        </w:rPr>
        <w:t>根据提供的方案内容进行评分，每一项</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rPr>
        <w:t>内容完整、措施有效、符合采购人实际</w:t>
      </w: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2分）；</w:t>
      </w:r>
    </w:p>
    <w:p>
      <w:pPr>
        <w:pStyle w:val="177"/>
        <w:spacing w:before="120" w:afterLines="0"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①</w:t>
      </w:r>
      <w:r>
        <w:rPr>
          <w:rFonts w:hint="eastAsia" w:ascii="宋体" w:hAnsi="宋体" w:eastAsia="宋体" w:cs="宋体"/>
          <w:color w:val="auto"/>
          <w:kern w:val="2"/>
          <w:sz w:val="24"/>
          <w:szCs w:val="24"/>
          <w:highlight w:val="none"/>
        </w:rPr>
        <w:t>投标人是</w:t>
      </w:r>
      <w:r>
        <w:rPr>
          <w:rFonts w:hint="eastAsia" w:ascii="宋体" w:hAnsi="宋体" w:eastAsia="宋体" w:cs="宋体"/>
          <w:color w:val="auto"/>
          <w:kern w:val="2"/>
          <w:sz w:val="24"/>
          <w:szCs w:val="24"/>
          <w:highlight w:val="none"/>
          <w:lang w:val="en-US" w:eastAsia="zh-CN"/>
        </w:rPr>
        <w:t>否熟悉</w:t>
      </w:r>
      <w:r>
        <w:rPr>
          <w:rFonts w:hint="eastAsia" w:ascii="宋体" w:hAnsi="宋体" w:eastAsia="宋体" w:cs="宋体"/>
          <w:color w:val="auto"/>
          <w:sz w:val="24"/>
          <w:szCs w:val="24"/>
          <w:highlight w:val="none"/>
        </w:rPr>
        <w:t>多岗位联动应急演练</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2"/>
          <w:sz w:val="24"/>
          <w:szCs w:val="24"/>
          <w:highlight w:val="none"/>
        </w:rPr>
        <w:t>工作业务流程，</w:t>
      </w:r>
      <w:r>
        <w:rPr>
          <w:rFonts w:hint="eastAsia" w:ascii="宋体" w:hAnsi="宋体" w:eastAsia="宋体" w:cs="宋体"/>
          <w:color w:val="auto"/>
          <w:sz w:val="24"/>
          <w:szCs w:val="24"/>
          <w:highlight w:val="none"/>
        </w:rPr>
        <w:t>②</w:t>
      </w:r>
      <w:r>
        <w:rPr>
          <w:rFonts w:hint="eastAsia" w:ascii="宋体" w:hAnsi="宋体" w:eastAsia="宋体" w:cs="宋体"/>
          <w:color w:val="auto"/>
          <w:kern w:val="2"/>
          <w:sz w:val="24"/>
          <w:szCs w:val="24"/>
          <w:highlight w:val="none"/>
        </w:rPr>
        <w:t>投标方案在确保阶段性任务实现的同时，是否统筹考虑了总体目标的实现。</w:t>
      </w:r>
      <w:r>
        <w:rPr>
          <w:rFonts w:hint="eastAsia" w:ascii="宋体" w:hAnsi="宋体" w:eastAsia="宋体" w:cs="宋体"/>
          <w:color w:val="auto"/>
          <w:sz w:val="24"/>
          <w:szCs w:val="24"/>
          <w:highlight w:val="none"/>
        </w:rPr>
        <w:t>根据提供的方案内容进行评分，每一项</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rPr>
        <w:t>内容完整、措施有效、符合采购人实际</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2</w:t>
      </w:r>
      <w:r>
        <w:rPr>
          <w:rFonts w:hint="eastAsia" w:ascii="宋体" w:hAnsi="宋体" w:eastAsia="宋体" w:cs="宋体"/>
          <w:color w:val="auto"/>
          <w:sz w:val="24"/>
          <w:szCs w:val="24"/>
          <w:highlight w:val="none"/>
        </w:rPr>
        <w:t>分）；</w:t>
      </w:r>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（2）投标产品与需求的吻合程度（</w:t>
      </w:r>
      <w:r>
        <w:rPr>
          <w:rFonts w:hint="eastAsia" w:ascii="宋体" w:hAnsi="宋体" w:cs="宋体"/>
          <w:b/>
          <w:color w:val="auto"/>
          <w:sz w:val="24"/>
          <w:szCs w:val="24"/>
          <w:highlight w:val="none"/>
          <w:lang w:val="en-US" w:eastAsia="zh-CN"/>
        </w:rPr>
        <w:t>17</w:t>
      </w:r>
      <w:r>
        <w:rPr>
          <w:rFonts w:hint="eastAsia" w:ascii="宋体" w:hAnsi="宋体" w:eastAsia="宋体" w:cs="宋体"/>
          <w:b/>
          <w:color w:val="auto"/>
          <w:sz w:val="24"/>
          <w:szCs w:val="24"/>
          <w:highlight w:val="none"/>
        </w:rPr>
        <w:t>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投标产品的基本功能、技术指标与需求的吻合程度和偏差情况（包括所投标产品的品牌、规格型号、详细配置、主要技术参数、随机软件等），是否能够满足标书要求。技术指标负偏离每一项扣减2分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本项分数扣完为止</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-不含演示功能部分</w:t>
      </w:r>
      <w:r>
        <w:rPr>
          <w:rFonts w:hint="eastAsia" w:ascii="宋体" w:hAnsi="宋体" w:eastAsia="宋体" w:cs="宋体"/>
          <w:color w:val="auto"/>
          <w:sz w:val="24"/>
          <w:szCs w:val="24"/>
          <w:highlight w:val="none"/>
        </w:rPr>
        <w:t xml:space="preserve">）； </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①</w:t>
      </w:r>
      <w:r>
        <w:rPr>
          <w:rFonts w:hint="eastAsia" w:ascii="宋体" w:hAnsi="宋体" w:eastAsia="宋体" w:cs="宋体"/>
          <w:color w:val="auto"/>
          <w:sz w:val="24"/>
          <w:szCs w:val="24"/>
          <w:highlight w:val="none"/>
        </w:rPr>
        <w:t>投标产品的选型上是否能够满足标书的基本要求，</w:t>
      </w:r>
      <w:r>
        <w:rPr>
          <w:rFonts w:hint="eastAsia" w:ascii="宋体" w:hAnsi="宋体" w:eastAsia="宋体" w:cs="宋体"/>
          <w:color w:val="auto"/>
          <w:kern w:val="0"/>
          <w:sz w:val="24"/>
          <w:szCs w:val="24"/>
          <w:highlight w:val="none"/>
        </w:rPr>
        <w:t>②</w:t>
      </w:r>
      <w:r>
        <w:rPr>
          <w:rFonts w:hint="eastAsia" w:ascii="宋体" w:hAnsi="宋体" w:eastAsia="宋体" w:cs="宋体"/>
          <w:color w:val="auto"/>
          <w:sz w:val="24"/>
          <w:szCs w:val="24"/>
          <w:highlight w:val="none"/>
        </w:rPr>
        <w:t>教师机系统</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技术需求和多岗位联动应急演练实训平台技术需求互联互通目且性能相当，</w:t>
      </w:r>
      <w:r>
        <w:rPr>
          <w:rFonts w:hint="eastAsia" w:ascii="宋体" w:hAnsi="宋体" w:eastAsia="宋体" w:cs="宋体"/>
          <w:color w:val="auto"/>
          <w:kern w:val="0"/>
          <w:sz w:val="24"/>
          <w:szCs w:val="24"/>
          <w:highlight w:val="none"/>
        </w:rPr>
        <w:t>③</w:t>
      </w:r>
      <w:r>
        <w:rPr>
          <w:rFonts w:hint="eastAsia" w:ascii="宋体" w:hAnsi="宋体" w:eastAsia="宋体" w:cs="宋体"/>
          <w:color w:val="auto"/>
          <w:kern w:val="0"/>
          <w:sz w:val="24"/>
          <w:szCs w:val="24"/>
          <w:highlight w:val="none"/>
          <w:lang w:val="en-US" w:eastAsia="zh-CN"/>
        </w:rPr>
        <w:t>是否</w:t>
      </w:r>
      <w:r>
        <w:rPr>
          <w:rFonts w:hint="eastAsia" w:ascii="宋体" w:hAnsi="宋体" w:eastAsia="宋体" w:cs="宋体"/>
          <w:color w:val="auto"/>
          <w:sz w:val="24"/>
          <w:szCs w:val="24"/>
          <w:highlight w:val="none"/>
        </w:rPr>
        <w:t>对招标人现有</w:t>
      </w:r>
      <w:r>
        <w:rPr>
          <w:rFonts w:hint="eastAsia" w:ascii="宋体" w:hAnsi="宋体" w:eastAsia="宋体" w:cs="宋体"/>
          <w:color w:val="auto"/>
          <w:sz w:val="24"/>
          <w:szCs w:val="24"/>
          <w:highlight w:val="none"/>
          <w:lang w:val="en-US" w:eastAsia="zh-CN"/>
        </w:rPr>
        <w:t>投标产品</w:t>
      </w:r>
      <w:r>
        <w:rPr>
          <w:rFonts w:hint="eastAsia" w:ascii="宋体" w:hAnsi="宋体" w:eastAsia="宋体" w:cs="宋体"/>
          <w:color w:val="auto"/>
          <w:sz w:val="24"/>
          <w:szCs w:val="24"/>
          <w:highlight w:val="none"/>
        </w:rPr>
        <w:t>的熟悉情况，</w:t>
      </w:r>
      <w:r>
        <w:rPr>
          <w:rFonts w:hint="eastAsia" w:ascii="宋体" w:hAnsi="宋体" w:eastAsia="宋体" w:cs="宋体"/>
          <w:color w:val="auto"/>
          <w:sz w:val="24"/>
          <w:szCs w:val="24"/>
          <w:highlight w:val="none"/>
          <w:lang w:val="en-US" w:eastAsia="zh-CN"/>
        </w:rPr>
        <w:t>提供技术资料完整性的证明。</w:t>
      </w:r>
      <w:r>
        <w:rPr>
          <w:rFonts w:hint="eastAsia" w:ascii="宋体" w:hAnsi="宋体" w:eastAsia="宋体" w:cs="宋体"/>
          <w:color w:val="auto"/>
          <w:sz w:val="24"/>
          <w:szCs w:val="24"/>
          <w:highlight w:val="none"/>
        </w:rPr>
        <w:t>投标产品的基本功能、技术指标上是否体现一定先进性、可靠性、成熟性、易维护性、可扩展性等，在同类产品中是否具有优势</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投标产品是否列入“节能产品政府采购清单”、具有</w:t>
      </w:r>
      <w:r>
        <w:rPr>
          <w:rFonts w:hint="eastAsia" w:ascii="宋体" w:hAnsi="宋体" w:eastAsia="宋体" w:cs="宋体"/>
          <w:color w:val="auto"/>
          <w:kern w:val="0"/>
          <w:sz w:val="24"/>
          <w:szCs w:val="24"/>
          <w:highlight w:val="none"/>
        </w:rPr>
        <w:t>环境标志</w:t>
      </w:r>
      <w:r>
        <w:rPr>
          <w:rFonts w:hint="eastAsia" w:ascii="宋体" w:hAnsi="宋体" w:eastAsia="宋体" w:cs="宋体"/>
          <w:color w:val="auto"/>
          <w:sz w:val="24"/>
          <w:szCs w:val="24"/>
          <w:highlight w:val="none"/>
        </w:rPr>
        <w:t>认证产品等情况</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此项由投标人提供相关证明材料，每项加</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（3）投标</w:t>
      </w:r>
      <w:r>
        <w:rPr>
          <w:rFonts w:hint="eastAsia" w:ascii="宋体" w:hAnsi="宋体" w:eastAsia="宋体" w:cs="宋体"/>
          <w:b/>
          <w:color w:val="auto"/>
          <w:sz w:val="24"/>
          <w:szCs w:val="24"/>
          <w:highlight w:val="none"/>
          <w:lang w:val="en-US" w:eastAsia="zh-CN"/>
        </w:rPr>
        <w:t>内容的现场演示</w:t>
      </w:r>
      <w:r>
        <w:rPr>
          <w:rFonts w:hint="eastAsia" w:ascii="宋体" w:hAnsi="宋体" w:cs="宋体"/>
          <w:b/>
          <w:color w:val="auto"/>
          <w:sz w:val="24"/>
          <w:szCs w:val="24"/>
          <w:highlight w:val="none"/>
          <w:lang w:val="en-US" w:eastAsia="zh-CN"/>
        </w:rPr>
        <w:t>和验证</w:t>
      </w:r>
      <w:r>
        <w:rPr>
          <w:rFonts w:hint="eastAsia" w:ascii="宋体" w:hAnsi="宋体" w:eastAsia="宋体" w:cs="宋体"/>
          <w:b/>
          <w:color w:val="auto"/>
          <w:sz w:val="24"/>
          <w:szCs w:val="24"/>
          <w:highlight w:val="none"/>
        </w:rPr>
        <w:t>情况（</w:t>
      </w:r>
      <w:r>
        <w:rPr>
          <w:rFonts w:hint="eastAsia" w:ascii="宋体" w:hAnsi="宋体" w:cs="宋体"/>
          <w:b/>
          <w:color w:val="auto"/>
          <w:sz w:val="24"/>
          <w:szCs w:val="24"/>
          <w:highlight w:val="none"/>
          <w:lang w:val="en-US" w:eastAsia="zh-CN"/>
        </w:rPr>
        <w:t>17</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根据投标人提供“项目需求说明”中需要现场演示</w:t>
      </w:r>
      <w:r>
        <w:rPr>
          <w:rFonts w:hint="eastAsia" w:ascii="宋体" w:hAnsi="宋体" w:cs="宋体"/>
          <w:b/>
          <w:color w:val="auto"/>
          <w:sz w:val="24"/>
          <w:szCs w:val="24"/>
          <w:highlight w:val="none"/>
          <w:lang w:val="en-US" w:eastAsia="zh-CN"/>
        </w:rPr>
        <w:t>和验证</w:t>
      </w:r>
      <w:r>
        <w:rPr>
          <w:rFonts w:hint="eastAsia" w:ascii="宋体" w:hAnsi="宋体" w:eastAsia="宋体" w:cs="宋体"/>
          <w:b/>
          <w:color w:val="auto"/>
          <w:sz w:val="24"/>
          <w:szCs w:val="24"/>
          <w:highlight w:val="none"/>
          <w:lang w:val="en-US" w:eastAsia="zh-CN"/>
        </w:rPr>
        <w:t>的内容及需要达到的功能一致打分，</w:t>
      </w:r>
      <w:r>
        <w:rPr>
          <w:rFonts w:hint="eastAsia" w:ascii="宋体" w:hAnsi="宋体" w:cs="宋体"/>
          <w:b/>
          <w:color w:val="auto"/>
          <w:sz w:val="24"/>
          <w:szCs w:val="24"/>
          <w:highlight w:val="none"/>
          <w:lang w:val="en-US" w:eastAsia="zh-CN"/>
        </w:rPr>
        <w:t>演示部分</w:t>
      </w:r>
      <w:r>
        <w:rPr>
          <w:rFonts w:hint="eastAsia" w:ascii="宋体" w:hAnsi="宋体" w:eastAsia="宋体" w:cs="宋体"/>
          <w:b/>
          <w:color w:val="auto"/>
          <w:sz w:val="24"/>
          <w:szCs w:val="24"/>
          <w:highlight w:val="none"/>
          <w:lang w:val="en-US" w:eastAsia="zh-CN"/>
        </w:rPr>
        <w:t>每项得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分</w:t>
      </w:r>
      <w:r>
        <w:rPr>
          <w:rFonts w:hint="eastAsia" w:ascii="宋体" w:hAnsi="宋体" w:cs="宋体"/>
          <w:b/>
          <w:color w:val="auto"/>
          <w:sz w:val="24"/>
          <w:szCs w:val="24"/>
          <w:highlight w:val="none"/>
          <w:lang w:val="en-US" w:eastAsia="zh-CN"/>
        </w:rPr>
        <w:t>，最高15分</w:t>
      </w: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现场验证部分每项得1分，最高2分。</w:t>
      </w:r>
      <w:r>
        <w:rPr>
          <w:rFonts w:hint="eastAsia" w:ascii="宋体" w:hAnsi="宋体" w:eastAsia="宋体" w:cs="宋体"/>
          <w:b/>
          <w:color w:val="auto"/>
          <w:sz w:val="24"/>
          <w:szCs w:val="24"/>
          <w:highlight w:val="none"/>
          <w:lang w:val="en-US" w:eastAsia="zh-CN"/>
        </w:rPr>
        <w:t>共</w:t>
      </w:r>
      <w:r>
        <w:rPr>
          <w:rFonts w:hint="eastAsia" w:ascii="宋体" w:hAnsi="宋体" w:cs="宋体"/>
          <w:b/>
          <w:color w:val="auto"/>
          <w:sz w:val="24"/>
          <w:szCs w:val="24"/>
          <w:highlight w:val="none"/>
          <w:lang w:val="en-US" w:eastAsia="zh-CN"/>
        </w:rPr>
        <w:t>17</w:t>
      </w:r>
      <w:r>
        <w:rPr>
          <w:rFonts w:hint="eastAsia" w:ascii="宋体" w:hAnsi="宋体" w:eastAsia="宋体" w:cs="宋体"/>
          <w:b/>
          <w:color w:val="auto"/>
          <w:sz w:val="24"/>
          <w:szCs w:val="24"/>
          <w:highlight w:val="none"/>
          <w:lang w:val="en-US" w:eastAsia="zh-CN"/>
        </w:rPr>
        <w:t>分（</w:t>
      </w:r>
      <w:r>
        <w:rPr>
          <w:rFonts w:hint="eastAsia" w:ascii="宋体" w:hAnsi="宋体" w:cs="宋体"/>
          <w:b/>
          <w:color w:val="auto"/>
          <w:sz w:val="24"/>
          <w:szCs w:val="24"/>
          <w:highlight w:val="none"/>
          <w:lang w:val="en-US" w:eastAsia="zh-CN"/>
        </w:rPr>
        <w:t>17</w:t>
      </w:r>
      <w:r>
        <w:rPr>
          <w:rFonts w:hint="eastAsia" w:ascii="宋体" w:hAnsi="宋体" w:eastAsia="宋体" w:cs="宋体"/>
          <w:b/>
          <w:color w:val="auto"/>
          <w:sz w:val="24"/>
          <w:szCs w:val="24"/>
          <w:highlight w:val="none"/>
          <w:lang w:val="en-US" w:eastAsia="zh-CN"/>
        </w:rPr>
        <w:t>分）</w:t>
      </w:r>
      <w:r>
        <w:rPr>
          <w:rFonts w:hint="eastAsia" w:ascii="宋体" w:hAnsi="宋体" w:eastAsia="宋体" w:cs="宋体"/>
          <w:color w:val="auto"/>
          <w:sz w:val="24"/>
          <w:szCs w:val="24"/>
          <w:highlight w:val="none"/>
        </w:rPr>
        <w:t>。</w:t>
      </w:r>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）售后服务方案情况（</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分）：</w:t>
      </w:r>
    </w:p>
    <w:p>
      <w:pPr>
        <w:tabs>
          <w:tab w:val="left" w:pos="0"/>
        </w:tabs>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投标人提供的售后维护机构和人员等情况，是否具有较强的服务能力，</w:t>
      </w:r>
      <w:r>
        <w:rPr>
          <w:rFonts w:hint="eastAsia" w:ascii="宋体" w:hAnsi="宋体" w:eastAsia="宋体" w:cs="宋体"/>
          <w:color w:val="auto"/>
          <w:sz w:val="24"/>
          <w:szCs w:val="24"/>
          <w:highlight w:val="none"/>
          <w:lang w:val="zh-CN"/>
        </w:rPr>
        <w:t>以及</w:t>
      </w:r>
      <w:r>
        <w:rPr>
          <w:rFonts w:hint="eastAsia" w:ascii="宋体" w:hAnsi="宋体" w:eastAsia="宋体" w:cs="宋体"/>
          <w:color w:val="auto"/>
          <w:sz w:val="24"/>
          <w:szCs w:val="24"/>
          <w:highlight w:val="none"/>
        </w:rPr>
        <w:t>较强的专业技术队伍，能提供快速的售后服务响应（</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2分）；</w:t>
      </w:r>
    </w:p>
    <w:p>
      <w:pPr>
        <w:tabs>
          <w:tab w:val="left" w:pos="0"/>
        </w:tabs>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的售后服务方案、维护人员和机构等情况，是否满足采购人的要求，及服务承诺的可行性、完整性以及服务承诺落实的保障措施，质保期内外的后续技术支持和维护能力情况等；投标设备的配件、附件、备品备件的准备和保障措施情况，其它有关资料和材料的完整性、合理性和可操作性等情况（</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tabs>
          <w:tab w:val="left" w:pos="0"/>
        </w:tabs>
        <w:ind w:firstLine="600" w:firstLineChars="250"/>
        <w:rPr>
          <w:rFonts w:hint="eastAsia" w:ascii="宋体" w:hAnsi="宋体" w:eastAsia="宋体" w:cs="宋体"/>
          <w:color w:val="auto"/>
          <w:sz w:val="24"/>
          <w:szCs w:val="24"/>
          <w:highlight w:val="none"/>
        </w:rPr>
      </w:pPr>
      <w:r>
        <w:rPr>
          <w:rFonts w:hint="eastAsia" w:ascii="宋体" w:hAnsi="宋体" w:cs="宋体"/>
          <w:color w:val="auto"/>
          <w:highlight w:val="none"/>
        </w:rPr>
        <w:t>●质保期满足招标文件，且每增加十二个月加1分，增加不足十二个月的不加分；本项最高得</w:t>
      </w:r>
      <w:r>
        <w:rPr>
          <w:rFonts w:hint="eastAsia" w:ascii="宋体" w:hAnsi="宋体" w:cs="宋体"/>
          <w:color w:val="auto"/>
          <w:highlight w:val="none"/>
          <w:lang w:val="en-US" w:eastAsia="zh-CN"/>
        </w:rPr>
        <w:t>2</w:t>
      </w:r>
      <w:r>
        <w:rPr>
          <w:rFonts w:hint="eastAsia" w:ascii="宋体" w:hAnsi="宋体" w:cs="宋体"/>
          <w:color w:val="auto"/>
          <w:highlight w:val="none"/>
        </w:rPr>
        <w:t>分。(提供相关证明文件,不提供本项不得分)</w:t>
      </w:r>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）项目组人员素质情况（</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分）：</w:t>
      </w:r>
    </w:p>
    <w:p>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 拟担任本项目经理和技术负责人的专业素质、技术能力、经验等情况。项目经理具有调动投标人各项资源能力得1分，否则不得分；项目经理和技术负责人具备</w:t>
      </w:r>
      <w:r>
        <w:rPr>
          <w:rFonts w:hint="eastAsia" w:ascii="宋体" w:hAnsi="宋体" w:eastAsia="宋体" w:cs="宋体"/>
          <w:color w:val="auto"/>
          <w:kern w:val="0"/>
          <w:sz w:val="24"/>
          <w:szCs w:val="24"/>
          <w:highlight w:val="none"/>
          <w:lang w:val="en-US" w:eastAsia="zh-CN"/>
        </w:rPr>
        <w:t>相关</w:t>
      </w:r>
      <w:r>
        <w:rPr>
          <w:rFonts w:hint="eastAsia" w:ascii="宋体" w:hAnsi="宋体" w:eastAsia="宋体" w:cs="宋体"/>
          <w:color w:val="auto"/>
          <w:kern w:val="0"/>
          <w:sz w:val="24"/>
          <w:szCs w:val="24"/>
          <w:highlight w:val="none"/>
          <w:lang w:val="zh-CN"/>
        </w:rPr>
        <w:t>证书的情况（每个证书得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zh-CN"/>
        </w:rPr>
        <w:t>分，最高得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w:t>
      </w:r>
    </w:p>
    <w:p>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 项目组实施人员专业人员素质、技术能力、专业分布等情况。具有类似项目实施经历得1分，否则不得分（</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注：要求提供所有人员近3个月的社保缴纳清单原件扫描件和上述人员身份证扫描件及证书原件扫描件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原件现场备查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）培训、测试、试运行和验收（</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投标人是否提出合理性、可行性的功能测试及验收方案（</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1分）；</w:t>
      </w: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培训计划包括①培训内容、②培训时间地点、③培训对象，④培训师资力量等；根据投标方案内容进行评分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2分）。</w:t>
      </w:r>
    </w:p>
    <w:p>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投标人提出的①功能测试的合理性、可行性情况、②试运转的合理性、可行性情况、③验收方案的合理性、可行性情况等。根据提供的方案内容进行评分，每一项内容</w:t>
      </w:r>
      <w:r>
        <w:rPr>
          <w:rFonts w:hint="eastAsia" w:ascii="宋体" w:hAnsi="宋体" w:cs="宋体"/>
          <w:color w:val="auto"/>
          <w:kern w:val="0"/>
          <w:sz w:val="24"/>
          <w:szCs w:val="24"/>
          <w:highlight w:val="none"/>
          <w:lang w:val="en-US" w:eastAsia="zh-CN"/>
        </w:rPr>
        <w:t>是否</w:t>
      </w:r>
      <w:r>
        <w:rPr>
          <w:rFonts w:hint="eastAsia" w:ascii="宋体" w:hAnsi="宋体" w:eastAsia="宋体" w:cs="宋体"/>
          <w:color w:val="auto"/>
          <w:kern w:val="0"/>
          <w:sz w:val="24"/>
          <w:szCs w:val="24"/>
          <w:highlight w:val="none"/>
        </w:rPr>
        <w:t>完整、措施有效、符合采购人实际</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w:t>
      </w:r>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）质量保证措施和建设工期情况（2分）：</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投标人按采购人要求有明确的建设质量目标，质量保证措施，并具有详细可行的实施内容及工期保证等</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投标方案是否提出符合招标文件和采购人要求，按期完成上线运行、验收等措施（</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1分）。</w:t>
      </w:r>
    </w:p>
    <w:p>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）优惠和承诺（2分）：</w:t>
      </w:r>
      <w:r>
        <w:rPr>
          <w:rFonts w:hint="eastAsia" w:ascii="宋体" w:hAnsi="宋体" w:eastAsia="宋体" w:cs="宋体"/>
          <w:color w:val="auto"/>
          <w:sz w:val="24"/>
          <w:szCs w:val="24"/>
          <w:highlight w:val="none"/>
        </w:rPr>
        <w:t>投标人提出的优惠条件和承诺情况，包括与其他软件、硬件产品供应商的合作和可实现程度等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w:t>
      </w:r>
    </w:p>
    <w:p>
      <w:pPr>
        <w:snapToGrid w:val="0"/>
        <w:spacing w:line="360" w:lineRule="auto"/>
        <w:ind w:left="120" w:leftChars="5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C、投标人</w:t>
      </w:r>
      <w:r>
        <w:rPr>
          <w:rFonts w:hint="eastAsia" w:ascii="宋体" w:hAnsi="宋体" w:cs="宋体"/>
          <w:b/>
          <w:color w:val="auto"/>
          <w:sz w:val="24"/>
          <w:highlight w:val="none"/>
          <w:lang w:val="en-US" w:eastAsia="zh-CN"/>
        </w:rPr>
        <w:t>和投标产品</w:t>
      </w:r>
      <w:r>
        <w:rPr>
          <w:rFonts w:hint="eastAsia" w:ascii="宋体" w:hAnsi="宋体" w:eastAsia="宋体" w:cs="宋体"/>
          <w:b/>
          <w:color w:val="auto"/>
          <w:sz w:val="24"/>
          <w:highlight w:val="none"/>
        </w:rPr>
        <w:t>的业绩情况</w:t>
      </w:r>
      <w:r>
        <w:rPr>
          <w:rFonts w:hint="eastAsia" w:ascii="宋体" w:hAnsi="宋体" w:eastAsia="宋体" w:cs="宋体"/>
          <w:b/>
          <w:bCs/>
          <w:color w:val="auto"/>
          <w:sz w:val="24"/>
          <w:highlight w:val="none"/>
        </w:rPr>
        <w:t>（C=</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主要包含投标人</w:t>
      </w:r>
      <w:r>
        <w:rPr>
          <w:rFonts w:hint="eastAsia" w:ascii="宋体" w:hAnsi="宋体" w:cs="宋体"/>
          <w:color w:val="auto"/>
          <w:sz w:val="24"/>
          <w:highlight w:val="none"/>
          <w:lang w:val="en-US" w:eastAsia="zh-CN"/>
        </w:rPr>
        <w:t>和投标产品</w:t>
      </w:r>
      <w:r>
        <w:rPr>
          <w:rFonts w:hint="eastAsia" w:ascii="宋体" w:hAnsi="宋体" w:eastAsia="宋体" w:cs="宋体"/>
          <w:color w:val="auto"/>
          <w:sz w:val="24"/>
          <w:highlight w:val="none"/>
        </w:rPr>
        <w:t>的类似</w:t>
      </w:r>
      <w:r>
        <w:rPr>
          <w:rFonts w:hint="eastAsia" w:ascii="宋体" w:hAnsi="宋体" w:eastAsia="宋体" w:cs="宋体"/>
          <w:color w:val="auto"/>
          <w:kern w:val="28"/>
          <w:sz w:val="24"/>
          <w:highlight w:val="none"/>
        </w:rPr>
        <w:t>项目建设</w:t>
      </w:r>
      <w:r>
        <w:rPr>
          <w:rFonts w:hint="eastAsia" w:ascii="宋体" w:hAnsi="宋体" w:eastAsia="宋体" w:cs="宋体"/>
          <w:color w:val="auto"/>
          <w:sz w:val="24"/>
          <w:highlight w:val="none"/>
        </w:rPr>
        <w:t>成功案例等方面的因素。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评审要点为：</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（1）投标人基本情况（</w:t>
      </w: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分）：</w:t>
      </w:r>
    </w:p>
    <w:p>
      <w:pPr>
        <w:snapToGrid w:val="0"/>
        <w:spacing w:line="360" w:lineRule="auto"/>
        <w:rPr>
          <w:rFonts w:hint="eastAsia" w:ascii="宋体" w:hAnsi="宋体" w:eastAsia="宋体" w:cs="宋体"/>
          <w:color w:val="auto"/>
          <w:kern w:val="0"/>
          <w:szCs w:val="22"/>
          <w:highlight w:val="none"/>
          <w:lang w:val="en-US" w:eastAsia="zh-CN"/>
        </w:rPr>
      </w:pPr>
      <w:r>
        <w:rPr>
          <w:rFonts w:hint="eastAsia" w:ascii="宋体" w:hAnsi="宋体" w:cs="宋体"/>
          <w:color w:val="auto"/>
          <w:kern w:val="0"/>
          <w:szCs w:val="22"/>
          <w:highlight w:val="none"/>
        </w:rPr>
        <w:t>●具有ISO9000或同等及以上质量管理体系认证证书（在有效期内）；具有ISO14001或同等及以上环境管理体系认证证书（在有效期内）；具有OHSAS18001或同等及以上职业健康管理体系认证证书（在有效期内）；每一项得0.5分，共</w:t>
      </w:r>
      <w:r>
        <w:rPr>
          <w:rFonts w:hint="eastAsia" w:ascii="宋体" w:hAnsi="宋体" w:cs="宋体"/>
          <w:color w:val="auto"/>
          <w:kern w:val="0"/>
          <w:szCs w:val="22"/>
          <w:highlight w:val="none"/>
          <w:lang w:val="en-US" w:eastAsia="zh-CN"/>
        </w:rPr>
        <w:t>1.5</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val="en-US" w:eastAsia="zh-CN"/>
        </w:rPr>
        <w:t>.</w:t>
      </w:r>
    </w:p>
    <w:p>
      <w:pPr>
        <w:snapToGrid w:val="0"/>
        <w:spacing w:line="360" w:lineRule="auto"/>
        <w:rPr>
          <w:rFonts w:hint="eastAsia" w:ascii="宋体" w:hAnsi="宋体" w:eastAsia="宋体" w:cs="宋体"/>
          <w:color w:val="auto"/>
          <w:kern w:val="0"/>
          <w:sz w:val="24"/>
          <w:szCs w:val="22"/>
          <w:highlight w:val="none"/>
        </w:rPr>
      </w:pPr>
      <w:r>
        <w:rPr>
          <w:rFonts w:hint="eastAsia" w:ascii="宋体" w:hAnsi="宋体" w:cs="宋体"/>
          <w:color w:val="auto"/>
          <w:kern w:val="0"/>
          <w:szCs w:val="22"/>
          <w:highlight w:val="none"/>
        </w:rPr>
        <w:t>●</w:t>
      </w:r>
      <w:r>
        <w:rPr>
          <w:rFonts w:hint="eastAsia" w:ascii="宋体" w:hAnsi="宋体" w:eastAsia="宋体" w:cs="宋体"/>
          <w:color w:val="auto"/>
          <w:kern w:val="0"/>
          <w:sz w:val="24"/>
          <w:szCs w:val="22"/>
          <w:highlight w:val="none"/>
        </w:rPr>
        <w:t>投标人已取得</w:t>
      </w:r>
      <w:r>
        <w:rPr>
          <w:rFonts w:hint="eastAsia" w:ascii="宋体" w:hAnsi="宋体" w:eastAsia="宋体" w:cs="宋体"/>
          <w:color w:val="auto"/>
          <w:kern w:val="0"/>
          <w:sz w:val="24"/>
          <w:szCs w:val="22"/>
          <w:highlight w:val="none"/>
          <w:lang w:val="en-US" w:eastAsia="zh-CN"/>
        </w:rPr>
        <w:t>与本项目相关软件</w:t>
      </w:r>
      <w:r>
        <w:rPr>
          <w:rFonts w:hint="eastAsia" w:ascii="宋体" w:hAnsi="宋体" w:eastAsia="宋体" w:cs="宋体"/>
          <w:color w:val="auto"/>
          <w:kern w:val="0"/>
          <w:sz w:val="24"/>
          <w:szCs w:val="22"/>
          <w:highlight w:val="none"/>
        </w:rPr>
        <w:t>著作权证书</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每个得0.5分，共</w:t>
      </w:r>
      <w:r>
        <w:rPr>
          <w:rFonts w:hint="eastAsia" w:ascii="宋体" w:hAnsi="宋体" w:cs="宋体"/>
          <w:color w:val="auto"/>
          <w:kern w:val="0"/>
          <w:sz w:val="24"/>
          <w:szCs w:val="22"/>
          <w:highlight w:val="none"/>
          <w:lang w:val="en-US" w:eastAsia="zh-CN"/>
        </w:rPr>
        <w:t>1.5</w:t>
      </w:r>
      <w:r>
        <w:rPr>
          <w:rFonts w:hint="eastAsia" w:ascii="宋体" w:hAnsi="宋体" w:eastAsia="宋体" w:cs="宋体"/>
          <w:color w:val="auto"/>
          <w:kern w:val="0"/>
          <w:sz w:val="24"/>
          <w:szCs w:val="22"/>
          <w:highlight w:val="none"/>
          <w:lang w:val="en-US" w:eastAsia="zh-CN"/>
        </w:rPr>
        <w:t>分</w:t>
      </w:r>
      <w:r>
        <w:rPr>
          <w:rFonts w:hint="eastAsia" w:ascii="宋体" w:hAnsi="宋体" w:eastAsia="宋体" w:cs="宋体"/>
          <w:color w:val="auto"/>
          <w:kern w:val="0"/>
          <w:sz w:val="24"/>
          <w:szCs w:val="22"/>
          <w:highlight w:val="none"/>
        </w:rPr>
        <w:t>（</w:t>
      </w:r>
      <w:r>
        <w:rPr>
          <w:rFonts w:hint="eastAsia" w:ascii="宋体" w:hAnsi="宋体" w:cs="宋体"/>
          <w:color w:val="auto"/>
          <w:kern w:val="0"/>
          <w:sz w:val="24"/>
          <w:szCs w:val="22"/>
          <w:highlight w:val="none"/>
          <w:lang w:val="en-US" w:eastAsia="zh-CN"/>
        </w:rPr>
        <w:t>1.5</w:t>
      </w:r>
      <w:r>
        <w:rPr>
          <w:rFonts w:hint="eastAsia" w:ascii="宋体" w:hAnsi="宋体" w:eastAsia="宋体" w:cs="宋体"/>
          <w:color w:val="auto"/>
          <w:kern w:val="0"/>
          <w:sz w:val="24"/>
          <w:szCs w:val="22"/>
          <w:highlight w:val="none"/>
        </w:rPr>
        <w:t>分）。</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（2）投标人类似项目建设的</w:t>
      </w:r>
      <w:r>
        <w:rPr>
          <w:rFonts w:hint="eastAsia" w:ascii="宋体" w:hAnsi="宋体" w:cs="宋体"/>
          <w:b/>
          <w:color w:val="auto"/>
          <w:sz w:val="24"/>
          <w:highlight w:val="none"/>
          <w:lang w:val="en-US" w:eastAsia="zh-CN"/>
        </w:rPr>
        <w:t>业绩</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分）：</w:t>
      </w:r>
      <w:r>
        <w:rPr>
          <w:rFonts w:hint="eastAsia" w:ascii="宋体" w:hAnsi="宋体" w:cs="宋体"/>
          <w:bCs/>
          <w:color w:val="auto"/>
          <w:highlight w:val="none"/>
        </w:rPr>
        <w:t>截止响应时间近三年，</w:t>
      </w:r>
      <w:r>
        <w:rPr>
          <w:rFonts w:hint="eastAsia" w:ascii="宋体" w:hAnsi="宋体" w:cs="宋体"/>
          <w:color w:val="auto"/>
          <w:highlight w:val="none"/>
        </w:rPr>
        <w:t>投标人承担类似项目实施的成功经验情况。</w:t>
      </w:r>
      <w:r>
        <w:rPr>
          <w:rFonts w:hint="eastAsia" w:ascii="宋体" w:hAnsi="宋体" w:cs="宋体"/>
          <w:color w:val="auto"/>
          <w:highlight w:val="none"/>
          <w:lang w:val="zh-CN"/>
        </w:rPr>
        <w:t>结合</w:t>
      </w:r>
      <w:r>
        <w:rPr>
          <w:rFonts w:hint="eastAsia" w:ascii="宋体" w:hAnsi="宋体" w:cs="宋体"/>
          <w:bCs/>
          <w:color w:val="auto"/>
          <w:highlight w:val="none"/>
        </w:rPr>
        <w:t>已完成的项目案例和用户反应情况，依照投标人提供的合同或用户验收报告。每个得1分；最高得</w:t>
      </w:r>
      <w:r>
        <w:rPr>
          <w:rFonts w:hint="eastAsia" w:ascii="宋体" w:hAnsi="宋体" w:cs="宋体"/>
          <w:color w:val="auto"/>
          <w:highlight w:val="none"/>
        </w:rPr>
        <w:t>5</w:t>
      </w:r>
      <w:r>
        <w:rPr>
          <w:rFonts w:hint="eastAsia" w:ascii="宋体" w:hAnsi="宋体" w:cs="宋体"/>
          <w:bCs/>
          <w:color w:val="auto"/>
          <w:highlight w:val="none"/>
        </w:rPr>
        <w:t>分（5分）</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原件备查，采购机构在项目评审直至合同签订、履约期间，有权要求投标人出具响应文件中的合同和用户验收报告，予以确认其的真实性和有效性，如出现与事实不符等情况，将根据有关规定以“提供虚假材料谋取中标（成交）”予以处理</w:t>
      </w:r>
      <w:r>
        <w:rPr>
          <w:rFonts w:hint="eastAsia" w:ascii="宋体" w:hAnsi="宋体" w:eastAsia="宋体" w:cs="宋体"/>
          <w:color w:val="auto"/>
          <w:sz w:val="24"/>
          <w:highlight w:val="none"/>
        </w:rPr>
        <w:t>】，是否有良好的工作业绩和履约记录</w:t>
      </w:r>
      <w:r>
        <w:rPr>
          <w:rFonts w:hint="eastAsia" w:ascii="宋体" w:hAnsi="宋体" w:eastAsia="宋体" w:cs="宋体"/>
          <w:color w:val="auto"/>
          <w:sz w:val="24"/>
          <w:highlight w:val="none"/>
          <w:lang w:val="zh-CN"/>
        </w:rPr>
        <w:t>等情况</w:t>
      </w: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以分包方式履行政府采购合同的，还需提供该项目采购方同意分包的证明材料;</w:t>
      </w:r>
      <w:r>
        <w:rPr>
          <w:rFonts w:hint="eastAsia" w:ascii="宋体" w:hAnsi="宋体" w:eastAsia="宋体" w:cs="宋体"/>
          <w:b/>
          <w:color w:val="auto"/>
          <w:sz w:val="24"/>
          <w:highlight w:val="none"/>
        </w:rPr>
        <w:t>如投标人提供的合同复印件等实施项目证明材料与响应主体无关或违规转包分包的，评标委员会将进行扣分直至认定响应无效。</w:t>
      </w:r>
    </w:p>
    <w:p>
      <w:pPr>
        <w:snapToGrid w:val="0"/>
        <w:spacing w:line="360" w:lineRule="auto"/>
        <w:ind w:firstLine="482" w:firstLineChars="200"/>
        <w:rPr>
          <w:rFonts w:hint="eastAsia"/>
          <w:b/>
          <w:color w:val="auto"/>
          <w:highlight w:val="none"/>
        </w:rPr>
      </w:pPr>
      <w:r>
        <w:rPr>
          <w:rFonts w:hint="eastAsia"/>
          <w:b/>
          <w:color w:val="auto"/>
          <w:highlight w:val="none"/>
        </w:rPr>
        <w:t>注：以上所涉及的证书及证明材料，需提供复印件</w:t>
      </w:r>
      <w:r>
        <w:rPr>
          <w:rFonts w:hint="eastAsia"/>
          <w:b/>
          <w:color w:val="auto"/>
          <w:highlight w:val="none"/>
          <w:lang w:eastAsia="zh-CN"/>
        </w:rPr>
        <w:t>（</w:t>
      </w:r>
      <w:r>
        <w:rPr>
          <w:rFonts w:hint="eastAsia"/>
          <w:b/>
          <w:color w:val="auto"/>
          <w:highlight w:val="none"/>
          <w:lang w:val="en-US" w:eastAsia="zh-CN"/>
        </w:rPr>
        <w:t>加盖公章</w:t>
      </w:r>
      <w:r>
        <w:rPr>
          <w:rFonts w:hint="eastAsia"/>
          <w:b/>
          <w:color w:val="auto"/>
          <w:highlight w:val="none"/>
          <w:lang w:eastAsia="zh-CN"/>
        </w:rPr>
        <w:t>）</w:t>
      </w:r>
      <w:r>
        <w:rPr>
          <w:rFonts w:hint="eastAsia"/>
          <w:b/>
          <w:color w:val="auto"/>
          <w:highlight w:val="none"/>
        </w:rPr>
        <w:t>，另外需附</w:t>
      </w:r>
      <w:r>
        <w:rPr>
          <w:rFonts w:hint="eastAsia"/>
          <w:b/>
          <w:color w:val="auto"/>
          <w:highlight w:val="none"/>
          <w:lang w:val="en-US" w:eastAsia="zh-CN"/>
        </w:rPr>
        <w:t>相关</w:t>
      </w:r>
      <w:r>
        <w:rPr>
          <w:rFonts w:hint="eastAsia"/>
          <w:b/>
          <w:color w:val="auto"/>
          <w:highlight w:val="none"/>
        </w:rPr>
        <w:t>证书原件现场备查；如现场无法提供证书原件的不得分。</w:t>
      </w:r>
    </w:p>
    <w:p>
      <w:pPr>
        <w:ind w:left="0" w:leftChars="0" w:firstLine="0" w:firstLineChars="0"/>
        <w:rPr>
          <w:rFonts w:hint="eastAsia" w:ascii="宋体" w:hAnsi="宋体" w:cs="宋体"/>
          <w:color w:val="auto"/>
          <w:szCs w:val="32"/>
          <w:highlight w:val="none"/>
        </w:rPr>
      </w:pPr>
    </w:p>
    <w:bookmarkEnd w:id="88"/>
    <w:bookmarkEnd w:id="89"/>
    <w:p>
      <w:pPr>
        <w:rPr>
          <w:rFonts w:hint="eastAsia" w:cs="宋体"/>
          <w:color w:val="auto"/>
          <w:szCs w:val="32"/>
          <w:highlight w:val="none"/>
        </w:rPr>
      </w:pPr>
      <w:bookmarkStart w:id="90" w:name="_Toc1503"/>
      <w:r>
        <w:rPr>
          <w:rFonts w:hint="eastAsia" w:cs="宋体"/>
          <w:color w:val="auto"/>
          <w:szCs w:val="32"/>
          <w:highlight w:val="none"/>
        </w:rPr>
        <w:br w:type="page"/>
      </w:r>
    </w:p>
    <w:p>
      <w:pPr>
        <w:pStyle w:val="4"/>
        <w:ind w:firstLine="643"/>
        <w:rPr>
          <w:color w:val="auto"/>
          <w:szCs w:val="24"/>
          <w:highlight w:val="none"/>
        </w:rPr>
      </w:pPr>
      <w:r>
        <w:rPr>
          <w:rFonts w:hint="eastAsia" w:cs="宋体"/>
          <w:color w:val="auto"/>
          <w:szCs w:val="32"/>
          <w:highlight w:val="none"/>
        </w:rPr>
        <w:t>第五章 合同格式</w:t>
      </w:r>
      <w:bookmarkEnd w:id="90"/>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ind w:firstLine="480"/>
        <w:rPr>
          <w:color w:val="auto"/>
          <w:highlight w:val="none"/>
        </w:rPr>
      </w:pPr>
      <w:bookmarkStart w:id="91" w:name="_Toc450840088"/>
    </w:p>
    <w:p>
      <w:pPr>
        <w:spacing w:line="288" w:lineRule="auto"/>
        <w:ind w:left="5841" w:hanging="5841" w:hangingChars="2950"/>
        <w:rPr>
          <w:color w:val="auto"/>
          <w:spacing w:val="-6"/>
          <w:sz w:val="21"/>
          <w:szCs w:val="21"/>
          <w:highlight w:val="none"/>
        </w:rPr>
      </w:pPr>
      <w:r>
        <w:rPr>
          <w:color w:val="auto"/>
          <w:spacing w:val="-6"/>
          <w:sz w:val="21"/>
          <w:szCs w:val="21"/>
          <w:highlight w:val="none"/>
        </w:rPr>
        <w:t>项目编号：</w:t>
      </w:r>
    </w:p>
    <w:p>
      <w:pPr>
        <w:spacing w:line="288" w:lineRule="auto"/>
        <w:ind w:left="5841" w:hanging="5841" w:hangingChars="2950"/>
        <w:rPr>
          <w:color w:val="auto"/>
          <w:spacing w:val="-6"/>
          <w:sz w:val="21"/>
          <w:szCs w:val="21"/>
          <w:highlight w:val="none"/>
        </w:rPr>
      </w:pPr>
      <w:r>
        <w:rPr>
          <w:color w:val="auto"/>
          <w:spacing w:val="-6"/>
          <w:sz w:val="21"/>
          <w:szCs w:val="21"/>
          <w:highlight w:val="none"/>
        </w:rPr>
        <w:t>确认书编号：</w:t>
      </w:r>
    </w:p>
    <w:p>
      <w:pPr>
        <w:spacing w:line="288" w:lineRule="auto"/>
        <w:ind w:firstLine="396"/>
        <w:rPr>
          <w:color w:val="auto"/>
          <w:spacing w:val="-6"/>
          <w:sz w:val="21"/>
          <w:szCs w:val="21"/>
          <w:highlight w:val="none"/>
        </w:rPr>
      </w:pPr>
      <w:r>
        <w:rPr>
          <w:color w:val="auto"/>
          <w:spacing w:val="-6"/>
          <w:sz w:val="21"/>
          <w:szCs w:val="21"/>
          <w:highlight w:val="none"/>
        </w:rPr>
        <w:t>甲方（采购人）：</w:t>
      </w:r>
      <w:r>
        <w:rPr>
          <w:rFonts w:hint="eastAsia"/>
          <w:color w:val="auto"/>
          <w:spacing w:val="-6"/>
          <w:sz w:val="21"/>
          <w:szCs w:val="21"/>
          <w:highlight w:val="none"/>
          <w:u w:val="single"/>
        </w:rPr>
        <w:t>浙江机电职业技术学院</w:t>
      </w:r>
    </w:p>
    <w:p>
      <w:pPr>
        <w:spacing w:line="288" w:lineRule="auto"/>
        <w:ind w:firstLine="396"/>
        <w:rPr>
          <w:color w:val="auto"/>
          <w:spacing w:val="-6"/>
          <w:sz w:val="21"/>
          <w:szCs w:val="21"/>
          <w:highlight w:val="none"/>
        </w:rPr>
      </w:pPr>
      <w:r>
        <w:rPr>
          <w:color w:val="auto"/>
          <w:spacing w:val="-6"/>
          <w:sz w:val="21"/>
          <w:szCs w:val="21"/>
          <w:highlight w:val="none"/>
        </w:rPr>
        <w:t>乙方（供应商）：</w:t>
      </w:r>
    </w:p>
    <w:p>
      <w:pPr>
        <w:spacing w:line="288" w:lineRule="auto"/>
        <w:ind w:firstLine="396"/>
        <w:rPr>
          <w:color w:val="auto"/>
          <w:spacing w:val="-6"/>
          <w:sz w:val="21"/>
          <w:szCs w:val="21"/>
          <w:highlight w:val="none"/>
        </w:rPr>
      </w:pPr>
      <w:r>
        <w:rPr>
          <w:color w:val="auto"/>
          <w:spacing w:val="-6"/>
          <w:sz w:val="21"/>
          <w:szCs w:val="21"/>
          <w:highlight w:val="none"/>
        </w:rPr>
        <w:t>采购代理机构（鉴证方）：</w:t>
      </w:r>
      <w:bookmarkStart w:id="92" w:name="B07_项目编号"/>
      <w:r>
        <w:rPr>
          <w:rFonts w:hint="eastAsia"/>
          <w:color w:val="auto"/>
          <w:spacing w:val="-6"/>
          <w:sz w:val="21"/>
          <w:szCs w:val="21"/>
          <w:highlight w:val="none"/>
        </w:rPr>
        <w:t>浙江五石工程咨询有限公司</w:t>
      </w:r>
    </w:p>
    <w:p>
      <w:pPr>
        <w:spacing w:line="288" w:lineRule="auto"/>
        <w:ind w:firstLine="420"/>
        <w:rPr>
          <w:color w:val="auto"/>
          <w:sz w:val="21"/>
          <w:szCs w:val="21"/>
          <w:highlight w:val="none"/>
        </w:rPr>
      </w:pPr>
      <w:r>
        <w:rPr>
          <w:color w:val="auto"/>
          <w:sz w:val="21"/>
          <w:szCs w:val="21"/>
          <w:highlight w:val="none"/>
        </w:rPr>
        <w:t>经采购代理机构对</w:t>
      </w:r>
      <w:r>
        <w:rPr>
          <w:rFonts w:hint="eastAsia"/>
          <w:color w:val="auto"/>
          <w:sz w:val="21"/>
          <w:szCs w:val="21"/>
          <w:highlight w:val="none"/>
        </w:rPr>
        <w:t>采购项目</w:t>
      </w:r>
      <w:r>
        <w:rPr>
          <w:color w:val="auto"/>
          <w:sz w:val="21"/>
          <w:szCs w:val="21"/>
          <w:highlight w:val="none"/>
        </w:rPr>
        <w:t>通过</w:t>
      </w:r>
      <w:r>
        <w:rPr>
          <w:rFonts w:hint="eastAsia"/>
          <w:color w:val="auto"/>
          <w:sz w:val="21"/>
          <w:szCs w:val="21"/>
          <w:highlight w:val="none"/>
          <w:lang w:val="en-US" w:eastAsia="zh-CN"/>
        </w:rPr>
        <w:t xml:space="preserve">  </w:t>
      </w:r>
      <w:r>
        <w:rPr>
          <w:rFonts w:hint="eastAsia"/>
          <w:color w:val="auto"/>
          <w:sz w:val="21"/>
          <w:szCs w:val="21"/>
          <w:highlight w:val="none"/>
          <w:u w:val="single"/>
        </w:rPr>
        <w:t>公开招标</w:t>
      </w:r>
      <w:r>
        <w:rPr>
          <w:rFonts w:hint="eastAsia"/>
          <w:color w:val="auto"/>
          <w:sz w:val="21"/>
          <w:szCs w:val="21"/>
          <w:highlight w:val="none"/>
          <w:u w:val="single"/>
          <w:lang w:val="en-US" w:eastAsia="zh-CN"/>
        </w:rPr>
        <w:t xml:space="preserve">  </w:t>
      </w:r>
      <w:r>
        <w:rPr>
          <w:color w:val="auto"/>
          <w:sz w:val="21"/>
          <w:szCs w:val="21"/>
          <w:highlight w:val="none"/>
        </w:rPr>
        <w:t>方式采购</w:t>
      </w:r>
      <w:bookmarkEnd w:id="92"/>
      <w:r>
        <w:rPr>
          <w:color w:val="auto"/>
          <w:sz w:val="21"/>
          <w:szCs w:val="21"/>
          <w:highlight w:val="none"/>
        </w:rPr>
        <w:t>，确定</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rPr>
        <w:t>为中标单位，甲</w:t>
      </w:r>
      <w:r>
        <w:rPr>
          <w:rFonts w:hint="eastAsia"/>
          <w:color w:val="auto"/>
          <w:sz w:val="21"/>
          <w:szCs w:val="21"/>
          <w:highlight w:val="none"/>
        </w:rPr>
        <w:t>、</w:t>
      </w:r>
      <w:r>
        <w:rPr>
          <w:color w:val="auto"/>
          <w:sz w:val="21"/>
          <w:szCs w:val="21"/>
          <w:highlight w:val="none"/>
        </w:rPr>
        <w:t>乙双方友好协商，达成以下条款：</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第一条：采购商品清单及合同价格</w:t>
      </w:r>
      <w:r>
        <w:rPr>
          <w:rFonts w:hAnsi="宋体"/>
          <w:color w:val="auto"/>
          <w:szCs w:val="21"/>
          <w:highlight w:val="none"/>
        </w:rPr>
        <w:t>单位：元</w:t>
      </w:r>
    </w:p>
    <w:tbl>
      <w:tblPr>
        <w:tblStyle w:val="39"/>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76"/>
        <w:gridCol w:w="850"/>
        <w:gridCol w:w="1843"/>
        <w:gridCol w:w="992"/>
        <w:gridCol w:w="116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688" w:type="dxa"/>
            <w:noWrap w:val="0"/>
            <w:vAlign w:val="center"/>
          </w:tcPr>
          <w:p>
            <w:pPr>
              <w:spacing w:line="288" w:lineRule="auto"/>
              <w:ind w:firstLine="0" w:firstLineChars="0"/>
              <w:jc w:val="center"/>
              <w:rPr>
                <w:color w:val="auto"/>
                <w:sz w:val="21"/>
                <w:szCs w:val="21"/>
                <w:highlight w:val="none"/>
              </w:rPr>
            </w:pPr>
            <w:r>
              <w:rPr>
                <w:color w:val="auto"/>
                <w:sz w:val="21"/>
                <w:szCs w:val="21"/>
                <w:highlight w:val="none"/>
              </w:rPr>
              <w:t>产品名称</w:t>
            </w:r>
          </w:p>
        </w:tc>
        <w:tc>
          <w:tcPr>
            <w:tcW w:w="1276" w:type="dxa"/>
            <w:noWrap w:val="0"/>
            <w:vAlign w:val="center"/>
          </w:tcPr>
          <w:p>
            <w:pPr>
              <w:spacing w:line="288" w:lineRule="auto"/>
              <w:ind w:firstLine="0" w:firstLineChars="0"/>
              <w:jc w:val="center"/>
              <w:rPr>
                <w:color w:val="auto"/>
                <w:sz w:val="21"/>
                <w:szCs w:val="21"/>
                <w:highlight w:val="none"/>
              </w:rPr>
            </w:pPr>
            <w:r>
              <w:rPr>
                <w:color w:val="auto"/>
                <w:sz w:val="21"/>
                <w:szCs w:val="21"/>
                <w:highlight w:val="none"/>
              </w:rPr>
              <w:t>厂家</w:t>
            </w:r>
            <w:r>
              <w:rPr>
                <w:rFonts w:hint="eastAsia"/>
                <w:color w:val="auto"/>
                <w:sz w:val="21"/>
                <w:szCs w:val="21"/>
                <w:highlight w:val="none"/>
              </w:rPr>
              <w:t>（全称）</w:t>
            </w:r>
          </w:p>
        </w:tc>
        <w:tc>
          <w:tcPr>
            <w:tcW w:w="850" w:type="dxa"/>
            <w:noWrap w:val="0"/>
            <w:vAlign w:val="center"/>
          </w:tcPr>
          <w:p>
            <w:pPr>
              <w:spacing w:line="288" w:lineRule="auto"/>
              <w:ind w:firstLine="0" w:firstLineChars="0"/>
              <w:jc w:val="center"/>
              <w:rPr>
                <w:color w:val="auto"/>
                <w:sz w:val="21"/>
                <w:szCs w:val="21"/>
                <w:highlight w:val="none"/>
              </w:rPr>
            </w:pPr>
            <w:r>
              <w:rPr>
                <w:color w:val="auto"/>
                <w:sz w:val="21"/>
                <w:szCs w:val="21"/>
                <w:highlight w:val="none"/>
              </w:rPr>
              <w:t>品牌</w:t>
            </w:r>
          </w:p>
        </w:tc>
        <w:tc>
          <w:tcPr>
            <w:tcW w:w="1843" w:type="dxa"/>
            <w:noWrap w:val="0"/>
            <w:vAlign w:val="center"/>
          </w:tcPr>
          <w:p>
            <w:pPr>
              <w:spacing w:line="288" w:lineRule="auto"/>
              <w:ind w:firstLine="0" w:firstLineChars="0"/>
              <w:jc w:val="center"/>
              <w:rPr>
                <w:color w:val="auto"/>
                <w:sz w:val="21"/>
                <w:szCs w:val="21"/>
                <w:highlight w:val="none"/>
              </w:rPr>
            </w:pPr>
            <w:r>
              <w:rPr>
                <w:color w:val="auto"/>
                <w:sz w:val="21"/>
                <w:szCs w:val="21"/>
                <w:highlight w:val="none"/>
              </w:rPr>
              <w:t>规格型号</w:t>
            </w:r>
            <w:r>
              <w:rPr>
                <w:rFonts w:hint="eastAsia"/>
                <w:color w:val="auto"/>
                <w:sz w:val="21"/>
                <w:szCs w:val="21"/>
                <w:highlight w:val="none"/>
              </w:rPr>
              <w:t>、</w:t>
            </w:r>
            <w:r>
              <w:rPr>
                <w:color w:val="auto"/>
                <w:sz w:val="21"/>
                <w:szCs w:val="21"/>
                <w:highlight w:val="none"/>
              </w:rPr>
              <w:t>材质</w:t>
            </w:r>
          </w:p>
        </w:tc>
        <w:tc>
          <w:tcPr>
            <w:tcW w:w="992" w:type="dxa"/>
            <w:noWrap w:val="0"/>
            <w:vAlign w:val="center"/>
          </w:tcPr>
          <w:p>
            <w:pPr>
              <w:spacing w:line="288" w:lineRule="auto"/>
              <w:ind w:firstLine="0" w:firstLineChars="0"/>
              <w:jc w:val="center"/>
              <w:rPr>
                <w:color w:val="auto"/>
                <w:sz w:val="21"/>
                <w:szCs w:val="21"/>
                <w:highlight w:val="none"/>
              </w:rPr>
            </w:pPr>
            <w:r>
              <w:rPr>
                <w:color w:val="auto"/>
                <w:sz w:val="21"/>
                <w:szCs w:val="21"/>
                <w:highlight w:val="none"/>
              </w:rPr>
              <w:t>数量</w:t>
            </w:r>
          </w:p>
        </w:tc>
        <w:tc>
          <w:tcPr>
            <w:tcW w:w="1160" w:type="dxa"/>
            <w:noWrap w:val="0"/>
            <w:vAlign w:val="center"/>
          </w:tcPr>
          <w:p>
            <w:pPr>
              <w:spacing w:line="288" w:lineRule="auto"/>
              <w:ind w:firstLine="0" w:firstLineChars="0"/>
              <w:jc w:val="center"/>
              <w:rPr>
                <w:color w:val="auto"/>
                <w:sz w:val="21"/>
                <w:szCs w:val="21"/>
                <w:highlight w:val="none"/>
              </w:rPr>
            </w:pPr>
            <w:r>
              <w:rPr>
                <w:color w:val="auto"/>
                <w:sz w:val="21"/>
                <w:szCs w:val="21"/>
                <w:highlight w:val="none"/>
              </w:rPr>
              <w:t>含税单价</w:t>
            </w:r>
          </w:p>
        </w:tc>
        <w:tc>
          <w:tcPr>
            <w:tcW w:w="1327" w:type="dxa"/>
            <w:noWrap w:val="0"/>
            <w:vAlign w:val="center"/>
          </w:tcPr>
          <w:p>
            <w:pPr>
              <w:spacing w:line="288" w:lineRule="auto"/>
              <w:ind w:firstLine="0" w:firstLineChars="0"/>
              <w:jc w:val="center"/>
              <w:rPr>
                <w:color w:val="auto"/>
                <w:sz w:val="21"/>
                <w:szCs w:val="21"/>
                <w:highlight w:val="none"/>
              </w:rPr>
            </w:pPr>
            <w:r>
              <w:rPr>
                <w:rFonts w:hint="eastAsia"/>
                <w:color w:val="auto"/>
                <w:sz w:val="21"/>
                <w:szCs w:val="21"/>
                <w:highlight w:val="none"/>
              </w:rPr>
              <w:t>含税</w:t>
            </w:r>
            <w:r>
              <w:rPr>
                <w:color w:val="auto"/>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688" w:type="dxa"/>
            <w:noWrap w:val="0"/>
            <w:vAlign w:val="center"/>
          </w:tcPr>
          <w:p>
            <w:pPr>
              <w:adjustRightInd w:val="0"/>
              <w:snapToGrid w:val="0"/>
              <w:ind w:firstLine="0" w:firstLineChars="0"/>
              <w:jc w:val="left"/>
              <w:rPr>
                <w:color w:val="auto"/>
                <w:spacing w:val="20"/>
                <w:sz w:val="21"/>
                <w:szCs w:val="21"/>
                <w:highlight w:val="none"/>
              </w:rPr>
            </w:pPr>
          </w:p>
        </w:tc>
        <w:tc>
          <w:tcPr>
            <w:tcW w:w="1276" w:type="dxa"/>
            <w:noWrap w:val="0"/>
            <w:vAlign w:val="center"/>
          </w:tcPr>
          <w:p>
            <w:pPr>
              <w:widowControl/>
              <w:ind w:firstLine="0" w:firstLineChars="0"/>
              <w:jc w:val="center"/>
              <w:rPr>
                <w:color w:val="auto"/>
                <w:kern w:val="0"/>
                <w:sz w:val="21"/>
                <w:szCs w:val="21"/>
                <w:highlight w:val="none"/>
              </w:rPr>
            </w:pPr>
          </w:p>
        </w:tc>
        <w:tc>
          <w:tcPr>
            <w:tcW w:w="850" w:type="dxa"/>
            <w:noWrap w:val="0"/>
            <w:vAlign w:val="center"/>
          </w:tcPr>
          <w:p>
            <w:pPr>
              <w:widowControl/>
              <w:ind w:firstLine="0" w:firstLineChars="0"/>
              <w:jc w:val="center"/>
              <w:rPr>
                <w:color w:val="auto"/>
                <w:kern w:val="0"/>
                <w:sz w:val="21"/>
                <w:szCs w:val="21"/>
                <w:highlight w:val="none"/>
              </w:rPr>
            </w:pPr>
          </w:p>
        </w:tc>
        <w:tc>
          <w:tcPr>
            <w:tcW w:w="1843" w:type="dxa"/>
            <w:noWrap w:val="0"/>
            <w:vAlign w:val="center"/>
          </w:tcPr>
          <w:p>
            <w:pPr>
              <w:widowControl/>
              <w:ind w:left="-118" w:leftChars="-49" w:firstLine="0" w:firstLineChars="0"/>
              <w:jc w:val="center"/>
              <w:rPr>
                <w:color w:val="auto"/>
                <w:kern w:val="0"/>
                <w:sz w:val="21"/>
                <w:szCs w:val="21"/>
                <w:highlight w:val="none"/>
              </w:rPr>
            </w:pPr>
          </w:p>
        </w:tc>
        <w:tc>
          <w:tcPr>
            <w:tcW w:w="992" w:type="dxa"/>
            <w:noWrap w:val="0"/>
            <w:vAlign w:val="center"/>
          </w:tcPr>
          <w:p>
            <w:pPr>
              <w:adjustRightInd w:val="0"/>
              <w:snapToGrid w:val="0"/>
              <w:ind w:firstLine="0" w:firstLineChars="0"/>
              <w:jc w:val="center"/>
              <w:rPr>
                <w:color w:val="auto"/>
                <w:spacing w:val="20"/>
                <w:sz w:val="21"/>
                <w:szCs w:val="21"/>
                <w:highlight w:val="none"/>
              </w:rPr>
            </w:pPr>
          </w:p>
        </w:tc>
        <w:tc>
          <w:tcPr>
            <w:tcW w:w="1160" w:type="dxa"/>
            <w:noWrap w:val="0"/>
            <w:vAlign w:val="center"/>
          </w:tcPr>
          <w:p>
            <w:pPr>
              <w:widowControl/>
              <w:ind w:firstLine="0" w:firstLineChars="0"/>
              <w:rPr>
                <w:color w:val="auto"/>
                <w:kern w:val="0"/>
                <w:sz w:val="21"/>
                <w:szCs w:val="21"/>
                <w:highlight w:val="none"/>
              </w:rPr>
            </w:pPr>
          </w:p>
        </w:tc>
        <w:tc>
          <w:tcPr>
            <w:tcW w:w="1327" w:type="dxa"/>
            <w:noWrap w:val="0"/>
            <w:vAlign w:val="center"/>
          </w:tcPr>
          <w:p>
            <w:pPr>
              <w:widowControl/>
              <w:ind w:firstLine="0" w:firstLineChars="0"/>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7809" w:type="dxa"/>
            <w:gridSpan w:val="6"/>
            <w:noWrap w:val="0"/>
            <w:vAlign w:val="center"/>
          </w:tcPr>
          <w:p>
            <w:pPr>
              <w:spacing w:line="288" w:lineRule="auto"/>
              <w:ind w:firstLine="0" w:firstLineChars="0"/>
              <w:rPr>
                <w:color w:val="auto"/>
                <w:sz w:val="21"/>
                <w:szCs w:val="21"/>
                <w:highlight w:val="none"/>
              </w:rPr>
            </w:pPr>
            <w:r>
              <w:rPr>
                <w:color w:val="auto"/>
                <w:sz w:val="21"/>
                <w:szCs w:val="21"/>
                <w:highlight w:val="none"/>
              </w:rPr>
              <w:t>合计：</w:t>
            </w:r>
          </w:p>
        </w:tc>
        <w:tc>
          <w:tcPr>
            <w:tcW w:w="1327" w:type="dxa"/>
            <w:noWrap w:val="0"/>
            <w:vAlign w:val="center"/>
          </w:tcPr>
          <w:p>
            <w:pPr>
              <w:spacing w:line="288" w:lineRule="auto"/>
              <w:ind w:firstLine="0" w:firstLineChars="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9136" w:type="dxa"/>
            <w:gridSpan w:val="7"/>
            <w:noWrap w:val="0"/>
            <w:vAlign w:val="center"/>
          </w:tcPr>
          <w:p>
            <w:pPr>
              <w:spacing w:line="288" w:lineRule="auto"/>
              <w:ind w:firstLine="0" w:firstLineChars="0"/>
              <w:rPr>
                <w:color w:val="auto"/>
                <w:sz w:val="21"/>
                <w:szCs w:val="21"/>
                <w:highlight w:val="none"/>
              </w:rPr>
            </w:pPr>
            <w:r>
              <w:rPr>
                <w:color w:val="auto"/>
                <w:sz w:val="21"/>
                <w:szCs w:val="21"/>
                <w:highlight w:val="none"/>
              </w:rPr>
              <w:t>合同总价（人民币大写）：</w:t>
            </w:r>
          </w:p>
        </w:tc>
      </w:tr>
    </w:tbl>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注：以上合同总价包括完成所有产品供货及履行所有规定服务所产生的全部税费，型号规格材质在清单中未标明的，以投标文件、招标文件标注的为准。</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第二条：质量保证</w:t>
      </w:r>
    </w:p>
    <w:p>
      <w:pPr>
        <w:pStyle w:val="20"/>
        <w:spacing w:line="288" w:lineRule="auto"/>
        <w:ind w:firstLine="420" w:firstLineChars="200"/>
        <w:rPr>
          <w:rFonts w:hAnsi="宋体"/>
          <w:color w:val="auto"/>
          <w:szCs w:val="21"/>
          <w:highlight w:val="none"/>
        </w:rPr>
      </w:pPr>
      <w:r>
        <w:rPr>
          <w:rFonts w:hAnsi="宋体"/>
          <w:color w:val="auto"/>
          <w:szCs w:val="21"/>
          <w:highlight w:val="none"/>
        </w:rPr>
        <w:t>乙方保证本所供货物是</w:t>
      </w:r>
      <w:r>
        <w:rPr>
          <w:rFonts w:ascii="Times New Roman" w:hAnsi="Times New Roman"/>
          <w:color w:val="auto"/>
          <w:szCs w:val="21"/>
          <w:highlight w:val="none"/>
        </w:rPr>
        <w:t>20</w:t>
      </w:r>
      <w:r>
        <w:rPr>
          <w:rFonts w:ascii="Times New Roman" w:hAnsi="Times New Roman"/>
          <w:color w:val="auto"/>
          <w:szCs w:val="21"/>
          <w:highlight w:val="none"/>
          <w:u w:val="single"/>
        </w:rPr>
        <w:t>1</w:t>
      </w:r>
      <w:r>
        <w:rPr>
          <w:rFonts w:hint="eastAsia" w:ascii="Times New Roman" w:hAnsi="Times New Roman"/>
          <w:color w:val="auto"/>
          <w:szCs w:val="21"/>
          <w:highlight w:val="none"/>
          <w:u w:val="single"/>
          <w:lang w:val="en-US" w:eastAsia="zh-CN"/>
        </w:rPr>
        <w:t xml:space="preserve">  </w:t>
      </w:r>
      <w:r>
        <w:rPr>
          <w:rFonts w:hAnsi="宋体"/>
          <w:color w:val="auto"/>
          <w:szCs w:val="21"/>
          <w:highlight w:val="none"/>
        </w:rPr>
        <w:t>年</w:t>
      </w:r>
      <w:r>
        <w:rPr>
          <w:rFonts w:hint="eastAsia" w:hAnsi="宋体"/>
          <w:color w:val="auto"/>
          <w:szCs w:val="21"/>
          <w:highlight w:val="none"/>
          <w:lang w:val="en-US" w:eastAsia="zh-CN"/>
        </w:rPr>
        <w:t xml:space="preserve">   </w:t>
      </w:r>
      <w:r>
        <w:rPr>
          <w:rFonts w:hAnsi="宋体"/>
          <w:color w:val="auto"/>
          <w:szCs w:val="21"/>
          <w:highlight w:val="none"/>
        </w:rPr>
        <w:t>月份后生产的符合本合同约定和国家技术标准的原厂全新合格产品；否则，甲方有权拒收或有权随时退货并要求乙方退还全款和支付总价款</w:t>
      </w:r>
      <w:r>
        <w:rPr>
          <w:rFonts w:ascii="Times New Roman" w:hAnsi="Times New Roman"/>
          <w:color w:val="auto"/>
          <w:szCs w:val="21"/>
          <w:highlight w:val="none"/>
        </w:rPr>
        <w:t>20%</w:t>
      </w:r>
      <w:r>
        <w:rPr>
          <w:rFonts w:hAnsi="宋体"/>
          <w:color w:val="auto"/>
          <w:szCs w:val="21"/>
          <w:highlight w:val="none"/>
        </w:rPr>
        <w:t>的违约金，由此产生的一切责任和后果由乙方承担。</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乙方应根据运输距离及货物防潮、防锈、防震、防水、防破损等要求对货物实行包装，确保货物安全、完好送达甲方。</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第三条：交货时间、地点</w:t>
      </w:r>
    </w:p>
    <w:p>
      <w:pPr>
        <w:pStyle w:val="20"/>
        <w:spacing w:line="288" w:lineRule="auto"/>
        <w:ind w:left="34" w:firstLine="420" w:firstLineChars="200"/>
        <w:rPr>
          <w:rFonts w:ascii="Times New Roman" w:hAnsi="Times New Roman"/>
          <w:color w:val="auto"/>
          <w:szCs w:val="21"/>
          <w:highlight w:val="none"/>
        </w:rPr>
      </w:pPr>
      <w:r>
        <w:rPr>
          <w:rFonts w:hAnsi="宋体"/>
          <w:color w:val="auto"/>
          <w:szCs w:val="21"/>
          <w:highlight w:val="none"/>
        </w:rPr>
        <w:t>乙方应在</w:t>
      </w:r>
      <w:r>
        <w:rPr>
          <w:rFonts w:ascii="Times New Roman" w:hAnsi="Times New Roman"/>
          <w:color w:val="auto"/>
          <w:szCs w:val="21"/>
          <w:highlight w:val="none"/>
        </w:rPr>
        <w:t>20</w:t>
      </w:r>
      <w:r>
        <w:rPr>
          <w:rFonts w:ascii="Times New Roman" w:hAnsi="Times New Roman"/>
          <w:color w:val="auto"/>
          <w:szCs w:val="21"/>
          <w:highlight w:val="none"/>
          <w:u w:val="single"/>
        </w:rPr>
        <w:t>1</w:t>
      </w:r>
      <w:r>
        <w:rPr>
          <w:rFonts w:hint="eastAsia" w:ascii="Times New Roman" w:hAnsi="Times New Roman"/>
          <w:color w:val="auto"/>
          <w:szCs w:val="21"/>
          <w:highlight w:val="none"/>
          <w:u w:val="single"/>
          <w:lang w:val="en-US" w:eastAsia="zh-CN"/>
        </w:rPr>
        <w:t xml:space="preserve">  </w:t>
      </w:r>
      <w:r>
        <w:rPr>
          <w:rFonts w:hAnsi="宋体"/>
          <w:color w:val="auto"/>
          <w:szCs w:val="21"/>
          <w:highlight w:val="none"/>
        </w:rPr>
        <w:t>年</w:t>
      </w:r>
      <w:r>
        <w:rPr>
          <w:rFonts w:hint="eastAsia" w:hAnsi="宋体"/>
          <w:color w:val="auto"/>
          <w:szCs w:val="21"/>
          <w:highlight w:val="none"/>
          <w:lang w:val="en-US" w:eastAsia="zh-CN"/>
        </w:rPr>
        <w:t xml:space="preserve">   </w:t>
      </w:r>
      <w:r>
        <w:rPr>
          <w:rFonts w:hAnsi="宋体"/>
          <w:color w:val="auto"/>
          <w:szCs w:val="21"/>
          <w:highlight w:val="none"/>
        </w:rPr>
        <w:t>月</w:t>
      </w:r>
      <w:r>
        <w:rPr>
          <w:rFonts w:hint="eastAsia" w:hAnsi="宋体"/>
          <w:color w:val="auto"/>
          <w:szCs w:val="21"/>
          <w:highlight w:val="none"/>
          <w:lang w:val="en-US" w:eastAsia="zh-CN"/>
        </w:rPr>
        <w:t xml:space="preserve">   </w:t>
      </w:r>
      <w:r>
        <w:rPr>
          <w:rFonts w:hAnsi="宋体"/>
          <w:color w:val="auto"/>
          <w:szCs w:val="21"/>
          <w:highlight w:val="none"/>
        </w:rPr>
        <w:t>日前，将货物运送至甲方</w:t>
      </w:r>
      <w:r>
        <w:rPr>
          <w:rFonts w:hint="eastAsia" w:hAnsi="宋体"/>
          <w:color w:val="auto"/>
          <w:szCs w:val="21"/>
          <w:highlight w:val="none"/>
        </w:rPr>
        <w:t>校区</w:t>
      </w:r>
      <w:r>
        <w:rPr>
          <w:rFonts w:hAnsi="宋体"/>
          <w:color w:val="auto"/>
          <w:szCs w:val="21"/>
          <w:highlight w:val="none"/>
        </w:rPr>
        <w:t>所在地，并完成安装调试摆放</w:t>
      </w:r>
      <w:r>
        <w:rPr>
          <w:rFonts w:hint="eastAsia" w:hAnsi="宋体"/>
          <w:color w:val="auto"/>
          <w:szCs w:val="21"/>
          <w:highlight w:val="none"/>
        </w:rPr>
        <w:t>，经甲方验收合格</w:t>
      </w:r>
      <w:r>
        <w:rPr>
          <w:rFonts w:hAnsi="宋体"/>
          <w:color w:val="auto"/>
          <w:szCs w:val="21"/>
          <w:highlight w:val="none"/>
        </w:rPr>
        <w:t>。同时向甲方提供货物的</w:t>
      </w:r>
      <w:r>
        <w:rPr>
          <w:rFonts w:hint="eastAsia" w:hAnsi="宋体"/>
          <w:color w:val="auto"/>
          <w:szCs w:val="21"/>
          <w:highlight w:val="none"/>
        </w:rPr>
        <w:t>合格证、质量保证书或保修卡</w:t>
      </w:r>
      <w:r>
        <w:rPr>
          <w:rFonts w:hAnsi="宋体"/>
          <w:color w:val="auto"/>
          <w:szCs w:val="21"/>
          <w:highlight w:val="none"/>
        </w:rPr>
        <w:t>、使用说明等必备资料和必备配附件。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第四条：售后服务</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乙方提供的货物质保期为</w:t>
      </w:r>
      <w:r>
        <w:rPr>
          <w:rFonts w:hint="eastAsia" w:hAnsi="宋体"/>
          <w:color w:val="auto"/>
          <w:szCs w:val="21"/>
          <w:highlight w:val="none"/>
          <w:lang w:val="en-US" w:eastAsia="zh-CN"/>
        </w:rPr>
        <w:t xml:space="preserve">   </w:t>
      </w:r>
      <w:r>
        <w:rPr>
          <w:rFonts w:hAnsi="宋体"/>
          <w:color w:val="auto"/>
          <w:szCs w:val="21"/>
          <w:highlight w:val="none"/>
        </w:rPr>
        <w:t>年，从货物验收合格交付甲方</w:t>
      </w:r>
      <w:r>
        <w:rPr>
          <w:rFonts w:hint="eastAsia" w:hAnsi="宋体"/>
          <w:color w:val="auto"/>
          <w:szCs w:val="21"/>
          <w:highlight w:val="none"/>
        </w:rPr>
        <w:t>正常</w:t>
      </w:r>
      <w:r>
        <w:rPr>
          <w:rFonts w:hAnsi="宋体"/>
          <w:color w:val="auto"/>
          <w:szCs w:val="21"/>
          <w:highlight w:val="none"/>
        </w:rPr>
        <w:t>使用之日起算，除人为原因造成的故障外，保修包换；质保期满后，乙方负责提供配件和维修服务，酌收备件成本费用，易损件长期提供。</w:t>
      </w:r>
    </w:p>
    <w:p>
      <w:pPr>
        <w:pStyle w:val="20"/>
        <w:spacing w:line="288" w:lineRule="auto"/>
        <w:ind w:right="-125" w:rightChars="-52"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乙方保证所供货物发生故障时，最迟在</w:t>
      </w:r>
      <w:r>
        <w:rPr>
          <w:rFonts w:ascii="Times New Roman" w:hAnsi="Times New Roman"/>
          <w:color w:val="auto"/>
          <w:szCs w:val="21"/>
          <w:highlight w:val="none"/>
        </w:rPr>
        <w:t>48</w:t>
      </w:r>
      <w:r>
        <w:rPr>
          <w:rFonts w:hAnsi="宋体"/>
          <w:color w:val="auto"/>
          <w:szCs w:val="21"/>
          <w:highlight w:val="none"/>
        </w:rPr>
        <w:t>小时内修复，并采取提供临时替用品等措施，以保证甲方的正常工作。</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第五条：验收</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乙方将所供货物运至甲方并完成安装调试后，由甲方组织验收。货物从验收合格交付甲方使用次日起</w:t>
      </w:r>
      <w:r>
        <w:rPr>
          <w:rFonts w:ascii="Times New Roman" w:hAnsi="Times New Roman"/>
          <w:color w:val="auto"/>
          <w:szCs w:val="21"/>
          <w:highlight w:val="none"/>
        </w:rPr>
        <w:t>30</w:t>
      </w:r>
      <w:r>
        <w:rPr>
          <w:rFonts w:hAnsi="宋体"/>
          <w:color w:val="auto"/>
          <w:szCs w:val="21"/>
          <w:highlight w:val="none"/>
        </w:rPr>
        <w:t>天内（不含修理期），出现非甲方人为因素造成的无法排除的故障，或经两次修理后仍不能使用的，乙方除调换或退货外，还应向甲方支付合同总价款</w:t>
      </w:r>
      <w:r>
        <w:rPr>
          <w:rFonts w:ascii="Times New Roman" w:hAnsi="Times New Roman"/>
          <w:color w:val="auto"/>
          <w:szCs w:val="21"/>
          <w:highlight w:val="none"/>
        </w:rPr>
        <w:t>20%</w:t>
      </w:r>
      <w:r>
        <w:rPr>
          <w:rFonts w:hAnsi="宋体"/>
          <w:color w:val="auto"/>
          <w:szCs w:val="21"/>
          <w:highlight w:val="none"/>
        </w:rPr>
        <w:t>的违约金。</w:t>
      </w:r>
    </w:p>
    <w:p>
      <w:pPr>
        <w:pStyle w:val="20"/>
        <w:spacing w:line="288" w:lineRule="auto"/>
        <w:ind w:firstLine="422" w:firstLineChars="200"/>
        <w:rPr>
          <w:rFonts w:ascii="Times New Roman" w:hAnsi="Times New Roman"/>
          <w:b/>
          <w:color w:val="auto"/>
          <w:szCs w:val="21"/>
          <w:highlight w:val="none"/>
        </w:rPr>
      </w:pPr>
      <w:r>
        <w:rPr>
          <w:rFonts w:hAnsi="宋体"/>
          <w:b/>
          <w:color w:val="auto"/>
          <w:szCs w:val="21"/>
          <w:highlight w:val="none"/>
        </w:rPr>
        <w:t>第六条：履约（质量）保证金</w:t>
      </w:r>
    </w:p>
    <w:p>
      <w:pPr>
        <w:pStyle w:val="20"/>
        <w:spacing w:line="288" w:lineRule="auto"/>
        <w:ind w:firstLine="420" w:firstLineChars="200"/>
        <w:rPr>
          <w:rFonts w:hint="eastAsia" w:hAnsi="宋体"/>
          <w:color w:val="auto"/>
          <w:szCs w:val="21"/>
          <w:highlight w:val="none"/>
        </w:rPr>
      </w:pPr>
      <w:r>
        <w:rPr>
          <w:rFonts w:hint="eastAsia" w:hAnsi="宋体"/>
          <w:color w:val="auto"/>
          <w:szCs w:val="21"/>
          <w:highlight w:val="none"/>
        </w:rPr>
        <w:t>签订合同后7日内向采购人交纳合同总金额的5％作为履约保证金，未按规定时间缴纳似作违约。履约保证金在合同内容完成验收合格后自动转为质量保证金。质量保证金自验收合格后12个月内没有质量问题和售后服务问题，无息退还。</w:t>
      </w:r>
      <w:r>
        <w:rPr>
          <w:rFonts w:hAnsi="宋体"/>
          <w:color w:val="auto"/>
          <w:szCs w:val="21"/>
          <w:highlight w:val="none"/>
        </w:rPr>
        <w:t>（遇寒暑假及国定假日顺延）。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第七条：付款方式</w:t>
      </w:r>
    </w:p>
    <w:p>
      <w:pPr>
        <w:pStyle w:val="20"/>
        <w:spacing w:line="288" w:lineRule="auto"/>
        <w:ind w:firstLine="420" w:firstLineChars="200"/>
        <w:rPr>
          <w:rFonts w:ascii="Times New Roman" w:hAnsi="Times New Roman"/>
          <w:color w:val="auto"/>
          <w:szCs w:val="21"/>
          <w:highlight w:val="none"/>
        </w:rPr>
      </w:pPr>
      <w:r>
        <w:rPr>
          <w:rFonts w:hint="eastAsia" w:ascii="宋体" w:hAnsi="宋体" w:cs="宋体"/>
          <w:color w:val="auto"/>
          <w:highlight w:val="none"/>
        </w:rPr>
        <w:t>货物自验收合格并正常运行后</w:t>
      </w:r>
      <w:r>
        <w:rPr>
          <w:rFonts w:hint="eastAsia" w:ascii="宋体" w:hAnsi="宋体" w:cs="宋体"/>
          <w:color w:val="auto"/>
          <w:highlight w:val="none"/>
          <w:lang w:val="en-US" w:eastAsia="zh-CN"/>
        </w:rPr>
        <w:t>三个月</w:t>
      </w:r>
      <w:r>
        <w:rPr>
          <w:rFonts w:hint="eastAsia" w:ascii="宋体" w:hAnsi="宋体" w:cs="宋体"/>
          <w:color w:val="auto"/>
          <w:highlight w:val="none"/>
        </w:rPr>
        <w:t>内，采购人向中标方</w:t>
      </w:r>
      <w:r>
        <w:rPr>
          <w:rFonts w:hint="eastAsia" w:ascii="宋体" w:hAnsi="宋体" w:cs="宋体"/>
          <w:color w:val="auto"/>
          <w:highlight w:val="none"/>
          <w:lang w:val="en-US" w:eastAsia="zh-CN"/>
        </w:rPr>
        <w:t>支付95%的货款，</w:t>
      </w:r>
      <w:r>
        <w:rPr>
          <w:rFonts w:hAnsi="宋体"/>
          <w:color w:val="auto"/>
          <w:szCs w:val="21"/>
          <w:highlight w:val="none"/>
        </w:rPr>
        <w:t>即</w:t>
      </w:r>
      <w:r>
        <w:rPr>
          <w:rFonts w:ascii="Times New Roman" w:hAnsi="Times New Roman"/>
          <w:color w:val="auto"/>
          <w:szCs w:val="21"/>
          <w:highlight w:val="none"/>
        </w:rPr>
        <w:t>¥</w:t>
      </w:r>
      <w:r>
        <w:rPr>
          <w:rFonts w:hAnsi="宋体"/>
          <w:color w:val="auto"/>
          <w:szCs w:val="21"/>
          <w:highlight w:val="none"/>
        </w:rPr>
        <w:t>元（大写：</w:t>
      </w:r>
      <w:r>
        <w:rPr>
          <w:rFonts w:hint="eastAsia" w:hAnsi="宋体"/>
          <w:color w:val="auto"/>
          <w:szCs w:val="21"/>
          <w:highlight w:val="none"/>
          <w:lang w:val="en-US" w:eastAsia="zh-CN"/>
        </w:rPr>
        <w:t xml:space="preserve">   </w:t>
      </w:r>
      <w:r>
        <w:rPr>
          <w:rFonts w:ascii="Times New Roman" w:hAnsi="Times New Roman"/>
          <w:color w:val="auto"/>
          <w:szCs w:val="21"/>
          <w:highlight w:val="none"/>
          <w:u w:val="single"/>
        </w:rPr>
        <w:t>整</w:t>
      </w:r>
      <w:r>
        <w:rPr>
          <w:rFonts w:hAnsi="宋体"/>
          <w:color w:val="auto"/>
          <w:szCs w:val="21"/>
          <w:highlight w:val="none"/>
        </w:rPr>
        <w:t>）</w:t>
      </w:r>
      <w:r>
        <w:rPr>
          <w:rFonts w:hint="eastAsia" w:hAnsi="宋体"/>
          <w:color w:val="auto"/>
          <w:szCs w:val="21"/>
          <w:highlight w:val="none"/>
          <w:lang w:eastAsia="zh-CN"/>
        </w:rPr>
        <w:t>；</w:t>
      </w:r>
      <w:r>
        <w:rPr>
          <w:rFonts w:hint="eastAsia" w:ascii="宋体" w:hAnsi="宋体" w:cs="宋体"/>
          <w:color w:val="auto"/>
          <w:highlight w:val="none"/>
          <w:lang w:val="en-US" w:eastAsia="zh-CN"/>
        </w:rPr>
        <w:t>剩余5%的货款在验收合格并正常运行后六个月内支付</w:t>
      </w:r>
      <w:r>
        <w:rPr>
          <w:rFonts w:hint="eastAsia" w:hAnsi="宋体" w:cs="宋体"/>
          <w:color w:val="auto"/>
          <w:highlight w:val="none"/>
          <w:lang w:val="en-US" w:eastAsia="zh-CN"/>
        </w:rPr>
        <w:t>，</w:t>
      </w:r>
      <w:r>
        <w:rPr>
          <w:rFonts w:hAnsi="宋体"/>
          <w:color w:val="auto"/>
          <w:szCs w:val="21"/>
          <w:highlight w:val="none"/>
        </w:rPr>
        <w:t>即</w:t>
      </w: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 xml:space="preserve">    </w:t>
      </w:r>
      <w:r>
        <w:rPr>
          <w:rFonts w:hAnsi="宋体"/>
          <w:color w:val="auto"/>
          <w:szCs w:val="21"/>
          <w:highlight w:val="none"/>
        </w:rPr>
        <w:t>元（大写：</w:t>
      </w:r>
      <w:r>
        <w:rPr>
          <w:rFonts w:hint="eastAsia" w:hAnsi="宋体"/>
          <w:color w:val="auto"/>
          <w:szCs w:val="21"/>
          <w:highlight w:val="none"/>
          <w:lang w:val="en-US" w:eastAsia="zh-CN"/>
        </w:rPr>
        <w:t xml:space="preserve">     </w:t>
      </w:r>
      <w:r>
        <w:rPr>
          <w:rFonts w:ascii="Times New Roman" w:hAnsi="Times New Roman"/>
          <w:color w:val="auto"/>
          <w:szCs w:val="21"/>
          <w:highlight w:val="none"/>
          <w:u w:val="single"/>
        </w:rPr>
        <w:t>整</w:t>
      </w:r>
      <w:r>
        <w:rPr>
          <w:rFonts w:hAnsi="宋体"/>
          <w:color w:val="auto"/>
          <w:szCs w:val="21"/>
          <w:highlight w:val="none"/>
        </w:rPr>
        <w:t>）。</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第八条：违约责任</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乙方逾期履行合同义务的，应向甲方偿付合同总价万分之五每日的违约金。</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甲方逾期支付货款的，应向乙方偿付逾期金额万分之五每日的滞纳金。</w:t>
      </w:r>
    </w:p>
    <w:p>
      <w:pPr>
        <w:pStyle w:val="20"/>
        <w:spacing w:line="288" w:lineRule="auto"/>
        <w:ind w:firstLine="420" w:firstLineChars="200"/>
        <w:rPr>
          <w:rFonts w:hAnsi="宋体"/>
          <w:color w:val="auto"/>
          <w:szCs w:val="21"/>
          <w:highlight w:val="none"/>
        </w:rPr>
      </w:pPr>
      <w:r>
        <w:rPr>
          <w:rFonts w:ascii="Times New Roman" w:hAnsi="Times New Roman"/>
          <w:color w:val="auto"/>
          <w:szCs w:val="21"/>
          <w:highlight w:val="none"/>
        </w:rPr>
        <w:t>3.</w:t>
      </w:r>
      <w:r>
        <w:rPr>
          <w:rFonts w:hAnsi="宋体"/>
          <w:color w:val="auto"/>
          <w:szCs w:val="21"/>
          <w:highlight w:val="none"/>
        </w:rPr>
        <w:t>货物验收合格交付正常使用之日起一年内，乙方未能全面履行合同约定或有违约行为的，质量保证金不予退还，并按合同规定承担其他违约责任。</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4.本合同货物须由乙方直接供应，不得转让、转包、分包他人供应；否则，甲方有权解除合同、拒付（或要求退还）合同价款、没收履约（质量）保证金，并要求乙方支付合同价款20%的违约金。</w:t>
      </w:r>
    </w:p>
    <w:p>
      <w:pPr>
        <w:pStyle w:val="20"/>
        <w:spacing w:line="288" w:lineRule="auto"/>
        <w:ind w:firstLine="420" w:firstLineChars="200"/>
        <w:rPr>
          <w:rFonts w:ascii="Times New Roman" w:hAnsi="Times New Roman"/>
          <w:color w:val="auto"/>
          <w:szCs w:val="21"/>
          <w:highlight w:val="none"/>
        </w:rPr>
      </w:pPr>
      <w:r>
        <w:rPr>
          <w:rFonts w:hint="eastAsia" w:hAnsi="宋体"/>
          <w:color w:val="auto"/>
          <w:szCs w:val="21"/>
          <w:highlight w:val="none"/>
        </w:rPr>
        <w:t>5.乙方所供货物侵犯第三方知识产权的，乙方应承担由此造成的所有损失（包括但不限于侵权赔偿款、诉讼费、律师费、向甲方退还已收全款并按合同价款的20%支付违约金等）。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第九条：争议的解决</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本合同纠纷由双方协商解决，协商不成，由甲方所在地人民法院诉讼解决。</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第十条：合同的生效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本合同经甲、乙双方法定代表人或其委托代理人签字并加盖单位印章后生效。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本合同一式</w:t>
      </w:r>
      <w:r>
        <w:rPr>
          <w:rFonts w:hint="eastAsia" w:hAnsi="宋体"/>
          <w:color w:val="auto"/>
          <w:szCs w:val="21"/>
          <w:highlight w:val="none"/>
          <w:lang w:val="en-US" w:eastAsia="zh-CN"/>
        </w:rPr>
        <w:t xml:space="preserve">    </w:t>
      </w:r>
      <w:r>
        <w:rPr>
          <w:rFonts w:hAnsi="宋体"/>
          <w:color w:val="auto"/>
          <w:szCs w:val="21"/>
          <w:highlight w:val="none"/>
        </w:rPr>
        <w:t>份，甲方执</w:t>
      </w:r>
      <w:r>
        <w:rPr>
          <w:rFonts w:hint="eastAsia" w:hAnsi="宋体"/>
          <w:color w:val="auto"/>
          <w:szCs w:val="21"/>
          <w:highlight w:val="none"/>
          <w:lang w:val="en-US" w:eastAsia="zh-CN"/>
        </w:rPr>
        <w:t xml:space="preserve">    </w:t>
      </w:r>
      <w:r>
        <w:rPr>
          <w:rFonts w:hAnsi="宋体"/>
          <w:color w:val="auto"/>
          <w:szCs w:val="21"/>
          <w:highlight w:val="none"/>
        </w:rPr>
        <w:t>份，乙方和鉴证方各执</w:t>
      </w:r>
      <w:r>
        <w:rPr>
          <w:rFonts w:hint="eastAsia" w:hAnsi="宋体"/>
          <w:color w:val="auto"/>
          <w:szCs w:val="21"/>
          <w:highlight w:val="none"/>
          <w:lang w:val="en-US" w:eastAsia="zh-CN"/>
        </w:rPr>
        <w:t xml:space="preserve">    </w:t>
      </w:r>
      <w:r>
        <w:rPr>
          <w:rFonts w:hAnsi="宋体"/>
          <w:color w:val="auto"/>
          <w:szCs w:val="21"/>
          <w:highlight w:val="none"/>
        </w:rPr>
        <w:t>份，具有同等法律效力。</w:t>
      </w:r>
    </w:p>
    <w:p>
      <w:pPr>
        <w:pStyle w:val="20"/>
        <w:spacing w:line="288" w:lineRule="auto"/>
        <w:ind w:firstLine="420" w:firstLineChars="200"/>
        <w:rPr>
          <w:rFonts w:hAnsi="宋体"/>
          <w:color w:val="auto"/>
          <w:szCs w:val="21"/>
          <w:highlight w:val="none"/>
        </w:rPr>
      </w:pPr>
      <w:r>
        <w:rPr>
          <w:rFonts w:ascii="Times New Roman" w:hAnsi="Times New Roman"/>
          <w:color w:val="auto"/>
          <w:szCs w:val="21"/>
          <w:highlight w:val="none"/>
        </w:rPr>
        <w:t>3.</w:t>
      </w:r>
      <w:r>
        <w:rPr>
          <w:rFonts w:hAnsi="宋体"/>
          <w:color w:val="auto"/>
          <w:szCs w:val="21"/>
          <w:highlight w:val="none"/>
        </w:rPr>
        <w:t>本合同附件及双方的</w:t>
      </w:r>
      <w:r>
        <w:rPr>
          <w:rFonts w:hint="eastAsia" w:hAnsi="宋体"/>
          <w:color w:val="auto"/>
          <w:szCs w:val="21"/>
          <w:highlight w:val="none"/>
          <w:lang w:val="en-US" w:eastAsia="zh-CN"/>
        </w:rPr>
        <w:t>招标</w:t>
      </w:r>
      <w:r>
        <w:rPr>
          <w:rFonts w:hAnsi="宋体"/>
          <w:color w:val="auto"/>
          <w:szCs w:val="21"/>
          <w:highlight w:val="none"/>
        </w:rPr>
        <w:t>文件、</w:t>
      </w:r>
      <w:r>
        <w:rPr>
          <w:rFonts w:hint="eastAsia" w:hAnsi="宋体"/>
          <w:color w:val="auto"/>
          <w:szCs w:val="21"/>
          <w:highlight w:val="none"/>
          <w:lang w:val="en-US" w:eastAsia="zh-CN"/>
        </w:rPr>
        <w:t>投标</w:t>
      </w:r>
      <w:r>
        <w:rPr>
          <w:rFonts w:hAnsi="宋体"/>
          <w:color w:val="auto"/>
          <w:szCs w:val="21"/>
          <w:highlight w:val="none"/>
        </w:rPr>
        <w:t>文件、</w:t>
      </w:r>
      <w:r>
        <w:rPr>
          <w:rFonts w:hint="eastAsia" w:hAnsi="宋体"/>
          <w:color w:val="auto"/>
          <w:szCs w:val="21"/>
          <w:highlight w:val="none"/>
          <w:lang w:val="en-US" w:eastAsia="zh-CN"/>
        </w:rPr>
        <w:t>询标纪要</w:t>
      </w:r>
      <w:r>
        <w:rPr>
          <w:rFonts w:hAnsi="宋体"/>
          <w:color w:val="auto"/>
          <w:szCs w:val="21"/>
          <w:highlight w:val="none"/>
        </w:rPr>
        <w:t>等系本合同的组成部分。</w:t>
      </w:r>
    </w:p>
    <w:p>
      <w:pPr>
        <w:pStyle w:val="20"/>
        <w:spacing w:line="288" w:lineRule="auto"/>
        <w:ind w:firstLine="420" w:firstLineChars="200"/>
        <w:rPr>
          <w:rFonts w:ascii="Times New Roman" w:hAnsi="Times New Roman"/>
          <w:color w:val="auto"/>
          <w:szCs w:val="21"/>
          <w:highlight w:val="none"/>
        </w:rPr>
      </w:pPr>
    </w:p>
    <w:tbl>
      <w:tblPr>
        <w:tblStyle w:val="39"/>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甲方（公章）：</w:t>
            </w:r>
            <w:r>
              <w:rPr>
                <w:rFonts w:hint="eastAsia" w:hAnsi="宋体"/>
                <w:color w:val="auto"/>
                <w:spacing w:val="-6"/>
                <w:sz w:val="21"/>
                <w:szCs w:val="21"/>
                <w:highlight w:val="none"/>
              </w:rPr>
              <w:t>浙江机电职业技术学院</w:t>
            </w:r>
          </w:p>
        </w:tc>
        <w:tc>
          <w:tcPr>
            <w:tcW w:w="4533" w:type="dxa"/>
            <w:noWrap w:val="0"/>
            <w:vAlign w:val="center"/>
          </w:tcPr>
          <w:p>
            <w:pPr>
              <w:ind w:firstLine="396"/>
              <w:rPr>
                <w:color w:val="auto"/>
                <w:spacing w:val="-6"/>
                <w:sz w:val="21"/>
                <w:szCs w:val="21"/>
                <w:highlight w:val="none"/>
              </w:rPr>
            </w:pPr>
            <w:r>
              <w:rPr>
                <w:rFonts w:hAnsi="宋体"/>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r>
              <w:rPr>
                <w:rFonts w:hint="eastAsia" w:hAnsi="宋体"/>
                <w:color w:val="auto"/>
                <w:spacing w:val="-6"/>
                <w:sz w:val="21"/>
                <w:szCs w:val="21"/>
                <w:highlight w:val="none"/>
                <w:lang w:val="en-US" w:eastAsia="zh-CN"/>
              </w:rPr>
              <w:t>或盖章</w:t>
            </w:r>
            <w:r>
              <w:rPr>
                <w:rFonts w:hAnsi="宋体"/>
                <w:color w:val="auto"/>
                <w:spacing w:val="-6"/>
                <w:sz w:val="21"/>
                <w:szCs w:val="21"/>
                <w:highlight w:val="none"/>
              </w:rPr>
              <w:t>）</w:t>
            </w:r>
            <w:bookmarkStart w:id="103" w:name="_GoBack"/>
            <w:bookmarkEnd w:id="103"/>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r>
              <w:rPr>
                <w:rFonts w:hint="eastAsia" w:hAnsi="宋体"/>
                <w:color w:val="auto"/>
                <w:spacing w:val="-6"/>
                <w:sz w:val="21"/>
                <w:szCs w:val="21"/>
                <w:highlight w:val="none"/>
                <w:lang w:val="en-US" w:eastAsia="zh-CN"/>
              </w:rPr>
              <w:t>或盖章</w:t>
            </w:r>
            <w:r>
              <w:rPr>
                <w:rFonts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地址：</w:t>
            </w:r>
            <w:r>
              <w:rPr>
                <w:rFonts w:hint="eastAsia" w:hAnsi="宋体"/>
                <w:color w:val="auto"/>
                <w:spacing w:val="-6"/>
                <w:sz w:val="21"/>
                <w:szCs w:val="21"/>
                <w:highlight w:val="none"/>
              </w:rPr>
              <w:t>杭州市滨江区滨文路528号</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邮编：</w:t>
            </w:r>
            <w:r>
              <w:rPr>
                <w:color w:val="auto"/>
                <w:sz w:val="21"/>
                <w:szCs w:val="21"/>
                <w:highlight w:val="none"/>
              </w:rPr>
              <w:t>310053</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0571-87773085</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传真：</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开户银行：</w:t>
            </w:r>
            <w:r>
              <w:rPr>
                <w:rFonts w:hint="eastAsia" w:hAnsi="宋体"/>
                <w:color w:val="auto"/>
                <w:spacing w:val="-6"/>
                <w:sz w:val="21"/>
                <w:szCs w:val="21"/>
                <w:highlight w:val="none"/>
              </w:rPr>
              <w:t>工行杭州景江苑支行</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帐号：</w:t>
            </w:r>
            <w:r>
              <w:rPr>
                <w:rFonts w:hint="eastAsia" w:hAnsi="宋体"/>
                <w:color w:val="auto"/>
                <w:spacing w:val="-6"/>
                <w:sz w:val="21"/>
                <w:szCs w:val="21"/>
                <w:highlight w:val="none"/>
              </w:rPr>
              <w:t>1202023419100001848</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noWrap w:val="0"/>
            <w:vAlign w:val="center"/>
          </w:tcPr>
          <w:p>
            <w:pPr>
              <w:ind w:firstLine="396"/>
              <w:rPr>
                <w:color w:val="auto"/>
                <w:spacing w:val="-6"/>
                <w:sz w:val="21"/>
                <w:szCs w:val="21"/>
                <w:highlight w:val="none"/>
              </w:rPr>
            </w:pPr>
            <w:r>
              <w:rPr>
                <w:rFonts w:hAnsi="宋体"/>
                <w:color w:val="auto"/>
                <w:spacing w:val="-6"/>
                <w:sz w:val="21"/>
                <w:szCs w:val="21"/>
                <w:highlight w:val="none"/>
              </w:rPr>
              <w:t>合同签订地点：</w:t>
            </w:r>
            <w:r>
              <w:rPr>
                <w:rFonts w:hint="eastAsia" w:hAnsi="宋体"/>
                <w:color w:val="auto"/>
                <w:spacing w:val="-6"/>
                <w:sz w:val="21"/>
                <w:szCs w:val="21"/>
                <w:highlight w:val="none"/>
              </w:rPr>
              <w:t>杭州市滨江区滨文路528号</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签订时间：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月</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noWrap w:val="0"/>
            <w:vAlign w:val="center"/>
          </w:tcPr>
          <w:p>
            <w:pPr>
              <w:ind w:firstLine="396"/>
              <w:rPr>
                <w:color w:val="auto"/>
                <w:spacing w:val="-6"/>
                <w:sz w:val="21"/>
                <w:szCs w:val="21"/>
                <w:highlight w:val="none"/>
              </w:rPr>
            </w:pPr>
            <w:r>
              <w:rPr>
                <w:rFonts w:hAnsi="宋体"/>
                <w:color w:val="auto"/>
                <w:spacing w:val="-6"/>
                <w:sz w:val="21"/>
                <w:szCs w:val="21"/>
                <w:highlight w:val="none"/>
              </w:rPr>
              <w:t>合同鉴证方（</w:t>
            </w:r>
            <w:r>
              <w:rPr>
                <w:rFonts w:hint="eastAsia" w:hAnsi="宋体"/>
                <w:color w:val="auto"/>
                <w:spacing w:val="-6"/>
                <w:sz w:val="21"/>
                <w:szCs w:val="21"/>
                <w:highlight w:val="none"/>
              </w:rPr>
              <w:t>鉴证</w:t>
            </w:r>
            <w:r>
              <w:rPr>
                <w:rFonts w:hAnsi="宋体"/>
                <w:color w:val="auto"/>
                <w:spacing w:val="-6"/>
                <w:sz w:val="21"/>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noWrap w:val="0"/>
            <w:vAlign w:val="center"/>
          </w:tcPr>
          <w:p>
            <w:pPr>
              <w:ind w:firstLine="420"/>
              <w:rPr>
                <w:color w:val="auto"/>
                <w:spacing w:val="-6"/>
                <w:sz w:val="21"/>
                <w:szCs w:val="21"/>
                <w:highlight w:val="none"/>
              </w:rPr>
            </w:pPr>
            <w:r>
              <w:rPr>
                <w:rFonts w:hAnsi="宋体"/>
                <w:color w:val="auto"/>
                <w:sz w:val="21"/>
                <w:szCs w:val="21"/>
                <w:highlight w:val="none"/>
              </w:rPr>
              <w:t>地址：</w:t>
            </w:r>
            <w:r>
              <w:rPr>
                <w:rFonts w:hint="eastAsia" w:hAnsi="宋体"/>
                <w:color w:val="auto"/>
                <w:sz w:val="21"/>
                <w:szCs w:val="21"/>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noWrap w:val="0"/>
            <w:vAlign w:val="center"/>
          </w:tcPr>
          <w:p>
            <w:pPr>
              <w:ind w:firstLine="396"/>
              <w:rPr>
                <w:color w:val="auto"/>
                <w:spacing w:val="-6"/>
                <w:sz w:val="21"/>
                <w:szCs w:val="21"/>
                <w:highlight w:val="none"/>
              </w:rPr>
            </w:pPr>
            <w:r>
              <w:rPr>
                <w:rFonts w:hAnsi="宋体"/>
                <w:color w:val="auto"/>
                <w:spacing w:val="-6"/>
                <w:sz w:val="21"/>
                <w:szCs w:val="21"/>
                <w:highlight w:val="none"/>
              </w:rPr>
              <w:t>代表人：</w:t>
            </w:r>
            <w:r>
              <w:rPr>
                <w:color w:val="auto"/>
                <w:spacing w:val="-6"/>
                <w:sz w:val="21"/>
                <w:szCs w:val="21"/>
                <w:highlight w:val="none"/>
              </w:rPr>
              <w:t>(</w:t>
            </w: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noWrap w:val="0"/>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0571-86098397</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鉴证时间：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月</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日</w:t>
            </w:r>
          </w:p>
        </w:tc>
      </w:tr>
    </w:tbl>
    <w:p>
      <w:pPr>
        <w:pStyle w:val="20"/>
        <w:spacing w:line="288" w:lineRule="auto"/>
        <w:rPr>
          <w:rFonts w:ascii="Times New Roman" w:hAnsi="Times New Roman"/>
          <w:b/>
          <w:color w:val="auto"/>
          <w:szCs w:val="21"/>
          <w:highlight w:val="none"/>
        </w:rPr>
      </w:pPr>
    </w:p>
    <w:p>
      <w:pPr>
        <w:ind w:firstLine="480"/>
        <w:rPr>
          <w:color w:val="auto"/>
          <w:highlight w:val="none"/>
        </w:rPr>
      </w:pPr>
      <w:r>
        <w:rPr>
          <w:color w:val="auto"/>
          <w:highlight w:val="none"/>
        </w:rPr>
        <w:t>附件</w:t>
      </w:r>
      <w:r>
        <w:rPr>
          <w:rFonts w:hint="eastAsia"/>
          <w:color w:val="auto"/>
          <w:highlight w:val="none"/>
        </w:rPr>
        <w:t>（</w:t>
      </w:r>
      <w:r>
        <w:rPr>
          <w:rFonts w:hint="eastAsia"/>
          <w:b/>
          <w:color w:val="auto"/>
          <w:highlight w:val="none"/>
        </w:rPr>
        <w:t>请严格按照投标文件填写</w:t>
      </w:r>
      <w:r>
        <w:rPr>
          <w:rFonts w:hint="eastAsia"/>
          <w:color w:val="auto"/>
          <w:highlight w:val="none"/>
        </w:rPr>
        <w:t>配置清单和服务承诺）：</w:t>
      </w:r>
    </w:p>
    <w:p>
      <w:pPr>
        <w:ind w:firstLine="482"/>
        <w:rPr>
          <w:b/>
          <w:color w:val="auto"/>
          <w:highlight w:val="none"/>
        </w:rPr>
      </w:pPr>
      <w:r>
        <w:rPr>
          <w:rFonts w:hint="eastAsia"/>
          <w:b/>
          <w:color w:val="auto"/>
          <w:highlight w:val="none"/>
        </w:rPr>
        <w:t>一、配置清单</w:t>
      </w:r>
    </w:p>
    <w:tbl>
      <w:tblPr>
        <w:tblStyle w:val="39"/>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序号</w:t>
            </w:r>
          </w:p>
        </w:tc>
        <w:tc>
          <w:tcPr>
            <w:tcW w:w="979"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名称</w:t>
            </w:r>
          </w:p>
        </w:tc>
        <w:tc>
          <w:tcPr>
            <w:tcW w:w="2329" w:type="dxa"/>
            <w:vAlign w:val="center"/>
          </w:tcPr>
          <w:p>
            <w:pPr>
              <w:spacing w:line="300" w:lineRule="exact"/>
              <w:ind w:left="102" w:right="-36" w:hanging="102" w:firstLineChars="0"/>
              <w:jc w:val="center"/>
              <w:rPr>
                <w:b/>
                <w:color w:val="auto"/>
                <w:szCs w:val="21"/>
                <w:highlight w:val="none"/>
              </w:rPr>
            </w:pPr>
            <w:r>
              <w:rPr>
                <w:rFonts w:hAnsi="宋体"/>
                <w:b/>
                <w:color w:val="auto"/>
                <w:szCs w:val="21"/>
                <w:highlight w:val="none"/>
              </w:rPr>
              <w:t>规格</w:t>
            </w:r>
            <w:r>
              <w:rPr>
                <w:b/>
                <w:color w:val="auto"/>
                <w:szCs w:val="21"/>
                <w:highlight w:val="none"/>
              </w:rPr>
              <w:t>/</w:t>
            </w:r>
            <w:r>
              <w:rPr>
                <w:rFonts w:hAnsi="宋体"/>
                <w:b/>
                <w:color w:val="auto"/>
                <w:szCs w:val="21"/>
                <w:highlight w:val="none"/>
              </w:rPr>
              <w:t>型号</w:t>
            </w:r>
          </w:p>
        </w:tc>
        <w:tc>
          <w:tcPr>
            <w:tcW w:w="1985" w:type="dxa"/>
          </w:tcPr>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品牌/厂家/</w:t>
            </w:r>
          </w:p>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原产地</w:t>
            </w:r>
          </w:p>
        </w:tc>
        <w:tc>
          <w:tcPr>
            <w:tcW w:w="1417" w:type="dxa"/>
            <w:vAlign w:val="center"/>
          </w:tcPr>
          <w:p>
            <w:pPr>
              <w:spacing w:line="300" w:lineRule="exact"/>
              <w:ind w:right="-3" w:firstLine="0" w:firstLineChars="0"/>
              <w:jc w:val="center"/>
              <w:rPr>
                <w:rFonts w:hAnsi="宋体"/>
                <w:b/>
                <w:color w:val="auto"/>
                <w:szCs w:val="21"/>
                <w:highlight w:val="none"/>
              </w:rPr>
            </w:pPr>
            <w:r>
              <w:rPr>
                <w:rFonts w:hAnsi="宋体"/>
                <w:b/>
                <w:color w:val="auto"/>
                <w:szCs w:val="21"/>
                <w:highlight w:val="none"/>
              </w:rPr>
              <w:t>数量</w:t>
            </w:r>
          </w:p>
        </w:tc>
        <w:tc>
          <w:tcPr>
            <w:tcW w:w="1073"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单价（元）</w:t>
            </w:r>
          </w:p>
        </w:tc>
        <w:tc>
          <w:tcPr>
            <w:tcW w:w="1418"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1</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2</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3</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left="120" w:hanging="120" w:hangingChars="5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4</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5</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6</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bl>
    <w:p>
      <w:pPr>
        <w:ind w:firstLine="480"/>
        <w:rPr>
          <w:color w:val="auto"/>
          <w:highlight w:val="none"/>
        </w:rPr>
      </w:pPr>
    </w:p>
    <w:p>
      <w:pPr>
        <w:ind w:firstLine="482"/>
        <w:rPr>
          <w:b/>
          <w:color w:val="auto"/>
          <w:highlight w:val="none"/>
        </w:rPr>
      </w:pPr>
      <w:r>
        <w:rPr>
          <w:rFonts w:hint="eastAsia"/>
          <w:b/>
          <w:color w:val="auto"/>
          <w:highlight w:val="none"/>
        </w:rPr>
        <w:t>二、服务承诺</w:t>
      </w:r>
    </w:p>
    <w:p>
      <w:pPr>
        <w:ind w:firstLine="0" w:firstLineChars="0"/>
        <w:rPr>
          <w:rFonts w:ascii="宋体" w:hAnsi="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p>
      <w:pPr>
        <w:pStyle w:val="4"/>
        <w:rPr>
          <w:color w:val="auto"/>
          <w:highlight w:val="none"/>
        </w:rPr>
      </w:pPr>
      <w:bookmarkStart w:id="93" w:name="_Toc27145"/>
      <w:r>
        <w:rPr>
          <w:rFonts w:hint="eastAsia" w:cs="宋体"/>
          <w:color w:val="auto"/>
          <w:highlight w:val="none"/>
        </w:rPr>
        <w:t>第六章 投标文件格式</w:t>
      </w:r>
      <w:bookmarkEnd w:id="91"/>
      <w:bookmarkEnd w:id="93"/>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6"/>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color w:val="auto"/>
          <w:sz w:val="33"/>
          <w:szCs w:val="33"/>
          <w:highlight w:val="none"/>
        </w:rPr>
      </w:pPr>
      <w:r>
        <w:rPr>
          <w:b/>
          <w:color w:val="auto"/>
          <w:sz w:val="33"/>
          <w:szCs w:val="33"/>
          <w:highlight w:val="none"/>
        </w:rPr>
        <w:t xml:space="preserve">格式一：资格审查材料 </w:t>
      </w:r>
    </w:p>
    <w:tbl>
      <w:tblPr>
        <w:tblStyle w:val="39"/>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6"/>
              <w:numPr>
                <w:ilvl w:val="0"/>
                <w:numId w:val="18"/>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6"/>
              <w:numPr>
                <w:ilvl w:val="0"/>
                <w:numId w:val="18"/>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6"/>
              <w:numPr>
                <w:ilvl w:val="0"/>
                <w:numId w:val="18"/>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6"/>
              <w:numPr>
                <w:ilvl w:val="0"/>
                <w:numId w:val="18"/>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6"/>
              <w:numPr>
                <w:ilvl w:val="0"/>
                <w:numId w:val="18"/>
              </w:numPr>
              <w:rPr>
                <w:color w:val="auto"/>
                <w:highlight w:val="none"/>
              </w:rPr>
            </w:pPr>
            <w:r>
              <w:rPr>
                <w:color w:val="auto"/>
                <w:highlight w:val="none"/>
              </w:rPr>
              <w:t>如投标人是自然人，提供有效的自然人身份证明。</w:t>
            </w:r>
          </w:p>
          <w:p>
            <w:pPr>
              <w:pStyle w:val="36"/>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6"/>
              <w:numPr>
                <w:ilvl w:val="0"/>
                <w:numId w:val="19"/>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6"/>
              <w:numPr>
                <w:ilvl w:val="0"/>
                <w:numId w:val="19"/>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6"/>
              <w:numPr>
                <w:ilvl w:val="0"/>
                <w:numId w:val="19"/>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6"/>
              <w:numPr>
                <w:ilvl w:val="0"/>
                <w:numId w:val="19"/>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6"/>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6"/>
              <w:numPr>
                <w:ilvl w:val="0"/>
                <w:numId w:val="20"/>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6"/>
              <w:numPr>
                <w:ilvl w:val="0"/>
                <w:numId w:val="20"/>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6"/>
              <w:numPr>
                <w:ilvl w:val="0"/>
                <w:numId w:val="20"/>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6"/>
              <w:numPr>
                <w:ilvl w:val="0"/>
                <w:numId w:val="20"/>
              </w:numPr>
              <w:rPr>
                <w:color w:val="auto"/>
                <w:highlight w:val="none"/>
              </w:rPr>
            </w:pPr>
            <w:r>
              <w:rPr>
                <w:color w:val="auto"/>
                <w:highlight w:val="none"/>
              </w:rPr>
              <w:t>依法不需要缴纳社会保障资金的投标人，应提供相应文件证明其依法不需要缴纳社会保障资金；</w:t>
            </w:r>
          </w:p>
          <w:p>
            <w:pPr>
              <w:pStyle w:val="36"/>
              <w:numPr>
                <w:ilvl w:val="0"/>
                <w:numId w:val="20"/>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6"/>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6"/>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6"/>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6"/>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numPr>
                <w:ilvl w:val="0"/>
                <w:numId w:val="21"/>
              </w:numPr>
              <w:ind w:firstLine="0" w:firstLineChars="0"/>
              <w:rPr>
                <w:rFonts w:hint="eastAsia" w:ascii="宋体" w:hAnsi="宋体" w:eastAsia="宋体" w:cs="Times New Roman"/>
                <w:color w:val="auto"/>
                <w:kern w:val="0"/>
                <w:sz w:val="22"/>
                <w:szCs w:val="22"/>
                <w:highlight w:val="none"/>
                <w:lang w:val="en-US" w:eastAsia="zh-CN" w:bidi="ar-SA"/>
              </w:rPr>
            </w:pPr>
            <w:r>
              <w:rPr>
                <w:rFonts w:hint="eastAsia" w:ascii="宋体" w:hAnsi="宋体" w:eastAsia="宋体" w:cs="Times New Roman"/>
                <w:color w:val="auto"/>
                <w:kern w:val="0"/>
                <w:sz w:val="22"/>
                <w:szCs w:val="22"/>
                <w:highlight w:val="none"/>
                <w:lang w:val="en-US" w:eastAsia="zh-CN" w:bidi="ar-SA"/>
              </w:rPr>
              <w:t>提供响应文件递交截止日前1日历天17:00（北京时间）的查询信息网站截图，查询渠道：“国家企业信用信息公示系统”（w</w:t>
            </w:r>
            <w:r>
              <w:rPr>
                <w:rFonts w:ascii="宋体" w:hAnsi="宋体" w:eastAsia="宋体" w:cs="Times New Roman"/>
                <w:color w:val="auto"/>
                <w:kern w:val="0"/>
                <w:sz w:val="22"/>
                <w:szCs w:val="22"/>
                <w:highlight w:val="none"/>
                <w:lang w:val="en-US" w:eastAsia="zh-CN" w:bidi="ar-SA"/>
              </w:rPr>
              <w:fldChar w:fldCharType="begin"/>
            </w:r>
            <w:r>
              <w:rPr>
                <w:rFonts w:ascii="宋体" w:hAnsi="宋体" w:eastAsia="宋体" w:cs="Times New Roman"/>
                <w:color w:val="auto"/>
                <w:kern w:val="0"/>
                <w:sz w:val="22"/>
                <w:szCs w:val="22"/>
                <w:highlight w:val="none"/>
                <w:lang w:val="en-US" w:eastAsia="zh-CN" w:bidi="ar-SA"/>
              </w:rPr>
              <w:instrText xml:space="preserve"> HYPERLINK "http://www.gsxt.gov.cn/corp-query-homepage.html" </w:instrText>
            </w:r>
            <w:r>
              <w:rPr>
                <w:rFonts w:ascii="宋体" w:hAnsi="宋体" w:eastAsia="宋体" w:cs="Times New Roman"/>
                <w:color w:val="auto"/>
                <w:kern w:val="0"/>
                <w:sz w:val="22"/>
                <w:szCs w:val="22"/>
                <w:highlight w:val="none"/>
                <w:lang w:val="en-US" w:eastAsia="zh-CN" w:bidi="ar-SA"/>
              </w:rPr>
              <w:fldChar w:fldCharType="separate"/>
            </w:r>
            <w:r>
              <w:rPr>
                <w:rFonts w:hint="eastAsia" w:ascii="宋体" w:hAnsi="宋体" w:eastAsia="宋体" w:cs="Times New Roman"/>
                <w:color w:val="auto"/>
                <w:kern w:val="0"/>
                <w:sz w:val="22"/>
                <w:szCs w:val="22"/>
                <w:highlight w:val="none"/>
                <w:lang w:val="en-US" w:eastAsia="zh-CN" w:bidi="ar-SA"/>
              </w:rPr>
              <w:t>ww.gsxt.gov.cn/corp-query-homepage.html</w:t>
            </w:r>
            <w:r>
              <w:rPr>
                <w:rFonts w:hint="eastAsia" w:ascii="宋体" w:hAnsi="宋体" w:eastAsia="宋体" w:cs="Times New Roman"/>
                <w:color w:val="auto"/>
                <w:kern w:val="0"/>
                <w:sz w:val="22"/>
                <w:szCs w:val="22"/>
                <w:highlight w:val="none"/>
                <w:lang w:val="en-US" w:eastAsia="zh-CN" w:bidi="ar-SA"/>
              </w:rPr>
              <w:fldChar w:fldCharType="end"/>
            </w:r>
            <w:r>
              <w:rPr>
                <w:rFonts w:hint="eastAsia" w:ascii="宋体" w:hAnsi="宋体" w:eastAsia="宋体" w:cs="Times New Roman"/>
                <w:color w:val="auto"/>
                <w:kern w:val="0"/>
                <w:sz w:val="22"/>
                <w:szCs w:val="22"/>
                <w:highlight w:val="none"/>
                <w:lang w:val="en-US" w:eastAsia="zh-CN" w:bidi="ar-SA"/>
              </w:rPr>
              <w:t>）</w:t>
            </w:r>
          </w:p>
          <w:p>
            <w:pPr>
              <w:numPr>
                <w:ilvl w:val="0"/>
                <w:numId w:val="21"/>
              </w:numPr>
              <w:ind w:firstLine="0" w:firstLineChars="0"/>
              <w:rPr>
                <w:color w:val="auto"/>
                <w:highlight w:val="none"/>
              </w:rPr>
            </w:pPr>
            <w:r>
              <w:rPr>
                <w:rFonts w:hint="eastAsia" w:ascii="宋体" w:hAnsi="宋体" w:eastAsia="宋体" w:cs="Times New Roman"/>
                <w:color w:val="auto"/>
                <w:kern w:val="0"/>
                <w:sz w:val="24"/>
                <w:szCs w:val="24"/>
                <w:highlight w:val="none"/>
                <w:lang w:val="en-US" w:eastAsia="zh-CN" w:bidi="ar-SA"/>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6"/>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6"/>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rPr>
              <w:t>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w:t>
            </w:r>
            <w:r>
              <w:rPr>
                <w:rFonts w:hint="eastAsia" w:ascii="宋体" w:hAnsi="宋体"/>
                <w:color w:val="auto"/>
                <w:highlight w:val="none"/>
                <w:lang w:val="en-US" w:eastAsia="zh-CN"/>
              </w:rPr>
              <w:t>不</w:t>
            </w:r>
            <w:r>
              <w:rPr>
                <w:rFonts w:hint="eastAsia" w:ascii="宋体" w:hAnsi="宋体"/>
                <w:color w:val="auto"/>
                <w:highlight w:val="none"/>
              </w:rPr>
              <w:t>接受联合体投标。</w:t>
            </w:r>
          </w:p>
        </w:tc>
      </w:tr>
    </w:tbl>
    <w:p>
      <w:pPr>
        <w:pStyle w:val="36"/>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lang w:eastAsia="zh-CN"/>
        </w:rPr>
        <w:t>浙江机电职业技术学院</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浙江机电职业技术学院</w:t>
      </w:r>
      <w:r>
        <w:rPr>
          <w:rFonts w:hint="eastAsia" w:ascii="宋体" w:hAnsi="宋体"/>
          <w:color w:val="auto"/>
          <w:highlight w:val="none"/>
        </w:rPr>
        <w:t>、浙江五石工程咨询有限公司：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480"/>
        <w:rPr>
          <w:color w:val="auto"/>
          <w:highlight w:val="none"/>
        </w:rPr>
      </w:pPr>
      <w:r>
        <w:rPr>
          <w:rFonts w:hint="eastAsia"/>
          <w:color w:val="auto"/>
          <w:highlight w:val="none"/>
        </w:rPr>
        <w:br w:type="page"/>
      </w:r>
    </w:p>
    <w:p>
      <w:pPr>
        <w:pStyle w:val="9"/>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6"/>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浙江机电职业技术学院</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报价文件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94" w:name="_Toc6136"/>
      <w:r>
        <w:rPr>
          <w:rFonts w:hint="eastAsia" w:ascii="宋体" w:hAnsi="宋体" w:cs="宋体"/>
          <w:b/>
          <w:color w:val="auto"/>
          <w:kern w:val="0"/>
          <w:sz w:val="36"/>
          <w:highlight w:val="none"/>
        </w:rPr>
        <w:t>报价文件目录</w:t>
      </w:r>
      <w:bookmarkEnd w:id="94"/>
    </w:p>
    <w:p>
      <w:pPr>
        <w:ind w:firstLine="480"/>
        <w:outlineLvl w:val="0"/>
        <w:rPr>
          <w:rFonts w:ascii="宋体" w:hAnsi="宋体" w:cs="宋体"/>
          <w:color w:val="auto"/>
          <w:kern w:val="0"/>
          <w:highlight w:val="none"/>
        </w:rPr>
      </w:pPr>
      <w:bookmarkStart w:id="95" w:name="_Toc16666"/>
      <w:r>
        <w:rPr>
          <w:rFonts w:hint="eastAsia" w:ascii="宋体" w:hAnsi="宋体" w:cs="宋体"/>
          <w:color w:val="auto"/>
          <w:kern w:val="0"/>
          <w:highlight w:val="none"/>
        </w:rPr>
        <w:t>（1）投标响应函………………………………………………………………（页码）</w:t>
      </w:r>
      <w:bookmarkEnd w:id="95"/>
    </w:p>
    <w:p>
      <w:pPr>
        <w:ind w:firstLine="480"/>
        <w:outlineLvl w:val="0"/>
        <w:rPr>
          <w:rFonts w:ascii="宋体" w:hAnsi="宋体" w:cs="宋体"/>
          <w:color w:val="auto"/>
          <w:kern w:val="0"/>
          <w:highlight w:val="none"/>
        </w:rPr>
      </w:pPr>
      <w:bookmarkStart w:id="96" w:name="_Toc9814"/>
      <w:r>
        <w:rPr>
          <w:rFonts w:hint="eastAsia" w:ascii="宋体" w:hAnsi="宋体" w:cs="宋体"/>
          <w:color w:val="auto"/>
          <w:kern w:val="0"/>
          <w:highlight w:val="none"/>
        </w:rPr>
        <w:t>（2）开标一览表………………………………………………………………（页码）</w:t>
      </w:r>
      <w:bookmarkEnd w:id="96"/>
    </w:p>
    <w:p>
      <w:pPr>
        <w:ind w:firstLine="480"/>
        <w:outlineLvl w:val="0"/>
        <w:rPr>
          <w:rFonts w:ascii="宋体" w:hAnsi="宋体" w:cs="宋体"/>
          <w:color w:val="auto"/>
          <w:kern w:val="0"/>
          <w:highlight w:val="none"/>
        </w:rPr>
      </w:pPr>
      <w:bookmarkStart w:id="97" w:name="_Toc10349"/>
      <w:r>
        <w:rPr>
          <w:rFonts w:hint="eastAsia" w:ascii="宋体" w:hAnsi="宋体" w:cs="宋体"/>
          <w:color w:val="auto"/>
          <w:kern w:val="0"/>
          <w:highlight w:val="none"/>
        </w:rPr>
        <w:t>（3）投标报价明细表…………………………………………………………（页码）</w:t>
      </w:r>
      <w:bookmarkEnd w:id="97"/>
    </w:p>
    <w:p>
      <w:pPr>
        <w:ind w:firstLine="480"/>
        <w:outlineLvl w:val="0"/>
        <w:rPr>
          <w:rFonts w:ascii="宋体" w:hAnsi="宋体" w:cs="宋体"/>
          <w:color w:val="auto"/>
          <w:highlight w:val="none"/>
        </w:rPr>
      </w:pPr>
      <w:bookmarkStart w:id="98"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98"/>
    </w:p>
    <w:p>
      <w:pPr>
        <w:pStyle w:val="6"/>
        <w:rPr>
          <w:rFonts w:ascii="宋体" w:hAnsi="宋体" w:cs="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浙江机电职业技术学院</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en-US" w:eastAsia="zh-CN"/>
        </w:rPr>
        <w:t>4</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u w:val="single"/>
          <w:lang w:val="en-US" w:eastAsia="zh-CN"/>
        </w:rPr>
        <w:t>4</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99" w:name="_Toc14446"/>
      <w:r>
        <w:rPr>
          <w:rFonts w:hint="eastAsia" w:ascii="宋体" w:hAnsi="宋体" w:eastAsia="宋体" w:cs="宋体"/>
          <w:bCs/>
          <w:color w:val="auto"/>
          <w:kern w:val="2"/>
          <w:sz w:val="24"/>
          <w:szCs w:val="32"/>
          <w:highlight w:val="none"/>
        </w:rPr>
        <w:t>开标一览表</w:t>
      </w:r>
      <w:bookmarkEnd w:id="99"/>
    </w:p>
    <w:p>
      <w:pPr>
        <w:pStyle w:val="170"/>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浙江机电职业技术学院</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70"/>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100"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00"/>
    </w:p>
    <w:p>
      <w:pPr>
        <w:ind w:firstLine="7228" w:firstLineChars="3000"/>
        <w:rPr>
          <w:rFonts w:hint="default" w:ascii="宋体" w:hAnsi="宋体" w:eastAsia="宋体" w:cs="宋体"/>
          <w:b/>
          <w:color w:val="auto"/>
          <w:kern w:val="0"/>
          <w:highlight w:val="none"/>
          <w:lang w:val="en-US" w:eastAsia="zh-CN"/>
        </w:rPr>
      </w:pPr>
      <w:r>
        <w:rPr>
          <w:rFonts w:hint="eastAsia" w:hAnsi="宋体" w:cs="宋体"/>
          <w:b/>
          <w:bCs/>
          <w:color w:val="auto"/>
          <w:sz w:val="24"/>
          <w:szCs w:val="24"/>
          <w:highlight w:val="none"/>
        </w:rPr>
        <w:t>金额单位：</w:t>
      </w:r>
      <w:r>
        <w:rPr>
          <w:rFonts w:hint="eastAsia" w:cs="宋体"/>
          <w:b/>
          <w:bCs/>
          <w:color w:val="auto"/>
          <w:sz w:val="24"/>
          <w:szCs w:val="24"/>
          <w:highlight w:val="none"/>
          <w:lang w:val="en-US" w:eastAsia="zh-CN"/>
        </w:rPr>
        <w:t xml:space="preserve">    </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pacing w:val="-6"/>
                <w:highlight w:val="none"/>
                <w:u w:val="single"/>
              </w:rPr>
            </w:pPr>
            <w:r>
              <w:rPr>
                <w:rFonts w:hint="eastAsia" w:ascii="宋体" w:hAnsi="宋体"/>
                <w:b/>
                <w:color w:val="auto"/>
                <w:spacing w:val="-6"/>
                <w:highlight w:val="none"/>
                <w:lang w:val="en-US" w:eastAsia="zh-CN"/>
              </w:rPr>
              <w:t>投标</w:t>
            </w:r>
            <w:r>
              <w:rPr>
                <w:rFonts w:hint="eastAsia" w:ascii="宋体" w:hAnsi="宋体"/>
                <w:b/>
                <w:color w:val="auto"/>
                <w:spacing w:val="-6"/>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pacing w:val="-6"/>
                <w:highlight w:val="none"/>
              </w:rPr>
            </w:pPr>
          </w:p>
          <w:p>
            <w:pPr>
              <w:spacing w:line="360" w:lineRule="auto"/>
              <w:rPr>
                <w:rFonts w:hint="eastAsia" w:ascii="宋体" w:hAnsi="宋体"/>
                <w:color w:val="auto"/>
                <w:spacing w:val="-6"/>
                <w:highlight w:val="none"/>
              </w:rPr>
            </w:pPr>
            <w:r>
              <w:rPr>
                <w:rFonts w:hint="eastAsia" w:ascii="宋体" w:hAnsi="宋体"/>
                <w:color w:val="auto"/>
                <w:spacing w:val="-6"/>
                <w:highlight w:val="none"/>
              </w:rPr>
              <w:t>金额大写：          ，</w:t>
            </w:r>
          </w:p>
          <w:p>
            <w:pPr>
              <w:spacing w:line="360" w:lineRule="auto"/>
              <w:rPr>
                <w:rFonts w:ascii="宋体" w:hAnsi="宋体"/>
                <w:b/>
                <w:color w:val="auto"/>
                <w:spacing w:val="-6"/>
                <w:highlight w:val="none"/>
              </w:rPr>
            </w:pPr>
            <w:r>
              <w:rPr>
                <w:rFonts w:hint="eastAsia" w:ascii="宋体" w:hAnsi="宋体"/>
                <w:color w:val="auto"/>
                <w:spacing w:val="-6"/>
                <w:highlight w:val="none"/>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pacing w:val="-6"/>
                <w:highlight w:val="none"/>
              </w:rPr>
            </w:pPr>
            <w:r>
              <w:rPr>
                <w:rFonts w:hint="eastAsia" w:ascii="宋体" w:hAnsi="宋体"/>
                <w:color w:val="auto"/>
                <w:spacing w:val="-6"/>
                <w:highlight w:val="none"/>
              </w:rPr>
              <w:t>供货期/质保期：</w:t>
            </w:r>
          </w:p>
        </w:tc>
      </w:tr>
    </w:tbl>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21"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01" w:name="_Toc17346"/>
      <w:r>
        <w:rPr>
          <w:rFonts w:hint="eastAsia" w:ascii="宋体" w:hAnsi="宋体" w:eastAsia="宋体" w:cs="宋体"/>
          <w:bCs/>
          <w:color w:val="auto"/>
          <w:kern w:val="2"/>
          <w:sz w:val="24"/>
          <w:szCs w:val="32"/>
          <w:highlight w:val="none"/>
        </w:rPr>
        <w:t>投标报价明细表</w:t>
      </w:r>
      <w:bookmarkEnd w:id="101"/>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项目编号：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      </w:t>
      </w:r>
    </w:p>
    <w:p>
      <w:pPr>
        <w:pStyle w:val="20"/>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 xml:space="preserve">金额单位：     </w:t>
      </w:r>
      <w:r>
        <w:rPr>
          <w:rFonts w:hint="eastAsia" w:hAnsi="宋体" w:cs="宋体"/>
          <w:color w:val="auto"/>
          <w:sz w:val="24"/>
          <w:szCs w:val="24"/>
          <w:highlight w:val="none"/>
        </w:rPr>
        <w:t xml:space="preserve"> </w:t>
      </w:r>
    </w:p>
    <w:tbl>
      <w:tblPr>
        <w:tblStyle w:val="3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20"/>
        <w:gridCol w:w="1667"/>
        <w:gridCol w:w="1206"/>
        <w:gridCol w:w="926"/>
        <w:gridCol w:w="973"/>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857" w:type="dxa"/>
            <w:noWrap w:val="0"/>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2020" w:type="dxa"/>
            <w:noWrap w:val="0"/>
            <w:vAlign w:val="center"/>
          </w:tcPr>
          <w:p>
            <w:pPr>
              <w:spacing w:line="240" w:lineRule="auto"/>
              <w:ind w:firstLine="0" w:firstLineChars="0"/>
              <w:rPr>
                <w:rFonts w:ascii="宋体" w:hAnsi="宋体" w:cs="宋体"/>
                <w:b/>
                <w:color w:val="auto"/>
                <w:highlight w:val="none"/>
              </w:rPr>
            </w:pPr>
            <w:r>
              <w:rPr>
                <w:rFonts w:hint="eastAsia" w:ascii="宋体" w:hAnsi="宋体" w:cs="宋体"/>
                <w:b/>
                <w:color w:val="auto"/>
                <w:highlight w:val="none"/>
              </w:rPr>
              <w:t>名称</w:t>
            </w:r>
          </w:p>
        </w:tc>
        <w:tc>
          <w:tcPr>
            <w:tcW w:w="1667" w:type="dxa"/>
            <w:noWrap w:val="0"/>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品牌</w:t>
            </w:r>
          </w:p>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（如果有）</w:t>
            </w:r>
          </w:p>
        </w:tc>
        <w:tc>
          <w:tcPr>
            <w:tcW w:w="1206" w:type="dxa"/>
            <w:noWrap w:val="0"/>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规格型号</w:t>
            </w:r>
          </w:p>
        </w:tc>
        <w:tc>
          <w:tcPr>
            <w:tcW w:w="926" w:type="dxa"/>
            <w:noWrap w:val="0"/>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973" w:type="dxa"/>
            <w:noWrap w:val="0"/>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单价</w:t>
            </w:r>
          </w:p>
        </w:tc>
        <w:tc>
          <w:tcPr>
            <w:tcW w:w="879" w:type="dxa"/>
            <w:noWrap w:val="0"/>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7"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020" w:type="dxa"/>
            <w:noWrap w:val="0"/>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多岗位联动应急演练实训平台</w:t>
            </w:r>
          </w:p>
        </w:tc>
        <w:tc>
          <w:tcPr>
            <w:tcW w:w="1667" w:type="dxa"/>
            <w:noWrap w:val="0"/>
            <w:vAlign w:val="center"/>
          </w:tcPr>
          <w:p>
            <w:pPr>
              <w:snapToGrid w:val="0"/>
              <w:ind w:firstLine="0" w:firstLineChars="0"/>
              <w:rPr>
                <w:rFonts w:ascii="宋体" w:hAnsi="宋体" w:cs="宋体"/>
                <w:color w:val="auto"/>
                <w:highlight w:val="none"/>
              </w:rPr>
            </w:pPr>
          </w:p>
        </w:tc>
        <w:tc>
          <w:tcPr>
            <w:tcW w:w="1206" w:type="dxa"/>
            <w:noWrap w:val="0"/>
            <w:vAlign w:val="center"/>
          </w:tcPr>
          <w:p>
            <w:pPr>
              <w:snapToGrid w:val="0"/>
              <w:ind w:firstLine="0" w:firstLineChars="0"/>
              <w:rPr>
                <w:rFonts w:ascii="宋体" w:hAnsi="宋体" w:cs="宋体"/>
                <w:color w:val="auto"/>
                <w:highlight w:val="none"/>
              </w:rPr>
            </w:pPr>
          </w:p>
        </w:tc>
        <w:tc>
          <w:tcPr>
            <w:tcW w:w="926" w:type="dxa"/>
            <w:noWrap w:val="0"/>
            <w:vAlign w:val="center"/>
          </w:tcPr>
          <w:p>
            <w:pPr>
              <w:snapToGrid w:val="0"/>
              <w:ind w:firstLine="0" w:firstLineChars="0"/>
              <w:rPr>
                <w:rFonts w:ascii="宋体" w:hAnsi="宋体" w:cs="宋体"/>
                <w:color w:val="auto"/>
                <w:highlight w:val="none"/>
              </w:rPr>
            </w:pPr>
          </w:p>
        </w:tc>
        <w:tc>
          <w:tcPr>
            <w:tcW w:w="973" w:type="dxa"/>
            <w:noWrap w:val="0"/>
            <w:vAlign w:val="center"/>
          </w:tcPr>
          <w:p>
            <w:pPr>
              <w:ind w:firstLine="0" w:firstLineChars="0"/>
              <w:rPr>
                <w:rFonts w:ascii="宋体" w:hAnsi="宋体" w:cs="宋体"/>
                <w:color w:val="auto"/>
                <w:highlight w:val="none"/>
              </w:rPr>
            </w:pPr>
          </w:p>
        </w:tc>
        <w:tc>
          <w:tcPr>
            <w:tcW w:w="879" w:type="dxa"/>
            <w:noWrap w:val="0"/>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7"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020" w:type="dxa"/>
            <w:noWrap w:val="0"/>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教师机系统</w:t>
            </w:r>
          </w:p>
        </w:tc>
        <w:tc>
          <w:tcPr>
            <w:tcW w:w="1667" w:type="dxa"/>
            <w:noWrap w:val="0"/>
            <w:vAlign w:val="center"/>
          </w:tcPr>
          <w:p>
            <w:pPr>
              <w:snapToGrid w:val="0"/>
              <w:ind w:firstLine="0" w:firstLineChars="0"/>
              <w:rPr>
                <w:rFonts w:ascii="宋体" w:hAnsi="宋体" w:cs="宋体"/>
                <w:color w:val="auto"/>
                <w:highlight w:val="none"/>
              </w:rPr>
            </w:pPr>
          </w:p>
        </w:tc>
        <w:tc>
          <w:tcPr>
            <w:tcW w:w="1206" w:type="dxa"/>
            <w:noWrap w:val="0"/>
            <w:vAlign w:val="center"/>
          </w:tcPr>
          <w:p>
            <w:pPr>
              <w:snapToGrid w:val="0"/>
              <w:ind w:firstLine="0" w:firstLineChars="0"/>
              <w:rPr>
                <w:rFonts w:ascii="宋体" w:hAnsi="宋体" w:cs="宋体"/>
                <w:color w:val="auto"/>
                <w:highlight w:val="none"/>
              </w:rPr>
            </w:pPr>
          </w:p>
        </w:tc>
        <w:tc>
          <w:tcPr>
            <w:tcW w:w="926" w:type="dxa"/>
            <w:noWrap w:val="0"/>
            <w:vAlign w:val="center"/>
          </w:tcPr>
          <w:p>
            <w:pPr>
              <w:snapToGrid w:val="0"/>
              <w:ind w:firstLine="0" w:firstLineChars="0"/>
              <w:rPr>
                <w:rFonts w:ascii="宋体" w:hAnsi="宋体" w:cs="宋体"/>
                <w:color w:val="auto"/>
                <w:highlight w:val="none"/>
              </w:rPr>
            </w:pPr>
          </w:p>
        </w:tc>
        <w:tc>
          <w:tcPr>
            <w:tcW w:w="973" w:type="dxa"/>
            <w:noWrap w:val="0"/>
            <w:vAlign w:val="center"/>
          </w:tcPr>
          <w:p>
            <w:pPr>
              <w:ind w:firstLine="0" w:firstLineChars="0"/>
              <w:rPr>
                <w:rFonts w:ascii="宋体" w:hAnsi="宋体" w:cs="宋体"/>
                <w:color w:val="auto"/>
                <w:highlight w:val="none"/>
              </w:rPr>
            </w:pPr>
          </w:p>
        </w:tc>
        <w:tc>
          <w:tcPr>
            <w:tcW w:w="879" w:type="dxa"/>
            <w:noWrap w:val="0"/>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7" w:type="dxa"/>
            <w:noWrap w:val="0"/>
            <w:vAlign w:val="center"/>
          </w:tcPr>
          <w:p>
            <w:pPr>
              <w:ind w:firstLine="0" w:firstLineChars="0"/>
              <w:jc w:val="center"/>
              <w:rPr>
                <w:rFonts w:ascii="宋体" w:hAnsi="宋体" w:cs="宋体"/>
                <w:color w:val="auto"/>
                <w:highlight w:val="none"/>
              </w:rPr>
            </w:pPr>
          </w:p>
        </w:tc>
        <w:tc>
          <w:tcPr>
            <w:tcW w:w="2020" w:type="dxa"/>
            <w:noWrap w:val="0"/>
            <w:vAlign w:val="center"/>
          </w:tcPr>
          <w:p>
            <w:pPr>
              <w:widowControl/>
              <w:spacing w:line="240" w:lineRule="auto"/>
              <w:ind w:firstLine="0" w:firstLineChars="0"/>
              <w:jc w:val="center"/>
              <w:rPr>
                <w:rFonts w:ascii="宋体" w:hAnsi="宋体" w:cs="宋体"/>
                <w:color w:val="auto"/>
                <w:highlight w:val="none"/>
              </w:rPr>
            </w:pPr>
          </w:p>
        </w:tc>
        <w:tc>
          <w:tcPr>
            <w:tcW w:w="1667" w:type="dxa"/>
            <w:noWrap w:val="0"/>
            <w:vAlign w:val="center"/>
          </w:tcPr>
          <w:p>
            <w:pPr>
              <w:snapToGrid w:val="0"/>
              <w:ind w:firstLine="0" w:firstLineChars="0"/>
              <w:rPr>
                <w:rFonts w:ascii="宋体" w:hAnsi="宋体" w:cs="宋体"/>
                <w:color w:val="auto"/>
                <w:highlight w:val="none"/>
              </w:rPr>
            </w:pPr>
          </w:p>
        </w:tc>
        <w:tc>
          <w:tcPr>
            <w:tcW w:w="1206" w:type="dxa"/>
            <w:noWrap w:val="0"/>
            <w:vAlign w:val="center"/>
          </w:tcPr>
          <w:p>
            <w:pPr>
              <w:snapToGrid w:val="0"/>
              <w:ind w:firstLine="0" w:firstLineChars="0"/>
              <w:rPr>
                <w:rFonts w:ascii="宋体" w:hAnsi="宋体" w:cs="宋体"/>
                <w:color w:val="auto"/>
                <w:highlight w:val="none"/>
              </w:rPr>
            </w:pPr>
          </w:p>
        </w:tc>
        <w:tc>
          <w:tcPr>
            <w:tcW w:w="926" w:type="dxa"/>
            <w:noWrap w:val="0"/>
            <w:vAlign w:val="center"/>
          </w:tcPr>
          <w:p>
            <w:pPr>
              <w:snapToGrid w:val="0"/>
              <w:ind w:firstLine="0" w:firstLineChars="0"/>
              <w:rPr>
                <w:rFonts w:ascii="宋体" w:hAnsi="宋体" w:cs="宋体"/>
                <w:color w:val="auto"/>
                <w:highlight w:val="none"/>
              </w:rPr>
            </w:pPr>
          </w:p>
        </w:tc>
        <w:tc>
          <w:tcPr>
            <w:tcW w:w="973" w:type="dxa"/>
            <w:noWrap w:val="0"/>
            <w:vAlign w:val="center"/>
          </w:tcPr>
          <w:p>
            <w:pPr>
              <w:ind w:firstLine="0" w:firstLineChars="0"/>
              <w:rPr>
                <w:rFonts w:ascii="宋体" w:hAnsi="宋体" w:cs="宋体"/>
                <w:color w:val="auto"/>
                <w:highlight w:val="none"/>
              </w:rPr>
            </w:pPr>
          </w:p>
        </w:tc>
        <w:tc>
          <w:tcPr>
            <w:tcW w:w="879" w:type="dxa"/>
            <w:noWrap w:val="0"/>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4544" w:type="dxa"/>
            <w:gridSpan w:val="3"/>
            <w:noWrap w:val="0"/>
            <w:vAlign w:val="center"/>
          </w:tcPr>
          <w:p>
            <w:pPr>
              <w:snapToGrid w:val="0"/>
              <w:ind w:firstLine="0" w:firstLineChars="0"/>
              <w:rPr>
                <w:rFonts w:ascii="宋体" w:hAnsi="宋体" w:cs="宋体"/>
                <w:color w:val="auto"/>
                <w:highlight w:val="none"/>
              </w:rPr>
            </w:pPr>
            <w:r>
              <w:rPr>
                <w:rFonts w:hint="eastAsia" w:ascii="宋体" w:hAnsi="宋体" w:cs="宋体"/>
                <w:b/>
                <w:color w:val="auto"/>
                <w:highlight w:val="none"/>
              </w:rPr>
              <w:t>投标报价（小写）</w:t>
            </w:r>
          </w:p>
        </w:tc>
        <w:tc>
          <w:tcPr>
            <w:tcW w:w="1206" w:type="dxa"/>
            <w:noWrap w:val="0"/>
            <w:vAlign w:val="center"/>
          </w:tcPr>
          <w:p>
            <w:pPr>
              <w:snapToGrid w:val="0"/>
              <w:ind w:firstLine="0" w:firstLineChars="0"/>
              <w:rPr>
                <w:rFonts w:ascii="宋体" w:hAnsi="宋体" w:cs="宋体"/>
                <w:color w:val="auto"/>
                <w:highlight w:val="none"/>
              </w:rPr>
            </w:pPr>
          </w:p>
        </w:tc>
        <w:tc>
          <w:tcPr>
            <w:tcW w:w="926" w:type="dxa"/>
            <w:noWrap w:val="0"/>
            <w:vAlign w:val="center"/>
          </w:tcPr>
          <w:p>
            <w:pPr>
              <w:snapToGrid w:val="0"/>
              <w:ind w:firstLine="0" w:firstLineChars="0"/>
              <w:rPr>
                <w:rFonts w:ascii="宋体" w:hAnsi="宋体" w:cs="宋体"/>
                <w:color w:val="auto"/>
                <w:highlight w:val="none"/>
              </w:rPr>
            </w:pPr>
          </w:p>
        </w:tc>
        <w:tc>
          <w:tcPr>
            <w:tcW w:w="973" w:type="dxa"/>
            <w:noWrap w:val="0"/>
            <w:vAlign w:val="center"/>
          </w:tcPr>
          <w:p>
            <w:pPr>
              <w:ind w:firstLine="0" w:firstLineChars="0"/>
              <w:rPr>
                <w:rFonts w:ascii="宋体" w:hAnsi="宋体" w:cs="宋体"/>
                <w:color w:val="auto"/>
                <w:highlight w:val="none"/>
              </w:rPr>
            </w:pPr>
          </w:p>
        </w:tc>
        <w:tc>
          <w:tcPr>
            <w:tcW w:w="879" w:type="dxa"/>
            <w:noWrap w:val="0"/>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4544" w:type="dxa"/>
            <w:gridSpan w:val="3"/>
            <w:noWrap w:val="0"/>
            <w:vAlign w:val="center"/>
          </w:tcPr>
          <w:p>
            <w:pPr>
              <w:snapToGrid w:val="0"/>
              <w:ind w:firstLine="0" w:firstLineChars="0"/>
              <w:rPr>
                <w:rFonts w:ascii="宋体" w:hAnsi="宋体" w:cs="宋体"/>
                <w:color w:val="auto"/>
                <w:highlight w:val="none"/>
              </w:rPr>
            </w:pPr>
            <w:r>
              <w:rPr>
                <w:rFonts w:hint="eastAsia" w:ascii="宋体" w:hAnsi="宋体" w:cs="宋体"/>
                <w:b/>
                <w:color w:val="auto"/>
                <w:highlight w:val="none"/>
              </w:rPr>
              <w:t>投标报价（大写）</w:t>
            </w:r>
          </w:p>
        </w:tc>
        <w:tc>
          <w:tcPr>
            <w:tcW w:w="1206" w:type="dxa"/>
            <w:noWrap w:val="0"/>
            <w:vAlign w:val="center"/>
          </w:tcPr>
          <w:p>
            <w:pPr>
              <w:snapToGrid w:val="0"/>
              <w:ind w:firstLine="0" w:firstLineChars="0"/>
              <w:rPr>
                <w:rFonts w:ascii="宋体" w:hAnsi="宋体" w:cs="宋体"/>
                <w:color w:val="auto"/>
                <w:highlight w:val="none"/>
              </w:rPr>
            </w:pPr>
          </w:p>
        </w:tc>
        <w:tc>
          <w:tcPr>
            <w:tcW w:w="926" w:type="dxa"/>
            <w:noWrap w:val="0"/>
            <w:vAlign w:val="center"/>
          </w:tcPr>
          <w:p>
            <w:pPr>
              <w:snapToGrid w:val="0"/>
              <w:ind w:firstLine="0" w:firstLineChars="0"/>
              <w:rPr>
                <w:rFonts w:ascii="宋体" w:hAnsi="宋体" w:cs="宋体"/>
                <w:color w:val="auto"/>
                <w:highlight w:val="none"/>
              </w:rPr>
            </w:pPr>
          </w:p>
        </w:tc>
        <w:tc>
          <w:tcPr>
            <w:tcW w:w="973" w:type="dxa"/>
            <w:noWrap w:val="0"/>
            <w:vAlign w:val="center"/>
          </w:tcPr>
          <w:p>
            <w:pPr>
              <w:ind w:firstLine="0" w:firstLineChars="0"/>
              <w:rPr>
                <w:rFonts w:ascii="宋体" w:hAnsi="宋体" w:cs="宋体"/>
                <w:color w:val="auto"/>
                <w:highlight w:val="none"/>
              </w:rPr>
            </w:pPr>
          </w:p>
        </w:tc>
        <w:tc>
          <w:tcPr>
            <w:tcW w:w="879" w:type="dxa"/>
            <w:noWrap w:val="0"/>
            <w:vAlign w:val="center"/>
          </w:tcPr>
          <w:p>
            <w:pPr>
              <w:ind w:firstLine="0" w:firstLineChars="0"/>
              <w:rPr>
                <w:rFonts w:ascii="宋体" w:hAnsi="宋体" w:cs="宋体"/>
                <w:color w:val="auto"/>
                <w:highlight w:val="none"/>
              </w:rPr>
            </w:pPr>
          </w:p>
        </w:tc>
      </w:tr>
    </w:tbl>
    <w:p>
      <w:pPr>
        <w:pStyle w:val="20"/>
        <w:adjustRightInd w:val="0"/>
        <w:snapToGrid w:val="0"/>
        <w:spacing w:line="360" w:lineRule="auto"/>
        <w:jc w:val="left"/>
        <w:rPr>
          <w:rFonts w:ascii="Arial" w:hAnsi="宋体" w:cs="Arial"/>
          <w:b/>
          <w:bCs/>
          <w:color w:val="auto"/>
          <w:kern w:val="0"/>
          <w:szCs w:val="21"/>
          <w:highlight w:val="none"/>
        </w:rPr>
      </w:pPr>
    </w:p>
    <w:p>
      <w:pPr>
        <w:pStyle w:val="20"/>
        <w:adjustRightInd w:val="0"/>
        <w:snapToGrid w:val="0"/>
        <w:spacing w:line="360" w:lineRule="auto"/>
        <w:jc w:val="left"/>
        <w:rPr>
          <w:rFonts w:hAnsi="宋体" w:cs="宋体"/>
          <w:b/>
          <w:bCs/>
          <w:color w:val="auto"/>
          <w:szCs w:val="21"/>
          <w:highlight w:val="none"/>
        </w:rPr>
      </w:pP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2"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中小企业声明函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w:t>
      </w:r>
      <w:r>
        <w:rPr>
          <w:rFonts w:hint="eastAsia" w:ascii="宋体" w:hAnsi="宋体" w:cs="宋体"/>
          <w:color w:val="auto"/>
          <w:highlight w:val="none"/>
          <w:lang w:eastAsia="zh-CN"/>
        </w:rPr>
        <w:t>浙江机电职业技术学院</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（1）□本公司为直接投标人提供本企业提供的货物。</w:t>
      </w:r>
    </w:p>
    <w:p>
      <w:pPr>
        <w:ind w:firstLine="480"/>
        <w:rPr>
          <w:rFonts w:ascii="宋体" w:hAnsi="宋体"/>
          <w:color w:val="auto"/>
          <w:highlight w:val="none"/>
        </w:rPr>
      </w:pPr>
      <w:r>
        <w:rPr>
          <w:rFonts w:hint="eastAsia" w:ascii="宋体" w:hAnsi="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23" w:type="default"/>
          <w:footerReference r:id="rId24" w:type="default"/>
          <w:pgSz w:w="11907" w:h="16840"/>
          <w:pgMar w:top="1247" w:right="1304" w:bottom="1021" w:left="1304" w:header="720" w:footer="720" w:gutter="0"/>
          <w:cols w:space="720" w:num="1"/>
          <w:docGrid w:linePitch="286" w:charSpace="0"/>
        </w:sectPr>
      </w:pPr>
    </w:p>
    <w:p>
      <w:pPr>
        <w:pStyle w:val="6"/>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lang w:eastAsia="zh-CN"/>
        </w:rPr>
        <w:t>浙江机电职业技术学院</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0"/>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bookmarkStart w:id="102" w:name="_Toc7692"/>
      <w:r>
        <w:rPr>
          <w:rFonts w:hint="eastAsia" w:ascii="宋体" w:hAnsi="宋体" w:cs="宋体"/>
          <w:color w:val="auto"/>
          <w:highlight w:val="none"/>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t>商务技术文件目录</w:t>
      </w:r>
      <w:bookmarkEnd w:id="102"/>
      <w:r>
        <w:rPr>
          <w:rFonts w:hint="eastAsia" w:ascii="宋体" w:hAnsi="宋体" w:cs="宋体"/>
          <w:b/>
          <w:color w:val="auto"/>
          <w:kern w:val="0"/>
          <w:sz w:val="36"/>
          <w:highlight w:val="none"/>
        </w:rPr>
        <w:t xml:space="preserve"> </w:t>
      </w:r>
    </w:p>
    <w:p>
      <w:pPr>
        <w:numPr>
          <w:ilvl w:val="0"/>
          <w:numId w:val="22"/>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w:t>
      </w:r>
      <w:r>
        <w:rPr>
          <w:rFonts w:hint="eastAsia" w:ascii="宋体" w:hAnsi="宋体" w:cs="宋体"/>
          <w:color w:val="auto"/>
          <w:kern w:val="0"/>
          <w:highlight w:val="none"/>
        </w:rPr>
        <w:t>……………   ………………（页码）</w:t>
      </w:r>
    </w:p>
    <w:p>
      <w:pPr>
        <w:numPr>
          <w:ilvl w:val="0"/>
          <w:numId w:val="22"/>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   ………………（页码）</w:t>
      </w:r>
    </w:p>
    <w:p>
      <w:pPr>
        <w:numPr>
          <w:ilvl w:val="0"/>
          <w:numId w:val="22"/>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22"/>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22"/>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 ………………… ……（页码）</w:t>
      </w:r>
    </w:p>
    <w:p>
      <w:pPr>
        <w:numPr>
          <w:ilvl w:val="0"/>
          <w:numId w:val="22"/>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 …………………………（页码）</w:t>
      </w:r>
    </w:p>
    <w:p>
      <w:pPr>
        <w:numPr>
          <w:ilvl w:val="0"/>
          <w:numId w:val="22"/>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 ……………………………（页码）</w:t>
      </w:r>
    </w:p>
    <w:p>
      <w:pPr>
        <w:numPr>
          <w:ilvl w:val="0"/>
          <w:numId w:val="22"/>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   …（页码）</w:t>
      </w:r>
    </w:p>
    <w:p>
      <w:pPr>
        <w:numPr>
          <w:ilvl w:val="0"/>
          <w:numId w:val="22"/>
        </w:numPr>
        <w:ind w:firstLineChars="0"/>
        <w:rPr>
          <w:color w:val="auto"/>
          <w:highlight w:val="none"/>
        </w:rPr>
      </w:pPr>
      <w:r>
        <w:rPr>
          <w:rFonts w:hint="eastAsia" w:ascii="宋体" w:hAnsi="宋体" w:cs="宋体"/>
          <w:color w:val="auto"/>
          <w:kern w:val="0"/>
          <w:highlight w:val="none"/>
        </w:rPr>
        <w:t>技术服务方案………………………………………    …………………  ……（页码）</w:t>
      </w:r>
    </w:p>
    <w:p>
      <w:pPr>
        <w:numPr>
          <w:ilvl w:val="0"/>
          <w:numId w:val="22"/>
        </w:numPr>
        <w:ind w:firstLineChars="0"/>
        <w:rPr>
          <w:rFonts w:ascii="宋体" w:hAnsi="宋体" w:cs="宋体"/>
          <w:color w:val="auto"/>
          <w:highlight w:val="none"/>
        </w:rPr>
      </w:pPr>
      <w:r>
        <w:rPr>
          <w:rFonts w:hint="eastAsia" w:ascii="宋体" w:hAnsi="宋体" w:cs="宋体"/>
          <w:color w:val="auto"/>
          <w:highlight w:val="none"/>
        </w:rPr>
        <w:t>实施技术人员一览表</w:t>
      </w:r>
      <w:r>
        <w:rPr>
          <w:rFonts w:hint="eastAsia" w:ascii="宋体" w:hAnsi="宋体" w:cs="宋体"/>
          <w:color w:val="auto"/>
          <w:kern w:val="0"/>
          <w:highlight w:val="none"/>
        </w:rPr>
        <w:t>……………………………………………………   ……（页码）</w:t>
      </w:r>
    </w:p>
    <w:p>
      <w:pPr>
        <w:numPr>
          <w:ilvl w:val="0"/>
          <w:numId w:val="22"/>
        </w:numPr>
        <w:ind w:firstLineChars="0"/>
        <w:rPr>
          <w:rFonts w:ascii="宋体" w:hAnsi="宋体" w:cs="宋体"/>
          <w:color w:val="auto"/>
          <w:highlight w:val="none"/>
        </w:rPr>
      </w:pPr>
      <w:r>
        <w:rPr>
          <w:rFonts w:hint="eastAsia" w:ascii="宋体" w:hAnsi="宋体" w:cs="宋体"/>
          <w:color w:val="auto"/>
          <w:kern w:val="0"/>
          <w:highlight w:val="none"/>
          <w:lang w:val="en-US" w:eastAsia="zh-CN"/>
        </w:rPr>
        <w:t>质量保证措施</w:t>
      </w:r>
      <w:r>
        <w:rPr>
          <w:rFonts w:hint="eastAsia" w:ascii="宋体" w:hAnsi="宋体" w:cs="宋体"/>
          <w:color w:val="auto"/>
          <w:kern w:val="0"/>
          <w:highlight w:val="none"/>
        </w:rPr>
        <w:t>………………………………………………………………………（页码）</w:t>
      </w:r>
    </w:p>
    <w:p>
      <w:pPr>
        <w:numPr>
          <w:ilvl w:val="0"/>
          <w:numId w:val="22"/>
        </w:numPr>
        <w:ind w:firstLineChars="0"/>
        <w:rPr>
          <w:rFonts w:ascii="宋体" w:hAnsi="宋体" w:cs="宋体"/>
          <w:color w:val="auto"/>
          <w:highlight w:val="none"/>
        </w:rPr>
      </w:pPr>
      <w:r>
        <w:rPr>
          <w:rFonts w:hint="eastAsia" w:ascii="宋体" w:hAnsi="宋体" w:cs="宋体"/>
          <w:color w:val="auto"/>
          <w:kern w:val="0"/>
          <w:highlight w:val="none"/>
        </w:rPr>
        <w:t>培训方案…………………………………………………………………………（页码）</w:t>
      </w:r>
    </w:p>
    <w:p>
      <w:pPr>
        <w:numPr>
          <w:ilvl w:val="0"/>
          <w:numId w:val="22"/>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22"/>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  （页码）</w:t>
      </w:r>
    </w:p>
    <w:p>
      <w:pPr>
        <w:numPr>
          <w:ilvl w:val="0"/>
          <w:numId w:val="22"/>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pStyle w:val="9"/>
        <w:rPr>
          <w:color w:val="auto"/>
          <w:highlight w:val="none"/>
        </w:rPr>
      </w:pPr>
      <w:r>
        <w:rPr>
          <w:rFonts w:hint="eastAsia" w:ascii="宋体" w:hAnsi="宋体" w:cs="宋体"/>
          <w:color w:val="auto"/>
          <w:kern w:val="0"/>
          <w:highlight w:val="none"/>
        </w:rPr>
        <w:t>……</w:t>
      </w:r>
    </w:p>
    <w:p>
      <w:pPr>
        <w:pStyle w:val="2"/>
        <w:rPr>
          <w:rFonts w:ascii="宋体" w:hAnsi="宋体" w:eastAsia="宋体" w:cs="宋体"/>
          <w:color w:val="auto"/>
          <w:highlight w:val="none"/>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6"/>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lang w:eastAsia="zh-CN"/>
        </w:rPr>
        <w:t>浙江机电职业技术学院</w:t>
      </w:r>
      <w:r>
        <w:rPr>
          <w:rFonts w:hint="eastAsia" w:ascii="宋体" w:hAnsi="宋体" w:cs="宋体"/>
          <w:color w:val="auto"/>
          <w:spacing w:val="-6"/>
          <w:highlight w:val="none"/>
          <w:u w:val="single"/>
        </w:rPr>
        <w:t>、浙江五石工程咨询有限公司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lang w:eastAsia="zh-CN"/>
        </w:rPr>
        <w:t>浙江机电职业技术学院</w:t>
      </w:r>
      <w:r>
        <w:rPr>
          <w:rFonts w:hint="eastAsia" w:ascii="宋体" w:hAnsi="宋体" w:cs="宋体"/>
          <w:color w:val="auto"/>
          <w:spacing w:val="-6"/>
          <w:highlight w:val="none"/>
          <w:u w:val="single"/>
        </w:rPr>
        <w:t>、浙江五石工程咨询有限公司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lang w:eastAsia="zh-CN"/>
        </w:rPr>
        <w:t>浙江机电职业技术学院</w:t>
      </w:r>
      <w:r>
        <w:rPr>
          <w:rFonts w:hint="eastAsia" w:ascii="宋体" w:hAnsi="宋体" w:cs="宋体"/>
          <w:color w:val="auto"/>
          <w:highlight w:val="none"/>
        </w:rPr>
        <w:t>、浙江五石工程咨询有限公司：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杭州市开元商贸职业学校体艺楼音响、灯光设备、LED显示屏、三校区统一网络出口升级改造、录播机房兼教室项目[招标编号：HJZCD-2019-014]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lang w:eastAsia="zh-CN"/>
        </w:rPr>
        <w:t>浙江机电职业技术学院</w:t>
      </w:r>
      <w:r>
        <w:rPr>
          <w:rFonts w:hint="eastAsia" w:ascii="宋体" w:hAnsi="宋体" w:cs="宋体"/>
          <w:color w:val="auto"/>
          <w:highlight w:val="none"/>
        </w:rPr>
        <w:t>：</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附件十一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附件十二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附件十三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lang w:val="en-US" w:eastAsia="zh-CN"/>
        </w:rPr>
        <w:t xml:space="preserve">附件十四 </w:t>
      </w:r>
      <w:r>
        <w:rPr>
          <w:rFonts w:hint="eastAsia" w:ascii="宋体" w:hAnsi="宋体" w:cs="宋体"/>
          <w:color w:val="auto"/>
          <w:highlight w:val="none"/>
        </w:rPr>
        <w:t>质保期满后备品备件的配置清单</w:t>
      </w:r>
    </w:p>
    <w:p>
      <w:pPr>
        <w:ind w:firstLine="480"/>
        <w:rPr>
          <w:color w:val="auto"/>
          <w:highlight w:val="none"/>
        </w:rPr>
      </w:pPr>
    </w:p>
    <w:p>
      <w:pPr>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质保期满后备品备件的配置清单</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单价</w:t>
            </w: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bl>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rPr>
          <w:rFonts w:hint="eastAsia"/>
          <w:color w:val="auto"/>
          <w:highlight w:val="none"/>
        </w:rPr>
      </w:pPr>
      <w:r>
        <w:rPr>
          <w:rFonts w:hint="eastAsia"/>
          <w:color w:val="auto"/>
          <w:highlight w:val="none"/>
        </w:rPr>
        <w:br w:type="page"/>
      </w:r>
    </w:p>
    <w:bookmarkEnd w:id="52"/>
    <w:bookmarkEnd w:id="53"/>
    <w:bookmarkEnd w:id="54"/>
    <w:bookmarkEnd w:id="55"/>
    <w:bookmarkEnd w:id="56"/>
    <w:bookmarkEnd w:id="57"/>
    <w:bookmarkEnd w:id="58"/>
    <w:bookmarkEnd w:id="59"/>
    <w:p>
      <w:pPr>
        <w:pStyle w:val="6"/>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五</w:t>
      </w:r>
      <w:r>
        <w:rPr>
          <w:rFonts w:hint="eastAsia" w:ascii="宋体" w:hAnsi="宋体" w:cs="宋体"/>
          <w:color w:val="auto"/>
          <w:highlight w:val="none"/>
        </w:rPr>
        <w:t xml:space="preserve">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5"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0"/>
    <w:family w:val="decorative"/>
    <w:pitch w:val="default"/>
    <w:sig w:usb0="8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lang w:eastAsia="zh-CN"/>
      </w:rPr>
      <w:t>浙江机电职业技术学院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9D52DCE6"/>
    <w:multiLevelType w:val="singleLevel"/>
    <w:tmpl w:val="9D52DCE6"/>
    <w:lvl w:ilvl="0" w:tentative="0">
      <w:start w:val="1"/>
      <w:numFmt w:val="decimal"/>
      <w:lvlText w:val="%1."/>
      <w:lvlJc w:val="left"/>
      <w:pPr>
        <w:tabs>
          <w:tab w:val="left" w:pos="312"/>
        </w:tabs>
      </w:pPr>
    </w:lvl>
  </w:abstractNum>
  <w:abstractNum w:abstractNumId="2">
    <w:nsid w:val="A523208E"/>
    <w:multiLevelType w:val="singleLevel"/>
    <w:tmpl w:val="A523208E"/>
    <w:lvl w:ilvl="0" w:tentative="0">
      <w:start w:val="1"/>
      <w:numFmt w:val="decimal"/>
      <w:suff w:val="nothing"/>
      <w:lvlText w:val="（%1）"/>
      <w:lvlJc w:val="left"/>
    </w:lvl>
  </w:abstractNum>
  <w:abstractNum w:abstractNumId="3">
    <w:nsid w:val="B813CD19"/>
    <w:multiLevelType w:val="singleLevel"/>
    <w:tmpl w:val="B813CD19"/>
    <w:lvl w:ilvl="0" w:tentative="0">
      <w:start w:val="1"/>
      <w:numFmt w:val="decimal"/>
      <w:suff w:val="nothing"/>
      <w:lvlText w:val="%1、"/>
      <w:lvlJc w:val="left"/>
    </w:lvl>
  </w:abstractNum>
  <w:abstractNum w:abstractNumId="4">
    <w:nsid w:val="B9FECD7A"/>
    <w:multiLevelType w:val="singleLevel"/>
    <w:tmpl w:val="B9FECD7A"/>
    <w:lvl w:ilvl="0" w:tentative="0">
      <w:start w:val="1"/>
      <w:numFmt w:val="decimal"/>
      <w:lvlText w:val="(%1)"/>
      <w:lvlJc w:val="left"/>
      <w:pPr>
        <w:ind w:left="425" w:hanging="425"/>
      </w:pPr>
      <w:rPr>
        <w:rFonts w:hint="default"/>
      </w:rPr>
    </w:lvl>
  </w:abstractNum>
  <w:abstractNum w:abstractNumId="5">
    <w:nsid w:val="C9753911"/>
    <w:multiLevelType w:val="singleLevel"/>
    <w:tmpl w:val="C9753911"/>
    <w:lvl w:ilvl="0" w:tentative="0">
      <w:start w:val="1"/>
      <w:numFmt w:val="decimal"/>
      <w:suff w:val="nothing"/>
      <w:lvlText w:val="（%1）"/>
      <w:lvlJc w:val="left"/>
    </w:lvl>
  </w:abstractNum>
  <w:abstractNum w:abstractNumId="6">
    <w:nsid w:val="E419C3B5"/>
    <w:multiLevelType w:val="singleLevel"/>
    <w:tmpl w:val="E419C3B5"/>
    <w:lvl w:ilvl="0" w:tentative="0">
      <w:start w:val="1"/>
      <w:numFmt w:val="decimal"/>
      <w:suff w:val="nothing"/>
      <w:lvlText w:val="%1，"/>
      <w:lvlJc w:val="left"/>
    </w:lvl>
  </w:abstractNum>
  <w:abstractNum w:abstractNumId="7">
    <w:nsid w:val="F56FB2D7"/>
    <w:multiLevelType w:val="singleLevel"/>
    <w:tmpl w:val="F56FB2D7"/>
    <w:lvl w:ilvl="0" w:tentative="0">
      <w:start w:val="4"/>
      <w:numFmt w:val="decimal"/>
      <w:suff w:val="nothing"/>
      <w:lvlText w:val="（%1）"/>
      <w:lvlJc w:val="left"/>
    </w:lvl>
  </w:abstractNum>
  <w:abstractNum w:abstractNumId="8">
    <w:nsid w:val="F6D5FE6C"/>
    <w:multiLevelType w:val="singleLevel"/>
    <w:tmpl w:val="F6D5FE6C"/>
    <w:lvl w:ilvl="0" w:tentative="0">
      <w:start w:val="1"/>
      <w:numFmt w:val="decimal"/>
      <w:lvlText w:val="%1."/>
      <w:lvlJc w:val="left"/>
      <w:pPr>
        <w:ind w:left="425" w:hanging="425"/>
      </w:pPr>
      <w:rPr>
        <w:rFonts w:hint="default"/>
      </w:rPr>
    </w:lvl>
  </w:abstractNum>
  <w:abstractNum w:abstractNumId="9">
    <w:nsid w:val="F81965CD"/>
    <w:multiLevelType w:val="singleLevel"/>
    <w:tmpl w:val="F81965CD"/>
    <w:lvl w:ilvl="0" w:tentative="0">
      <w:start w:val="1"/>
      <w:numFmt w:val="decimal"/>
      <w:suff w:val="nothing"/>
      <w:lvlText w:val="（%1）"/>
      <w:lvlJc w:val="left"/>
    </w:lvl>
  </w:abstractNum>
  <w:abstractNum w:abstractNumId="10">
    <w:nsid w:val="F9A5FCD9"/>
    <w:multiLevelType w:val="singleLevel"/>
    <w:tmpl w:val="F9A5FCD9"/>
    <w:lvl w:ilvl="0" w:tentative="0">
      <w:start w:val="1"/>
      <w:numFmt w:val="bullet"/>
      <w:lvlText w:val=""/>
      <w:lvlJc w:val="left"/>
      <w:pPr>
        <w:ind w:left="420" w:hanging="420"/>
      </w:pPr>
      <w:rPr>
        <w:rFonts w:hint="default" w:ascii="Wingdings" w:hAnsi="Wingdings"/>
      </w:rPr>
    </w:lvl>
  </w:abstractNum>
  <w:abstractNum w:abstractNumId="1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02B09879"/>
    <w:multiLevelType w:val="singleLevel"/>
    <w:tmpl w:val="02B09879"/>
    <w:lvl w:ilvl="0" w:tentative="0">
      <w:start w:val="1"/>
      <w:numFmt w:val="decimal"/>
      <w:suff w:val="nothing"/>
      <w:lvlText w:val="（%1）"/>
      <w:lvlJc w:val="left"/>
    </w:lvl>
  </w:abstractNum>
  <w:abstractNum w:abstractNumId="13">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A1E5315"/>
    <w:multiLevelType w:val="singleLevel"/>
    <w:tmpl w:val="3A1E5315"/>
    <w:lvl w:ilvl="0" w:tentative="0">
      <w:start w:val="1"/>
      <w:numFmt w:val="bullet"/>
      <w:lvlText w:val=""/>
      <w:lvlJc w:val="left"/>
      <w:pPr>
        <w:ind w:left="420" w:hanging="420"/>
      </w:pPr>
      <w:rPr>
        <w:rFonts w:hint="default" w:ascii="Wingdings" w:hAnsi="Wingdings"/>
      </w:rPr>
    </w:lvl>
  </w:abstractNum>
  <w:abstractNum w:abstractNumId="15">
    <w:nsid w:val="3EC71058"/>
    <w:multiLevelType w:val="singleLevel"/>
    <w:tmpl w:val="3EC71058"/>
    <w:lvl w:ilvl="0" w:tentative="0">
      <w:start w:val="1"/>
      <w:numFmt w:val="decimal"/>
      <w:lvlText w:val="%1."/>
      <w:lvlJc w:val="left"/>
      <w:pPr>
        <w:tabs>
          <w:tab w:val="left" w:pos="312"/>
        </w:tabs>
      </w:pPr>
    </w:lvl>
  </w:abstractNum>
  <w:abstractNum w:abstractNumId="16">
    <w:nsid w:val="4068A08C"/>
    <w:multiLevelType w:val="singleLevel"/>
    <w:tmpl w:val="4068A08C"/>
    <w:lvl w:ilvl="0" w:tentative="0">
      <w:start w:val="1"/>
      <w:numFmt w:val="decimal"/>
      <w:lvlText w:val="%1."/>
      <w:lvlJc w:val="left"/>
      <w:pPr>
        <w:ind w:left="425" w:hanging="425"/>
      </w:pPr>
      <w:rPr>
        <w:rFonts w:hint="default"/>
      </w:rPr>
    </w:lvl>
  </w:abstractNum>
  <w:abstractNum w:abstractNumId="17">
    <w:nsid w:val="41C5F5BA"/>
    <w:multiLevelType w:val="singleLevel"/>
    <w:tmpl w:val="41C5F5BA"/>
    <w:lvl w:ilvl="0" w:tentative="0">
      <w:start w:val="1"/>
      <w:numFmt w:val="decimal"/>
      <w:lvlText w:val="%1."/>
      <w:lvlJc w:val="left"/>
      <w:pPr>
        <w:ind w:left="425" w:hanging="425"/>
      </w:pPr>
      <w:rPr>
        <w:rFonts w:hint="default"/>
      </w:rPr>
    </w:lvl>
  </w:abstractNum>
  <w:abstractNum w:abstractNumId="18">
    <w:nsid w:val="4BFDDBFF"/>
    <w:multiLevelType w:val="singleLevel"/>
    <w:tmpl w:val="4BFDDBFF"/>
    <w:lvl w:ilvl="0" w:tentative="0">
      <w:start w:val="1"/>
      <w:numFmt w:val="decimal"/>
      <w:suff w:val="nothing"/>
      <w:lvlText w:val="（%1）"/>
      <w:lvlJc w:val="left"/>
    </w:lvl>
  </w:abstractNum>
  <w:abstractNum w:abstractNumId="19">
    <w:nsid w:val="5A1BA331"/>
    <w:multiLevelType w:val="singleLevel"/>
    <w:tmpl w:val="5A1BA331"/>
    <w:lvl w:ilvl="0" w:tentative="0">
      <w:start w:val="1"/>
      <w:numFmt w:val="decimal"/>
      <w:suff w:val="nothing"/>
      <w:lvlText w:val="%1、"/>
      <w:lvlJc w:val="left"/>
    </w:lvl>
  </w:abstractNum>
  <w:abstractNum w:abstractNumId="20">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0"/>
  </w:num>
  <w:num w:numId="2">
    <w:abstractNumId w:val="21"/>
  </w:num>
  <w:num w:numId="3">
    <w:abstractNumId w:val="13"/>
  </w:num>
  <w:num w:numId="4">
    <w:abstractNumId w:val="14"/>
  </w:num>
  <w:num w:numId="5">
    <w:abstractNumId w:val="10"/>
  </w:num>
  <w:num w:numId="6">
    <w:abstractNumId w:val="19"/>
  </w:num>
  <w:num w:numId="7">
    <w:abstractNumId w:val="1"/>
  </w:num>
  <w:num w:numId="8">
    <w:abstractNumId w:val="15"/>
  </w:num>
  <w:num w:numId="9">
    <w:abstractNumId w:val="3"/>
  </w:num>
  <w:num w:numId="10">
    <w:abstractNumId w:val="6"/>
  </w:num>
  <w:num w:numId="11">
    <w:abstractNumId w:val="17"/>
  </w:num>
  <w:num w:numId="12">
    <w:abstractNumId w:val="18"/>
  </w:num>
  <w:num w:numId="13">
    <w:abstractNumId w:val="4"/>
  </w:num>
  <w:num w:numId="14">
    <w:abstractNumId w:val="7"/>
  </w:num>
  <w:num w:numId="15">
    <w:abstractNumId w:val="2"/>
  </w:num>
  <w:num w:numId="16">
    <w:abstractNumId w:val="11"/>
  </w:num>
  <w:num w:numId="17">
    <w:abstractNumId w:val="8"/>
  </w:num>
  <w:num w:numId="18">
    <w:abstractNumId w:val="9"/>
  </w:num>
  <w:num w:numId="19">
    <w:abstractNumId w:val="0"/>
  </w:num>
  <w:num w:numId="20">
    <w:abstractNumId w:val="5"/>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3A3"/>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C27"/>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1320"/>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6B4"/>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B6A8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73"/>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22B8"/>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5F5776"/>
    <w:rsid w:val="0269067C"/>
    <w:rsid w:val="028C6E95"/>
    <w:rsid w:val="02DF5978"/>
    <w:rsid w:val="02F01C71"/>
    <w:rsid w:val="02F95629"/>
    <w:rsid w:val="03187AD4"/>
    <w:rsid w:val="03210061"/>
    <w:rsid w:val="039B2825"/>
    <w:rsid w:val="03D21196"/>
    <w:rsid w:val="043B11C4"/>
    <w:rsid w:val="04415EE3"/>
    <w:rsid w:val="046B6B89"/>
    <w:rsid w:val="04DD2267"/>
    <w:rsid w:val="05273450"/>
    <w:rsid w:val="054B15E0"/>
    <w:rsid w:val="05B01605"/>
    <w:rsid w:val="066A7233"/>
    <w:rsid w:val="06C705E9"/>
    <w:rsid w:val="06F32C4C"/>
    <w:rsid w:val="07221759"/>
    <w:rsid w:val="078020E7"/>
    <w:rsid w:val="07845EBA"/>
    <w:rsid w:val="078E7909"/>
    <w:rsid w:val="07996EB4"/>
    <w:rsid w:val="079E733B"/>
    <w:rsid w:val="07D945DC"/>
    <w:rsid w:val="082D669C"/>
    <w:rsid w:val="092D4ADB"/>
    <w:rsid w:val="094B0040"/>
    <w:rsid w:val="095005D1"/>
    <w:rsid w:val="096B7ED1"/>
    <w:rsid w:val="096D0679"/>
    <w:rsid w:val="09A13A7B"/>
    <w:rsid w:val="09D51869"/>
    <w:rsid w:val="0A676977"/>
    <w:rsid w:val="0B5673B8"/>
    <w:rsid w:val="0BA33880"/>
    <w:rsid w:val="0BDB2861"/>
    <w:rsid w:val="0CA8083B"/>
    <w:rsid w:val="0CD26A47"/>
    <w:rsid w:val="0CE64047"/>
    <w:rsid w:val="0DDE177A"/>
    <w:rsid w:val="0E3777BE"/>
    <w:rsid w:val="0E867930"/>
    <w:rsid w:val="0EE43718"/>
    <w:rsid w:val="0EE90B68"/>
    <w:rsid w:val="0F333C8A"/>
    <w:rsid w:val="0F6D01FB"/>
    <w:rsid w:val="0FBC0D1A"/>
    <w:rsid w:val="101E7B78"/>
    <w:rsid w:val="102927A5"/>
    <w:rsid w:val="10475F34"/>
    <w:rsid w:val="104C58A2"/>
    <w:rsid w:val="10B70EA4"/>
    <w:rsid w:val="10FE4C21"/>
    <w:rsid w:val="11A842FF"/>
    <w:rsid w:val="120E0E48"/>
    <w:rsid w:val="123F4C14"/>
    <w:rsid w:val="12B1627A"/>
    <w:rsid w:val="12CB1F54"/>
    <w:rsid w:val="12F12AA5"/>
    <w:rsid w:val="1402655C"/>
    <w:rsid w:val="141A42B8"/>
    <w:rsid w:val="147A2410"/>
    <w:rsid w:val="14852C6F"/>
    <w:rsid w:val="148A5002"/>
    <w:rsid w:val="14A502EF"/>
    <w:rsid w:val="15871E93"/>
    <w:rsid w:val="15F003C1"/>
    <w:rsid w:val="15F61009"/>
    <w:rsid w:val="15FC3115"/>
    <w:rsid w:val="16C83D17"/>
    <w:rsid w:val="17445402"/>
    <w:rsid w:val="17640FE7"/>
    <w:rsid w:val="17CA2B8F"/>
    <w:rsid w:val="18367E2D"/>
    <w:rsid w:val="18767486"/>
    <w:rsid w:val="18E00489"/>
    <w:rsid w:val="19282791"/>
    <w:rsid w:val="192C2D7A"/>
    <w:rsid w:val="19810432"/>
    <w:rsid w:val="19F45009"/>
    <w:rsid w:val="1A5E1863"/>
    <w:rsid w:val="1AB83062"/>
    <w:rsid w:val="1B87118E"/>
    <w:rsid w:val="1D4F47D6"/>
    <w:rsid w:val="1D704D16"/>
    <w:rsid w:val="1D7C153E"/>
    <w:rsid w:val="1DE00986"/>
    <w:rsid w:val="1E055C9E"/>
    <w:rsid w:val="1E646060"/>
    <w:rsid w:val="1E8D072E"/>
    <w:rsid w:val="1F0136F8"/>
    <w:rsid w:val="1F1C1A13"/>
    <w:rsid w:val="1F8A0112"/>
    <w:rsid w:val="20015A6D"/>
    <w:rsid w:val="200C3AA1"/>
    <w:rsid w:val="20974516"/>
    <w:rsid w:val="20CB3924"/>
    <w:rsid w:val="21220D3E"/>
    <w:rsid w:val="214A3DCF"/>
    <w:rsid w:val="21A45DF2"/>
    <w:rsid w:val="21BF72A1"/>
    <w:rsid w:val="21C3592D"/>
    <w:rsid w:val="21C55F53"/>
    <w:rsid w:val="21FC530F"/>
    <w:rsid w:val="225A2932"/>
    <w:rsid w:val="22A84E37"/>
    <w:rsid w:val="22B32043"/>
    <w:rsid w:val="233A2E59"/>
    <w:rsid w:val="23594B35"/>
    <w:rsid w:val="2360386D"/>
    <w:rsid w:val="23EA5690"/>
    <w:rsid w:val="244157BB"/>
    <w:rsid w:val="247240E4"/>
    <w:rsid w:val="24D54DB0"/>
    <w:rsid w:val="24DD44A9"/>
    <w:rsid w:val="24F82B87"/>
    <w:rsid w:val="25056175"/>
    <w:rsid w:val="259879AE"/>
    <w:rsid w:val="25D27E7B"/>
    <w:rsid w:val="26700C16"/>
    <w:rsid w:val="27144105"/>
    <w:rsid w:val="274F2171"/>
    <w:rsid w:val="275E0F3C"/>
    <w:rsid w:val="27797DE0"/>
    <w:rsid w:val="27965B8B"/>
    <w:rsid w:val="27A47A84"/>
    <w:rsid w:val="282657F7"/>
    <w:rsid w:val="287F59EE"/>
    <w:rsid w:val="28FC2B68"/>
    <w:rsid w:val="29147CD7"/>
    <w:rsid w:val="29172B11"/>
    <w:rsid w:val="29223179"/>
    <w:rsid w:val="29523F82"/>
    <w:rsid w:val="297F63E2"/>
    <w:rsid w:val="29AA4023"/>
    <w:rsid w:val="29FF498C"/>
    <w:rsid w:val="2A3B1864"/>
    <w:rsid w:val="2A456589"/>
    <w:rsid w:val="2A5B4807"/>
    <w:rsid w:val="2AC46B39"/>
    <w:rsid w:val="2ADE0C2E"/>
    <w:rsid w:val="2B16314B"/>
    <w:rsid w:val="2B53670E"/>
    <w:rsid w:val="2C0E274C"/>
    <w:rsid w:val="2C0E5414"/>
    <w:rsid w:val="2C1864B9"/>
    <w:rsid w:val="2C3042EA"/>
    <w:rsid w:val="2C5466FC"/>
    <w:rsid w:val="2CCB7C80"/>
    <w:rsid w:val="2D4477EE"/>
    <w:rsid w:val="2D7E7EA2"/>
    <w:rsid w:val="2DC41DAC"/>
    <w:rsid w:val="2DD4300E"/>
    <w:rsid w:val="2E413F38"/>
    <w:rsid w:val="2EC14611"/>
    <w:rsid w:val="2ED30F2A"/>
    <w:rsid w:val="2EDF0D4E"/>
    <w:rsid w:val="2FC16D53"/>
    <w:rsid w:val="30300320"/>
    <w:rsid w:val="305E4CC4"/>
    <w:rsid w:val="311A734D"/>
    <w:rsid w:val="31D7543E"/>
    <w:rsid w:val="31EE4BAA"/>
    <w:rsid w:val="31F5436E"/>
    <w:rsid w:val="32010731"/>
    <w:rsid w:val="320107D3"/>
    <w:rsid w:val="32243194"/>
    <w:rsid w:val="3263631F"/>
    <w:rsid w:val="32A355BC"/>
    <w:rsid w:val="32C00D78"/>
    <w:rsid w:val="33222A9A"/>
    <w:rsid w:val="332D1CBE"/>
    <w:rsid w:val="33480719"/>
    <w:rsid w:val="339D5261"/>
    <w:rsid w:val="34955EDA"/>
    <w:rsid w:val="349A334C"/>
    <w:rsid w:val="34CA78C0"/>
    <w:rsid w:val="35586223"/>
    <w:rsid w:val="35A418C4"/>
    <w:rsid w:val="36253B84"/>
    <w:rsid w:val="36401A4A"/>
    <w:rsid w:val="368920CF"/>
    <w:rsid w:val="36FE5573"/>
    <w:rsid w:val="37662A4B"/>
    <w:rsid w:val="37D078F7"/>
    <w:rsid w:val="37F76452"/>
    <w:rsid w:val="38735C94"/>
    <w:rsid w:val="38CE707C"/>
    <w:rsid w:val="38FB4AF5"/>
    <w:rsid w:val="39104B12"/>
    <w:rsid w:val="39C16CB7"/>
    <w:rsid w:val="3A1B760C"/>
    <w:rsid w:val="3A8F150F"/>
    <w:rsid w:val="3B0D4A62"/>
    <w:rsid w:val="3B216441"/>
    <w:rsid w:val="3BFB42C7"/>
    <w:rsid w:val="3CAA46F7"/>
    <w:rsid w:val="3CE57D2D"/>
    <w:rsid w:val="3CE77BA9"/>
    <w:rsid w:val="3E217459"/>
    <w:rsid w:val="3E2805F5"/>
    <w:rsid w:val="3E2A4E15"/>
    <w:rsid w:val="3E36706F"/>
    <w:rsid w:val="3E892E16"/>
    <w:rsid w:val="3F255D56"/>
    <w:rsid w:val="3F416A26"/>
    <w:rsid w:val="40223FBC"/>
    <w:rsid w:val="40327BAF"/>
    <w:rsid w:val="4082593F"/>
    <w:rsid w:val="41474308"/>
    <w:rsid w:val="41681941"/>
    <w:rsid w:val="41E47D60"/>
    <w:rsid w:val="422024E8"/>
    <w:rsid w:val="423D6569"/>
    <w:rsid w:val="437B3C36"/>
    <w:rsid w:val="44560F40"/>
    <w:rsid w:val="44720E16"/>
    <w:rsid w:val="44B40707"/>
    <w:rsid w:val="44C41913"/>
    <w:rsid w:val="44D619FA"/>
    <w:rsid w:val="45905FBF"/>
    <w:rsid w:val="45E54860"/>
    <w:rsid w:val="466C6EAA"/>
    <w:rsid w:val="473D6B0A"/>
    <w:rsid w:val="482B2304"/>
    <w:rsid w:val="4853715D"/>
    <w:rsid w:val="48857FBF"/>
    <w:rsid w:val="48C21E3A"/>
    <w:rsid w:val="48DE11B8"/>
    <w:rsid w:val="49205619"/>
    <w:rsid w:val="4922547B"/>
    <w:rsid w:val="494E6C8C"/>
    <w:rsid w:val="497820E7"/>
    <w:rsid w:val="49A60ED9"/>
    <w:rsid w:val="49D54F3C"/>
    <w:rsid w:val="4A1F67CA"/>
    <w:rsid w:val="4A3E154B"/>
    <w:rsid w:val="4AB7573A"/>
    <w:rsid w:val="4AC63524"/>
    <w:rsid w:val="4AEC40DB"/>
    <w:rsid w:val="4B8A72CF"/>
    <w:rsid w:val="4B972445"/>
    <w:rsid w:val="4BF66FD0"/>
    <w:rsid w:val="4C1065B5"/>
    <w:rsid w:val="4C217E66"/>
    <w:rsid w:val="4C6C4B2C"/>
    <w:rsid w:val="4C70027F"/>
    <w:rsid w:val="4C8937D3"/>
    <w:rsid w:val="4D943011"/>
    <w:rsid w:val="4DDF3F73"/>
    <w:rsid w:val="4E1973F1"/>
    <w:rsid w:val="4EF15DC5"/>
    <w:rsid w:val="4F8119B1"/>
    <w:rsid w:val="4F92238A"/>
    <w:rsid w:val="4FE062A3"/>
    <w:rsid w:val="5043798C"/>
    <w:rsid w:val="50731BAF"/>
    <w:rsid w:val="510E0E2A"/>
    <w:rsid w:val="515B5BAE"/>
    <w:rsid w:val="51C25525"/>
    <w:rsid w:val="5298489A"/>
    <w:rsid w:val="52E223AA"/>
    <w:rsid w:val="53FD089E"/>
    <w:rsid w:val="54321EEE"/>
    <w:rsid w:val="54453B17"/>
    <w:rsid w:val="54765614"/>
    <w:rsid w:val="54963849"/>
    <w:rsid w:val="54D633B1"/>
    <w:rsid w:val="55323649"/>
    <w:rsid w:val="556A2FD5"/>
    <w:rsid w:val="55A528AD"/>
    <w:rsid w:val="55AE7FA6"/>
    <w:rsid w:val="55D634ED"/>
    <w:rsid w:val="564C7AD5"/>
    <w:rsid w:val="56B332E9"/>
    <w:rsid w:val="571230E5"/>
    <w:rsid w:val="571826D1"/>
    <w:rsid w:val="57C62622"/>
    <w:rsid w:val="585D5FB5"/>
    <w:rsid w:val="588D4FA6"/>
    <w:rsid w:val="589A1AC2"/>
    <w:rsid w:val="593B0594"/>
    <w:rsid w:val="59BF3C49"/>
    <w:rsid w:val="5B0C31E8"/>
    <w:rsid w:val="5B252510"/>
    <w:rsid w:val="5BFF7AE6"/>
    <w:rsid w:val="5C0B789C"/>
    <w:rsid w:val="5C1218CF"/>
    <w:rsid w:val="5C372F37"/>
    <w:rsid w:val="5C8D2447"/>
    <w:rsid w:val="5CAB7727"/>
    <w:rsid w:val="5CC441E1"/>
    <w:rsid w:val="5CE760ED"/>
    <w:rsid w:val="5D673A5A"/>
    <w:rsid w:val="5D8D5661"/>
    <w:rsid w:val="5E851E72"/>
    <w:rsid w:val="5EA62EF7"/>
    <w:rsid w:val="5EBA517D"/>
    <w:rsid w:val="5EEC4DA1"/>
    <w:rsid w:val="5F0F52C8"/>
    <w:rsid w:val="5F281498"/>
    <w:rsid w:val="5FA017D7"/>
    <w:rsid w:val="5FFA1888"/>
    <w:rsid w:val="600960AF"/>
    <w:rsid w:val="62CE0974"/>
    <w:rsid w:val="62E0024A"/>
    <w:rsid w:val="63463232"/>
    <w:rsid w:val="636B19CD"/>
    <w:rsid w:val="64045B83"/>
    <w:rsid w:val="641724DD"/>
    <w:rsid w:val="644A12F2"/>
    <w:rsid w:val="644F09B6"/>
    <w:rsid w:val="648D4DC3"/>
    <w:rsid w:val="64937B40"/>
    <w:rsid w:val="64DC13D3"/>
    <w:rsid w:val="64E414E0"/>
    <w:rsid w:val="652C15E3"/>
    <w:rsid w:val="656B25DE"/>
    <w:rsid w:val="65991807"/>
    <w:rsid w:val="665F1C74"/>
    <w:rsid w:val="66730C34"/>
    <w:rsid w:val="66A43656"/>
    <w:rsid w:val="66C806BD"/>
    <w:rsid w:val="66EF7312"/>
    <w:rsid w:val="67822F4A"/>
    <w:rsid w:val="67A04650"/>
    <w:rsid w:val="680F0D3C"/>
    <w:rsid w:val="68A439F1"/>
    <w:rsid w:val="68F63773"/>
    <w:rsid w:val="69010518"/>
    <w:rsid w:val="69440073"/>
    <w:rsid w:val="69E105C7"/>
    <w:rsid w:val="69FD0E66"/>
    <w:rsid w:val="6A396569"/>
    <w:rsid w:val="6A9916AC"/>
    <w:rsid w:val="6AAC6B9E"/>
    <w:rsid w:val="6B0D754B"/>
    <w:rsid w:val="6B865118"/>
    <w:rsid w:val="6B871777"/>
    <w:rsid w:val="6BA33D7F"/>
    <w:rsid w:val="6BF32268"/>
    <w:rsid w:val="6BFC2786"/>
    <w:rsid w:val="6C0D5A20"/>
    <w:rsid w:val="6C1E03F6"/>
    <w:rsid w:val="6C2C2459"/>
    <w:rsid w:val="6C887360"/>
    <w:rsid w:val="6D476454"/>
    <w:rsid w:val="6D980233"/>
    <w:rsid w:val="6DB07064"/>
    <w:rsid w:val="6E39307B"/>
    <w:rsid w:val="6E875598"/>
    <w:rsid w:val="6F0247A4"/>
    <w:rsid w:val="6F2C13F5"/>
    <w:rsid w:val="7021225E"/>
    <w:rsid w:val="70730315"/>
    <w:rsid w:val="709A551D"/>
    <w:rsid w:val="71E963C9"/>
    <w:rsid w:val="727C1491"/>
    <w:rsid w:val="72B566B1"/>
    <w:rsid w:val="72BC0BF9"/>
    <w:rsid w:val="72D14842"/>
    <w:rsid w:val="73021A4B"/>
    <w:rsid w:val="730456BB"/>
    <w:rsid w:val="73CF5E6E"/>
    <w:rsid w:val="73E35C27"/>
    <w:rsid w:val="74425093"/>
    <w:rsid w:val="748B4D1D"/>
    <w:rsid w:val="757C7A9C"/>
    <w:rsid w:val="758461E8"/>
    <w:rsid w:val="75DC2DB7"/>
    <w:rsid w:val="75E32B1D"/>
    <w:rsid w:val="75E63D2A"/>
    <w:rsid w:val="766E3BB5"/>
    <w:rsid w:val="76C84CCD"/>
    <w:rsid w:val="76F01E2B"/>
    <w:rsid w:val="76F22868"/>
    <w:rsid w:val="773D5C32"/>
    <w:rsid w:val="77672932"/>
    <w:rsid w:val="78E131DA"/>
    <w:rsid w:val="7AA01F48"/>
    <w:rsid w:val="7B0A05EE"/>
    <w:rsid w:val="7C4D5033"/>
    <w:rsid w:val="7C660A57"/>
    <w:rsid w:val="7C8B5068"/>
    <w:rsid w:val="7D8F1A26"/>
    <w:rsid w:val="7D95465E"/>
    <w:rsid w:val="7DA5350B"/>
    <w:rsid w:val="7E192C83"/>
    <w:rsid w:val="7F2B5BA3"/>
    <w:rsid w:val="7F2F55CA"/>
    <w:rsid w:val="7F753532"/>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1"/>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5"/>
    <w:semiHidden/>
    <w:qFormat/>
    <w:uiPriority w:val="0"/>
    <w:rPr>
      <w:rFonts w:ascii="Arial Unicode MS" w:hAnsi="Arial Unicode MS" w:eastAsia="Arial Unicode MS" w:cs="Arial Unicode MS"/>
    </w:rPr>
  </w:style>
  <w:style w:type="character" w:customStyle="1" w:styleId="49">
    <w:name w:val="正文文本缩进 2 字符"/>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qFormat/>
    <w:uiPriority w:val="0"/>
    <w:rPr>
      <w:b/>
      <w:bCs/>
      <w:kern w:val="2"/>
      <w:sz w:val="24"/>
      <w:szCs w:val="32"/>
    </w:rPr>
  </w:style>
  <w:style w:type="character" w:customStyle="1" w:styleId="54">
    <w:name w:val="批注主题 字符"/>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字符"/>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字符1"/>
    <w:link w:val="25"/>
    <w:qFormat/>
    <w:uiPriority w:val="99"/>
    <w:rPr>
      <w:sz w:val="18"/>
      <w:szCs w:val="18"/>
    </w:rPr>
  </w:style>
  <w:style w:type="character" w:customStyle="1" w:styleId="68">
    <w:name w:val="标题 2 字符"/>
    <w:link w:val="5"/>
    <w:qFormat/>
    <w:uiPriority w:val="0"/>
    <w:rPr>
      <w:rFonts w:ascii="Cambria" w:hAnsi="Cambria" w:eastAsia="宋体"/>
      <w:b/>
      <w:bCs/>
      <w:kern w:val="2"/>
      <w:sz w:val="28"/>
      <w:szCs w:val="32"/>
    </w:rPr>
  </w:style>
  <w:style w:type="character" w:customStyle="1" w:styleId="69">
    <w:name w:val="正文文本 字符"/>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4"/>
    <w:semiHidden/>
    <w:qFormat/>
    <w:uiPriority w:val="0"/>
    <w:rPr>
      <w:rFonts w:ascii="Times New Roman" w:hAnsi="Times New Roman"/>
      <w:b/>
      <w:bCs/>
      <w:color w:val="000000"/>
      <w:kern w:val="2"/>
      <w:sz w:val="28"/>
      <w:szCs w:val="24"/>
    </w:rPr>
  </w:style>
  <w:style w:type="character" w:customStyle="1" w:styleId="78">
    <w:name w:val="正文文本缩进 字符1"/>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1"/>
    <w:semiHidden/>
    <w:qFormat/>
    <w:uiPriority w:val="0"/>
    <w:rPr>
      <w:rFonts w:ascii="Times New Roman" w:hAnsi="Times New Roman"/>
      <w:kern w:val="2"/>
      <w:sz w:val="21"/>
      <w:szCs w:val="24"/>
    </w:rPr>
  </w:style>
  <w:style w:type="character" w:customStyle="1" w:styleId="81">
    <w:name w:val="正文文本缩进 3 字符"/>
    <w:link w:val="31"/>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4"/>
    <w:semiHidden/>
    <w:qFormat/>
    <w:uiPriority w:val="0"/>
    <w:rPr>
      <w:rFonts w:ascii="Times New Roman" w:hAnsi="Times New Roman" w:eastAsia="宋体" w:cs="Times New Roman"/>
      <w:sz w:val="18"/>
      <w:szCs w:val="18"/>
    </w:rPr>
  </w:style>
  <w:style w:type="character" w:customStyle="1" w:styleId="88">
    <w:name w:val="页眉 字符1"/>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字符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2"/>
    <w:semiHidden/>
    <w:qFormat/>
    <w:uiPriority w:val="0"/>
    <w:rPr>
      <w:rFonts w:ascii="楷体_GB2312" w:hAnsi="Times New Roman" w:eastAsia="楷体_GB2312"/>
      <w:b/>
      <w:color w:val="000000"/>
      <w:kern w:val="2"/>
      <w:sz w:val="30"/>
      <w:szCs w:val="24"/>
    </w:rPr>
  </w:style>
  <w:style w:type="character" w:customStyle="1" w:styleId="96">
    <w:name w:val="标题 字符"/>
    <w:link w:val="37"/>
    <w:qFormat/>
    <w:locked/>
    <w:uiPriority w:val="0"/>
    <w:rPr>
      <w:rFonts w:ascii="Times New Roman" w:hAnsi="Times New Roman"/>
      <w:kern w:val="2"/>
      <w:sz w:val="30"/>
      <w:szCs w:val="24"/>
    </w:rPr>
  </w:style>
  <w:style w:type="character" w:customStyle="1" w:styleId="97">
    <w:name w:val="标题 4 字符"/>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1">
    <w:name w:val="标题 3 字符1"/>
    <w:link w:val="6"/>
    <w:qFormat/>
    <w:uiPriority w:val="0"/>
    <w:rPr>
      <w:rFonts w:ascii="Times New Roman" w:hAnsi="Times New Roman"/>
      <w:b/>
      <w:bCs/>
      <w:kern w:val="2"/>
      <w:sz w:val="21"/>
      <w:szCs w:val="32"/>
    </w:rPr>
  </w:style>
  <w:style w:type="paragraph" w:customStyle="1" w:styleId="172">
    <w:name w:val="_Style 3"/>
    <w:basedOn w:val="1"/>
    <w:next w:val="167"/>
    <w:qFormat/>
    <w:uiPriority w:val="34"/>
    <w:pPr>
      <w:ind w:firstLine="420"/>
    </w:pPr>
    <w:rPr>
      <w:szCs w:val="22"/>
    </w:rPr>
  </w:style>
  <w:style w:type="paragraph" w:customStyle="1" w:styleId="173">
    <w:name w:val="正文1"/>
    <w:basedOn w:val="1"/>
    <w:qFormat/>
    <w:uiPriority w:val="0"/>
    <w:pPr>
      <w:widowControl/>
      <w:spacing w:after="200" w:line="300" w:lineRule="atLeast"/>
      <w:jc w:val="left"/>
    </w:pPr>
    <w:rPr>
      <w:rFonts w:cs="宋体"/>
      <w:kern w:val="0"/>
      <w:sz w:val="22"/>
      <w:szCs w:val="22"/>
    </w:rPr>
  </w:style>
  <w:style w:type="paragraph" w:customStyle="1" w:styleId="174">
    <w:name w:val="表格"/>
    <w:basedOn w:val="14"/>
    <w:next w:val="1"/>
    <w:qFormat/>
    <w:uiPriority w:val="0"/>
    <w:pPr>
      <w:spacing w:line="240" w:lineRule="auto"/>
      <w:ind w:firstLine="0" w:firstLineChars="0"/>
      <w:jc w:val="center"/>
    </w:pPr>
    <w:rPr>
      <w:rFonts w:ascii="Times New Roman" w:hAnsi="Times New Roman"/>
    </w:rPr>
  </w:style>
  <w:style w:type="paragraph" w:customStyle="1" w:styleId="17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17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177">
    <w:name w:val="正文段"/>
    <w:basedOn w:val="1"/>
    <w:qFormat/>
    <w:uiPriority w:val="0"/>
    <w:pPr>
      <w:widowControl/>
      <w:snapToGrid w:val="0"/>
      <w:spacing w:after="50" w:afterLines="50"/>
      <w:ind w:firstLine="20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6651</Words>
  <Characters>37913</Characters>
  <Lines>315</Lines>
  <Paragraphs>88</Paragraphs>
  <TotalTime>35</TotalTime>
  <ScaleCrop>false</ScaleCrop>
  <LinksUpToDate>false</LinksUpToDate>
  <CharactersWithSpaces>44476</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2019-06-11T08:29:00Z</dcterms:created>
  <dc:creator>Administrator</dc:creator>
  <cp:lastModifiedBy>dell</cp:lastModifiedBy>
  <cp:lastPrinted>2019-08-29T03:05:00Z</cp:lastPrinted>
  <dcterms:modified xsi:type="dcterms:W3CDTF">2019-08-29T07:57:58Z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