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中国计量大学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环境健康与安全创新团队建设实验室</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确认书号：[2019]30071号</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ZJWSBJ-JL-201918G</w:t>
      </w:r>
      <w:r>
        <w:rPr>
          <w:rFonts w:hint="eastAsia" w:ascii="宋体" w:hAnsi="宋体" w:cs="宋体"/>
          <w:b/>
          <w:bCs/>
          <w:color w:val="auto"/>
          <w:sz w:val="32"/>
          <w:szCs w:val="32"/>
          <w:highlight w:val="none"/>
        </w:rPr>
        <w:t>（1-2）</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月</w:t>
      </w:r>
    </w:p>
    <w:p>
      <w:pPr>
        <w:pStyle w:val="2"/>
        <w:rPr>
          <w:rFonts w:hint="eastAsia"/>
        </w:rPr>
      </w:pP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w:t>
      </w:r>
    </w:p>
    <w:p>
      <w:pPr>
        <w:pStyle w:val="31"/>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"_Toc4470" </w:instrText>
      </w:r>
      <w:r>
        <w:rPr>
          <w:color w:val="auto"/>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"_Toc8514" </w:instrText>
      </w:r>
      <w:r>
        <w:rPr>
          <w:color w:val="auto"/>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bookmarkStart w:id="114" w:name="_GoBack"/>
      <w:bookmarkEnd w:id="114"/>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"_Toc17984" </w:instrText>
      </w:r>
      <w:r>
        <w:rPr>
          <w:color w:val="auto"/>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"_Toc20600" </w:instrText>
      </w:r>
      <w:r>
        <w:rPr>
          <w:color w:val="auto"/>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"_Toc27145" </w:instrText>
      </w:r>
      <w:r>
        <w:rPr>
          <w:color w:val="auto"/>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color w:val="auto"/>
          <w:sz w:val="28"/>
          <w:szCs w:val="28"/>
          <w:highlight w:val="none"/>
        </w:rPr>
        <w:fldChar w:fldCharType="end"/>
      </w:r>
    </w:p>
    <w:p>
      <w:pPr>
        <w:pStyle w:val="31"/>
        <w:tabs>
          <w:tab w:val="right" w:leader="dot" w:pos="8306"/>
          <w:tab w:val="clear" w:pos="8296"/>
        </w:tabs>
        <w:ind w:left="480"/>
        <w:jc w:val="center"/>
        <w:rPr>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3"/>
        <w:rPr>
          <w:color w:val="auto"/>
          <w:highlight w:val="none"/>
        </w:rPr>
      </w:pPr>
      <w:bookmarkStart w:id="1" w:name="_Toc12653"/>
      <w:bookmarkStart w:id="2" w:name="_Toc4470"/>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[2019]30071号的批准，浙江五石工程咨询有限公司受中国计量大学委托，就</w:t>
      </w:r>
      <w:r>
        <w:rPr>
          <w:rFonts w:hint="eastAsia"/>
          <w:color w:val="auto"/>
          <w:highlight w:val="none"/>
          <w:u w:val="single"/>
          <w:lang w:eastAsia="zh-CN"/>
        </w:rPr>
        <w:t>环境健康与安全创新团队建设实验室</w:t>
      </w:r>
      <w:r>
        <w:rPr>
          <w:rFonts w:hint="eastAsia"/>
          <w:color w:val="auto"/>
          <w:highlight w:val="none"/>
        </w:rPr>
        <w:t>进行公开招标采购，欢迎国内合格的供应商前来投标。具体如下：</w:t>
      </w:r>
    </w:p>
    <w:p>
      <w:pPr>
        <w:pStyle w:val="4"/>
        <w:rPr>
          <w:rFonts w:ascii="宋体" w:hAnsi="宋体" w:cs="宋体"/>
          <w:color w:val="auto"/>
          <w:sz w:val="24"/>
          <w:szCs w:val="24"/>
          <w:highlight w:val="none"/>
        </w:rPr>
      </w:pPr>
      <w:bookmarkStart w:id="4" w:name="_Toc29586"/>
      <w:r>
        <w:rPr>
          <w:rStyle w:val="41"/>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lang w:eastAsia="zh-CN"/>
        </w:rPr>
        <w:t>ZJWSBJ-JL-201918G</w:t>
      </w:r>
      <w:r>
        <w:rPr>
          <w:rFonts w:hint="eastAsia" w:ascii="宋体" w:hAnsi="宋体" w:cs="宋体"/>
          <w:color w:val="auto"/>
          <w:sz w:val="24"/>
          <w:szCs w:val="24"/>
          <w:highlight w:val="none"/>
        </w:rPr>
        <w:t>（1-2）</w:t>
      </w:r>
    </w:p>
    <w:p>
      <w:pPr>
        <w:pStyle w:val="4"/>
        <w:rPr>
          <w:rFonts w:ascii="宋体" w:hAnsi="宋体" w:cs="宋体"/>
          <w:color w:val="auto"/>
          <w:sz w:val="24"/>
          <w:szCs w:val="24"/>
          <w:highlight w:val="none"/>
        </w:rPr>
      </w:pPr>
      <w:bookmarkStart w:id="5" w:name="_Toc11203"/>
      <w:r>
        <w:rPr>
          <w:rStyle w:val="41"/>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4"/>
        <w:rPr>
          <w:rFonts w:ascii="宋体" w:hAnsi="宋体" w:cs="宋体"/>
          <w:color w:val="auto"/>
          <w:sz w:val="24"/>
          <w:szCs w:val="24"/>
          <w:highlight w:val="none"/>
        </w:rPr>
      </w:pPr>
      <w:bookmarkStart w:id="6" w:name="_Toc5262"/>
      <w:r>
        <w:rPr>
          <w:rStyle w:val="41"/>
          <w:rFonts w:hint="eastAsia" w:ascii="宋体" w:hAnsi="宋体" w:cs="宋体"/>
          <w:b/>
          <w:color w:val="auto"/>
          <w:sz w:val="24"/>
          <w:szCs w:val="24"/>
          <w:highlight w:val="none"/>
        </w:rPr>
        <w:t>三、项目概况</w:t>
      </w:r>
      <w:bookmarkEnd w:id="6"/>
    </w:p>
    <w:tbl>
      <w:tblPr>
        <w:tblStyle w:val="38"/>
        <w:tblW w:w="8803" w:type="dxa"/>
        <w:tblInd w:w="0" w:type="dxa"/>
        <w:tblLayout w:type="fixed"/>
        <w:tblCellMar>
          <w:top w:w="15" w:type="dxa"/>
          <w:left w:w="15" w:type="dxa"/>
          <w:bottom w:w="15" w:type="dxa"/>
          <w:right w:w="15" w:type="dxa"/>
        </w:tblCellMar>
      </w:tblPr>
      <w:tblGrid>
        <w:gridCol w:w="619"/>
        <w:gridCol w:w="1470"/>
        <w:gridCol w:w="1215"/>
        <w:gridCol w:w="1125"/>
        <w:gridCol w:w="1050"/>
        <w:gridCol w:w="1320"/>
        <w:gridCol w:w="1260"/>
        <w:gridCol w:w="744"/>
      </w:tblGrid>
      <w:tr>
        <w:tblPrEx>
          <w:tblLayout w:type="fixed"/>
          <w:tblCellMar>
            <w:top w:w="15" w:type="dxa"/>
            <w:left w:w="15" w:type="dxa"/>
            <w:bottom w:w="15" w:type="dxa"/>
            <w:right w:w="15" w:type="dxa"/>
          </w:tblCellMar>
        </w:tblPrEx>
        <w:tc>
          <w:tcPr>
            <w:tcW w:w="61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w:t>
            </w:r>
          </w:p>
        </w:tc>
        <w:tc>
          <w:tcPr>
            <w:tcW w:w="14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标项名称</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项目编号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sz w:val="22"/>
                <w:szCs w:val="22"/>
                <w:highlight w:val="none"/>
              </w:rPr>
              <w:t>（单位</w:t>
            </w:r>
            <w:r>
              <w:rPr>
                <w:rFonts w:hint="eastAsia" w:ascii="宋体" w:hAnsi="宋体" w:cs="宋体"/>
                <w:color w:val="auto"/>
                <w:kern w:val="0"/>
                <w:highlight w:val="none"/>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采购需求</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highlight w:val="none"/>
              </w:rPr>
            </w:pPr>
            <w:r>
              <w:rPr>
                <w:rFonts w:hint="eastAsia" w:ascii="宋体" w:hAnsi="宋体" w:cs="宋体"/>
                <w:color w:val="auto"/>
                <w:kern w:val="0"/>
                <w:highlight w:val="none"/>
              </w:rPr>
              <w:t>预算金额(万元)</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最高限价（万元）</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rPr>
          <w:trHeight w:val="1053" w:hRule="atLeast"/>
        </w:trPr>
        <w:tc>
          <w:tcPr>
            <w:tcW w:w="61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4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三重串联四极杆气质联用仪</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lang w:eastAsia="zh-CN"/>
              </w:rPr>
              <w:t>ZJWSBJ-JL-201918G</w:t>
            </w:r>
            <w:r>
              <w:rPr>
                <w:rFonts w:hint="eastAsia" w:ascii="宋体" w:hAnsi="宋体" w:cs="宋体"/>
                <w:color w:val="auto"/>
                <w:highlight w:val="none"/>
              </w:rPr>
              <w:t>-1</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1台</w:t>
            </w:r>
          </w:p>
        </w:tc>
        <w:tc>
          <w:tcPr>
            <w:tcW w:w="1050" w:type="dxa"/>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r>
              <w:rPr>
                <w:rFonts w:hint="eastAsia" w:ascii="宋体" w:hAnsi="宋体" w:cs="宋体"/>
                <w:color w:val="auto"/>
                <w:highlight w:val="none"/>
              </w:rPr>
              <w:t>详见采购需求部分</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150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115</w:t>
            </w:r>
          </w:p>
        </w:tc>
        <w:tc>
          <w:tcPr>
            <w:tcW w:w="744" w:type="dxa"/>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允许进口</w:t>
            </w:r>
          </w:p>
        </w:tc>
      </w:tr>
      <w:tr>
        <w:tblPrEx>
          <w:tblLayout w:type="fixed"/>
          <w:tblCellMar>
            <w:top w:w="15" w:type="dxa"/>
            <w:left w:w="15" w:type="dxa"/>
            <w:bottom w:w="15" w:type="dxa"/>
            <w:right w:w="15" w:type="dxa"/>
          </w:tblCellMar>
        </w:tblPrEx>
        <w:tc>
          <w:tcPr>
            <w:tcW w:w="61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14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快速溶剂萃取仪</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lang w:eastAsia="zh-CN"/>
              </w:rPr>
              <w:t>ZJWSBJ-JL-201918G</w:t>
            </w:r>
            <w:r>
              <w:rPr>
                <w:rFonts w:hint="eastAsia" w:ascii="宋体" w:hAnsi="宋体" w:cs="宋体"/>
                <w:color w:val="auto"/>
                <w:highlight w:val="none"/>
              </w:rPr>
              <w:t>-2</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1台</w:t>
            </w:r>
          </w:p>
        </w:tc>
        <w:tc>
          <w:tcPr>
            <w:tcW w:w="1050" w:type="dxa"/>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65</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63</w:t>
            </w:r>
          </w:p>
        </w:tc>
        <w:tc>
          <w:tcPr>
            <w:tcW w:w="744" w:type="dxa"/>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pStyle w:val="4"/>
        <w:rPr>
          <w:rFonts w:ascii="宋体" w:hAnsi="宋体" w:cs="宋体"/>
          <w:color w:val="auto"/>
          <w:sz w:val="24"/>
          <w:szCs w:val="24"/>
          <w:highlight w:val="none"/>
        </w:rPr>
      </w:pPr>
      <w:bookmarkStart w:id="7" w:name="_Toc24393"/>
      <w:r>
        <w:rPr>
          <w:rStyle w:val="41"/>
          <w:rFonts w:hint="eastAsia" w:ascii="宋体" w:hAnsi="宋体" w:cs="宋体"/>
          <w:b/>
          <w:color w:val="auto"/>
          <w:sz w:val="24"/>
          <w:szCs w:val="24"/>
          <w:highlight w:val="none"/>
        </w:rPr>
        <w:t>四、投标人资格要求:</w:t>
      </w:r>
      <w:bookmarkEnd w:id="7"/>
    </w:p>
    <w:p>
      <w:pPr>
        <w:pStyle w:val="5"/>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1.符合《中华人民共和国政府采购法》第二十二条第一款的规定。</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5"/>
        <w:ind w:firstLine="241" w:firstLineChars="100"/>
        <w:rPr>
          <w:color w:val="auto"/>
          <w:highlight w:val="none"/>
        </w:rPr>
      </w:pPr>
      <w:r>
        <w:rPr>
          <w:rFonts w:hint="eastAsia" w:ascii="宋体" w:hAnsi="宋体" w:cs="宋体"/>
          <w:color w:val="auto"/>
          <w:highlight w:val="none"/>
        </w:rPr>
        <w:t>（二）特定资格要求：无。</w:t>
      </w:r>
    </w:p>
    <w:p>
      <w:pPr>
        <w:pStyle w:val="5"/>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5"/>
        <w:spacing w:before="75" w:beforeAutospacing="0" w:after="75" w:afterAutospacing="0" w:line="360" w:lineRule="auto"/>
        <w:rPr>
          <w:rFonts w:cs="宋体"/>
          <w:color w:val="auto"/>
          <w:highlight w:val="none"/>
        </w:rPr>
      </w:pPr>
      <w:r>
        <w:rPr>
          <w:rStyle w:val="41"/>
          <w:rFonts w:hint="eastAsia" w:cs="宋体"/>
          <w:color w:val="auto"/>
          <w:highlight w:val="none"/>
        </w:rPr>
        <w:t>五、</w:t>
      </w:r>
      <w:r>
        <w:rPr>
          <w:rStyle w:val="41"/>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1"/>
          <w:rFonts w:hint="eastAsia" w:ascii="宋体" w:hAnsi="宋体" w:cs="宋体"/>
          <w:color w:val="auto"/>
          <w:highlight w:val="none"/>
        </w:rPr>
        <w:t>1.</w:t>
      </w:r>
      <w:r>
        <w:rPr>
          <w:rStyle w:val="41"/>
          <w:rFonts w:hint="eastAsia" w:ascii="宋体" w:hAnsi="宋体" w:cs="宋体"/>
          <w:bCs/>
          <w:color w:val="auto"/>
          <w:highlight w:val="none"/>
        </w:rPr>
        <w:t>时间期限：</w:t>
      </w:r>
      <w:r>
        <w:rPr>
          <w:rFonts w:hint="eastAsia" w:ascii="宋体" w:hAnsi="宋体" w:cs="宋体"/>
          <w:color w:val="auto"/>
          <w:highlight w:val="none"/>
        </w:rPr>
        <w:t>2019-0</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03</w:t>
      </w:r>
      <w:r>
        <w:rPr>
          <w:rFonts w:hint="eastAsia" w:ascii="宋体" w:hAnsi="宋体" w:cs="宋体"/>
          <w:color w:val="auto"/>
          <w:highlight w:val="none"/>
        </w:rPr>
        <w:t>至2019-0</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10</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1"/>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1"/>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5"/>
        <w:spacing w:before="0" w:beforeAutospacing="0" w:after="0" w:afterAutospacing="0" w:line="360" w:lineRule="auto"/>
        <w:ind w:firstLine="480" w:firstLineChars="200"/>
        <w:rPr>
          <w:rStyle w:val="41"/>
          <w:rFonts w:cs="宋体"/>
          <w:b w:val="0"/>
          <w:color w:val="auto"/>
          <w:highlight w:val="none"/>
        </w:rPr>
      </w:pPr>
      <w:r>
        <w:rPr>
          <w:rFonts w:hint="eastAsia" w:cs="宋体"/>
          <w:color w:val="auto"/>
          <w:highlight w:val="none"/>
        </w:rPr>
        <w:t>5）提示：</w:t>
      </w:r>
      <w:r>
        <w:rPr>
          <w:rStyle w:val="41"/>
          <w:rFonts w:hint="eastAsia" w:cs="宋体"/>
          <w:b w:val="0"/>
          <w:color w:val="auto"/>
          <w:highlight w:val="none"/>
        </w:rPr>
        <w:t>投标人未按上述方式获取的招标文件与采购代理机构发布的招标文件不一致的，由其自行承担由此产生的后果。</w:t>
      </w:r>
    </w:p>
    <w:p>
      <w:pPr>
        <w:pStyle w:val="35"/>
        <w:spacing w:before="0" w:beforeAutospacing="0" w:after="0" w:afterAutospacing="0" w:line="360" w:lineRule="auto"/>
        <w:ind w:firstLine="480" w:firstLineChars="200"/>
        <w:rPr>
          <w:rStyle w:val="41"/>
          <w:rFonts w:cs="宋体"/>
          <w:b w:val="0"/>
          <w:color w:val="auto"/>
          <w:highlight w:val="none"/>
        </w:rPr>
      </w:pPr>
      <w:r>
        <w:rPr>
          <w:rStyle w:val="41"/>
          <w:rFonts w:hint="eastAsia" w:cs="宋体"/>
          <w:b w:val="0"/>
          <w:color w:val="auto"/>
          <w:highlight w:val="none"/>
        </w:rPr>
        <w:t>6）</w:t>
      </w:r>
      <w:r>
        <w:rPr>
          <w:rFonts w:hint="eastAsia" w:cs="宋体"/>
          <w:color w:val="auto"/>
          <w:szCs w:val="32"/>
          <w:highlight w:val="none"/>
        </w:rPr>
        <w:t>招标文件发售截止之后有潜在投标人提出要求获取招标文件的允许其获取，如对招标文件有质疑的应在规定质疑期限内提出。</w:t>
      </w:r>
    </w:p>
    <w:p>
      <w:pPr>
        <w:ind w:firstLine="482"/>
        <w:rPr>
          <w:rStyle w:val="41"/>
          <w:rFonts w:ascii="宋体" w:hAnsi="宋体" w:cs="宋体"/>
          <w:bCs/>
          <w:color w:val="auto"/>
          <w:highlight w:val="none"/>
        </w:rPr>
      </w:pPr>
      <w:r>
        <w:rPr>
          <w:rStyle w:val="41"/>
          <w:rFonts w:hint="eastAsia" w:ascii="宋体" w:hAnsi="宋体" w:cs="宋体"/>
          <w:bCs/>
          <w:color w:val="auto"/>
          <w:highlight w:val="none"/>
        </w:rPr>
        <w:t xml:space="preserve">4.招标文件售价：每本300元（售后不退） </w:t>
      </w:r>
    </w:p>
    <w:p>
      <w:pPr>
        <w:pStyle w:val="35"/>
        <w:spacing w:before="75" w:beforeAutospacing="0" w:after="75" w:afterAutospacing="0" w:line="360" w:lineRule="auto"/>
        <w:rPr>
          <w:rStyle w:val="41"/>
          <w:rFonts w:cs="宋体"/>
          <w:color w:val="auto"/>
          <w:highlight w:val="none"/>
        </w:rPr>
      </w:pPr>
      <w:r>
        <w:rPr>
          <w:rStyle w:val="41"/>
          <w:rFonts w:hint="eastAsia" w:cs="宋体"/>
          <w:color w:val="auto"/>
          <w:highlight w:val="none"/>
        </w:rPr>
        <w:t>六、本项目招标文件公告期限为：</w:t>
      </w:r>
      <w:r>
        <w:rPr>
          <w:rStyle w:val="41"/>
          <w:rFonts w:hint="eastAsia" w:cs="宋体"/>
          <w:b w:val="0"/>
          <w:bCs/>
          <w:color w:val="auto"/>
          <w:highlight w:val="none"/>
        </w:rPr>
        <w:t>本公告发布之日起五个工作日。</w:t>
      </w:r>
    </w:p>
    <w:p>
      <w:pPr>
        <w:pStyle w:val="4"/>
        <w:rPr>
          <w:rFonts w:ascii="宋体" w:hAnsi="宋体" w:cs="宋体"/>
          <w:color w:val="auto"/>
          <w:kern w:val="0"/>
          <w:sz w:val="24"/>
          <w:szCs w:val="24"/>
          <w:highlight w:val="none"/>
          <w:shd w:val="clear" w:color="auto" w:fill="FFFFFF"/>
          <w:lang w:bidi="ar"/>
        </w:rPr>
      </w:pPr>
      <w:bookmarkStart w:id="8" w:name="_Toc1080"/>
      <w:r>
        <w:rPr>
          <w:rStyle w:val="41"/>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8"/>
    </w:p>
    <w:p>
      <w:pPr>
        <w:pStyle w:val="4"/>
        <w:ind w:firstLine="482" w:firstLineChars="200"/>
        <w:rPr>
          <w:rFonts w:ascii="宋体" w:hAnsi="宋体" w:cs="宋体"/>
          <w:b w:val="0"/>
          <w:bCs w:val="0"/>
          <w:color w:val="auto"/>
          <w:sz w:val="24"/>
          <w:szCs w:val="24"/>
          <w:highlight w:val="none"/>
        </w:rPr>
      </w:pPr>
      <w:bookmarkStart w:id="9" w:name="_Toc2231"/>
      <w:r>
        <w:rPr>
          <w:rStyle w:val="41"/>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r>
        <w:rPr>
          <w:rFonts w:hint="eastAsia" w:ascii="宋体" w:hAnsi="宋体" w:cs="宋体"/>
          <w:b w:val="0"/>
          <w:bCs w:val="0"/>
          <w:color w:val="auto"/>
          <w:sz w:val="24"/>
          <w:szCs w:val="24"/>
          <w:highlight w:val="none"/>
          <w:lang w:eastAsia="zh-CN"/>
        </w:rPr>
        <w:t>2019-07-23</w:t>
      </w:r>
      <w:r>
        <w:rPr>
          <w:rFonts w:hint="eastAsia" w:ascii="宋体" w:hAnsi="宋体" w:cs="宋体"/>
          <w:b w:val="0"/>
          <w:bCs w:val="0"/>
          <w:color w:val="auto"/>
          <w:sz w:val="24"/>
          <w:szCs w:val="24"/>
          <w:highlight w:val="none"/>
        </w:rPr>
        <w:t xml:space="preserve"> </w:t>
      </w:r>
      <w:bookmarkEnd w:id="9"/>
      <w:r>
        <w:rPr>
          <w:rFonts w:hint="eastAsia" w:ascii="宋体" w:hAnsi="宋体" w:cs="宋体"/>
          <w:b w:val="0"/>
          <w:bCs w:val="0"/>
          <w:color w:val="auto"/>
          <w:sz w:val="24"/>
          <w:szCs w:val="24"/>
          <w:highlight w:val="none"/>
        </w:rPr>
        <w:t xml:space="preserve">09:30:00 </w:t>
      </w:r>
    </w:p>
    <w:p>
      <w:pPr>
        <w:pStyle w:val="4"/>
        <w:ind w:firstLine="482" w:firstLineChars="200"/>
        <w:rPr>
          <w:rStyle w:val="41"/>
          <w:rFonts w:ascii="宋体" w:hAnsi="宋体" w:cs="宋体"/>
          <w:b w:val="0"/>
          <w:bCs w:val="0"/>
          <w:color w:val="auto"/>
          <w:sz w:val="24"/>
          <w:szCs w:val="24"/>
          <w:highlight w:val="none"/>
        </w:rPr>
      </w:pPr>
      <w:bookmarkStart w:id="10" w:name="_Toc22852"/>
      <w:r>
        <w:rPr>
          <w:rStyle w:val="41"/>
          <w:rFonts w:hint="eastAsia" w:ascii="宋体" w:hAnsi="宋体" w:cs="宋体"/>
          <w:b/>
          <w:color w:val="auto"/>
          <w:sz w:val="24"/>
          <w:szCs w:val="24"/>
          <w:highlight w:val="none"/>
        </w:rPr>
        <w:t>2.开标时间：</w:t>
      </w:r>
      <w:r>
        <w:rPr>
          <w:rStyle w:val="41"/>
          <w:rFonts w:hint="eastAsia" w:ascii="宋体" w:hAnsi="宋体" w:cs="宋体"/>
          <w:b w:val="0"/>
          <w:bCs w:val="0"/>
          <w:color w:val="auto"/>
          <w:sz w:val="24"/>
          <w:szCs w:val="24"/>
          <w:highlight w:val="none"/>
        </w:rPr>
        <w:t xml:space="preserve"> </w:t>
      </w:r>
      <w:r>
        <w:rPr>
          <w:rStyle w:val="41"/>
          <w:rFonts w:hint="eastAsia" w:ascii="宋体" w:hAnsi="宋体" w:cs="宋体"/>
          <w:b w:val="0"/>
          <w:bCs w:val="0"/>
          <w:color w:val="auto"/>
          <w:sz w:val="24"/>
          <w:szCs w:val="24"/>
          <w:highlight w:val="none"/>
          <w:lang w:eastAsia="zh-CN"/>
        </w:rPr>
        <w:t>2019-07-23</w:t>
      </w:r>
      <w:r>
        <w:rPr>
          <w:rStyle w:val="41"/>
          <w:rFonts w:hint="eastAsia" w:ascii="宋体" w:hAnsi="宋体" w:cs="宋体"/>
          <w:b w:val="0"/>
          <w:bCs w:val="0"/>
          <w:color w:val="auto"/>
          <w:sz w:val="24"/>
          <w:szCs w:val="24"/>
          <w:highlight w:val="none"/>
        </w:rPr>
        <w:t xml:space="preserve"> </w:t>
      </w:r>
      <w:bookmarkEnd w:id="10"/>
      <w:r>
        <w:rPr>
          <w:rStyle w:val="41"/>
          <w:rFonts w:hint="eastAsia" w:ascii="宋体" w:hAnsi="宋体" w:cs="宋体"/>
          <w:b w:val="0"/>
          <w:bCs w:val="0"/>
          <w:color w:val="auto"/>
          <w:sz w:val="24"/>
          <w:szCs w:val="24"/>
          <w:highlight w:val="none"/>
        </w:rPr>
        <w:t xml:space="preserve">09:30:00 </w:t>
      </w:r>
    </w:p>
    <w:p>
      <w:pPr>
        <w:pStyle w:val="4"/>
        <w:ind w:firstLine="482" w:firstLineChars="200"/>
        <w:rPr>
          <w:rStyle w:val="41"/>
          <w:rFonts w:ascii="宋体" w:hAnsi="宋体" w:cs="宋体"/>
          <w:b w:val="0"/>
          <w:bCs w:val="0"/>
          <w:color w:val="auto"/>
          <w:sz w:val="24"/>
          <w:szCs w:val="24"/>
          <w:highlight w:val="none"/>
        </w:rPr>
      </w:pPr>
      <w:bookmarkStart w:id="11" w:name="_Toc26036"/>
      <w:r>
        <w:rPr>
          <w:rStyle w:val="41"/>
          <w:rFonts w:hint="eastAsia" w:ascii="宋体" w:hAnsi="宋体" w:cs="宋体"/>
          <w:b/>
          <w:color w:val="auto"/>
          <w:sz w:val="24"/>
          <w:szCs w:val="24"/>
          <w:highlight w:val="none"/>
        </w:rPr>
        <w:t>3.开标地点：</w:t>
      </w:r>
      <w:bookmarkEnd w:id="11"/>
      <w:r>
        <w:rPr>
          <w:rStyle w:val="41"/>
          <w:rFonts w:hint="eastAsia" w:ascii="宋体" w:hAnsi="宋体" w:cs="宋体"/>
          <w:b/>
          <w:color w:val="auto"/>
          <w:sz w:val="24"/>
          <w:szCs w:val="24"/>
          <w:highlight w:val="none"/>
        </w:rPr>
        <w:t>杭州市滨江区东信大道66号东方通信科技园启迪楼2楼会议室（2）</w:t>
      </w:r>
      <w:r>
        <w:rPr>
          <w:rStyle w:val="41"/>
          <w:rFonts w:hint="eastAsia" w:ascii="宋体" w:hAnsi="宋体" w:cs="宋体"/>
          <w:b w:val="0"/>
          <w:bCs w:val="0"/>
          <w:color w:val="auto"/>
          <w:sz w:val="24"/>
          <w:szCs w:val="24"/>
          <w:highlight w:val="none"/>
        </w:rPr>
        <w:t xml:space="preserve"> </w:t>
      </w:r>
    </w:p>
    <w:p>
      <w:pPr>
        <w:pStyle w:val="4"/>
        <w:rPr>
          <w:rFonts w:ascii="宋体" w:hAnsi="宋体" w:cs="宋体"/>
          <w:color w:val="auto"/>
          <w:sz w:val="24"/>
          <w:szCs w:val="24"/>
          <w:highlight w:val="none"/>
        </w:rPr>
      </w:pPr>
      <w:bookmarkStart w:id="12" w:name="_Toc15758"/>
      <w:r>
        <w:rPr>
          <w:rStyle w:val="41"/>
          <w:rFonts w:hint="eastAsia" w:ascii="宋体" w:hAnsi="宋体" w:cs="宋体"/>
          <w:b/>
          <w:color w:val="auto"/>
          <w:sz w:val="24"/>
          <w:szCs w:val="24"/>
          <w:highlight w:val="none"/>
        </w:rPr>
        <w:t>八、投标保证金：无</w:t>
      </w:r>
      <w:bookmarkEnd w:id="12"/>
    </w:p>
    <w:p>
      <w:pPr>
        <w:pStyle w:val="4"/>
        <w:rPr>
          <w:rFonts w:ascii="宋体" w:hAnsi="宋体" w:cs="宋体"/>
          <w:color w:val="auto"/>
          <w:sz w:val="24"/>
          <w:szCs w:val="24"/>
          <w:highlight w:val="none"/>
        </w:rPr>
      </w:pPr>
      <w:bookmarkStart w:id="13" w:name="_Toc6191"/>
      <w:r>
        <w:rPr>
          <w:rStyle w:val="41"/>
          <w:rFonts w:hint="eastAsia" w:ascii="宋体" w:hAnsi="宋体" w:cs="宋体"/>
          <w:b/>
          <w:color w:val="auto"/>
          <w:sz w:val="24"/>
          <w:szCs w:val="24"/>
          <w:highlight w:val="none"/>
        </w:rPr>
        <w:t>九、其他事项：</w:t>
      </w:r>
      <w:bookmarkEnd w:id="13"/>
    </w:p>
    <w:p>
      <w:pPr>
        <w:pStyle w:val="35"/>
        <w:spacing w:before="0" w:beforeAutospacing="0" w:after="0" w:afterAutospacing="0" w:line="360" w:lineRule="auto"/>
        <w:ind w:firstLine="334"/>
        <w:rPr>
          <w:rStyle w:val="41"/>
          <w:rFonts w:cs="宋体"/>
          <w:b w:val="0"/>
          <w:color w:val="auto"/>
          <w:kern w:val="2"/>
          <w:highlight w:val="none"/>
        </w:rPr>
      </w:pPr>
      <w:r>
        <w:rPr>
          <w:rStyle w:val="41"/>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5"/>
        <w:spacing w:before="0" w:beforeAutospacing="0" w:after="0" w:afterAutospacing="0" w:line="360" w:lineRule="auto"/>
        <w:ind w:firstLine="334"/>
        <w:rPr>
          <w:rStyle w:val="41"/>
          <w:rFonts w:cs="宋体"/>
          <w:b w:val="0"/>
          <w:color w:val="auto"/>
          <w:highlight w:val="none"/>
        </w:rPr>
      </w:pPr>
      <w:r>
        <w:rPr>
          <w:rStyle w:val="41"/>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1"/>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4"/>
        <w:rPr>
          <w:rFonts w:ascii="宋体" w:hAnsi="宋体" w:cs="宋体"/>
          <w:color w:val="auto"/>
          <w:sz w:val="24"/>
          <w:szCs w:val="24"/>
          <w:highlight w:val="none"/>
        </w:rPr>
      </w:pPr>
      <w:bookmarkStart w:id="14" w:name="_Toc5293"/>
      <w:r>
        <w:rPr>
          <w:rStyle w:val="41"/>
          <w:rFonts w:hint="eastAsia" w:ascii="宋体" w:hAnsi="宋体" w:cs="宋体"/>
          <w:b/>
          <w:color w:val="auto"/>
          <w:sz w:val="24"/>
          <w:szCs w:val="24"/>
          <w:highlight w:val="none"/>
        </w:rPr>
        <w:t>十、联系方式</w:t>
      </w:r>
      <w:bookmarkEnd w:id="14"/>
    </w:p>
    <w:p>
      <w:pPr>
        <w:ind w:firstLine="480"/>
        <w:rPr>
          <w:rFonts w:ascii="宋体" w:hAnsi="宋体" w:cs="宋体"/>
          <w:color w:val="auto"/>
          <w:highlight w:val="none"/>
        </w:rPr>
      </w:pPr>
      <w:r>
        <w:rPr>
          <w:rFonts w:hint="eastAsia" w:ascii="宋体" w:hAnsi="宋体" w:cs="宋体"/>
          <w:color w:val="auto"/>
          <w:highlight w:val="none"/>
        </w:rPr>
        <w:t>1.采购人名称：中国计量大学</w:t>
      </w:r>
    </w:p>
    <w:p>
      <w:pPr>
        <w:ind w:firstLine="480"/>
        <w:rPr>
          <w:rFonts w:ascii="宋体" w:hAnsi="宋体" w:cs="宋体"/>
          <w:color w:val="auto"/>
          <w:highlight w:val="none"/>
        </w:rPr>
      </w:pPr>
      <w:r>
        <w:rPr>
          <w:rFonts w:hint="eastAsia" w:ascii="宋体" w:hAnsi="宋体" w:cs="宋体"/>
          <w:color w:val="auto"/>
          <w:highlight w:val="none"/>
        </w:rPr>
        <w:t>联系人：王老师</w:t>
      </w:r>
    </w:p>
    <w:p>
      <w:pPr>
        <w:ind w:firstLine="480"/>
        <w:rPr>
          <w:rFonts w:ascii="宋体" w:hAnsi="宋体" w:cs="宋体"/>
          <w:color w:val="auto"/>
          <w:highlight w:val="none"/>
        </w:rPr>
      </w:pPr>
      <w:r>
        <w:rPr>
          <w:rFonts w:hint="eastAsia" w:ascii="宋体" w:hAnsi="宋体" w:cs="宋体"/>
          <w:color w:val="auto"/>
          <w:highlight w:val="none"/>
        </w:rPr>
        <w:t>联系电话：0571-86875640</w:t>
      </w:r>
    </w:p>
    <w:p>
      <w:pPr>
        <w:ind w:firstLine="480"/>
        <w:rPr>
          <w:rFonts w:ascii="宋体" w:hAnsi="宋体" w:cs="宋体"/>
          <w:color w:val="auto"/>
          <w:highlight w:val="none"/>
        </w:rPr>
      </w:pPr>
      <w:r>
        <w:rPr>
          <w:rFonts w:hint="eastAsia" w:ascii="宋体" w:hAnsi="宋体" w:cs="宋体"/>
          <w:color w:val="auto"/>
          <w:highlight w:val="none"/>
        </w:rPr>
        <w:t>地址：杭州市下沙高教园区学源街258号</w:t>
      </w:r>
    </w:p>
    <w:p>
      <w:pPr>
        <w:ind w:firstLine="480"/>
        <w:rPr>
          <w:rFonts w:ascii="宋体" w:hAnsi="宋体" w:cs="宋体"/>
          <w:color w:val="auto"/>
          <w:highlight w:val="none"/>
        </w:rPr>
      </w:pPr>
      <w:r>
        <w:rPr>
          <w:rFonts w:hint="eastAsia" w:ascii="宋体" w:hAnsi="宋体" w:cs="宋体"/>
          <w:color w:val="auto"/>
          <w:highlight w:val="none"/>
        </w:rPr>
        <w:t>采购项目联系人：魏老师</w:t>
      </w:r>
    </w:p>
    <w:p>
      <w:pPr>
        <w:ind w:firstLine="480"/>
        <w:rPr>
          <w:rFonts w:ascii="宋体" w:hAnsi="宋体" w:cs="宋体"/>
          <w:color w:val="auto"/>
          <w:highlight w:val="none"/>
        </w:rPr>
      </w:pPr>
      <w:r>
        <w:rPr>
          <w:rFonts w:hint="eastAsia" w:ascii="宋体" w:hAnsi="宋体" w:cs="宋体"/>
          <w:color w:val="auto"/>
          <w:highlight w:val="none"/>
        </w:rPr>
        <w:t>联系电话：13735532985</w:t>
      </w:r>
    </w:p>
    <w:p>
      <w:pPr>
        <w:ind w:firstLine="480"/>
        <w:rPr>
          <w:rFonts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ascii="宋体" w:hAnsi="宋体" w:cs="宋体"/>
          <w:color w:val="auto"/>
          <w:highlight w:val="none"/>
        </w:rPr>
      </w:pPr>
      <w:r>
        <w:rPr>
          <w:rFonts w:hint="eastAsia" w:ascii="宋体" w:hAnsi="宋体" w:cs="宋体"/>
          <w:color w:val="auto"/>
          <w:highlight w:val="none"/>
        </w:rPr>
        <w:t>项目联系人：陈工</w:t>
      </w:r>
    </w:p>
    <w:p>
      <w:pPr>
        <w:ind w:firstLine="480"/>
        <w:rPr>
          <w:rFonts w:ascii="宋体" w:hAnsi="宋体" w:cs="宋体"/>
          <w:color w:val="auto"/>
          <w:highlight w:val="none"/>
        </w:rPr>
      </w:pPr>
      <w:r>
        <w:rPr>
          <w:rFonts w:hint="eastAsia" w:ascii="宋体" w:hAnsi="宋体" w:cs="宋体"/>
          <w:color w:val="auto"/>
          <w:highlight w:val="none"/>
        </w:rPr>
        <w:t>联系电话：0571-86098397</w:t>
      </w:r>
    </w:p>
    <w:p>
      <w:pPr>
        <w:ind w:firstLine="480"/>
        <w:rPr>
          <w:rFonts w:ascii="宋体" w:hAnsi="宋体" w:cs="宋体"/>
          <w:color w:val="auto"/>
          <w:highlight w:val="none"/>
        </w:rPr>
      </w:pPr>
      <w:r>
        <w:rPr>
          <w:rFonts w:hint="eastAsia" w:ascii="宋体" w:hAnsi="宋体" w:cs="宋体"/>
          <w:color w:val="auto"/>
          <w:highlight w:val="none"/>
        </w:rPr>
        <w:t>报名联系人：梁工</w:t>
      </w:r>
    </w:p>
    <w:p>
      <w:pPr>
        <w:ind w:firstLine="480"/>
        <w:rPr>
          <w:rFonts w:ascii="宋体" w:hAnsi="宋体" w:cs="宋体"/>
          <w:color w:val="auto"/>
          <w:highlight w:val="none"/>
        </w:rPr>
      </w:pPr>
      <w:r>
        <w:rPr>
          <w:rFonts w:hint="eastAsia" w:ascii="宋体" w:hAnsi="宋体" w:cs="宋体"/>
          <w:color w:val="auto"/>
          <w:highlight w:val="none"/>
        </w:rPr>
        <w:t>联系电话：17746806483</w:t>
      </w:r>
    </w:p>
    <w:p>
      <w:pPr>
        <w:ind w:firstLine="480"/>
        <w:rPr>
          <w:rFonts w:ascii="宋体" w:hAnsi="宋体" w:cs="宋体"/>
          <w:color w:val="auto"/>
          <w:highlight w:val="none"/>
        </w:rPr>
      </w:pPr>
      <w:r>
        <w:rPr>
          <w:rFonts w:hint="eastAsia" w:ascii="宋体" w:hAnsi="宋体" w:cs="宋体"/>
          <w:color w:val="auto"/>
          <w:highlight w:val="none"/>
        </w:rPr>
        <w:t>邮箱：2810140286@qq.com</w:t>
      </w:r>
    </w:p>
    <w:p>
      <w:pPr>
        <w:ind w:firstLine="480"/>
        <w:rPr>
          <w:rFonts w:ascii="宋体" w:hAnsi="宋体" w:cs="宋体"/>
          <w:color w:val="auto"/>
          <w:highlight w:val="none"/>
        </w:rPr>
      </w:pPr>
      <w:r>
        <w:rPr>
          <w:rFonts w:hint="eastAsia" w:ascii="宋体" w:hAnsi="宋体" w:cs="宋体"/>
          <w:color w:val="auto"/>
          <w:highlight w:val="none"/>
        </w:rPr>
        <w:t>质疑联系人及电话：毛工/0571-87805727</w:t>
      </w:r>
    </w:p>
    <w:p>
      <w:pPr>
        <w:ind w:firstLine="480"/>
        <w:rPr>
          <w:rFonts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ascii="宋体" w:hAnsi="宋体" w:cs="宋体"/>
          <w:color w:val="auto"/>
          <w:highlight w:val="none"/>
        </w:rPr>
      </w:pPr>
      <w:r>
        <w:rPr>
          <w:rFonts w:hint="eastAsia" w:ascii="宋体" w:hAnsi="宋体" w:cs="宋体"/>
          <w:color w:val="auto"/>
          <w:highlight w:val="none"/>
        </w:rPr>
        <w:t>联系人：倪老师</w:t>
      </w:r>
    </w:p>
    <w:p>
      <w:pPr>
        <w:ind w:firstLine="480"/>
        <w:rPr>
          <w:rFonts w:ascii="宋体" w:hAnsi="宋体" w:cs="宋体"/>
          <w:color w:val="auto"/>
          <w:highlight w:val="none"/>
        </w:rPr>
      </w:pPr>
      <w:r>
        <w:rPr>
          <w:rFonts w:hint="eastAsia" w:ascii="宋体" w:hAnsi="宋体" w:cs="宋体"/>
          <w:color w:val="auto"/>
          <w:highlight w:val="none"/>
        </w:rPr>
        <w:t>监督投诉电话：0571-87057615</w:t>
      </w:r>
    </w:p>
    <w:p>
      <w:pPr>
        <w:ind w:firstLine="480"/>
        <w:rPr>
          <w:rFonts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w:t>
      </w:r>
      <w:r>
        <w:rPr>
          <w:rFonts w:hint="eastAsia" w:ascii="宋体" w:hAnsi="宋体" w:cs="宋体"/>
          <w:color w:val="auto"/>
          <w:kern w:val="0"/>
          <w:szCs w:val="32"/>
          <w:highlight w:val="none"/>
          <w:lang w:val="en-US" w:eastAsia="zh-CN"/>
        </w:rPr>
        <w:t>7</w:t>
      </w:r>
      <w:r>
        <w:rPr>
          <w:rFonts w:hint="eastAsia" w:ascii="宋体" w:hAnsi="宋体" w:cs="宋体"/>
          <w:color w:val="auto"/>
          <w:kern w:val="0"/>
          <w:szCs w:val="32"/>
          <w:highlight w:val="none"/>
        </w:rPr>
        <w:t>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pgNumType w:start="1"/>
          <w:cols w:space="720" w:num="1"/>
          <w:docGrid w:linePitch="381" w:charSpace="0"/>
        </w:sectPr>
      </w:pPr>
    </w:p>
    <w:bookmarkEnd w:id="3"/>
    <w:p>
      <w:pPr>
        <w:pStyle w:val="3"/>
        <w:rPr>
          <w:color w:val="auto"/>
          <w:highlight w:val="none"/>
        </w:rPr>
      </w:pPr>
      <w:bookmarkStart w:id="15" w:name="_Toc8514"/>
      <w:r>
        <w:rPr>
          <w:rFonts w:hint="eastAsia" w:cs="宋体"/>
          <w:color w:val="auto"/>
          <w:highlight w:val="none"/>
        </w:rPr>
        <w:t>第二章 项目需求说明</w:t>
      </w:r>
      <w:bookmarkEnd w:id="15"/>
    </w:p>
    <w:p>
      <w:pPr>
        <w:pStyle w:val="4"/>
        <w:rPr>
          <w:rFonts w:ascii="宋体" w:hAnsi="宋体" w:cs="宋体"/>
          <w:color w:val="auto"/>
          <w:sz w:val="24"/>
          <w:szCs w:val="40"/>
          <w:highlight w:val="none"/>
        </w:rPr>
      </w:pPr>
      <w:bookmarkStart w:id="16" w:name="_Toc18187"/>
      <w:bookmarkStart w:id="17" w:name="_Toc21112"/>
      <w:bookmarkStart w:id="18" w:name="_Toc450840085"/>
      <w:r>
        <w:rPr>
          <w:rFonts w:hint="eastAsia" w:ascii="宋体" w:hAnsi="宋体" w:cs="宋体"/>
          <w:color w:val="auto"/>
          <w:sz w:val="24"/>
          <w:szCs w:val="40"/>
          <w:highlight w:val="none"/>
        </w:rPr>
        <w:t>一、货物或产品的说明和具体技术要求</w:t>
      </w:r>
      <w:bookmarkEnd w:id="16"/>
      <w:bookmarkEnd w:id="17"/>
    </w:p>
    <w:p>
      <w:pPr>
        <w:pStyle w:val="5"/>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5"/>
        <w:rPr>
          <w:color w:val="auto"/>
          <w:szCs w:val="40"/>
          <w:highlight w:val="none"/>
        </w:rPr>
      </w:pPr>
      <w:r>
        <w:rPr>
          <w:rFonts w:hint="eastAsia"/>
          <w:color w:val="auto"/>
          <w:szCs w:val="40"/>
          <w:highlight w:val="none"/>
        </w:rPr>
        <w:t>2、具体技术要求</w:t>
      </w:r>
    </w:p>
    <w:p>
      <w:pPr>
        <w:pStyle w:val="6"/>
        <w:ind w:firstLine="422"/>
        <w:rPr>
          <w:color w:val="auto"/>
          <w:highlight w:val="none"/>
        </w:rPr>
      </w:pPr>
      <w:r>
        <w:rPr>
          <w:rFonts w:hint="eastAsia"/>
          <w:color w:val="auto"/>
          <w:highlight w:val="none"/>
        </w:rPr>
        <w:t>标项一：三重串联四极杆气质联用仪</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规格（型号）</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ind w:firstLine="0" w:firstLineChars="0"/>
              <w:jc w:val="center"/>
              <w:rPr>
                <w:rFonts w:ascii="Agilent TT Cond" w:hAnsi="Agilent TT Cond" w:cs="宋体"/>
                <w:color w:val="auto"/>
                <w:highlight w:val="none"/>
              </w:rPr>
            </w:pPr>
            <w:r>
              <w:rPr>
                <w:rFonts w:hint="eastAsia" w:ascii="Agilent TT Cond" w:hAnsi="Agilent TT Cond" w:cs="宋体"/>
                <w:color w:val="auto"/>
                <w:highlight w:val="none"/>
              </w:rPr>
              <w:t>三重串联四极杆气质联用仪</w:t>
            </w:r>
          </w:p>
        </w:tc>
        <w:tc>
          <w:tcPr>
            <w:tcW w:w="5862" w:type="dxa"/>
            <w:shd w:val="clear" w:color="auto" w:fill="auto"/>
            <w:vAlign w:val="center"/>
          </w:tcPr>
          <w:p>
            <w:pPr>
              <w:spacing w:before="120" w:beforeLines="50" w:line="240" w:lineRule="auto"/>
              <w:ind w:firstLine="0" w:firstLineChars="0"/>
              <w:jc w:val="left"/>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一、具体用途：有机化合物的筛查和定量分析</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二、技术规格和性能要求</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1.</w:t>
            </w:r>
            <w:r>
              <w:rPr>
                <w:rFonts w:ascii="Agilent TT Cond" w:hAnsi="Agilent TT Cond" w:cs="宋体"/>
                <w:color w:val="auto"/>
                <w:sz w:val="21"/>
                <w:szCs w:val="21"/>
                <w:highlight w:val="none"/>
              </w:rPr>
              <w:t>工作条件</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1.1电源:220V，50Hz</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1.2温度:操作环境</w:t>
            </w:r>
            <w:r>
              <w:rPr>
                <w:rFonts w:hint="eastAsia" w:ascii="Agilent TT Cond" w:hAnsi="Agilent TT Cond" w:cs="宋体"/>
                <w:color w:val="auto"/>
                <w:sz w:val="21"/>
                <w:szCs w:val="21"/>
                <w:highlight w:val="none"/>
              </w:rPr>
              <w:t>20</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C</w:t>
            </w:r>
            <w:r>
              <w:rPr>
                <w:rFonts w:ascii="Agilent TT Cond" w:hAnsi="Agilent TT Cond" w:cs="宋体"/>
                <w:color w:val="auto"/>
                <w:sz w:val="21"/>
                <w:szCs w:val="21"/>
                <w:highlight w:val="none"/>
              </w:rPr>
              <w:t xml:space="preserve"> -35˚</w:t>
            </w:r>
            <w:r>
              <w:rPr>
                <w:rFonts w:hint="eastAsia" w:ascii="Agilent TT Cond" w:hAnsi="Agilent TT Cond" w:cs="宋体"/>
                <w:color w:val="auto"/>
                <w:sz w:val="21"/>
                <w:szCs w:val="21"/>
                <w:highlight w:val="none"/>
              </w:rPr>
              <w:t>C</w:t>
            </w:r>
          </w:p>
          <w:p>
            <w:pPr>
              <w:tabs>
                <w:tab w:val="left" w:pos="1080"/>
              </w:tabs>
              <w:spacing w:line="240" w:lineRule="auto"/>
              <w:ind w:left="1079"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1.3湿度:</w:t>
            </w:r>
            <w:r>
              <w:rPr>
                <w:rFonts w:hint="eastAsia" w:ascii="Agilent TT Cond" w:hAnsi="Agilent TT Cond" w:cs="宋体"/>
                <w:color w:val="auto"/>
                <w:sz w:val="21"/>
                <w:szCs w:val="21"/>
                <w:highlight w:val="none"/>
              </w:rPr>
              <w:t xml:space="preserve"> 操作状态25-50%，非操作状态20-80% </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2.性能指标</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 气相色谱仪</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2.1.1柱箱</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2.1.1.1</w:t>
            </w:r>
            <w:r>
              <w:rPr>
                <w:rFonts w:hint="eastAsia" w:ascii="Agilent TT Cond" w:hAnsi="Agilent TT Cond" w:cs="宋体"/>
                <w:color w:val="auto"/>
                <w:sz w:val="21"/>
                <w:szCs w:val="21"/>
                <w:highlight w:val="none"/>
              </w:rPr>
              <w:t>柱箱温度：室温上</w:t>
            </w:r>
            <w:r>
              <w:rPr>
                <w:rFonts w:ascii="Agilent TT Cond" w:hAnsi="Agilent TT Cond" w:cs="宋体"/>
                <w:color w:val="auto"/>
                <w:sz w:val="21"/>
                <w:szCs w:val="21"/>
                <w:highlight w:val="none"/>
              </w:rPr>
              <w:t>5˚C-450 ˚C</w:t>
            </w:r>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20</w:t>
            </w:r>
            <w:r>
              <w:rPr>
                <w:rFonts w:hint="eastAsia" w:ascii="Agilent TT Cond" w:hAnsi="Agilent TT Cond" w:cs="宋体"/>
                <w:color w:val="auto"/>
                <w:sz w:val="21"/>
                <w:szCs w:val="21"/>
                <w:highlight w:val="none"/>
              </w:rPr>
              <w:t>梯度</w:t>
            </w:r>
            <w:r>
              <w:rPr>
                <w:rFonts w:ascii="Agilent TT Cond" w:hAnsi="Agilent TT Cond" w:cs="宋体"/>
                <w:color w:val="auto"/>
                <w:sz w:val="21"/>
                <w:szCs w:val="21"/>
                <w:highlight w:val="none"/>
              </w:rPr>
              <w:t>/21</w:t>
            </w:r>
            <w:r>
              <w:rPr>
                <w:rFonts w:hint="eastAsia" w:ascii="Agilent TT Cond" w:hAnsi="Agilent TT Cond" w:cs="宋体"/>
                <w:color w:val="auto"/>
                <w:sz w:val="21"/>
                <w:szCs w:val="21"/>
                <w:highlight w:val="none"/>
              </w:rPr>
              <w:t>平台程序升温</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2.1.1.2</w:t>
            </w:r>
            <w:r>
              <w:rPr>
                <w:rFonts w:hint="eastAsia" w:ascii="Agilent TT Cond" w:hAnsi="Agilent TT Cond" w:cs="宋体"/>
                <w:color w:val="auto"/>
                <w:sz w:val="21"/>
                <w:szCs w:val="21"/>
                <w:highlight w:val="none"/>
              </w:rPr>
              <w:t>升温速率：最大升温速度</w:t>
            </w:r>
            <w:r>
              <w:rPr>
                <w:rFonts w:ascii="Agilent TT Cond" w:hAnsi="Agilent TT Cond" w:cs="宋体"/>
                <w:color w:val="auto"/>
                <w:sz w:val="21"/>
                <w:szCs w:val="21"/>
                <w:highlight w:val="none"/>
              </w:rPr>
              <w:t>100˚C/min</w:t>
            </w:r>
            <w:r>
              <w:rPr>
                <w:rFonts w:hint="eastAsia" w:ascii="Agilent TT Cond" w:hAnsi="Agilent TT Cond" w:cs="宋体"/>
                <w:color w:val="auto"/>
                <w:sz w:val="21"/>
                <w:szCs w:val="21"/>
                <w:highlight w:val="none"/>
              </w:rPr>
              <w:t>，以</w:t>
            </w:r>
            <w:r>
              <w:rPr>
                <w:rFonts w:ascii="Agilent TT Cond" w:hAnsi="Agilent TT Cond" w:cs="宋体"/>
                <w:color w:val="auto"/>
                <w:sz w:val="21"/>
                <w:szCs w:val="21"/>
                <w:highlight w:val="none"/>
              </w:rPr>
              <w:t>0.01 ˚C /min</w:t>
            </w:r>
            <w:r>
              <w:rPr>
                <w:rFonts w:hint="eastAsia" w:ascii="Agilent TT Cond" w:hAnsi="Agilent TT Cond" w:cs="宋体"/>
                <w:color w:val="auto"/>
                <w:sz w:val="21"/>
                <w:szCs w:val="21"/>
                <w:highlight w:val="none"/>
              </w:rPr>
              <w:t>增加</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2.1.1.3</w:t>
            </w:r>
            <w:r>
              <w:rPr>
                <w:rFonts w:hint="eastAsia" w:ascii="Agilent TT Cond" w:hAnsi="Agilent TT Cond" w:cs="宋体"/>
                <w:color w:val="auto"/>
                <w:sz w:val="21"/>
                <w:szCs w:val="21"/>
                <w:highlight w:val="none"/>
              </w:rPr>
              <w:t>降温速率：从</w:t>
            </w:r>
            <w:r>
              <w:rPr>
                <w:rFonts w:ascii="Agilent TT Cond" w:hAnsi="Agilent TT Cond" w:cs="宋体"/>
                <w:color w:val="auto"/>
                <w:sz w:val="21"/>
                <w:szCs w:val="21"/>
                <w:highlight w:val="none"/>
              </w:rPr>
              <w:t>450˚C</w:t>
            </w:r>
            <w:r>
              <w:rPr>
                <w:rFonts w:hint="eastAsia" w:ascii="Agilent TT Cond" w:hAnsi="Agilent TT Cond" w:cs="宋体"/>
                <w:color w:val="auto"/>
                <w:sz w:val="21"/>
                <w:szCs w:val="21"/>
                <w:highlight w:val="none"/>
              </w:rPr>
              <w:t>降至</w:t>
            </w:r>
            <w:r>
              <w:rPr>
                <w:rFonts w:ascii="Agilent TT Cond" w:hAnsi="Agilent TT Cond" w:cs="宋体"/>
                <w:color w:val="auto"/>
                <w:sz w:val="21"/>
                <w:szCs w:val="21"/>
                <w:highlight w:val="none"/>
              </w:rPr>
              <w:t>50˚C&lt;220</w:t>
            </w:r>
            <w:r>
              <w:rPr>
                <w:rFonts w:hint="eastAsia" w:ascii="Agilent TT Cond" w:hAnsi="Agilent TT Cond" w:cs="宋体"/>
                <w:color w:val="auto"/>
                <w:sz w:val="21"/>
                <w:szCs w:val="21"/>
                <w:highlight w:val="none"/>
              </w:rPr>
              <w:t>秒</w:t>
            </w:r>
            <w:r>
              <w:rPr>
                <w:rFonts w:ascii="Agilent TT Cond" w:hAnsi="Agilent TT Cond" w:cs="宋体"/>
                <w:color w:val="auto"/>
                <w:sz w:val="21"/>
                <w:szCs w:val="21"/>
                <w:highlight w:val="none"/>
              </w:rPr>
              <w:t xml:space="preserve">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2.1.1.4控温准确性：0.01℃</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2.1.1.5主机界面： 7 英寸电容式触摸屏界面可实时访问仪器状态、配置和流路信息。信号图确认分析按预期运行。附加选项卡可快速访问关键功能，例如编辑方法参数、诊断、维护、日志和帮助界面（提供官方参数证明）</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2.1.1.6浏览器界面： GC 智能移动访问功能使用最广泛的界面。浏览器界面针对 10 英寸平板电脑进行了优化，适用于平板电脑或台式计算机。浏览器界面是  GC 智能移动访问功能使用最广泛的界面，现在，您可以查看设置信息、解决问题、检查泄漏（自动，无需人工）、反吹色谱柱、暂停和启动样品运行，并管理方法开发。可以使用先进的一体化分析技术自动评估空白，从而监测气相色谱仪性能能移动访问功能使用最广泛的（提供官方参数证明）</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2.1.2流路控制系统</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2.1.2.1最大压力设定范围：0-150psi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2.1.2.2压力设定精度：0.001psi</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2.1.2.3流量设定范围：0-1000mL/min</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2.1.3多模式进样口或大体积进样口</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2.1.3.1可编程电子参数设定压力、流速、分流比，电子流量控制隔垫吹扫，最大压力可到100psi</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2.1.</w:t>
            </w:r>
            <w:r>
              <w:rPr>
                <w:rFonts w:hint="eastAsia" w:ascii="Agilent TT Cond" w:hAnsi="Agilent TT Cond" w:cs="宋体"/>
                <w:color w:val="auto"/>
                <w:sz w:val="21"/>
                <w:szCs w:val="21"/>
                <w:highlight w:val="none"/>
              </w:rPr>
              <w:t>3</w:t>
            </w: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最高使用温度</w:t>
            </w:r>
            <w:r>
              <w:rPr>
                <w:rFonts w:ascii="Agilent TT Cond" w:hAnsi="Agilent TT Cond" w:cs="宋体"/>
                <w:color w:val="auto"/>
                <w:sz w:val="21"/>
                <w:szCs w:val="21"/>
                <w:highlight w:val="none"/>
              </w:rPr>
              <w:t xml:space="preserve">450˚C, </w:t>
            </w:r>
            <w:r>
              <w:rPr>
                <w:rFonts w:hint="eastAsia" w:ascii="Agilent TT Cond" w:hAnsi="Agilent TT Cond" w:cs="宋体"/>
                <w:color w:val="auto"/>
                <w:sz w:val="21"/>
                <w:szCs w:val="21"/>
                <w:highlight w:val="none"/>
              </w:rPr>
              <w:t>采用液氮</w:t>
            </w:r>
            <w:r>
              <w:rPr>
                <w:rFonts w:ascii="Agilent TT Cond" w:hAnsi="Agilent TT Cond" w:cs="宋体"/>
                <w:color w:val="auto"/>
                <w:sz w:val="21"/>
                <w:szCs w:val="21"/>
                <w:highlight w:val="none"/>
              </w:rPr>
              <w:t xml:space="preserve"> (</w:t>
            </w:r>
            <w:r>
              <w:rPr>
                <w:rFonts w:hint="eastAsia" w:ascii="Agilent TT Cond" w:hAnsi="Agilent TT Cond" w:cs="宋体"/>
                <w:color w:val="auto"/>
                <w:sz w:val="21"/>
                <w:szCs w:val="21"/>
                <w:highlight w:val="none"/>
              </w:rPr>
              <w:t>可冷却至</w:t>
            </w:r>
            <w:r>
              <w:rPr>
                <w:rFonts w:ascii="Agilent TT Cond" w:hAnsi="Agilent TT Cond" w:cs="宋体"/>
                <w:color w:val="auto"/>
                <w:sz w:val="21"/>
                <w:szCs w:val="21"/>
                <w:highlight w:val="none"/>
              </w:rPr>
              <w:t xml:space="preserve">-150˚C) </w:t>
            </w:r>
            <w:r>
              <w:rPr>
                <w:rFonts w:hint="eastAsia" w:ascii="Agilent TT Cond" w:hAnsi="Agilent TT Cond" w:cs="宋体"/>
                <w:color w:val="auto"/>
                <w:sz w:val="21"/>
                <w:szCs w:val="21"/>
                <w:highlight w:val="none"/>
              </w:rPr>
              <w:t>或干冰冷却</w:t>
            </w:r>
            <w:r>
              <w:rPr>
                <w:rFonts w:ascii="Agilent TT Cond" w:hAnsi="Agilent TT Cond" w:cs="宋体"/>
                <w:color w:val="auto"/>
                <w:sz w:val="21"/>
                <w:szCs w:val="21"/>
                <w:highlight w:val="none"/>
              </w:rPr>
              <w:t xml:space="preserve"> (</w:t>
            </w:r>
            <w:r>
              <w:rPr>
                <w:rFonts w:hint="eastAsia" w:ascii="Agilent TT Cond" w:hAnsi="Agilent TT Cond" w:cs="宋体"/>
                <w:color w:val="auto"/>
                <w:sz w:val="21"/>
                <w:szCs w:val="21"/>
                <w:highlight w:val="none"/>
              </w:rPr>
              <w:t>可冷却至</w:t>
            </w:r>
            <w:r>
              <w:rPr>
                <w:rFonts w:ascii="Agilent TT Cond" w:hAnsi="Agilent TT Cond" w:cs="宋体"/>
                <w:color w:val="auto"/>
                <w:sz w:val="21"/>
                <w:szCs w:val="21"/>
                <w:highlight w:val="none"/>
              </w:rPr>
              <w:t xml:space="preserve">-50˚C)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2.1.3.3压力设定精度：0.01 kPa</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2.1.3.4最大进样体积：单针进样可达100uL，如果更换更大规格的进样针也可到250ul.</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2.1.3.5进样口可以程序升温阶数不少于8阶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2.1.</w:t>
            </w:r>
            <w:r>
              <w:rPr>
                <w:rFonts w:hint="eastAsia" w:ascii="Agilent TT Cond" w:hAnsi="Agilent TT Cond" w:cs="宋体"/>
                <w:color w:val="auto"/>
                <w:sz w:val="21"/>
                <w:szCs w:val="21"/>
                <w:highlight w:val="none"/>
              </w:rPr>
              <w:t>3</w:t>
            </w:r>
            <w:r>
              <w:rPr>
                <w:rFonts w:ascii="Agilent TT Cond" w:hAnsi="Agilent TT Cond" w:cs="宋体"/>
                <w:color w:val="auto"/>
                <w:sz w:val="21"/>
                <w:szCs w:val="21"/>
                <w:highlight w:val="none"/>
              </w:rPr>
              <w:t>.6</w:t>
            </w:r>
            <w:r>
              <w:rPr>
                <w:rFonts w:hint="eastAsia" w:ascii="Agilent TT Cond" w:hAnsi="Agilent TT Cond" w:cs="宋体"/>
                <w:color w:val="auto"/>
                <w:sz w:val="21"/>
                <w:szCs w:val="21"/>
                <w:highlight w:val="none"/>
              </w:rPr>
              <w:t>最大升温速率：最大升温速率不小于</w:t>
            </w:r>
            <w:r>
              <w:rPr>
                <w:rFonts w:ascii="Agilent TT Cond" w:hAnsi="Agilent TT Cond" w:cs="宋体"/>
                <w:color w:val="auto"/>
                <w:sz w:val="21"/>
                <w:szCs w:val="21"/>
                <w:highlight w:val="none"/>
              </w:rPr>
              <w:t xml:space="preserve">880˚C/min </w:t>
            </w:r>
          </w:p>
          <w:p>
            <w:pPr>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w:t>
            </w:r>
            <w:bookmarkStart w:id="19" w:name="OLE_LINK4"/>
            <w:r>
              <w:rPr>
                <w:rFonts w:hint="eastAsia" w:ascii="Agilent TT Cond" w:hAnsi="Agilent TT Cond" w:cs="宋体"/>
                <w:color w:val="auto"/>
                <w:sz w:val="21"/>
                <w:szCs w:val="21"/>
                <w:highlight w:val="none"/>
              </w:rPr>
              <w:t>2</w:t>
            </w:r>
            <w:bookmarkEnd w:id="19"/>
            <w:r>
              <w:rPr>
                <w:rFonts w:hint="eastAsia" w:ascii="Agilent TT Cond" w:hAnsi="Agilent TT Cond" w:cs="宋体"/>
                <w:color w:val="auto"/>
                <w:sz w:val="21"/>
                <w:szCs w:val="21"/>
                <w:highlight w:val="none"/>
              </w:rPr>
              <w:t>具有柱中和柱后反吹功能，并可同时实现更换色谱柱真空锁定功能；且反吹条件的优化和自由设定都由内嵌工作站的窗口直接完成，无需独立的软件进行。（需提供软件中柱前、柱中和柱后反吹条件优化和设定窗口的截屏证明文件）</w:t>
            </w:r>
          </w:p>
          <w:p>
            <w:pPr>
              <w:spacing w:line="240" w:lineRule="auto"/>
              <w:ind w:firstLine="0" w:firstLineChars="0"/>
              <w:rPr>
                <w:rFonts w:ascii="Agilent TT Cond" w:hAnsi="Agilent TT Cond" w:cs="宋体"/>
                <w:color w:val="auto"/>
                <w:sz w:val="21"/>
                <w:szCs w:val="21"/>
                <w:highlight w:val="none"/>
              </w:rPr>
            </w:pP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2.3</w:t>
            </w:r>
            <w:r>
              <w:rPr>
                <w:rFonts w:ascii="Agilent TT Cond" w:hAnsi="Agilent TT Cond" w:cs="宋体"/>
                <w:color w:val="auto"/>
                <w:sz w:val="21"/>
                <w:szCs w:val="21"/>
                <w:highlight w:val="none"/>
              </w:rPr>
              <w:t>自动进样器</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2.3.</w:t>
            </w:r>
            <w:r>
              <w:rPr>
                <w:rFonts w:hint="eastAsia" w:ascii="Agilent TT Cond" w:hAnsi="Agilent TT Cond" w:cs="宋体"/>
                <w:color w:val="auto"/>
                <w:sz w:val="21"/>
                <w:szCs w:val="21"/>
                <w:highlight w:val="none"/>
              </w:rPr>
              <w:t>1 液体进样量范围：通常介于0.1-50μL之间。</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2.3.</w:t>
            </w:r>
            <w:r>
              <w:rPr>
                <w:rFonts w:hint="eastAsia" w:ascii="Agilent TT Cond" w:hAnsi="Agilent TT Cond" w:cs="宋体"/>
                <w:color w:val="auto"/>
                <w:sz w:val="21"/>
                <w:szCs w:val="21"/>
                <w:highlight w:val="none"/>
              </w:rPr>
              <w:t>.2 样品瓶位数：不少于165位。</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2.3</w:t>
            </w:r>
            <w:r>
              <w:rPr>
                <w:rFonts w:hint="eastAsia" w:ascii="Agilent TT Cond" w:hAnsi="Agilent TT Cond" w:cs="宋体"/>
                <w:color w:val="auto"/>
                <w:sz w:val="21"/>
                <w:szCs w:val="21"/>
                <w:highlight w:val="none"/>
              </w:rPr>
              <w:t xml:space="preserve">.3 进样量线性：≥99%  </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2.3</w:t>
            </w:r>
            <w:r>
              <w:rPr>
                <w:rFonts w:hint="eastAsia" w:ascii="Agilent TT Cond" w:hAnsi="Agilent TT Cond" w:cs="宋体"/>
                <w:color w:val="auto"/>
                <w:sz w:val="21"/>
                <w:szCs w:val="21"/>
                <w:highlight w:val="none"/>
              </w:rPr>
              <w:t>.4 面积重现性：小于0.3% RSD</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质谱</w:t>
            </w:r>
            <w:r>
              <w:rPr>
                <w:rFonts w:hint="eastAsia" w:ascii="Agilent TT Cond" w:hAnsi="Agilent TT Cond" w:cs="宋体"/>
                <w:color w:val="auto"/>
                <w:sz w:val="21"/>
                <w:szCs w:val="21"/>
                <w:highlight w:val="none"/>
              </w:rPr>
              <w:t>部分</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 xml:space="preserve">1 </w:t>
            </w:r>
            <w:r>
              <w:rPr>
                <w:rFonts w:ascii="Agilent TT Cond" w:hAnsi="Agilent TT Cond" w:cs="宋体"/>
                <w:color w:val="auto"/>
                <w:sz w:val="21"/>
                <w:szCs w:val="21"/>
                <w:highlight w:val="none"/>
              </w:rPr>
              <w:t>质量数范围</w:t>
            </w:r>
            <w:r>
              <w:rPr>
                <w:rFonts w:hint="eastAsia" w:ascii="Agilent TT Cond" w:hAnsi="Agilent TT Cond" w:cs="宋体"/>
                <w:color w:val="auto"/>
                <w:sz w:val="21"/>
                <w:szCs w:val="21"/>
                <w:highlight w:val="none"/>
              </w:rPr>
              <w:t>：10-1000</w:t>
            </w:r>
            <w:r>
              <w:rPr>
                <w:rFonts w:ascii="Agilent TT Cond" w:hAnsi="Agilent TT Cond" w:cs="宋体"/>
                <w:color w:val="auto"/>
                <w:sz w:val="21"/>
                <w:szCs w:val="21"/>
                <w:highlight w:val="none"/>
              </w:rPr>
              <w:t xml:space="preserve"> m/z              </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2.4.2仪器检测限指标及灵敏度（验收指标）：</w:t>
            </w:r>
          </w:p>
          <w:p>
            <w:pPr>
              <w:widowControl/>
              <w:overflowPunct w:val="0"/>
              <w:autoSpaceDE w:val="0"/>
              <w:autoSpaceDN w:val="0"/>
              <w:adjustRightInd w:val="0"/>
              <w:spacing w:line="240" w:lineRule="auto"/>
              <w:ind w:firstLine="0" w:firstLineChars="0"/>
              <w:jc w:val="left"/>
              <w:textAlignment w:val="baseline"/>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EI:</w:t>
            </w:r>
            <w:r>
              <w:rPr>
                <w:rFonts w:hint="eastAsia" w:ascii="Agilent TT Cond" w:hAnsi="Agilent TT Cond" w:cs="宋体"/>
                <w:color w:val="auto"/>
                <w:sz w:val="21"/>
                <w:szCs w:val="21"/>
                <w:highlight w:val="none"/>
              </w:rPr>
              <w:t xml:space="preserve">  IDL(MRM): ≤4fg ，10fg OFN 连续8次进样，峰面积RSD≤13%。（须于投标文件中随附5份验收</w:t>
            </w:r>
            <w:r>
              <w:rPr>
                <w:rFonts w:ascii="Agilent TT Cond" w:hAnsi="Agilent TT Cond" w:cs="宋体"/>
                <w:color w:val="auto"/>
                <w:sz w:val="21"/>
                <w:szCs w:val="21"/>
                <w:highlight w:val="none"/>
              </w:rPr>
              <w:t>报告</w:t>
            </w:r>
            <w:r>
              <w:rPr>
                <w:rFonts w:hint="eastAsia" w:ascii="Agilent TT Cond" w:hAnsi="Agilent TT Cond" w:cs="宋体"/>
                <w:color w:val="auto"/>
                <w:sz w:val="21"/>
                <w:szCs w:val="21"/>
                <w:highlight w:val="none"/>
              </w:rPr>
              <w:t>作为证明文件）</w:t>
            </w:r>
          </w:p>
          <w:p>
            <w:pPr>
              <w:widowControl/>
              <w:overflowPunct w:val="0"/>
              <w:autoSpaceDE w:val="0"/>
              <w:autoSpaceDN w:val="0"/>
              <w:adjustRightInd w:val="0"/>
              <w:spacing w:line="240" w:lineRule="auto"/>
              <w:ind w:firstLine="0" w:firstLineChars="0"/>
              <w:jc w:val="left"/>
              <w:textAlignment w:val="baseline"/>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NCI </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 xml:space="preserve">SIM 信噪比1 </w:t>
            </w:r>
            <w:r>
              <w:rPr>
                <w:rFonts w:hint="eastAsia" w:ascii="Agilent TT Cond" w:hAnsi="Agilent TT Cond" w:cs="宋体"/>
                <w:color w:val="auto"/>
                <w:sz w:val="21"/>
                <w:szCs w:val="21"/>
                <w:highlight w:val="none"/>
              </w:rPr>
              <w:softHyphen/>
            </w:r>
            <w:r>
              <w:rPr>
                <w:rFonts w:hint="eastAsia" w:ascii="Agilent TT Cond" w:hAnsi="Agilent TT Cond" w:cs="宋体"/>
                <w:color w:val="auto"/>
                <w:sz w:val="21"/>
                <w:szCs w:val="21"/>
                <w:highlight w:val="none"/>
              </w:rPr>
              <w:t>L 100 fg/</w:t>
            </w:r>
            <w:r>
              <w:rPr>
                <w:rFonts w:hint="eastAsia" w:ascii="Agilent TT Cond" w:hAnsi="Agilent TT Cond" w:cs="宋体"/>
                <w:color w:val="auto"/>
                <w:sz w:val="21"/>
                <w:szCs w:val="21"/>
                <w:highlight w:val="none"/>
              </w:rPr>
              <w:softHyphen/>
            </w:r>
            <w:r>
              <w:rPr>
                <w:rFonts w:hint="eastAsia" w:ascii="Agilent TT Cond" w:hAnsi="Agilent TT Cond" w:cs="宋体"/>
                <w:color w:val="auto"/>
                <w:sz w:val="21"/>
                <w:szCs w:val="21"/>
                <w:highlight w:val="none"/>
              </w:rPr>
              <w:t>L 苯甲酮对m/z 272 (CH4) 的信噪比大于 2000:1 (RMS)</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▲2.4</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3</w:t>
            </w:r>
            <w:r>
              <w:rPr>
                <w:rFonts w:ascii="Agilent TT Cond" w:hAnsi="Agilent TT Cond" w:cs="宋体"/>
                <w:color w:val="auto"/>
                <w:sz w:val="21"/>
                <w:szCs w:val="21"/>
                <w:highlight w:val="none"/>
              </w:rPr>
              <w:t>分辨率：</w:t>
            </w:r>
            <w:r>
              <w:rPr>
                <w:rFonts w:hint="eastAsia" w:ascii="Agilent TT Cond" w:hAnsi="Agilent TT Cond" w:cs="宋体"/>
                <w:color w:val="auto"/>
                <w:sz w:val="21"/>
                <w:szCs w:val="21"/>
                <w:highlight w:val="none"/>
              </w:rPr>
              <w:t>0.4~4amu分辨可调 。</w:t>
            </w:r>
            <w:r>
              <w:rPr>
                <w:rFonts w:hint="eastAsia" w:ascii="Agilent TT Cond" w:hAnsi="Agilent TT Cond" w:cs="宋体"/>
                <w:color w:val="auto"/>
                <w:sz w:val="21"/>
                <w:szCs w:val="21"/>
                <w:highlight w:val="none"/>
              </w:rPr>
              <w:tab/>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4碰撞池具有氦气消除功能，可有效消除</w:t>
            </w:r>
            <w:bookmarkStart w:id="20" w:name="OLE_LINK20"/>
            <w:r>
              <w:rPr>
                <w:rFonts w:hint="eastAsia" w:ascii="Agilent TT Cond" w:hAnsi="Agilent TT Cond" w:cs="宋体"/>
                <w:color w:val="auto"/>
                <w:sz w:val="21"/>
                <w:szCs w:val="21"/>
                <w:highlight w:val="none"/>
              </w:rPr>
              <w:t>载气氦气所带来的背景噪音干扰，氦气消除气体流量范围在0~5.0 ml/min</w:t>
            </w:r>
            <w:bookmarkEnd w:id="20"/>
            <w:r>
              <w:rPr>
                <w:rFonts w:hint="eastAsia" w:ascii="Agilent TT Cond" w:hAnsi="Agilent TT Cond" w:cs="宋体"/>
                <w:color w:val="auto"/>
                <w:sz w:val="21"/>
                <w:szCs w:val="21"/>
                <w:highlight w:val="none"/>
              </w:rPr>
              <w:t>可调</w:t>
            </w:r>
          </w:p>
          <w:p>
            <w:pPr>
              <w:tabs>
                <w:tab w:val="left" w:pos="851"/>
              </w:tabs>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 xml:space="preserve">5 </w:t>
            </w:r>
            <w:r>
              <w:rPr>
                <w:rFonts w:ascii="Agilent TT Cond" w:hAnsi="Agilent TT Cond" w:cs="宋体"/>
                <w:color w:val="auto"/>
                <w:sz w:val="21"/>
                <w:szCs w:val="21"/>
                <w:highlight w:val="none"/>
              </w:rPr>
              <w:t>扫描</w:t>
            </w:r>
            <w:r>
              <w:rPr>
                <w:rFonts w:hint="eastAsia" w:ascii="Agilent TT Cond" w:hAnsi="Agilent TT Cond" w:cs="宋体"/>
                <w:color w:val="auto"/>
                <w:sz w:val="21"/>
                <w:szCs w:val="21"/>
                <w:highlight w:val="none"/>
              </w:rPr>
              <w:t>速率</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最大</w:t>
            </w:r>
            <w:r>
              <w:rPr>
                <w:rFonts w:ascii="Agilent TT Cond" w:hAnsi="Agilent TT Cond" w:cs="宋体"/>
                <w:color w:val="auto"/>
                <w:sz w:val="21"/>
                <w:szCs w:val="21"/>
                <w:highlight w:val="none"/>
              </w:rPr>
              <w:t>8</w:t>
            </w:r>
            <w:r>
              <w:rPr>
                <w:rFonts w:hint="eastAsia" w:ascii="Agilent TT Cond" w:hAnsi="Agilent TT Cond" w:cs="宋体"/>
                <w:color w:val="auto"/>
                <w:sz w:val="21"/>
                <w:szCs w:val="21"/>
                <w:highlight w:val="none"/>
              </w:rPr>
              <w:t>00</w:t>
            </w:r>
            <w:bookmarkStart w:id="21" w:name="OLE_LINK32"/>
            <w:bookmarkStart w:id="22" w:name="OLE_LINK33"/>
            <w:r>
              <w:rPr>
                <w:rFonts w:hint="eastAsia" w:ascii="Agilent TT Cond" w:hAnsi="Agilent TT Cond" w:cs="宋体"/>
                <w:color w:val="auto"/>
                <w:sz w:val="21"/>
                <w:szCs w:val="21"/>
                <w:highlight w:val="none"/>
              </w:rPr>
              <w:t>个MRM/秒</w:t>
            </w:r>
            <w:bookmarkEnd w:id="21"/>
            <w:bookmarkEnd w:id="22"/>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最小SRM扫描时间：</w:t>
            </w:r>
            <w:r>
              <w:rPr>
                <w:rFonts w:hint="eastAsia" w:ascii="Agilent TT Cond" w:hAnsi="Agilent TT Cond" w:cs="宋体"/>
                <w:color w:val="auto"/>
                <w:sz w:val="21"/>
                <w:szCs w:val="21"/>
                <w:highlight w:val="none"/>
              </w:rPr>
              <w:t>0.8</w:t>
            </w:r>
            <w:r>
              <w:rPr>
                <w:rFonts w:ascii="Agilent TT Cond" w:hAnsi="Agilent TT Cond" w:cs="宋体"/>
                <w:color w:val="auto"/>
                <w:sz w:val="21"/>
                <w:szCs w:val="21"/>
                <w:highlight w:val="none"/>
              </w:rPr>
              <w:t>ms</w:t>
            </w:r>
            <w:r>
              <w:rPr>
                <w:rFonts w:hint="eastAsia" w:ascii="Agilent TT Cond" w:hAnsi="Agilent TT Cond" w:cs="宋体"/>
                <w:color w:val="auto"/>
                <w:sz w:val="21"/>
                <w:szCs w:val="21"/>
                <w:highlight w:val="none"/>
              </w:rPr>
              <w:t xml:space="preserve"> </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2.4.6</w:t>
            </w:r>
            <w:r>
              <w:rPr>
                <w:rFonts w:ascii="Agilent TT Cond" w:hAnsi="Agilent TT Cond" w:cs="宋体"/>
                <w:color w:val="auto"/>
                <w:sz w:val="21"/>
                <w:szCs w:val="21"/>
                <w:highlight w:val="none"/>
              </w:rPr>
              <w:t>无损双灯丝设计，灯丝</w:t>
            </w:r>
            <w:r>
              <w:rPr>
                <w:rFonts w:hint="eastAsia" w:ascii="Agilent TT Cond" w:hAnsi="Agilent TT Cond" w:cs="宋体"/>
                <w:color w:val="auto"/>
                <w:sz w:val="21"/>
                <w:szCs w:val="21"/>
                <w:highlight w:val="none"/>
              </w:rPr>
              <w:t>受长效</w:t>
            </w:r>
            <w:r>
              <w:rPr>
                <w:rFonts w:ascii="Agilent TT Cond" w:hAnsi="Agilent TT Cond" w:cs="宋体"/>
                <w:color w:val="auto"/>
                <w:sz w:val="21"/>
                <w:szCs w:val="21"/>
                <w:highlight w:val="none"/>
              </w:rPr>
              <w:t>保护，提高灯丝寿命，灯丝电流：0-280uA</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2.4.7最大离子化能量：280</w:t>
            </w:r>
            <w:r>
              <w:rPr>
                <w:rFonts w:ascii="Agilent TT Cond" w:hAnsi="Agilent TT Cond" w:cs="宋体"/>
                <w:color w:val="auto"/>
                <w:sz w:val="21"/>
                <w:szCs w:val="21"/>
                <w:highlight w:val="none"/>
              </w:rPr>
              <w:t>eV</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2.4.8离子源:配置EI源，独立控温，最高温度可到350</w:t>
            </w:r>
            <w:bookmarkStart w:id="23" w:name="OLE_LINK34"/>
            <w:bookmarkStart w:id="24" w:name="OLE_LINK35"/>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C</w:t>
            </w:r>
            <w:bookmarkEnd w:id="23"/>
            <w:bookmarkEnd w:id="24"/>
            <w:r>
              <w:rPr>
                <w:rFonts w:hint="eastAsia" w:ascii="Agilent TT Cond" w:hAnsi="Agilent TT Cond" w:cs="宋体"/>
                <w:color w:val="auto"/>
                <w:sz w:val="21"/>
                <w:szCs w:val="21"/>
                <w:highlight w:val="none"/>
              </w:rPr>
              <w:t xml:space="preserve">  </w:t>
            </w:r>
          </w:p>
          <w:p>
            <w:pPr>
              <w:tabs>
                <w:tab w:val="left" w:pos="851"/>
              </w:tabs>
              <w:spacing w:line="240" w:lineRule="auto"/>
              <w:ind w:firstLine="0" w:firstLineChars="0"/>
              <w:rPr>
                <w:rFonts w:hint="eastAsia"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2.4.9四极杆质量分析器材质：石英镀金共轭双曲面四极杆</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2.4.10</w:t>
            </w:r>
            <w:r>
              <w:rPr>
                <w:rFonts w:hint="eastAsia" w:ascii="Agilent TT Cond" w:hAnsi="Agilent TT Cond" w:cs="宋体"/>
                <w:color w:val="auto"/>
                <w:sz w:val="21"/>
                <w:szCs w:val="21"/>
                <w:highlight w:val="none"/>
              </w:rPr>
              <w:t>四极杆质量分析器：以能独立温控为优，最高可达</w:t>
            </w:r>
            <w:r>
              <w:rPr>
                <w:rFonts w:ascii="Agilent TT Cond" w:hAnsi="Agilent TT Cond" w:cs="宋体"/>
                <w:color w:val="auto"/>
                <w:sz w:val="21"/>
                <w:szCs w:val="21"/>
                <w:highlight w:val="none"/>
              </w:rPr>
              <w:t xml:space="preserve"> 190˚C(</w:t>
            </w:r>
            <w:r>
              <w:rPr>
                <w:rFonts w:hint="eastAsia" w:ascii="Agilent TT Cond" w:hAnsi="Agilent TT Cond" w:cs="宋体"/>
                <w:color w:val="auto"/>
                <w:sz w:val="21"/>
                <w:szCs w:val="21"/>
                <w:highlight w:val="none"/>
              </w:rPr>
              <w:t>非预四极杆加热</w:t>
            </w:r>
            <w:r>
              <w:rPr>
                <w:rFonts w:ascii="Agilent TT Cond" w:hAnsi="Agilent TT Cond" w:cs="宋体"/>
                <w:color w:val="auto"/>
                <w:sz w:val="21"/>
                <w:szCs w:val="21"/>
                <w:highlight w:val="none"/>
              </w:rPr>
              <w:t xml:space="preserve">) </w:t>
            </w:r>
            <w:r>
              <w:rPr>
                <w:rFonts w:hint="eastAsia" w:ascii="Agilent TT Cond" w:hAnsi="Agilent TT Cond" w:cs="宋体"/>
                <w:color w:val="auto"/>
                <w:sz w:val="21"/>
                <w:szCs w:val="21"/>
                <w:highlight w:val="none"/>
              </w:rPr>
              <w:t>请提供产品宣传彩页证明</w:t>
            </w:r>
          </w:p>
          <w:p>
            <w:pPr>
              <w:tabs>
                <w:tab w:val="left" w:pos="851"/>
              </w:tabs>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2.4.11</w:t>
            </w:r>
            <w:r>
              <w:rPr>
                <w:rFonts w:hint="eastAsia" w:ascii="Agilent TT Cond" w:hAnsi="Agilent TT Cond" w:cs="宋体"/>
                <w:color w:val="auto"/>
                <w:sz w:val="21"/>
                <w:szCs w:val="21"/>
                <w:highlight w:val="none"/>
              </w:rPr>
              <w:t>气质接口温度</w:t>
            </w:r>
            <w:r>
              <w:rPr>
                <w:rFonts w:ascii="Agilent TT Cond" w:hAnsi="Agilent TT Cond" w:cs="宋体"/>
                <w:color w:val="auto"/>
                <w:sz w:val="21"/>
                <w:szCs w:val="21"/>
                <w:highlight w:val="none"/>
              </w:rPr>
              <w:t xml:space="preserve">: </w:t>
            </w:r>
            <w:r>
              <w:rPr>
                <w:rFonts w:hint="eastAsia" w:ascii="Agilent TT Cond" w:hAnsi="Agilent TT Cond" w:cs="宋体"/>
                <w:color w:val="auto"/>
                <w:sz w:val="21"/>
                <w:szCs w:val="21"/>
                <w:highlight w:val="none"/>
              </w:rPr>
              <w:t>独立控温，最高温度可到</w:t>
            </w:r>
            <w:r>
              <w:rPr>
                <w:rFonts w:ascii="Agilent TT Cond" w:hAnsi="Agilent TT Cond" w:cs="宋体"/>
                <w:color w:val="auto"/>
                <w:sz w:val="21"/>
                <w:szCs w:val="21"/>
                <w:highlight w:val="none"/>
              </w:rPr>
              <w:t>380˚C</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★2.4.12 离子源带有自动清洗附件，在离子源受到污染需要清洗时，自动启动清洗程式对离子源进行清洗，过程无需卸真空及人为拆装离子源（标书中须提供具有自动清洗功能附件的证明材料以及质谱工作站设置自清洁功能设置的界面截图；如无法提供此附件，则需另外配置真空锁定功能附件及标配以外的第二套完整EI离子源，保证在不泄真空不停机的条件下更换整个干净离子源，以实现离子源维护的方便性，或另外配置前置的样品凝胶渗透过滤系统，以实现类似的系统污染保护之效果）</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2.4.1</w:t>
            </w:r>
            <w:r>
              <w:rPr>
                <w:rFonts w:ascii="Agilent TT Cond" w:hAnsi="Agilent TT Cond" w:cs="宋体"/>
                <w:color w:val="auto"/>
                <w:sz w:val="21"/>
                <w:szCs w:val="21"/>
                <w:highlight w:val="none"/>
              </w:rPr>
              <w:t>3扫描功能:全扫描(Full Scan)、子离子扫描( Product Ion Scan)、母离子扫描(Precursor Ion Scan)、中性丢失扫描(Neutral Loss Scan)、选择离子扫描模式(SIM)、多反应扫描模式（</w:t>
            </w:r>
            <w:r>
              <w:rPr>
                <w:rFonts w:hint="eastAsia" w:ascii="Agilent TT Cond" w:hAnsi="Agilent TT Cond" w:cs="宋体"/>
                <w:color w:val="auto"/>
                <w:sz w:val="21"/>
                <w:szCs w:val="21"/>
                <w:highlight w:val="none"/>
              </w:rPr>
              <w:t>S</w:t>
            </w:r>
            <w:r>
              <w:rPr>
                <w:rFonts w:ascii="Agilent TT Cond" w:hAnsi="Agilent TT Cond" w:cs="宋体"/>
                <w:color w:val="auto"/>
                <w:sz w:val="21"/>
                <w:szCs w:val="21"/>
                <w:highlight w:val="none"/>
              </w:rPr>
              <w:t>RM）</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2.4.1</w:t>
            </w:r>
            <w:r>
              <w:rPr>
                <w:rFonts w:ascii="Agilent TT Cond" w:hAnsi="Agilent TT Cond" w:cs="宋体"/>
                <w:color w:val="auto"/>
                <w:sz w:val="21"/>
                <w:szCs w:val="21"/>
                <w:highlight w:val="none"/>
              </w:rPr>
              <w:t>4</w:t>
            </w:r>
            <w:r>
              <w:rPr>
                <w:rFonts w:hint="eastAsia" w:ascii="Agilent TT Cond" w:hAnsi="Agilent TT Cond" w:cs="宋体"/>
                <w:color w:val="auto"/>
                <w:sz w:val="21"/>
                <w:szCs w:val="21"/>
                <w:highlight w:val="none"/>
              </w:rPr>
              <w:t>质谱工作</w:t>
            </w:r>
            <w:r>
              <w:rPr>
                <w:rFonts w:ascii="Agilent TT Cond" w:hAnsi="Agilent TT Cond" w:cs="宋体"/>
                <w:color w:val="auto"/>
                <w:sz w:val="21"/>
                <w:szCs w:val="21"/>
                <w:highlight w:val="none"/>
              </w:rPr>
              <w:t>站同时具有分段扫描功能和dMRM</w:t>
            </w:r>
            <w:r>
              <w:rPr>
                <w:rFonts w:hint="eastAsia" w:ascii="Agilent TT Cond" w:hAnsi="Agilent TT Cond" w:cs="宋体"/>
                <w:color w:val="auto"/>
                <w:sz w:val="21"/>
                <w:szCs w:val="21"/>
                <w:highlight w:val="none"/>
              </w:rPr>
              <w:t>功能，</w:t>
            </w:r>
            <w:r>
              <w:rPr>
                <w:rFonts w:ascii="Agilent TT Cond" w:hAnsi="Agilent TT Cond" w:cs="宋体"/>
                <w:color w:val="auto"/>
                <w:sz w:val="21"/>
                <w:szCs w:val="21"/>
                <w:highlight w:val="none"/>
              </w:rPr>
              <w:t>提供软件截图证明。</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s="Segoe UI Symbol"/>
                <w:color w:val="auto"/>
                <w:sz w:val="21"/>
                <w:szCs w:val="21"/>
                <w:highlight w:val="none"/>
              </w:rPr>
              <w:t xml:space="preserve"> </w:t>
            </w:r>
            <w:r>
              <w:rPr>
                <w:rFonts w:hint="eastAsia" w:ascii="Agilent TT Cond" w:hAnsi="Agilent TT Cond" w:cs="宋体"/>
                <w:color w:val="auto"/>
                <w:sz w:val="21"/>
                <w:szCs w:val="21"/>
                <w:highlight w:val="none"/>
              </w:rPr>
              <w:t>2</w:t>
            </w:r>
            <w:r>
              <w:rPr>
                <w:rFonts w:ascii="Agilent TT Cond" w:hAnsi="Agilent TT Cond" w:cs="宋体"/>
                <w:color w:val="auto"/>
                <w:sz w:val="21"/>
                <w:szCs w:val="21"/>
                <w:highlight w:val="none"/>
              </w:rPr>
              <w:t>.4.15</w:t>
            </w:r>
            <w:r>
              <w:rPr>
                <w:rFonts w:hint="eastAsia" w:ascii="Agilent TT Cond" w:hAnsi="Agilent TT Cond" w:cs="宋体"/>
                <w:color w:val="auto"/>
                <w:sz w:val="21"/>
                <w:szCs w:val="21"/>
                <w:highlight w:val="none"/>
              </w:rPr>
              <w:t>二级质谱MRM数据分析应用套件：包含超过1</w:t>
            </w:r>
            <w:r>
              <w:rPr>
                <w:rFonts w:ascii="Agilent TT Cond" w:hAnsi="Agilent TT Cond" w:cs="宋体"/>
                <w:color w:val="auto"/>
                <w:sz w:val="21"/>
                <w:szCs w:val="21"/>
                <w:highlight w:val="none"/>
              </w:rPr>
              <w:t>1</w:t>
            </w:r>
            <w:r>
              <w:rPr>
                <w:rFonts w:hint="eastAsia" w:ascii="Agilent TT Cond" w:hAnsi="Agilent TT Cond" w:cs="宋体"/>
                <w:color w:val="auto"/>
                <w:sz w:val="21"/>
                <w:szCs w:val="21"/>
                <w:highlight w:val="none"/>
              </w:rPr>
              <w:t>00种农药和环境污染物的MRM数据库</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 xml:space="preserve"> 每个化合物提供经保留时间锁定的确切保留时间，同时每个化合物包含不少5个MRM离子对数据。同时还包含8</w:t>
            </w:r>
            <w:r>
              <w:rPr>
                <w:rFonts w:ascii="Agilent TT Cond" w:hAnsi="Agilent TT Cond" w:cs="宋体"/>
                <w:color w:val="auto"/>
                <w:sz w:val="21"/>
                <w:szCs w:val="21"/>
                <w:highlight w:val="none"/>
              </w:rPr>
              <w:t>种</w:t>
            </w:r>
            <w:r>
              <w:rPr>
                <w:rFonts w:hint="eastAsia" w:ascii="Agilent TT Cond" w:hAnsi="Agilent TT Cond" w:cs="宋体"/>
                <w:color w:val="auto"/>
                <w:sz w:val="21"/>
                <w:szCs w:val="21"/>
                <w:highlight w:val="none"/>
              </w:rPr>
              <w:t>不同</w:t>
            </w:r>
            <w:r>
              <w:rPr>
                <w:rFonts w:ascii="Agilent TT Cond" w:hAnsi="Agilent TT Cond" w:cs="宋体"/>
                <w:color w:val="auto"/>
                <w:sz w:val="21"/>
                <w:szCs w:val="21"/>
                <w:highlight w:val="none"/>
              </w:rPr>
              <w:t>基质</w:t>
            </w:r>
            <w:r>
              <w:rPr>
                <w:rFonts w:hint="eastAsia" w:ascii="Agilent TT Cond" w:hAnsi="Agilent TT Cond" w:cs="宋体"/>
                <w:color w:val="auto"/>
                <w:sz w:val="21"/>
                <w:szCs w:val="21"/>
                <w:highlight w:val="none"/>
              </w:rPr>
              <w:t>(至少包含多水</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多糖</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多</w:t>
            </w:r>
            <w:r>
              <w:rPr>
                <w:rFonts w:ascii="Agilent TT Cond" w:hAnsi="Agilent TT Cond" w:cs="宋体"/>
                <w:color w:val="auto"/>
                <w:sz w:val="21"/>
                <w:szCs w:val="21"/>
                <w:highlight w:val="none"/>
              </w:rPr>
              <w:t>淀粉</w:t>
            </w:r>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多</w:t>
            </w:r>
            <w:r>
              <w:rPr>
                <w:rFonts w:hint="eastAsia" w:ascii="Agilent TT Cond" w:hAnsi="Agilent TT Cond" w:cs="宋体"/>
                <w:color w:val="auto"/>
                <w:sz w:val="21"/>
                <w:szCs w:val="21"/>
                <w:highlight w:val="none"/>
              </w:rPr>
              <w:t>色素、</w:t>
            </w:r>
            <w:r>
              <w:rPr>
                <w:rFonts w:ascii="Agilent TT Cond" w:hAnsi="Agilent TT Cond" w:cs="宋体"/>
                <w:color w:val="auto"/>
                <w:sz w:val="21"/>
                <w:szCs w:val="21"/>
                <w:highlight w:val="none"/>
              </w:rPr>
              <w:t>多油</w:t>
            </w:r>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高</w:t>
            </w:r>
            <w:r>
              <w:rPr>
                <w:rFonts w:hint="eastAsia" w:ascii="Agilent TT Cond" w:hAnsi="Agilent TT Cond" w:cs="宋体"/>
                <w:color w:val="auto"/>
                <w:sz w:val="21"/>
                <w:szCs w:val="21"/>
                <w:highlight w:val="none"/>
              </w:rPr>
              <w:t>有机酸、</w:t>
            </w:r>
            <w:r>
              <w:rPr>
                <w:rFonts w:ascii="Agilent TT Cond" w:hAnsi="Agilent TT Cond" w:cs="宋体"/>
                <w:color w:val="auto"/>
                <w:sz w:val="21"/>
                <w:szCs w:val="21"/>
                <w:highlight w:val="none"/>
              </w:rPr>
              <w:t>茶叶</w:t>
            </w:r>
            <w:r>
              <w:rPr>
                <w:rFonts w:hint="eastAsia" w:ascii="Agilent TT Cond" w:hAnsi="Agilent TT Cond" w:cs="宋体"/>
                <w:color w:val="auto"/>
                <w:sz w:val="21"/>
                <w:szCs w:val="21"/>
                <w:highlight w:val="none"/>
              </w:rPr>
              <w:t>和</w:t>
            </w:r>
            <w:r>
              <w:rPr>
                <w:rFonts w:ascii="Agilent TT Cond" w:hAnsi="Agilent TT Cond" w:cs="宋体"/>
                <w:color w:val="auto"/>
                <w:sz w:val="21"/>
                <w:szCs w:val="21"/>
                <w:highlight w:val="none"/>
              </w:rPr>
              <w:t>洋葱</w:t>
            </w:r>
            <w:r>
              <w:rPr>
                <w:rFonts w:hint="eastAsia" w:ascii="Agilent TT Cond" w:hAnsi="Agilent TT Cond" w:cs="宋体"/>
                <w:color w:val="auto"/>
                <w:sz w:val="21"/>
                <w:szCs w:val="21"/>
                <w:highlight w:val="none"/>
              </w:rPr>
              <w:t>8</w:t>
            </w:r>
            <w:r>
              <w:rPr>
                <w:rFonts w:ascii="Agilent TT Cond" w:hAnsi="Agilent TT Cond" w:cs="宋体"/>
                <w:color w:val="auto"/>
                <w:sz w:val="21"/>
                <w:szCs w:val="21"/>
                <w:highlight w:val="none"/>
              </w:rPr>
              <w:t>种</w:t>
            </w:r>
            <w:r>
              <w:rPr>
                <w:rFonts w:hint="eastAsia" w:ascii="Agilent TT Cond" w:hAnsi="Agilent TT Cond" w:cs="宋体"/>
                <w:color w:val="auto"/>
                <w:sz w:val="21"/>
                <w:szCs w:val="21"/>
                <w:highlight w:val="none"/>
              </w:rPr>
              <w:t>基质)中7</w:t>
            </w:r>
            <w:r>
              <w:rPr>
                <w:rFonts w:ascii="Agilent TT Cond" w:hAnsi="Agilent TT Cond" w:cs="宋体"/>
                <w:color w:val="auto"/>
                <w:sz w:val="21"/>
                <w:szCs w:val="21"/>
                <w:highlight w:val="none"/>
              </w:rPr>
              <w:t>000</w:t>
            </w:r>
            <w:r>
              <w:rPr>
                <w:rFonts w:hint="eastAsia" w:ascii="Agilent TT Cond" w:hAnsi="Agilent TT Cond" w:cs="宋体"/>
                <w:color w:val="auto"/>
                <w:sz w:val="21"/>
                <w:szCs w:val="21"/>
                <w:highlight w:val="none"/>
              </w:rPr>
              <w:t>对M</w:t>
            </w:r>
            <w:r>
              <w:rPr>
                <w:rFonts w:ascii="Agilent TT Cond" w:hAnsi="Agilent TT Cond" w:cs="宋体"/>
                <w:color w:val="auto"/>
                <w:sz w:val="21"/>
                <w:szCs w:val="21"/>
                <w:highlight w:val="none"/>
              </w:rPr>
              <w:t>RM离子</w:t>
            </w:r>
            <w:r>
              <w:rPr>
                <w:rFonts w:hint="eastAsia" w:ascii="Agilent TT Cond" w:hAnsi="Agilent TT Cond" w:cs="宋体"/>
                <w:color w:val="auto"/>
                <w:sz w:val="21"/>
                <w:szCs w:val="21"/>
                <w:highlight w:val="none"/>
              </w:rPr>
              <w:t>对</w:t>
            </w:r>
            <w:r>
              <w:rPr>
                <w:rFonts w:ascii="Agilent TT Cond" w:hAnsi="Agilent TT Cond" w:cs="宋体"/>
                <w:color w:val="auto"/>
                <w:sz w:val="21"/>
                <w:szCs w:val="21"/>
                <w:highlight w:val="none"/>
              </w:rPr>
              <w:t>信息</w:t>
            </w:r>
            <w:r>
              <w:rPr>
                <w:rFonts w:hint="eastAsia" w:ascii="Agilent TT Cond" w:hAnsi="Agilent TT Cond" w:cs="宋体"/>
                <w:color w:val="auto"/>
                <w:sz w:val="21"/>
                <w:szCs w:val="21"/>
                <w:highlight w:val="none"/>
              </w:rPr>
              <w:t>，目标化合物自动查找</w:t>
            </w:r>
            <w:bookmarkStart w:id="25" w:name="OLE_LINK23"/>
            <w:bookmarkStart w:id="26" w:name="OLE_LINK24"/>
            <w:r>
              <w:rPr>
                <w:rFonts w:hint="eastAsia" w:ascii="Agilent TT Cond" w:hAnsi="Agilent TT Cond" w:cs="宋体"/>
                <w:color w:val="auto"/>
                <w:sz w:val="21"/>
                <w:szCs w:val="21"/>
                <w:highlight w:val="none"/>
              </w:rPr>
              <w:t>软件</w:t>
            </w:r>
            <w:bookmarkEnd w:id="25"/>
            <w:bookmarkEnd w:id="26"/>
            <w:r>
              <w:rPr>
                <w:rFonts w:hint="eastAsia" w:ascii="Agilent TT Cond" w:hAnsi="Agilent TT Cond" w:cs="宋体"/>
                <w:color w:val="auto"/>
                <w:sz w:val="21"/>
                <w:szCs w:val="21"/>
                <w:highlight w:val="none"/>
              </w:rPr>
              <w:t>、化合物自动分组软件、驰豫时间自动优化软件及应用方法开发用农药残留标准品溶液。（须于标书中随附数据库所包含的超过1</w:t>
            </w:r>
            <w:r>
              <w:rPr>
                <w:rFonts w:ascii="Agilent TT Cond" w:hAnsi="Agilent TT Cond" w:cs="宋体"/>
                <w:color w:val="auto"/>
                <w:sz w:val="21"/>
                <w:szCs w:val="21"/>
                <w:highlight w:val="none"/>
              </w:rPr>
              <w:t>1</w:t>
            </w:r>
            <w:r>
              <w:rPr>
                <w:rFonts w:hint="eastAsia" w:ascii="Agilent TT Cond" w:hAnsi="Agilent TT Cond" w:cs="宋体"/>
                <w:color w:val="auto"/>
                <w:sz w:val="21"/>
                <w:szCs w:val="21"/>
                <w:highlight w:val="none"/>
              </w:rPr>
              <w:t>00个化合物的证明，及这些化合物总计超过5000对离子对的证明，</w:t>
            </w:r>
            <w:r>
              <w:rPr>
                <w:rFonts w:ascii="Agilent TT Cond" w:hAnsi="Agilent TT Cond" w:cs="宋体"/>
                <w:color w:val="auto"/>
                <w:sz w:val="21"/>
                <w:szCs w:val="21"/>
                <w:highlight w:val="none"/>
              </w:rPr>
              <w:t>8种不同基质中800对</w:t>
            </w:r>
            <w:r>
              <w:rPr>
                <w:rFonts w:hint="eastAsia" w:ascii="Agilent TT Cond" w:hAnsi="Agilent TT Cond" w:cs="宋体"/>
                <w:color w:val="auto"/>
                <w:sz w:val="21"/>
                <w:szCs w:val="21"/>
                <w:highlight w:val="none"/>
              </w:rPr>
              <w:t>M</w:t>
            </w:r>
            <w:r>
              <w:rPr>
                <w:rFonts w:ascii="Agilent TT Cond" w:hAnsi="Agilent TT Cond" w:cs="宋体"/>
                <w:color w:val="auto"/>
                <w:sz w:val="21"/>
                <w:szCs w:val="21"/>
                <w:highlight w:val="none"/>
              </w:rPr>
              <w:t>RM</w:t>
            </w:r>
            <w:r>
              <w:rPr>
                <w:rFonts w:hint="eastAsia" w:ascii="Agilent TT Cond" w:hAnsi="Agilent TT Cond" w:cs="宋体"/>
                <w:color w:val="auto"/>
                <w:sz w:val="21"/>
                <w:szCs w:val="21"/>
                <w:highlight w:val="none"/>
              </w:rPr>
              <w:t>离子对</w:t>
            </w:r>
            <w:r>
              <w:rPr>
                <w:rFonts w:ascii="Agilent TT Cond" w:hAnsi="Agilent TT Cond" w:cs="宋体"/>
                <w:color w:val="auto"/>
                <w:sz w:val="21"/>
                <w:szCs w:val="21"/>
                <w:highlight w:val="none"/>
              </w:rPr>
              <w:t>信息</w:t>
            </w:r>
            <w:r>
              <w:rPr>
                <w:rFonts w:hint="eastAsia" w:ascii="Agilent TT Cond" w:hAnsi="Agilent TT Cond" w:cs="宋体"/>
                <w:color w:val="auto"/>
                <w:sz w:val="21"/>
                <w:szCs w:val="21"/>
                <w:highlight w:val="none"/>
              </w:rPr>
              <w:t>；如无法提供则视为负偏离）</w:t>
            </w:r>
          </w:p>
          <w:p>
            <w:pPr>
              <w:tabs>
                <w:tab w:val="left" w:pos="851"/>
              </w:tabs>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5</w:t>
            </w:r>
            <w:r>
              <w:rPr>
                <w:rFonts w:ascii="Agilent TT Cond" w:hAnsi="Agilent TT Cond" w:cs="宋体"/>
                <w:color w:val="auto"/>
                <w:sz w:val="21"/>
                <w:szCs w:val="21"/>
                <w:highlight w:val="none"/>
              </w:rPr>
              <w:t>数据处理系统</w:t>
            </w:r>
          </w:p>
          <w:p>
            <w:pPr>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s="Segoe UI Symbol"/>
                <w:color w:val="auto"/>
                <w:sz w:val="21"/>
                <w:szCs w:val="21"/>
                <w:highlight w:val="none"/>
              </w:rPr>
              <w:t xml:space="preserve"> </w:t>
            </w: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5</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1</w:t>
            </w:r>
            <w:r>
              <w:rPr>
                <w:rFonts w:ascii="Agilent TT Cond" w:hAnsi="Agilent TT Cond" w:cs="宋体"/>
                <w:color w:val="auto"/>
                <w:sz w:val="21"/>
                <w:szCs w:val="21"/>
                <w:highlight w:val="none"/>
              </w:rPr>
              <w:t xml:space="preserve"> 软件：</w:t>
            </w:r>
            <w:r>
              <w:rPr>
                <w:rFonts w:hint="eastAsia" w:ascii="Agilent TT Cond" w:hAnsi="Agilent TT Cond" w:cs="宋体"/>
                <w:color w:val="auto"/>
                <w:sz w:val="21"/>
                <w:szCs w:val="21"/>
                <w:highlight w:val="none"/>
              </w:rPr>
              <w:t>气质串接软件应该同时包含</w:t>
            </w:r>
            <w:r>
              <w:rPr>
                <w:rFonts w:ascii="Agilent TT Cond" w:hAnsi="Agilent TT Cond" w:cs="宋体"/>
                <w:color w:val="auto"/>
                <w:sz w:val="21"/>
                <w:szCs w:val="21"/>
                <w:highlight w:val="none"/>
              </w:rPr>
              <w:t>中</w:t>
            </w:r>
            <w:r>
              <w:rPr>
                <w:rFonts w:hint="eastAsia" w:ascii="Agilent TT Cond" w:hAnsi="Agilent TT Cond" w:cs="宋体"/>
                <w:color w:val="auto"/>
                <w:sz w:val="21"/>
                <w:szCs w:val="21"/>
                <w:highlight w:val="none"/>
              </w:rPr>
              <w:t>文和</w:t>
            </w:r>
            <w:r>
              <w:rPr>
                <w:rFonts w:ascii="Agilent TT Cond" w:hAnsi="Agilent TT Cond" w:cs="宋体"/>
                <w:color w:val="auto"/>
                <w:sz w:val="21"/>
                <w:szCs w:val="21"/>
                <w:highlight w:val="none"/>
              </w:rPr>
              <w:t>英文</w:t>
            </w:r>
            <w:r>
              <w:rPr>
                <w:rFonts w:hint="eastAsia" w:ascii="Agilent TT Cond" w:hAnsi="Agilent TT Cond" w:cs="宋体"/>
                <w:color w:val="auto"/>
                <w:sz w:val="21"/>
                <w:szCs w:val="21"/>
                <w:highlight w:val="none"/>
              </w:rPr>
              <w:t xml:space="preserve">两种软件 (需于投标文件中提供中文界面截屏证明文件，且作为验收条款) </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5</w:t>
            </w:r>
            <w:r>
              <w:rPr>
                <w:rFonts w:ascii="Agilent TT Cond" w:hAnsi="Agilent TT Cond" w:cs="宋体"/>
                <w:color w:val="auto"/>
                <w:sz w:val="21"/>
                <w:szCs w:val="21"/>
                <w:highlight w:val="none"/>
              </w:rPr>
              <w:t xml:space="preserve">.2 </w:t>
            </w:r>
            <w:r>
              <w:rPr>
                <w:rFonts w:hint="eastAsia" w:ascii="Agilent TT Cond" w:hAnsi="Agilent TT Cond" w:cs="宋体"/>
                <w:color w:val="auto"/>
                <w:sz w:val="21"/>
                <w:szCs w:val="21"/>
                <w:highlight w:val="none"/>
              </w:rPr>
              <w:t>通用</w:t>
            </w:r>
            <w:r>
              <w:rPr>
                <w:rFonts w:ascii="Agilent TT Cond" w:hAnsi="Agilent TT Cond" w:cs="宋体"/>
                <w:color w:val="auto"/>
                <w:sz w:val="21"/>
                <w:szCs w:val="21"/>
                <w:highlight w:val="none"/>
              </w:rPr>
              <w:t>谱库: NIST</w:t>
            </w:r>
            <w:r>
              <w:rPr>
                <w:rFonts w:hint="eastAsia" w:ascii="Agilent TT Cond" w:hAnsi="Agilent TT Cond" w:cs="宋体"/>
                <w:color w:val="auto"/>
                <w:sz w:val="21"/>
                <w:szCs w:val="21"/>
                <w:highlight w:val="none"/>
              </w:rPr>
              <w:t>17谱库和化学结构式库</w:t>
            </w:r>
            <w:r>
              <w:rPr>
                <w:rFonts w:ascii="Agilent TT Cond" w:hAnsi="Agilent TT Cond" w:cs="宋体"/>
                <w:color w:val="auto"/>
                <w:sz w:val="21"/>
                <w:szCs w:val="21"/>
                <w:highlight w:val="none"/>
              </w:rPr>
              <w:t xml:space="preserve"> (不少于2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万张)</w:t>
            </w:r>
            <w:r>
              <w:rPr>
                <w:rFonts w:hint="eastAsia" w:ascii="Agilent TT Cond" w:hAnsi="Agilent TT Cond" w:cs="宋体"/>
                <w:color w:val="auto"/>
                <w:sz w:val="21"/>
                <w:szCs w:val="21"/>
                <w:highlight w:val="none"/>
              </w:rPr>
              <w:t xml:space="preserve">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2.5.3具有保留时间锁定功能</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6计算机</w:t>
            </w:r>
            <w:r>
              <w:rPr>
                <w:rFonts w:ascii="Agilent TT Cond" w:hAnsi="Agilent TT Cond" w:cs="宋体"/>
                <w:color w:val="auto"/>
                <w:sz w:val="21"/>
                <w:szCs w:val="21"/>
                <w:highlight w:val="none"/>
              </w:rPr>
              <w:t>:</w:t>
            </w:r>
          </w:p>
          <w:p>
            <w:pPr>
              <w:tabs>
                <w:tab w:val="left" w:pos="585"/>
              </w:tabs>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ab/>
            </w:r>
            <w:r>
              <w:rPr>
                <w:rFonts w:ascii="Agilent TT Cond" w:hAnsi="Agilent TT Cond" w:cs="宋体"/>
                <w:color w:val="auto"/>
                <w:sz w:val="21"/>
                <w:szCs w:val="21"/>
                <w:highlight w:val="none"/>
              </w:rPr>
              <w:t>CPU</w:t>
            </w:r>
            <w:r>
              <w:rPr>
                <w:rFonts w:hint="eastAsia" w:ascii="Agilent TT Cond" w:hAnsi="Agilent TT Cond" w:cs="宋体"/>
                <w:color w:val="auto"/>
                <w:sz w:val="21"/>
                <w:szCs w:val="21"/>
                <w:highlight w:val="none"/>
              </w:rPr>
              <w:t xml:space="preserve"> 四</w:t>
            </w:r>
            <w:r>
              <w:rPr>
                <w:rFonts w:ascii="Agilent TT Cond" w:hAnsi="Agilent TT Cond" w:cs="宋体"/>
                <w:color w:val="auto"/>
                <w:sz w:val="21"/>
                <w:szCs w:val="21"/>
                <w:highlight w:val="none"/>
              </w:rPr>
              <w:t>核，单主频不低于</w:t>
            </w:r>
            <w:r>
              <w:rPr>
                <w:rFonts w:hint="eastAsia" w:ascii="Agilent TT Cond" w:hAnsi="Agilent TT Cond" w:cs="宋体"/>
                <w:color w:val="auto"/>
                <w:sz w:val="21"/>
                <w:szCs w:val="21"/>
                <w:highlight w:val="none"/>
              </w:rPr>
              <w:t>3.2</w:t>
            </w:r>
            <w:r>
              <w:rPr>
                <w:rFonts w:ascii="Agilent TT Cond" w:hAnsi="Agilent TT Cond" w:cs="宋体"/>
                <w:color w:val="auto"/>
                <w:sz w:val="21"/>
                <w:szCs w:val="21"/>
                <w:highlight w:val="none"/>
              </w:rPr>
              <w:t>G/</w:t>
            </w:r>
            <w:r>
              <w:rPr>
                <w:rFonts w:hint="eastAsia" w:ascii="Agilent TT Cond" w:hAnsi="Agilent TT Cond" w:cs="宋体"/>
                <w:color w:val="auto"/>
                <w:sz w:val="21"/>
                <w:szCs w:val="21"/>
                <w:highlight w:val="none"/>
              </w:rPr>
              <w:t>8</w:t>
            </w:r>
            <w:r>
              <w:rPr>
                <w:rFonts w:ascii="Agilent TT Cond" w:hAnsi="Agilent TT Cond" w:cs="宋体"/>
                <w:color w:val="auto"/>
                <w:sz w:val="21"/>
                <w:szCs w:val="21"/>
                <w:highlight w:val="none"/>
              </w:rPr>
              <w:t>G内存或以上/</w:t>
            </w:r>
            <w:r>
              <w:rPr>
                <w:rFonts w:hint="eastAsia" w:ascii="Agilent TT Cond" w:hAnsi="Agilent TT Cond" w:cs="宋体"/>
                <w:color w:val="auto"/>
                <w:sz w:val="21"/>
                <w:szCs w:val="21"/>
                <w:highlight w:val="none"/>
              </w:rPr>
              <w:t>50</w:t>
            </w:r>
            <w:r>
              <w:rPr>
                <w:rFonts w:ascii="Agilent TT Cond" w:hAnsi="Agilent TT Cond" w:cs="宋体"/>
                <w:color w:val="auto"/>
                <w:sz w:val="21"/>
                <w:szCs w:val="21"/>
                <w:highlight w:val="none"/>
              </w:rPr>
              <w:t>0G</w:t>
            </w:r>
            <w:r>
              <w:rPr>
                <w:rFonts w:hint="eastAsia" w:ascii="Agilent TT Cond" w:hAnsi="Agilent TT Cond" w:cs="宋体"/>
                <w:color w:val="auto"/>
                <w:sz w:val="21"/>
                <w:szCs w:val="21"/>
                <w:highlight w:val="none"/>
              </w:rPr>
              <w:t>硬盘</w:t>
            </w:r>
            <w:r>
              <w:rPr>
                <w:rFonts w:ascii="Agilent TT Cond" w:hAnsi="Agilent TT Cond" w:cs="宋体"/>
                <w:color w:val="auto"/>
                <w:sz w:val="21"/>
                <w:szCs w:val="21"/>
                <w:highlight w:val="none"/>
              </w:rPr>
              <w:t>或以上/DVD-RW/19”LCD /激光打印机</w:t>
            </w:r>
            <w:r>
              <w:rPr>
                <w:rFonts w:hint="eastAsia" w:ascii="Agilent TT Cond" w:hAnsi="Agilent TT Cond" w:cs="宋体"/>
                <w:color w:val="auto"/>
                <w:sz w:val="21"/>
                <w:szCs w:val="21"/>
                <w:highlight w:val="none"/>
              </w:rPr>
              <w:t xml:space="preserve"> </w:t>
            </w:r>
          </w:p>
          <w:p>
            <w:pPr>
              <w:pStyle w:val="172"/>
              <w:spacing w:before="240" w:after="0" w:line="240" w:lineRule="auto"/>
              <w:ind w:firstLine="0" w:firstLineChars="0"/>
              <w:rPr>
                <w:rFonts w:ascii="Agilent TT Cond" w:hAnsi="Agilent TT Cond"/>
                <w:color w:val="auto"/>
                <w:kern w:val="2"/>
                <w:sz w:val="21"/>
                <w:szCs w:val="21"/>
                <w:highlight w:val="none"/>
              </w:rPr>
            </w:pPr>
            <w:r>
              <w:rPr>
                <w:rFonts w:hint="eastAsia" w:ascii="Agilent TT Cond" w:hAnsi="Agilent TT Cond"/>
                <w:color w:val="auto"/>
                <w:kern w:val="2"/>
                <w:sz w:val="21"/>
                <w:szCs w:val="21"/>
                <w:highlight w:val="none"/>
              </w:rPr>
              <w:t>三 配置要求</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 配置要求</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3.1．GCMSMS质谱主机(EI/CI)   数量1</w:t>
            </w:r>
          </w:p>
          <w:p>
            <w:pPr>
              <w:spacing w:line="240" w:lineRule="auto"/>
              <w:ind w:firstLine="0" w:firstLineChars="0"/>
              <w:rPr>
                <w:rFonts w:ascii="宋体"/>
                <w:color w:val="auto"/>
                <w:sz w:val="21"/>
                <w:szCs w:val="21"/>
                <w:highlight w:val="none"/>
              </w:rPr>
            </w:pPr>
            <w:bookmarkStart w:id="27" w:name="_Hlk9856001"/>
            <w:r>
              <w:rPr>
                <w:rFonts w:hint="eastAsia" w:ascii="宋体"/>
                <w:color w:val="auto"/>
                <w:sz w:val="21"/>
                <w:szCs w:val="21"/>
                <w:highlight w:val="none"/>
              </w:rPr>
              <w:t>3.</w:t>
            </w:r>
            <w:bookmarkEnd w:id="27"/>
            <w:r>
              <w:rPr>
                <w:rFonts w:hint="eastAsia" w:ascii="宋体"/>
                <w:color w:val="auto"/>
                <w:sz w:val="21"/>
                <w:szCs w:val="21"/>
                <w:highlight w:val="none"/>
              </w:rPr>
              <w:t xml:space="preserve">2．气相色谱主机  数量1 </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3.3．多模式进样口(含电子流量控制)  数量 1</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3.4．160位以上自动进样器  数量 1</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3.5. 自清洁离子源1套</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3.6.</w:t>
            </w:r>
            <w:r>
              <w:rPr>
                <w:rFonts w:ascii="宋体"/>
                <w:color w:val="auto"/>
                <w:sz w:val="21"/>
                <w:szCs w:val="21"/>
                <w:highlight w:val="none"/>
              </w:rPr>
              <w:t xml:space="preserve"> </w:t>
            </w:r>
            <w:r>
              <w:rPr>
                <w:rFonts w:hint="eastAsia" w:ascii="宋体"/>
                <w:color w:val="auto"/>
                <w:sz w:val="21"/>
                <w:szCs w:val="21"/>
                <w:highlight w:val="none"/>
              </w:rPr>
              <w:t>反吹组件 1套</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3.7.</w:t>
            </w:r>
            <w:r>
              <w:rPr>
                <w:rFonts w:ascii="宋体"/>
                <w:color w:val="auto"/>
                <w:sz w:val="21"/>
                <w:szCs w:val="21"/>
                <w:highlight w:val="none"/>
              </w:rPr>
              <w:t xml:space="preserve"> </w:t>
            </w:r>
            <w:r>
              <w:rPr>
                <w:rFonts w:hint="eastAsia" w:ascii="宋体"/>
                <w:color w:val="auto"/>
                <w:sz w:val="21"/>
                <w:szCs w:val="21"/>
                <w:highlight w:val="none"/>
              </w:rPr>
              <w:t>安装工具包 1套</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3.8.</w:t>
            </w:r>
            <w:r>
              <w:rPr>
                <w:rFonts w:ascii="宋体"/>
                <w:color w:val="auto"/>
                <w:sz w:val="21"/>
                <w:szCs w:val="21"/>
                <w:highlight w:val="none"/>
              </w:rPr>
              <w:t>NIST</w:t>
            </w:r>
            <w:r>
              <w:rPr>
                <w:rFonts w:hint="eastAsia" w:ascii="宋体"/>
                <w:color w:val="auto"/>
                <w:sz w:val="21"/>
                <w:szCs w:val="21"/>
                <w:highlight w:val="none"/>
              </w:rPr>
              <w:t>17谱库 1套</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3.9.</w:t>
            </w:r>
            <w:r>
              <w:rPr>
                <w:rFonts w:ascii="宋体"/>
                <w:color w:val="auto"/>
                <w:sz w:val="21"/>
                <w:szCs w:val="21"/>
                <w:highlight w:val="none"/>
              </w:rPr>
              <w:t xml:space="preserve"> </w:t>
            </w:r>
            <w:r>
              <w:rPr>
                <w:rFonts w:hint="eastAsia" w:ascii="宋体"/>
                <w:color w:val="auto"/>
                <w:sz w:val="21"/>
                <w:szCs w:val="21"/>
                <w:highlight w:val="none"/>
              </w:rPr>
              <w:t>色谱柱5根</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3.10.</w:t>
            </w:r>
            <w:r>
              <w:rPr>
                <w:rFonts w:ascii="宋体"/>
                <w:color w:val="auto"/>
                <w:sz w:val="21"/>
                <w:szCs w:val="21"/>
                <w:highlight w:val="none"/>
              </w:rPr>
              <w:t xml:space="preserve"> </w:t>
            </w:r>
            <w:r>
              <w:rPr>
                <w:rFonts w:hint="eastAsia" w:ascii="宋体"/>
                <w:color w:val="auto"/>
                <w:sz w:val="21"/>
                <w:szCs w:val="21"/>
                <w:highlight w:val="none"/>
              </w:rPr>
              <w:t>自动进样针10根</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3.11.</w:t>
            </w:r>
            <w:r>
              <w:rPr>
                <w:rFonts w:ascii="宋体"/>
                <w:color w:val="auto"/>
                <w:sz w:val="21"/>
                <w:szCs w:val="21"/>
                <w:highlight w:val="none"/>
              </w:rPr>
              <w:t xml:space="preserve"> </w:t>
            </w:r>
            <w:r>
              <w:rPr>
                <w:rFonts w:hint="eastAsia" w:ascii="宋体"/>
                <w:color w:val="auto"/>
                <w:sz w:val="21"/>
                <w:szCs w:val="21"/>
                <w:highlight w:val="none"/>
              </w:rPr>
              <w:t>色谱柱接头4个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3.12.</w:t>
            </w:r>
            <w:r>
              <w:rPr>
                <w:rFonts w:ascii="宋体"/>
                <w:color w:val="auto"/>
                <w:sz w:val="21"/>
                <w:szCs w:val="21"/>
                <w:highlight w:val="none"/>
              </w:rPr>
              <w:t xml:space="preserve"> O</w:t>
            </w:r>
            <w:r>
              <w:rPr>
                <w:rFonts w:hint="eastAsia" w:ascii="宋体"/>
                <w:color w:val="auto"/>
                <w:sz w:val="21"/>
                <w:szCs w:val="21"/>
                <w:highlight w:val="none"/>
              </w:rPr>
              <w:t>型圈 20个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3.13.</w:t>
            </w:r>
            <w:r>
              <w:rPr>
                <w:rFonts w:ascii="宋体"/>
                <w:color w:val="auto"/>
                <w:sz w:val="21"/>
                <w:szCs w:val="21"/>
                <w:highlight w:val="none"/>
              </w:rPr>
              <w:t xml:space="preserve"> </w:t>
            </w:r>
            <w:r>
              <w:rPr>
                <w:rFonts w:hint="eastAsia" w:ascii="宋体"/>
                <w:color w:val="auto"/>
                <w:sz w:val="21"/>
                <w:szCs w:val="21"/>
                <w:highlight w:val="none"/>
              </w:rPr>
              <w:t>隔垫100个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3.14.</w:t>
            </w:r>
            <w:r>
              <w:rPr>
                <w:rFonts w:ascii="宋体"/>
                <w:color w:val="auto"/>
                <w:sz w:val="21"/>
                <w:szCs w:val="21"/>
                <w:highlight w:val="none"/>
              </w:rPr>
              <w:t xml:space="preserve"> </w:t>
            </w:r>
            <w:r>
              <w:rPr>
                <w:rFonts w:hint="eastAsia" w:ascii="宋体"/>
                <w:color w:val="auto"/>
                <w:sz w:val="21"/>
                <w:szCs w:val="21"/>
                <w:highlight w:val="none"/>
              </w:rPr>
              <w:t>捕集阱 1个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3.15.</w:t>
            </w:r>
            <w:r>
              <w:rPr>
                <w:rFonts w:ascii="宋体"/>
                <w:color w:val="auto"/>
                <w:sz w:val="21"/>
                <w:szCs w:val="21"/>
                <w:highlight w:val="none"/>
              </w:rPr>
              <w:t xml:space="preserve"> </w:t>
            </w:r>
            <w:r>
              <w:rPr>
                <w:rFonts w:hint="eastAsia" w:ascii="宋体"/>
                <w:color w:val="auto"/>
                <w:sz w:val="21"/>
                <w:szCs w:val="21"/>
                <w:highlight w:val="none"/>
              </w:rPr>
              <w:t>载气过滤器 1个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3.16.</w:t>
            </w:r>
            <w:r>
              <w:rPr>
                <w:rFonts w:ascii="宋体"/>
                <w:color w:val="auto"/>
                <w:sz w:val="21"/>
                <w:szCs w:val="21"/>
                <w:highlight w:val="none"/>
              </w:rPr>
              <w:t xml:space="preserve"> </w:t>
            </w:r>
            <w:r>
              <w:rPr>
                <w:rFonts w:hint="eastAsia" w:ascii="宋体"/>
                <w:color w:val="auto"/>
                <w:sz w:val="21"/>
                <w:szCs w:val="21"/>
                <w:highlight w:val="none"/>
              </w:rPr>
              <w:t>棕色样品瓶500个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3.17.</w:t>
            </w:r>
            <w:r>
              <w:rPr>
                <w:rFonts w:ascii="宋体"/>
                <w:color w:val="auto"/>
                <w:sz w:val="21"/>
                <w:szCs w:val="21"/>
                <w:highlight w:val="none"/>
              </w:rPr>
              <w:t xml:space="preserve"> </w:t>
            </w:r>
            <w:r>
              <w:rPr>
                <w:rFonts w:hint="eastAsia" w:ascii="宋体"/>
                <w:color w:val="auto"/>
                <w:sz w:val="21"/>
                <w:szCs w:val="21"/>
                <w:highlight w:val="none"/>
              </w:rPr>
              <w:t>石墨垫，40个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3.18.</w:t>
            </w:r>
            <w:r>
              <w:rPr>
                <w:rFonts w:ascii="宋体"/>
                <w:color w:val="auto"/>
                <w:sz w:val="21"/>
                <w:szCs w:val="21"/>
                <w:highlight w:val="none"/>
              </w:rPr>
              <w:t xml:space="preserve"> </w:t>
            </w:r>
            <w:r>
              <w:rPr>
                <w:rFonts w:hint="eastAsia" w:ascii="宋体"/>
                <w:color w:val="auto"/>
                <w:sz w:val="21"/>
                <w:szCs w:val="21"/>
                <w:highlight w:val="none"/>
              </w:rPr>
              <w:t>衬管 15个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3.19.自动进样针10个</w:t>
            </w:r>
          </w:p>
          <w:p>
            <w:pPr>
              <w:spacing w:line="240" w:lineRule="auto"/>
              <w:ind w:firstLine="0" w:firstLineChars="0"/>
              <w:rPr>
                <w:rFonts w:hint="eastAsia" w:ascii="宋体"/>
                <w:color w:val="auto"/>
                <w:sz w:val="21"/>
                <w:szCs w:val="21"/>
                <w:highlight w:val="none"/>
              </w:rPr>
            </w:pPr>
            <w:r>
              <w:rPr>
                <w:rFonts w:hint="eastAsia" w:ascii="宋体"/>
                <w:color w:val="auto"/>
                <w:sz w:val="21"/>
                <w:szCs w:val="21"/>
                <w:highlight w:val="none"/>
              </w:rPr>
              <w:t>3.20.真空泵油 1瓶</w:t>
            </w:r>
          </w:p>
          <w:p>
            <w:pPr>
              <w:spacing w:line="240" w:lineRule="auto"/>
              <w:ind w:firstLine="0" w:firstLineChars="0"/>
              <w:rPr>
                <w:rFonts w:hint="eastAsia" w:ascii="宋体"/>
                <w:color w:val="auto"/>
                <w:sz w:val="21"/>
                <w:szCs w:val="21"/>
                <w:highlight w:val="none"/>
              </w:rPr>
            </w:pPr>
            <w:r>
              <w:rPr>
                <w:rFonts w:hint="eastAsia" w:ascii="宋体"/>
                <w:color w:val="auto"/>
                <w:sz w:val="21"/>
                <w:szCs w:val="21"/>
                <w:highlight w:val="none"/>
              </w:rPr>
              <w:t>3.21 灯丝2个</w:t>
            </w:r>
          </w:p>
          <w:p>
            <w:pPr>
              <w:spacing w:line="240" w:lineRule="auto"/>
              <w:ind w:firstLine="0" w:firstLineChars="0"/>
              <w:rPr>
                <w:rFonts w:hint="eastAsia" w:ascii="宋体"/>
                <w:color w:val="auto"/>
                <w:sz w:val="21"/>
                <w:szCs w:val="21"/>
                <w:highlight w:val="none"/>
              </w:rPr>
            </w:pPr>
            <w:r>
              <w:rPr>
                <w:rFonts w:hint="eastAsia" w:ascii="宋体"/>
                <w:color w:val="auto"/>
                <w:sz w:val="21"/>
                <w:szCs w:val="21"/>
                <w:highlight w:val="none"/>
              </w:rPr>
              <w:t>3.33 手紧式色谱柱接头，质谱端 2个</w:t>
            </w:r>
          </w:p>
          <w:p>
            <w:pPr>
              <w:spacing w:line="240" w:lineRule="auto"/>
              <w:ind w:firstLine="0" w:firstLineChars="0"/>
              <w:rPr>
                <w:rFonts w:hint="eastAsia"/>
                <w:color w:val="auto"/>
                <w:highlight w:val="none"/>
              </w:rPr>
            </w:pPr>
            <w:r>
              <w:rPr>
                <w:rFonts w:hint="eastAsia" w:ascii="宋体"/>
                <w:color w:val="auto"/>
                <w:sz w:val="21"/>
                <w:szCs w:val="21"/>
                <w:highlight w:val="none"/>
              </w:rPr>
              <w:t>3.34 手紧式色谱柱接头，进样口端2个</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p>
        </w:tc>
      </w:tr>
    </w:tbl>
    <w:p>
      <w:pPr>
        <w:ind w:firstLine="480"/>
        <w:rPr>
          <w:color w:val="auto"/>
          <w:highlight w:val="none"/>
        </w:rPr>
      </w:pPr>
    </w:p>
    <w:p>
      <w:pPr>
        <w:pStyle w:val="6"/>
        <w:ind w:firstLine="422"/>
        <w:rPr>
          <w:color w:val="auto"/>
          <w:highlight w:val="none"/>
        </w:rPr>
      </w:pPr>
      <w:r>
        <w:rPr>
          <w:rFonts w:hint="eastAsia"/>
          <w:color w:val="auto"/>
          <w:highlight w:val="none"/>
        </w:rPr>
        <w:t>标项二：快速溶剂萃取仪</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54"/>
        <w:gridCol w:w="6147"/>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序号</w:t>
            </w:r>
          </w:p>
        </w:tc>
        <w:tc>
          <w:tcPr>
            <w:tcW w:w="1254"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名称</w:t>
            </w:r>
          </w:p>
        </w:tc>
        <w:tc>
          <w:tcPr>
            <w:tcW w:w="6147"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规格（型号）</w:t>
            </w:r>
          </w:p>
        </w:tc>
        <w:tc>
          <w:tcPr>
            <w:tcW w:w="54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1254" w:type="dxa"/>
            <w:shd w:val="clear" w:color="auto" w:fill="auto"/>
            <w:vAlign w:val="center"/>
          </w:tcPr>
          <w:p>
            <w:pPr>
              <w:spacing w:line="240" w:lineRule="auto"/>
              <w:ind w:firstLine="0" w:firstLineChars="0"/>
              <w:jc w:val="center"/>
              <w:rPr>
                <w:color w:val="auto"/>
                <w:sz w:val="21"/>
                <w:szCs w:val="21"/>
                <w:highlight w:val="none"/>
              </w:rPr>
            </w:pPr>
            <w:r>
              <w:rPr>
                <w:rFonts w:hint="eastAsia" w:ascii="Agilent TT Cond" w:hAnsi="Agilent TT Cond" w:cs="宋体"/>
                <w:color w:val="auto"/>
                <w:sz w:val="21"/>
                <w:szCs w:val="21"/>
                <w:highlight w:val="none"/>
              </w:rPr>
              <w:t>快速溶剂萃取仪</w:t>
            </w:r>
          </w:p>
        </w:tc>
        <w:tc>
          <w:tcPr>
            <w:tcW w:w="6147" w:type="dxa"/>
            <w:shd w:val="clear" w:color="auto" w:fill="auto"/>
            <w:vAlign w:val="center"/>
          </w:tcPr>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 xml:space="preserve">. </w:t>
            </w:r>
            <w:r>
              <w:rPr>
                <w:rFonts w:hint="eastAsia" w:ascii="宋体" w:hAnsi="宋体"/>
                <w:color w:val="auto"/>
                <w:sz w:val="21"/>
                <w:szCs w:val="21"/>
                <w:highlight w:val="none"/>
              </w:rPr>
              <w:t>工作环境</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1.1</w:t>
            </w:r>
            <w:r>
              <w:rPr>
                <w:rFonts w:hint="eastAsia" w:ascii="宋体" w:hAnsi="宋体"/>
                <w:color w:val="auto"/>
                <w:sz w:val="21"/>
                <w:szCs w:val="21"/>
                <w:highlight w:val="none"/>
              </w:rPr>
              <w:tab/>
            </w:r>
            <w:r>
              <w:rPr>
                <w:rFonts w:hint="eastAsia" w:ascii="宋体" w:hAnsi="宋体"/>
                <w:color w:val="auto"/>
                <w:sz w:val="21"/>
                <w:szCs w:val="21"/>
                <w:highlight w:val="none"/>
              </w:rPr>
              <w:t>电源：</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100-120 VAC 或 220-240 VAC，50/60Hz 交流电源</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1.2</w:t>
            </w:r>
            <w:r>
              <w:rPr>
                <w:rFonts w:hint="eastAsia" w:ascii="宋体" w:hAnsi="宋体"/>
                <w:color w:val="auto"/>
                <w:sz w:val="21"/>
                <w:szCs w:val="21"/>
                <w:highlight w:val="none"/>
              </w:rPr>
              <w:tab/>
            </w:r>
            <w:r>
              <w:rPr>
                <w:rFonts w:hint="eastAsia" w:ascii="宋体" w:hAnsi="宋体"/>
                <w:color w:val="auto"/>
                <w:sz w:val="21"/>
                <w:szCs w:val="21"/>
                <w:highlight w:val="none"/>
              </w:rPr>
              <w:t>环境温度：</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4-40 ℃（39.2-104 ℉）</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1.3</w:t>
            </w:r>
            <w:r>
              <w:rPr>
                <w:rFonts w:hint="eastAsia" w:ascii="宋体" w:hAnsi="宋体"/>
                <w:color w:val="auto"/>
                <w:sz w:val="21"/>
                <w:szCs w:val="21"/>
                <w:highlight w:val="none"/>
              </w:rPr>
              <w:tab/>
            </w:r>
            <w:r>
              <w:rPr>
                <w:rFonts w:hint="eastAsia" w:ascii="宋体" w:hAnsi="宋体"/>
                <w:color w:val="auto"/>
                <w:sz w:val="21"/>
                <w:szCs w:val="21"/>
                <w:highlight w:val="none"/>
              </w:rPr>
              <w:t>相对湿度：</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5%-95%（非浓缩）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1.4</w:t>
            </w:r>
            <w:r>
              <w:rPr>
                <w:rFonts w:hint="eastAsia" w:ascii="宋体" w:hAnsi="宋体"/>
                <w:color w:val="auto"/>
                <w:sz w:val="21"/>
                <w:szCs w:val="21"/>
                <w:highlight w:val="none"/>
              </w:rPr>
              <w:tab/>
            </w:r>
            <w:r>
              <w:rPr>
                <w:rFonts w:hint="eastAsia" w:ascii="宋体" w:hAnsi="宋体"/>
                <w:color w:val="auto"/>
                <w:sz w:val="21"/>
                <w:szCs w:val="21"/>
                <w:highlight w:val="none"/>
              </w:rPr>
              <w:t>气体要求：</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氮气</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1.5</w:t>
            </w:r>
            <w:r>
              <w:rPr>
                <w:rFonts w:hint="eastAsia" w:ascii="宋体" w:hAnsi="宋体"/>
                <w:color w:val="auto"/>
                <w:sz w:val="21"/>
                <w:szCs w:val="21"/>
                <w:highlight w:val="none"/>
              </w:rPr>
              <w:tab/>
            </w:r>
            <w:r>
              <w:rPr>
                <w:rFonts w:hint="eastAsia" w:ascii="宋体" w:hAnsi="宋体"/>
                <w:color w:val="auto"/>
                <w:sz w:val="21"/>
                <w:szCs w:val="21"/>
                <w:highlight w:val="none"/>
              </w:rPr>
              <w:t>持续工作时间：</w:t>
            </w:r>
            <w:r>
              <w:rPr>
                <w:rFonts w:hint="eastAsia" w:ascii="宋体" w:hAnsi="宋体"/>
                <w:color w:val="auto"/>
                <w:sz w:val="21"/>
                <w:szCs w:val="21"/>
                <w:highlight w:val="none"/>
              </w:rPr>
              <w:tab/>
            </w:r>
            <w:r>
              <w:rPr>
                <w:rFonts w:hint="eastAsia" w:ascii="宋体" w:hAnsi="宋体"/>
                <w:color w:val="auto"/>
                <w:sz w:val="21"/>
                <w:szCs w:val="21"/>
                <w:highlight w:val="none"/>
              </w:rPr>
              <w:t>大于24小时</w:t>
            </w:r>
          </w:p>
          <w:p>
            <w:pPr>
              <w:spacing w:line="240" w:lineRule="auto"/>
              <w:ind w:firstLine="0" w:firstLineChars="0"/>
              <w:rPr>
                <w:rFonts w:ascii="宋体" w:hAnsi="宋体"/>
                <w:color w:val="auto"/>
                <w:sz w:val="21"/>
                <w:szCs w:val="21"/>
                <w:highlight w:val="none"/>
              </w:rPr>
            </w:pP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rPr>
              <w:tab/>
            </w:r>
            <w:r>
              <w:rPr>
                <w:rFonts w:hint="eastAsia" w:ascii="宋体" w:hAnsi="宋体"/>
                <w:color w:val="auto"/>
                <w:sz w:val="21"/>
                <w:szCs w:val="21"/>
                <w:highlight w:val="none"/>
              </w:rPr>
              <w:t>快速溶剂萃取</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w:t>
            </w:r>
            <w:r>
              <w:rPr>
                <w:rFonts w:hint="eastAsia" w:ascii="宋体" w:hAnsi="宋体"/>
                <w:color w:val="auto"/>
                <w:sz w:val="21"/>
                <w:szCs w:val="21"/>
                <w:highlight w:val="none"/>
              </w:rPr>
              <w:tab/>
            </w:r>
            <w:r>
              <w:rPr>
                <w:rFonts w:hint="eastAsia" w:ascii="宋体" w:hAnsi="宋体"/>
                <w:color w:val="auto"/>
                <w:sz w:val="21"/>
                <w:szCs w:val="21"/>
                <w:highlight w:val="none"/>
              </w:rPr>
              <w:t>萃取方式：顺序萃取，避免交叉污染</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快速溶剂萃取使用常规的溶剂、利用增加温度和提高压力提高萃取的效率，其结果大大加快了萃取的时间并明显降低萃取溶剂的使用量。增加温度加速了萃取动力，而增加压力提高溶剂的沸点，使溶剂保持在萃取过程中一直持液态，这样不但增加了安全性，同时大大提高了萃取效率。该仪器使用顺序萃取方式。最新的省溶剂模式可以最大限度节省溶剂。耐PH流路可使用0.1M酸碱。且自动完成清洗动作，无需人员参与。</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2.2遵从标准方法：</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为U.S.EPA3545A标准推荐方法，收录于标准方法中。同时遵从标准方法HJ782，HJ783，GB/T19649-2006，GB/T22996-2008，；GB/T2376-2009等标准方法。</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w:t>
            </w:r>
            <w:r>
              <w:rPr>
                <w:rFonts w:hint="eastAsia" w:ascii="宋体" w:hAnsi="宋体"/>
                <w:color w:val="auto"/>
                <w:sz w:val="21"/>
                <w:szCs w:val="21"/>
                <w:highlight w:val="none"/>
              </w:rPr>
              <w:tab/>
            </w:r>
            <w:r>
              <w:rPr>
                <w:rFonts w:hint="eastAsia" w:ascii="宋体" w:hAnsi="宋体"/>
                <w:color w:val="auto"/>
                <w:sz w:val="21"/>
                <w:szCs w:val="21"/>
                <w:highlight w:val="none"/>
              </w:rPr>
              <w:t>炉体：</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2.2.1全自动密封反应器，将萃取池放入炉腔并在萃取结束后送回传送盘。</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2.2.2温度控制最高可达200℃;带温度过高安全切断。</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2.2.3萃取池垂直定位，液体流向从顶部至底部。</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2.2.4 Smart Run™ 系统避免了池子和收集瓶的错误匹配。</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2.3</w:t>
            </w:r>
            <w:r>
              <w:rPr>
                <w:rFonts w:hint="eastAsia" w:ascii="宋体" w:hAnsi="宋体"/>
                <w:color w:val="auto"/>
                <w:sz w:val="21"/>
                <w:szCs w:val="21"/>
                <w:highlight w:val="none"/>
              </w:rPr>
              <w:tab/>
            </w:r>
            <w:r>
              <w:rPr>
                <w:rFonts w:hint="eastAsia" w:ascii="宋体" w:hAnsi="宋体"/>
                <w:color w:val="auto"/>
                <w:sz w:val="21"/>
                <w:szCs w:val="21"/>
                <w:highlight w:val="none"/>
              </w:rPr>
              <w:t>泵</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2.3.1 流速： 70ml/min</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2.3.2 加热过程中全自动传感器自动加压或释放压力</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w:t>
            </w:r>
            <w:r>
              <w:rPr>
                <w:rFonts w:hint="eastAsia" w:ascii="宋体" w:hAnsi="宋体"/>
                <w:color w:val="auto"/>
                <w:sz w:val="21"/>
                <w:szCs w:val="21"/>
                <w:highlight w:val="none"/>
              </w:rPr>
              <w:tab/>
            </w:r>
            <w:r>
              <w:rPr>
                <w:rFonts w:hint="eastAsia" w:ascii="宋体" w:hAnsi="宋体"/>
                <w:color w:val="auto"/>
                <w:sz w:val="21"/>
                <w:szCs w:val="21"/>
                <w:highlight w:val="none"/>
              </w:rPr>
              <w:t>兼容4种萃取模式：</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2.4.1 常规模式</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2.4.2 溶剂节省模式，以更少的萃取液萃取样品。</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2.4.3 恒定萃取体积模式，减少定容过程。</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2.4.4 萃取液梯度萃取模式，实现特定目标物萃取。</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w:t>
            </w:r>
            <w:r>
              <w:rPr>
                <w:rFonts w:hint="eastAsia" w:ascii="宋体" w:hAnsi="宋体"/>
                <w:color w:val="auto"/>
                <w:sz w:val="21"/>
                <w:szCs w:val="21"/>
                <w:highlight w:val="none"/>
              </w:rPr>
              <w:tab/>
            </w:r>
            <w:r>
              <w:rPr>
                <w:rFonts w:hint="eastAsia" w:ascii="宋体" w:hAnsi="宋体"/>
                <w:color w:val="auto"/>
                <w:sz w:val="21"/>
                <w:szCs w:val="21"/>
                <w:highlight w:val="none"/>
              </w:rPr>
              <w:t>萃取池：</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2.5.1体积：1，5，10，22，34，66，100 mL (7 种)</w:t>
            </w:r>
            <w:r>
              <w:rPr>
                <w:rFonts w:hint="eastAsia" w:ascii="宋体" w:hAnsi="宋体"/>
                <w:color w:val="auto"/>
                <w:sz w:val="21"/>
                <w:szCs w:val="21"/>
                <w:highlight w:val="none"/>
              </w:rPr>
              <w:tab/>
            </w:r>
            <w:r>
              <w:rPr>
                <w:rFonts w:hint="eastAsia" w:ascii="宋体" w:hAnsi="宋体"/>
                <w:color w:val="auto"/>
                <w:sz w:val="21"/>
                <w:szCs w:val="21"/>
                <w:highlight w:val="none"/>
              </w:rPr>
              <w:t>可供选择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▲2.5.2 萃取池类型：不锈钢萃取池，DioniumTM锆合金池子（耐0.1M酸碱，提供证明文件。</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▲2.5.3 同一台仪器同时兼容7种规格萃取池</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2.5.4 仪器自动识别萃取池规格，无需手动输入规格。</w:t>
            </w:r>
          </w:p>
          <w:p>
            <w:pPr>
              <w:spacing w:line="240" w:lineRule="auto"/>
              <w:ind w:firstLine="0" w:firstLineChars="0"/>
              <w:rPr>
                <w:color w:val="auto"/>
                <w:sz w:val="21"/>
                <w:szCs w:val="21"/>
                <w:highlight w:val="none"/>
              </w:rPr>
            </w:pPr>
            <w:r>
              <w:rPr>
                <w:rFonts w:hint="eastAsia" w:ascii="宋体" w:hAnsi="宋体"/>
                <w:color w:val="auto"/>
                <w:sz w:val="21"/>
                <w:szCs w:val="21"/>
                <w:highlight w:val="none"/>
              </w:rPr>
              <w:t>2.5.</w:t>
            </w:r>
            <w:r>
              <w:rPr>
                <w:rFonts w:ascii="宋体" w:hAnsi="宋体"/>
                <w:color w:val="auto"/>
                <w:sz w:val="21"/>
                <w:szCs w:val="21"/>
                <w:highlight w:val="none"/>
              </w:rPr>
              <w:t>5</w:t>
            </w:r>
            <w:r>
              <w:rPr>
                <w:rFonts w:hint="eastAsia" w:ascii="宋体" w:hAnsi="宋体"/>
                <w:color w:val="auto"/>
                <w:sz w:val="21"/>
                <w:szCs w:val="21"/>
                <w:highlight w:val="none"/>
              </w:rPr>
              <w:t>工作压力：</w:t>
            </w:r>
            <w:r>
              <w:rPr>
                <w:rFonts w:hint="eastAsia" w:ascii="宋体" w:hAnsi="宋体"/>
                <w:color w:val="auto"/>
                <w:sz w:val="21"/>
                <w:szCs w:val="21"/>
                <w:highlight w:val="none"/>
              </w:rPr>
              <w:tab/>
            </w:r>
            <w:r>
              <w:rPr>
                <w:rFonts w:hint="eastAsia" w:ascii="宋体" w:hAnsi="宋体"/>
                <w:color w:val="auto"/>
                <w:sz w:val="21"/>
                <w:szCs w:val="21"/>
                <w:highlight w:val="none"/>
              </w:rPr>
              <w:t>1500psi</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2.6</w:t>
            </w:r>
            <w:r>
              <w:rPr>
                <w:rFonts w:hint="eastAsia" w:ascii="宋体" w:hAnsi="宋体"/>
                <w:color w:val="auto"/>
                <w:sz w:val="21"/>
                <w:szCs w:val="21"/>
                <w:highlight w:val="none"/>
              </w:rPr>
              <w:tab/>
            </w:r>
            <w:r>
              <w:rPr>
                <w:rFonts w:hint="eastAsia" w:ascii="宋体" w:hAnsi="宋体"/>
                <w:color w:val="auto"/>
                <w:sz w:val="21"/>
                <w:szCs w:val="21"/>
                <w:highlight w:val="none"/>
              </w:rPr>
              <w:t>萃取池传送盘</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2.6.1 萃取位：24位供选择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2.6.2 最新的安全防护罩，防护罩打开时仪器无法运行，最大程度保证操作人员安全。</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2.7</w:t>
            </w:r>
            <w:r>
              <w:rPr>
                <w:rFonts w:hint="eastAsia" w:ascii="宋体" w:hAnsi="宋体"/>
                <w:color w:val="auto"/>
                <w:sz w:val="21"/>
                <w:szCs w:val="21"/>
                <w:highlight w:val="none"/>
              </w:rPr>
              <w:tab/>
            </w:r>
            <w:r>
              <w:rPr>
                <w:rFonts w:hint="eastAsia" w:ascii="宋体" w:hAnsi="宋体"/>
                <w:color w:val="auto"/>
                <w:sz w:val="21"/>
                <w:szCs w:val="21"/>
                <w:highlight w:val="none"/>
              </w:rPr>
              <w:t>收集瓶：</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2.7.1收集瓶体积： 60, 250mL</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2.7.2瓶盖中有抗溶剂腐蚀的隔片(TEF涂层)。</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2.7.3收集瓶转盘外侧有安全保护罩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2.8</w:t>
            </w:r>
            <w:r>
              <w:rPr>
                <w:rFonts w:hint="eastAsia" w:ascii="宋体" w:hAnsi="宋体"/>
                <w:color w:val="auto"/>
                <w:sz w:val="21"/>
                <w:szCs w:val="21"/>
                <w:highlight w:val="none"/>
              </w:rPr>
              <w:tab/>
            </w:r>
            <w:r>
              <w:rPr>
                <w:rFonts w:hint="eastAsia" w:ascii="宋体" w:hAnsi="宋体"/>
                <w:color w:val="auto"/>
                <w:sz w:val="21"/>
                <w:szCs w:val="21"/>
                <w:highlight w:val="none"/>
              </w:rPr>
              <w:t>两种收集瓶架（转盘）配置可供选择：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2.8.1大体积收集： 19个250 ml收集瓶位，2个清洗液收集瓶位</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2.8.2小体积收集： 28个60 ml收集瓶位，2个清洗液收集瓶位</w:t>
            </w:r>
            <w:r>
              <w:rPr>
                <w:rFonts w:hint="eastAsia" w:ascii="宋体" w:hAnsi="宋体"/>
                <w:color w:val="auto"/>
                <w:sz w:val="21"/>
                <w:szCs w:val="21"/>
                <w:highlight w:val="none"/>
              </w:rPr>
              <w:tab/>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2.9</w:t>
            </w:r>
            <w:r>
              <w:rPr>
                <w:rFonts w:hint="eastAsia" w:ascii="宋体" w:hAnsi="宋体"/>
                <w:color w:val="auto"/>
                <w:sz w:val="21"/>
                <w:szCs w:val="21"/>
                <w:highlight w:val="none"/>
              </w:rPr>
              <w:tab/>
            </w:r>
            <w:r>
              <w:rPr>
                <w:rFonts w:hint="eastAsia" w:ascii="宋体" w:hAnsi="宋体"/>
                <w:color w:val="auto"/>
                <w:sz w:val="21"/>
                <w:szCs w:val="21"/>
                <w:highlight w:val="none"/>
              </w:rPr>
              <w:t>萃取溶剂：</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可以兼容诸如应用于Soxhlet、自动Soxhlet、超声波萃取、微波萃取、SFE等方法中使用的各种广泛的萃取溶剂, 特别包括酸碱性试剂。</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2.10</w:t>
            </w:r>
            <w:r>
              <w:rPr>
                <w:rFonts w:hint="eastAsia" w:ascii="宋体" w:hAnsi="宋体"/>
                <w:color w:val="auto"/>
                <w:sz w:val="21"/>
                <w:szCs w:val="21"/>
                <w:highlight w:val="none"/>
              </w:rPr>
              <w:tab/>
            </w:r>
            <w:r>
              <w:rPr>
                <w:rFonts w:hint="eastAsia" w:ascii="宋体" w:hAnsi="宋体"/>
                <w:color w:val="auto"/>
                <w:sz w:val="21"/>
                <w:szCs w:val="21"/>
                <w:highlight w:val="none"/>
              </w:rPr>
              <w:t xml:space="preserve">溶剂控制器： </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2.10.1全自动切换三种不同的溶剂</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2.10.2溶剂控制器被整合到系统一起，3种不同溶剂，按比例自动配比。</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2.11</w:t>
            </w:r>
            <w:r>
              <w:rPr>
                <w:rFonts w:hint="eastAsia" w:ascii="宋体" w:hAnsi="宋体"/>
                <w:color w:val="auto"/>
                <w:sz w:val="21"/>
                <w:szCs w:val="21"/>
                <w:highlight w:val="none"/>
              </w:rPr>
              <w:tab/>
            </w:r>
            <w:r>
              <w:rPr>
                <w:rFonts w:hint="eastAsia" w:ascii="宋体" w:hAnsi="宋体"/>
                <w:color w:val="auto"/>
                <w:sz w:val="21"/>
                <w:szCs w:val="21"/>
                <w:highlight w:val="none"/>
              </w:rPr>
              <w:t xml:space="preserve"> 萃取时间：小于或等于20分钟</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2.12</w:t>
            </w:r>
            <w:r>
              <w:rPr>
                <w:rFonts w:hint="eastAsia" w:ascii="宋体" w:hAnsi="宋体"/>
                <w:color w:val="auto"/>
                <w:sz w:val="21"/>
                <w:szCs w:val="21"/>
                <w:highlight w:val="none"/>
              </w:rPr>
              <w:tab/>
            </w:r>
            <w:r>
              <w:rPr>
                <w:rFonts w:hint="eastAsia" w:ascii="宋体" w:hAnsi="宋体"/>
                <w:color w:val="auto"/>
                <w:sz w:val="21"/>
                <w:szCs w:val="21"/>
                <w:highlight w:val="none"/>
              </w:rPr>
              <w:t>气体要求：氮气</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2.13</w:t>
            </w:r>
            <w:r>
              <w:rPr>
                <w:rFonts w:hint="eastAsia" w:ascii="宋体" w:hAnsi="宋体"/>
                <w:color w:val="auto"/>
                <w:sz w:val="21"/>
                <w:szCs w:val="21"/>
                <w:highlight w:val="none"/>
              </w:rPr>
              <w:tab/>
            </w:r>
            <w:r>
              <w:rPr>
                <w:rFonts w:hint="eastAsia" w:ascii="宋体" w:hAnsi="宋体"/>
                <w:color w:val="auto"/>
                <w:sz w:val="21"/>
                <w:szCs w:val="21"/>
                <w:highlight w:val="none"/>
              </w:rPr>
              <w:t>仪器控制：</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2.13.1 菜单试操作LCD，显示状态、方法编辑、序列编辑和存储，简单直观。</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2.13.2 实体面板键盘：完全控制及显示所有温度和程序；完全控制所有仪器功能和仪器运行；系统诊断和记事本记录程序事件。</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2.13.3可以控制方法编辑，选择不同方法，自动连续萃取不同（或相同）样品，自动分别收集萃取液。 </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▲2.13.4 可以同一个样品分别将萃取液至不同的收集瓶，可以实现分步提取。</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2.14可通过软件在线控制仪器操作和方法的编辑。</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▲2.14.1 工作站软件满足法规要求，符合权限控制和审计追踪等法规依从性功能，确保数据安全性。</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2.14.2 能够拓展控制色谱仪器，实现前处理，仪器分析同一套软件操作。</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2.15 安全保护：</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2.14.1 具有漏液传感器，碳氢传感器</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2.14.2 具有收集瓶位置传感器，萃取池位置传感器。</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2.14.3 收集瓶中液位传感器，萃取过程中通过红外探头检测进入收集瓶中的液体和液面。</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2.14.4 过温保护，过压保护</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2.14.5 收集瓶保护罩</w:t>
            </w:r>
          </w:p>
          <w:p>
            <w:pPr>
              <w:spacing w:line="240" w:lineRule="auto"/>
              <w:ind w:firstLine="0" w:firstLineChars="0"/>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 xml:space="preserve"> </w:t>
            </w:r>
            <w:r>
              <w:rPr>
                <w:rFonts w:hint="eastAsia" w:ascii="宋体" w:hAnsi="宋体"/>
                <w:b/>
                <w:color w:val="auto"/>
                <w:sz w:val="21"/>
                <w:szCs w:val="21"/>
                <w:highlight w:val="none"/>
              </w:rPr>
              <w:t>主要配置清单</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.1</w:t>
            </w:r>
            <w:r>
              <w:rPr>
                <w:rFonts w:hint="eastAsia" w:ascii="宋体" w:hAnsi="宋体"/>
                <w:color w:val="auto"/>
                <w:sz w:val="21"/>
                <w:szCs w:val="21"/>
                <w:highlight w:val="none"/>
              </w:rPr>
              <w:t>加速溶剂萃取仪主机（</w:t>
            </w:r>
            <w:r>
              <w:rPr>
                <w:rFonts w:ascii="宋体" w:hAnsi="宋体"/>
                <w:color w:val="auto"/>
                <w:sz w:val="21"/>
                <w:szCs w:val="21"/>
                <w:highlight w:val="none"/>
              </w:rPr>
              <w:t>24</w:t>
            </w:r>
            <w:r>
              <w:rPr>
                <w:rFonts w:hint="eastAsia" w:ascii="宋体" w:hAnsi="宋体"/>
                <w:color w:val="auto"/>
                <w:sz w:val="21"/>
                <w:szCs w:val="21"/>
                <w:highlight w:val="none"/>
              </w:rPr>
              <w:t xml:space="preserve">位及以上） </w:t>
            </w:r>
            <w:r>
              <w:rPr>
                <w:rFonts w:ascii="宋体" w:hAnsi="宋体"/>
                <w:color w:val="auto"/>
                <w:sz w:val="21"/>
                <w:szCs w:val="21"/>
                <w:highlight w:val="none"/>
              </w:rPr>
              <w:t xml:space="preserve"> 1</w:t>
            </w:r>
            <w:r>
              <w:rPr>
                <w:rFonts w:hint="eastAsia" w:ascii="宋体" w:hAnsi="宋体"/>
                <w:color w:val="auto"/>
                <w:sz w:val="21"/>
                <w:szCs w:val="21"/>
                <w:highlight w:val="none"/>
              </w:rPr>
              <w:t>套</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.2 </w:t>
            </w:r>
            <w:r>
              <w:rPr>
                <w:rFonts w:hint="eastAsia" w:ascii="宋体" w:hAnsi="宋体"/>
                <w:color w:val="auto"/>
                <w:sz w:val="21"/>
                <w:szCs w:val="21"/>
                <w:highlight w:val="none"/>
              </w:rPr>
              <w:t xml:space="preserve">萃取池（规格可选） </w:t>
            </w:r>
            <w:r>
              <w:rPr>
                <w:rFonts w:ascii="宋体" w:hAnsi="宋体"/>
                <w:color w:val="auto"/>
                <w:sz w:val="21"/>
                <w:szCs w:val="21"/>
                <w:highlight w:val="none"/>
              </w:rPr>
              <w:t xml:space="preserve"> 24</w:t>
            </w:r>
            <w:r>
              <w:rPr>
                <w:rFonts w:hint="eastAsia" w:ascii="宋体" w:hAnsi="宋体"/>
                <w:color w:val="auto"/>
                <w:sz w:val="21"/>
                <w:szCs w:val="21"/>
                <w:highlight w:val="none"/>
              </w:rPr>
              <w:t>套</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.3 </w:t>
            </w:r>
            <w:r>
              <w:rPr>
                <w:rFonts w:hint="eastAsia" w:ascii="宋体" w:hAnsi="宋体"/>
                <w:color w:val="auto"/>
                <w:sz w:val="21"/>
                <w:szCs w:val="21"/>
                <w:highlight w:val="none"/>
              </w:rPr>
              <w:t xml:space="preserve">锆合金萃取池 </w:t>
            </w:r>
            <w:r>
              <w:rPr>
                <w:rFonts w:ascii="宋体" w:hAnsi="宋体"/>
                <w:color w:val="auto"/>
                <w:sz w:val="21"/>
                <w:szCs w:val="21"/>
                <w:highlight w:val="none"/>
              </w:rPr>
              <w:t xml:space="preserve"> 2</w:t>
            </w:r>
            <w:r>
              <w:rPr>
                <w:rFonts w:hint="eastAsia" w:ascii="宋体" w:hAnsi="宋体"/>
                <w:color w:val="auto"/>
                <w:sz w:val="21"/>
                <w:szCs w:val="21"/>
                <w:highlight w:val="none"/>
              </w:rPr>
              <w:t>套</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.4 </w:t>
            </w:r>
            <w:r>
              <w:rPr>
                <w:rFonts w:hint="eastAsia" w:ascii="宋体" w:hAnsi="宋体"/>
                <w:color w:val="auto"/>
                <w:sz w:val="21"/>
                <w:szCs w:val="21"/>
                <w:highlight w:val="none"/>
              </w:rPr>
              <w:t xml:space="preserve">特氟龙O型圈 </w:t>
            </w:r>
            <w:r>
              <w:rPr>
                <w:rFonts w:ascii="宋体" w:hAnsi="宋体"/>
                <w:color w:val="auto"/>
                <w:sz w:val="21"/>
                <w:szCs w:val="21"/>
                <w:highlight w:val="none"/>
              </w:rPr>
              <w:t>50</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.5 </w:t>
            </w:r>
            <w:r>
              <w:rPr>
                <w:rFonts w:hint="eastAsia" w:ascii="宋体" w:hAnsi="宋体"/>
                <w:color w:val="auto"/>
                <w:sz w:val="21"/>
                <w:szCs w:val="21"/>
                <w:highlight w:val="none"/>
              </w:rPr>
              <w:t xml:space="preserve">烧结不锈钢滤片 </w:t>
            </w:r>
            <w:r>
              <w:rPr>
                <w:rFonts w:ascii="宋体" w:hAnsi="宋体"/>
                <w:color w:val="auto"/>
                <w:sz w:val="21"/>
                <w:szCs w:val="21"/>
                <w:highlight w:val="none"/>
              </w:rPr>
              <w:t>50</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.6 60</w:t>
            </w:r>
            <w:r>
              <w:rPr>
                <w:rFonts w:hint="eastAsia" w:ascii="宋体" w:hAnsi="宋体"/>
                <w:color w:val="auto"/>
                <w:sz w:val="21"/>
                <w:szCs w:val="21"/>
                <w:highlight w:val="none"/>
              </w:rPr>
              <w:t xml:space="preserve">mL收集瓶 </w:t>
            </w:r>
            <w:r>
              <w:rPr>
                <w:rFonts w:ascii="宋体" w:hAnsi="宋体"/>
                <w:color w:val="auto"/>
                <w:sz w:val="21"/>
                <w:szCs w:val="21"/>
                <w:highlight w:val="none"/>
              </w:rPr>
              <w:t>72</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.7 250</w:t>
            </w:r>
            <w:r>
              <w:rPr>
                <w:rFonts w:hint="eastAsia" w:ascii="宋体" w:hAnsi="宋体"/>
                <w:color w:val="auto"/>
                <w:sz w:val="21"/>
                <w:szCs w:val="21"/>
                <w:highlight w:val="none"/>
              </w:rPr>
              <w:t xml:space="preserve">mL收集瓶 </w:t>
            </w:r>
            <w:r>
              <w:rPr>
                <w:rFonts w:ascii="宋体" w:hAnsi="宋体"/>
                <w:color w:val="auto"/>
                <w:sz w:val="21"/>
                <w:szCs w:val="21"/>
                <w:highlight w:val="none"/>
              </w:rPr>
              <w:t>24</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.8 </w:t>
            </w:r>
            <w:r>
              <w:rPr>
                <w:rFonts w:hint="eastAsia" w:ascii="宋体" w:hAnsi="宋体"/>
                <w:color w:val="auto"/>
                <w:sz w:val="21"/>
                <w:szCs w:val="21"/>
                <w:highlight w:val="none"/>
              </w:rPr>
              <w:t xml:space="preserve">安装工具包 </w:t>
            </w:r>
            <w:r>
              <w:rPr>
                <w:rFonts w:ascii="宋体" w:hAnsi="宋体"/>
                <w:color w:val="auto"/>
                <w:sz w:val="21"/>
                <w:szCs w:val="21"/>
                <w:highlight w:val="none"/>
              </w:rPr>
              <w:t>1</w:t>
            </w:r>
            <w:r>
              <w:rPr>
                <w:rFonts w:hint="eastAsia" w:ascii="宋体" w:hAnsi="宋体"/>
                <w:color w:val="auto"/>
                <w:sz w:val="21"/>
                <w:szCs w:val="21"/>
                <w:highlight w:val="none"/>
              </w:rPr>
              <w:t>套</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.9 </w:t>
            </w:r>
            <w:r>
              <w:rPr>
                <w:rFonts w:hint="eastAsia" w:ascii="宋体" w:hAnsi="宋体"/>
                <w:color w:val="auto"/>
                <w:sz w:val="21"/>
                <w:szCs w:val="21"/>
                <w:highlight w:val="none"/>
              </w:rPr>
              <w:t xml:space="preserve">纤维素过滤膜 </w:t>
            </w:r>
            <w:r>
              <w:rPr>
                <w:rFonts w:ascii="宋体" w:hAnsi="宋体"/>
                <w:color w:val="auto"/>
                <w:sz w:val="21"/>
                <w:szCs w:val="21"/>
                <w:highlight w:val="none"/>
              </w:rPr>
              <w:t>500</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.10 </w:t>
            </w:r>
            <w:r>
              <w:rPr>
                <w:rFonts w:hint="eastAsia" w:ascii="宋体" w:hAnsi="宋体"/>
                <w:color w:val="auto"/>
                <w:sz w:val="21"/>
                <w:szCs w:val="21"/>
                <w:highlight w:val="none"/>
              </w:rPr>
              <w:t xml:space="preserve">硅藻土 </w:t>
            </w:r>
            <w:r>
              <w:rPr>
                <w:rFonts w:ascii="宋体" w:hAnsi="宋体"/>
                <w:color w:val="auto"/>
                <w:sz w:val="21"/>
                <w:szCs w:val="21"/>
                <w:highlight w:val="none"/>
              </w:rPr>
              <w:t xml:space="preserve"> 2</w:t>
            </w:r>
            <w:r>
              <w:rPr>
                <w:rFonts w:hint="eastAsia" w:ascii="宋体" w:hAnsi="宋体"/>
                <w:color w:val="auto"/>
                <w:sz w:val="21"/>
                <w:szCs w:val="21"/>
                <w:highlight w:val="none"/>
              </w:rPr>
              <w:t>包</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.11 </w:t>
            </w:r>
            <w:r>
              <w:rPr>
                <w:rFonts w:hint="eastAsia" w:ascii="宋体" w:hAnsi="宋体"/>
                <w:color w:val="auto"/>
                <w:sz w:val="21"/>
                <w:szCs w:val="21"/>
                <w:highlight w:val="none"/>
              </w:rPr>
              <w:t xml:space="preserve">石英砂 </w:t>
            </w:r>
            <w:r>
              <w:rPr>
                <w:rFonts w:ascii="宋体" w:hAnsi="宋体"/>
                <w:color w:val="auto"/>
                <w:sz w:val="21"/>
                <w:szCs w:val="21"/>
                <w:highlight w:val="none"/>
              </w:rPr>
              <w:t xml:space="preserve"> 2</w:t>
            </w:r>
            <w:r>
              <w:rPr>
                <w:rFonts w:hint="eastAsia" w:ascii="宋体" w:hAnsi="宋体"/>
                <w:color w:val="auto"/>
                <w:sz w:val="21"/>
                <w:szCs w:val="21"/>
                <w:highlight w:val="none"/>
              </w:rPr>
              <w:t>包</w:t>
            </w:r>
          </w:p>
          <w:p>
            <w:pPr>
              <w:spacing w:line="240" w:lineRule="auto"/>
              <w:ind w:firstLine="0" w:firstLineChars="0"/>
              <w:rPr>
                <w:color w:val="auto"/>
                <w:sz w:val="21"/>
                <w:szCs w:val="21"/>
                <w:highlight w:val="none"/>
              </w:rPr>
            </w:pPr>
          </w:p>
        </w:tc>
        <w:tc>
          <w:tcPr>
            <w:tcW w:w="54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台</w:t>
            </w:r>
          </w:p>
        </w:tc>
        <w:tc>
          <w:tcPr>
            <w:tcW w:w="540"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542"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p>
        </w:tc>
      </w:tr>
    </w:tbl>
    <w:p>
      <w:pPr>
        <w:pStyle w:val="2"/>
        <w:rPr>
          <w:color w:val="auto"/>
          <w:highlight w:val="none"/>
        </w:rPr>
      </w:pPr>
    </w:p>
    <w:p>
      <w:pPr>
        <w:pStyle w:val="4"/>
        <w:rPr>
          <w:rFonts w:ascii="宋体" w:hAnsi="宋体" w:cs="宋体"/>
          <w:color w:val="auto"/>
          <w:sz w:val="24"/>
          <w:szCs w:val="40"/>
          <w:highlight w:val="none"/>
        </w:rPr>
      </w:pPr>
      <w:bookmarkStart w:id="28" w:name="_Toc4822"/>
      <w:bookmarkStart w:id="29" w:name="_Toc6282"/>
      <w:r>
        <w:rPr>
          <w:rFonts w:hint="eastAsia" w:ascii="宋体" w:hAnsi="宋体" w:cs="宋体"/>
          <w:color w:val="auto"/>
          <w:sz w:val="24"/>
          <w:szCs w:val="40"/>
          <w:highlight w:val="none"/>
        </w:rPr>
        <w:t>二、商务要求</w:t>
      </w:r>
    </w:p>
    <w:p>
      <w:pPr>
        <w:pStyle w:val="5"/>
        <w:rPr>
          <w:color w:val="auto"/>
          <w:highlight w:val="none"/>
        </w:rPr>
      </w:pPr>
      <w:r>
        <w:rPr>
          <w:rFonts w:hint="eastAsia"/>
          <w:color w:val="auto"/>
          <w:highlight w:val="none"/>
        </w:rPr>
        <w:t>（一）供货期</w:t>
      </w:r>
      <w:bookmarkEnd w:id="28"/>
      <w:bookmarkEnd w:id="29"/>
    </w:p>
    <w:p>
      <w:pPr>
        <w:ind w:firstLine="480"/>
        <w:rPr>
          <w:rFonts w:ascii="宋体" w:hAnsi="宋体" w:cs="宋体"/>
          <w:color w:val="auto"/>
          <w:szCs w:val="32"/>
          <w:highlight w:val="none"/>
        </w:rPr>
      </w:pPr>
      <w:bookmarkStart w:id="30" w:name="_Toc3146"/>
      <w:r>
        <w:rPr>
          <w:rFonts w:hint="eastAsia" w:ascii="宋体" w:hAnsi="宋体" w:cs="宋体"/>
          <w:color w:val="auto"/>
          <w:szCs w:val="32"/>
          <w:highlight w:val="none"/>
        </w:rPr>
        <w:t>合同签订之日起60个工作日天内完成供货、安装、调试工作。</w:t>
      </w:r>
    </w:p>
    <w:p>
      <w:pPr>
        <w:pStyle w:val="5"/>
        <w:rPr>
          <w:color w:val="auto"/>
          <w:highlight w:val="none"/>
        </w:rPr>
      </w:pPr>
      <w:bookmarkStart w:id="31" w:name="_Toc14429"/>
      <w:r>
        <w:rPr>
          <w:rFonts w:hint="eastAsia"/>
          <w:color w:val="auto"/>
          <w:highlight w:val="none"/>
        </w:rPr>
        <w:t>（二）质保期</w:t>
      </w:r>
      <w:bookmarkEnd w:id="30"/>
      <w:bookmarkEnd w:id="31"/>
    </w:p>
    <w:p>
      <w:pPr>
        <w:ind w:firstLine="480"/>
        <w:rPr>
          <w:rFonts w:ascii="宋体" w:hAnsi="宋体" w:cs="宋体"/>
          <w:color w:val="auto"/>
          <w:szCs w:val="32"/>
          <w:highlight w:val="none"/>
        </w:rPr>
      </w:pPr>
      <w:r>
        <w:rPr>
          <w:rFonts w:hint="eastAsia" w:ascii="宋体" w:hAnsi="宋体" w:cs="宋体"/>
          <w:bCs/>
          <w:color w:val="auto"/>
          <w:kern w:val="0"/>
          <w:szCs w:val="21"/>
          <w:highlight w:val="none"/>
        </w:rPr>
        <w:t>标项一：★</w:t>
      </w:r>
      <w:r>
        <w:rPr>
          <w:rFonts w:hint="eastAsia" w:ascii="宋体" w:hAnsi="宋体" w:cs="宋体"/>
          <w:color w:val="auto"/>
          <w:szCs w:val="32"/>
          <w:highlight w:val="none"/>
        </w:rPr>
        <w:t>验收合格第二个月开始算起，提供1年的质保期。</w:t>
      </w:r>
    </w:p>
    <w:p>
      <w:pPr>
        <w:ind w:firstLine="480"/>
        <w:rPr>
          <w:rFonts w:ascii="宋体" w:hAnsi="宋体" w:cs="宋体"/>
          <w:color w:val="auto"/>
          <w:szCs w:val="32"/>
          <w:highlight w:val="none"/>
        </w:rPr>
      </w:pPr>
      <w:r>
        <w:rPr>
          <w:rFonts w:hint="eastAsia" w:ascii="宋体" w:hAnsi="宋体" w:cs="宋体"/>
          <w:bCs/>
          <w:color w:val="auto"/>
          <w:kern w:val="0"/>
          <w:szCs w:val="21"/>
          <w:highlight w:val="none"/>
        </w:rPr>
        <w:t>标项二：★</w:t>
      </w:r>
      <w:r>
        <w:rPr>
          <w:rFonts w:hint="eastAsia" w:ascii="宋体" w:hAnsi="宋体" w:cs="宋体"/>
          <w:color w:val="auto"/>
          <w:szCs w:val="32"/>
          <w:highlight w:val="none"/>
        </w:rPr>
        <w:t>验收合格第二个月开始算起，提供2年的质保期。</w:t>
      </w:r>
    </w:p>
    <w:p>
      <w:pPr>
        <w:pStyle w:val="5"/>
        <w:rPr>
          <w:color w:val="auto"/>
          <w:highlight w:val="none"/>
        </w:rPr>
      </w:pPr>
      <w:bookmarkStart w:id="32" w:name="_Toc22183"/>
      <w:bookmarkStart w:id="33" w:name="_Toc10286"/>
      <w:r>
        <w:rPr>
          <w:rFonts w:hint="eastAsia"/>
          <w:color w:val="auto"/>
          <w:highlight w:val="none"/>
        </w:rPr>
        <w:t>（三）保存和运输要求</w:t>
      </w:r>
      <w:bookmarkEnd w:id="32"/>
      <w:bookmarkEnd w:id="33"/>
    </w:p>
    <w:p>
      <w:pPr>
        <w:ind w:firstLine="480"/>
        <w:rPr>
          <w:rFonts w:ascii="宋体" w:hAnsi="宋体" w:cs="宋体"/>
          <w:color w:val="auto"/>
          <w:szCs w:val="32"/>
          <w:highlight w:val="none"/>
        </w:rPr>
      </w:pPr>
      <w:r>
        <w:rPr>
          <w:rFonts w:hint="eastAsia" w:ascii="宋体" w:hAnsi="宋体" w:cs="宋体"/>
          <w:color w:val="auto"/>
          <w:szCs w:val="32"/>
          <w:highlight w:val="none"/>
        </w:rPr>
        <w:t>送货至指定地点。</w:t>
      </w:r>
    </w:p>
    <w:p>
      <w:pPr>
        <w:pStyle w:val="5"/>
        <w:rPr>
          <w:color w:val="auto"/>
          <w:highlight w:val="none"/>
        </w:rPr>
      </w:pPr>
      <w:bookmarkStart w:id="34" w:name="_Toc14375"/>
      <w:bookmarkStart w:id="35" w:name="_Toc3643"/>
      <w:r>
        <w:rPr>
          <w:rFonts w:hint="eastAsia"/>
          <w:color w:val="auto"/>
          <w:highlight w:val="none"/>
        </w:rPr>
        <w:t>（四）验收标准</w:t>
      </w:r>
      <w:bookmarkEnd w:id="34"/>
      <w:bookmarkEnd w:id="35"/>
    </w:p>
    <w:p>
      <w:pPr>
        <w:ind w:firstLine="480"/>
        <w:rPr>
          <w:rFonts w:ascii="宋体" w:hAnsi="宋体" w:cs="宋体"/>
          <w:color w:val="auto"/>
          <w:szCs w:val="32"/>
          <w:highlight w:val="none"/>
        </w:rPr>
      </w:pPr>
      <w:r>
        <w:rPr>
          <w:rFonts w:hint="eastAsia" w:ascii="宋体" w:hAnsi="宋体" w:cs="宋体"/>
          <w:color w:val="auto"/>
          <w:szCs w:val="32"/>
          <w:highlight w:val="none"/>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中国计量大学标准验收和确认。</w:t>
      </w:r>
    </w:p>
    <w:p>
      <w:pPr>
        <w:pStyle w:val="5"/>
        <w:rPr>
          <w:color w:val="auto"/>
          <w:highlight w:val="none"/>
        </w:rPr>
      </w:pPr>
      <w:bookmarkStart w:id="36" w:name="_Toc32145"/>
      <w:bookmarkStart w:id="37" w:name="_Toc30601"/>
      <w:r>
        <w:rPr>
          <w:rFonts w:hint="eastAsia"/>
          <w:color w:val="auto"/>
          <w:highlight w:val="none"/>
        </w:rPr>
        <w:t>（五）售后服务</w:t>
      </w:r>
      <w:bookmarkEnd w:id="36"/>
      <w:bookmarkEnd w:id="37"/>
    </w:p>
    <w:p>
      <w:pPr>
        <w:ind w:firstLine="480"/>
        <w:rPr>
          <w:rFonts w:ascii="宋体" w:hAnsi="宋体" w:cs="宋体"/>
          <w:color w:val="auto"/>
          <w:szCs w:val="32"/>
          <w:highlight w:val="none"/>
        </w:rPr>
      </w:pPr>
      <w:r>
        <w:rPr>
          <w:rFonts w:hint="eastAsia" w:ascii="宋体" w:hAnsi="宋体" w:cs="宋体"/>
          <w:color w:val="auto"/>
          <w:szCs w:val="32"/>
          <w:highlight w:val="none"/>
        </w:rPr>
        <w:t>软件终身免费升级。质保期内因不能排除的故障而影响工作的情况每发生一次，其质保期相应延长60天，质保期内因货物本身缺陷造成各种故障应由中标人免费予以更换，否则将扣除质量保证金作为对采购人的补偿。</w:t>
      </w:r>
    </w:p>
    <w:p>
      <w:pPr>
        <w:ind w:firstLine="480"/>
        <w:rPr>
          <w:rFonts w:ascii="宋体" w:hAnsi="宋体" w:cs="宋体"/>
          <w:color w:val="auto"/>
          <w:szCs w:val="32"/>
          <w:highlight w:val="none"/>
        </w:rPr>
      </w:pPr>
      <w:r>
        <w:rPr>
          <w:rFonts w:hint="eastAsia" w:ascii="宋体" w:hAnsi="宋体" w:cs="宋体"/>
          <w:color w:val="auto"/>
          <w:szCs w:val="32"/>
          <w:highlight w:val="none"/>
        </w:rPr>
        <w:t>质保期内所有费用由投标方承担，投标方接到报修电话后立即响应，48小时内到达现场，一般故障48小时内排除，重大故障72小时内排除。</w:t>
      </w:r>
    </w:p>
    <w:p>
      <w:pPr>
        <w:ind w:firstLine="480"/>
        <w:rPr>
          <w:rFonts w:ascii="宋体" w:hAnsi="宋体" w:cs="宋体"/>
          <w:color w:val="auto"/>
          <w:szCs w:val="32"/>
          <w:highlight w:val="none"/>
        </w:rPr>
      </w:pPr>
      <w:r>
        <w:rPr>
          <w:rFonts w:hint="eastAsia" w:ascii="宋体" w:hAnsi="宋体" w:cs="宋体"/>
          <w:color w:val="auto"/>
          <w:szCs w:val="32"/>
          <w:highlight w:val="none"/>
        </w:rPr>
        <w:t>不论质保期内外，投标方提供7×24小时电话技术支持，免费上门服务及每年1次现场巡访与培训。</w:t>
      </w:r>
    </w:p>
    <w:p>
      <w:pPr>
        <w:pStyle w:val="5"/>
        <w:rPr>
          <w:color w:val="auto"/>
          <w:highlight w:val="none"/>
        </w:rPr>
      </w:pPr>
      <w:bookmarkStart w:id="38" w:name="_Toc30062"/>
      <w:bookmarkStart w:id="39" w:name="_Toc11395"/>
      <w:r>
        <w:rPr>
          <w:rFonts w:hint="eastAsia"/>
          <w:color w:val="auto"/>
          <w:highlight w:val="none"/>
        </w:rPr>
        <w:t>（六）履约保证金及质量保证金</w:t>
      </w:r>
      <w:bookmarkEnd w:id="38"/>
      <w:bookmarkEnd w:id="39"/>
    </w:p>
    <w:p>
      <w:pPr>
        <w:ind w:firstLine="480"/>
        <w:rPr>
          <w:rFonts w:ascii="宋体" w:hAnsi="宋体" w:cs="宋体"/>
          <w:color w:val="auto"/>
          <w:szCs w:val="32"/>
          <w:highlight w:val="none"/>
        </w:rPr>
      </w:pPr>
      <w:r>
        <w:rPr>
          <w:rFonts w:hint="eastAsia" w:ascii="宋体" w:hAnsi="宋体" w:cs="宋体"/>
          <w:color w:val="auto"/>
          <w:szCs w:val="32"/>
          <w:highlight w:val="none"/>
        </w:rPr>
        <w:t>中标单位须于货到验收合格后七个工作日内向采购人支付合同总价5%的质量保证金，质量保证金自货物交付验收合格后12个月内无质量问题索赔和售后服务问题，无息退回。</w:t>
      </w:r>
      <w:r>
        <w:rPr>
          <w:rFonts w:hint="eastAsia"/>
          <w:color w:val="auto"/>
          <w:szCs w:val="32"/>
          <w:highlight w:val="none"/>
        </w:rPr>
        <w:t>（进口货物适用）</w:t>
      </w:r>
    </w:p>
    <w:p>
      <w:pPr>
        <w:ind w:firstLine="480"/>
        <w:rPr>
          <w:rFonts w:ascii="宋体" w:hAnsi="宋体" w:cs="宋体"/>
          <w:color w:val="auto"/>
          <w:szCs w:val="32"/>
          <w:highlight w:val="none"/>
        </w:rPr>
      </w:pPr>
      <w:r>
        <w:rPr>
          <w:rFonts w:hint="eastAsia" w:ascii="宋体" w:hAnsi="宋体" w:cs="宋体"/>
          <w:color w:val="auto"/>
          <w:szCs w:val="32"/>
          <w:highlight w:val="none"/>
        </w:rPr>
        <w:t>中标单位须于合同签订后向采购人支付合同总价5% 的履约保证金，履约保证金在交货验收后自动转为质量保证金。质量保证金自货物交付验收合格后12个月内无质量问题索赔和售后服务问题，无息退回</w:t>
      </w:r>
      <w:r>
        <w:rPr>
          <w:rFonts w:hint="eastAsia" w:ascii="宋体" w:hAnsi="宋体" w:cs="宋体"/>
          <w:color w:val="auto"/>
          <w:szCs w:val="32"/>
          <w:highlight w:val="none"/>
          <w:lang w:eastAsia="zh-CN"/>
        </w:rPr>
        <w:t>，</w:t>
      </w:r>
      <w:r>
        <w:rPr>
          <w:rFonts w:hint="eastAsia" w:ascii="宋体" w:hAnsi="宋体" w:cs="宋体"/>
          <w:color w:val="auto"/>
          <w:szCs w:val="32"/>
          <w:highlight w:val="none"/>
          <w:lang w:val="en-US" w:eastAsia="zh-CN"/>
        </w:rPr>
        <w:t>质量保证金应以银行转账或电汇形式。</w:t>
      </w:r>
      <w:r>
        <w:rPr>
          <w:rFonts w:hint="eastAsia"/>
          <w:color w:val="auto"/>
          <w:szCs w:val="32"/>
          <w:highlight w:val="none"/>
        </w:rPr>
        <w:t>（国产货物适用）</w:t>
      </w:r>
    </w:p>
    <w:p>
      <w:pPr>
        <w:ind w:firstLine="480"/>
        <w:rPr>
          <w:rFonts w:ascii="宋体" w:hAnsi="宋体" w:cs="宋体"/>
          <w:color w:val="auto"/>
          <w:szCs w:val="32"/>
          <w:highlight w:val="none"/>
        </w:rPr>
      </w:pPr>
      <w:r>
        <w:rPr>
          <w:rFonts w:hint="eastAsia" w:ascii="宋体" w:hAnsi="宋体" w:cs="宋体"/>
          <w:color w:val="auto"/>
          <w:szCs w:val="32"/>
          <w:highlight w:val="none"/>
        </w:rPr>
        <w:t>履约保证金的交付方式：支票、汇票、保函等非现金方式。</w:t>
      </w:r>
    </w:p>
    <w:p>
      <w:pPr>
        <w:pStyle w:val="5"/>
        <w:rPr>
          <w:color w:val="auto"/>
          <w:highlight w:val="none"/>
        </w:rPr>
      </w:pPr>
      <w:bookmarkStart w:id="40" w:name="_Toc27073"/>
      <w:bookmarkStart w:id="41" w:name="_Toc11083"/>
      <w:r>
        <w:rPr>
          <w:rFonts w:hint="eastAsia"/>
          <w:color w:val="auto"/>
          <w:highlight w:val="none"/>
        </w:rPr>
        <w:t>（七）付款方式</w:t>
      </w:r>
      <w:bookmarkEnd w:id="40"/>
      <w:bookmarkEnd w:id="41"/>
    </w:p>
    <w:p>
      <w:pPr>
        <w:snapToGrid w:val="0"/>
        <w:ind w:firstLine="480"/>
        <w:rPr>
          <w:color w:val="auto"/>
          <w:szCs w:val="32"/>
          <w:highlight w:val="none"/>
        </w:rPr>
      </w:pPr>
      <w:bookmarkStart w:id="42" w:name="_Toc12425"/>
      <w:r>
        <w:rPr>
          <w:rFonts w:hint="eastAsia"/>
          <w:color w:val="auto"/>
          <w:szCs w:val="32"/>
          <w:highlight w:val="none"/>
        </w:rPr>
        <w:t>合同签订后办理好“进出口货物征免税证明”后预付30%，由甲方指定的外贸代理公司开具100%不可撤销即期信用证（90%即期，10%凭验收报告），甲方见装运单支付合同金额的60%给外贸代理公司，10%尾款在验收合格后15个工作日内支付给外贸代理公司。（进口货物适用）</w:t>
      </w:r>
    </w:p>
    <w:p>
      <w:pPr>
        <w:snapToGrid w:val="0"/>
        <w:ind w:firstLine="480"/>
        <w:rPr>
          <w:color w:val="auto"/>
          <w:szCs w:val="32"/>
          <w:highlight w:val="none"/>
        </w:rPr>
      </w:pPr>
      <w:r>
        <w:rPr>
          <w:rFonts w:hint="eastAsia"/>
          <w:color w:val="auto"/>
          <w:szCs w:val="32"/>
          <w:highlight w:val="none"/>
        </w:rPr>
        <w:t>货到安装、调试验收合格后15个工作日内，由中标人提供中标人开具的全额发票后，采购人向中标人支付合同总价100%的货款。（国产货物适用）</w:t>
      </w:r>
    </w:p>
    <w:p>
      <w:pPr>
        <w:pStyle w:val="5"/>
        <w:rPr>
          <w:color w:val="auto"/>
          <w:highlight w:val="none"/>
        </w:rPr>
      </w:pPr>
      <w:bookmarkStart w:id="43" w:name="_Toc12409"/>
      <w:r>
        <w:rPr>
          <w:rFonts w:hint="eastAsia"/>
          <w:color w:val="auto"/>
          <w:highlight w:val="none"/>
        </w:rPr>
        <w:t>（八）合同履行</w:t>
      </w:r>
      <w:bookmarkEnd w:id="42"/>
      <w:bookmarkEnd w:id="43"/>
    </w:p>
    <w:p>
      <w:pPr>
        <w:ind w:firstLine="480"/>
        <w:rPr>
          <w:rFonts w:ascii="宋体" w:hAnsi="宋体" w:cs="宋体"/>
          <w:color w:val="auto"/>
          <w:szCs w:val="32"/>
          <w:highlight w:val="none"/>
        </w:rPr>
      </w:pPr>
      <w:r>
        <w:rPr>
          <w:rFonts w:hint="eastAsia" w:ascii="宋体" w:hAnsi="宋体" w:cs="宋体"/>
          <w:color w:val="auto"/>
          <w:szCs w:val="32"/>
          <w:highlight w:val="none"/>
        </w:rPr>
        <w:t>必须由投标主体履行合同。</w:t>
      </w:r>
    </w:p>
    <w:p>
      <w:pPr>
        <w:pStyle w:val="5"/>
        <w:rPr>
          <w:color w:val="auto"/>
          <w:highlight w:val="none"/>
        </w:rPr>
      </w:pPr>
      <w:bookmarkStart w:id="44" w:name="_Toc26669"/>
      <w:bookmarkStart w:id="45" w:name="_Toc28352"/>
      <w:r>
        <w:rPr>
          <w:rFonts w:hint="eastAsia"/>
          <w:color w:val="auto"/>
          <w:highlight w:val="none"/>
        </w:rPr>
        <w:t>（九）培训</w:t>
      </w:r>
      <w:bookmarkEnd w:id="44"/>
      <w:bookmarkEnd w:id="45"/>
    </w:p>
    <w:p>
      <w:pPr>
        <w:ind w:firstLine="480"/>
        <w:rPr>
          <w:color w:val="auto"/>
          <w:szCs w:val="32"/>
          <w:highlight w:val="none"/>
        </w:rPr>
      </w:pPr>
      <w:r>
        <w:rPr>
          <w:rFonts w:hint="eastAsia"/>
          <w:color w:val="auto"/>
          <w:szCs w:val="32"/>
          <w:highlight w:val="none"/>
        </w:rPr>
        <w:t>中标人应对采购人的操作人员、维修人员免费进行培训，</w:t>
      </w:r>
      <w:r>
        <w:rPr>
          <w:rFonts w:hint="eastAsia" w:ascii="宋体" w:hAnsi="宋体"/>
          <w:color w:val="auto"/>
          <w:highlight w:val="none"/>
        </w:rPr>
        <w:t>使之能够熟练掌握设备的操作、维护及保养技能</w:t>
      </w:r>
      <w:r>
        <w:rPr>
          <w:rFonts w:hint="eastAsia"/>
          <w:color w:val="auto"/>
          <w:szCs w:val="32"/>
          <w:highlight w:val="none"/>
        </w:rPr>
        <w:t>。</w:t>
      </w:r>
    </w:p>
    <w:p>
      <w:pPr>
        <w:ind w:firstLine="480"/>
        <w:rPr>
          <w:color w:val="auto"/>
          <w:szCs w:val="32"/>
          <w:highlight w:val="none"/>
        </w:rPr>
      </w:pPr>
      <w:r>
        <w:rPr>
          <w:rFonts w:hint="eastAsia"/>
          <w:color w:val="auto"/>
          <w:szCs w:val="32"/>
          <w:highlight w:val="none"/>
        </w:rPr>
        <w:t>中标人应提供相应的培训计划。</w:t>
      </w:r>
    </w:p>
    <w:p>
      <w:pPr>
        <w:ind w:firstLine="480"/>
        <w:rPr>
          <w:color w:val="auto"/>
          <w:szCs w:val="32"/>
          <w:highlight w:val="none"/>
        </w:rPr>
      </w:pPr>
      <w:r>
        <w:rPr>
          <w:rFonts w:hint="eastAsia"/>
          <w:color w:val="auto"/>
          <w:szCs w:val="32"/>
          <w:highlight w:val="none"/>
        </w:rPr>
        <w:t>中标人应对上述内容的实现方式、地点、人数、时间在投标文件中详细说明。（请附加培训计划书）提供不少于3人次的现场技术培训。</w:t>
      </w:r>
      <w:r>
        <w:rPr>
          <w:rFonts w:hint="eastAsia" w:ascii="宋体" w:hAnsi="宋体"/>
          <w:color w:val="auto"/>
          <w:highlight w:val="none"/>
        </w:rPr>
        <w:t>培训的时间、地点、人数均由用户确定。</w:t>
      </w:r>
    </w:p>
    <w:p>
      <w:pPr>
        <w:pStyle w:val="5"/>
        <w:rPr>
          <w:color w:val="auto"/>
          <w:highlight w:val="none"/>
        </w:rPr>
      </w:pPr>
      <w:bookmarkStart w:id="46" w:name="_Toc4662"/>
      <w:bookmarkStart w:id="47" w:name="_Toc30890"/>
      <w:r>
        <w:rPr>
          <w:rFonts w:hint="eastAsia"/>
          <w:color w:val="auto"/>
          <w:highlight w:val="none"/>
        </w:rPr>
        <w:t>（十）安装调试</w:t>
      </w:r>
      <w:bookmarkEnd w:id="46"/>
      <w:bookmarkEnd w:id="47"/>
    </w:p>
    <w:p>
      <w:pPr>
        <w:ind w:firstLine="480"/>
        <w:rPr>
          <w:color w:val="auto"/>
          <w:szCs w:val="32"/>
          <w:highlight w:val="none"/>
        </w:rPr>
      </w:pPr>
      <w:r>
        <w:rPr>
          <w:rFonts w:hint="eastAsia"/>
          <w:color w:val="auto"/>
          <w:szCs w:val="32"/>
          <w:highlight w:val="none"/>
        </w:rPr>
        <w:t>安装地点：采购人指定地点。</w:t>
      </w:r>
    </w:p>
    <w:p>
      <w:pPr>
        <w:ind w:firstLine="480"/>
        <w:rPr>
          <w:color w:val="auto"/>
          <w:szCs w:val="32"/>
          <w:highlight w:val="none"/>
        </w:rPr>
      </w:pPr>
      <w:r>
        <w:rPr>
          <w:rFonts w:hint="eastAsia"/>
          <w:color w:val="auto"/>
          <w:szCs w:val="32"/>
          <w:highlight w:val="none"/>
        </w:rPr>
        <w:t>安装完成时间：签订合同后60个工作日内完成安装和调试（“投标人须知前附表”有规定的除外），如在规定的时间内由于中标人的原因不能完成安装和调试，中标人应承担由此给采购人造成的损失。</w:t>
      </w:r>
    </w:p>
    <w:p>
      <w:pPr>
        <w:ind w:firstLine="480"/>
        <w:rPr>
          <w:color w:val="auto"/>
          <w:szCs w:val="32"/>
          <w:highlight w:val="none"/>
        </w:rPr>
      </w:pPr>
      <w:r>
        <w:rPr>
          <w:rFonts w:hint="eastAsia"/>
          <w:color w:val="auto"/>
          <w:szCs w:val="32"/>
          <w:highlight w:val="none"/>
        </w:rPr>
        <w:t>安装标准：符合我国国家有关技术规范要求和技术标准，所有的软件和硬件必须保证同时安装到位。</w:t>
      </w:r>
    </w:p>
    <w:p>
      <w:pPr>
        <w:ind w:firstLine="480"/>
        <w:rPr>
          <w:color w:val="auto"/>
          <w:szCs w:val="32"/>
          <w:highlight w:val="none"/>
        </w:rPr>
      </w:pPr>
      <w:r>
        <w:rPr>
          <w:rFonts w:hint="eastAsia"/>
          <w:color w:val="auto"/>
          <w:szCs w:val="32"/>
          <w:highlight w:val="none"/>
        </w:rPr>
        <w:t>中标人应免费提供合同货物的安装服务。</w:t>
      </w:r>
    </w:p>
    <w:p>
      <w:pPr>
        <w:ind w:firstLine="480"/>
        <w:rPr>
          <w:rFonts w:ascii="宋体" w:hAnsi="宋体" w:cs="宋体"/>
          <w:color w:val="auto"/>
          <w:highlight w:val="none"/>
        </w:rPr>
      </w:pPr>
      <w:r>
        <w:rPr>
          <w:rFonts w:hint="eastAsia"/>
          <w:color w:val="auto"/>
          <w:szCs w:val="32"/>
          <w:highlight w:val="none"/>
        </w:rPr>
        <w:t>中标人在投标文件中应提供安装调试计划、对安装场地和环境的要求。</w:t>
      </w:r>
    </w:p>
    <w:p>
      <w:pPr>
        <w:pStyle w:val="2"/>
        <w:rPr>
          <w:rFonts w:ascii="宋体" w:hAnsi="宋体" w:cs="宋体"/>
          <w:color w:val="auto"/>
          <w:highlight w:val="none"/>
        </w:rPr>
      </w:pPr>
    </w:p>
    <w:p>
      <w:pPr>
        <w:pStyle w:val="2"/>
        <w:rPr>
          <w:rFonts w:ascii="宋体" w:hAnsi="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18"/>
    <w:p>
      <w:pPr>
        <w:pStyle w:val="3"/>
        <w:rPr>
          <w:color w:val="auto"/>
          <w:highlight w:val="none"/>
        </w:rPr>
      </w:pPr>
      <w:bookmarkStart w:id="48" w:name="_Toc17984"/>
      <w:r>
        <w:rPr>
          <w:rFonts w:hint="eastAsia" w:cs="宋体"/>
          <w:color w:val="auto"/>
          <w:highlight w:val="none"/>
        </w:rPr>
        <w:t>第三章 投标人须知</w:t>
      </w:r>
      <w:bookmarkEnd w:id="48"/>
    </w:p>
    <w:p>
      <w:pPr>
        <w:pStyle w:val="4"/>
        <w:jc w:val="center"/>
        <w:rPr>
          <w:rFonts w:ascii="宋体" w:hAnsi="宋体" w:cs="宋体"/>
          <w:color w:val="auto"/>
          <w:highlight w:val="none"/>
        </w:rPr>
      </w:pPr>
      <w:bookmarkStart w:id="49" w:name="_Toc452457413"/>
      <w:bookmarkStart w:id="50" w:name="_Toc21699"/>
      <w:bookmarkStart w:id="51" w:name="_Toc2290"/>
      <w:r>
        <w:rPr>
          <w:rFonts w:hint="eastAsia" w:ascii="宋体" w:hAnsi="宋体" w:cs="宋体"/>
          <w:color w:val="auto"/>
          <w:highlight w:val="none"/>
        </w:rPr>
        <w:t>前 附 表</w:t>
      </w:r>
      <w:bookmarkEnd w:id="49"/>
      <w:bookmarkEnd w:id="50"/>
      <w:bookmarkEnd w:id="51"/>
    </w:p>
    <w:tbl>
      <w:tblPr>
        <w:tblStyle w:val="38"/>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spacing w:line="348" w:lineRule="auto"/>
              <w:ind w:firstLine="480"/>
              <w:rPr>
                <w:rFonts w:ascii="宋体" w:hAnsi="宋体" w:cs="宋体"/>
                <w:color w:val="auto"/>
                <w:highlight w:val="none"/>
              </w:rPr>
            </w:pPr>
            <w:r>
              <w:rPr>
                <w:rFonts w:hint="eastAsia" w:ascii="宋体" w:hAnsi="宋体" w:cs="宋体"/>
                <w:color w:val="auto"/>
                <w:highlight w:val="none"/>
              </w:rPr>
              <w:t>1. 投标报价需包含设备（软件）费、安装费、调试费、验收费（通过验收直至交付用户使用，达到使用要求及质量标准）、培训费、合同包含的所有风险责任等各项费用及不可预见费、质保期内保修服务等所需的全部费用都包含在投标总价中。</w:t>
            </w:r>
          </w:p>
          <w:p>
            <w:pPr>
              <w:spacing w:line="348" w:lineRule="auto"/>
              <w:ind w:firstLine="480"/>
              <w:rPr>
                <w:rFonts w:ascii="宋体" w:hAnsi="宋体" w:cs="宋体"/>
                <w:color w:val="auto"/>
                <w:highlight w:val="none"/>
              </w:rPr>
            </w:pPr>
            <w:r>
              <w:rPr>
                <w:rFonts w:hint="eastAsia" w:ascii="宋体" w:hAnsi="宋体" w:cs="宋体"/>
                <w:color w:val="auto"/>
                <w:highlight w:val="none"/>
              </w:rPr>
              <w:t>2. 设备费为用户指定落地价：</w:t>
            </w:r>
          </w:p>
          <w:p>
            <w:pPr>
              <w:spacing w:line="348" w:lineRule="auto"/>
              <w:ind w:firstLine="480"/>
              <w:rPr>
                <w:rFonts w:ascii="宋体" w:hAnsi="宋体" w:cs="宋体"/>
                <w:color w:val="auto"/>
                <w:highlight w:val="none"/>
              </w:rPr>
            </w:pPr>
            <w:r>
              <w:rPr>
                <w:rFonts w:hint="eastAsia" w:ascii="宋体" w:hAnsi="宋体" w:cs="宋体"/>
                <w:color w:val="auto"/>
                <w:highlight w:val="none"/>
              </w:rPr>
              <w:t>（1）国产设备或国内直接供货的进口设备：设备费须包含设备（包括主机、标准附件、备品备件、专用工具）价、设备运杂费、保险费、利润、税金等，以人民币报价。</w:t>
            </w:r>
          </w:p>
          <w:p>
            <w:pPr>
              <w:spacing w:line="348" w:lineRule="auto"/>
              <w:ind w:firstLine="480"/>
              <w:rPr>
                <w:rFonts w:ascii="宋体" w:hAnsi="宋体" w:cs="宋体"/>
                <w:color w:val="auto"/>
                <w:highlight w:val="none"/>
              </w:rPr>
            </w:pPr>
            <w:r>
              <w:rPr>
                <w:rFonts w:hint="eastAsia" w:ascii="宋体" w:hAnsi="宋体" w:cs="宋体"/>
                <w:color w:val="auto"/>
                <w:highlight w:val="none"/>
              </w:rPr>
              <w:t>（2）进口外贸设备：设备费须包含设备（包括主机、标准附件、备品备件、专用工具）价、国际运费、国际运输保险费、国内运输保险费等；进口外贸设备以美元、欧元等世界主要流通货币报价，报价方式为CIP杭州（不含关税和增值税），并由采购人委托相关的外贸公司履行代理进口事宜，所需费用按合同约定条款执行，如果合同总价超出确认书金额，合同总价为确认书金额。合同货款统一按开标当日与上午9点30分最接近的时间中国银行总行发布的外币对人民币的现钞卖出价折算成人民币。</w:t>
            </w:r>
          </w:p>
          <w:p>
            <w:pPr>
              <w:spacing w:line="348" w:lineRule="auto"/>
              <w:ind w:firstLine="480"/>
              <w:rPr>
                <w:rFonts w:ascii="宋体" w:hAnsi="宋体" w:cs="宋体"/>
                <w:color w:val="auto"/>
                <w:highlight w:val="none"/>
              </w:rPr>
            </w:pPr>
            <w:r>
              <w:rPr>
                <w:rFonts w:hint="eastAsia" w:ascii="宋体" w:hAnsi="宋体" w:cs="宋体"/>
                <w:color w:val="auto"/>
                <w:highlight w:val="none"/>
              </w:rPr>
              <w:t>3. 若同一标项中既有国产设备或国内供货设备，又有进口外贸设备，须按照不同类别以人民币、美元等世界主要流通货币分别报价。</w:t>
            </w:r>
          </w:p>
          <w:p>
            <w:pPr>
              <w:spacing w:line="348" w:lineRule="auto"/>
              <w:ind w:firstLine="480"/>
              <w:rPr>
                <w:rFonts w:ascii="宋体" w:hAnsi="宋体" w:cs="宋体"/>
                <w:color w:val="auto"/>
                <w:highlight w:val="none"/>
              </w:rPr>
            </w:pPr>
            <w:r>
              <w:rPr>
                <w:rFonts w:hint="eastAsia" w:ascii="宋体" w:hAnsi="宋体" w:cs="宋体"/>
                <w:color w:val="auto"/>
                <w:highlight w:val="none"/>
              </w:rPr>
              <w:t>4. 投标人的投标报价应在项目预算之内，超出预算金额的投标文件按无效标处理。如报价为外币价，统一换算成人民币价格，汇率按开标当日与上午9点30分最接近的时间中国银行总行发布的外币对人民币的现钞卖出价，换算后人民币价格应该在预算价格之内，否则作无效标处理。</w:t>
            </w:r>
          </w:p>
          <w:p>
            <w:pPr>
              <w:spacing w:line="348" w:lineRule="auto"/>
              <w:ind w:firstLine="480"/>
              <w:rPr>
                <w:rFonts w:ascii="宋体" w:hAnsi="宋体" w:cs="宋体"/>
                <w:color w:val="auto"/>
                <w:highlight w:val="none"/>
              </w:rPr>
            </w:pPr>
            <w:r>
              <w:rPr>
                <w:rFonts w:hint="eastAsia" w:ascii="宋体" w:hAnsi="宋体" w:cs="宋体"/>
                <w:color w:val="auto"/>
                <w:highlight w:val="none"/>
              </w:rPr>
              <w:t>5. 本项目涉及的进口设备预算中包含了设备外贸代理费。</w:t>
            </w:r>
          </w:p>
          <w:p>
            <w:pPr>
              <w:spacing w:line="348" w:lineRule="auto"/>
              <w:ind w:firstLine="480"/>
              <w:rPr>
                <w:rFonts w:ascii="宋体" w:hAnsi="宋体" w:cs="宋体"/>
                <w:color w:val="auto"/>
                <w:highlight w:val="none"/>
              </w:rPr>
            </w:pPr>
            <w:r>
              <w:rPr>
                <w:rFonts w:hint="eastAsia" w:ascii="宋体" w:hAnsi="宋体" w:cs="宋体"/>
                <w:color w:val="auto"/>
                <w:highlight w:val="none"/>
              </w:rPr>
              <w:t>6. 不论采购结果如何，投标人均应自行承担所有与此次投标有关的全部费用。</w:t>
            </w:r>
          </w:p>
          <w:p>
            <w:pPr>
              <w:spacing w:line="348" w:lineRule="auto"/>
              <w:ind w:firstLine="480"/>
              <w:rPr>
                <w:rFonts w:ascii="宋体" w:hAnsi="宋体" w:cs="宋体"/>
                <w:color w:val="auto"/>
                <w:highlight w:val="none"/>
              </w:rPr>
            </w:pPr>
            <w:r>
              <w:rPr>
                <w:rFonts w:hint="eastAsia" w:ascii="宋体" w:hAnsi="宋体" w:cs="宋体"/>
                <w:color w:val="auto"/>
                <w:highlight w:val="none"/>
              </w:rPr>
              <w:t>7. 投标报价是指一次性报出不得修改的价格，投标报价应按采购文件中相关附表格式填写。</w:t>
            </w:r>
          </w:p>
          <w:p>
            <w:pPr>
              <w:spacing w:line="348" w:lineRule="auto"/>
              <w:ind w:firstLine="480"/>
              <w:rPr>
                <w:rFonts w:ascii="宋体" w:hAnsi="宋体" w:cs="宋体"/>
                <w:color w:val="auto"/>
                <w:highlight w:val="none"/>
              </w:rPr>
            </w:pPr>
            <w:r>
              <w:rPr>
                <w:rFonts w:hint="eastAsia" w:ascii="宋体" w:hAnsi="宋体" w:cs="宋体"/>
                <w:color w:val="auto"/>
                <w:highlight w:val="none"/>
              </w:rPr>
              <w:t xml:space="preserve">8. 投标报价是履行合同的最终价格，应包括完成所有产品供货及履行所有规定服务所产生的全部费用。 </w:t>
            </w:r>
          </w:p>
          <w:p>
            <w:pPr>
              <w:ind w:firstLine="480"/>
              <w:rPr>
                <w:rFonts w:ascii="仿宋" w:hAnsi="仿宋" w:eastAsia="仿宋" w:cs="仿宋_GB2312"/>
                <w:b/>
                <w:color w:val="auto"/>
                <w:highlight w:val="none"/>
              </w:rPr>
            </w:pPr>
            <w:r>
              <w:rPr>
                <w:rFonts w:hint="eastAsia" w:ascii="宋体" w:hAnsi="宋体" w:cs="宋体"/>
                <w:color w:val="auto"/>
                <w:highlight w:val="none"/>
              </w:rPr>
              <w:t>9.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5"/>
              </w:numPr>
              <w:ind w:firstLine="0" w:firstLineChars="0"/>
              <w:rPr>
                <w:color w:val="auto"/>
                <w:highlight w:val="none"/>
              </w:rPr>
            </w:pPr>
            <w:r>
              <w:rPr>
                <w:rFonts w:hint="eastAsia"/>
                <w:color w:val="auto"/>
                <w:highlight w:val="none"/>
              </w:rPr>
              <w:t>采购人不同意分包。</w:t>
            </w:r>
          </w:p>
          <w:p>
            <w:pPr>
              <w:pStyle w:val="8"/>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（1）纸质版：资格证明文件正本一份，副本无需提供；报价文件正本一份，副本五份；商务技术文件正本一份，副本五份。</w:t>
            </w:r>
          </w:p>
          <w:p>
            <w:pPr>
              <w:ind w:firstLine="0" w:firstLineChars="0"/>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ascii="宋体" w:hAnsi="宋体"/>
                <w:color w:val="auto"/>
                <w:highlight w:val="none"/>
              </w:rPr>
            </w:pPr>
            <w:r>
              <w:rPr>
                <w:rFonts w:hint="eastAsia" w:ascii="宋体" w:hAnsi="宋体"/>
                <w:color w:val="auto"/>
                <w:highlight w:val="none"/>
              </w:rPr>
              <w:t>代理服务费收费标准为：按国家计委关于印发《招标代理服务收费管理暂行办法》(计价格[2002]1980号)文件规定收费标准的70%向中标(成交)供应商收取。即服务收费标准(费率)如下：</w:t>
            </w:r>
          </w:p>
          <w:tbl>
            <w:tblPr>
              <w:tblStyle w:val="38"/>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服务类型中标金额（万元）</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货物招标</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100以下</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100-500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0.77%</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500-1000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1000-5000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5000-10000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0.07%</w:t>
                  </w:r>
                </w:p>
              </w:tc>
            </w:tr>
          </w:tbl>
          <w:p>
            <w:pPr>
              <w:spacing w:line="312" w:lineRule="auto"/>
              <w:ind w:firstLine="480"/>
              <w:rPr>
                <w:rFonts w:ascii="宋体" w:hAnsi="宋体" w:cs="宋体"/>
                <w:color w:val="auto"/>
                <w:highlight w:val="none"/>
              </w:rPr>
            </w:pPr>
            <w:r>
              <w:rPr>
                <w:rFonts w:hint="eastAsia" w:ascii="宋体" w:hAnsi="宋体" w:cs="宋体"/>
                <w:color w:val="auto"/>
                <w:highlight w:val="none"/>
              </w:rPr>
              <w:t>1.成交人在领取成交通知书前，应向招标代理机构交纳招标代理服务费。</w:t>
            </w:r>
          </w:p>
          <w:p>
            <w:pPr>
              <w:spacing w:line="312" w:lineRule="auto"/>
              <w:ind w:firstLine="480"/>
              <w:rPr>
                <w:rFonts w:ascii="宋体" w:hAnsi="宋体" w:cs="宋体"/>
                <w:color w:val="auto"/>
                <w:highlight w:val="none"/>
              </w:rPr>
            </w:pPr>
            <w:r>
              <w:rPr>
                <w:rFonts w:hint="eastAsia" w:ascii="宋体" w:hAnsi="宋体" w:cs="宋体"/>
                <w:color w:val="auto"/>
                <w:highlight w:val="none"/>
              </w:rPr>
              <w:t>2.招标代理服务费以电汇方式支付。</w:t>
            </w:r>
          </w:p>
          <w:p>
            <w:pPr>
              <w:spacing w:line="312" w:lineRule="auto"/>
              <w:ind w:firstLine="480"/>
              <w:rPr>
                <w:rFonts w:ascii="宋体" w:hAnsi="宋体" w:cs="宋体"/>
                <w:color w:val="auto"/>
                <w:highlight w:val="none"/>
              </w:rPr>
            </w:pPr>
            <w:r>
              <w:rPr>
                <w:rFonts w:hint="eastAsia" w:ascii="宋体" w:hAnsi="宋体" w:cs="宋体"/>
                <w:color w:val="auto"/>
                <w:highlight w:val="none"/>
              </w:rPr>
              <w:t>服务费汇入以下账户：</w:t>
            </w:r>
          </w:p>
          <w:p>
            <w:pPr>
              <w:spacing w:line="312" w:lineRule="auto"/>
              <w:ind w:firstLine="480"/>
              <w:rPr>
                <w:rFonts w:ascii="宋体" w:hAnsi="宋体" w:cs="宋体"/>
                <w:color w:val="auto"/>
                <w:highlight w:val="none"/>
              </w:rPr>
            </w:pPr>
            <w:r>
              <w:rPr>
                <w:rFonts w:hint="eastAsia" w:ascii="宋体" w:hAnsi="宋体" w:cs="宋体"/>
                <w:color w:val="auto"/>
                <w:highlight w:val="none"/>
              </w:rPr>
              <w:t>单位：浙江五石工程咨询有限公司萧山分公司</w:t>
            </w:r>
          </w:p>
          <w:p>
            <w:pPr>
              <w:spacing w:line="312" w:lineRule="auto"/>
              <w:ind w:firstLine="480"/>
              <w:rPr>
                <w:rFonts w:ascii="宋体" w:hAnsi="宋体" w:cs="宋体"/>
                <w:color w:val="auto"/>
                <w:highlight w:val="none"/>
              </w:rPr>
            </w:pPr>
            <w:r>
              <w:rPr>
                <w:rFonts w:hint="eastAsia" w:ascii="宋体" w:hAnsi="宋体" w:cs="宋体"/>
                <w:color w:val="auto"/>
                <w:highlight w:val="none"/>
              </w:rPr>
              <w:t>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6"/>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4"/>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4"/>
        <w:jc w:val="center"/>
        <w:rPr>
          <w:rFonts w:ascii="宋体" w:hAnsi="宋体" w:cs="宋体"/>
          <w:color w:val="auto"/>
          <w:highlight w:val="none"/>
        </w:rPr>
      </w:pPr>
      <w:bookmarkStart w:id="52" w:name="_Toc179632546"/>
      <w:bookmarkStart w:id="53" w:name="_Toc144974497"/>
      <w:bookmarkStart w:id="54" w:name="_Toc246996918"/>
      <w:bookmarkStart w:id="55" w:name="_Toc152045529"/>
      <w:bookmarkStart w:id="56" w:name="_Toc247085689"/>
      <w:bookmarkStart w:id="57" w:name="_Toc452457414"/>
      <w:bookmarkStart w:id="58" w:name="_Toc152042305"/>
      <w:bookmarkStart w:id="59" w:name="_Toc296602420"/>
      <w:bookmarkStart w:id="60" w:name="_Toc246996175"/>
      <w:r>
        <w:rPr>
          <w:rFonts w:hint="eastAsia" w:ascii="宋体" w:hAnsi="宋体" w:cs="宋体"/>
          <w:color w:val="auto"/>
          <w:highlight w:val="none"/>
        </w:rPr>
        <w:br w:type="page"/>
      </w:r>
      <w:bookmarkEnd w:id="52"/>
      <w:bookmarkEnd w:id="53"/>
      <w:bookmarkEnd w:id="54"/>
      <w:bookmarkEnd w:id="55"/>
      <w:bookmarkEnd w:id="56"/>
      <w:bookmarkEnd w:id="57"/>
      <w:bookmarkEnd w:id="58"/>
      <w:bookmarkEnd w:id="59"/>
      <w:bookmarkEnd w:id="60"/>
      <w:bookmarkStart w:id="61" w:name="_Toc2440"/>
      <w:bookmarkStart w:id="62" w:name="_Toc22147"/>
      <w:bookmarkStart w:id="63" w:name="_Toc179632547"/>
      <w:bookmarkStart w:id="64" w:name="_Toc144974498"/>
      <w:bookmarkStart w:id="65" w:name="_Toc246996919"/>
      <w:bookmarkStart w:id="66" w:name="_Toc152045530"/>
      <w:bookmarkStart w:id="67" w:name="_Toc152042306"/>
      <w:bookmarkStart w:id="68" w:name="_Toc246996176"/>
      <w:bookmarkStart w:id="69" w:name="_Toc247085690"/>
      <w:bookmarkStart w:id="70" w:name="_Toc296602421"/>
      <w:r>
        <w:rPr>
          <w:rFonts w:hint="eastAsia" w:ascii="宋体" w:hAnsi="宋体" w:cs="宋体"/>
          <w:color w:val="auto"/>
          <w:highlight w:val="none"/>
        </w:rPr>
        <w:t>第一节 总 则</w:t>
      </w:r>
      <w:bookmarkEnd w:id="61"/>
      <w:bookmarkEnd w:id="62"/>
    </w:p>
    <w:p>
      <w:pPr>
        <w:pStyle w:val="5"/>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5"/>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1.“采购人”系指中国计量大学。</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5"/>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5"/>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5"/>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9"/>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19"/>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9"/>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19"/>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5"/>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9"/>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71" w:name="_Toc91899879"/>
      <w:bookmarkStart w:id="72" w:name="_Toc16985"/>
      <w:r>
        <w:rPr>
          <w:rFonts w:hint="eastAsia" w:ascii="宋体" w:hAnsi="宋体" w:cs="宋体"/>
          <w:b/>
          <w:bCs/>
          <w:color w:val="auto"/>
          <w:sz w:val="28"/>
          <w:szCs w:val="32"/>
          <w:highlight w:val="none"/>
        </w:rPr>
        <w:t>第二节 招标文件</w:t>
      </w:r>
      <w:bookmarkEnd w:id="71"/>
      <w:r>
        <w:rPr>
          <w:rFonts w:hint="eastAsia" w:ascii="宋体" w:hAnsi="宋体" w:cs="宋体"/>
          <w:b/>
          <w:bCs/>
          <w:color w:val="auto"/>
          <w:sz w:val="28"/>
          <w:szCs w:val="32"/>
          <w:highlight w:val="none"/>
        </w:rPr>
        <w:t>的构成、澄清、修改</w:t>
      </w:r>
      <w:bookmarkEnd w:id="72"/>
    </w:p>
    <w:p>
      <w:pPr>
        <w:pStyle w:val="5"/>
        <w:rPr>
          <w:rFonts w:ascii="宋体" w:hAnsi="宋体" w:cs="宋体"/>
          <w:color w:val="auto"/>
          <w:highlight w:val="none"/>
        </w:rPr>
      </w:pPr>
      <w:bookmarkStart w:id="73" w:name="_Toc91899880"/>
      <w:bookmarkStart w:id="74" w:name="_Hlt74730307"/>
      <w:r>
        <w:rPr>
          <w:rFonts w:hint="eastAsia" w:ascii="宋体" w:hAnsi="宋体" w:cs="宋体"/>
          <w:color w:val="auto"/>
          <w:highlight w:val="none"/>
        </w:rPr>
        <w:t>一、招标文件的构成</w:t>
      </w:r>
      <w:bookmarkEnd w:id="73"/>
    </w:p>
    <w:bookmarkEnd w:id="74"/>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19"/>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4"/>
        <w:jc w:val="center"/>
        <w:rPr>
          <w:rFonts w:ascii="宋体" w:hAnsi="宋体" w:cs="宋体"/>
          <w:color w:val="auto"/>
          <w:highlight w:val="none"/>
        </w:rPr>
      </w:pPr>
      <w:bookmarkStart w:id="75" w:name="_Toc450840075"/>
      <w:bookmarkStart w:id="76" w:name="_Toc82873324"/>
      <w:bookmarkStart w:id="77" w:name="_Toc204"/>
      <w:bookmarkStart w:id="78" w:name="_Toc82338241"/>
      <w:bookmarkStart w:id="79" w:name="_Toc1096"/>
      <w:r>
        <w:rPr>
          <w:rFonts w:hint="eastAsia" w:ascii="宋体" w:hAnsi="宋体" w:cs="宋体"/>
          <w:color w:val="auto"/>
          <w:highlight w:val="none"/>
        </w:rPr>
        <w:t>第三节 投标文件</w:t>
      </w:r>
      <w:bookmarkEnd w:id="75"/>
      <w:bookmarkEnd w:id="76"/>
      <w:bookmarkEnd w:id="77"/>
      <w:bookmarkEnd w:id="78"/>
      <w:bookmarkEnd w:id="79"/>
    </w:p>
    <w:p>
      <w:pPr>
        <w:pStyle w:val="5"/>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5"/>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法定代表人的身份证和法定代表人授权委托书（投标人的代表若为非法定代表人的，必须提交法定代表人授权书；身份证复印件、授权委托人社保证明（至少开标前三个月任1个月的社保证明）；（附件五）</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1"/>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11"/>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技术服务方案</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实施技术人员一览表</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培训方案</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5"/>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80" w:name="_Toc12521"/>
      <w:bookmarkStart w:id="81" w:name="_Toc1"/>
      <w:r>
        <w:rPr>
          <w:rFonts w:hint="eastAsia" w:ascii="宋体" w:hAnsi="宋体" w:cs="宋体"/>
          <w:color w:val="auto"/>
          <w:highlight w:val="none"/>
        </w:rPr>
        <w:t>第四节 投标文件的递交</w:t>
      </w:r>
      <w:bookmarkEnd w:id="80"/>
      <w:bookmarkEnd w:id="81"/>
    </w:p>
    <w:p>
      <w:pPr>
        <w:pStyle w:val="5"/>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5"/>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4"/>
        <w:jc w:val="center"/>
        <w:rPr>
          <w:rFonts w:ascii="宋体" w:hAnsi="宋体" w:cs="宋体"/>
          <w:color w:val="auto"/>
          <w:highlight w:val="none"/>
        </w:rPr>
      </w:pPr>
      <w:bookmarkStart w:id="82" w:name="_Toc20835"/>
      <w:bookmarkStart w:id="83" w:name="_Toc27893"/>
      <w:r>
        <w:rPr>
          <w:rFonts w:hint="eastAsia" w:ascii="宋体" w:hAnsi="宋体" w:cs="宋体"/>
          <w:color w:val="auto"/>
          <w:highlight w:val="none"/>
        </w:rPr>
        <w:t>第五节 开标</w:t>
      </w:r>
      <w:bookmarkEnd w:id="82"/>
      <w:bookmarkEnd w:id="83"/>
    </w:p>
    <w:p>
      <w:pPr>
        <w:pStyle w:val="5"/>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5"/>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84" w:name="_Toc13687"/>
      <w:bookmarkStart w:id="85" w:name="_Toc13357"/>
      <w:r>
        <w:rPr>
          <w:rFonts w:hint="eastAsia" w:ascii="宋体" w:hAnsi="宋体" w:cs="宋体"/>
          <w:color w:val="auto"/>
          <w:highlight w:val="none"/>
        </w:rPr>
        <w:t>第六节 评标</w:t>
      </w:r>
      <w:bookmarkEnd w:id="84"/>
      <w:bookmarkEnd w:id="85"/>
    </w:p>
    <w:p>
      <w:pPr>
        <w:pStyle w:val="5"/>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5"/>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5"/>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5"/>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5"/>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5"/>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5"/>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86" w:name="_Toc31535"/>
      <w:bookmarkStart w:id="87" w:name="_Toc24239"/>
      <w:r>
        <w:rPr>
          <w:rFonts w:hint="eastAsia" w:ascii="宋体" w:hAnsi="宋体" w:cs="宋体"/>
          <w:color w:val="auto"/>
          <w:highlight w:val="none"/>
        </w:rPr>
        <w:t>第七节 授予合同</w:t>
      </w:r>
      <w:bookmarkEnd w:id="86"/>
      <w:bookmarkEnd w:id="87"/>
    </w:p>
    <w:p>
      <w:pPr>
        <w:pStyle w:val="5"/>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2.采购代理机构自中标供应商确定之日起2个工作日内，发出中标通知书，并在中国计量大学采购网等相关网站或媒体上公告中标结果。中标公告期限为1个工作日。</w:t>
      </w:r>
    </w:p>
    <w:p>
      <w:pPr>
        <w:pStyle w:val="5"/>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
        <w:rPr>
          <w:rFonts w:ascii="宋体" w:hAnsi="宋体" w:cs="宋体"/>
          <w:color w:val="auto"/>
          <w:highlight w:val="none"/>
        </w:rPr>
      </w:pPr>
    </w:p>
    <w:p>
      <w:pPr>
        <w:pStyle w:val="4"/>
        <w:jc w:val="center"/>
        <w:rPr>
          <w:rFonts w:ascii="宋体" w:hAnsi="宋体" w:cs="宋体"/>
          <w:color w:val="auto"/>
          <w:highlight w:val="none"/>
        </w:rPr>
      </w:pPr>
      <w:bookmarkStart w:id="88" w:name="_Toc15220"/>
      <w:bookmarkStart w:id="89" w:name="_Toc12481"/>
      <w:r>
        <w:rPr>
          <w:rFonts w:hint="eastAsia" w:ascii="宋体" w:hAnsi="宋体" w:cs="宋体"/>
          <w:color w:val="auto"/>
          <w:highlight w:val="none"/>
        </w:rPr>
        <w:t>第八节 例外处理</w:t>
      </w:r>
      <w:bookmarkEnd w:id="88"/>
      <w:bookmarkEnd w:id="89"/>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3"/>
        <w:rPr>
          <w:color w:val="auto"/>
          <w:highlight w:val="none"/>
        </w:rPr>
      </w:pPr>
      <w:bookmarkStart w:id="90" w:name="_Toc82338233"/>
      <w:bookmarkStart w:id="91" w:name="_Toc82873316"/>
      <w:bookmarkStart w:id="92" w:name="_Toc450840079"/>
      <w:bookmarkStart w:id="93" w:name="_Toc20600"/>
      <w:r>
        <w:rPr>
          <w:rFonts w:hint="eastAsia" w:cs="宋体"/>
          <w:color w:val="auto"/>
          <w:highlight w:val="none"/>
        </w:rPr>
        <w:t xml:space="preserve">第四章 </w:t>
      </w:r>
      <w:bookmarkEnd w:id="90"/>
      <w:bookmarkEnd w:id="91"/>
      <w:bookmarkEnd w:id="92"/>
      <w:r>
        <w:rPr>
          <w:rFonts w:hint="eastAsia" w:cs="宋体"/>
          <w:color w:val="auto"/>
          <w:highlight w:val="none"/>
        </w:rPr>
        <w:t>评标办法及评分标准</w:t>
      </w:r>
      <w:bookmarkEnd w:id="93"/>
    </w:p>
    <w:p>
      <w:pPr>
        <w:pStyle w:val="4"/>
        <w:rPr>
          <w:rFonts w:ascii="宋体" w:hAnsi="宋体" w:cs="宋体"/>
          <w:color w:val="auto"/>
          <w:highlight w:val="none"/>
        </w:rPr>
      </w:pPr>
      <w:bookmarkStart w:id="94" w:name="_Toc11391"/>
      <w:bookmarkStart w:id="95" w:name="_Toc3811"/>
      <w:bookmarkStart w:id="96" w:name="_Toc3110"/>
      <w:bookmarkStart w:id="97" w:name="OLE_LINK3"/>
      <w:r>
        <w:rPr>
          <w:rFonts w:hint="eastAsia" w:ascii="宋体" w:hAnsi="宋体" w:cs="宋体"/>
          <w:color w:val="auto"/>
          <w:highlight w:val="none"/>
        </w:rPr>
        <w:t>一、评分总则</w:t>
      </w:r>
      <w:bookmarkEnd w:id="94"/>
      <w:bookmarkEnd w:id="95"/>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4"/>
        <w:rPr>
          <w:rFonts w:ascii="宋体" w:hAnsi="宋体" w:cs="宋体"/>
          <w:color w:val="auto"/>
          <w:highlight w:val="none"/>
        </w:rPr>
      </w:pPr>
      <w:bookmarkStart w:id="98" w:name="_Toc7789"/>
      <w:r>
        <w:rPr>
          <w:rFonts w:hint="eastAsia" w:ascii="宋体" w:hAnsi="宋体" w:cs="宋体"/>
          <w:color w:val="auto"/>
          <w:highlight w:val="none"/>
        </w:rPr>
        <w:t>二、评分内容及标准</w:t>
      </w:r>
      <w:bookmarkEnd w:id="96"/>
      <w:bookmarkEnd w:id="98"/>
    </w:p>
    <w:bookmarkEnd w:id="97"/>
    <w:p>
      <w:pPr>
        <w:ind w:firstLine="480"/>
        <w:rPr>
          <w:rFonts w:ascii="宋体" w:hAnsi="宋体" w:cs="宋体"/>
          <w:color w:val="auto"/>
          <w:szCs w:val="32"/>
          <w:highlight w:val="none"/>
        </w:rPr>
      </w:pPr>
      <w:bookmarkStart w:id="99" w:name="_Toc82873317"/>
      <w:bookmarkStart w:id="100" w:name="_Toc82338234"/>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8"/>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bookmarkStart w:id="101" w:name="_Toc450840083"/>
            <w:r>
              <w:rPr>
                <w:rFonts w:hint="eastAsia" w:ascii="宋体" w:hAnsi="宋体" w:cs="宋体"/>
                <w:color w:val="auto"/>
                <w:highlight w:val="none"/>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价格分</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（35分）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autoSpaceDE/>
              <w:autoSpaceDN/>
              <w:snapToGrid/>
              <w:spacing w:line="240" w:lineRule="auto"/>
              <w:ind w:firstLine="0"/>
              <w:rPr>
                <w:rFonts w:hAnsi="宋体" w:cs="宋体"/>
                <w:color w:val="auto"/>
                <w:szCs w:val="24"/>
                <w:highlight w:val="none"/>
              </w:rPr>
            </w:pPr>
            <w:r>
              <w:rPr>
                <w:rFonts w:hint="eastAsia" w:hAnsi="宋体" w:cs="宋体"/>
                <w:color w:val="auto"/>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价格分=（评标基准价/投标报价）×35%×100</w:t>
            </w:r>
          </w:p>
          <w:p>
            <w:pPr>
              <w:pStyle w:val="168"/>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color w:val="auto"/>
                <w:highlight w:val="none"/>
              </w:rPr>
            </w:pPr>
            <w:r>
              <w:rPr>
                <w:rFonts w:hint="eastAsia" w:ascii="宋体" w:hAnsi="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35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商务资信</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（10分）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投标人具有有效期内的体系（ISO9001认证、ISO14001认证）认证证书的，每个得1分，最高</w:t>
            </w:r>
            <w:r>
              <w:rPr>
                <w:rFonts w:ascii="宋体" w:hAnsi="宋体" w:cs="宋体"/>
                <w:color w:val="auto"/>
                <w:highlight w:val="none"/>
              </w:rPr>
              <w:t>2</w:t>
            </w:r>
            <w:r>
              <w:rPr>
                <w:rFonts w:hint="eastAsia" w:ascii="宋体" w:hAnsi="宋体" w:cs="宋体"/>
                <w:color w:val="auto"/>
                <w:highlight w:val="none"/>
              </w:rPr>
              <w:t>分。（投标文件中提供复印件，原件备查）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8"/>
              <w:ind w:firstLine="0"/>
              <w:rPr>
                <w:rFonts w:ascii="宋体" w:hAnsi="宋体" w:cs="宋体"/>
                <w:color w:val="auto"/>
                <w:sz w:val="24"/>
                <w:szCs w:val="21"/>
                <w:highlight w:val="none"/>
              </w:rPr>
            </w:pPr>
            <w:r>
              <w:rPr>
                <w:rFonts w:hint="eastAsia" w:ascii="宋体" w:hAnsi="宋体" w:cs="宋体"/>
                <w:color w:val="auto"/>
                <w:sz w:val="24"/>
                <w:szCs w:val="21"/>
                <w:highlight w:val="none"/>
              </w:rPr>
              <w:t>质保期满足招标文件，且每增加十二个月加1分，增加不足十二个月的不加分；本项最高得3分。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技术方案</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（55分）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投标产品的基本功能、技术指标与需求的吻合程度和偏差情况（除★以外）（包括所投标产品的详细配置、主要技术参数、随机软件等，是否能够满足投标文件要求。全部满足20分；技术指标负偏离每一项扣2分，扣完为止。</w:t>
            </w:r>
          </w:p>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对于标▲的技术指标负偏离每一项扣5分，五项及以上认定投标无效。</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highlight w:val="none"/>
              </w:rPr>
            </w:pPr>
            <w:r>
              <w:rPr>
                <w:rFonts w:hint="eastAsia"/>
                <w:color w:val="auto"/>
                <w:highlight w:val="none"/>
              </w:rPr>
              <w:t>技术支持资料完整性及对投标产品技术偏离程度的证明。</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根据设备的先进性，投标产品品牌在国际国内市场知名度、信誉度、认可度等综合打分。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技术服务方案：投标人资金安排、货物供货、验货、关键步骤的思路和要点以及组织机构、工作时间进度表、工作程序和步骤等综合打分。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312" w:lineRule="auto"/>
              <w:ind w:firstLine="0"/>
              <w:rPr>
                <w:rFonts w:hAnsi="宋体" w:cs="宋体"/>
                <w:color w:val="auto"/>
                <w:szCs w:val="24"/>
                <w:highlight w:val="none"/>
              </w:rPr>
            </w:pPr>
            <w:r>
              <w:rPr>
                <w:rFonts w:hint="eastAsia" w:hAnsi="宋体" w:cs="宋体"/>
                <w:bCs/>
                <w:color w:val="auto"/>
                <w:spacing w:val="-6"/>
                <w:szCs w:val="24"/>
                <w:highlight w:val="none"/>
              </w:rPr>
              <w:t>完整合理的有针对性的售后服务方案、</w:t>
            </w:r>
            <w:r>
              <w:rPr>
                <w:rFonts w:hint="eastAsia" w:hAnsi="宋体" w:cs="宋体"/>
                <w:color w:val="auto"/>
                <w:szCs w:val="24"/>
                <w:highlight w:val="none"/>
              </w:rPr>
              <w:t>专业服务力量和服务保障</w:t>
            </w:r>
            <w:r>
              <w:rPr>
                <w:rFonts w:hint="eastAsia" w:hAnsi="宋体" w:cs="宋体"/>
                <w:bCs/>
                <w:color w:val="auto"/>
                <w:spacing w:val="-6"/>
                <w:szCs w:val="24"/>
                <w:highlight w:val="none"/>
              </w:rPr>
              <w:t>（除商务偏离表要求外）。</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培训计划内容（除商务偏离表中响应规格以外内容）合理、详细，培训范围广，可实施有针对性。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投标人对本项目的合理化建议和改进措施</w:t>
            </w:r>
            <w:r>
              <w:rPr>
                <w:rFonts w:hint="eastAsia" w:ascii="宋体" w:hAnsi="宋体" w:cs="宋体"/>
                <w:bCs/>
                <w:color w:val="auto"/>
                <w:highlight w:val="none"/>
              </w:rPr>
              <w:t>合理、可行性。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312" w:lineRule="auto"/>
              <w:ind w:firstLine="0"/>
              <w:rPr>
                <w:rFonts w:hAnsi="宋体" w:cs="宋体"/>
                <w:color w:val="auto"/>
                <w:szCs w:val="24"/>
                <w:highlight w:val="none"/>
              </w:rPr>
            </w:pPr>
            <w:r>
              <w:rPr>
                <w:rFonts w:hint="eastAsia" w:hAnsi="宋体" w:cs="宋体"/>
                <w:bCs/>
                <w:color w:val="auto"/>
                <w:spacing w:val="-6"/>
                <w:szCs w:val="24"/>
                <w:highlight w:val="none"/>
              </w:rPr>
              <w:t>投标人承诺给予采购人的各种优惠折扣率、力度。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pacing w:val="-6"/>
                <w:highlight w:val="none"/>
              </w:rPr>
              <w:t>装订、目录编制、提供相关资料是否完善，表格等制作情况酌情评分。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bl>
    <w:p>
      <w:pPr>
        <w:ind w:firstLine="0" w:firstLineChars="0"/>
        <w:rPr>
          <w:rFonts w:ascii="宋体" w:hAnsi="宋体"/>
          <w:color w:val="auto"/>
          <w:highlight w:val="none"/>
        </w:rPr>
      </w:pPr>
    </w:p>
    <w:p>
      <w:pPr>
        <w:ind w:firstLine="0" w:firstLineChars="0"/>
        <w:rPr>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99"/>
    <w:bookmarkEnd w:id="100"/>
    <w:bookmarkEnd w:id="101"/>
    <w:p>
      <w:pPr>
        <w:pStyle w:val="3"/>
        <w:ind w:firstLine="643"/>
        <w:rPr>
          <w:color w:val="auto"/>
          <w:szCs w:val="24"/>
          <w:highlight w:val="none"/>
        </w:rPr>
      </w:pPr>
      <w:bookmarkStart w:id="102" w:name="_Toc1503"/>
      <w:r>
        <w:rPr>
          <w:rFonts w:hint="eastAsia" w:cs="宋体"/>
          <w:color w:val="auto"/>
          <w:szCs w:val="32"/>
          <w:highlight w:val="none"/>
        </w:rPr>
        <w:t>第五章 合同格式</w:t>
      </w:r>
      <w:bookmarkEnd w:id="102"/>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after="240" w:afterLines="100" w:line="420" w:lineRule="exact"/>
        <w:ind w:firstLine="602"/>
        <w:jc w:val="center"/>
        <w:rPr>
          <w:b/>
          <w:color w:val="auto"/>
          <w:sz w:val="30"/>
          <w:szCs w:val="30"/>
          <w:highlight w:val="none"/>
        </w:rPr>
      </w:pPr>
      <w:bookmarkStart w:id="103" w:name="_Toc450840088"/>
      <w:r>
        <w:rPr>
          <w:rFonts w:hint="eastAsia"/>
          <w:b/>
          <w:color w:val="auto"/>
          <w:sz w:val="30"/>
          <w:szCs w:val="30"/>
          <w:highlight w:val="none"/>
        </w:rPr>
        <w:t>中国计量大学进口货物技术协议书</w:t>
      </w:r>
    </w:p>
    <w:p>
      <w:pPr>
        <w:snapToGrid w:val="0"/>
        <w:ind w:firstLine="480"/>
        <w:contextualSpacing/>
        <w:jc w:val="center"/>
        <w:rPr>
          <w:color w:val="auto"/>
          <w:szCs w:val="21"/>
          <w:highlight w:val="none"/>
        </w:rPr>
      </w:pPr>
      <w:r>
        <w:rPr>
          <w:rFonts w:hint="eastAsia"/>
          <w:color w:val="auto"/>
          <w:szCs w:val="21"/>
          <w:highlight w:val="none"/>
        </w:rPr>
        <w:t xml:space="preserve">                                          合同编号：</w:t>
      </w:r>
    </w:p>
    <w:p>
      <w:pPr>
        <w:snapToGrid w:val="0"/>
        <w:ind w:firstLine="480"/>
        <w:contextualSpacing/>
        <w:jc w:val="center"/>
        <w:rPr>
          <w:color w:val="auto"/>
          <w:szCs w:val="21"/>
          <w:highlight w:val="none"/>
        </w:rPr>
      </w:pPr>
      <w:r>
        <w:rPr>
          <w:rFonts w:hint="eastAsia"/>
          <w:color w:val="auto"/>
          <w:szCs w:val="21"/>
          <w:highlight w:val="none"/>
        </w:rPr>
        <w:t xml:space="preserve">                                            确认书编号：</w:t>
      </w:r>
    </w:p>
    <w:p>
      <w:pPr>
        <w:ind w:firstLine="482"/>
        <w:jc w:val="left"/>
        <w:rPr>
          <w:b/>
          <w:bCs/>
          <w:color w:val="auto"/>
          <w:highlight w:val="none"/>
        </w:rPr>
      </w:pPr>
      <w:r>
        <w:rPr>
          <w:rFonts w:hint="eastAsia"/>
          <w:b/>
          <w:bCs/>
          <w:color w:val="auto"/>
          <w:highlight w:val="none"/>
        </w:rPr>
        <w:t>甲方（需方）：</w:t>
      </w:r>
      <w:r>
        <w:rPr>
          <w:rFonts w:hint="eastAsia"/>
          <w:b/>
          <w:bCs/>
          <w:color w:val="auto"/>
          <w:highlight w:val="none"/>
          <w:u w:val="single"/>
        </w:rPr>
        <w:t xml:space="preserve">     中国计量大学             </w:t>
      </w:r>
      <w:r>
        <w:rPr>
          <w:rFonts w:hint="eastAsia"/>
          <w:b/>
          <w:bCs/>
          <w:color w:val="auto"/>
          <w:highlight w:val="none"/>
        </w:rPr>
        <w:t xml:space="preserve"> </w:t>
      </w:r>
    </w:p>
    <w:p>
      <w:pPr>
        <w:ind w:firstLine="482"/>
        <w:jc w:val="left"/>
        <w:rPr>
          <w:b/>
          <w:bCs/>
          <w:color w:val="auto"/>
          <w:highlight w:val="none"/>
        </w:rPr>
      </w:pPr>
      <w:r>
        <w:rPr>
          <w:rFonts w:hint="eastAsia"/>
          <w:b/>
          <w:bCs/>
          <w:color w:val="auto"/>
          <w:highlight w:val="none"/>
        </w:rPr>
        <w:t>乙方（供方）：</w:t>
      </w:r>
      <w:r>
        <w:rPr>
          <w:rFonts w:hint="eastAsia"/>
          <w:b/>
          <w:bCs/>
          <w:color w:val="auto"/>
          <w:highlight w:val="none"/>
          <w:u w:val="single"/>
        </w:rPr>
        <w:t xml:space="preserve">                              </w:t>
      </w:r>
      <w:r>
        <w:rPr>
          <w:rFonts w:hint="eastAsia"/>
          <w:b/>
          <w:bCs/>
          <w:color w:val="auto"/>
          <w:highlight w:val="none"/>
        </w:rPr>
        <w:t xml:space="preserve"> </w:t>
      </w:r>
    </w:p>
    <w:p>
      <w:pPr>
        <w:ind w:firstLine="480"/>
        <w:jc w:val="left"/>
        <w:rPr>
          <w:color w:val="auto"/>
          <w:szCs w:val="21"/>
          <w:highlight w:val="none"/>
        </w:rPr>
      </w:pPr>
    </w:p>
    <w:p>
      <w:pPr>
        <w:ind w:firstLine="480"/>
        <w:jc w:val="left"/>
        <w:rPr>
          <w:rFonts w:ascii="宋体" w:hAnsi="宋体"/>
          <w:snapToGrid w:val="0"/>
          <w:color w:val="auto"/>
          <w:kern w:val="0"/>
          <w:highlight w:val="none"/>
        </w:rPr>
      </w:pPr>
      <w:r>
        <w:rPr>
          <w:rFonts w:hint="eastAsia"/>
          <w:color w:val="auto"/>
          <w:szCs w:val="21"/>
          <w:highlight w:val="none"/>
        </w:rPr>
        <w:t>依照《中华人民共和国合同法》及其他有关法律、行政法规，遵循平等、自愿、公平和诚实信用的原则，双方</w:t>
      </w:r>
      <w:r>
        <w:rPr>
          <w:rFonts w:hint="eastAsia" w:ascii="宋体" w:hAnsi="宋体"/>
          <w:snapToGrid w:val="0"/>
          <w:color w:val="auto"/>
          <w:kern w:val="0"/>
          <w:szCs w:val="21"/>
          <w:highlight w:val="none"/>
        </w:rPr>
        <w:t>根据对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（项目名称和编号）的公开招标的结果,</w:t>
      </w:r>
      <w:r>
        <w:rPr>
          <w:rFonts w:hint="eastAsia" w:ascii="宋体" w:hAnsi="宋体"/>
          <w:snapToGrid w:val="0"/>
          <w:color w:val="auto"/>
          <w:kern w:val="0"/>
          <w:highlight w:val="none"/>
        </w:rPr>
        <w:t>就甲方向乙方购买进口</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设备达成以下协议：</w:t>
      </w:r>
    </w:p>
    <w:p>
      <w:pPr>
        <w:ind w:firstLine="458"/>
        <w:rPr>
          <w:rFonts w:cs="宋体"/>
          <w:b/>
          <w:bCs/>
          <w:color w:val="auto"/>
          <w:spacing w:val="-6"/>
          <w:szCs w:val="21"/>
          <w:highlight w:val="none"/>
        </w:rPr>
      </w:pPr>
    </w:p>
    <w:p>
      <w:pPr>
        <w:ind w:firstLine="458"/>
        <w:rPr>
          <w:rFonts w:cs="宋体"/>
          <w:b/>
          <w:bCs/>
          <w:color w:val="auto"/>
          <w:spacing w:val="-6"/>
          <w:szCs w:val="21"/>
          <w:highlight w:val="none"/>
        </w:rPr>
      </w:pPr>
      <w:r>
        <w:rPr>
          <w:rFonts w:hint="eastAsia" w:cs="宋体"/>
          <w:b/>
          <w:bCs/>
          <w:color w:val="auto"/>
          <w:spacing w:val="-6"/>
          <w:szCs w:val="21"/>
          <w:highlight w:val="none"/>
        </w:rPr>
        <w:t>一、采购商品清单及合同价格</w:t>
      </w:r>
    </w:p>
    <w:tbl>
      <w:tblPr>
        <w:tblStyle w:val="38"/>
        <w:tblW w:w="89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205"/>
        <w:gridCol w:w="1347"/>
        <w:gridCol w:w="1841"/>
        <w:gridCol w:w="708"/>
        <w:gridCol w:w="1418"/>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714" w:type="dxa"/>
            <w:vAlign w:val="center"/>
          </w:tcPr>
          <w:p>
            <w:pPr>
              <w:adjustRightInd w:val="0"/>
              <w:snapToGrid w:val="0"/>
              <w:spacing w:line="240" w:lineRule="auto"/>
              <w:ind w:firstLine="0" w:firstLineChars="0"/>
              <w:jc w:val="center"/>
              <w:rPr>
                <w:snapToGrid w:val="0"/>
                <w:color w:val="auto"/>
                <w:kern w:val="0"/>
                <w:szCs w:val="21"/>
                <w:highlight w:val="none"/>
              </w:rPr>
            </w:pPr>
            <w:r>
              <w:rPr>
                <w:rFonts w:hAnsi="宋体"/>
                <w:snapToGrid w:val="0"/>
                <w:color w:val="auto"/>
                <w:kern w:val="0"/>
                <w:szCs w:val="21"/>
                <w:highlight w:val="none"/>
              </w:rPr>
              <w:t>序号</w:t>
            </w:r>
          </w:p>
        </w:tc>
        <w:tc>
          <w:tcPr>
            <w:tcW w:w="1205"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货物</w:t>
            </w:r>
            <w:r>
              <w:rPr>
                <w:rFonts w:hAnsi="宋体"/>
                <w:snapToGrid w:val="0"/>
                <w:color w:val="auto"/>
                <w:kern w:val="0"/>
                <w:szCs w:val="21"/>
                <w:highlight w:val="none"/>
              </w:rPr>
              <w:t>名称</w:t>
            </w:r>
          </w:p>
        </w:tc>
        <w:tc>
          <w:tcPr>
            <w:tcW w:w="1347"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规格型号</w:t>
            </w:r>
          </w:p>
        </w:tc>
        <w:tc>
          <w:tcPr>
            <w:tcW w:w="1841"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品牌/厂家</w:t>
            </w:r>
            <w:r>
              <w:rPr>
                <w:snapToGrid w:val="0"/>
                <w:color w:val="auto"/>
                <w:kern w:val="0"/>
                <w:szCs w:val="21"/>
                <w:highlight w:val="none"/>
              </w:rPr>
              <w:t>/</w:t>
            </w:r>
          </w:p>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原产地</w:t>
            </w:r>
          </w:p>
        </w:tc>
        <w:tc>
          <w:tcPr>
            <w:tcW w:w="708" w:type="dxa"/>
            <w:vAlign w:val="center"/>
          </w:tcPr>
          <w:p>
            <w:pPr>
              <w:adjustRightInd w:val="0"/>
              <w:snapToGrid w:val="0"/>
              <w:spacing w:line="240" w:lineRule="auto"/>
              <w:ind w:firstLine="0" w:firstLineChars="0"/>
              <w:jc w:val="center"/>
              <w:rPr>
                <w:snapToGrid w:val="0"/>
                <w:color w:val="auto"/>
                <w:kern w:val="0"/>
                <w:szCs w:val="21"/>
                <w:highlight w:val="none"/>
              </w:rPr>
            </w:pPr>
            <w:r>
              <w:rPr>
                <w:rFonts w:hAnsi="宋体"/>
                <w:snapToGrid w:val="0"/>
                <w:color w:val="auto"/>
                <w:kern w:val="0"/>
                <w:szCs w:val="21"/>
                <w:highlight w:val="none"/>
              </w:rPr>
              <w:t>数量</w:t>
            </w:r>
          </w:p>
        </w:tc>
        <w:tc>
          <w:tcPr>
            <w:tcW w:w="1418"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snapToGrid w:val="0"/>
                <w:color w:val="auto"/>
                <w:kern w:val="0"/>
                <w:szCs w:val="21"/>
                <w:highlight w:val="none"/>
              </w:rPr>
              <w:t>中标价</w:t>
            </w:r>
          </w:p>
          <w:p>
            <w:pPr>
              <w:adjustRightInd w:val="0"/>
              <w:snapToGrid w:val="0"/>
              <w:spacing w:line="240" w:lineRule="auto"/>
              <w:ind w:firstLine="0" w:firstLineChars="0"/>
              <w:jc w:val="center"/>
              <w:rPr>
                <w:snapToGrid w:val="0"/>
                <w:color w:val="auto"/>
                <w:kern w:val="0"/>
                <w:szCs w:val="21"/>
                <w:highlight w:val="none"/>
              </w:rPr>
            </w:pPr>
            <w:r>
              <w:rPr>
                <w:rFonts w:hint="eastAsia"/>
                <w:snapToGrid w:val="0"/>
                <w:color w:val="auto"/>
                <w:kern w:val="0"/>
                <w:szCs w:val="21"/>
                <w:highlight w:val="none"/>
              </w:rPr>
              <w:t>(美金)</w:t>
            </w:r>
          </w:p>
        </w:tc>
        <w:tc>
          <w:tcPr>
            <w:tcW w:w="1701" w:type="dxa"/>
          </w:tcPr>
          <w:p>
            <w:pPr>
              <w:adjustRightInd w:val="0"/>
              <w:snapToGrid w:val="0"/>
              <w:spacing w:line="240" w:lineRule="auto"/>
              <w:ind w:firstLine="0" w:firstLineChars="0"/>
              <w:jc w:val="center"/>
              <w:rPr>
                <w:rFonts w:hAnsi="宋体"/>
                <w:snapToGrid w:val="0"/>
                <w:color w:val="auto"/>
                <w:kern w:val="0"/>
                <w:szCs w:val="21"/>
                <w:highlight w:val="none"/>
              </w:rPr>
            </w:pPr>
            <w:r>
              <w:rPr>
                <w:rFonts w:hint="eastAsia" w:hAnsi="宋体"/>
                <w:snapToGrid w:val="0"/>
                <w:color w:val="auto"/>
                <w:kern w:val="0"/>
                <w:szCs w:val="21"/>
                <w:highlight w:val="none"/>
              </w:rPr>
              <w:t>总价</w:t>
            </w:r>
          </w:p>
          <w:p>
            <w:pPr>
              <w:adjustRightInd w:val="0"/>
              <w:snapToGrid w:val="0"/>
              <w:spacing w:line="240" w:lineRule="auto"/>
              <w:ind w:firstLine="0" w:firstLineChars="0"/>
              <w:jc w:val="center"/>
              <w:rPr>
                <w:rFonts w:hAnsi="宋体"/>
                <w:snapToGrid w:val="0"/>
                <w:color w:val="auto"/>
                <w:kern w:val="0"/>
                <w:szCs w:val="21"/>
                <w:highlight w:val="none"/>
              </w:rPr>
            </w:pPr>
            <w:r>
              <w:rPr>
                <w:rFonts w:hint="eastAsia" w:hAnsi="宋体"/>
                <w:snapToGrid w:val="0"/>
                <w:color w:val="auto"/>
                <w:kern w:val="0"/>
                <w:szCs w:val="21"/>
                <w:highlight w:val="none"/>
              </w:rPr>
              <w:t>(人民币)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jc w:val="center"/>
        </w:trPr>
        <w:tc>
          <w:tcPr>
            <w:tcW w:w="714"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r>
              <w:rPr>
                <w:rFonts w:hint="eastAsia"/>
                <w:snapToGrid w:val="0"/>
                <w:color w:val="auto"/>
                <w:spacing w:val="20"/>
                <w:kern w:val="0"/>
                <w:szCs w:val="21"/>
                <w:highlight w:val="none"/>
              </w:rPr>
              <w:t>1</w:t>
            </w:r>
          </w:p>
        </w:tc>
        <w:tc>
          <w:tcPr>
            <w:tcW w:w="1205" w:type="dxa"/>
            <w:vAlign w:val="center"/>
          </w:tcPr>
          <w:p>
            <w:pPr>
              <w:adjustRightInd w:val="0"/>
              <w:snapToGrid w:val="0"/>
              <w:spacing w:before="100" w:after="100" w:line="240" w:lineRule="auto"/>
              <w:ind w:firstLine="0" w:firstLineChars="0"/>
              <w:rPr>
                <w:snapToGrid w:val="0"/>
                <w:color w:val="auto"/>
                <w:kern w:val="0"/>
                <w:szCs w:val="21"/>
                <w:highlight w:val="none"/>
              </w:rPr>
            </w:pPr>
          </w:p>
        </w:tc>
        <w:tc>
          <w:tcPr>
            <w:tcW w:w="1347"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p>
        </w:tc>
        <w:tc>
          <w:tcPr>
            <w:tcW w:w="1841"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p>
        </w:tc>
        <w:tc>
          <w:tcPr>
            <w:tcW w:w="708" w:type="dxa"/>
            <w:vAlign w:val="center"/>
          </w:tcPr>
          <w:p>
            <w:pPr>
              <w:spacing w:before="100" w:after="100" w:line="240" w:lineRule="auto"/>
              <w:ind w:firstLine="0" w:firstLineChars="0"/>
              <w:jc w:val="center"/>
              <w:rPr>
                <w:color w:val="auto"/>
                <w:spacing w:val="20"/>
                <w:szCs w:val="21"/>
                <w:highlight w:val="none"/>
              </w:rPr>
            </w:pPr>
          </w:p>
        </w:tc>
        <w:tc>
          <w:tcPr>
            <w:tcW w:w="1418" w:type="dxa"/>
            <w:vAlign w:val="center"/>
          </w:tcPr>
          <w:p>
            <w:pPr>
              <w:snapToGrid w:val="0"/>
              <w:spacing w:before="100" w:after="100" w:line="240" w:lineRule="auto"/>
              <w:ind w:firstLine="0" w:firstLineChars="0"/>
              <w:jc w:val="center"/>
              <w:rPr>
                <w:color w:val="auto"/>
                <w:spacing w:val="-6"/>
                <w:szCs w:val="21"/>
                <w:highlight w:val="none"/>
              </w:rPr>
            </w:pPr>
          </w:p>
        </w:tc>
        <w:tc>
          <w:tcPr>
            <w:tcW w:w="1701" w:type="dxa"/>
          </w:tcPr>
          <w:p>
            <w:pPr>
              <w:snapToGrid w:val="0"/>
              <w:spacing w:before="100" w:after="100" w:line="240" w:lineRule="auto"/>
              <w:ind w:firstLine="0" w:firstLineChars="0"/>
              <w:jc w:val="center"/>
              <w:rPr>
                <w:color w:val="auto"/>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714"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r>
              <w:rPr>
                <w:rFonts w:hint="eastAsia"/>
                <w:snapToGrid w:val="0"/>
                <w:color w:val="auto"/>
                <w:spacing w:val="20"/>
                <w:kern w:val="0"/>
                <w:szCs w:val="21"/>
                <w:highlight w:val="none"/>
              </w:rPr>
              <w:t>2</w:t>
            </w:r>
          </w:p>
        </w:tc>
        <w:tc>
          <w:tcPr>
            <w:tcW w:w="1205" w:type="dxa"/>
            <w:vAlign w:val="center"/>
          </w:tcPr>
          <w:p>
            <w:pPr>
              <w:widowControl/>
              <w:spacing w:before="100" w:after="100" w:line="240" w:lineRule="auto"/>
              <w:ind w:firstLine="0" w:firstLineChars="0"/>
              <w:jc w:val="center"/>
              <w:rPr>
                <w:rFonts w:ascii="宋体" w:hAnsi="宋体"/>
                <w:color w:val="auto"/>
                <w:szCs w:val="21"/>
                <w:highlight w:val="none"/>
              </w:rPr>
            </w:pPr>
          </w:p>
        </w:tc>
        <w:tc>
          <w:tcPr>
            <w:tcW w:w="1347" w:type="dxa"/>
            <w:vAlign w:val="center"/>
          </w:tcPr>
          <w:p>
            <w:pPr>
              <w:snapToGrid w:val="0"/>
              <w:spacing w:before="100" w:after="100" w:line="240" w:lineRule="auto"/>
              <w:ind w:firstLine="0" w:firstLineChars="0"/>
              <w:jc w:val="center"/>
              <w:rPr>
                <w:color w:val="auto"/>
                <w:spacing w:val="-6"/>
                <w:szCs w:val="21"/>
                <w:highlight w:val="none"/>
              </w:rPr>
            </w:pPr>
          </w:p>
        </w:tc>
        <w:tc>
          <w:tcPr>
            <w:tcW w:w="1841" w:type="dxa"/>
            <w:vAlign w:val="center"/>
          </w:tcPr>
          <w:p>
            <w:pPr>
              <w:snapToGrid w:val="0"/>
              <w:spacing w:before="100" w:after="100" w:line="240" w:lineRule="auto"/>
              <w:ind w:firstLine="0" w:firstLineChars="0"/>
              <w:jc w:val="center"/>
              <w:rPr>
                <w:color w:val="auto"/>
                <w:spacing w:val="-6"/>
                <w:szCs w:val="21"/>
                <w:highlight w:val="none"/>
              </w:rPr>
            </w:pPr>
          </w:p>
        </w:tc>
        <w:tc>
          <w:tcPr>
            <w:tcW w:w="708" w:type="dxa"/>
            <w:vAlign w:val="center"/>
          </w:tcPr>
          <w:p>
            <w:pPr>
              <w:snapToGrid w:val="0"/>
              <w:spacing w:before="100" w:after="100" w:line="240" w:lineRule="auto"/>
              <w:ind w:firstLine="0" w:firstLineChars="0"/>
              <w:jc w:val="center"/>
              <w:rPr>
                <w:color w:val="auto"/>
                <w:spacing w:val="-6"/>
                <w:szCs w:val="21"/>
                <w:highlight w:val="none"/>
              </w:rPr>
            </w:pPr>
          </w:p>
        </w:tc>
        <w:tc>
          <w:tcPr>
            <w:tcW w:w="1418" w:type="dxa"/>
            <w:vAlign w:val="center"/>
          </w:tcPr>
          <w:p>
            <w:pPr>
              <w:snapToGrid w:val="0"/>
              <w:spacing w:before="100" w:after="100" w:line="240" w:lineRule="auto"/>
              <w:ind w:firstLine="0" w:firstLineChars="0"/>
              <w:jc w:val="center"/>
              <w:rPr>
                <w:color w:val="auto"/>
                <w:spacing w:val="-6"/>
                <w:szCs w:val="21"/>
                <w:highlight w:val="none"/>
              </w:rPr>
            </w:pPr>
          </w:p>
        </w:tc>
        <w:tc>
          <w:tcPr>
            <w:tcW w:w="1701" w:type="dxa"/>
          </w:tcPr>
          <w:p>
            <w:pPr>
              <w:snapToGrid w:val="0"/>
              <w:spacing w:before="100" w:after="100" w:line="240" w:lineRule="auto"/>
              <w:ind w:firstLine="0" w:firstLineChars="0"/>
              <w:jc w:val="center"/>
              <w:rPr>
                <w:color w:val="auto"/>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86" w:hRule="atLeast"/>
          <w:jc w:val="center"/>
        </w:trPr>
        <w:tc>
          <w:tcPr>
            <w:tcW w:w="1919" w:type="dxa"/>
            <w:gridSpan w:val="2"/>
            <w:vAlign w:val="center"/>
          </w:tcPr>
          <w:p>
            <w:pPr>
              <w:widowControl/>
              <w:spacing w:before="100" w:after="100" w:line="240" w:lineRule="auto"/>
              <w:ind w:firstLine="0" w:firstLineChars="0"/>
              <w:jc w:val="center"/>
              <w:rPr>
                <w:rFonts w:ascii="宋体" w:hAnsi="宋体"/>
                <w:color w:val="auto"/>
                <w:szCs w:val="21"/>
                <w:highlight w:val="none"/>
              </w:rPr>
            </w:pPr>
            <w:r>
              <w:rPr>
                <w:rFonts w:hint="eastAsia" w:ascii="宋体" w:hAnsi="宋体"/>
                <w:color w:val="auto"/>
                <w:szCs w:val="21"/>
                <w:highlight w:val="none"/>
              </w:rPr>
              <w:t>合同总价</w:t>
            </w:r>
          </w:p>
        </w:tc>
        <w:tc>
          <w:tcPr>
            <w:tcW w:w="7015" w:type="dxa"/>
            <w:gridSpan w:val="5"/>
            <w:vAlign w:val="center"/>
          </w:tcPr>
          <w:p>
            <w:pPr>
              <w:spacing w:line="240" w:lineRule="auto"/>
              <w:ind w:right="500" w:firstLine="0" w:firstLineChars="0"/>
              <w:rPr>
                <w:color w:val="auto"/>
                <w:spacing w:val="-6"/>
                <w:szCs w:val="21"/>
                <w:highlight w:val="none"/>
              </w:rPr>
            </w:pPr>
            <w:r>
              <w:rPr>
                <w:rFonts w:hAnsi="Arial"/>
                <w:color w:val="auto"/>
                <w:spacing w:val="-6"/>
                <w:szCs w:val="21"/>
                <w:highlight w:val="none"/>
              </w:rPr>
              <w:t>美金：</w:t>
            </w:r>
            <w:r>
              <w:rPr>
                <w:color w:val="auto"/>
                <w:szCs w:val="21"/>
                <w:highlight w:val="none"/>
                <w:u w:val="single"/>
              </w:rPr>
              <w:t>$</w:t>
            </w:r>
            <w:r>
              <w:rPr>
                <w:rFonts w:hint="eastAsia"/>
                <w:color w:val="auto"/>
                <w:spacing w:val="-6"/>
                <w:szCs w:val="21"/>
                <w:highlight w:val="none"/>
                <w:u w:val="single"/>
              </w:rPr>
              <w:t xml:space="preserve">              </w:t>
            </w:r>
          </w:p>
          <w:p>
            <w:pPr>
              <w:snapToGrid w:val="0"/>
              <w:spacing w:line="240" w:lineRule="auto"/>
              <w:ind w:firstLine="0" w:firstLineChars="0"/>
              <w:rPr>
                <w:color w:val="auto"/>
                <w:spacing w:val="-6"/>
                <w:szCs w:val="21"/>
                <w:highlight w:val="none"/>
              </w:rPr>
            </w:pPr>
            <w:r>
              <w:rPr>
                <w:rFonts w:hAnsi="Arial"/>
                <w:color w:val="auto"/>
                <w:spacing w:val="-6"/>
                <w:szCs w:val="21"/>
                <w:highlight w:val="none"/>
              </w:rPr>
              <w:t>人民币小写：</w:t>
            </w:r>
            <w:r>
              <w:rPr>
                <w:color w:val="auto"/>
                <w:szCs w:val="21"/>
                <w:highlight w:val="none"/>
                <w:u w:val="single"/>
              </w:rPr>
              <w:t>¥</w:t>
            </w:r>
            <w:r>
              <w:rPr>
                <w:color w:val="auto"/>
                <w:spacing w:val="-6"/>
                <w:szCs w:val="21"/>
                <w:highlight w:val="none"/>
                <w:u w:val="single"/>
              </w:rPr>
              <w:t xml:space="preserve"> </w:t>
            </w:r>
            <w:r>
              <w:rPr>
                <w:rFonts w:hint="eastAsia"/>
                <w:color w:val="auto"/>
                <w:spacing w:val="-6"/>
                <w:szCs w:val="21"/>
                <w:highlight w:val="none"/>
                <w:u w:val="single"/>
              </w:rPr>
              <w:t xml:space="preserve">          </w:t>
            </w:r>
            <w:r>
              <w:rPr>
                <w:rFonts w:hint="eastAsia"/>
                <w:color w:val="auto"/>
                <w:spacing w:val="-6"/>
                <w:szCs w:val="21"/>
                <w:highlight w:val="none"/>
              </w:rPr>
              <w:t xml:space="preserve">  </w:t>
            </w:r>
            <w:r>
              <w:rPr>
                <w:color w:val="auto"/>
                <w:spacing w:val="-6"/>
                <w:szCs w:val="21"/>
                <w:highlight w:val="none"/>
              </w:rPr>
              <w:t xml:space="preserve"> </w:t>
            </w:r>
            <w:r>
              <w:rPr>
                <w:rFonts w:hAnsi="Arial"/>
                <w:color w:val="auto"/>
                <w:spacing w:val="-6"/>
                <w:szCs w:val="21"/>
                <w:highlight w:val="none"/>
              </w:rPr>
              <w:t>大写：</w:t>
            </w:r>
            <w:r>
              <w:rPr>
                <w:rFonts w:hint="eastAsia" w:hAnsi="Arial"/>
                <w:color w:val="auto"/>
                <w:spacing w:val="-6"/>
                <w:szCs w:val="21"/>
                <w:highlight w:val="none"/>
                <w:u w:val="single"/>
              </w:rPr>
              <w:t xml:space="preserve">                          </w:t>
            </w:r>
          </w:p>
        </w:tc>
      </w:tr>
    </w:tbl>
    <w:p>
      <w:pPr>
        <w:ind w:firstLine="456"/>
        <w:rPr>
          <w:rFonts w:cs="宋体"/>
          <w:color w:val="auto"/>
          <w:spacing w:val="-6"/>
          <w:szCs w:val="21"/>
          <w:highlight w:val="none"/>
        </w:rPr>
      </w:pPr>
    </w:p>
    <w:p>
      <w:pPr>
        <w:ind w:firstLine="456"/>
        <w:rPr>
          <w:rFonts w:cs="宋体"/>
          <w:color w:val="auto"/>
          <w:spacing w:val="-6"/>
          <w:szCs w:val="21"/>
          <w:highlight w:val="none"/>
        </w:rPr>
      </w:pPr>
      <w:r>
        <w:rPr>
          <w:rFonts w:hint="eastAsia" w:cs="宋体"/>
          <w:color w:val="auto"/>
          <w:spacing w:val="-6"/>
          <w:szCs w:val="21"/>
          <w:highlight w:val="none"/>
        </w:rPr>
        <w:t>注：</w:t>
      </w:r>
      <w:r>
        <w:rPr>
          <w:rFonts w:cs="宋体"/>
          <w:color w:val="auto"/>
          <w:spacing w:val="-6"/>
          <w:szCs w:val="21"/>
          <w:highlight w:val="none"/>
        </w:rPr>
        <w:t>1</w:t>
      </w:r>
      <w:r>
        <w:rPr>
          <w:rFonts w:hint="eastAsia" w:cs="宋体"/>
          <w:color w:val="auto"/>
          <w:spacing w:val="-6"/>
          <w:szCs w:val="21"/>
          <w:highlight w:val="none"/>
        </w:rPr>
        <w:t>、本协议涉及货物委托外贸代理公司</w:t>
      </w:r>
      <w:r>
        <w:rPr>
          <w:rFonts w:hint="eastAsia" w:cs="宋体"/>
          <w:color w:val="auto"/>
          <w:spacing w:val="-6"/>
          <w:szCs w:val="21"/>
          <w:highlight w:val="none"/>
          <w:u w:val="single"/>
        </w:rPr>
        <w:t xml:space="preserve">                     </w:t>
      </w:r>
      <w:r>
        <w:rPr>
          <w:rFonts w:hint="eastAsia" w:cs="宋体"/>
          <w:color w:val="auto"/>
          <w:spacing w:val="-6"/>
          <w:szCs w:val="21"/>
          <w:highlight w:val="none"/>
        </w:rPr>
        <w:t>代理设备进口有关的业务。外贸代理公司根据本合同中规定的设备名称、规格型号、配置配件、技术要求、价格、厂家/生产国别、售后服务等相关书面资料，及时对外签订进口合同。</w:t>
      </w:r>
    </w:p>
    <w:p>
      <w:pPr>
        <w:ind w:firstLine="456"/>
        <w:rPr>
          <w:rFonts w:cs="宋体"/>
          <w:color w:val="auto"/>
          <w:spacing w:val="-6"/>
          <w:szCs w:val="21"/>
          <w:highlight w:val="none"/>
        </w:rPr>
      </w:pPr>
      <w:r>
        <w:rPr>
          <w:rFonts w:hint="eastAsia" w:cs="宋体"/>
          <w:color w:val="auto"/>
          <w:spacing w:val="-6"/>
          <w:szCs w:val="21"/>
          <w:highlight w:val="none"/>
        </w:rPr>
        <w:t>2、本协议人民币总价以开标当日（</w:t>
      </w:r>
      <w:r>
        <w:rPr>
          <w:rFonts w:hint="eastAsia" w:cs="宋体"/>
          <w:color w:val="auto"/>
          <w:spacing w:val="-6"/>
          <w:szCs w:val="21"/>
          <w:highlight w:val="none"/>
          <w:u w:val="single"/>
        </w:rPr>
        <w:t xml:space="preserve">     年   月    日</w:t>
      </w:r>
      <w:r>
        <w:rPr>
          <w:rFonts w:hint="eastAsia" w:cs="宋体"/>
          <w:color w:val="auto"/>
          <w:spacing w:val="-6"/>
          <w:szCs w:val="21"/>
          <w:highlight w:val="none"/>
        </w:rPr>
        <w:t>）外汇牌价，加外贸代理费</w:t>
      </w:r>
      <w:r>
        <w:rPr>
          <w:rFonts w:hint="eastAsia" w:cs="宋体"/>
          <w:color w:val="auto"/>
          <w:spacing w:val="-6"/>
          <w:szCs w:val="21"/>
          <w:highlight w:val="none"/>
          <w:u w:val="single"/>
        </w:rPr>
        <w:t xml:space="preserve">      </w:t>
      </w:r>
      <w:r>
        <w:rPr>
          <w:rFonts w:hint="eastAsia" w:cs="宋体"/>
          <w:color w:val="auto"/>
          <w:spacing w:val="-6"/>
          <w:szCs w:val="21"/>
          <w:highlight w:val="none"/>
        </w:rPr>
        <w:t>个点进行计算。当日美元外汇牌价为</w:t>
      </w:r>
      <w:r>
        <w:rPr>
          <w:rFonts w:cs="宋体"/>
          <w:color w:val="auto"/>
          <w:spacing w:val="-6"/>
          <w:szCs w:val="21"/>
          <w:highlight w:val="none"/>
          <w:u w:val="single"/>
        </w:rPr>
        <w:t xml:space="preserve">  </w:t>
      </w:r>
      <w:r>
        <w:rPr>
          <w:rFonts w:hint="eastAsia" w:cs="宋体"/>
          <w:color w:val="auto"/>
          <w:spacing w:val="-6"/>
          <w:szCs w:val="21"/>
          <w:highlight w:val="none"/>
          <w:u w:val="single"/>
        </w:rPr>
        <w:t xml:space="preserve">      </w:t>
      </w:r>
      <w:r>
        <w:rPr>
          <w:rFonts w:hint="eastAsia" w:cs="宋体"/>
          <w:color w:val="auto"/>
          <w:spacing w:val="-6"/>
          <w:szCs w:val="21"/>
          <w:highlight w:val="none"/>
        </w:rPr>
        <w:t>，乙方以</w:t>
      </w:r>
      <w:r>
        <w:rPr>
          <w:rFonts w:cs="宋体"/>
          <w:color w:val="auto"/>
          <w:spacing w:val="-6"/>
          <w:szCs w:val="21"/>
          <w:highlight w:val="none"/>
          <w:u w:val="single"/>
        </w:rPr>
        <w:t xml:space="preserve"> </w:t>
      </w:r>
      <w:r>
        <w:rPr>
          <w:rFonts w:hint="eastAsia" w:cs="宋体"/>
          <w:color w:val="auto"/>
          <w:spacing w:val="-6"/>
          <w:szCs w:val="21"/>
          <w:highlight w:val="none"/>
          <w:u w:val="single"/>
        </w:rPr>
        <w:t xml:space="preserve">      </w:t>
      </w:r>
      <w:r>
        <w:rPr>
          <w:rFonts w:hint="eastAsia" w:cs="宋体"/>
          <w:color w:val="auto"/>
          <w:spacing w:val="-6"/>
          <w:szCs w:val="21"/>
          <w:highlight w:val="none"/>
        </w:rPr>
        <w:t>进行结算。如进口货物无法办理减免税手续，增值税和关税由甲方承担。合同总价为人民币总价，如果合同总价超出确认书金额，合同总价为确认书金额。</w:t>
      </w:r>
    </w:p>
    <w:p>
      <w:pPr>
        <w:ind w:firstLine="456"/>
        <w:rPr>
          <w:rFonts w:cs="宋体"/>
          <w:color w:val="auto"/>
          <w:spacing w:val="-6"/>
          <w:szCs w:val="21"/>
          <w:highlight w:val="none"/>
        </w:rPr>
      </w:pPr>
      <w:r>
        <w:rPr>
          <w:rFonts w:hint="eastAsia" w:cs="宋体"/>
          <w:color w:val="auto"/>
          <w:spacing w:val="-6"/>
          <w:szCs w:val="21"/>
          <w:highlight w:val="none"/>
        </w:rPr>
        <w:t>3、合同履行过程中的汇率风险由乙方承担，由乙方与外贸代理公司结算。</w:t>
      </w:r>
    </w:p>
    <w:p>
      <w:pPr>
        <w:ind w:firstLine="458"/>
        <w:rPr>
          <w:rFonts w:cs="宋体"/>
          <w:b/>
          <w:bCs/>
          <w:color w:val="auto"/>
          <w:spacing w:val="-6"/>
          <w:szCs w:val="21"/>
          <w:highlight w:val="none"/>
        </w:rPr>
      </w:pPr>
      <w:r>
        <w:rPr>
          <w:rFonts w:hint="eastAsia" w:cs="宋体"/>
          <w:b/>
          <w:bCs/>
          <w:color w:val="auto"/>
          <w:spacing w:val="-6"/>
          <w:szCs w:val="21"/>
          <w:highlight w:val="none"/>
        </w:rPr>
        <w:t>二、技术资料</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rFonts w:hint="eastAsia" w:cs="宋体"/>
          <w:color w:val="auto"/>
          <w:spacing w:val="-6"/>
          <w:szCs w:val="21"/>
          <w:highlight w:val="none"/>
        </w:rPr>
        <w:t>乙方应按招标文件规定的时间向甲方提供合同货物有关全套中英文对照的技术资料和必备的附件。</w:t>
      </w:r>
    </w:p>
    <w:p>
      <w:pPr>
        <w:snapToGrid w:val="0"/>
        <w:ind w:firstLine="456"/>
        <w:rPr>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ind w:firstLine="458"/>
        <w:rPr>
          <w:rFonts w:cs="宋体"/>
          <w:b/>
          <w:bCs/>
          <w:color w:val="auto"/>
          <w:spacing w:val="-6"/>
          <w:szCs w:val="21"/>
          <w:highlight w:val="none"/>
        </w:rPr>
      </w:pPr>
      <w:r>
        <w:rPr>
          <w:rFonts w:hint="eastAsia" w:cs="宋体"/>
          <w:b/>
          <w:bCs/>
          <w:color w:val="auto"/>
          <w:spacing w:val="-6"/>
          <w:szCs w:val="21"/>
          <w:highlight w:val="none"/>
        </w:rPr>
        <w:t>三、知识产权</w:t>
      </w:r>
    </w:p>
    <w:p>
      <w:pPr>
        <w:pStyle w:val="19"/>
        <w:snapToGrid w:val="0"/>
        <w:spacing w:line="360" w:lineRule="auto"/>
        <w:ind w:firstLine="490" w:firstLineChars="215"/>
        <w:rPr>
          <w:rFonts w:cs="宋体"/>
          <w:color w:val="auto"/>
          <w:spacing w:val="-6"/>
          <w:sz w:val="24"/>
          <w:szCs w:val="24"/>
          <w:highlight w:val="none"/>
        </w:rPr>
      </w:pPr>
      <w:r>
        <w:rPr>
          <w:rFonts w:hint="eastAsia" w:cs="宋体"/>
          <w:color w:val="auto"/>
          <w:spacing w:val="-6"/>
          <w:sz w:val="24"/>
          <w:szCs w:val="24"/>
          <w:highlight w:val="none"/>
        </w:rPr>
        <w:t>乙方应保证所提供的货物或其任何一部分均不会侵犯任何第三方的知识产权，由此产生的知识产权纠纷由乙方承担全部责任。</w:t>
      </w:r>
    </w:p>
    <w:p>
      <w:pPr>
        <w:ind w:firstLine="482"/>
        <w:rPr>
          <w:b/>
          <w:color w:val="auto"/>
          <w:szCs w:val="21"/>
          <w:highlight w:val="none"/>
        </w:rPr>
      </w:pPr>
      <w:r>
        <w:rPr>
          <w:rFonts w:hint="eastAsia"/>
          <w:b/>
          <w:color w:val="auto"/>
          <w:szCs w:val="21"/>
          <w:highlight w:val="none"/>
        </w:rPr>
        <w:t>四、质量保证金：</w:t>
      </w:r>
    </w:p>
    <w:p>
      <w:pPr>
        <w:pStyle w:val="19"/>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乙方须于货到验收合格后七个工作日内向甲方支付合同总价5%的质量保证金，共计人民币¥</w:t>
      </w:r>
      <w:r>
        <w:rPr>
          <w:rFonts w:hint="eastAsia" w:hAnsi="宋体"/>
          <w:color w:val="auto"/>
          <w:sz w:val="24"/>
          <w:szCs w:val="24"/>
          <w:highlight w:val="none"/>
          <w:u w:val="single"/>
        </w:rPr>
        <w:t xml:space="preserve">        </w:t>
      </w:r>
      <w:r>
        <w:rPr>
          <w:rFonts w:hint="eastAsia" w:hAnsi="宋体"/>
          <w:color w:val="auto"/>
          <w:sz w:val="24"/>
          <w:szCs w:val="24"/>
          <w:highlight w:val="none"/>
        </w:rPr>
        <w:t>元 ，质量保证金自</w:t>
      </w:r>
      <w:r>
        <w:rPr>
          <w:rFonts w:hint="eastAsia" w:cs="宋体"/>
          <w:color w:val="auto"/>
          <w:spacing w:val="-6"/>
          <w:sz w:val="24"/>
          <w:szCs w:val="24"/>
          <w:highlight w:val="none"/>
        </w:rPr>
        <w:t>货物交付验收合格后</w:t>
      </w:r>
      <w:r>
        <w:rPr>
          <w:color w:val="auto"/>
          <w:spacing w:val="-6"/>
          <w:sz w:val="24"/>
          <w:szCs w:val="24"/>
          <w:highlight w:val="none"/>
          <w:u w:val="single"/>
        </w:rPr>
        <w:t>12</w:t>
      </w:r>
      <w:r>
        <w:rPr>
          <w:rFonts w:hint="eastAsia" w:cs="宋体"/>
          <w:color w:val="auto"/>
          <w:spacing w:val="-6"/>
          <w:sz w:val="24"/>
          <w:szCs w:val="24"/>
          <w:highlight w:val="none"/>
        </w:rPr>
        <w:t>个月内无质量问题索赔和售后服务问题，由甲方无息退回乙方。</w:t>
      </w:r>
    </w:p>
    <w:p>
      <w:pPr>
        <w:pStyle w:val="19"/>
        <w:snapToGrid w:val="0"/>
        <w:rPr>
          <w:rFonts w:ascii="Times New Roman" w:hAnsi="Times New Roman" w:cs="宋体"/>
          <w:b/>
          <w:bCs/>
          <w:color w:val="auto"/>
          <w:spacing w:val="-6"/>
          <w:szCs w:val="21"/>
          <w:highlight w:val="none"/>
        </w:rPr>
      </w:pPr>
      <w:r>
        <w:rPr>
          <w:rFonts w:hint="eastAsia" w:ascii="Times New Roman" w:hAnsi="Times New Roman" w:cs="宋体"/>
          <w:b/>
          <w:bCs/>
          <w:color w:val="auto"/>
          <w:spacing w:val="-6"/>
          <w:szCs w:val="21"/>
          <w:highlight w:val="none"/>
        </w:rPr>
        <w:t>五、交货时间、地点</w:t>
      </w:r>
    </w:p>
    <w:p>
      <w:pPr>
        <w:pStyle w:val="19"/>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乙方应于</w:t>
      </w:r>
      <w:r>
        <w:rPr>
          <w:rFonts w:hint="eastAsia" w:cs="宋体"/>
          <w:color w:val="auto"/>
          <w:spacing w:val="-6"/>
          <w:sz w:val="24"/>
          <w:szCs w:val="24"/>
          <w:highlight w:val="none"/>
        </w:rPr>
        <w:t>“进出口货物征免税证明”</w:t>
      </w:r>
      <w:r>
        <w:rPr>
          <w:rFonts w:hint="eastAsia" w:ascii="Times New Roman" w:hAnsi="Times New Roman"/>
          <w:color w:val="auto"/>
          <w:spacing w:val="-6"/>
          <w:sz w:val="24"/>
          <w:szCs w:val="24"/>
          <w:highlight w:val="none"/>
        </w:rPr>
        <w:t>办理后</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天内将所供商品按时、安全运至甲方指定地点，安装调试完毕后交甲方验收。</w:t>
      </w:r>
    </w:p>
    <w:p>
      <w:pPr>
        <w:pStyle w:val="19"/>
        <w:snapToGrid w:val="0"/>
        <w:rPr>
          <w:rFonts w:ascii="Times New Roman" w:hAnsi="Times New Roman" w:cs="宋体"/>
          <w:b/>
          <w:bCs/>
          <w:color w:val="auto"/>
          <w:spacing w:val="-6"/>
          <w:szCs w:val="21"/>
          <w:highlight w:val="none"/>
        </w:rPr>
      </w:pPr>
      <w:r>
        <w:rPr>
          <w:rFonts w:hint="eastAsia" w:ascii="Times New Roman" w:hAnsi="Times New Roman" w:cs="宋体"/>
          <w:b/>
          <w:bCs/>
          <w:color w:val="auto"/>
          <w:spacing w:val="-6"/>
          <w:szCs w:val="21"/>
          <w:highlight w:val="none"/>
        </w:rPr>
        <w:t>六、调试与验收</w:t>
      </w:r>
    </w:p>
    <w:p>
      <w:pPr>
        <w:ind w:firstLine="456"/>
        <w:contextualSpacing/>
        <w:rPr>
          <w:rFonts w:ascii="宋体" w:hAnsi="宋体" w:cs="宋体"/>
          <w:color w:val="auto"/>
          <w:spacing w:val="-6"/>
          <w:szCs w:val="21"/>
          <w:highlight w:val="none"/>
        </w:rPr>
      </w:pPr>
      <w:r>
        <w:rPr>
          <w:color w:val="auto"/>
          <w:spacing w:val="-6"/>
          <w:szCs w:val="21"/>
          <w:highlight w:val="none"/>
        </w:rPr>
        <w:t>1</w:t>
      </w:r>
      <w:r>
        <w:rPr>
          <w:rFonts w:hint="eastAsia"/>
          <w:color w:val="auto"/>
          <w:spacing w:val="-6"/>
          <w:szCs w:val="21"/>
          <w:highlight w:val="none"/>
        </w:rPr>
        <w:t>、乙方交货前应对产品做出全面检查和对验收文件进行整理，并列出清单，作为甲方收货验收和使用的技术条件依据，检验的结果和相关文件、资料等应随货物交甲方。</w:t>
      </w:r>
    </w:p>
    <w:p>
      <w:pPr>
        <w:ind w:firstLine="456"/>
        <w:contextualSpacing/>
        <w:rPr>
          <w:color w:val="auto"/>
          <w:spacing w:val="-6"/>
          <w:szCs w:val="21"/>
          <w:highlight w:val="none"/>
        </w:rPr>
      </w:pPr>
      <w:r>
        <w:rPr>
          <w:rFonts w:hint="eastAsia"/>
          <w:color w:val="auto"/>
          <w:spacing w:val="-6"/>
          <w:szCs w:val="21"/>
          <w:highlight w:val="none"/>
        </w:rPr>
        <w:t>2、到货验收：到货后，甲方对乙方提交的货物依据招标文件上的技术规格要求和国家有关质量标准进行现场到货验收，主要</w:t>
      </w:r>
      <w:r>
        <w:rPr>
          <w:rFonts w:hint="eastAsia"/>
          <w:color w:val="auto"/>
          <w:szCs w:val="21"/>
          <w:highlight w:val="none"/>
        </w:rPr>
        <w:t>检查货物原产地、规格、型号、配置是否符合要求。</w:t>
      </w:r>
      <w:r>
        <w:rPr>
          <w:rFonts w:hint="eastAsia"/>
          <w:color w:val="auto"/>
          <w:spacing w:val="-6"/>
          <w:szCs w:val="21"/>
          <w:highlight w:val="none"/>
        </w:rPr>
        <w:t>符合招投标文件技术要求的给予签收，初步验收不合格的不予签收。</w:t>
      </w:r>
    </w:p>
    <w:p>
      <w:pPr>
        <w:ind w:firstLine="456"/>
        <w:contextualSpacing/>
        <w:rPr>
          <w:color w:val="auto"/>
          <w:spacing w:val="-6"/>
          <w:szCs w:val="21"/>
          <w:highlight w:val="none"/>
        </w:rPr>
      </w:pPr>
      <w:r>
        <w:rPr>
          <w:rFonts w:hint="eastAsia"/>
          <w:color w:val="auto"/>
          <w:spacing w:val="-6"/>
          <w:szCs w:val="21"/>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ind w:firstLine="456"/>
        <w:contextualSpacing/>
        <w:rPr>
          <w:color w:val="auto"/>
          <w:spacing w:val="-6"/>
          <w:szCs w:val="21"/>
          <w:highlight w:val="none"/>
        </w:rPr>
      </w:pPr>
      <w:r>
        <w:rPr>
          <w:rFonts w:hint="eastAsia"/>
          <w:color w:val="auto"/>
          <w:spacing w:val="-6"/>
          <w:szCs w:val="21"/>
          <w:highlight w:val="none"/>
        </w:rPr>
        <w:t>4、对技术复杂的货物，甲方可请国家认可的专业检测机构参与到货验收及交付验收，并由其出具质量检测报告。验收费用由乙方承担。</w:t>
      </w:r>
    </w:p>
    <w:p>
      <w:pPr>
        <w:ind w:firstLine="456"/>
        <w:contextualSpacing/>
        <w:rPr>
          <w:color w:val="auto"/>
          <w:spacing w:val="-6"/>
          <w:szCs w:val="21"/>
          <w:highlight w:val="none"/>
        </w:rPr>
      </w:pPr>
      <w:r>
        <w:rPr>
          <w:rFonts w:hint="eastAsia"/>
          <w:color w:val="auto"/>
          <w:spacing w:val="-6"/>
          <w:szCs w:val="21"/>
          <w:highlight w:val="none"/>
        </w:rPr>
        <w:t>5、如发现有重大的质量问题：</w:t>
      </w:r>
    </w:p>
    <w:p>
      <w:pPr>
        <w:ind w:firstLine="456"/>
        <w:contextualSpacing/>
        <w:rPr>
          <w:color w:val="auto"/>
          <w:spacing w:val="-6"/>
          <w:szCs w:val="21"/>
          <w:highlight w:val="none"/>
        </w:rPr>
      </w:pPr>
      <w:r>
        <w:rPr>
          <w:rFonts w:hint="eastAsia"/>
          <w:color w:val="auto"/>
          <w:spacing w:val="-6"/>
          <w:szCs w:val="21"/>
          <w:highlight w:val="none"/>
        </w:rPr>
        <w:t>（1）甲乙双方可协商，</w:t>
      </w:r>
      <w:r>
        <w:rPr>
          <w:rFonts w:hint="eastAsia"/>
          <w:color w:val="auto"/>
          <w:szCs w:val="21"/>
          <w:highlight w:val="none"/>
        </w:rPr>
        <w:t>应在合理的期限内负责更换直至符合质量要求；</w:t>
      </w:r>
    </w:p>
    <w:p>
      <w:pPr>
        <w:ind w:firstLine="456"/>
        <w:contextualSpacing/>
        <w:rPr>
          <w:color w:val="auto"/>
          <w:spacing w:val="-6"/>
          <w:szCs w:val="21"/>
          <w:highlight w:val="none"/>
        </w:rPr>
      </w:pPr>
      <w:r>
        <w:rPr>
          <w:rFonts w:hint="eastAsia"/>
          <w:color w:val="auto"/>
          <w:spacing w:val="-6"/>
          <w:szCs w:val="21"/>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color w:val="auto"/>
          <w:spacing w:val="-6"/>
          <w:szCs w:val="21"/>
          <w:highlight w:val="none"/>
          <w:u w:val="single"/>
        </w:rPr>
        <w:t xml:space="preserve"> </w:t>
      </w:r>
      <w:r>
        <w:rPr>
          <w:color w:val="auto"/>
          <w:spacing w:val="-6"/>
          <w:szCs w:val="21"/>
          <w:highlight w:val="none"/>
          <w:u w:val="single"/>
        </w:rPr>
        <w:t>10</w:t>
      </w:r>
      <w:r>
        <w:rPr>
          <w:rFonts w:hint="eastAsia"/>
          <w:color w:val="auto"/>
          <w:spacing w:val="-6"/>
          <w:szCs w:val="21"/>
          <w:highlight w:val="none"/>
          <w:u w:val="single"/>
        </w:rPr>
        <w:t xml:space="preserve">％ </w:t>
      </w:r>
      <w:r>
        <w:rPr>
          <w:rFonts w:hint="eastAsia"/>
          <w:color w:val="auto"/>
          <w:spacing w:val="-6"/>
          <w:szCs w:val="21"/>
          <w:highlight w:val="none"/>
        </w:rPr>
        <w:t>的赔偿金。</w:t>
      </w:r>
    </w:p>
    <w:p>
      <w:pPr>
        <w:snapToGrid w:val="0"/>
        <w:ind w:firstLine="458"/>
        <w:rPr>
          <w:rFonts w:cs="宋体"/>
          <w:b/>
          <w:bCs/>
          <w:color w:val="auto"/>
          <w:spacing w:val="-6"/>
          <w:szCs w:val="21"/>
          <w:highlight w:val="none"/>
        </w:rPr>
      </w:pPr>
      <w:r>
        <w:rPr>
          <w:rFonts w:hint="eastAsia" w:cs="宋体"/>
          <w:b/>
          <w:bCs/>
          <w:color w:val="auto"/>
          <w:spacing w:val="-6"/>
          <w:szCs w:val="21"/>
          <w:highlight w:val="none"/>
        </w:rPr>
        <w:t>七、货款的支付</w:t>
      </w:r>
    </w:p>
    <w:p>
      <w:pPr>
        <w:snapToGrid w:val="0"/>
        <w:ind w:firstLine="456"/>
        <w:rPr>
          <w:rFonts w:cs="宋体"/>
          <w:color w:val="auto"/>
          <w:spacing w:val="-6"/>
          <w:szCs w:val="21"/>
          <w:highlight w:val="none"/>
        </w:rPr>
      </w:pPr>
      <w:r>
        <w:rPr>
          <w:rFonts w:hint="eastAsia" w:cs="宋体"/>
          <w:color w:val="auto"/>
          <w:spacing w:val="-6"/>
          <w:szCs w:val="21"/>
          <w:highlight w:val="none"/>
        </w:rPr>
        <w:t>合同签订后办理好“进出口货物征免税证明”后预付30%，由甲方指定的外贸代理公司开具100%不可撤销即期信用证（90%即期，10%凭验收报告），甲方见装运单支付合同金额的60%给外贸代理公司，10%尾款在验收合格后</w:t>
      </w:r>
      <w:r>
        <w:rPr>
          <w:rFonts w:hint="eastAsia" w:cs="宋体"/>
          <w:color w:val="auto"/>
          <w:spacing w:val="-6"/>
          <w:szCs w:val="21"/>
          <w:highlight w:val="none"/>
          <w:u w:val="single"/>
        </w:rPr>
        <w:t>15</w:t>
      </w:r>
      <w:r>
        <w:rPr>
          <w:rFonts w:hint="eastAsia" w:cs="宋体"/>
          <w:color w:val="auto"/>
          <w:spacing w:val="-6"/>
          <w:szCs w:val="21"/>
          <w:highlight w:val="none"/>
        </w:rPr>
        <w:t>个工作日内支付给外贸代理公司。</w:t>
      </w:r>
    </w:p>
    <w:p>
      <w:pPr>
        <w:snapToGrid w:val="0"/>
        <w:ind w:firstLine="458"/>
        <w:rPr>
          <w:rFonts w:cs="宋体"/>
          <w:b/>
          <w:bCs/>
          <w:color w:val="auto"/>
          <w:spacing w:val="-6"/>
          <w:szCs w:val="21"/>
          <w:highlight w:val="none"/>
        </w:rPr>
      </w:pPr>
      <w:r>
        <w:rPr>
          <w:rFonts w:hint="eastAsia" w:cs="宋体"/>
          <w:b/>
          <w:bCs/>
          <w:color w:val="auto"/>
          <w:spacing w:val="-6"/>
          <w:szCs w:val="21"/>
          <w:highlight w:val="none"/>
        </w:rPr>
        <w:t>八、质量保证与售后服务</w:t>
      </w:r>
    </w:p>
    <w:p>
      <w:pPr>
        <w:ind w:firstLine="456"/>
        <w:contextualSpacing/>
        <w:rPr>
          <w:color w:val="auto"/>
          <w:spacing w:val="-6"/>
          <w:highlight w:val="none"/>
        </w:rPr>
      </w:pPr>
      <w:r>
        <w:rPr>
          <w:color w:val="auto"/>
          <w:spacing w:val="-6"/>
          <w:highlight w:val="none"/>
        </w:rPr>
        <w:t>1</w:t>
      </w:r>
      <w:r>
        <w:rPr>
          <w:rFonts w:hint="eastAsia"/>
          <w:color w:val="auto"/>
          <w:spacing w:val="-6"/>
          <w:highlight w:val="none"/>
        </w:rPr>
        <w:t>、乙方应按招标文件规定的货物性能、技术要求、质量标准向甲方提供未经使用的全新产品。</w:t>
      </w:r>
    </w:p>
    <w:p>
      <w:pPr>
        <w:pStyle w:val="19"/>
        <w:snapToGrid w:val="0"/>
        <w:spacing w:line="360" w:lineRule="auto"/>
        <w:ind w:firstLine="490" w:firstLineChars="215"/>
        <w:rPr>
          <w:rFonts w:cs="宋体"/>
          <w:color w:val="auto"/>
          <w:spacing w:val="-6"/>
          <w:sz w:val="24"/>
          <w:szCs w:val="24"/>
          <w:highlight w:val="none"/>
        </w:rPr>
      </w:pPr>
      <w:r>
        <w:rPr>
          <w:rFonts w:hint="eastAsia"/>
          <w:color w:val="auto"/>
          <w:spacing w:val="-6"/>
          <w:sz w:val="24"/>
          <w:szCs w:val="24"/>
          <w:highlight w:val="none"/>
        </w:rPr>
        <w:t>2、</w:t>
      </w:r>
      <w:r>
        <w:rPr>
          <w:rFonts w:hint="eastAsia" w:cs="宋体"/>
          <w:color w:val="auto"/>
          <w:spacing w:val="-6"/>
          <w:sz w:val="24"/>
          <w:szCs w:val="24"/>
          <w:highlight w:val="none"/>
        </w:rPr>
        <w:t>产品质量保修期为</w:t>
      </w:r>
      <w:r>
        <w:rPr>
          <w:rFonts w:hint="eastAsia" w:cs="宋体"/>
          <w:color w:val="auto"/>
          <w:spacing w:val="-6"/>
          <w:sz w:val="24"/>
          <w:szCs w:val="24"/>
          <w:highlight w:val="none"/>
          <w:u w:val="single"/>
        </w:rPr>
        <w:t xml:space="preserve">    </w:t>
      </w:r>
      <w:r>
        <w:rPr>
          <w:rFonts w:hint="eastAsia" w:cs="宋体"/>
          <w:color w:val="auto"/>
          <w:spacing w:val="-6"/>
          <w:sz w:val="24"/>
          <w:szCs w:val="24"/>
          <w:highlight w:val="none"/>
        </w:rPr>
        <w:t>年，保修期从验收合格后开始计算。</w:t>
      </w:r>
    </w:p>
    <w:p>
      <w:pPr>
        <w:pStyle w:val="19"/>
        <w:snapToGrid w:val="0"/>
        <w:spacing w:line="360" w:lineRule="auto"/>
        <w:ind w:firstLine="490" w:firstLineChars="215"/>
        <w:rPr>
          <w:rFonts w:ascii="Times New Roman" w:hAnsi="Times New Roman" w:cs="宋体"/>
          <w:color w:val="auto"/>
          <w:spacing w:val="-6"/>
          <w:sz w:val="24"/>
          <w:szCs w:val="24"/>
          <w:highlight w:val="none"/>
        </w:rPr>
      </w:pPr>
      <w:r>
        <w:rPr>
          <w:rFonts w:hint="eastAsia"/>
          <w:color w:val="auto"/>
          <w:spacing w:val="-6"/>
          <w:sz w:val="24"/>
          <w:szCs w:val="24"/>
          <w:highlight w:val="none"/>
        </w:rPr>
        <w:t>3、</w:t>
      </w:r>
      <w:r>
        <w:rPr>
          <w:rFonts w:hint="eastAsia" w:cs="宋体"/>
          <w:color w:val="auto"/>
          <w:spacing w:val="-6"/>
          <w:sz w:val="24"/>
          <w:szCs w:val="24"/>
          <w:highlight w:val="none"/>
        </w:rPr>
        <w:t>在质保期内，乙方应对货物出现的质量及安全问题负责处理解决并承担一切费用。质保期后，乙方应继续为甲方服务，仅收取零配件成本费，免人工费和差旅费，</w:t>
      </w:r>
      <w:r>
        <w:rPr>
          <w:rFonts w:hint="eastAsia" w:hAnsi="宋体"/>
          <w:color w:val="auto"/>
          <w:spacing w:val="-6"/>
          <w:sz w:val="24"/>
          <w:szCs w:val="24"/>
          <w:highlight w:val="none"/>
        </w:rPr>
        <w:t>所涉及软件终身免费升级</w:t>
      </w:r>
      <w:r>
        <w:rPr>
          <w:rFonts w:hint="eastAsia" w:cs="宋体"/>
          <w:color w:val="auto"/>
          <w:spacing w:val="-6"/>
          <w:sz w:val="24"/>
          <w:szCs w:val="24"/>
          <w:highlight w:val="none"/>
        </w:rPr>
        <w:t>。</w:t>
      </w:r>
    </w:p>
    <w:p>
      <w:pPr>
        <w:pStyle w:val="19"/>
        <w:snapToGrid w:val="0"/>
        <w:spacing w:line="360" w:lineRule="auto"/>
        <w:ind w:firstLine="490" w:firstLineChars="215"/>
        <w:rPr>
          <w:color w:val="auto"/>
          <w:spacing w:val="-6"/>
          <w:sz w:val="24"/>
          <w:szCs w:val="24"/>
          <w:highlight w:val="none"/>
        </w:rPr>
      </w:pPr>
      <w:r>
        <w:rPr>
          <w:rFonts w:hint="eastAsia" w:cs="宋体"/>
          <w:color w:val="auto"/>
          <w:spacing w:val="-6"/>
          <w:sz w:val="24"/>
          <w:szCs w:val="24"/>
          <w:highlight w:val="none"/>
        </w:rPr>
        <w:t>4、乙方提供的货物在质保期内因货物本身的质量问题发生故障，乙方应负责免费更换。对达不到技术要求者，根据实际情况，经双方协商，可按以下办法处理：</w:t>
      </w:r>
    </w:p>
    <w:p>
      <w:pPr>
        <w:snapToGrid w:val="0"/>
        <w:ind w:firstLine="342" w:firstLineChars="150"/>
        <w:rPr>
          <w:color w:val="auto"/>
          <w:spacing w:val="-6"/>
          <w:highlight w:val="none"/>
        </w:rPr>
      </w:pPr>
      <w:r>
        <w:rPr>
          <w:rFonts w:hint="eastAsia" w:cs="宋体"/>
          <w:color w:val="auto"/>
          <w:spacing w:val="-6"/>
          <w:highlight w:val="none"/>
        </w:rPr>
        <w:t>（1）更换：由乙方承担所发生的全部费用。</w:t>
      </w:r>
    </w:p>
    <w:p>
      <w:pPr>
        <w:snapToGrid w:val="0"/>
        <w:ind w:firstLine="342" w:firstLineChars="150"/>
        <w:rPr>
          <w:color w:val="auto"/>
          <w:spacing w:val="-6"/>
          <w:highlight w:val="none"/>
        </w:rPr>
      </w:pPr>
      <w:r>
        <w:rPr>
          <w:rFonts w:hint="eastAsia" w:cs="宋体"/>
          <w:color w:val="auto"/>
          <w:spacing w:val="-6"/>
          <w:highlight w:val="none"/>
        </w:rPr>
        <w:t>（2）退货：乙方应退还甲方支付的合同款，同时应承担该货物的直接费用（运输、保险、检验、清关及银行手续费等）。</w:t>
      </w:r>
    </w:p>
    <w:p>
      <w:pPr>
        <w:snapToGrid w:val="0"/>
        <w:ind w:firstLine="456"/>
        <w:rPr>
          <w:rFonts w:cs="宋体"/>
          <w:color w:val="auto"/>
          <w:spacing w:val="-6"/>
          <w:highlight w:val="none"/>
        </w:rPr>
      </w:pPr>
      <w:r>
        <w:rPr>
          <w:rFonts w:hint="eastAsia"/>
          <w:color w:val="auto"/>
          <w:spacing w:val="-6"/>
          <w:highlight w:val="none"/>
        </w:rPr>
        <w:t>5、</w:t>
      </w:r>
      <w:r>
        <w:rPr>
          <w:rFonts w:hint="eastAsia" w:cs="宋体"/>
          <w:color w:val="auto"/>
          <w:spacing w:val="-6"/>
          <w:highlight w:val="none"/>
        </w:rPr>
        <w:t>如在使用过程中发生故障，无法正常使用时，乙方在接到甲方通知后</w:t>
      </w:r>
      <w:r>
        <w:rPr>
          <w:rFonts w:hint="eastAsia" w:ascii="宋体" w:hAnsi="宋体"/>
          <w:color w:val="auto"/>
          <w:spacing w:val="-6"/>
          <w:highlight w:val="none"/>
        </w:rPr>
        <w:t>，保</w:t>
      </w:r>
      <w:r>
        <w:rPr>
          <w:rFonts w:hint="eastAsia" w:cs="宋体"/>
          <w:color w:val="auto"/>
          <w:spacing w:val="-6"/>
          <w:highlight w:val="none"/>
        </w:rPr>
        <w:t>修响应时间</w:t>
      </w:r>
      <w:r>
        <w:rPr>
          <w:rFonts w:hint="eastAsia"/>
          <w:color w:val="auto"/>
          <w:spacing w:val="-6"/>
          <w:highlight w:val="none"/>
          <w:u w:val="single"/>
        </w:rPr>
        <w:t>2</w:t>
      </w:r>
      <w:r>
        <w:rPr>
          <w:rFonts w:hint="eastAsia" w:cs="宋体"/>
          <w:color w:val="auto"/>
          <w:spacing w:val="-6"/>
          <w:highlight w:val="none"/>
        </w:rPr>
        <w:t>小时以内，电话技术支持</w:t>
      </w:r>
      <w:r>
        <w:rPr>
          <w:rFonts w:hint="eastAsia" w:cs="宋体"/>
          <w:color w:val="auto"/>
          <w:spacing w:val="-6"/>
          <w:highlight w:val="none"/>
          <w:u w:val="single"/>
        </w:rPr>
        <w:t>4</w:t>
      </w:r>
      <w:r>
        <w:rPr>
          <w:rFonts w:hint="eastAsia" w:cs="宋体"/>
          <w:color w:val="auto"/>
          <w:spacing w:val="-6"/>
          <w:highlight w:val="none"/>
        </w:rPr>
        <w:t>小时内解决问题；若需上门维修，则</w:t>
      </w:r>
      <w:r>
        <w:rPr>
          <w:color w:val="auto"/>
          <w:spacing w:val="-6"/>
          <w:highlight w:val="none"/>
          <w:u w:val="single"/>
        </w:rPr>
        <w:t>8</w:t>
      </w:r>
      <w:r>
        <w:rPr>
          <w:rFonts w:hint="eastAsia" w:cs="宋体"/>
          <w:color w:val="auto"/>
          <w:spacing w:val="-6"/>
          <w:highlight w:val="none"/>
        </w:rPr>
        <w:t>小时内到达现场并进行维修，最迟在</w:t>
      </w:r>
      <w:r>
        <w:rPr>
          <w:color w:val="auto"/>
          <w:spacing w:val="-6"/>
          <w:highlight w:val="none"/>
          <w:u w:val="single"/>
        </w:rPr>
        <w:t>2</w:t>
      </w:r>
      <w:r>
        <w:rPr>
          <w:rFonts w:hint="eastAsia" w:cs="宋体"/>
          <w:color w:val="auto"/>
          <w:spacing w:val="-6"/>
          <w:highlight w:val="none"/>
        </w:rPr>
        <w:t>个工作日内修复。保修内出现无法排除的故障，乙方需无条件为甲方更换同型号产品，以确保甲方的正常使用。</w:t>
      </w:r>
    </w:p>
    <w:p>
      <w:pPr>
        <w:snapToGrid w:val="0"/>
        <w:ind w:firstLine="458"/>
        <w:rPr>
          <w:rFonts w:cs="宋体"/>
          <w:b/>
          <w:bCs/>
          <w:color w:val="auto"/>
          <w:spacing w:val="-6"/>
          <w:szCs w:val="21"/>
          <w:highlight w:val="none"/>
        </w:rPr>
      </w:pPr>
      <w:r>
        <w:rPr>
          <w:rFonts w:hint="eastAsia" w:cs="宋体"/>
          <w:b/>
          <w:bCs/>
          <w:color w:val="auto"/>
          <w:spacing w:val="-6"/>
          <w:szCs w:val="21"/>
          <w:highlight w:val="none"/>
        </w:rPr>
        <w:t>九、违约责任</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rFonts w:hint="eastAsia" w:cs="宋体"/>
          <w:color w:val="auto"/>
          <w:spacing w:val="-6"/>
          <w:szCs w:val="21"/>
          <w:highlight w:val="none"/>
        </w:rPr>
        <w:t>乙方逾期履行合同的，自逾期之日起，乙方向甲方每日偿付合同总价</w:t>
      </w:r>
      <w:r>
        <w:rPr>
          <w:rFonts w:hint="eastAsia" w:cs="宋体"/>
          <w:color w:val="auto"/>
          <w:spacing w:val="-6"/>
          <w:szCs w:val="21"/>
          <w:highlight w:val="none"/>
          <w:u w:val="single"/>
        </w:rPr>
        <w:t>0.2%</w:t>
      </w:r>
      <w:r>
        <w:rPr>
          <w:rFonts w:hint="eastAsia" w:cs="宋体"/>
          <w:color w:val="auto"/>
          <w:spacing w:val="-6"/>
          <w:szCs w:val="21"/>
          <w:highlight w:val="none"/>
        </w:rPr>
        <w:t>的违约金。</w:t>
      </w:r>
    </w:p>
    <w:p>
      <w:pPr>
        <w:snapToGrid w:val="0"/>
        <w:ind w:firstLine="456"/>
        <w:rPr>
          <w:rFonts w:cs="宋体"/>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乙方逾期交货超过</w:t>
      </w:r>
      <w:r>
        <w:rPr>
          <w:rFonts w:hint="eastAsia" w:cs="宋体"/>
          <w:color w:val="auto"/>
          <w:spacing w:val="-6"/>
          <w:szCs w:val="21"/>
          <w:highlight w:val="none"/>
          <w:u w:val="single"/>
        </w:rPr>
        <w:t>3</w:t>
      </w:r>
      <w:r>
        <w:rPr>
          <w:rFonts w:hint="eastAsia" w:cs="宋体"/>
          <w:color w:val="auto"/>
          <w:spacing w:val="-6"/>
          <w:szCs w:val="21"/>
          <w:highlight w:val="none"/>
        </w:rPr>
        <w:t>个月，则甲方有权单方面终止合同，并要求乙方承付上述的违约金。</w:t>
      </w:r>
      <w:r>
        <w:rPr>
          <w:rFonts w:hint="eastAsia"/>
          <w:color w:val="auto"/>
          <w:spacing w:val="-6"/>
          <w:szCs w:val="21"/>
          <w:highlight w:val="none"/>
        </w:rPr>
        <w:t>如造成甲方损失超过违约金的，超出部分由乙方继续承担赔偿责任。</w:t>
      </w:r>
    </w:p>
    <w:p>
      <w:pPr>
        <w:snapToGrid w:val="0"/>
        <w:ind w:firstLine="458"/>
        <w:rPr>
          <w:rFonts w:cs="宋体"/>
          <w:b/>
          <w:bCs/>
          <w:color w:val="auto"/>
          <w:spacing w:val="-6"/>
          <w:szCs w:val="21"/>
          <w:highlight w:val="none"/>
        </w:rPr>
      </w:pPr>
      <w:r>
        <w:rPr>
          <w:rFonts w:hint="eastAsia" w:cs="宋体"/>
          <w:b/>
          <w:bCs/>
          <w:color w:val="auto"/>
          <w:spacing w:val="-6"/>
          <w:szCs w:val="21"/>
          <w:highlight w:val="none"/>
        </w:rPr>
        <w:t>十、不可抗力事件处理</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color w:val="auto"/>
          <w:spacing w:val="-6"/>
          <w:szCs w:val="21"/>
          <w:highlight w:val="none"/>
        </w:rPr>
        <w:t xml:space="preserve"> </w:t>
      </w:r>
      <w:r>
        <w:rPr>
          <w:rFonts w:hint="eastAsia" w:cs="宋体"/>
          <w:color w:val="auto"/>
          <w:spacing w:val="-6"/>
          <w:szCs w:val="21"/>
          <w:highlight w:val="none"/>
        </w:rPr>
        <w:t>在合同有效期内，任何一方因不可抗力事件导致不能履行合同，则合同履行期可延长，其延长期与不可抗力影响期相同。</w:t>
      </w:r>
    </w:p>
    <w:p>
      <w:pPr>
        <w:snapToGrid w:val="0"/>
        <w:ind w:firstLine="456"/>
        <w:rPr>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不可抗力事件发生后，应立即通知对方，并寄送有关权威机构出具的证明。</w:t>
      </w:r>
    </w:p>
    <w:p>
      <w:pPr>
        <w:snapToGrid w:val="0"/>
        <w:ind w:firstLine="456"/>
        <w:rPr>
          <w:rFonts w:cs="宋体"/>
          <w:color w:val="auto"/>
          <w:spacing w:val="-6"/>
          <w:szCs w:val="21"/>
          <w:highlight w:val="none"/>
        </w:rPr>
      </w:pPr>
      <w:r>
        <w:rPr>
          <w:color w:val="auto"/>
          <w:spacing w:val="-6"/>
          <w:szCs w:val="21"/>
          <w:highlight w:val="none"/>
        </w:rPr>
        <w:t>3</w:t>
      </w:r>
      <w:r>
        <w:rPr>
          <w:rFonts w:hint="eastAsia"/>
          <w:color w:val="auto"/>
          <w:spacing w:val="-6"/>
          <w:szCs w:val="21"/>
          <w:highlight w:val="none"/>
        </w:rPr>
        <w:t>、</w:t>
      </w:r>
      <w:r>
        <w:rPr>
          <w:rFonts w:hint="eastAsia" w:cs="宋体"/>
          <w:color w:val="auto"/>
          <w:spacing w:val="-6"/>
          <w:szCs w:val="21"/>
          <w:highlight w:val="none"/>
        </w:rPr>
        <w:t>不可抗力事件延续</w:t>
      </w:r>
      <w:r>
        <w:rPr>
          <w:color w:val="auto"/>
          <w:spacing w:val="-6"/>
          <w:szCs w:val="21"/>
          <w:highlight w:val="none"/>
        </w:rPr>
        <w:t>120</w:t>
      </w:r>
      <w:r>
        <w:rPr>
          <w:rFonts w:hint="eastAsia" w:cs="宋体"/>
          <w:color w:val="auto"/>
          <w:spacing w:val="-6"/>
          <w:szCs w:val="21"/>
          <w:highlight w:val="none"/>
        </w:rPr>
        <w:t>天以上，双方应通过友好协商，确定是否继续履行合同。</w:t>
      </w:r>
    </w:p>
    <w:p>
      <w:pPr>
        <w:snapToGrid w:val="0"/>
        <w:ind w:firstLine="458"/>
        <w:rPr>
          <w:rFonts w:cs="宋体"/>
          <w:b/>
          <w:bCs/>
          <w:color w:val="auto"/>
          <w:spacing w:val="-6"/>
          <w:szCs w:val="21"/>
          <w:highlight w:val="none"/>
        </w:rPr>
      </w:pPr>
      <w:r>
        <w:rPr>
          <w:rFonts w:hint="eastAsia" w:cs="宋体"/>
          <w:b/>
          <w:bCs/>
          <w:color w:val="auto"/>
          <w:spacing w:val="-6"/>
          <w:szCs w:val="21"/>
          <w:highlight w:val="none"/>
        </w:rPr>
        <w:t>十一、争议解决</w:t>
      </w:r>
    </w:p>
    <w:p>
      <w:pPr>
        <w:pStyle w:val="166"/>
        <w:adjustRightInd w:val="0"/>
        <w:snapToGrid w:val="0"/>
        <w:ind w:firstLine="478" w:firstLineChars="210"/>
        <w:jc w:val="left"/>
        <w:rPr>
          <w:rFonts w:cs="宋体"/>
          <w:color w:val="auto"/>
          <w:spacing w:val="-6"/>
          <w:szCs w:val="21"/>
          <w:highlight w:val="none"/>
        </w:rPr>
      </w:pPr>
      <w:r>
        <w:rPr>
          <w:rFonts w:hint="eastAsia" w:cs="宋体"/>
          <w:color w:val="auto"/>
          <w:spacing w:val="-6"/>
          <w:szCs w:val="21"/>
          <w:highlight w:val="none"/>
        </w:rPr>
        <w:t>双方在执行合同过程中所发生的一切争议，应首先通过协商解决。如协商不成，甲乙双方同意将本合同引起的争议提交中国杭州法定仲裁委员会仲裁解决，并适用中华人民共和国法律。</w:t>
      </w:r>
    </w:p>
    <w:p>
      <w:pPr>
        <w:pStyle w:val="166"/>
        <w:adjustRightInd w:val="0"/>
        <w:snapToGrid w:val="0"/>
        <w:ind w:firstLine="0" w:firstLineChars="0"/>
        <w:jc w:val="left"/>
        <w:rPr>
          <w:rFonts w:cs="宋体"/>
          <w:b/>
          <w:bCs/>
          <w:color w:val="auto"/>
          <w:spacing w:val="-6"/>
          <w:szCs w:val="21"/>
          <w:highlight w:val="none"/>
        </w:rPr>
      </w:pPr>
      <w:r>
        <w:rPr>
          <w:rFonts w:hint="eastAsia" w:cs="宋体"/>
          <w:b/>
          <w:bCs/>
          <w:color w:val="auto"/>
          <w:spacing w:val="-6"/>
          <w:szCs w:val="21"/>
          <w:highlight w:val="none"/>
        </w:rPr>
        <w:t>十二、合同生效</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、本</w:t>
      </w:r>
      <w:r>
        <w:rPr>
          <w:rFonts w:hint="eastAsia" w:cs="宋体"/>
          <w:color w:val="auto"/>
          <w:spacing w:val="-6"/>
          <w:szCs w:val="21"/>
          <w:highlight w:val="none"/>
        </w:rPr>
        <w:t>合同经甲、乙双方法定代表人或授权代表签字并加盖单位公章后生效。</w:t>
      </w:r>
    </w:p>
    <w:p>
      <w:pPr>
        <w:snapToGrid w:val="0"/>
        <w:ind w:firstLine="456"/>
        <w:rPr>
          <w:color w:val="auto"/>
          <w:spacing w:val="-6"/>
          <w:szCs w:val="21"/>
          <w:highlight w:val="none"/>
        </w:rPr>
      </w:pPr>
      <w:r>
        <w:rPr>
          <w:rFonts w:hint="eastAsia"/>
          <w:color w:val="auto"/>
          <w:spacing w:val="-6"/>
          <w:szCs w:val="21"/>
          <w:highlight w:val="none"/>
        </w:rPr>
        <w:t>2、</w:t>
      </w:r>
      <w:r>
        <w:rPr>
          <w:rFonts w:hint="eastAsia" w:cs="宋体"/>
          <w:color w:val="auto"/>
          <w:spacing w:val="-6"/>
          <w:szCs w:val="21"/>
          <w:highlight w:val="none"/>
        </w:rPr>
        <w:t>本合同未尽事宜，遵照《中华人民共和国合同法》有关规定执行。</w:t>
      </w:r>
    </w:p>
    <w:p>
      <w:pPr>
        <w:snapToGrid w:val="0"/>
        <w:ind w:firstLine="456"/>
        <w:rPr>
          <w:color w:val="auto"/>
          <w:spacing w:val="-6"/>
          <w:szCs w:val="21"/>
          <w:highlight w:val="none"/>
        </w:rPr>
      </w:pPr>
      <w:r>
        <w:rPr>
          <w:rFonts w:hint="eastAsia"/>
          <w:color w:val="auto"/>
          <w:spacing w:val="-6"/>
          <w:szCs w:val="21"/>
          <w:highlight w:val="none"/>
        </w:rPr>
        <w:t>3、</w:t>
      </w:r>
      <w:r>
        <w:rPr>
          <w:rFonts w:hint="eastAsia" w:cs="宋体"/>
          <w:color w:val="auto"/>
          <w:spacing w:val="-6"/>
          <w:szCs w:val="21"/>
          <w:highlight w:val="none"/>
        </w:rPr>
        <w:t>本合同一式陆份，甲方执伍份，乙方壹份。</w:t>
      </w:r>
    </w:p>
    <w:p>
      <w:pPr>
        <w:snapToGrid w:val="0"/>
        <w:ind w:firstLine="456"/>
        <w:rPr>
          <w:rFonts w:cs="宋体"/>
          <w:color w:val="auto"/>
          <w:spacing w:val="-6"/>
          <w:szCs w:val="21"/>
          <w:highlight w:val="none"/>
        </w:rPr>
      </w:pPr>
      <w:r>
        <w:rPr>
          <w:rFonts w:hint="eastAsia" w:cs="宋体"/>
          <w:color w:val="auto"/>
          <w:spacing w:val="-6"/>
          <w:szCs w:val="21"/>
          <w:highlight w:val="none"/>
        </w:rPr>
        <w:t>4、相关招投标文件及相关承诺与本合同具有同等法律效力。</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ind w:firstLine="482"/>
        <w:rPr>
          <w:rFonts w:hAnsi="宋体"/>
          <w:b/>
          <w:bCs/>
          <w:color w:val="auto"/>
          <w:szCs w:val="21"/>
          <w:highlight w:val="none"/>
        </w:rPr>
      </w:pPr>
    </w:p>
    <w:p>
      <w:pPr>
        <w:tabs>
          <w:tab w:val="left" w:pos="525"/>
        </w:tabs>
        <w:ind w:firstLine="482"/>
        <w:rPr>
          <w:rFonts w:hAnsi="宋体"/>
          <w:b/>
          <w:bCs/>
          <w:color w:val="auto"/>
          <w:szCs w:val="21"/>
          <w:highlight w:val="none"/>
        </w:rPr>
      </w:pPr>
      <w:r>
        <w:rPr>
          <w:rFonts w:hint="eastAsia" w:hAnsi="宋体"/>
          <w:b/>
          <w:bCs/>
          <w:color w:val="auto"/>
          <w:szCs w:val="21"/>
          <w:highlight w:val="none"/>
        </w:rPr>
        <w:t>合同附件：</w:t>
      </w:r>
    </w:p>
    <w:p>
      <w:pPr>
        <w:tabs>
          <w:tab w:val="left" w:pos="525"/>
        </w:tabs>
        <w:ind w:firstLine="482"/>
        <w:rPr>
          <w:rFonts w:hAnsi="宋体"/>
          <w:b/>
          <w:bCs/>
          <w:color w:val="auto"/>
          <w:szCs w:val="21"/>
          <w:highlight w:val="none"/>
        </w:rPr>
      </w:pPr>
      <w:r>
        <w:rPr>
          <w:rFonts w:hAnsi="宋体"/>
          <w:b/>
          <w:bCs/>
          <w:color w:val="auto"/>
          <w:szCs w:val="21"/>
          <w:highlight w:val="none"/>
        </w:rPr>
        <w:t>配置清单：</w:t>
      </w:r>
    </w:p>
    <w:tbl>
      <w:tblPr>
        <w:tblStyle w:val="38"/>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9"/>
        <w:gridCol w:w="1501"/>
        <w:gridCol w:w="1638"/>
        <w:gridCol w:w="1024"/>
        <w:gridCol w:w="1024"/>
        <w:gridCol w:w="102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b/>
                <w:color w:val="auto"/>
                <w:sz w:val="22"/>
                <w:szCs w:val="20"/>
                <w:highlight w:val="none"/>
              </w:rPr>
            </w:pPr>
            <w:r>
              <w:rPr>
                <w:rFonts w:hAnsi="宋体"/>
                <w:b/>
                <w:color w:val="auto"/>
                <w:sz w:val="22"/>
                <w:szCs w:val="20"/>
                <w:highlight w:val="none"/>
              </w:rPr>
              <w:t>序号</w:t>
            </w:r>
          </w:p>
        </w:tc>
        <w:tc>
          <w:tcPr>
            <w:tcW w:w="1419" w:type="dxa"/>
            <w:vAlign w:val="center"/>
          </w:tcPr>
          <w:p>
            <w:pPr>
              <w:spacing w:line="240" w:lineRule="auto"/>
              <w:ind w:firstLine="0" w:firstLineChars="0"/>
              <w:jc w:val="center"/>
              <w:rPr>
                <w:b/>
                <w:color w:val="auto"/>
                <w:sz w:val="22"/>
                <w:szCs w:val="20"/>
                <w:highlight w:val="none"/>
              </w:rPr>
            </w:pPr>
            <w:r>
              <w:rPr>
                <w:rFonts w:hAnsi="宋体"/>
                <w:b/>
                <w:color w:val="auto"/>
                <w:sz w:val="22"/>
                <w:szCs w:val="20"/>
                <w:highlight w:val="none"/>
              </w:rPr>
              <w:t>名称</w:t>
            </w:r>
          </w:p>
        </w:tc>
        <w:tc>
          <w:tcPr>
            <w:tcW w:w="1501" w:type="dxa"/>
            <w:vAlign w:val="center"/>
          </w:tcPr>
          <w:p>
            <w:pPr>
              <w:spacing w:line="240" w:lineRule="auto"/>
              <w:ind w:left="102" w:right="-36" w:firstLine="0" w:firstLineChars="0"/>
              <w:jc w:val="center"/>
              <w:rPr>
                <w:b/>
                <w:color w:val="auto"/>
                <w:sz w:val="22"/>
                <w:szCs w:val="20"/>
                <w:highlight w:val="none"/>
              </w:rPr>
            </w:pPr>
            <w:r>
              <w:rPr>
                <w:rFonts w:hAnsi="宋体"/>
                <w:b/>
                <w:color w:val="auto"/>
                <w:sz w:val="22"/>
                <w:szCs w:val="20"/>
                <w:highlight w:val="none"/>
              </w:rPr>
              <w:t>规格</w:t>
            </w:r>
            <w:r>
              <w:rPr>
                <w:b/>
                <w:color w:val="auto"/>
                <w:sz w:val="22"/>
                <w:szCs w:val="20"/>
                <w:highlight w:val="none"/>
              </w:rPr>
              <w:t>/</w:t>
            </w:r>
            <w:r>
              <w:rPr>
                <w:rFonts w:hAnsi="宋体"/>
                <w:b/>
                <w:color w:val="auto"/>
                <w:sz w:val="22"/>
                <w:szCs w:val="20"/>
                <w:highlight w:val="none"/>
              </w:rPr>
              <w:t>型号</w:t>
            </w:r>
          </w:p>
        </w:tc>
        <w:tc>
          <w:tcPr>
            <w:tcW w:w="1638" w:type="dxa"/>
          </w:tcPr>
          <w:p>
            <w:pPr>
              <w:spacing w:line="240" w:lineRule="auto"/>
              <w:ind w:left="102" w:right="-36" w:firstLine="0" w:firstLineChars="0"/>
              <w:jc w:val="center"/>
              <w:rPr>
                <w:rFonts w:hAnsi="宋体"/>
                <w:b/>
                <w:color w:val="auto"/>
                <w:sz w:val="22"/>
                <w:szCs w:val="20"/>
                <w:highlight w:val="none"/>
              </w:rPr>
            </w:pPr>
            <w:r>
              <w:rPr>
                <w:rFonts w:hint="eastAsia" w:hAnsi="宋体"/>
                <w:b/>
                <w:color w:val="auto"/>
                <w:sz w:val="22"/>
                <w:szCs w:val="20"/>
                <w:highlight w:val="none"/>
              </w:rPr>
              <w:t>品牌/厂家/</w:t>
            </w:r>
          </w:p>
          <w:p>
            <w:pPr>
              <w:spacing w:line="240" w:lineRule="auto"/>
              <w:ind w:right="-3" w:firstLine="0" w:firstLineChars="0"/>
              <w:jc w:val="center"/>
              <w:rPr>
                <w:rFonts w:hAnsi="宋体"/>
                <w:b/>
                <w:color w:val="auto"/>
                <w:sz w:val="22"/>
                <w:szCs w:val="20"/>
                <w:highlight w:val="none"/>
              </w:rPr>
            </w:pPr>
            <w:r>
              <w:rPr>
                <w:rFonts w:hint="eastAsia" w:hAnsi="宋体"/>
                <w:b/>
                <w:color w:val="auto"/>
                <w:sz w:val="22"/>
                <w:szCs w:val="20"/>
                <w:highlight w:val="none"/>
              </w:rPr>
              <w:t>原产地</w:t>
            </w:r>
          </w:p>
        </w:tc>
        <w:tc>
          <w:tcPr>
            <w:tcW w:w="1024" w:type="dxa"/>
            <w:vAlign w:val="center"/>
          </w:tcPr>
          <w:p>
            <w:pPr>
              <w:spacing w:line="240" w:lineRule="auto"/>
              <w:ind w:right="-3" w:firstLine="0" w:firstLineChars="0"/>
              <w:jc w:val="center"/>
              <w:rPr>
                <w:rFonts w:hAnsi="宋体"/>
                <w:b/>
                <w:color w:val="auto"/>
                <w:sz w:val="22"/>
                <w:szCs w:val="20"/>
                <w:highlight w:val="none"/>
              </w:rPr>
            </w:pPr>
            <w:r>
              <w:rPr>
                <w:rFonts w:hAnsi="宋体"/>
                <w:b/>
                <w:color w:val="auto"/>
                <w:sz w:val="22"/>
                <w:szCs w:val="20"/>
                <w:highlight w:val="none"/>
              </w:rPr>
              <w:t>数量</w:t>
            </w:r>
          </w:p>
        </w:tc>
        <w:tc>
          <w:tcPr>
            <w:tcW w:w="1024" w:type="dxa"/>
            <w:vAlign w:val="center"/>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单价（美金）</w:t>
            </w:r>
          </w:p>
        </w:tc>
        <w:tc>
          <w:tcPr>
            <w:tcW w:w="1024" w:type="dxa"/>
            <w:vAlign w:val="center"/>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总价（美金）</w:t>
            </w:r>
          </w:p>
        </w:tc>
        <w:tc>
          <w:tcPr>
            <w:tcW w:w="1015" w:type="dxa"/>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1</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2</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3</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left="105"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4</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5</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6</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bl>
    <w:p>
      <w:pPr>
        <w:ind w:firstLine="480"/>
        <w:rPr>
          <w:color w:val="auto"/>
          <w:szCs w:val="21"/>
          <w:highlight w:val="none"/>
        </w:rPr>
      </w:pPr>
    </w:p>
    <w:p>
      <w:pPr>
        <w:spacing w:after="312"/>
        <w:ind w:firstLine="480"/>
        <w:jc w:val="center"/>
        <w:rPr>
          <w:color w:val="auto"/>
          <w:highlight w:val="none"/>
        </w:rPr>
      </w:pPr>
      <w:r>
        <w:rPr>
          <w:rFonts w:hint="eastAsia"/>
          <w:color w:val="auto"/>
          <w:highlight w:val="none"/>
        </w:rPr>
        <w:br w:type="page"/>
      </w:r>
    </w:p>
    <w:p>
      <w:pPr>
        <w:spacing w:after="312"/>
        <w:ind w:firstLine="602"/>
        <w:jc w:val="center"/>
        <w:rPr>
          <w:b/>
          <w:color w:val="auto"/>
          <w:sz w:val="44"/>
          <w:highlight w:val="none"/>
        </w:rPr>
      </w:pPr>
      <w:r>
        <w:rPr>
          <w:rFonts w:hint="eastAsia"/>
          <w:b/>
          <w:color w:val="auto"/>
          <w:sz w:val="30"/>
          <w:szCs w:val="30"/>
          <w:highlight w:val="none"/>
        </w:rPr>
        <w:t>中国计量大学采购合同</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合同编号：</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确认书编号：</w:t>
      </w:r>
    </w:p>
    <w:p>
      <w:pPr>
        <w:pStyle w:val="14"/>
        <w:spacing w:line="240" w:lineRule="auto"/>
        <w:ind w:left="315" w:firstLine="482"/>
        <w:contextualSpacing/>
        <w:rPr>
          <w:b/>
          <w:color w:val="auto"/>
          <w:szCs w:val="24"/>
          <w:highlight w:val="none"/>
        </w:rPr>
      </w:pPr>
      <w:r>
        <w:rPr>
          <w:rFonts w:hint="eastAsia"/>
          <w:b/>
          <w:color w:val="auto"/>
          <w:szCs w:val="24"/>
          <w:highlight w:val="none"/>
        </w:rPr>
        <w:t>甲方（需方）：</w:t>
      </w:r>
      <w:r>
        <w:rPr>
          <w:rFonts w:hint="eastAsia"/>
          <w:b/>
          <w:color w:val="auto"/>
          <w:szCs w:val="24"/>
          <w:highlight w:val="none"/>
          <w:u w:val="single"/>
        </w:rPr>
        <w:t xml:space="preserve">     中国计量大学                 </w:t>
      </w:r>
    </w:p>
    <w:p>
      <w:pPr>
        <w:pStyle w:val="14"/>
        <w:spacing w:line="240" w:lineRule="auto"/>
        <w:ind w:left="315" w:firstLine="482"/>
        <w:contextualSpacing/>
        <w:rPr>
          <w:b/>
          <w:color w:val="auto"/>
          <w:szCs w:val="24"/>
          <w:highlight w:val="none"/>
        </w:rPr>
      </w:pPr>
      <w:r>
        <w:rPr>
          <w:rFonts w:hint="eastAsia"/>
          <w:b/>
          <w:color w:val="auto"/>
          <w:szCs w:val="24"/>
          <w:highlight w:val="none"/>
        </w:rPr>
        <w:t>乙方（供方）：</w:t>
      </w:r>
      <w:r>
        <w:rPr>
          <w:rFonts w:hint="eastAsia"/>
          <w:b/>
          <w:color w:val="auto"/>
          <w:szCs w:val="24"/>
          <w:highlight w:val="none"/>
          <w:u w:val="single"/>
        </w:rPr>
        <w:t xml:space="preserve">                                  </w:t>
      </w:r>
    </w:p>
    <w:p>
      <w:pPr>
        <w:pStyle w:val="14"/>
        <w:tabs>
          <w:tab w:val="left" w:pos="6240"/>
        </w:tabs>
        <w:spacing w:after="312"/>
        <w:ind w:firstLine="0"/>
        <w:contextualSpacing/>
        <w:jc w:val="left"/>
        <w:rPr>
          <w:color w:val="auto"/>
          <w:sz w:val="21"/>
          <w:szCs w:val="21"/>
          <w:highlight w:val="none"/>
        </w:rPr>
      </w:pPr>
    </w:p>
    <w:p>
      <w:pPr>
        <w:pStyle w:val="14"/>
        <w:spacing w:line="240" w:lineRule="auto"/>
        <w:ind w:left="315"/>
        <w:contextualSpacing/>
        <w:rPr>
          <w:rFonts w:hAnsi="宋体"/>
          <w:snapToGrid w:val="0"/>
          <w:color w:val="auto"/>
          <w:sz w:val="22"/>
          <w:szCs w:val="22"/>
          <w:highlight w:val="none"/>
        </w:rPr>
      </w:pPr>
      <w:r>
        <w:rPr>
          <w:rFonts w:hint="eastAsia"/>
          <w:color w:val="auto"/>
          <w:sz w:val="22"/>
          <w:szCs w:val="22"/>
          <w:highlight w:val="none"/>
        </w:rPr>
        <w:t>依照《中华人民共和国合同法》及其他有关法律、行政法规，遵循平等、自愿、公平和诚实信用的原则，双方</w:t>
      </w:r>
      <w:r>
        <w:rPr>
          <w:rFonts w:hint="eastAsia" w:hAnsi="宋体"/>
          <w:snapToGrid w:val="0"/>
          <w:color w:val="auto"/>
          <w:sz w:val="22"/>
          <w:szCs w:val="22"/>
          <w:highlight w:val="none"/>
        </w:rPr>
        <w:t>根据对</w:t>
      </w:r>
      <w:r>
        <w:rPr>
          <w:rFonts w:hint="eastAsia" w:hAnsi="宋体"/>
          <w:snapToGrid w:val="0"/>
          <w:color w:val="auto"/>
          <w:sz w:val="22"/>
          <w:szCs w:val="22"/>
          <w:highlight w:val="none"/>
          <w:u w:val="single"/>
        </w:rPr>
        <w:t xml:space="preserve">                           </w:t>
      </w:r>
      <w:r>
        <w:rPr>
          <w:rFonts w:hint="eastAsia" w:hAnsi="宋体"/>
          <w:snapToGrid w:val="0"/>
          <w:color w:val="auto"/>
          <w:sz w:val="22"/>
          <w:szCs w:val="22"/>
          <w:highlight w:val="none"/>
        </w:rPr>
        <w:t xml:space="preserve">  （项目名称和编号）的公开招标的结果,签署本合同。</w:t>
      </w:r>
    </w:p>
    <w:p>
      <w:pPr>
        <w:snapToGrid w:val="0"/>
        <w:spacing w:after="312"/>
        <w:ind w:firstLine="442"/>
        <w:contextualSpacing/>
        <w:rPr>
          <w:b/>
          <w:color w:val="auto"/>
          <w:sz w:val="22"/>
          <w:szCs w:val="22"/>
          <w:highlight w:val="none"/>
        </w:rPr>
      </w:pPr>
      <w:r>
        <w:rPr>
          <w:rFonts w:hint="eastAsia"/>
          <w:b/>
          <w:color w:val="auto"/>
          <w:sz w:val="22"/>
          <w:szCs w:val="22"/>
          <w:highlight w:val="none"/>
        </w:rPr>
        <w:t xml:space="preserve">   </w:t>
      </w:r>
    </w:p>
    <w:p>
      <w:pPr>
        <w:snapToGrid w:val="0"/>
        <w:spacing w:line="240" w:lineRule="auto"/>
        <w:ind w:firstLine="418"/>
        <w:contextualSpacing/>
        <w:rPr>
          <w:rFonts w:cs="宋体"/>
          <w:b/>
          <w:bCs/>
          <w:color w:val="auto"/>
          <w:spacing w:val="-6"/>
          <w:sz w:val="22"/>
          <w:szCs w:val="22"/>
          <w:highlight w:val="none"/>
        </w:rPr>
      </w:pPr>
      <w:r>
        <w:rPr>
          <w:rFonts w:hint="eastAsia" w:cs="宋体"/>
          <w:b/>
          <w:bCs/>
          <w:color w:val="auto"/>
          <w:spacing w:val="-6"/>
          <w:sz w:val="22"/>
          <w:szCs w:val="22"/>
          <w:highlight w:val="none"/>
        </w:rPr>
        <w:t>一、采购商品清单及合同价格</w:t>
      </w:r>
    </w:p>
    <w:tbl>
      <w:tblPr>
        <w:tblStyle w:val="38"/>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27"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序号</w:t>
            </w:r>
          </w:p>
        </w:tc>
        <w:tc>
          <w:tcPr>
            <w:tcW w:w="1068"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货物名称</w:t>
            </w:r>
          </w:p>
        </w:tc>
        <w:tc>
          <w:tcPr>
            <w:tcW w:w="1364" w:type="dxa"/>
            <w:vAlign w:val="center"/>
          </w:tcPr>
          <w:p>
            <w:pPr>
              <w:adjustRightInd w:val="0"/>
              <w:snapToGrid w:val="0"/>
              <w:spacing w:line="240" w:lineRule="auto"/>
              <w:ind w:right="-36" w:firstLine="0" w:firstLineChars="0"/>
              <w:jc w:val="center"/>
              <w:rPr>
                <w:color w:val="auto"/>
                <w:sz w:val="22"/>
                <w:szCs w:val="22"/>
                <w:highlight w:val="none"/>
              </w:rPr>
            </w:pPr>
            <w:r>
              <w:rPr>
                <w:rFonts w:hint="eastAsia"/>
                <w:color w:val="auto"/>
                <w:sz w:val="22"/>
                <w:szCs w:val="22"/>
                <w:highlight w:val="none"/>
              </w:rPr>
              <w:t>规格型号</w:t>
            </w:r>
          </w:p>
        </w:tc>
        <w:tc>
          <w:tcPr>
            <w:tcW w:w="14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品牌/厂家/</w:t>
            </w:r>
          </w:p>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原产地</w:t>
            </w:r>
          </w:p>
        </w:tc>
        <w:tc>
          <w:tcPr>
            <w:tcW w:w="856"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计量</w:t>
            </w:r>
          </w:p>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单位</w:t>
            </w:r>
          </w:p>
        </w:tc>
        <w:tc>
          <w:tcPr>
            <w:tcW w:w="850"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数量</w:t>
            </w:r>
          </w:p>
        </w:tc>
        <w:tc>
          <w:tcPr>
            <w:tcW w:w="9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单价(元)</w:t>
            </w:r>
          </w:p>
        </w:tc>
        <w:tc>
          <w:tcPr>
            <w:tcW w:w="155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1</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2</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9001" w:type="dxa"/>
            <w:gridSpan w:val="8"/>
            <w:vAlign w:val="center"/>
          </w:tcPr>
          <w:p>
            <w:pPr>
              <w:pStyle w:val="21"/>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宋体"/>
                <w:color w:val="auto"/>
                <w:sz w:val="22"/>
                <w:szCs w:val="22"/>
                <w:highlight w:val="none"/>
              </w:rPr>
              <w:t>合同总价：人</w:t>
            </w:r>
            <w:r>
              <w:rPr>
                <w:rFonts w:ascii="Calibri" w:hAnsi="宋体"/>
                <w:color w:val="auto"/>
                <w:sz w:val="22"/>
                <w:szCs w:val="22"/>
                <w:highlight w:val="none"/>
              </w:rPr>
              <w:t>民币金额（大写）：</w:t>
            </w:r>
            <w:r>
              <w:rPr>
                <w:rFonts w:hint="eastAsia" w:ascii="Calibri" w:hAnsi="宋体"/>
                <w:color w:val="auto"/>
                <w:sz w:val="22"/>
                <w:szCs w:val="22"/>
                <w:highlight w:val="none"/>
              </w:rPr>
              <w:t xml:space="preserve">         </w:t>
            </w:r>
            <w:r>
              <w:rPr>
                <w:rFonts w:ascii="Calibri" w:hAnsi="Calibri"/>
                <w:color w:val="auto"/>
                <w:sz w:val="22"/>
                <w:szCs w:val="22"/>
                <w:highlight w:val="none"/>
              </w:rPr>
              <w:t xml:space="preserve">  </w:t>
            </w:r>
            <w:r>
              <w:rPr>
                <w:rFonts w:hint="eastAsia" w:ascii="Calibri" w:hAnsi="Calibri"/>
                <w:color w:val="auto"/>
                <w:sz w:val="22"/>
                <w:szCs w:val="22"/>
                <w:highlight w:val="none"/>
              </w:rPr>
              <w:t xml:space="preserve">                       </w:t>
            </w:r>
          </w:p>
          <w:p>
            <w:pPr>
              <w:pStyle w:val="21"/>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Calibri"/>
                <w:color w:val="auto"/>
                <w:sz w:val="22"/>
                <w:szCs w:val="22"/>
                <w:highlight w:val="none"/>
              </w:rPr>
              <w:t xml:space="preserve"> </w:t>
            </w:r>
            <w:r>
              <w:rPr>
                <w:rFonts w:ascii="Calibri" w:hAnsi="Calibri"/>
                <w:color w:val="auto"/>
                <w:sz w:val="22"/>
                <w:szCs w:val="22"/>
                <w:highlight w:val="none"/>
              </w:rPr>
              <w:t>¥</w:t>
            </w:r>
            <w:r>
              <w:rPr>
                <w:rFonts w:hint="eastAsia" w:ascii="Calibri" w:hAnsi="Calibri"/>
                <w:color w:val="auto"/>
                <w:sz w:val="22"/>
                <w:szCs w:val="22"/>
                <w:highlight w:val="none"/>
              </w:rPr>
              <w:t>：</w:t>
            </w:r>
          </w:p>
        </w:tc>
      </w:tr>
    </w:tbl>
    <w:p>
      <w:pPr>
        <w:spacing w:line="240" w:lineRule="auto"/>
        <w:ind w:firstLine="936" w:firstLineChars="450"/>
        <w:rPr>
          <w:color w:val="auto"/>
          <w:spacing w:val="-6"/>
          <w:sz w:val="22"/>
          <w:szCs w:val="22"/>
          <w:highlight w:val="none"/>
        </w:rPr>
      </w:pPr>
      <w:r>
        <w:rPr>
          <w:rFonts w:hint="eastAsia"/>
          <w:color w:val="auto"/>
          <w:spacing w:val="-6"/>
          <w:sz w:val="22"/>
          <w:szCs w:val="22"/>
          <w:highlight w:val="none"/>
        </w:rPr>
        <w:t>注：以上合同总价包括运抵使用单位的运输、安装、调试、验收、税金等费用。</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二、技术资料</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、乙方应按招标文件规定的时间向甲方提供合同货物的有关技术资料。</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9"/>
        <w:ind w:firstLine="424" w:firstLineChars="192"/>
        <w:contextualSpacing/>
        <w:rPr>
          <w:rFonts w:hAnsi="宋体"/>
          <w:b/>
          <w:color w:val="auto"/>
          <w:sz w:val="22"/>
          <w:szCs w:val="22"/>
          <w:highlight w:val="none"/>
        </w:rPr>
      </w:pPr>
      <w:r>
        <w:rPr>
          <w:rFonts w:hint="eastAsia" w:hAnsi="宋体"/>
          <w:b/>
          <w:color w:val="auto"/>
          <w:sz w:val="22"/>
          <w:szCs w:val="22"/>
          <w:highlight w:val="none"/>
        </w:rPr>
        <w:t>三、知识产权</w:t>
      </w:r>
    </w:p>
    <w:p>
      <w:pPr>
        <w:pStyle w:val="19"/>
        <w:ind w:firstLine="447" w:firstLineChars="215"/>
        <w:contextualSpacing/>
        <w:rPr>
          <w:rFonts w:cs="宋体"/>
          <w:color w:val="auto"/>
          <w:spacing w:val="-6"/>
          <w:sz w:val="22"/>
          <w:szCs w:val="22"/>
          <w:highlight w:val="none"/>
        </w:rPr>
      </w:pPr>
      <w:r>
        <w:rPr>
          <w:rFonts w:hint="eastAsia" w:cs="宋体"/>
          <w:color w:val="auto"/>
          <w:spacing w:val="-6"/>
          <w:sz w:val="22"/>
          <w:szCs w:val="22"/>
          <w:highlight w:val="none"/>
        </w:rPr>
        <w:t>乙方应保证所提供的货物或其任何一部分均不会侵犯任何第三方的知识产权，由此产生的知识产权纠纷由乙方承担全部责任。</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四、履约保证金：</w:t>
      </w:r>
    </w:p>
    <w:p>
      <w:pPr>
        <w:pStyle w:val="19"/>
        <w:ind w:firstLine="420"/>
        <w:contextualSpacing/>
        <w:rPr>
          <w:rFonts w:hint="eastAsia" w:hAnsi="宋体" w:eastAsia="宋体"/>
          <w:color w:val="auto"/>
          <w:sz w:val="22"/>
          <w:szCs w:val="22"/>
          <w:highlight w:val="none"/>
          <w:lang w:eastAsia="zh-CN"/>
        </w:rPr>
      </w:pPr>
      <w:r>
        <w:rPr>
          <w:rFonts w:hint="eastAsia" w:hAnsi="宋体"/>
          <w:color w:val="auto"/>
          <w:sz w:val="22"/>
          <w:szCs w:val="22"/>
          <w:highlight w:val="none"/>
        </w:rPr>
        <w:t>乙方须于合同签订后向甲方支付合同总价</w:t>
      </w:r>
      <w:r>
        <w:rPr>
          <w:rFonts w:hint="eastAsia" w:hAnsi="宋体"/>
          <w:color w:val="auto"/>
          <w:sz w:val="22"/>
          <w:szCs w:val="22"/>
          <w:highlight w:val="none"/>
          <w:u w:val="single"/>
        </w:rPr>
        <w:t xml:space="preserve"> 5% </w:t>
      </w:r>
      <w:r>
        <w:rPr>
          <w:rFonts w:hint="eastAsia" w:hAnsi="宋体"/>
          <w:color w:val="auto"/>
          <w:sz w:val="22"/>
          <w:szCs w:val="22"/>
          <w:highlight w:val="none"/>
        </w:rPr>
        <w:t>的履约保证金，共计人民币¥</w:t>
      </w:r>
      <w:r>
        <w:rPr>
          <w:rFonts w:hint="eastAsia" w:hAnsi="宋体"/>
          <w:color w:val="auto"/>
          <w:sz w:val="22"/>
          <w:szCs w:val="22"/>
          <w:highlight w:val="none"/>
          <w:u w:val="single"/>
        </w:rPr>
        <w:t xml:space="preserve">         </w:t>
      </w:r>
      <w:r>
        <w:rPr>
          <w:rFonts w:hint="eastAsia" w:hAnsi="宋体"/>
          <w:color w:val="auto"/>
          <w:sz w:val="22"/>
          <w:szCs w:val="22"/>
          <w:highlight w:val="none"/>
        </w:rPr>
        <w:t>元 ，履约保证金在交货验收后自动转为质量保证金。质量保证金自</w:t>
      </w:r>
      <w:r>
        <w:rPr>
          <w:rFonts w:hint="eastAsia" w:hAnsi="宋体" w:cs="宋体"/>
          <w:color w:val="auto"/>
          <w:spacing w:val="-6"/>
          <w:sz w:val="22"/>
          <w:szCs w:val="22"/>
          <w:highlight w:val="none"/>
        </w:rPr>
        <w:t>货物交付验收合格后</w:t>
      </w:r>
      <w:r>
        <w:rPr>
          <w:rFonts w:hint="eastAsia" w:hAnsi="宋体" w:cs="宋体"/>
          <w:color w:val="auto"/>
          <w:spacing w:val="-6"/>
          <w:sz w:val="22"/>
          <w:szCs w:val="22"/>
          <w:highlight w:val="none"/>
          <w:u w:val="single"/>
        </w:rPr>
        <w:t xml:space="preserve"> </w:t>
      </w:r>
      <w:r>
        <w:rPr>
          <w:rFonts w:hAnsi="宋体"/>
          <w:color w:val="auto"/>
          <w:spacing w:val="-6"/>
          <w:sz w:val="22"/>
          <w:szCs w:val="22"/>
          <w:highlight w:val="none"/>
          <w:u w:val="single"/>
        </w:rPr>
        <w:t>12</w:t>
      </w:r>
      <w:r>
        <w:rPr>
          <w:rFonts w:hint="eastAsia" w:hAnsi="宋体" w:cs="宋体"/>
          <w:color w:val="auto"/>
          <w:spacing w:val="-6"/>
          <w:sz w:val="22"/>
          <w:szCs w:val="22"/>
          <w:highlight w:val="none"/>
        </w:rPr>
        <w:t>个月内无质量问题索赔和售后服务问题，由甲方无息退回乙方</w:t>
      </w:r>
      <w:r>
        <w:rPr>
          <w:rFonts w:hint="eastAsia" w:hAnsi="宋体" w:cs="宋体"/>
          <w:color w:val="auto"/>
          <w:spacing w:val="-6"/>
          <w:sz w:val="22"/>
          <w:szCs w:val="22"/>
          <w:highlight w:val="none"/>
          <w:lang w:eastAsia="zh-CN"/>
        </w:rPr>
        <w:t>，</w:t>
      </w:r>
      <w:r>
        <w:rPr>
          <w:rFonts w:hint="eastAsia" w:ascii="宋体" w:hAnsi="宋体" w:cs="宋体"/>
          <w:color w:val="auto"/>
          <w:szCs w:val="32"/>
          <w:highlight w:val="none"/>
          <w:lang w:val="en-US" w:eastAsia="zh-CN"/>
        </w:rPr>
        <w:t>质量保证金应以银行转账或电汇形式。</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 xml:space="preserve">五、交货时间、地点 </w:t>
      </w:r>
    </w:p>
    <w:p>
      <w:pPr>
        <w:pStyle w:val="19"/>
        <w:ind w:firstLine="420"/>
        <w:contextualSpacing/>
        <w:rPr>
          <w:color w:val="auto"/>
          <w:sz w:val="22"/>
          <w:szCs w:val="22"/>
          <w:highlight w:val="none"/>
        </w:rPr>
      </w:pPr>
      <w:r>
        <w:rPr>
          <w:rFonts w:hint="eastAsia"/>
          <w:color w:val="auto"/>
          <w:sz w:val="22"/>
          <w:szCs w:val="22"/>
          <w:highlight w:val="none"/>
        </w:rPr>
        <w:t>乙方应于</w:t>
      </w:r>
      <w:r>
        <w:rPr>
          <w:rFonts w:hint="eastAsia"/>
          <w:color w:val="auto"/>
          <w:spacing w:val="-6"/>
          <w:sz w:val="22"/>
          <w:szCs w:val="22"/>
          <w:highlight w:val="none"/>
        </w:rPr>
        <w:t>合同签订以后</w:t>
      </w:r>
      <w:r>
        <w:rPr>
          <w:rFonts w:hint="eastAsia"/>
          <w:color w:val="auto"/>
          <w:sz w:val="22"/>
          <w:szCs w:val="22"/>
          <w:highlight w:val="none"/>
          <w:u w:val="single"/>
        </w:rPr>
        <w:t xml:space="preserve">      </w:t>
      </w:r>
      <w:r>
        <w:rPr>
          <w:rFonts w:hint="eastAsia"/>
          <w:color w:val="auto"/>
          <w:sz w:val="22"/>
          <w:szCs w:val="22"/>
          <w:highlight w:val="none"/>
        </w:rPr>
        <w:t>天内将所供商品按时、安全运至甲方指定地点，安装调试完毕后交甲方验收。</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六、调试与验收</w:t>
      </w:r>
    </w:p>
    <w:p>
      <w:pPr>
        <w:spacing w:after="312" w:line="288" w:lineRule="auto"/>
        <w:ind w:firstLine="416"/>
        <w:contextualSpacing/>
        <w:rPr>
          <w:rFonts w:ascii="宋体" w:hAnsi="宋体" w:cs="宋体"/>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2、到货验收：到货后，甲方对乙方提交的货物依据招标文件上的技术规格要求和国家有关质量标准进行现场到货验收，主要</w:t>
      </w:r>
      <w:r>
        <w:rPr>
          <w:rFonts w:hint="eastAsia"/>
          <w:color w:val="auto"/>
          <w:sz w:val="22"/>
          <w:szCs w:val="22"/>
          <w:highlight w:val="none"/>
        </w:rPr>
        <w:t>检查货物原产地、规格、型号、配置是否符合要求。</w:t>
      </w:r>
      <w:r>
        <w:rPr>
          <w:rFonts w:hint="eastAsia"/>
          <w:color w:val="auto"/>
          <w:spacing w:val="-6"/>
          <w:sz w:val="22"/>
          <w:szCs w:val="22"/>
          <w:highlight w:val="none"/>
        </w:rPr>
        <w:t>符合招投标文件技术要求的给予签收，初步验收不合格的不予签收。</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4、对技术复杂的货物，甲方可请国家认可的专业检测机构参与到货验收及交付验收，并由其出具质量检测报告。验收费用由乙方承担。</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5、如发现有重大的质量问题：</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（1）甲乙双方可协商，</w:t>
      </w:r>
      <w:r>
        <w:rPr>
          <w:rFonts w:hint="eastAsia"/>
          <w:color w:val="auto"/>
          <w:sz w:val="22"/>
          <w:szCs w:val="22"/>
          <w:highlight w:val="none"/>
        </w:rPr>
        <w:t>应在合理的期限内负责更换直至符合质量要求；</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color w:val="auto"/>
          <w:spacing w:val="-6"/>
          <w:sz w:val="22"/>
          <w:szCs w:val="22"/>
          <w:highlight w:val="none"/>
          <w:u w:val="single"/>
        </w:rPr>
        <w:t xml:space="preserve"> </w:t>
      </w:r>
      <w:r>
        <w:rPr>
          <w:color w:val="auto"/>
          <w:spacing w:val="-6"/>
          <w:sz w:val="22"/>
          <w:szCs w:val="22"/>
          <w:highlight w:val="none"/>
          <w:u w:val="single"/>
        </w:rPr>
        <w:t>10</w:t>
      </w:r>
      <w:r>
        <w:rPr>
          <w:rFonts w:hint="eastAsia"/>
          <w:color w:val="auto"/>
          <w:spacing w:val="-6"/>
          <w:sz w:val="22"/>
          <w:szCs w:val="22"/>
          <w:highlight w:val="none"/>
          <w:u w:val="single"/>
        </w:rPr>
        <w:t xml:space="preserve">％ </w:t>
      </w:r>
      <w:r>
        <w:rPr>
          <w:rFonts w:hint="eastAsia"/>
          <w:color w:val="auto"/>
          <w:spacing w:val="-6"/>
          <w:sz w:val="22"/>
          <w:szCs w:val="22"/>
          <w:highlight w:val="none"/>
        </w:rPr>
        <w:t>的赔偿金。</w:t>
      </w:r>
    </w:p>
    <w:p>
      <w:pPr>
        <w:spacing w:line="240" w:lineRule="auto"/>
        <w:ind w:firstLine="442"/>
        <w:contextualSpacing/>
        <w:rPr>
          <w:color w:val="auto"/>
          <w:spacing w:val="-6"/>
          <w:sz w:val="22"/>
          <w:szCs w:val="22"/>
          <w:highlight w:val="none"/>
        </w:rPr>
      </w:pPr>
      <w:r>
        <w:rPr>
          <w:rFonts w:hint="eastAsia"/>
          <w:b/>
          <w:color w:val="auto"/>
          <w:sz w:val="22"/>
          <w:szCs w:val="22"/>
          <w:highlight w:val="none"/>
        </w:rPr>
        <w:t>七、货款的支付</w:t>
      </w:r>
    </w:p>
    <w:p>
      <w:pPr>
        <w:pStyle w:val="19"/>
        <w:ind w:firstLine="420"/>
        <w:contextualSpacing/>
        <w:rPr>
          <w:color w:val="auto"/>
          <w:sz w:val="22"/>
          <w:szCs w:val="22"/>
          <w:highlight w:val="none"/>
        </w:rPr>
      </w:pPr>
      <w:r>
        <w:rPr>
          <w:rFonts w:hint="eastAsia" w:hAnsi="宋体"/>
          <w:color w:val="auto"/>
          <w:sz w:val="22"/>
          <w:szCs w:val="22"/>
          <w:highlight w:val="none"/>
        </w:rPr>
        <w:t>货物验收合格之日起</w:t>
      </w:r>
      <w:r>
        <w:rPr>
          <w:rFonts w:hint="eastAsia" w:hAnsi="宋体"/>
          <w:color w:val="auto"/>
          <w:sz w:val="22"/>
          <w:szCs w:val="22"/>
          <w:highlight w:val="none"/>
          <w:u w:val="single"/>
        </w:rPr>
        <w:t xml:space="preserve"> 15</w:t>
      </w:r>
      <w:r>
        <w:rPr>
          <w:rFonts w:hint="eastAsia" w:hAnsi="宋体"/>
          <w:color w:val="auto"/>
          <w:sz w:val="22"/>
          <w:szCs w:val="22"/>
          <w:highlight w:val="none"/>
        </w:rPr>
        <w:t>个工作日，甲方向乙方全额支付合同总额，即¥</w:t>
      </w:r>
      <w:r>
        <w:rPr>
          <w:rFonts w:hint="eastAsia" w:hAnsi="宋体"/>
          <w:color w:val="auto"/>
          <w:sz w:val="22"/>
          <w:szCs w:val="22"/>
          <w:highlight w:val="none"/>
          <w:u w:val="single"/>
        </w:rPr>
        <w:t xml:space="preserve">       </w:t>
      </w:r>
      <w:r>
        <w:rPr>
          <w:rFonts w:hint="eastAsia" w:hAnsi="宋体"/>
          <w:color w:val="auto"/>
          <w:sz w:val="22"/>
          <w:szCs w:val="22"/>
          <w:highlight w:val="none"/>
        </w:rPr>
        <w:t>元（大写：</w:t>
      </w:r>
      <w:r>
        <w:rPr>
          <w:rFonts w:hint="eastAsia" w:hAnsi="宋体"/>
          <w:color w:val="auto"/>
          <w:sz w:val="22"/>
          <w:szCs w:val="22"/>
          <w:highlight w:val="none"/>
          <w:u w:val="single"/>
        </w:rPr>
        <w:t xml:space="preserve">          </w:t>
      </w:r>
      <w:r>
        <w:rPr>
          <w:rFonts w:hint="eastAsia" w:hAnsi="宋体"/>
          <w:b/>
          <w:color w:val="auto"/>
          <w:sz w:val="22"/>
          <w:szCs w:val="22"/>
          <w:highlight w:val="none"/>
        </w:rPr>
        <w:t>）。</w:t>
      </w:r>
      <w:r>
        <w:rPr>
          <w:rFonts w:hint="eastAsia"/>
          <w:color w:val="auto"/>
          <w:sz w:val="22"/>
          <w:szCs w:val="22"/>
          <w:highlight w:val="none"/>
        </w:rPr>
        <w:t xml:space="preserve"> </w:t>
      </w:r>
    </w:p>
    <w:p>
      <w:pPr>
        <w:spacing w:line="240" w:lineRule="auto"/>
        <w:ind w:firstLine="442"/>
        <w:contextualSpacing/>
        <w:rPr>
          <w:color w:val="auto"/>
          <w:spacing w:val="-6"/>
          <w:sz w:val="22"/>
          <w:szCs w:val="22"/>
          <w:highlight w:val="none"/>
        </w:rPr>
      </w:pPr>
      <w:r>
        <w:rPr>
          <w:rFonts w:hint="eastAsia"/>
          <w:b/>
          <w:color w:val="auto"/>
          <w:sz w:val="22"/>
          <w:szCs w:val="22"/>
          <w:highlight w:val="none"/>
        </w:rPr>
        <w:t>八、质量保证与售后服务</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1、乙方应按招标文件规定的货物性能、技术要求、质量标准向甲方提供未经使用的全新产品。</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 xml:space="preserve">2、产品质量保修期为 </w:t>
      </w:r>
      <w:r>
        <w:rPr>
          <w:rFonts w:hint="eastAsia"/>
          <w:color w:val="auto"/>
          <w:spacing w:val="-6"/>
          <w:sz w:val="22"/>
          <w:szCs w:val="22"/>
          <w:highlight w:val="none"/>
          <w:u w:val="single"/>
        </w:rPr>
        <w:t xml:space="preserve">     </w:t>
      </w:r>
      <w:r>
        <w:rPr>
          <w:rFonts w:hint="eastAsia"/>
          <w:color w:val="auto"/>
          <w:spacing w:val="-6"/>
          <w:sz w:val="22"/>
          <w:szCs w:val="22"/>
          <w:highlight w:val="none"/>
        </w:rPr>
        <w:t>年，质保期从验收合格后开始计算。</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3、在质保期内，乙方应对货物出现的质量及安全问题负责处理解决并承担一切费用。保修期后，乙方需继续为甲方服务，仅收取零配件成本费，免人工费和差旅费，所涉及软件终身免费升级。</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4、如在使用过程中发生故障，无法正常使用时，乙方在接到甲方通知后，保修响应时间2小时以内，电话技术支持4小时内解决问题；若需上门维修，则</w:t>
      </w:r>
      <w:r>
        <w:rPr>
          <w:color w:val="auto"/>
          <w:spacing w:val="-6"/>
          <w:sz w:val="22"/>
          <w:szCs w:val="22"/>
          <w:highlight w:val="none"/>
        </w:rPr>
        <w:t>8</w:t>
      </w:r>
      <w:r>
        <w:rPr>
          <w:rFonts w:hint="eastAsia"/>
          <w:color w:val="auto"/>
          <w:spacing w:val="-6"/>
          <w:sz w:val="22"/>
          <w:szCs w:val="22"/>
          <w:highlight w:val="none"/>
        </w:rPr>
        <w:t>小时内到达现场并进行维修，最迟在</w:t>
      </w:r>
      <w:r>
        <w:rPr>
          <w:color w:val="auto"/>
          <w:spacing w:val="-6"/>
          <w:sz w:val="22"/>
          <w:szCs w:val="22"/>
          <w:highlight w:val="none"/>
        </w:rPr>
        <w:t>2</w:t>
      </w:r>
      <w:r>
        <w:rPr>
          <w:rFonts w:hint="eastAsia"/>
          <w:color w:val="auto"/>
          <w:spacing w:val="-6"/>
          <w:sz w:val="22"/>
          <w:szCs w:val="22"/>
          <w:highlight w:val="none"/>
        </w:rPr>
        <w:t>个工作日内修复。保修期内出现无法排除的故障，乙方需无条件为甲方更换同型号产品，以确保甲方的正常使用。</w:t>
      </w:r>
    </w:p>
    <w:p>
      <w:pPr>
        <w:pStyle w:val="19"/>
        <w:ind w:firstLine="482"/>
        <w:contextualSpacing/>
        <w:rPr>
          <w:color w:val="auto"/>
          <w:sz w:val="22"/>
          <w:szCs w:val="22"/>
          <w:highlight w:val="none"/>
        </w:rPr>
      </w:pPr>
      <w:r>
        <w:rPr>
          <w:rFonts w:hint="eastAsia"/>
          <w:b/>
          <w:color w:val="auto"/>
          <w:sz w:val="22"/>
          <w:szCs w:val="22"/>
          <w:highlight w:val="none"/>
        </w:rPr>
        <w:t>九、违约责任</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1、乙方逾期履行合同的，甲方有权没收履约保证金，并自逾期之日起，乙方每天按合同总金额0.2%向甲方偿付违约金。</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2、乙方逾期交货超过</w:t>
      </w:r>
      <w:r>
        <w:rPr>
          <w:rFonts w:hint="eastAsia"/>
          <w:color w:val="auto"/>
          <w:spacing w:val="-6"/>
          <w:sz w:val="22"/>
          <w:szCs w:val="22"/>
          <w:highlight w:val="none"/>
          <w:u w:val="single"/>
        </w:rPr>
        <w:t>30</w:t>
      </w:r>
      <w:r>
        <w:rPr>
          <w:rFonts w:hint="eastAsia"/>
          <w:color w:val="auto"/>
          <w:spacing w:val="-6"/>
          <w:sz w:val="22"/>
          <w:szCs w:val="22"/>
          <w:highlight w:val="none"/>
        </w:rPr>
        <w:t>天，甲方有权终止合同，且乙方仍须支付相应的违约金；如造成甲方损失超过违约金的，超出部分由乙方继续承担赔偿责任。</w:t>
      </w:r>
    </w:p>
    <w:p>
      <w:pPr>
        <w:spacing w:line="240" w:lineRule="auto"/>
        <w:ind w:firstLine="418"/>
        <w:contextualSpacing/>
        <w:rPr>
          <w:color w:val="auto"/>
          <w:spacing w:val="-6"/>
          <w:sz w:val="22"/>
          <w:szCs w:val="22"/>
          <w:highlight w:val="none"/>
        </w:rPr>
      </w:pPr>
      <w:r>
        <w:rPr>
          <w:rFonts w:hint="eastAsia"/>
          <w:b/>
          <w:bCs/>
          <w:color w:val="auto"/>
          <w:spacing w:val="-6"/>
          <w:sz w:val="22"/>
          <w:szCs w:val="22"/>
          <w:highlight w:val="none"/>
        </w:rPr>
        <w:t>十、不可抗力事件处理</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w:t>
      </w:r>
      <w:r>
        <w:rPr>
          <w:color w:val="auto"/>
          <w:spacing w:val="-6"/>
          <w:sz w:val="22"/>
          <w:szCs w:val="22"/>
          <w:highlight w:val="none"/>
        </w:rPr>
        <w:t xml:space="preserve"> </w:t>
      </w:r>
      <w:r>
        <w:rPr>
          <w:rFonts w:hint="eastAsia"/>
          <w:color w:val="auto"/>
          <w:spacing w:val="-6"/>
          <w:sz w:val="22"/>
          <w:szCs w:val="22"/>
          <w:highlight w:val="none"/>
        </w:rPr>
        <w:t>在合同有效期内，任何一方因不可抗力事件导致不能履行合同，则合同履行期可延长，其延长期与不可抗力影响期相同。</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、不可抗力事件发生后，应立即通知对方，并寄送有关权威机构出具的证明。</w:t>
      </w:r>
    </w:p>
    <w:p>
      <w:pPr>
        <w:spacing w:line="240" w:lineRule="auto"/>
        <w:ind w:firstLine="416"/>
        <w:contextualSpacing/>
        <w:rPr>
          <w:color w:val="auto"/>
          <w:spacing w:val="-6"/>
          <w:sz w:val="22"/>
          <w:szCs w:val="22"/>
          <w:highlight w:val="none"/>
        </w:rPr>
      </w:pPr>
      <w:r>
        <w:rPr>
          <w:color w:val="auto"/>
          <w:spacing w:val="-6"/>
          <w:sz w:val="22"/>
          <w:szCs w:val="22"/>
          <w:highlight w:val="none"/>
        </w:rPr>
        <w:t>3</w:t>
      </w:r>
      <w:r>
        <w:rPr>
          <w:rFonts w:hint="eastAsia"/>
          <w:color w:val="auto"/>
          <w:spacing w:val="-6"/>
          <w:sz w:val="22"/>
          <w:szCs w:val="22"/>
          <w:highlight w:val="none"/>
        </w:rPr>
        <w:t>、不可抗力事件延续</w:t>
      </w:r>
      <w:r>
        <w:rPr>
          <w:color w:val="auto"/>
          <w:spacing w:val="-6"/>
          <w:sz w:val="22"/>
          <w:szCs w:val="22"/>
          <w:highlight w:val="none"/>
        </w:rPr>
        <w:t>120</w:t>
      </w:r>
      <w:r>
        <w:rPr>
          <w:rFonts w:hint="eastAsia"/>
          <w:color w:val="auto"/>
          <w:spacing w:val="-6"/>
          <w:sz w:val="22"/>
          <w:szCs w:val="22"/>
          <w:highlight w:val="none"/>
        </w:rPr>
        <w:t>天以上，双方应通过友好协商，确定是否继续履行合同。</w:t>
      </w:r>
    </w:p>
    <w:p>
      <w:pPr>
        <w:spacing w:line="240" w:lineRule="auto"/>
        <w:ind w:firstLine="442"/>
        <w:contextualSpacing/>
        <w:rPr>
          <w:color w:val="auto"/>
          <w:spacing w:val="-6"/>
          <w:sz w:val="22"/>
          <w:szCs w:val="22"/>
          <w:highlight w:val="none"/>
        </w:rPr>
      </w:pPr>
      <w:r>
        <w:rPr>
          <w:rFonts w:hint="eastAsia"/>
          <w:b/>
          <w:color w:val="auto"/>
          <w:sz w:val="22"/>
          <w:szCs w:val="22"/>
          <w:highlight w:val="none"/>
        </w:rPr>
        <w:t>十一、争议解决</w:t>
      </w:r>
    </w:p>
    <w:p>
      <w:pPr>
        <w:spacing w:line="240" w:lineRule="auto"/>
        <w:ind w:left="485" w:leftChars="202" w:firstLine="0" w:firstLineChars="0"/>
        <w:contextualSpacing/>
        <w:rPr>
          <w:b/>
          <w:color w:val="auto"/>
          <w:sz w:val="22"/>
          <w:szCs w:val="22"/>
          <w:highlight w:val="none"/>
        </w:rPr>
      </w:pPr>
      <w:r>
        <w:rPr>
          <w:rFonts w:hint="eastAsia"/>
          <w:color w:val="auto"/>
          <w:spacing w:val="-6"/>
          <w:sz w:val="22"/>
          <w:szCs w:val="22"/>
          <w:highlight w:val="none"/>
        </w:rPr>
        <w:t>双方在执行合同过程中所发生的一切争议，应首先通过协商解决，协商不成，应向甲方所在地人民法院起诉。</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十二、合同生效</w:t>
      </w:r>
    </w:p>
    <w:p>
      <w:pPr>
        <w:numPr>
          <w:ilvl w:val="0"/>
          <w:numId w:val="12"/>
        </w:numPr>
        <w:spacing w:line="240" w:lineRule="auto"/>
        <w:ind w:firstLineChars="0"/>
        <w:contextualSpacing/>
        <w:rPr>
          <w:color w:val="auto"/>
          <w:sz w:val="22"/>
          <w:szCs w:val="28"/>
          <w:highlight w:val="none"/>
        </w:rPr>
      </w:pPr>
      <w:r>
        <w:rPr>
          <w:rFonts w:hint="eastAsia"/>
          <w:color w:val="auto"/>
          <w:sz w:val="22"/>
          <w:szCs w:val="28"/>
          <w:highlight w:val="none"/>
        </w:rPr>
        <w:t>本合同经甲、乙双方法定代表人或授权代表签字并加盖单位公章后生效。</w:t>
      </w:r>
    </w:p>
    <w:p>
      <w:pPr>
        <w:spacing w:line="240" w:lineRule="auto"/>
        <w:ind w:left="315" w:firstLine="0" w:firstLineChars="0"/>
        <w:contextualSpacing/>
        <w:rPr>
          <w:color w:val="auto"/>
          <w:sz w:val="22"/>
          <w:szCs w:val="28"/>
          <w:highlight w:val="none"/>
        </w:rPr>
      </w:pPr>
      <w:r>
        <w:rPr>
          <w:rFonts w:hint="eastAsia"/>
          <w:color w:val="auto"/>
          <w:sz w:val="22"/>
          <w:szCs w:val="28"/>
          <w:highlight w:val="none"/>
        </w:rPr>
        <w:t>2、本合同未尽事宜，遵照《中华人民共和国合同法》的有关规定执行。</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3、本合同一式陆份，甲方执伍份，乙方执壹份。</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4、与本合同有关的招投标文件及相关承诺系本合同的组成部分。</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spacing w:after="312" w:line="240" w:lineRule="auto"/>
        <w:ind w:firstLine="0" w:firstLineChars="0"/>
        <w:rPr>
          <w:rFonts w:hAnsi="宋体"/>
          <w:b/>
          <w:bCs/>
          <w:color w:val="auto"/>
          <w:sz w:val="22"/>
          <w:szCs w:val="22"/>
          <w:highlight w:val="none"/>
        </w:rPr>
      </w:pPr>
    </w:p>
    <w:p>
      <w:pPr>
        <w:tabs>
          <w:tab w:val="left" w:pos="525"/>
        </w:tabs>
        <w:spacing w:after="312" w:line="240" w:lineRule="auto"/>
        <w:ind w:firstLine="442"/>
        <w:rPr>
          <w:rFonts w:hAnsi="宋体"/>
          <w:b/>
          <w:bCs/>
          <w:color w:val="auto"/>
          <w:sz w:val="22"/>
          <w:szCs w:val="22"/>
          <w:highlight w:val="none"/>
        </w:rPr>
      </w:pPr>
      <w:r>
        <w:rPr>
          <w:rFonts w:hint="eastAsia" w:hAnsi="宋体"/>
          <w:b/>
          <w:bCs/>
          <w:color w:val="auto"/>
          <w:sz w:val="22"/>
          <w:szCs w:val="22"/>
          <w:highlight w:val="none"/>
        </w:rPr>
        <w:t>合同附件：</w:t>
      </w:r>
    </w:p>
    <w:p>
      <w:pPr>
        <w:tabs>
          <w:tab w:val="left" w:pos="525"/>
        </w:tabs>
        <w:spacing w:after="312" w:line="240" w:lineRule="auto"/>
        <w:ind w:firstLine="482"/>
        <w:rPr>
          <w:rFonts w:hAnsi="宋体"/>
          <w:b/>
          <w:bCs/>
          <w:color w:val="auto"/>
          <w:szCs w:val="21"/>
          <w:highlight w:val="none"/>
        </w:rPr>
      </w:pPr>
      <w:r>
        <w:rPr>
          <w:rFonts w:hAnsi="宋体"/>
          <w:b/>
          <w:bCs/>
          <w:color w:val="auto"/>
          <w:szCs w:val="21"/>
          <w:highlight w:val="none"/>
        </w:rPr>
        <w:t>配置清单：</w:t>
      </w:r>
    </w:p>
    <w:tbl>
      <w:tblPr>
        <w:tblStyle w:val="38"/>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序号</w:t>
            </w:r>
          </w:p>
        </w:tc>
        <w:tc>
          <w:tcPr>
            <w:tcW w:w="979"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名称</w:t>
            </w:r>
          </w:p>
        </w:tc>
        <w:tc>
          <w:tcPr>
            <w:tcW w:w="2329" w:type="dxa"/>
            <w:vAlign w:val="center"/>
          </w:tcPr>
          <w:p>
            <w:pPr>
              <w:spacing w:line="300" w:lineRule="exact"/>
              <w:ind w:left="102" w:right="-36" w:hanging="102" w:firstLineChars="0"/>
              <w:jc w:val="center"/>
              <w:rPr>
                <w:b/>
                <w:color w:val="auto"/>
                <w:szCs w:val="21"/>
                <w:highlight w:val="none"/>
              </w:rPr>
            </w:pPr>
            <w:r>
              <w:rPr>
                <w:rFonts w:hAnsi="宋体"/>
                <w:b/>
                <w:color w:val="auto"/>
                <w:szCs w:val="21"/>
                <w:highlight w:val="none"/>
              </w:rPr>
              <w:t>规格</w:t>
            </w:r>
            <w:r>
              <w:rPr>
                <w:b/>
                <w:color w:val="auto"/>
                <w:szCs w:val="21"/>
                <w:highlight w:val="none"/>
              </w:rPr>
              <w:t>/</w:t>
            </w:r>
            <w:r>
              <w:rPr>
                <w:rFonts w:hAnsi="宋体"/>
                <w:b/>
                <w:color w:val="auto"/>
                <w:szCs w:val="21"/>
                <w:highlight w:val="none"/>
              </w:rPr>
              <w:t>型号</w:t>
            </w:r>
          </w:p>
        </w:tc>
        <w:tc>
          <w:tcPr>
            <w:tcW w:w="1985" w:type="dxa"/>
          </w:tcPr>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品牌/厂家/</w:t>
            </w:r>
          </w:p>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原产地</w:t>
            </w:r>
          </w:p>
        </w:tc>
        <w:tc>
          <w:tcPr>
            <w:tcW w:w="1417" w:type="dxa"/>
            <w:vAlign w:val="center"/>
          </w:tcPr>
          <w:p>
            <w:pPr>
              <w:spacing w:line="300" w:lineRule="exact"/>
              <w:ind w:right="-3" w:firstLine="0" w:firstLineChars="0"/>
              <w:jc w:val="center"/>
              <w:rPr>
                <w:rFonts w:hAnsi="宋体"/>
                <w:b/>
                <w:color w:val="auto"/>
                <w:szCs w:val="21"/>
                <w:highlight w:val="none"/>
              </w:rPr>
            </w:pPr>
            <w:r>
              <w:rPr>
                <w:rFonts w:hAnsi="宋体"/>
                <w:b/>
                <w:color w:val="auto"/>
                <w:szCs w:val="21"/>
                <w:highlight w:val="none"/>
              </w:rPr>
              <w:t>数量</w:t>
            </w:r>
          </w:p>
        </w:tc>
        <w:tc>
          <w:tcPr>
            <w:tcW w:w="1073"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单价（元）</w:t>
            </w:r>
          </w:p>
        </w:tc>
        <w:tc>
          <w:tcPr>
            <w:tcW w:w="1418"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1</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2</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3</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left="120" w:hanging="120" w:hangingChars="5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4</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5</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6</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bl>
    <w:p>
      <w:pPr>
        <w:spacing w:after="312" w:line="240" w:lineRule="auto"/>
        <w:ind w:firstLine="0" w:firstLineChars="0"/>
        <w:rPr>
          <w:color w:val="auto"/>
          <w:szCs w:val="21"/>
          <w:highlight w:val="none"/>
        </w:rPr>
      </w:pPr>
    </w:p>
    <w:p>
      <w:pPr>
        <w:ind w:firstLine="480"/>
        <w:rPr>
          <w:color w:val="auto"/>
          <w:highlight w:val="none"/>
        </w:rPr>
      </w:pPr>
    </w:p>
    <w:p>
      <w:pPr>
        <w:pStyle w:val="19"/>
        <w:spacing w:before="120" w:after="120" w:line="288" w:lineRule="auto"/>
        <w:ind w:firstLine="420" w:firstLineChars="200"/>
        <w:rPr>
          <w:rFonts w:hAnsi="宋体"/>
          <w:color w:val="auto"/>
          <w:szCs w:val="21"/>
          <w:highlight w:val="none"/>
        </w:rPr>
      </w:pPr>
    </w:p>
    <w:p>
      <w:pPr>
        <w:pStyle w:val="19"/>
        <w:spacing w:before="120" w:after="120" w:line="288" w:lineRule="auto"/>
        <w:ind w:firstLine="420" w:firstLineChars="200"/>
        <w:rPr>
          <w:rFonts w:ascii="Times New Roman" w:hAnsi="Times New Roman"/>
          <w:color w:val="auto"/>
          <w:szCs w:val="21"/>
          <w:highlight w:val="none"/>
        </w:rPr>
      </w:pPr>
    </w:p>
    <w:p>
      <w:pPr>
        <w:ind w:firstLine="0" w:firstLineChars="0"/>
        <w:rPr>
          <w:rFonts w:ascii="宋体" w:hAnsi="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3"/>
        <w:rPr>
          <w:color w:val="auto"/>
          <w:highlight w:val="none"/>
        </w:rPr>
      </w:pPr>
      <w:bookmarkStart w:id="104" w:name="_Toc27145"/>
      <w:r>
        <w:rPr>
          <w:rFonts w:hint="eastAsia" w:cs="宋体"/>
          <w:color w:val="auto"/>
          <w:highlight w:val="none"/>
        </w:rPr>
        <w:t>第六章 投标文件格式</w:t>
      </w:r>
      <w:bookmarkEnd w:id="103"/>
      <w:bookmarkEnd w:id="104"/>
    </w:p>
    <w:p>
      <w:pPr>
        <w:pStyle w:val="19"/>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19"/>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5"/>
        <w:ind w:firstLine="2982" w:firstLineChars="900"/>
        <w:rPr>
          <w:b/>
          <w:color w:val="auto"/>
          <w:sz w:val="33"/>
          <w:szCs w:val="33"/>
          <w:highlight w:val="none"/>
        </w:rPr>
      </w:pPr>
      <w:r>
        <w:rPr>
          <w:b/>
          <w:color w:val="auto"/>
          <w:sz w:val="33"/>
          <w:szCs w:val="33"/>
          <w:highlight w:val="none"/>
        </w:rPr>
        <w:t xml:space="preserve">格式一：资格审查材料 </w:t>
      </w:r>
    </w:p>
    <w:tbl>
      <w:tblPr>
        <w:tblStyle w:val="38"/>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5"/>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5"/>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5"/>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5"/>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5"/>
              <w:numPr>
                <w:ilvl w:val="0"/>
                <w:numId w:val="13"/>
              </w:numPr>
              <w:rPr>
                <w:color w:val="auto"/>
                <w:highlight w:val="none"/>
              </w:rPr>
            </w:pPr>
            <w:r>
              <w:rPr>
                <w:color w:val="auto"/>
                <w:highlight w:val="none"/>
              </w:rPr>
              <w:t>如投标人是自然人，提供有效的自然人身份证明。</w:t>
            </w:r>
          </w:p>
          <w:p>
            <w:pPr>
              <w:pStyle w:val="35"/>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5"/>
              <w:numPr>
                <w:ilvl w:val="0"/>
                <w:numId w:val="14"/>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5"/>
              <w:numPr>
                <w:ilvl w:val="0"/>
                <w:numId w:val="14"/>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5"/>
              <w:numPr>
                <w:ilvl w:val="0"/>
                <w:numId w:val="14"/>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5"/>
              <w:numPr>
                <w:ilvl w:val="0"/>
                <w:numId w:val="14"/>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5"/>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5"/>
              <w:numPr>
                <w:ilvl w:val="0"/>
                <w:numId w:val="15"/>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5"/>
              <w:numPr>
                <w:ilvl w:val="0"/>
                <w:numId w:val="15"/>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5"/>
              <w:numPr>
                <w:ilvl w:val="0"/>
                <w:numId w:val="15"/>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5"/>
              <w:numPr>
                <w:ilvl w:val="0"/>
                <w:numId w:val="15"/>
              </w:numPr>
              <w:rPr>
                <w:color w:val="auto"/>
                <w:highlight w:val="none"/>
              </w:rPr>
            </w:pPr>
            <w:r>
              <w:rPr>
                <w:color w:val="auto"/>
                <w:highlight w:val="none"/>
              </w:rPr>
              <w:t>依法不需要缴纳社会保障资金的投标人，应提供相应文件证明其依法不需要缴纳社会保障资金；</w:t>
            </w:r>
          </w:p>
          <w:p>
            <w:pPr>
              <w:pStyle w:val="35"/>
              <w:numPr>
                <w:ilvl w:val="0"/>
                <w:numId w:val="15"/>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5"/>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5"/>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5"/>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5"/>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ind w:firstLine="0" w:firstLineChars="0"/>
              <w:rPr>
                <w:color w:val="auto"/>
                <w:highlight w:val="none"/>
              </w:rPr>
            </w:pPr>
            <w:r>
              <w:rPr>
                <w:rFonts w:hint="eastAsia" w:ascii="宋体" w:hAnsi="宋体"/>
                <w:color w:val="auto"/>
                <w:kern w:val="0"/>
                <w:highlight w:val="none"/>
              </w:rPr>
              <w:t>提供响应文件递交截止日前1日历天17:00（北京时间）的查询信息网站截图，查询渠道：“</w:t>
            </w:r>
            <w:r>
              <w:rPr>
                <w:rFonts w:hint="eastAsia"/>
                <w:color w:val="auto"/>
                <w:highlight w:val="none"/>
              </w:rPr>
              <w:t>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Style w:val="44"/>
                <w:rFonts w:hint="eastAsia"/>
                <w:color w:val="auto"/>
                <w:highlight w:val="none"/>
              </w:rPr>
              <w:t>ww.gsxt.gov.cn/corp-query-homepage.html</w:t>
            </w:r>
            <w:r>
              <w:rPr>
                <w:rStyle w:val="44"/>
                <w:rFonts w:hint="eastAsia"/>
                <w:color w:val="auto"/>
                <w:highlight w:val="none"/>
              </w:rPr>
              <w:fldChar w:fldCharType="end"/>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5"/>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5"/>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rPr>
              <w:t>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本项目接受联合体投标，联合体投标的，须具有房地产代理（服务）的单位作为联合体牵头人，并许出具联合体协议书。</w:t>
            </w:r>
          </w:p>
        </w:tc>
      </w:tr>
    </w:tbl>
    <w:p>
      <w:pPr>
        <w:pStyle w:val="35"/>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480"/>
        <w:rPr>
          <w:color w:val="auto"/>
          <w:highlight w:val="none"/>
        </w:rPr>
      </w:pPr>
      <w:r>
        <w:rPr>
          <w:rFonts w:hint="eastAsia"/>
          <w:color w:val="auto"/>
          <w:highlight w:val="none"/>
        </w:rPr>
        <w:br w:type="page"/>
      </w:r>
    </w:p>
    <w:p>
      <w:pPr>
        <w:pStyle w:val="8"/>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5"/>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643"/>
        <w:jc w:val="center"/>
        <w:rPr>
          <w:rFonts w:ascii="宋体" w:hAnsi="宋体"/>
          <w:b/>
          <w:color w:val="auto"/>
          <w:kern w:val="0"/>
          <w:sz w:val="32"/>
          <w:szCs w:val="32"/>
          <w:highlight w:val="none"/>
        </w:rPr>
      </w:pPr>
    </w:p>
    <w:p>
      <w:pPr>
        <w:ind w:firstLine="643"/>
        <w:jc w:val="center"/>
        <w:rPr>
          <w:rFonts w:ascii="宋体" w:hAnsi="宋体"/>
          <w:b/>
          <w:color w:val="auto"/>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ind w:firstLine="643"/>
        <w:rPr>
          <w:rFonts w:ascii="宋体" w:hAnsi="宋体" w:cs="宋体"/>
          <w:b/>
          <w:color w:val="auto"/>
          <w:sz w:val="32"/>
          <w:szCs w:val="32"/>
          <w:highlight w:val="none"/>
        </w:rPr>
      </w:pPr>
      <w:r>
        <w:rPr>
          <w:rFonts w:ascii="宋体" w:hAnsi="宋体" w:cs="宋体"/>
          <w:b/>
          <w:color w:val="auto"/>
          <w:sz w:val="32"/>
          <w:szCs w:val="32"/>
          <w:highlight w:val="none"/>
        </w:rPr>
        <w:br w:type="page"/>
      </w:r>
    </w:p>
    <w:p>
      <w:pPr>
        <w:pStyle w:val="19"/>
        <w:adjustRightInd w:val="0"/>
        <w:snapToGrid w:val="0"/>
        <w:spacing w:line="300" w:lineRule="auto"/>
        <w:jc w:val="center"/>
        <w:rPr>
          <w:rFonts w:ascii="Arial" w:hAnsi="Arial" w:eastAsia="华文中宋" w:cs="Arial"/>
          <w:b/>
          <w:bCs/>
          <w:color w:val="auto"/>
          <w:sz w:val="32"/>
          <w:highlight w:val="none"/>
        </w:rPr>
      </w:pPr>
      <w:r>
        <w:rPr>
          <w:rFonts w:hint="eastAsia" w:ascii="Arial" w:hAnsi="Arial" w:eastAsia="华文中宋" w:cs="Arial"/>
          <w:b/>
          <w:bCs/>
          <w:color w:val="auto"/>
          <w:sz w:val="32"/>
          <w:highlight w:val="none"/>
        </w:rPr>
        <w:t>联合体协议书</w:t>
      </w:r>
    </w:p>
    <w:p>
      <w:pPr>
        <w:snapToGrid w:val="0"/>
        <w:ind w:firstLine="480"/>
        <w:rPr>
          <w:rFonts w:ascii="宋体" w:hAnsi="宋体"/>
          <w:color w:val="auto"/>
          <w:highlight w:val="none"/>
        </w:rPr>
      </w:pPr>
      <w:r>
        <w:rPr>
          <w:rFonts w:hint="eastAsia" w:ascii="宋体" w:hAnsi="宋体"/>
          <w:color w:val="auto"/>
          <w:highlight w:val="none"/>
        </w:rPr>
        <w:t>中国计量大学：</w:t>
      </w:r>
    </w:p>
    <w:p>
      <w:pPr>
        <w:snapToGrid w:val="0"/>
        <w:ind w:firstLine="480"/>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（所有成员单位名称）自愿组成联合体，共同参加  </w:t>
      </w:r>
      <w:r>
        <w:rPr>
          <w:rFonts w:hint="eastAsia" w:ascii="宋体" w:hAnsi="宋体"/>
          <w:color w:val="auto"/>
          <w:highlight w:val="none"/>
          <w:u w:val="single"/>
        </w:rPr>
        <w:t xml:space="preserve">        </w:t>
      </w:r>
      <w:r>
        <w:rPr>
          <w:rFonts w:hint="eastAsia" w:ascii="宋体" w:hAnsi="宋体"/>
          <w:color w:val="auto"/>
          <w:highlight w:val="none"/>
        </w:rPr>
        <w:t xml:space="preserve">  （项目名称）投标。现就联合体投标事宜订立如下协议。</w:t>
      </w:r>
    </w:p>
    <w:p>
      <w:pPr>
        <w:snapToGrid w:val="0"/>
        <w:ind w:firstLine="480"/>
        <w:rPr>
          <w:rFonts w:ascii="宋体" w:hAnsi="宋体"/>
          <w:color w:val="auto"/>
          <w:highlight w:val="none"/>
        </w:rPr>
      </w:pPr>
      <w:r>
        <w:rPr>
          <w:rFonts w:hint="eastAsia" w:ascii="宋体" w:hAnsi="宋体"/>
          <w:color w:val="auto"/>
          <w:highlight w:val="none"/>
        </w:rPr>
        <w:t xml:space="preserve">1、 </w:t>
      </w:r>
      <w:r>
        <w:rPr>
          <w:rFonts w:hint="eastAsia" w:ascii="宋体" w:hAnsi="宋体"/>
          <w:color w:val="auto"/>
          <w:highlight w:val="none"/>
          <w:u w:val="single"/>
        </w:rPr>
        <w:t xml:space="preserve">                     </w:t>
      </w:r>
      <w:r>
        <w:rPr>
          <w:rFonts w:hint="eastAsia" w:ascii="宋体" w:hAnsi="宋体"/>
          <w:color w:val="auto"/>
          <w:highlight w:val="none"/>
        </w:rPr>
        <w:t xml:space="preserve">  （某成员单位名称）为 </w:t>
      </w:r>
      <w:r>
        <w:rPr>
          <w:rFonts w:hint="eastAsia" w:ascii="宋体" w:hAnsi="宋体"/>
          <w:color w:val="auto"/>
          <w:highlight w:val="none"/>
          <w:u w:val="single"/>
        </w:rPr>
        <w:t xml:space="preserve">                      </w:t>
      </w:r>
      <w:r>
        <w:rPr>
          <w:rFonts w:hint="eastAsia" w:ascii="宋体" w:hAnsi="宋体"/>
          <w:color w:val="auto"/>
          <w:highlight w:val="none"/>
        </w:rPr>
        <w:t xml:space="preserve">   （联合体名称）牵头人。</w:t>
      </w:r>
    </w:p>
    <w:p>
      <w:pPr>
        <w:snapToGrid w:val="0"/>
        <w:ind w:firstLine="480"/>
        <w:rPr>
          <w:rFonts w:ascii="宋体" w:hAnsi="宋体"/>
          <w:color w:val="auto"/>
          <w:highlight w:val="none"/>
        </w:rPr>
      </w:pPr>
      <w:r>
        <w:rPr>
          <w:rFonts w:hint="eastAsia" w:ascii="宋体" w:hAnsi="宋体"/>
          <w:color w:val="auto"/>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napToGrid w:val="0"/>
        <w:ind w:firstLine="480"/>
        <w:rPr>
          <w:rFonts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pPr>
        <w:snapToGrid w:val="0"/>
        <w:ind w:firstLine="480"/>
        <w:rPr>
          <w:rFonts w:ascii="宋体" w:hAnsi="宋体"/>
          <w:color w:val="auto"/>
          <w:highlight w:val="none"/>
        </w:rPr>
      </w:pPr>
      <w:r>
        <w:rPr>
          <w:rFonts w:hint="eastAsia" w:ascii="宋体" w:hAnsi="宋体"/>
          <w:color w:val="auto"/>
          <w:highlight w:val="none"/>
        </w:rPr>
        <w:t xml:space="preserve">4、联合体各成员单位内部的职责分工如下：                                      </w:t>
      </w:r>
    </w:p>
    <w:p>
      <w:pPr>
        <w:snapToGrid w:val="0"/>
        <w:ind w:firstLine="480"/>
        <w:rPr>
          <w:rFonts w:ascii="宋体" w:hAnsi="宋体"/>
          <w:color w:val="auto"/>
          <w:highlight w:val="none"/>
        </w:rPr>
      </w:pPr>
      <w:r>
        <w:rPr>
          <w:rFonts w:hint="eastAsia" w:ascii="宋体" w:hAnsi="宋体"/>
          <w:color w:val="auto"/>
          <w:highlight w:val="none"/>
        </w:rPr>
        <w:t xml:space="preserve">                                                                      。</w:t>
      </w:r>
    </w:p>
    <w:p>
      <w:pPr>
        <w:snapToGrid w:val="0"/>
        <w:ind w:firstLine="480"/>
        <w:rPr>
          <w:rFonts w:ascii="宋体" w:hAnsi="宋体"/>
          <w:color w:val="auto"/>
          <w:highlight w:val="none"/>
        </w:rPr>
      </w:pPr>
      <w:r>
        <w:rPr>
          <w:rFonts w:hint="eastAsia" w:ascii="宋体" w:hAnsi="宋体"/>
          <w:color w:val="auto"/>
          <w:highlight w:val="none"/>
        </w:rPr>
        <w:t>5、作为联合体组成双方对本次报价予以确认，并承诺按此价格保质保量完成对应工作内容。</w:t>
      </w:r>
    </w:p>
    <w:p>
      <w:pPr>
        <w:snapToGrid w:val="0"/>
        <w:ind w:firstLine="480"/>
        <w:rPr>
          <w:rFonts w:ascii="宋体" w:hAnsi="宋体"/>
          <w:color w:val="auto"/>
          <w:highlight w:val="none"/>
        </w:rPr>
      </w:pPr>
      <w:r>
        <w:rPr>
          <w:rFonts w:hint="eastAsia" w:ascii="宋体" w:hAnsi="宋体"/>
          <w:color w:val="auto"/>
          <w:highlight w:val="none"/>
        </w:rPr>
        <w:t>6、本协议书自签署之日起生效，合同履行完毕后自动失效。</w:t>
      </w:r>
    </w:p>
    <w:p>
      <w:pPr>
        <w:snapToGrid w:val="0"/>
        <w:ind w:firstLine="480"/>
        <w:rPr>
          <w:rFonts w:ascii="宋体" w:hAnsi="宋体"/>
          <w:color w:val="auto"/>
          <w:highlight w:val="none"/>
        </w:rPr>
      </w:pPr>
      <w:r>
        <w:rPr>
          <w:rFonts w:hint="eastAsia" w:ascii="宋体" w:hAnsi="宋体"/>
          <w:color w:val="auto"/>
          <w:highlight w:val="none"/>
        </w:rPr>
        <w:t>7、本协议书一式     份，联合体成员和采购人各执一份。</w:t>
      </w:r>
    </w:p>
    <w:p>
      <w:pPr>
        <w:snapToGrid w:val="0"/>
        <w:ind w:firstLine="480"/>
        <w:rPr>
          <w:rFonts w:ascii="宋体" w:hAnsi="宋体"/>
          <w:color w:val="auto"/>
          <w:highlight w:val="none"/>
        </w:rPr>
      </w:pPr>
      <w:r>
        <w:rPr>
          <w:rFonts w:hint="eastAsia" w:ascii="宋体" w:hAnsi="宋体"/>
          <w:color w:val="auto"/>
          <w:highlight w:val="none"/>
        </w:rPr>
        <w:t>注：本协议书由委托代理人签字的，应附法定代表人签字的授权委托书。</w:t>
      </w:r>
    </w:p>
    <w:p>
      <w:pPr>
        <w:snapToGrid w:val="0"/>
        <w:ind w:firstLine="480"/>
        <w:rPr>
          <w:rFonts w:ascii="宋体" w:hAnsi="宋体"/>
          <w:color w:val="auto"/>
          <w:highlight w:val="none"/>
        </w:rPr>
      </w:pP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 xml:space="preserve">牵头人名称：（盖单位章）                      </w:t>
      </w:r>
    </w:p>
    <w:p>
      <w:pPr>
        <w:snapToGrid w:val="0"/>
        <w:ind w:firstLine="480"/>
        <w:rPr>
          <w:rFonts w:ascii="宋体" w:hAnsi="宋体"/>
          <w:color w:val="auto"/>
          <w:highlight w:val="none"/>
        </w:rPr>
      </w:pPr>
      <w:r>
        <w:rPr>
          <w:rFonts w:hint="eastAsia" w:ascii="宋体" w:hAnsi="宋体"/>
          <w:color w:val="auto"/>
          <w:highlight w:val="none"/>
        </w:rPr>
        <w:t xml:space="preserve">法定代表人或其委托代理人：（签字）             </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 xml:space="preserve">成员名称：（盖单位章）                        </w:t>
      </w:r>
    </w:p>
    <w:p>
      <w:pPr>
        <w:snapToGrid w:val="0"/>
        <w:ind w:firstLine="480"/>
        <w:rPr>
          <w:rFonts w:ascii="宋体" w:hAnsi="宋体"/>
          <w:color w:val="auto"/>
          <w:highlight w:val="none"/>
        </w:rPr>
      </w:pPr>
      <w:r>
        <w:rPr>
          <w:rFonts w:hint="eastAsia" w:ascii="宋体" w:hAnsi="宋体"/>
          <w:color w:val="auto"/>
          <w:highlight w:val="none"/>
        </w:rPr>
        <w:t xml:space="preserve">法定代表人或其委托代理人：（签字）             </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日  期：</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报价文件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105" w:name="_Toc6136"/>
      <w:r>
        <w:rPr>
          <w:rFonts w:hint="eastAsia" w:ascii="宋体" w:hAnsi="宋体" w:cs="宋体"/>
          <w:b/>
          <w:color w:val="auto"/>
          <w:kern w:val="0"/>
          <w:sz w:val="36"/>
          <w:highlight w:val="none"/>
        </w:rPr>
        <w:t>报价文件目录</w:t>
      </w:r>
      <w:bookmarkEnd w:id="105"/>
    </w:p>
    <w:p>
      <w:pPr>
        <w:ind w:firstLine="480"/>
        <w:outlineLvl w:val="0"/>
        <w:rPr>
          <w:rFonts w:ascii="宋体" w:hAnsi="宋体" w:cs="宋体"/>
          <w:color w:val="auto"/>
          <w:kern w:val="0"/>
          <w:highlight w:val="none"/>
        </w:rPr>
      </w:pPr>
      <w:bookmarkStart w:id="106" w:name="_Toc16666"/>
      <w:r>
        <w:rPr>
          <w:rFonts w:hint="eastAsia" w:ascii="宋体" w:hAnsi="宋体" w:cs="宋体"/>
          <w:color w:val="auto"/>
          <w:kern w:val="0"/>
          <w:highlight w:val="none"/>
        </w:rPr>
        <w:t>（1）投标响应函………………………………………………………………（页码）</w:t>
      </w:r>
      <w:bookmarkEnd w:id="106"/>
    </w:p>
    <w:p>
      <w:pPr>
        <w:ind w:firstLine="480"/>
        <w:outlineLvl w:val="0"/>
        <w:rPr>
          <w:rFonts w:ascii="宋体" w:hAnsi="宋体" w:cs="宋体"/>
          <w:color w:val="auto"/>
          <w:kern w:val="0"/>
          <w:highlight w:val="none"/>
        </w:rPr>
      </w:pPr>
      <w:bookmarkStart w:id="107" w:name="_Toc9814"/>
      <w:r>
        <w:rPr>
          <w:rFonts w:hint="eastAsia" w:ascii="宋体" w:hAnsi="宋体" w:cs="宋体"/>
          <w:color w:val="auto"/>
          <w:kern w:val="0"/>
          <w:highlight w:val="none"/>
        </w:rPr>
        <w:t>（2）开标一览表………………………………………………………………（页码）</w:t>
      </w:r>
      <w:bookmarkEnd w:id="107"/>
    </w:p>
    <w:p>
      <w:pPr>
        <w:ind w:firstLine="480"/>
        <w:outlineLvl w:val="0"/>
        <w:rPr>
          <w:rFonts w:ascii="宋体" w:hAnsi="宋体" w:cs="宋体"/>
          <w:color w:val="auto"/>
          <w:kern w:val="0"/>
          <w:highlight w:val="none"/>
        </w:rPr>
      </w:pPr>
      <w:bookmarkStart w:id="108" w:name="_Toc10349"/>
      <w:r>
        <w:rPr>
          <w:rFonts w:hint="eastAsia" w:ascii="宋体" w:hAnsi="宋体" w:cs="宋体"/>
          <w:color w:val="auto"/>
          <w:kern w:val="0"/>
          <w:highlight w:val="none"/>
        </w:rPr>
        <w:t>（3）投标报价明细表…………………………………………………………（页码）</w:t>
      </w:r>
      <w:bookmarkEnd w:id="108"/>
    </w:p>
    <w:p>
      <w:pPr>
        <w:ind w:firstLine="480"/>
        <w:outlineLvl w:val="0"/>
        <w:rPr>
          <w:rFonts w:ascii="宋体" w:hAnsi="宋体" w:cs="宋体"/>
          <w:color w:val="auto"/>
          <w:highlight w:val="none"/>
        </w:rPr>
      </w:pPr>
      <w:bookmarkStart w:id="109"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109"/>
    </w:p>
    <w:p>
      <w:pPr>
        <w:pStyle w:val="5"/>
        <w:rPr>
          <w:rFonts w:ascii="宋体" w:hAnsi="宋体" w:cs="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5"/>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19"/>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zh-CN"/>
        </w:rPr>
        <w:t>5</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5</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5"/>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10" w:name="_Toc14446"/>
      <w:r>
        <w:rPr>
          <w:rFonts w:hint="eastAsia" w:ascii="宋体" w:hAnsi="宋体" w:eastAsia="宋体" w:cs="宋体"/>
          <w:bCs/>
          <w:color w:val="auto"/>
          <w:kern w:val="2"/>
          <w:sz w:val="24"/>
          <w:szCs w:val="32"/>
          <w:highlight w:val="none"/>
        </w:rPr>
        <w:t>开标一览表</w:t>
      </w:r>
      <w:bookmarkEnd w:id="110"/>
    </w:p>
    <w:p>
      <w:pPr>
        <w:pStyle w:val="169"/>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69"/>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111"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11"/>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19"/>
        <w:wordWrap w:val="0"/>
        <w:snapToGrid w:val="0"/>
        <w:spacing w:line="360" w:lineRule="auto"/>
        <w:ind w:firstLine="480"/>
        <w:jc w:val="center"/>
        <w:rPr>
          <w:color w:val="auto"/>
          <w:highlight w:val="none"/>
          <w:lang w:val="zh-CN"/>
        </w:rPr>
      </w:pPr>
      <w:r>
        <w:rPr>
          <w:rFonts w:hint="eastAsia" w:hAnsi="宋体" w:cs="宋体"/>
          <w:b/>
          <w:bCs/>
          <w:color w:val="auto"/>
          <w:sz w:val="24"/>
          <w:szCs w:val="24"/>
          <w:highlight w:val="none"/>
        </w:rPr>
        <w:t xml:space="preserve">                                                   金额单位：          </w:t>
      </w:r>
      <w:r>
        <w:rPr>
          <w:rFonts w:hint="eastAsia" w:hAnsi="宋体" w:cs="宋体"/>
          <w:color w:val="auto"/>
          <w:sz w:val="24"/>
          <w:szCs w:val="24"/>
          <w:highlight w:val="none"/>
        </w:rPr>
        <w:t xml:space="preserve"> </w:t>
      </w:r>
    </w:p>
    <w:tbl>
      <w:tblPr>
        <w:tblStyle w:val="38"/>
        <w:tblW w:w="103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64"/>
        <w:gridCol w:w="1528"/>
        <w:gridCol w:w="1671"/>
        <w:gridCol w:w="750"/>
        <w:gridCol w:w="788"/>
        <w:gridCol w:w="712"/>
        <w:gridCol w:w="17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694"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764" w:type="dxa"/>
            <w:vAlign w:val="center"/>
          </w:tcPr>
          <w:p>
            <w:pPr>
              <w:spacing w:line="240" w:lineRule="auto"/>
              <w:ind w:firstLine="0" w:firstLineChars="0"/>
              <w:rPr>
                <w:rFonts w:ascii="宋体" w:hAnsi="宋体" w:cs="宋体"/>
                <w:b/>
                <w:color w:val="auto"/>
                <w:highlight w:val="none"/>
              </w:rPr>
            </w:pPr>
            <w:r>
              <w:rPr>
                <w:rFonts w:hint="eastAsia" w:ascii="宋体" w:hAnsi="宋体" w:cs="宋体"/>
                <w:b/>
                <w:color w:val="auto"/>
                <w:highlight w:val="none"/>
              </w:rPr>
              <w:t>名称</w:t>
            </w:r>
          </w:p>
        </w:tc>
        <w:tc>
          <w:tcPr>
            <w:tcW w:w="152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品牌</w:t>
            </w:r>
          </w:p>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（如果有）</w:t>
            </w:r>
          </w:p>
        </w:tc>
        <w:tc>
          <w:tcPr>
            <w:tcW w:w="1671"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规格型号</w:t>
            </w:r>
          </w:p>
        </w:tc>
        <w:tc>
          <w:tcPr>
            <w:tcW w:w="75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78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单价</w:t>
            </w:r>
          </w:p>
        </w:tc>
        <w:tc>
          <w:tcPr>
            <w:tcW w:w="712"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总价</w:t>
            </w:r>
          </w:p>
        </w:tc>
        <w:tc>
          <w:tcPr>
            <w:tcW w:w="177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质保期</w:t>
            </w:r>
          </w:p>
        </w:tc>
        <w:tc>
          <w:tcPr>
            <w:tcW w:w="1643"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货物的制造商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2</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3</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4</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5</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投标报价（小写）</w:t>
            </w:r>
          </w:p>
        </w:tc>
        <w:tc>
          <w:tcPr>
            <w:tcW w:w="5663" w:type="dxa"/>
            <w:gridSpan w:val="5"/>
            <w:vAlign w:val="center"/>
          </w:tcPr>
          <w:p>
            <w:pPr>
              <w:ind w:firstLine="48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投标报价（大写）</w:t>
            </w:r>
          </w:p>
        </w:tc>
        <w:tc>
          <w:tcPr>
            <w:tcW w:w="5663" w:type="dxa"/>
            <w:gridSpan w:val="5"/>
            <w:vAlign w:val="center"/>
          </w:tcPr>
          <w:p>
            <w:pPr>
              <w:ind w:firstLine="480"/>
              <w:jc w:val="center"/>
              <w:rPr>
                <w:rFonts w:ascii="宋体" w:hAnsi="宋体" w:cs="宋体"/>
                <w:color w:val="auto"/>
                <w:highlight w:val="none"/>
              </w:rPr>
            </w:pPr>
          </w:p>
        </w:tc>
      </w:tr>
    </w:tbl>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21" w:type="default"/>
          <w:pgSz w:w="11907" w:h="16840"/>
          <w:pgMar w:top="1247" w:right="1304" w:bottom="1021" w:left="1304" w:header="720" w:footer="720" w:gutter="0"/>
          <w:cols w:space="720" w:num="1"/>
          <w:docGrid w:linePitch="286" w:charSpace="0"/>
        </w:sectPr>
      </w:pPr>
    </w:p>
    <w:p>
      <w:pPr>
        <w:pStyle w:val="5"/>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12" w:name="_Toc17346"/>
      <w:r>
        <w:rPr>
          <w:rFonts w:hint="eastAsia" w:ascii="宋体" w:hAnsi="宋体" w:eastAsia="宋体" w:cs="宋体"/>
          <w:bCs/>
          <w:color w:val="auto"/>
          <w:kern w:val="2"/>
          <w:sz w:val="24"/>
          <w:szCs w:val="32"/>
          <w:highlight w:val="none"/>
        </w:rPr>
        <w:t>投标报价明细表</w:t>
      </w:r>
      <w:bookmarkEnd w:id="112"/>
    </w:p>
    <w:p>
      <w:pPr>
        <w:pStyle w:val="19"/>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项目编号：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9"/>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标项：      </w:t>
      </w:r>
    </w:p>
    <w:p>
      <w:pPr>
        <w:pStyle w:val="19"/>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 xml:space="preserve">金额单位：     </w:t>
      </w:r>
      <w:r>
        <w:rPr>
          <w:rFonts w:hint="eastAsia" w:hAnsi="宋体" w:cs="宋体"/>
          <w:color w:val="auto"/>
          <w:sz w:val="24"/>
          <w:szCs w:val="24"/>
          <w:highlight w:val="none"/>
        </w:rPr>
        <w:t xml:space="preserve"> </w:t>
      </w:r>
    </w:p>
    <w:tbl>
      <w:tblPr>
        <w:tblStyle w:val="38"/>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52"/>
        <w:gridCol w:w="264"/>
        <w:gridCol w:w="1009"/>
        <w:gridCol w:w="1056"/>
        <w:gridCol w:w="888"/>
        <w:gridCol w:w="370"/>
        <w:gridCol w:w="408"/>
        <w:gridCol w:w="978"/>
        <w:gridCol w:w="1067"/>
        <w:gridCol w:w="8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667"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序号</w:t>
            </w:r>
          </w:p>
        </w:tc>
        <w:tc>
          <w:tcPr>
            <w:tcW w:w="95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名   称</w:t>
            </w:r>
          </w:p>
        </w:tc>
        <w:tc>
          <w:tcPr>
            <w:tcW w:w="1273" w:type="dxa"/>
            <w:gridSpan w:val="2"/>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投标报价</w:t>
            </w:r>
          </w:p>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   )</w:t>
            </w:r>
          </w:p>
        </w:tc>
        <w:tc>
          <w:tcPr>
            <w:tcW w:w="1056"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规格型号</w:t>
            </w:r>
          </w:p>
        </w:tc>
        <w:tc>
          <w:tcPr>
            <w:tcW w:w="88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品牌</w:t>
            </w:r>
          </w:p>
        </w:tc>
        <w:tc>
          <w:tcPr>
            <w:tcW w:w="778" w:type="dxa"/>
            <w:gridSpan w:val="2"/>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原产地</w:t>
            </w:r>
          </w:p>
        </w:tc>
        <w:tc>
          <w:tcPr>
            <w:tcW w:w="97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供货期</w:t>
            </w:r>
          </w:p>
        </w:tc>
        <w:tc>
          <w:tcPr>
            <w:tcW w:w="106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质保期</w:t>
            </w:r>
          </w:p>
        </w:tc>
        <w:tc>
          <w:tcPr>
            <w:tcW w:w="869"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1</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2</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3</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ascii="宋体" w:hAnsi="宋体"/>
                <w:color w:val="auto"/>
                <w:spacing w:val="20"/>
                <w:highlight w:val="none"/>
              </w:rPr>
              <w:t>……</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合计</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883" w:type="dxa"/>
            <w:gridSpan w:val="3"/>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总报价</w:t>
            </w:r>
          </w:p>
        </w:tc>
        <w:tc>
          <w:tcPr>
            <w:tcW w:w="3323" w:type="dxa"/>
            <w:gridSpan w:val="4"/>
            <w:vAlign w:val="center"/>
          </w:tcPr>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进口设备部分：</w:t>
            </w:r>
          </w:p>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大写：</w:t>
            </w:r>
          </w:p>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小写：</w:t>
            </w:r>
          </w:p>
        </w:tc>
        <w:tc>
          <w:tcPr>
            <w:tcW w:w="3322" w:type="dxa"/>
            <w:gridSpan w:val="4"/>
            <w:vAlign w:val="center"/>
          </w:tcPr>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国产设备部分:</w:t>
            </w:r>
          </w:p>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大写：</w:t>
            </w:r>
          </w:p>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小写：</w:t>
            </w:r>
          </w:p>
        </w:tc>
      </w:tr>
    </w:tbl>
    <w:p>
      <w:pPr>
        <w:pStyle w:val="19"/>
        <w:adjustRightInd w:val="0"/>
        <w:snapToGrid w:val="0"/>
        <w:spacing w:line="360" w:lineRule="auto"/>
        <w:jc w:val="left"/>
        <w:rPr>
          <w:rFonts w:ascii="Arial" w:hAnsi="宋体" w:cs="Arial"/>
          <w:b/>
          <w:bCs/>
          <w:color w:val="auto"/>
          <w:kern w:val="0"/>
          <w:szCs w:val="21"/>
          <w:highlight w:val="none"/>
        </w:rPr>
      </w:pPr>
    </w:p>
    <w:p>
      <w:pPr>
        <w:pStyle w:val="19"/>
        <w:adjustRightInd w:val="0"/>
        <w:snapToGrid w:val="0"/>
        <w:spacing w:line="360" w:lineRule="auto"/>
        <w:jc w:val="left"/>
        <w:rPr>
          <w:rFonts w:hAnsi="宋体" w:cs="宋体"/>
          <w:b/>
          <w:bCs/>
          <w:color w:val="auto"/>
          <w:szCs w:val="21"/>
          <w:highlight w:val="none"/>
        </w:rPr>
      </w:pP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2" w:type="default"/>
          <w:pgSz w:w="11906" w:h="16838"/>
          <w:pgMar w:top="1440" w:right="1797" w:bottom="1440" w:left="1797" w:header="851" w:footer="851" w:gutter="0"/>
          <w:cols w:space="720" w:num="1"/>
          <w:docGrid w:linePitch="312" w:charSpace="0"/>
        </w:sectPr>
      </w:pPr>
    </w:p>
    <w:p>
      <w:pPr>
        <w:pStyle w:val="5"/>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中小企业声明函</w:t>
      </w:r>
    </w:p>
    <w:p>
      <w:pPr>
        <w:pStyle w:val="28"/>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2.本公司参加中国计量大学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（1）□本公司为直接投标人提供本企业提供的货物。</w:t>
      </w:r>
    </w:p>
    <w:p>
      <w:pPr>
        <w:ind w:firstLine="480"/>
        <w:rPr>
          <w:rFonts w:ascii="宋体" w:hAnsi="宋体"/>
          <w:color w:val="auto"/>
          <w:highlight w:val="none"/>
        </w:rPr>
      </w:pPr>
      <w:r>
        <w:rPr>
          <w:rFonts w:hint="eastAsia" w:ascii="宋体" w:hAnsi="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23" w:type="default"/>
          <w:footerReference r:id="rId24" w:type="default"/>
          <w:pgSz w:w="11907" w:h="16840"/>
          <w:pgMar w:top="1247" w:right="1304" w:bottom="1021" w:left="1304" w:header="720" w:footer="720" w:gutter="0"/>
          <w:cols w:space="720" w:num="1"/>
          <w:docGrid w:linePitch="286" w:charSpace="0"/>
        </w:sectPr>
      </w:pPr>
    </w:p>
    <w:p>
      <w:pPr>
        <w:pStyle w:val="5"/>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中国计量大学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5"/>
        <w:rPr>
          <w:rFonts w:ascii="宋体" w:hAnsi="宋体" w:cs="宋体"/>
          <w:color w:val="auto"/>
          <w:highlight w:val="none"/>
        </w:rPr>
      </w:pPr>
      <w:bookmarkStart w:id="113" w:name="_Toc7692"/>
      <w:r>
        <w:rPr>
          <w:rFonts w:hint="eastAsia" w:ascii="宋体" w:hAnsi="宋体" w:cs="宋体"/>
          <w:color w:val="auto"/>
          <w:highlight w:val="none"/>
        </w:rPr>
        <w:t>资信技术评分索引表（请放在目录前页）</w:t>
      </w:r>
    </w:p>
    <w:tbl>
      <w:tblPr>
        <w:tblStyle w:val="38"/>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t>商务技术文件目录</w:t>
      </w:r>
      <w:bookmarkEnd w:id="113"/>
      <w:r>
        <w:rPr>
          <w:rFonts w:hint="eastAsia" w:ascii="宋体" w:hAnsi="宋体" w:cs="宋体"/>
          <w:b/>
          <w:color w:val="auto"/>
          <w:kern w:val="0"/>
          <w:sz w:val="36"/>
          <w:highlight w:val="none"/>
        </w:rPr>
        <w:t xml:space="preserve"> </w:t>
      </w:r>
    </w:p>
    <w:p>
      <w:pPr>
        <w:numPr>
          <w:ilvl w:val="0"/>
          <w:numId w:val="16"/>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w:t>
      </w:r>
      <w:r>
        <w:rPr>
          <w:rFonts w:hint="eastAsia" w:ascii="宋体" w:hAnsi="宋体" w:cs="宋体"/>
          <w:color w:val="auto"/>
          <w:kern w:val="0"/>
          <w:highlight w:val="none"/>
        </w:rPr>
        <w:t>……………   ………………（页码）</w:t>
      </w:r>
    </w:p>
    <w:p>
      <w:pPr>
        <w:numPr>
          <w:ilvl w:val="0"/>
          <w:numId w:val="16"/>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   ………………（页码）</w:t>
      </w:r>
    </w:p>
    <w:p>
      <w:pPr>
        <w:numPr>
          <w:ilvl w:val="0"/>
          <w:numId w:val="16"/>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 …………………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 ……………………………（页码）</w:t>
      </w:r>
    </w:p>
    <w:p>
      <w:pPr>
        <w:numPr>
          <w:ilvl w:val="0"/>
          <w:numId w:val="16"/>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   …（页码）</w:t>
      </w:r>
    </w:p>
    <w:p>
      <w:pPr>
        <w:numPr>
          <w:ilvl w:val="0"/>
          <w:numId w:val="16"/>
        </w:numPr>
        <w:ind w:firstLineChars="0"/>
        <w:rPr>
          <w:color w:val="auto"/>
          <w:highlight w:val="none"/>
        </w:rPr>
      </w:pPr>
      <w:r>
        <w:rPr>
          <w:rFonts w:hint="eastAsia" w:ascii="宋体" w:hAnsi="宋体" w:cs="宋体"/>
          <w:color w:val="auto"/>
          <w:kern w:val="0"/>
          <w:highlight w:val="none"/>
        </w:rPr>
        <w:t>技术服务方案………………………………………    …………………  ……（页码）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实施技术人员一览表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highlight w:val="none"/>
        </w:rPr>
      </w:pPr>
      <w:r>
        <w:rPr>
          <w:rFonts w:hint="eastAsia" w:ascii="宋体" w:hAnsi="宋体" w:cs="宋体"/>
          <w:color w:val="auto"/>
          <w:kern w:val="0"/>
          <w:highlight w:val="none"/>
        </w:rPr>
        <w:t>培训方案…………………………………………………………………………（页码）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pStyle w:val="8"/>
        <w:rPr>
          <w:color w:val="auto"/>
          <w:highlight w:val="none"/>
        </w:rPr>
      </w:pPr>
      <w:r>
        <w:rPr>
          <w:rFonts w:hint="eastAsia" w:ascii="宋体" w:hAnsi="宋体" w:cs="宋体"/>
          <w:color w:val="auto"/>
          <w:kern w:val="0"/>
          <w:highlight w:val="none"/>
        </w:rPr>
        <w:t>……</w:t>
      </w:r>
    </w:p>
    <w:p>
      <w:pPr>
        <w:pStyle w:val="2"/>
        <w:rPr>
          <w:rFonts w:ascii="宋体" w:hAnsi="宋体" w:eastAsia="宋体" w:cs="宋体"/>
          <w:color w:val="auto"/>
          <w:highlight w:val="none"/>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5"/>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中国计量大学、浙江五石工程咨询有限公司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中国计量大学、浙江五石工程咨询有限公司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rPr>
        <w:t>中国计量大学、浙江五石工程咨询有限公司：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杭州市开元商贸职业学校体艺楼音响、灯光设备、LED显示屏、三校区统一网络出口升级改造、录播机房兼教室项目[招标编号：HJZCD-2019-014]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中国计量大学：</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8"/>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附件十一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附件十二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附件十三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5"/>
        <w:jc w:val="left"/>
        <w:rPr>
          <w:color w:val="auto"/>
          <w:highlight w:val="none"/>
        </w:rPr>
      </w:pPr>
      <w:r>
        <w:rPr>
          <w:rFonts w:hint="eastAsia"/>
          <w:color w:val="auto"/>
          <w:highlight w:val="none"/>
        </w:rPr>
        <w:t>附件十四 汇率承诺函</w:t>
      </w:r>
    </w:p>
    <w:p>
      <w:pPr>
        <w:ind w:firstLine="482"/>
        <w:jc w:val="center"/>
        <w:rPr>
          <w:b/>
          <w:bCs/>
          <w:color w:val="auto"/>
          <w:szCs w:val="32"/>
          <w:highlight w:val="none"/>
        </w:rPr>
      </w:pP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522" w:type="dxa"/>
            <w:tcBorders>
              <w:top w:val="nil"/>
              <w:left w:val="nil"/>
              <w:bottom w:val="single" w:color="auto" w:sz="4" w:space="0"/>
              <w:right w:val="nil"/>
            </w:tcBorders>
          </w:tcPr>
          <w:p>
            <w:pPr>
              <w:ind w:firstLine="723"/>
              <w:jc w:val="center"/>
              <w:rPr>
                <w:color w:val="auto"/>
                <w:sz w:val="30"/>
                <w:szCs w:val="30"/>
                <w:highlight w:val="none"/>
              </w:rPr>
            </w:pPr>
            <w:r>
              <w:rPr>
                <w:rStyle w:val="170"/>
                <w:rFonts w:hint="eastAsia"/>
                <w:color w:val="auto"/>
                <w:sz w:val="36"/>
                <w:szCs w:val="52"/>
                <w:highlight w:val="none"/>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5" w:hRule="atLeast"/>
        </w:trPr>
        <w:tc>
          <w:tcPr>
            <w:tcW w:w="8522" w:type="dxa"/>
            <w:tcBorders>
              <w:top w:val="single" w:color="auto" w:sz="4" w:space="0"/>
            </w:tcBorders>
          </w:tcPr>
          <w:p>
            <w:pPr>
              <w:ind w:firstLine="480"/>
              <w:rPr>
                <w:color w:val="auto"/>
                <w:highlight w:val="none"/>
              </w:rPr>
            </w:pPr>
          </w:p>
          <w:p>
            <w:pPr>
              <w:ind w:firstLine="480"/>
              <w:rPr>
                <w:color w:val="auto"/>
                <w:highlight w:val="none"/>
              </w:rPr>
            </w:pPr>
          </w:p>
          <w:p>
            <w:pPr>
              <w:ind w:firstLine="480"/>
              <w:rPr>
                <w:color w:val="auto"/>
                <w:highlight w:val="none"/>
              </w:rPr>
            </w:pPr>
          </w:p>
          <w:p>
            <w:pPr>
              <w:ind w:firstLine="710" w:firstLineChars="296"/>
              <w:rPr>
                <w:rFonts w:ascii="宋体" w:hAnsi="宋体"/>
                <w:color w:val="auto"/>
                <w:szCs w:val="32"/>
                <w:highlight w:val="none"/>
              </w:rPr>
            </w:pPr>
            <w:r>
              <w:rPr>
                <w:rFonts w:hint="eastAsia" w:ascii="宋体" w:hAnsi="宋体"/>
                <w:bCs/>
                <w:color w:val="auto"/>
                <w:szCs w:val="32"/>
                <w:highlight w:val="none"/>
              </w:rPr>
              <w:t>如若中标，货款按照开标时中国银行美元现钞卖出价</w:t>
            </w:r>
            <w:r>
              <w:rPr>
                <w:rFonts w:hint="eastAsia" w:ascii="宋体" w:hAnsi="宋体"/>
                <w:bCs/>
                <w:color w:val="auto"/>
                <w:szCs w:val="32"/>
                <w:highlight w:val="none"/>
                <w:u w:val="single"/>
              </w:rPr>
              <w:t xml:space="preserve">          </w:t>
            </w:r>
            <w:r>
              <w:rPr>
                <w:rFonts w:hint="eastAsia" w:ascii="宋体" w:hAnsi="宋体"/>
                <w:bCs/>
                <w:color w:val="auto"/>
                <w:szCs w:val="32"/>
                <w:highlight w:val="none"/>
              </w:rPr>
              <w:t>，折算成人民币计算。因最终结算价格超出采购预算，超出部分如贷款、外贸代理费等全部费用由我公司自行承担。</w:t>
            </w:r>
          </w:p>
          <w:p>
            <w:pPr>
              <w:ind w:firstLine="480"/>
              <w:rPr>
                <w:color w:val="auto"/>
                <w:highlight w:val="none"/>
              </w:rPr>
            </w:pPr>
          </w:p>
          <w:p>
            <w:pPr>
              <w:ind w:firstLine="480"/>
              <w:rPr>
                <w:color w:val="auto"/>
                <w:highlight w:val="none"/>
              </w:rPr>
            </w:pPr>
          </w:p>
          <w:p>
            <w:pPr>
              <w:ind w:firstLine="0" w:firstLineChars="0"/>
              <w:rPr>
                <w:color w:val="auto"/>
                <w:highlight w:val="none"/>
              </w:rPr>
            </w:pPr>
          </w:p>
          <w:p>
            <w:pPr>
              <w:ind w:firstLine="0" w:firstLineChars="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pacing w:line="480" w:lineRule="auto"/>
              <w:ind w:firstLine="480"/>
              <w:rPr>
                <w:color w:val="auto"/>
                <w:szCs w:val="32"/>
                <w:highlight w:val="none"/>
              </w:rPr>
            </w:pPr>
            <w:r>
              <w:rPr>
                <w:rFonts w:hint="eastAsia"/>
                <w:color w:val="auto"/>
                <w:szCs w:val="32"/>
                <w:highlight w:val="none"/>
              </w:rPr>
              <w:t>供应商（单位全称）：</w:t>
            </w:r>
          </w:p>
          <w:p>
            <w:pPr>
              <w:spacing w:line="480" w:lineRule="auto"/>
              <w:ind w:firstLine="480"/>
              <w:rPr>
                <w:color w:val="auto"/>
                <w:szCs w:val="32"/>
                <w:highlight w:val="none"/>
              </w:rPr>
            </w:pPr>
            <w:r>
              <w:rPr>
                <w:rFonts w:hint="eastAsia"/>
                <w:color w:val="auto"/>
                <w:szCs w:val="32"/>
                <w:highlight w:val="none"/>
              </w:rPr>
              <w:t>授权代表签名：</w:t>
            </w:r>
          </w:p>
          <w:p>
            <w:pPr>
              <w:spacing w:line="480" w:lineRule="auto"/>
              <w:ind w:firstLine="480"/>
              <w:rPr>
                <w:color w:val="auto"/>
                <w:szCs w:val="32"/>
                <w:highlight w:val="none"/>
              </w:rPr>
            </w:pPr>
            <w:r>
              <w:rPr>
                <w:rFonts w:hint="eastAsia"/>
                <w:color w:val="auto"/>
                <w:szCs w:val="32"/>
                <w:highlight w:val="none"/>
              </w:rPr>
              <w:t>时间：      年     月      日</w:t>
            </w:r>
          </w:p>
          <w:p>
            <w:pPr>
              <w:ind w:firstLine="480"/>
              <w:rPr>
                <w:color w:val="auto"/>
                <w:highlight w:val="none"/>
              </w:rPr>
            </w:pPr>
          </w:p>
        </w:tc>
      </w:tr>
    </w:tbl>
    <w:p>
      <w:pPr>
        <w:pStyle w:val="2"/>
        <w:rPr>
          <w:rFonts w:ascii="宋体" w:hAnsi="宋体" w:cs="宋体"/>
          <w:color w:val="auto"/>
          <w:highlight w:val="none"/>
        </w:rPr>
      </w:pPr>
    </w:p>
    <w:bookmarkEnd w:id="63"/>
    <w:bookmarkEnd w:id="64"/>
    <w:bookmarkEnd w:id="65"/>
    <w:bookmarkEnd w:id="66"/>
    <w:bookmarkEnd w:id="67"/>
    <w:bookmarkEnd w:id="68"/>
    <w:bookmarkEnd w:id="69"/>
    <w:bookmarkEnd w:id="70"/>
    <w:p>
      <w:pPr>
        <w:pStyle w:val="5"/>
        <w:rPr>
          <w:rFonts w:ascii="宋体" w:hAnsi="宋体" w:cs="宋体"/>
          <w:color w:val="auto"/>
          <w:highlight w:val="none"/>
        </w:rPr>
      </w:pPr>
      <w:r>
        <w:rPr>
          <w:rFonts w:hint="eastAsia" w:ascii="宋体" w:hAnsi="宋体" w:cs="宋体"/>
          <w:color w:val="auto"/>
          <w:highlight w:val="none"/>
        </w:rPr>
        <w:t>附件十五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5"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0"/>
    <w:family w:val="decorative"/>
    <w:pitch w:val="default"/>
    <w:sig w:usb0="80000000" w:usb1="00000000" w:usb2="00000000" w:usb3="00000000" w:csb0="00000000" w:csb1="00000000"/>
  </w:font>
  <w:font w:name="Agilent TT Cond">
    <w:altName w:val="Calibri"/>
    <w:panose1 w:val="00000000000000000000"/>
    <w:charset w:val="00"/>
    <w:family w:val="swiss"/>
    <w:pitch w:val="default"/>
    <w:sig w:usb0="00000000" w:usb1="00000000" w:usb2="00000000" w:usb3="00000000" w:csb0="000000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中国计量大学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i/>
        <w:iCs/>
        <w:sz w:val="24"/>
        <w:szCs w:val="24"/>
      </w:rPr>
    </w:pPr>
  </w:p>
  <w:p>
    <w:pPr>
      <w:pStyle w:val="24"/>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6D5FE6C"/>
    <w:multiLevelType w:val="singleLevel"/>
    <w:tmpl w:val="F6D5FE6C"/>
    <w:lvl w:ilvl="0" w:tentative="0">
      <w:start w:val="1"/>
      <w:numFmt w:val="decimal"/>
      <w:lvlText w:val="%1."/>
      <w:lvlJc w:val="left"/>
      <w:pPr>
        <w:ind w:left="425" w:hanging="425"/>
      </w:pPr>
      <w:rPr>
        <w:rFonts w:hint="default"/>
      </w:rPr>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68A08C"/>
    <w:multiLevelType w:val="singleLevel"/>
    <w:tmpl w:val="4068A08C"/>
    <w:lvl w:ilvl="0" w:tentative="0">
      <w:start w:val="1"/>
      <w:numFmt w:val="decimal"/>
      <w:lvlText w:val="%1."/>
      <w:lvlJc w:val="left"/>
      <w:pPr>
        <w:ind w:left="425" w:hanging="425"/>
      </w:pPr>
      <w:rPr>
        <w:rFonts w:hint="default"/>
      </w:rPr>
    </w:lvl>
  </w:abstractNum>
  <w:abstractNum w:abstractNumId="10">
    <w:nsid w:val="41C5F5BA"/>
    <w:multiLevelType w:val="singleLevel"/>
    <w:tmpl w:val="41C5F5BA"/>
    <w:lvl w:ilvl="0" w:tentative="0">
      <w:start w:val="1"/>
      <w:numFmt w:val="decimal"/>
      <w:lvlText w:val="%1."/>
      <w:lvlJc w:val="left"/>
      <w:pPr>
        <w:ind w:left="425" w:hanging="425"/>
      </w:pPr>
      <w:rPr>
        <w:rFonts w:hint="default"/>
      </w:rPr>
    </w:lvl>
  </w:abstractNum>
  <w:abstractNum w:abstractNumId="11">
    <w:nsid w:val="4BFDDBFF"/>
    <w:multiLevelType w:val="singleLevel"/>
    <w:tmpl w:val="4BFDDBFF"/>
    <w:lvl w:ilvl="0" w:tentative="0">
      <w:start w:val="1"/>
      <w:numFmt w:val="decimal"/>
      <w:suff w:val="nothing"/>
      <w:lvlText w:val="（%1）"/>
      <w:lvlJc w:val="left"/>
    </w:lvl>
  </w:abstractNum>
  <w:abstractNum w:abstractNumId="12">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4">
    <w:nsid w:val="6DE11870"/>
    <w:multiLevelType w:val="multilevel"/>
    <w:tmpl w:val="6DE11870"/>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E76112D"/>
    <w:multiLevelType w:val="singleLevel"/>
    <w:tmpl w:val="7E76112D"/>
    <w:lvl w:ilvl="0" w:tentative="0">
      <w:start w:val="9"/>
      <w:numFmt w:val="decimal"/>
      <w:lvlText w:val="%1."/>
      <w:lvlJc w:val="left"/>
      <w:pPr>
        <w:tabs>
          <w:tab w:val="left" w:pos="312"/>
        </w:tabs>
      </w:pPr>
    </w:lvl>
  </w:abstractNum>
  <w:num w:numId="1">
    <w:abstractNumId w:val="12"/>
  </w:num>
  <w:num w:numId="2">
    <w:abstractNumId w:val="14"/>
  </w:num>
  <w:num w:numId="3">
    <w:abstractNumId w:val="8"/>
  </w:num>
  <w:num w:numId="4">
    <w:abstractNumId w:val="10"/>
  </w:num>
  <w:num w:numId="5">
    <w:abstractNumId w:val="11"/>
  </w:num>
  <w:num w:numId="6">
    <w:abstractNumId w:val="2"/>
  </w:num>
  <w:num w:numId="7">
    <w:abstractNumId w:val="4"/>
  </w:num>
  <w:num w:numId="8">
    <w:abstractNumId w:val="1"/>
  </w:num>
  <w:num w:numId="9">
    <w:abstractNumId w:val="15"/>
  </w:num>
  <w:num w:numId="10">
    <w:abstractNumId w:val="7"/>
  </w:num>
  <w:num w:numId="11">
    <w:abstractNumId w:val="5"/>
  </w:num>
  <w:num w:numId="12">
    <w:abstractNumId w:val="13"/>
  </w:num>
  <w:num w:numId="13">
    <w:abstractNumId w:val="6"/>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3A3"/>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C27"/>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1320"/>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6B4"/>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B6A8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73"/>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22B8"/>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69067C"/>
    <w:rsid w:val="02F01C71"/>
    <w:rsid w:val="03210061"/>
    <w:rsid w:val="03D21196"/>
    <w:rsid w:val="04415EE3"/>
    <w:rsid w:val="046B6B89"/>
    <w:rsid w:val="05273450"/>
    <w:rsid w:val="05B01605"/>
    <w:rsid w:val="066A7233"/>
    <w:rsid w:val="06C705E9"/>
    <w:rsid w:val="06F32C4C"/>
    <w:rsid w:val="07221759"/>
    <w:rsid w:val="07845EBA"/>
    <w:rsid w:val="07996EB4"/>
    <w:rsid w:val="079E733B"/>
    <w:rsid w:val="07D945DC"/>
    <w:rsid w:val="082D669C"/>
    <w:rsid w:val="092D4ADB"/>
    <w:rsid w:val="094B0040"/>
    <w:rsid w:val="096D0679"/>
    <w:rsid w:val="09A13A7B"/>
    <w:rsid w:val="09D51869"/>
    <w:rsid w:val="0A676977"/>
    <w:rsid w:val="0B5673B8"/>
    <w:rsid w:val="0BA33880"/>
    <w:rsid w:val="0CA8083B"/>
    <w:rsid w:val="0CD26A47"/>
    <w:rsid w:val="0DDE177A"/>
    <w:rsid w:val="0E3777BE"/>
    <w:rsid w:val="0EE43718"/>
    <w:rsid w:val="0EE90B68"/>
    <w:rsid w:val="0F333C8A"/>
    <w:rsid w:val="0F6D01FB"/>
    <w:rsid w:val="0FBC0D1A"/>
    <w:rsid w:val="102927A5"/>
    <w:rsid w:val="10475F34"/>
    <w:rsid w:val="104C58A2"/>
    <w:rsid w:val="11A842FF"/>
    <w:rsid w:val="120E0E48"/>
    <w:rsid w:val="123F4C14"/>
    <w:rsid w:val="12B1627A"/>
    <w:rsid w:val="12CB1F54"/>
    <w:rsid w:val="12F12AA5"/>
    <w:rsid w:val="141A42B8"/>
    <w:rsid w:val="147A2410"/>
    <w:rsid w:val="14852C6F"/>
    <w:rsid w:val="15871E93"/>
    <w:rsid w:val="15F003C1"/>
    <w:rsid w:val="15F61009"/>
    <w:rsid w:val="15FC3115"/>
    <w:rsid w:val="17445402"/>
    <w:rsid w:val="18E00489"/>
    <w:rsid w:val="19282791"/>
    <w:rsid w:val="192C2D7A"/>
    <w:rsid w:val="19810432"/>
    <w:rsid w:val="19F45009"/>
    <w:rsid w:val="1A5E1863"/>
    <w:rsid w:val="1AB83062"/>
    <w:rsid w:val="1D7C153E"/>
    <w:rsid w:val="1E055C9E"/>
    <w:rsid w:val="1E646060"/>
    <w:rsid w:val="1E8D072E"/>
    <w:rsid w:val="1F0136F8"/>
    <w:rsid w:val="1F8A0112"/>
    <w:rsid w:val="20015A6D"/>
    <w:rsid w:val="200C3AA1"/>
    <w:rsid w:val="20974516"/>
    <w:rsid w:val="20CB3924"/>
    <w:rsid w:val="21220D3E"/>
    <w:rsid w:val="214A3DCF"/>
    <w:rsid w:val="21BF72A1"/>
    <w:rsid w:val="21C3592D"/>
    <w:rsid w:val="21C55F53"/>
    <w:rsid w:val="21FC530F"/>
    <w:rsid w:val="225A2932"/>
    <w:rsid w:val="22A84E37"/>
    <w:rsid w:val="233A2E59"/>
    <w:rsid w:val="23594B35"/>
    <w:rsid w:val="23EA5690"/>
    <w:rsid w:val="244157BB"/>
    <w:rsid w:val="247240E4"/>
    <w:rsid w:val="24D54DB0"/>
    <w:rsid w:val="24F82B87"/>
    <w:rsid w:val="25D27E7B"/>
    <w:rsid w:val="26700C16"/>
    <w:rsid w:val="274F2171"/>
    <w:rsid w:val="275E0F3C"/>
    <w:rsid w:val="27797DE0"/>
    <w:rsid w:val="27965B8B"/>
    <w:rsid w:val="282657F7"/>
    <w:rsid w:val="287F59EE"/>
    <w:rsid w:val="28FC2B68"/>
    <w:rsid w:val="29172B11"/>
    <w:rsid w:val="29223179"/>
    <w:rsid w:val="29523F82"/>
    <w:rsid w:val="297F63E2"/>
    <w:rsid w:val="29AA4023"/>
    <w:rsid w:val="29FF498C"/>
    <w:rsid w:val="2A3B1864"/>
    <w:rsid w:val="2A456589"/>
    <w:rsid w:val="2A5B4807"/>
    <w:rsid w:val="2AC46B39"/>
    <w:rsid w:val="2ADE0C2E"/>
    <w:rsid w:val="2B16314B"/>
    <w:rsid w:val="2B53670E"/>
    <w:rsid w:val="2C0E274C"/>
    <w:rsid w:val="2C1864B9"/>
    <w:rsid w:val="2C3042EA"/>
    <w:rsid w:val="2C5466FC"/>
    <w:rsid w:val="2D4477EE"/>
    <w:rsid w:val="2DC41DAC"/>
    <w:rsid w:val="2DD4300E"/>
    <w:rsid w:val="2E413F38"/>
    <w:rsid w:val="2EC14611"/>
    <w:rsid w:val="30300320"/>
    <w:rsid w:val="305E4CC4"/>
    <w:rsid w:val="311A734D"/>
    <w:rsid w:val="31EE4BAA"/>
    <w:rsid w:val="31F5436E"/>
    <w:rsid w:val="32243194"/>
    <w:rsid w:val="3263631F"/>
    <w:rsid w:val="32A355BC"/>
    <w:rsid w:val="32C00D78"/>
    <w:rsid w:val="33222A9A"/>
    <w:rsid w:val="332D1CBE"/>
    <w:rsid w:val="33480719"/>
    <w:rsid w:val="339D5261"/>
    <w:rsid w:val="34955EDA"/>
    <w:rsid w:val="349A334C"/>
    <w:rsid w:val="34CA78C0"/>
    <w:rsid w:val="35586223"/>
    <w:rsid w:val="35A418C4"/>
    <w:rsid w:val="36253B84"/>
    <w:rsid w:val="36401A4A"/>
    <w:rsid w:val="368920CF"/>
    <w:rsid w:val="36FE5573"/>
    <w:rsid w:val="37D078F7"/>
    <w:rsid w:val="37F76452"/>
    <w:rsid w:val="38735C94"/>
    <w:rsid w:val="38CE707C"/>
    <w:rsid w:val="38FB4AF5"/>
    <w:rsid w:val="39104B12"/>
    <w:rsid w:val="3A1B760C"/>
    <w:rsid w:val="3B216441"/>
    <w:rsid w:val="3BFB42C7"/>
    <w:rsid w:val="3CAA46F7"/>
    <w:rsid w:val="3CE57D2D"/>
    <w:rsid w:val="3CE77BA9"/>
    <w:rsid w:val="3E217459"/>
    <w:rsid w:val="3E2A4E15"/>
    <w:rsid w:val="3F255D56"/>
    <w:rsid w:val="3F416A26"/>
    <w:rsid w:val="40223FBC"/>
    <w:rsid w:val="4082593F"/>
    <w:rsid w:val="41681941"/>
    <w:rsid w:val="41E47D60"/>
    <w:rsid w:val="423D6569"/>
    <w:rsid w:val="437B3C36"/>
    <w:rsid w:val="44560F40"/>
    <w:rsid w:val="44720E16"/>
    <w:rsid w:val="44B40707"/>
    <w:rsid w:val="44C41913"/>
    <w:rsid w:val="44D619FA"/>
    <w:rsid w:val="45E54860"/>
    <w:rsid w:val="466C6EAA"/>
    <w:rsid w:val="473D6B0A"/>
    <w:rsid w:val="482B2304"/>
    <w:rsid w:val="4853715D"/>
    <w:rsid w:val="48857FBF"/>
    <w:rsid w:val="48C21E3A"/>
    <w:rsid w:val="48DE11B8"/>
    <w:rsid w:val="49205619"/>
    <w:rsid w:val="4922547B"/>
    <w:rsid w:val="49D54F3C"/>
    <w:rsid w:val="4A1F67CA"/>
    <w:rsid w:val="4AB7573A"/>
    <w:rsid w:val="4AC63524"/>
    <w:rsid w:val="4B8A72CF"/>
    <w:rsid w:val="4B972445"/>
    <w:rsid w:val="4C1065B5"/>
    <w:rsid w:val="4C217E66"/>
    <w:rsid w:val="4C70027F"/>
    <w:rsid w:val="4D943011"/>
    <w:rsid w:val="4DDF3F73"/>
    <w:rsid w:val="4F8119B1"/>
    <w:rsid w:val="4F92238A"/>
    <w:rsid w:val="4FE062A3"/>
    <w:rsid w:val="5043798C"/>
    <w:rsid w:val="50731BAF"/>
    <w:rsid w:val="510E0E2A"/>
    <w:rsid w:val="515B5BAE"/>
    <w:rsid w:val="51C25525"/>
    <w:rsid w:val="5298489A"/>
    <w:rsid w:val="52E223AA"/>
    <w:rsid w:val="53FD089E"/>
    <w:rsid w:val="54321EEE"/>
    <w:rsid w:val="54453B17"/>
    <w:rsid w:val="54963849"/>
    <w:rsid w:val="55323649"/>
    <w:rsid w:val="556A2FD5"/>
    <w:rsid w:val="55D634ED"/>
    <w:rsid w:val="56B332E9"/>
    <w:rsid w:val="571826D1"/>
    <w:rsid w:val="57C62622"/>
    <w:rsid w:val="585D5FB5"/>
    <w:rsid w:val="593B0594"/>
    <w:rsid w:val="59BF3C49"/>
    <w:rsid w:val="5B0C31E8"/>
    <w:rsid w:val="5BFF7AE6"/>
    <w:rsid w:val="5C0B789C"/>
    <w:rsid w:val="5C372F37"/>
    <w:rsid w:val="5CC441E1"/>
    <w:rsid w:val="5CE760ED"/>
    <w:rsid w:val="5D673A5A"/>
    <w:rsid w:val="5D8D5661"/>
    <w:rsid w:val="5EA62EF7"/>
    <w:rsid w:val="5EBA517D"/>
    <w:rsid w:val="5EEC4DA1"/>
    <w:rsid w:val="5F281498"/>
    <w:rsid w:val="5FFA1888"/>
    <w:rsid w:val="600960AF"/>
    <w:rsid w:val="62CE0974"/>
    <w:rsid w:val="62E0024A"/>
    <w:rsid w:val="63463232"/>
    <w:rsid w:val="64045B83"/>
    <w:rsid w:val="641724DD"/>
    <w:rsid w:val="644F09B6"/>
    <w:rsid w:val="648D4DC3"/>
    <w:rsid w:val="64937B40"/>
    <w:rsid w:val="64E414E0"/>
    <w:rsid w:val="652C15E3"/>
    <w:rsid w:val="656B25DE"/>
    <w:rsid w:val="65991807"/>
    <w:rsid w:val="665F1C74"/>
    <w:rsid w:val="66730C34"/>
    <w:rsid w:val="66A43656"/>
    <w:rsid w:val="66EF7312"/>
    <w:rsid w:val="67822F4A"/>
    <w:rsid w:val="67A04650"/>
    <w:rsid w:val="680F0D3C"/>
    <w:rsid w:val="68F63773"/>
    <w:rsid w:val="69010518"/>
    <w:rsid w:val="69440073"/>
    <w:rsid w:val="6AAC6B9E"/>
    <w:rsid w:val="6B865118"/>
    <w:rsid w:val="6BA33D7F"/>
    <w:rsid w:val="6BF32268"/>
    <w:rsid w:val="6BFC2786"/>
    <w:rsid w:val="6C0D5A20"/>
    <w:rsid w:val="6C1E03F6"/>
    <w:rsid w:val="6C2C2459"/>
    <w:rsid w:val="6C887360"/>
    <w:rsid w:val="6D476454"/>
    <w:rsid w:val="6E39307B"/>
    <w:rsid w:val="6E875598"/>
    <w:rsid w:val="6F0247A4"/>
    <w:rsid w:val="6F2C13F5"/>
    <w:rsid w:val="70730315"/>
    <w:rsid w:val="709A551D"/>
    <w:rsid w:val="71E963C9"/>
    <w:rsid w:val="727C1491"/>
    <w:rsid w:val="72B566B1"/>
    <w:rsid w:val="72BC0BF9"/>
    <w:rsid w:val="72D14842"/>
    <w:rsid w:val="74425093"/>
    <w:rsid w:val="757C7A9C"/>
    <w:rsid w:val="758461E8"/>
    <w:rsid w:val="75DC2DB7"/>
    <w:rsid w:val="766E3BB5"/>
    <w:rsid w:val="76C84CCD"/>
    <w:rsid w:val="76F01E2B"/>
    <w:rsid w:val="76F22868"/>
    <w:rsid w:val="77672932"/>
    <w:rsid w:val="78E131DA"/>
    <w:rsid w:val="7AA01F48"/>
    <w:rsid w:val="7B0A05EE"/>
    <w:rsid w:val="7C4D5033"/>
    <w:rsid w:val="7C660A57"/>
    <w:rsid w:val="7C8B5068"/>
    <w:rsid w:val="7E192C83"/>
    <w:rsid w:val="7F753532"/>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0"/>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 w:val="21"/>
      <w:szCs w:val="28"/>
    </w:rPr>
  </w:style>
  <w:style w:type="character" w:default="1" w:styleId="40">
    <w:name w:val="Default Paragraph Font"/>
    <w:semiHidden/>
    <w:unhideWhenUsed/>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rPr>
      <w:sz w:val="21"/>
    </w:r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sz w:val="21"/>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4">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92"/>
    <w:unhideWhenUsed/>
    <w:qFormat/>
    <w:uiPriority w:val="0"/>
    <w:pPr>
      <w:spacing w:line="240" w:lineRule="auto"/>
      <w:ind w:firstLine="0" w:firstLineChars="0"/>
    </w:pPr>
    <w:rPr>
      <w:rFonts w:ascii="宋体"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2">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3">
    <w:name w:val="Balloon Text"/>
    <w:basedOn w:val="1"/>
    <w:link w:val="86"/>
    <w:unhideWhenUsed/>
    <w:qFormat/>
    <w:uiPriority w:val="0"/>
    <w:rPr>
      <w:rFonts w:ascii="Times New Roman" w:hAnsi="Times New Roman"/>
      <w:kern w:val="0"/>
      <w:sz w:val="18"/>
      <w:szCs w:val="18"/>
    </w:rPr>
  </w:style>
  <w:style w:type="paragraph" w:styleId="24">
    <w:name w:val="footer"/>
    <w:basedOn w:val="1"/>
    <w:link w:val="66"/>
    <w:unhideWhenUsed/>
    <w:qFormat/>
    <w:uiPriority w:val="99"/>
    <w:pPr>
      <w:tabs>
        <w:tab w:val="center" w:pos="4153"/>
        <w:tab w:val="right" w:pos="8306"/>
      </w:tabs>
      <w:snapToGrid w:val="0"/>
      <w:jc w:val="left"/>
    </w:pPr>
    <w:rPr>
      <w:kern w:val="0"/>
      <w:sz w:val="18"/>
      <w:szCs w:val="18"/>
    </w:rPr>
  </w:style>
  <w:style w:type="paragraph" w:styleId="25">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4">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6">
    <w:name w:val="Title"/>
    <w:basedOn w:val="1"/>
    <w:link w:val="95"/>
    <w:qFormat/>
    <w:uiPriority w:val="0"/>
    <w:pPr>
      <w:spacing w:line="240" w:lineRule="auto"/>
      <w:ind w:firstLine="0" w:firstLineChars="0"/>
      <w:jc w:val="center"/>
    </w:pPr>
    <w:rPr>
      <w:rFonts w:ascii="Times New Roman" w:hAnsi="Times New Roman"/>
      <w:sz w:val="30"/>
    </w:rPr>
  </w:style>
  <w:style w:type="paragraph" w:styleId="37">
    <w:name w:val="annotation subject"/>
    <w:basedOn w:val="10"/>
    <w:next w:val="10"/>
    <w:link w:val="53"/>
    <w:unhideWhenUsed/>
    <w:qFormat/>
    <w:uiPriority w:val="0"/>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字符"/>
    <w:link w:val="34"/>
    <w:semiHidden/>
    <w:qFormat/>
    <w:uiPriority w:val="0"/>
    <w:rPr>
      <w:rFonts w:ascii="Arial Unicode MS" w:hAnsi="Arial Unicode MS" w:eastAsia="Arial Unicode MS" w:cs="Arial Unicode MS"/>
    </w:rPr>
  </w:style>
  <w:style w:type="character" w:customStyle="1" w:styleId="48">
    <w:name w:val="正文文本缩进 2 字符"/>
    <w:link w:val="22"/>
    <w:semiHidden/>
    <w:qFormat/>
    <w:uiPriority w:val="0"/>
    <w:rPr>
      <w:rFonts w:ascii="宋体" w:hAnsi="Times New Roman"/>
      <w:sz w:val="24"/>
    </w:rPr>
  </w:style>
  <w:style w:type="character" w:customStyle="1" w:styleId="49">
    <w:name w:val="wz1"/>
    <w:basedOn w:val="40"/>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字符"/>
    <w:qFormat/>
    <w:uiPriority w:val="0"/>
    <w:rPr>
      <w:b/>
      <w:bCs/>
      <w:kern w:val="2"/>
      <w:sz w:val="24"/>
      <w:szCs w:val="32"/>
    </w:rPr>
  </w:style>
  <w:style w:type="character" w:customStyle="1" w:styleId="53">
    <w:name w:val="批注主题 字符"/>
    <w:link w:val="37"/>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40"/>
    <w:qFormat/>
    <w:uiPriority w:val="0"/>
  </w:style>
  <w:style w:type="character" w:customStyle="1" w:styleId="57">
    <w:name w:val="s"/>
    <w:basedOn w:val="40"/>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字符"/>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13"/>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字符"/>
    <w:link w:val="9"/>
    <w:semiHidden/>
    <w:qFormat/>
    <w:uiPriority w:val="0"/>
    <w:rPr>
      <w:rFonts w:ascii="宋体" w:hAnsi="Times New Roman" w:eastAsia="宋体" w:cs="Times New Roman"/>
      <w:sz w:val="18"/>
      <w:szCs w:val="18"/>
    </w:rPr>
  </w:style>
  <w:style w:type="character" w:customStyle="1" w:styleId="65">
    <w:name w:val="content"/>
    <w:basedOn w:val="40"/>
    <w:qFormat/>
    <w:uiPriority w:val="0"/>
  </w:style>
  <w:style w:type="character" w:customStyle="1" w:styleId="66">
    <w:name w:val="页脚 字符1"/>
    <w:link w:val="24"/>
    <w:qFormat/>
    <w:uiPriority w:val="99"/>
    <w:rPr>
      <w:sz w:val="18"/>
      <w:szCs w:val="18"/>
    </w:rPr>
  </w:style>
  <w:style w:type="character" w:customStyle="1" w:styleId="67">
    <w:name w:val="标题 2 字符"/>
    <w:link w:val="4"/>
    <w:qFormat/>
    <w:uiPriority w:val="0"/>
    <w:rPr>
      <w:rFonts w:ascii="Cambria" w:hAnsi="Cambria" w:eastAsia="宋体"/>
      <w:b/>
      <w:bCs/>
      <w:kern w:val="2"/>
      <w:sz w:val="28"/>
      <w:szCs w:val="32"/>
    </w:rPr>
  </w:style>
  <w:style w:type="character" w:customStyle="1" w:styleId="68">
    <w:name w:val="正文文本 字符"/>
    <w:link w:val="13"/>
    <w:semiHidden/>
    <w:qFormat/>
    <w:uiPriority w:val="0"/>
    <w:rPr>
      <w:rFonts w:ascii="仿宋_GB2312" w:hAnsi="Times New Roman" w:eastAsia="仿宋_GB2312"/>
      <w:sz w:val="28"/>
    </w:rPr>
  </w:style>
  <w:style w:type="character" w:customStyle="1" w:styleId="69">
    <w:name w:val="style8"/>
    <w:basedOn w:val="40"/>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字符"/>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字符"/>
    <w:link w:val="33"/>
    <w:semiHidden/>
    <w:qFormat/>
    <w:uiPriority w:val="0"/>
    <w:rPr>
      <w:rFonts w:ascii="Times New Roman" w:hAnsi="Times New Roman"/>
      <w:b/>
      <w:bCs/>
      <w:color w:val="000000"/>
      <w:kern w:val="2"/>
      <w:sz w:val="28"/>
      <w:szCs w:val="24"/>
    </w:rPr>
  </w:style>
  <w:style w:type="character" w:customStyle="1" w:styleId="77">
    <w:name w:val="正文文本缩进 字符1"/>
    <w:link w:val="14"/>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字符"/>
    <w:link w:val="10"/>
    <w:semiHidden/>
    <w:qFormat/>
    <w:uiPriority w:val="0"/>
    <w:rPr>
      <w:rFonts w:ascii="Times New Roman" w:hAnsi="Times New Roman"/>
      <w:kern w:val="2"/>
      <w:sz w:val="21"/>
      <w:szCs w:val="24"/>
    </w:rPr>
  </w:style>
  <w:style w:type="character" w:customStyle="1" w:styleId="80">
    <w:name w:val="正文文本缩进 3 字符"/>
    <w:link w:val="30"/>
    <w:semiHidden/>
    <w:qFormat/>
    <w:uiPriority w:val="0"/>
    <w:rPr>
      <w:rFonts w:ascii="Times New Roman" w:hAnsi="Times New Roman" w:eastAsia="黑体"/>
      <w:color w:val="000000"/>
      <w:kern w:val="2"/>
      <w:sz w:val="24"/>
      <w:szCs w:val="24"/>
    </w:rPr>
  </w:style>
  <w:style w:type="character" w:customStyle="1" w:styleId="81">
    <w:name w:val="无间隔 字符"/>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40"/>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字符"/>
    <w:link w:val="23"/>
    <w:semiHidden/>
    <w:qFormat/>
    <w:uiPriority w:val="0"/>
    <w:rPr>
      <w:rFonts w:ascii="Times New Roman" w:hAnsi="Times New Roman" w:eastAsia="宋体" w:cs="Times New Roman"/>
      <w:sz w:val="18"/>
      <w:szCs w:val="18"/>
    </w:rPr>
  </w:style>
  <w:style w:type="character" w:customStyle="1" w:styleId="87">
    <w:name w:val="页眉 字符1"/>
    <w:link w:val="25"/>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40"/>
    <w:qFormat/>
    <w:uiPriority w:val="0"/>
  </w:style>
  <w:style w:type="character" w:customStyle="1" w:styleId="91">
    <w:name w:val="style1"/>
    <w:basedOn w:val="40"/>
    <w:qFormat/>
    <w:uiPriority w:val="0"/>
  </w:style>
  <w:style w:type="character" w:customStyle="1" w:styleId="92">
    <w:name w:val="纯文本 字符1"/>
    <w:link w:val="19"/>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字符"/>
    <w:link w:val="11"/>
    <w:semiHidden/>
    <w:qFormat/>
    <w:uiPriority w:val="0"/>
    <w:rPr>
      <w:rFonts w:ascii="楷体_GB2312" w:hAnsi="Times New Roman" w:eastAsia="楷体_GB2312"/>
      <w:b/>
      <w:color w:val="000000"/>
      <w:kern w:val="2"/>
      <w:sz w:val="30"/>
      <w:szCs w:val="24"/>
    </w:rPr>
  </w:style>
  <w:style w:type="character" w:customStyle="1" w:styleId="95">
    <w:name w:val="标题 字符"/>
    <w:link w:val="36"/>
    <w:qFormat/>
    <w:locked/>
    <w:uiPriority w:val="0"/>
    <w:rPr>
      <w:rFonts w:ascii="Times New Roman" w:hAnsi="Times New Roman"/>
      <w:kern w:val="2"/>
      <w:sz w:val="30"/>
      <w:szCs w:val="24"/>
    </w:rPr>
  </w:style>
  <w:style w:type="character" w:customStyle="1" w:styleId="96">
    <w:name w:val="标题 4 字符"/>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字符"/>
    <w:link w:val="21"/>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5"/>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customStyle="1" w:styleId="165">
    <w:name w:val="trs_editor"/>
    <w:basedOn w:val="1"/>
    <w:qFormat/>
    <w:uiPriority w:val="0"/>
    <w:pPr>
      <w:widowControl/>
      <w:spacing w:before="100" w:beforeAutospacing="1" w:after="100" w:afterAutospacing="1"/>
      <w:jc w:val="left"/>
    </w:pPr>
    <w:rPr>
      <w:rFonts w:ascii="宋体" w:hAnsi="宋体" w:cs="宋体"/>
      <w:kern w:val="0"/>
    </w:rPr>
  </w:style>
  <w:style w:type="paragraph" w:styleId="166">
    <w:name w:val="List Paragraph"/>
    <w:basedOn w:val="1"/>
    <w:qFormat/>
    <w:uiPriority w:val="34"/>
    <w:pPr>
      <w:ind w:firstLine="420"/>
    </w:pPr>
    <w:rPr>
      <w:szCs w:val="22"/>
    </w:rPr>
  </w:style>
  <w:style w:type="paragraph" w:customStyle="1" w:styleId="167">
    <w:name w:val="正文2"/>
    <w:basedOn w:val="1"/>
    <w:qFormat/>
    <w:uiPriority w:val="0"/>
    <w:pPr>
      <w:spacing w:before="156"/>
      <w:ind w:firstLine="510"/>
    </w:pPr>
    <w:rPr>
      <w:rFonts w:ascii="MT Extra" w:hAnsi="MT Extra" w:cs="MT Extra"/>
    </w:rPr>
  </w:style>
  <w:style w:type="paragraph" w:customStyle="1" w:styleId="168">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69">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0">
    <w:name w:val="标题 3 字符1"/>
    <w:link w:val="5"/>
    <w:qFormat/>
    <w:uiPriority w:val="0"/>
    <w:rPr>
      <w:rFonts w:ascii="Times New Roman" w:hAnsi="Times New Roman"/>
      <w:b/>
      <w:bCs/>
      <w:kern w:val="2"/>
      <w:sz w:val="21"/>
      <w:szCs w:val="32"/>
    </w:rPr>
  </w:style>
  <w:style w:type="paragraph" w:customStyle="1" w:styleId="171">
    <w:name w:val="_Style 3"/>
    <w:basedOn w:val="1"/>
    <w:next w:val="166"/>
    <w:qFormat/>
    <w:uiPriority w:val="34"/>
    <w:pPr>
      <w:ind w:firstLine="420"/>
    </w:pPr>
    <w:rPr>
      <w:szCs w:val="22"/>
    </w:rPr>
  </w:style>
  <w:style w:type="paragraph" w:customStyle="1" w:styleId="172">
    <w:name w:val="正文1"/>
    <w:basedOn w:val="1"/>
    <w:uiPriority w:val="0"/>
    <w:pPr>
      <w:widowControl/>
      <w:spacing w:after="200" w:line="300" w:lineRule="atLeast"/>
      <w:jc w:val="left"/>
    </w:pPr>
    <w:rPr>
      <w:rFonts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6651</Words>
  <Characters>37913</Characters>
  <Lines>315</Lines>
  <Paragraphs>88</Paragraphs>
  <TotalTime>22</TotalTime>
  <ScaleCrop>false</ScaleCrop>
  <LinksUpToDate>false</LinksUpToDate>
  <CharactersWithSpaces>44476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2019-06-11T08:29:00Z</dcterms:created>
  <dc:creator>Administrator</dc:creator>
  <cp:lastModifiedBy>TZ</cp:lastModifiedBy>
  <cp:lastPrinted>2018-11-09T06:35:00Z</cp:lastPrinted>
  <dcterms:modified xsi:type="dcterms:W3CDTF">2019-07-02T09:39:18Z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