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 w:lineRule="exact"/>
        <w:rPr>
          <w:rFonts w:ascii="宋体" w:cs="宋体"/>
          <w:color w:val="auto"/>
          <w:sz w:val="24"/>
          <w:szCs w:val="24"/>
          <w:highlight w:val="none"/>
        </w:rPr>
      </w:pPr>
      <w:bookmarkStart w:id="0" w:name="page1"/>
      <w:bookmarkEnd w:id="0"/>
    </w:p>
    <w:p>
      <w:pPr>
        <w:spacing w:line="200" w:lineRule="exact"/>
        <w:rPr>
          <w:rFonts w:ascii="宋体" w:cs="宋体"/>
          <w:color w:val="auto"/>
          <w:sz w:val="24"/>
          <w:szCs w:val="24"/>
          <w:highlight w:val="none"/>
        </w:rPr>
      </w:pPr>
    </w:p>
    <w:p>
      <w:pPr>
        <w:spacing w:line="200" w:lineRule="exact"/>
        <w:rPr>
          <w:rFonts w:ascii="宋体" w:cs="宋体"/>
          <w:color w:val="auto"/>
          <w:sz w:val="24"/>
          <w:szCs w:val="24"/>
          <w:highlight w:val="none"/>
        </w:rPr>
      </w:pPr>
    </w:p>
    <w:p>
      <w:pPr>
        <w:spacing w:line="200" w:lineRule="exact"/>
        <w:rPr>
          <w:rFonts w:ascii="宋体" w:cs="宋体"/>
          <w:color w:val="auto"/>
          <w:sz w:val="24"/>
          <w:szCs w:val="24"/>
          <w:highlight w:val="none"/>
        </w:rPr>
      </w:pPr>
    </w:p>
    <w:p>
      <w:pPr>
        <w:spacing w:line="360" w:lineRule="auto"/>
        <w:jc w:val="center"/>
        <w:rPr>
          <w:rFonts w:ascii="宋体" w:cs="宋体"/>
          <w:b/>
          <w:color w:val="auto"/>
          <w:spacing w:val="-6"/>
          <w:sz w:val="52"/>
          <w:szCs w:val="52"/>
          <w:highlight w:val="none"/>
        </w:rPr>
      </w:pPr>
      <w:r>
        <w:rPr>
          <w:rFonts w:hint="eastAsia" w:ascii="宋体" w:hAnsi="宋体" w:cs="宋体"/>
          <w:b/>
          <w:color w:val="auto"/>
          <w:spacing w:val="-6"/>
          <w:sz w:val="52"/>
          <w:szCs w:val="52"/>
          <w:highlight w:val="none"/>
        </w:rPr>
        <w:t>浙江农林大学</w:t>
      </w:r>
    </w:p>
    <w:p>
      <w:pPr>
        <w:spacing w:line="360" w:lineRule="auto"/>
        <w:jc w:val="center"/>
        <w:rPr>
          <w:rFonts w:ascii="宋体" w:cs="宋体"/>
          <w:b/>
          <w:color w:val="auto"/>
          <w:spacing w:val="-6"/>
          <w:sz w:val="96"/>
          <w:szCs w:val="96"/>
          <w:highlight w:val="none"/>
        </w:rPr>
      </w:pPr>
      <w:r>
        <w:rPr>
          <w:rFonts w:hint="eastAsia" w:ascii="宋体" w:hAnsi="宋体" w:cs="宋体"/>
          <w:b/>
          <w:color w:val="auto"/>
          <w:spacing w:val="-6"/>
          <w:sz w:val="52"/>
          <w:szCs w:val="52"/>
          <w:highlight w:val="none"/>
        </w:rPr>
        <w:t>集贤东湖食堂周边道路工程</w:t>
      </w:r>
    </w:p>
    <w:p>
      <w:pPr>
        <w:spacing w:line="360" w:lineRule="auto"/>
        <w:jc w:val="center"/>
        <w:rPr>
          <w:rFonts w:ascii="宋体" w:cs="宋体"/>
          <w:b/>
          <w:color w:val="auto"/>
          <w:spacing w:val="-6"/>
          <w:sz w:val="72"/>
          <w:szCs w:val="72"/>
          <w:highlight w:val="none"/>
        </w:rPr>
      </w:pPr>
    </w:p>
    <w:p>
      <w:pPr>
        <w:spacing w:line="360" w:lineRule="auto"/>
        <w:jc w:val="center"/>
        <w:rPr>
          <w:rFonts w:ascii="宋体" w:cs="宋体"/>
          <w:b/>
          <w:color w:val="auto"/>
          <w:spacing w:val="-6"/>
          <w:sz w:val="72"/>
          <w:szCs w:val="72"/>
          <w:highlight w:val="none"/>
        </w:rPr>
      </w:pPr>
    </w:p>
    <w:p>
      <w:pPr>
        <w:spacing w:line="360" w:lineRule="auto"/>
        <w:jc w:val="center"/>
        <w:rPr>
          <w:rFonts w:ascii="宋体" w:cs="宋体"/>
          <w:b/>
          <w:color w:val="auto"/>
          <w:spacing w:val="-6"/>
          <w:sz w:val="72"/>
          <w:szCs w:val="72"/>
          <w:highlight w:val="none"/>
        </w:rPr>
      </w:pPr>
      <w:r>
        <w:rPr>
          <w:rFonts w:hint="eastAsia" w:ascii="宋体" w:hAnsi="宋体" w:cs="宋体"/>
          <w:b/>
          <w:color w:val="auto"/>
          <w:spacing w:val="-6"/>
          <w:sz w:val="72"/>
          <w:szCs w:val="72"/>
          <w:highlight w:val="none"/>
        </w:rPr>
        <w:t>竞争性磋商文件</w:t>
      </w:r>
    </w:p>
    <w:p>
      <w:pPr>
        <w:spacing w:line="360" w:lineRule="auto"/>
        <w:jc w:val="center"/>
        <w:rPr>
          <w:rFonts w:ascii="宋体" w:cs="宋体"/>
          <w:color w:val="auto"/>
          <w:sz w:val="44"/>
          <w:szCs w:val="44"/>
          <w:highlight w:val="none"/>
        </w:rPr>
      </w:pPr>
    </w:p>
    <w:p>
      <w:pPr>
        <w:spacing w:line="360" w:lineRule="auto"/>
        <w:jc w:val="center"/>
        <w:rPr>
          <w:rFonts w:ascii="宋体" w:cs="宋体"/>
          <w:color w:val="auto"/>
          <w:sz w:val="44"/>
          <w:szCs w:val="44"/>
          <w:highlight w:val="none"/>
        </w:rPr>
      </w:pPr>
    </w:p>
    <w:p>
      <w:pPr>
        <w:spacing w:line="360" w:lineRule="auto"/>
        <w:jc w:val="both"/>
        <w:rPr>
          <w:rFonts w:ascii="宋体" w:cs="宋体"/>
          <w:color w:val="auto"/>
          <w:sz w:val="44"/>
          <w:szCs w:val="44"/>
          <w:highlight w:val="none"/>
        </w:rPr>
      </w:pPr>
    </w:p>
    <w:p>
      <w:pPr>
        <w:rPr>
          <w:rFonts w:ascii="宋体" w:cs="宋体"/>
          <w:color w:val="auto"/>
          <w:sz w:val="21"/>
          <w:szCs w:val="24"/>
          <w:highlight w:val="none"/>
        </w:rPr>
      </w:pPr>
    </w:p>
    <w:p>
      <w:pPr>
        <w:snapToGrid w:val="0"/>
        <w:spacing w:line="360" w:lineRule="auto"/>
        <w:ind w:firstLine="643" w:firstLineChars="200"/>
        <w:rPr>
          <w:rFonts w:ascii="宋体" w:cs="宋体"/>
          <w:b/>
          <w:bCs/>
          <w:color w:val="auto"/>
          <w:sz w:val="32"/>
          <w:szCs w:val="32"/>
          <w:highlight w:val="none"/>
        </w:rPr>
      </w:pPr>
      <w:r>
        <w:rPr>
          <w:rFonts w:hint="eastAsia" w:ascii="宋体" w:hAnsi="宋体" w:cs="宋体"/>
          <w:b/>
          <w:bCs/>
          <w:color w:val="auto"/>
          <w:sz w:val="32"/>
          <w:szCs w:val="32"/>
          <w:highlight w:val="none"/>
        </w:rPr>
        <w:t>招标项目：浙江农林大学集贤东湖食堂周边道路工程</w:t>
      </w:r>
    </w:p>
    <w:p>
      <w:pPr>
        <w:snapToGrid w:val="0"/>
        <w:spacing w:line="360" w:lineRule="auto"/>
        <w:ind w:firstLine="643" w:firstLineChars="200"/>
        <w:rPr>
          <w:rFonts w:ascii="宋体" w:cs="宋体"/>
          <w:b/>
          <w:bCs/>
          <w:color w:val="auto"/>
          <w:sz w:val="32"/>
          <w:szCs w:val="32"/>
          <w:highlight w:val="none"/>
        </w:rPr>
      </w:pPr>
      <w:r>
        <w:rPr>
          <w:rFonts w:hint="eastAsia" w:ascii="宋体" w:hAnsi="宋体" w:cs="宋体"/>
          <w:b/>
          <w:bCs/>
          <w:color w:val="auto"/>
          <w:sz w:val="32"/>
          <w:szCs w:val="32"/>
          <w:highlight w:val="none"/>
        </w:rPr>
        <w:t>确认书号：</w:t>
      </w:r>
      <w:r>
        <w:rPr>
          <w:rFonts w:ascii="宋体" w:hAnsi="宋体" w:cs="宋体"/>
          <w:b/>
          <w:bCs/>
          <w:color w:val="auto"/>
          <w:sz w:val="32"/>
          <w:szCs w:val="32"/>
          <w:highlight w:val="none"/>
        </w:rPr>
        <w:t>[2019]33637</w:t>
      </w:r>
      <w:r>
        <w:rPr>
          <w:rFonts w:hint="eastAsia" w:ascii="宋体" w:hAnsi="宋体" w:cs="宋体"/>
          <w:b/>
          <w:bCs/>
          <w:color w:val="auto"/>
          <w:sz w:val="32"/>
          <w:szCs w:val="32"/>
          <w:highlight w:val="none"/>
        </w:rPr>
        <w:t>号</w:t>
      </w:r>
    </w:p>
    <w:p>
      <w:pPr>
        <w:snapToGrid w:val="0"/>
        <w:spacing w:line="360" w:lineRule="auto"/>
        <w:ind w:firstLine="643" w:firstLineChars="200"/>
        <w:rPr>
          <w:rFonts w:hint="eastAsia" w:asci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ascii="宋体" w:hAnsi="宋体" w:cs="宋体"/>
          <w:b/>
          <w:bCs/>
          <w:color w:val="auto"/>
          <w:sz w:val="32"/>
          <w:szCs w:val="32"/>
          <w:highlight w:val="none"/>
        </w:rPr>
        <w:t>ZJWSBJ-NL-</w:t>
      </w:r>
      <w:r>
        <w:rPr>
          <w:rFonts w:hint="eastAsia" w:ascii="宋体" w:hAnsi="宋体" w:cs="宋体"/>
          <w:b/>
          <w:bCs/>
          <w:color w:val="auto"/>
          <w:sz w:val="32"/>
          <w:szCs w:val="32"/>
          <w:highlight w:val="none"/>
          <w:lang w:eastAsia="zh-CN"/>
        </w:rPr>
        <w:t>2019021C(1)</w:t>
      </w:r>
    </w:p>
    <w:p>
      <w:pPr>
        <w:snapToGrid w:val="0"/>
        <w:spacing w:line="360" w:lineRule="auto"/>
        <w:ind w:firstLine="643" w:firstLineChars="200"/>
        <w:rPr>
          <w:rFonts w:ascii="宋体" w:cs="宋体"/>
          <w:b/>
          <w:bCs/>
          <w:color w:val="auto"/>
          <w:sz w:val="32"/>
          <w:szCs w:val="32"/>
          <w:highlight w:val="none"/>
        </w:rPr>
      </w:pPr>
      <w:r>
        <w:rPr>
          <w:rFonts w:hint="eastAsia" w:ascii="宋体" w:hAnsi="宋体" w:cs="宋体"/>
          <w:b/>
          <w:bCs/>
          <w:color w:val="auto"/>
          <w:sz w:val="32"/>
          <w:szCs w:val="32"/>
          <w:highlight w:val="none"/>
        </w:rPr>
        <w:t>招</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标</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人：浙江农林大学</w:t>
      </w:r>
    </w:p>
    <w:p>
      <w:pPr>
        <w:snapToGrid w:val="0"/>
        <w:spacing w:line="360" w:lineRule="auto"/>
        <w:ind w:firstLine="643" w:firstLineChars="200"/>
        <w:rPr>
          <w:rFonts w:asci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spacing w:line="360" w:lineRule="auto"/>
        <w:ind w:firstLine="643" w:firstLineChars="200"/>
        <w:rPr>
          <w:rFonts w:ascii="宋体" w:cs="宋体"/>
          <w:color w:val="auto"/>
          <w:highlight w:val="none"/>
        </w:rPr>
        <w:sectPr>
          <w:headerReference r:id="rId4" w:type="first"/>
          <w:headerReference r:id="rId3" w:type="default"/>
          <w:footerReference r:id="rId5" w:type="default"/>
          <w:pgSz w:w="11900" w:h="16838"/>
          <w:pgMar w:top="1440" w:right="1440" w:bottom="401" w:left="1440" w:header="567" w:footer="567" w:gutter="0"/>
          <w:cols w:equalWidth="0" w:num="1">
            <w:col w:w="9026"/>
          </w:cols>
        </w:sectPr>
      </w:pPr>
      <w:r>
        <w:rPr>
          <w:rFonts w:hint="eastAsia" w:ascii="宋体" w:hAnsi="宋体" w:cs="宋体"/>
          <w:b/>
          <w:bCs/>
          <w:color w:val="auto"/>
          <w:sz w:val="32"/>
          <w:szCs w:val="32"/>
          <w:highlight w:val="none"/>
        </w:rPr>
        <w:t>时</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间：二〇一九年七月</w:t>
      </w:r>
    </w:p>
    <w:p>
      <w:pPr>
        <w:spacing w:before="0" w:beforeLines="0" w:after="0" w:afterLines="0" w:line="240" w:lineRule="auto"/>
        <w:ind w:left="0" w:leftChars="0" w:right="0" w:rightChars="0" w:firstLine="0" w:firstLineChars="0"/>
        <w:jc w:val="center"/>
        <w:rPr>
          <w:rFonts w:ascii="宋体" w:hAnsi="宋体" w:eastAsia="宋体"/>
          <w:b w:val="0"/>
          <w:bCs w:val="0"/>
          <w:sz w:val="44"/>
          <w:szCs w:val="48"/>
        </w:rPr>
      </w:pPr>
      <w:bookmarkStart w:id="1" w:name="page2"/>
      <w:bookmarkEnd w:id="1"/>
      <w:bookmarkStart w:id="2" w:name="_Toc19345_WPSOffice_Type1"/>
      <w:r>
        <w:rPr>
          <w:rFonts w:ascii="宋体" w:hAnsi="宋体" w:eastAsia="宋体"/>
          <w:b w:val="0"/>
          <w:bCs w:val="0"/>
          <w:sz w:val="44"/>
          <w:szCs w:val="48"/>
        </w:rPr>
        <w:t>目录</w:t>
      </w:r>
    </w:p>
    <w:p>
      <w:pPr>
        <w:pStyle w:val="2"/>
      </w:pPr>
    </w:p>
    <w:p>
      <w:pPr>
        <w:pStyle w:val="46"/>
        <w:keepNext w:val="0"/>
        <w:keepLines w:val="0"/>
        <w:pageBreakBefore w:val="0"/>
        <w:widowControl/>
        <w:tabs>
          <w:tab w:val="right" w:leader="dot" w:pos="9754"/>
        </w:tabs>
        <w:kinsoku/>
        <w:wordWrap/>
        <w:overflowPunct/>
        <w:topLinePunct w:val="0"/>
        <w:autoSpaceDE/>
        <w:autoSpaceDN/>
        <w:bidi w:val="0"/>
        <w:adjustRightInd/>
        <w:snapToGrid w:val="0"/>
        <w:spacing w:line="360" w:lineRule="auto"/>
        <w:textAlignment w:val="auto"/>
        <w:rPr>
          <w:sz w:val="32"/>
          <w:szCs w:val="32"/>
        </w:rPr>
      </w:pPr>
      <w:r>
        <w:rPr>
          <w:sz w:val="32"/>
          <w:szCs w:val="32"/>
        </w:rPr>
        <w:fldChar w:fldCharType="begin"/>
      </w:r>
      <w:r>
        <w:rPr>
          <w:sz w:val="32"/>
          <w:szCs w:val="32"/>
        </w:rPr>
        <w:instrText xml:space="preserve"> HYPERLINK \l _Toc13254_WPSOffice_Level1 </w:instrText>
      </w:r>
      <w:r>
        <w:rPr>
          <w:sz w:val="32"/>
          <w:szCs w:val="32"/>
        </w:rPr>
        <w:fldChar w:fldCharType="separate"/>
      </w:r>
      <w:r>
        <w:rPr>
          <w:rFonts w:hint="eastAsia" w:ascii="宋体" w:hAnsi="宋体" w:eastAsia="宋体" w:cs="宋体"/>
          <w:sz w:val="32"/>
          <w:szCs w:val="32"/>
        </w:rPr>
        <w:t>第一章</w:t>
      </w:r>
      <w:r>
        <w:rPr>
          <w:rFonts w:ascii="宋体" w:hAnsi="宋体" w:eastAsia="宋体" w:cs="宋体"/>
          <w:sz w:val="32"/>
          <w:szCs w:val="32"/>
        </w:rPr>
        <w:t xml:space="preserve">  </w:t>
      </w:r>
      <w:r>
        <w:rPr>
          <w:rFonts w:hint="eastAsia" w:ascii="宋体" w:hAnsi="宋体" w:eastAsia="宋体" w:cs="宋体"/>
          <w:sz w:val="32"/>
          <w:szCs w:val="32"/>
        </w:rPr>
        <w:t>竞争性磋商公告</w:t>
      </w:r>
      <w:r>
        <w:rPr>
          <w:sz w:val="32"/>
          <w:szCs w:val="32"/>
        </w:rPr>
        <w:tab/>
      </w:r>
      <w:bookmarkStart w:id="3" w:name="_Toc13254_WPSOffice_Level1Page"/>
      <w:r>
        <w:rPr>
          <w:sz w:val="32"/>
          <w:szCs w:val="32"/>
        </w:rPr>
        <w:t>3</w:t>
      </w:r>
      <w:bookmarkEnd w:id="3"/>
      <w:r>
        <w:rPr>
          <w:sz w:val="32"/>
          <w:szCs w:val="32"/>
        </w:rPr>
        <w:fldChar w:fldCharType="end"/>
      </w:r>
    </w:p>
    <w:p>
      <w:pPr>
        <w:pStyle w:val="46"/>
        <w:keepNext w:val="0"/>
        <w:keepLines w:val="0"/>
        <w:pageBreakBefore w:val="0"/>
        <w:widowControl/>
        <w:tabs>
          <w:tab w:val="right" w:leader="dot" w:pos="9754"/>
        </w:tabs>
        <w:kinsoku/>
        <w:wordWrap/>
        <w:overflowPunct/>
        <w:topLinePunct w:val="0"/>
        <w:autoSpaceDE/>
        <w:autoSpaceDN/>
        <w:bidi w:val="0"/>
        <w:adjustRightInd/>
        <w:snapToGrid w:val="0"/>
        <w:spacing w:line="360" w:lineRule="auto"/>
        <w:textAlignment w:val="auto"/>
        <w:rPr>
          <w:sz w:val="32"/>
          <w:szCs w:val="32"/>
        </w:rPr>
      </w:pPr>
      <w:r>
        <w:rPr>
          <w:sz w:val="32"/>
          <w:szCs w:val="32"/>
        </w:rPr>
        <w:fldChar w:fldCharType="begin"/>
      </w:r>
      <w:r>
        <w:rPr>
          <w:sz w:val="32"/>
          <w:szCs w:val="32"/>
        </w:rPr>
        <w:instrText xml:space="preserve"> HYPERLINK \l _Toc1045_WPSOffice_Level1 </w:instrText>
      </w:r>
      <w:r>
        <w:rPr>
          <w:sz w:val="32"/>
          <w:szCs w:val="32"/>
        </w:rPr>
        <w:fldChar w:fldCharType="separate"/>
      </w:r>
      <w:r>
        <w:rPr>
          <w:rFonts w:hint="eastAsia" w:ascii="宋体" w:hAnsi="宋体" w:eastAsia="宋体" w:cs="宋体"/>
          <w:sz w:val="32"/>
          <w:szCs w:val="32"/>
        </w:rPr>
        <w:t>第二章</w:t>
      </w:r>
      <w:r>
        <w:rPr>
          <w:rFonts w:ascii="宋体" w:hAnsi="宋体" w:eastAsia="宋体" w:cs="宋体"/>
          <w:sz w:val="32"/>
          <w:szCs w:val="32"/>
        </w:rPr>
        <w:t xml:space="preserve">  </w:t>
      </w:r>
      <w:r>
        <w:rPr>
          <w:rFonts w:hint="eastAsia" w:ascii="宋体" w:hAnsi="宋体" w:eastAsia="宋体" w:cs="宋体"/>
          <w:sz w:val="32"/>
          <w:szCs w:val="32"/>
        </w:rPr>
        <w:t>供应商须知前附表</w:t>
      </w:r>
      <w:r>
        <w:rPr>
          <w:sz w:val="32"/>
          <w:szCs w:val="32"/>
        </w:rPr>
        <w:tab/>
      </w:r>
      <w:bookmarkStart w:id="4" w:name="_Toc1045_WPSOffice_Level1Page"/>
      <w:r>
        <w:rPr>
          <w:sz w:val="32"/>
          <w:szCs w:val="32"/>
        </w:rPr>
        <w:t>6</w:t>
      </w:r>
      <w:bookmarkEnd w:id="4"/>
      <w:r>
        <w:rPr>
          <w:sz w:val="32"/>
          <w:szCs w:val="32"/>
        </w:rPr>
        <w:fldChar w:fldCharType="end"/>
      </w:r>
    </w:p>
    <w:p>
      <w:pPr>
        <w:pStyle w:val="46"/>
        <w:keepNext w:val="0"/>
        <w:keepLines w:val="0"/>
        <w:pageBreakBefore w:val="0"/>
        <w:widowControl/>
        <w:tabs>
          <w:tab w:val="right" w:leader="dot" w:pos="9754"/>
        </w:tabs>
        <w:kinsoku/>
        <w:wordWrap/>
        <w:overflowPunct/>
        <w:topLinePunct w:val="0"/>
        <w:autoSpaceDE/>
        <w:autoSpaceDN/>
        <w:bidi w:val="0"/>
        <w:adjustRightInd/>
        <w:snapToGrid w:val="0"/>
        <w:spacing w:line="360" w:lineRule="auto"/>
        <w:textAlignment w:val="auto"/>
        <w:rPr>
          <w:sz w:val="32"/>
          <w:szCs w:val="32"/>
        </w:rPr>
      </w:pPr>
      <w:r>
        <w:rPr>
          <w:sz w:val="32"/>
          <w:szCs w:val="32"/>
        </w:rPr>
        <w:fldChar w:fldCharType="begin"/>
      </w:r>
      <w:r>
        <w:rPr>
          <w:sz w:val="32"/>
          <w:szCs w:val="32"/>
        </w:rPr>
        <w:instrText xml:space="preserve"> HYPERLINK \l _Toc22854_WPSOffice_Level1 </w:instrText>
      </w:r>
      <w:r>
        <w:rPr>
          <w:sz w:val="32"/>
          <w:szCs w:val="32"/>
        </w:rPr>
        <w:fldChar w:fldCharType="separate"/>
      </w:r>
      <w:r>
        <w:rPr>
          <w:rFonts w:hint="eastAsia" w:ascii="宋体" w:hAnsi="宋体" w:eastAsia="宋体" w:cs="宋体"/>
          <w:sz w:val="32"/>
          <w:szCs w:val="32"/>
        </w:rPr>
        <w:t>第三章</w:t>
      </w:r>
      <w:r>
        <w:rPr>
          <w:rFonts w:ascii="宋体" w:hAnsi="宋体" w:eastAsia="宋体" w:cs="宋体"/>
          <w:sz w:val="32"/>
          <w:szCs w:val="32"/>
        </w:rPr>
        <w:t xml:space="preserve">  </w:t>
      </w:r>
      <w:r>
        <w:rPr>
          <w:rFonts w:hint="eastAsia" w:ascii="宋体" w:hAnsi="宋体" w:eastAsia="宋体" w:cs="宋体"/>
          <w:sz w:val="32"/>
          <w:szCs w:val="32"/>
        </w:rPr>
        <w:t>供应商须知</w:t>
      </w:r>
      <w:r>
        <w:rPr>
          <w:sz w:val="32"/>
          <w:szCs w:val="32"/>
        </w:rPr>
        <w:tab/>
      </w:r>
      <w:bookmarkStart w:id="5" w:name="_Toc22854_WPSOffice_Level1Page"/>
      <w:r>
        <w:rPr>
          <w:sz w:val="32"/>
          <w:szCs w:val="32"/>
        </w:rPr>
        <w:t>9</w:t>
      </w:r>
      <w:bookmarkEnd w:id="5"/>
      <w:r>
        <w:rPr>
          <w:sz w:val="32"/>
          <w:szCs w:val="32"/>
        </w:rPr>
        <w:fldChar w:fldCharType="end"/>
      </w:r>
    </w:p>
    <w:p>
      <w:pPr>
        <w:pStyle w:val="46"/>
        <w:keepNext w:val="0"/>
        <w:keepLines w:val="0"/>
        <w:pageBreakBefore w:val="0"/>
        <w:widowControl/>
        <w:tabs>
          <w:tab w:val="right" w:leader="dot" w:pos="9754"/>
        </w:tabs>
        <w:kinsoku/>
        <w:wordWrap/>
        <w:overflowPunct/>
        <w:topLinePunct w:val="0"/>
        <w:autoSpaceDE/>
        <w:autoSpaceDN/>
        <w:bidi w:val="0"/>
        <w:adjustRightInd/>
        <w:snapToGrid w:val="0"/>
        <w:spacing w:line="360" w:lineRule="auto"/>
        <w:textAlignment w:val="auto"/>
        <w:rPr>
          <w:sz w:val="32"/>
          <w:szCs w:val="32"/>
        </w:rPr>
      </w:pPr>
      <w:r>
        <w:rPr>
          <w:sz w:val="32"/>
          <w:szCs w:val="32"/>
        </w:rPr>
        <w:fldChar w:fldCharType="begin"/>
      </w:r>
      <w:r>
        <w:rPr>
          <w:sz w:val="32"/>
          <w:szCs w:val="32"/>
        </w:rPr>
        <w:instrText xml:space="preserve"> HYPERLINK \l _Toc7878_WPSOffice_Level1 </w:instrText>
      </w:r>
      <w:r>
        <w:rPr>
          <w:sz w:val="32"/>
          <w:szCs w:val="32"/>
        </w:rPr>
        <w:fldChar w:fldCharType="separate"/>
      </w:r>
      <w:r>
        <w:rPr>
          <w:rFonts w:hint="eastAsia" w:ascii="宋体" w:hAnsi="宋体" w:eastAsia="宋体" w:cs="宋体"/>
          <w:sz w:val="32"/>
          <w:szCs w:val="32"/>
        </w:rPr>
        <w:t>第四章</w:t>
      </w:r>
      <w:r>
        <w:rPr>
          <w:rFonts w:ascii="宋体" w:hAnsi="宋体" w:eastAsia="宋体" w:cs="宋体"/>
          <w:sz w:val="32"/>
          <w:szCs w:val="32"/>
        </w:rPr>
        <w:t xml:space="preserve">  </w:t>
      </w:r>
      <w:r>
        <w:rPr>
          <w:rFonts w:hint="eastAsia" w:ascii="宋体" w:hAnsi="宋体" w:eastAsia="宋体" w:cs="宋体"/>
          <w:sz w:val="32"/>
          <w:szCs w:val="32"/>
        </w:rPr>
        <w:t>采购内容及技术要求</w:t>
      </w:r>
      <w:r>
        <w:rPr>
          <w:sz w:val="32"/>
          <w:szCs w:val="32"/>
        </w:rPr>
        <w:tab/>
      </w:r>
      <w:bookmarkStart w:id="6" w:name="_Toc7878_WPSOffice_Level1Page"/>
      <w:r>
        <w:rPr>
          <w:sz w:val="32"/>
          <w:szCs w:val="32"/>
        </w:rPr>
        <w:t>21</w:t>
      </w:r>
      <w:bookmarkEnd w:id="6"/>
      <w:r>
        <w:rPr>
          <w:sz w:val="32"/>
          <w:szCs w:val="32"/>
        </w:rPr>
        <w:fldChar w:fldCharType="end"/>
      </w:r>
    </w:p>
    <w:p>
      <w:pPr>
        <w:pStyle w:val="46"/>
        <w:keepNext w:val="0"/>
        <w:keepLines w:val="0"/>
        <w:pageBreakBefore w:val="0"/>
        <w:widowControl/>
        <w:tabs>
          <w:tab w:val="right" w:leader="dot" w:pos="9754"/>
        </w:tabs>
        <w:kinsoku/>
        <w:wordWrap/>
        <w:overflowPunct/>
        <w:topLinePunct w:val="0"/>
        <w:autoSpaceDE/>
        <w:autoSpaceDN/>
        <w:bidi w:val="0"/>
        <w:adjustRightInd/>
        <w:snapToGrid w:val="0"/>
        <w:spacing w:line="360" w:lineRule="auto"/>
        <w:textAlignment w:val="auto"/>
        <w:rPr>
          <w:sz w:val="32"/>
          <w:szCs w:val="32"/>
        </w:rPr>
      </w:pPr>
      <w:r>
        <w:rPr>
          <w:sz w:val="32"/>
          <w:szCs w:val="32"/>
        </w:rPr>
        <w:fldChar w:fldCharType="begin"/>
      </w:r>
      <w:r>
        <w:rPr>
          <w:sz w:val="32"/>
          <w:szCs w:val="32"/>
        </w:rPr>
        <w:instrText xml:space="preserve"> HYPERLINK \l _Toc30910_WPSOffice_Level1 </w:instrText>
      </w:r>
      <w:r>
        <w:rPr>
          <w:sz w:val="32"/>
          <w:szCs w:val="32"/>
        </w:rPr>
        <w:fldChar w:fldCharType="separate"/>
      </w:r>
      <w:r>
        <w:rPr>
          <w:rFonts w:hint="eastAsia" w:ascii="宋体" w:hAnsi="宋体" w:eastAsia="宋体" w:cs="宋体"/>
          <w:sz w:val="32"/>
          <w:szCs w:val="32"/>
        </w:rPr>
        <w:t>第五章</w:t>
      </w:r>
      <w:r>
        <w:rPr>
          <w:rFonts w:ascii="宋体" w:hAnsi="宋体" w:eastAsia="宋体" w:cs="宋体"/>
          <w:sz w:val="32"/>
          <w:szCs w:val="32"/>
        </w:rPr>
        <w:t xml:space="preserve">  </w:t>
      </w:r>
      <w:r>
        <w:rPr>
          <w:rFonts w:hint="eastAsia" w:ascii="宋体" w:hAnsi="宋体" w:eastAsia="宋体" w:cs="宋体"/>
          <w:sz w:val="32"/>
          <w:szCs w:val="32"/>
        </w:rPr>
        <w:t>合同条款</w:t>
      </w:r>
      <w:r>
        <w:rPr>
          <w:sz w:val="32"/>
          <w:szCs w:val="32"/>
        </w:rPr>
        <w:tab/>
      </w:r>
      <w:bookmarkStart w:id="7" w:name="_Toc30910_WPSOffice_Level1Page"/>
      <w:r>
        <w:rPr>
          <w:sz w:val="32"/>
          <w:szCs w:val="32"/>
        </w:rPr>
        <w:t>27</w:t>
      </w:r>
      <w:bookmarkEnd w:id="7"/>
      <w:r>
        <w:rPr>
          <w:sz w:val="32"/>
          <w:szCs w:val="32"/>
        </w:rPr>
        <w:fldChar w:fldCharType="end"/>
      </w:r>
    </w:p>
    <w:p>
      <w:pPr>
        <w:pStyle w:val="46"/>
        <w:keepNext w:val="0"/>
        <w:keepLines w:val="0"/>
        <w:pageBreakBefore w:val="0"/>
        <w:widowControl/>
        <w:tabs>
          <w:tab w:val="right" w:leader="dot" w:pos="9754"/>
        </w:tabs>
        <w:kinsoku/>
        <w:wordWrap/>
        <w:overflowPunct/>
        <w:topLinePunct w:val="0"/>
        <w:autoSpaceDE/>
        <w:autoSpaceDN/>
        <w:bidi w:val="0"/>
        <w:adjustRightInd/>
        <w:snapToGrid w:val="0"/>
        <w:spacing w:line="360" w:lineRule="auto"/>
        <w:textAlignment w:val="auto"/>
        <w:rPr>
          <w:sz w:val="32"/>
          <w:szCs w:val="32"/>
        </w:rPr>
      </w:pPr>
      <w:r>
        <w:rPr>
          <w:sz w:val="32"/>
          <w:szCs w:val="32"/>
        </w:rPr>
        <w:fldChar w:fldCharType="begin"/>
      </w:r>
      <w:r>
        <w:rPr>
          <w:sz w:val="32"/>
          <w:szCs w:val="32"/>
        </w:rPr>
        <w:instrText xml:space="preserve"> HYPERLINK \l _Toc15965_WPSOffice_Level1 </w:instrText>
      </w:r>
      <w:r>
        <w:rPr>
          <w:sz w:val="32"/>
          <w:szCs w:val="32"/>
        </w:rPr>
        <w:fldChar w:fldCharType="separate"/>
      </w:r>
      <w:r>
        <w:rPr>
          <w:rFonts w:hint="eastAsia" w:ascii="宋体" w:hAnsi="宋体" w:eastAsia="宋体" w:cs="宋体"/>
          <w:sz w:val="32"/>
          <w:szCs w:val="32"/>
        </w:rPr>
        <w:t>第六章</w:t>
      </w:r>
      <w:r>
        <w:rPr>
          <w:rFonts w:ascii="宋体" w:hAnsi="宋体" w:eastAsia="宋体" w:cs="宋体"/>
          <w:sz w:val="32"/>
          <w:szCs w:val="32"/>
        </w:rPr>
        <w:t xml:space="preserve">  </w:t>
      </w:r>
      <w:r>
        <w:rPr>
          <w:rFonts w:hint="eastAsia" w:ascii="宋体" w:hAnsi="宋体" w:eastAsia="宋体" w:cs="宋体"/>
          <w:sz w:val="32"/>
          <w:szCs w:val="32"/>
        </w:rPr>
        <w:t>响应文件格式</w:t>
      </w:r>
      <w:r>
        <w:rPr>
          <w:sz w:val="32"/>
          <w:szCs w:val="32"/>
        </w:rPr>
        <w:tab/>
      </w:r>
      <w:bookmarkStart w:id="8" w:name="_Toc15965_WPSOffice_Level1Page"/>
      <w:r>
        <w:rPr>
          <w:sz w:val="32"/>
          <w:szCs w:val="32"/>
        </w:rPr>
        <w:t>57</w:t>
      </w:r>
      <w:bookmarkEnd w:id="8"/>
      <w:r>
        <w:rPr>
          <w:sz w:val="32"/>
          <w:szCs w:val="32"/>
        </w:rPr>
        <w:fldChar w:fldCharType="end"/>
      </w:r>
    </w:p>
    <w:p>
      <w:pPr>
        <w:pStyle w:val="46"/>
        <w:keepNext w:val="0"/>
        <w:keepLines w:val="0"/>
        <w:pageBreakBefore w:val="0"/>
        <w:widowControl/>
        <w:tabs>
          <w:tab w:val="right" w:leader="dot" w:pos="9754"/>
        </w:tabs>
        <w:kinsoku/>
        <w:wordWrap/>
        <w:overflowPunct/>
        <w:topLinePunct w:val="0"/>
        <w:autoSpaceDE/>
        <w:autoSpaceDN/>
        <w:bidi w:val="0"/>
        <w:adjustRightInd/>
        <w:snapToGrid w:val="0"/>
        <w:spacing w:line="360" w:lineRule="auto"/>
        <w:textAlignment w:val="auto"/>
        <w:rPr>
          <w:sz w:val="32"/>
          <w:szCs w:val="32"/>
        </w:rPr>
      </w:pPr>
      <w:r>
        <w:rPr>
          <w:sz w:val="32"/>
          <w:szCs w:val="32"/>
        </w:rPr>
        <w:fldChar w:fldCharType="begin"/>
      </w:r>
      <w:r>
        <w:rPr>
          <w:sz w:val="32"/>
          <w:szCs w:val="32"/>
        </w:rPr>
        <w:instrText xml:space="preserve"> HYPERLINK \l _Toc14872_WPSOffice_Level1 </w:instrText>
      </w:r>
      <w:r>
        <w:rPr>
          <w:sz w:val="32"/>
          <w:szCs w:val="32"/>
        </w:rPr>
        <w:fldChar w:fldCharType="separate"/>
      </w:r>
      <w:r>
        <w:rPr>
          <w:rFonts w:hint="eastAsia" w:ascii="宋体" w:hAnsi="宋体" w:eastAsia="宋体" w:cs="宋体"/>
          <w:sz w:val="32"/>
          <w:szCs w:val="32"/>
        </w:rPr>
        <w:t>第七章</w:t>
      </w:r>
      <w:r>
        <w:rPr>
          <w:rFonts w:ascii="宋体" w:hAnsi="宋体" w:eastAsia="宋体" w:cs="宋体"/>
          <w:sz w:val="32"/>
          <w:szCs w:val="32"/>
        </w:rPr>
        <w:t xml:space="preserve">  </w:t>
      </w:r>
      <w:r>
        <w:rPr>
          <w:rFonts w:hint="eastAsia" w:ascii="宋体" w:hAnsi="宋体" w:eastAsia="宋体" w:cs="宋体"/>
          <w:sz w:val="32"/>
          <w:szCs w:val="32"/>
        </w:rPr>
        <w:t>评审办法</w:t>
      </w:r>
      <w:r>
        <w:rPr>
          <w:sz w:val="32"/>
          <w:szCs w:val="32"/>
        </w:rPr>
        <w:tab/>
      </w:r>
      <w:bookmarkStart w:id="9" w:name="_Toc14872_WPSOffice_Level1Page"/>
      <w:r>
        <w:rPr>
          <w:sz w:val="32"/>
          <w:szCs w:val="32"/>
        </w:rPr>
        <w:t>81</w:t>
      </w:r>
      <w:bookmarkEnd w:id="9"/>
      <w:r>
        <w:rPr>
          <w:sz w:val="32"/>
          <w:szCs w:val="32"/>
        </w:rPr>
        <w:fldChar w:fldCharType="end"/>
      </w:r>
      <w:bookmarkEnd w:id="2"/>
    </w:p>
    <w:p>
      <w:pPr>
        <w:spacing w:line="200" w:lineRule="exact"/>
        <w:rPr>
          <w:rFonts w:ascii="宋体" w:cs="宋体"/>
          <w:b/>
          <w:bCs/>
          <w:color w:val="auto"/>
          <w:sz w:val="21"/>
          <w:szCs w:val="21"/>
          <w:highlight w:val="none"/>
        </w:rPr>
      </w:pPr>
    </w:p>
    <w:p>
      <w:pPr>
        <w:rPr>
          <w:rFonts w:ascii="宋体" w:cs="宋体"/>
          <w:color w:val="auto"/>
          <w:highlight w:val="none"/>
        </w:rPr>
        <w:sectPr>
          <w:headerReference r:id="rId6" w:type="default"/>
          <w:pgSz w:w="11900" w:h="16838"/>
          <w:pgMar w:top="1440" w:right="706" w:bottom="401" w:left="1440" w:header="567" w:footer="567" w:gutter="0"/>
          <w:cols w:equalWidth="0" w:num="1">
            <w:col w:w="9760"/>
          </w:cols>
        </w:sectPr>
      </w:pPr>
    </w:p>
    <w:p>
      <w:pPr>
        <w:spacing w:line="1" w:lineRule="exact"/>
        <w:rPr>
          <w:rFonts w:ascii="宋体" w:cs="宋体"/>
          <w:color w:val="auto"/>
          <w:sz w:val="20"/>
          <w:szCs w:val="20"/>
          <w:highlight w:val="none"/>
        </w:rPr>
      </w:pPr>
      <w:bookmarkStart w:id="10" w:name="page3"/>
      <w:bookmarkEnd w:id="10"/>
    </w:p>
    <w:p>
      <w:pPr>
        <w:tabs>
          <w:tab w:val="left" w:pos="4100"/>
        </w:tabs>
        <w:spacing w:line="366" w:lineRule="exact"/>
        <w:ind w:left="2820"/>
        <w:rPr>
          <w:rFonts w:ascii="宋体" w:cs="宋体"/>
          <w:color w:val="auto"/>
          <w:sz w:val="20"/>
          <w:szCs w:val="20"/>
          <w:highlight w:val="none"/>
        </w:rPr>
      </w:pPr>
      <w:bookmarkStart w:id="11" w:name="_Toc16692_WPSOffice_Level1"/>
      <w:bookmarkStart w:id="12" w:name="_Toc13254_WPSOffice_Level1"/>
      <w:bookmarkStart w:id="13" w:name="_Toc30173_WPSOffice_Level1"/>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竞争性磋商公告</w:t>
      </w:r>
      <w:bookmarkEnd w:id="11"/>
      <w:bookmarkEnd w:id="12"/>
      <w:bookmarkEnd w:id="13"/>
    </w:p>
    <w:p>
      <w:pPr>
        <w:spacing w:line="256" w:lineRule="exact"/>
        <w:rPr>
          <w:rFonts w:ascii="宋体" w:cs="宋体"/>
          <w:color w:val="auto"/>
          <w:sz w:val="20"/>
          <w:szCs w:val="20"/>
          <w:highlight w:val="none"/>
        </w:rPr>
      </w:pPr>
    </w:p>
    <w:p>
      <w:pPr>
        <w:spacing w:line="360" w:lineRule="auto"/>
        <w:ind w:firstLine="420" w:firstLineChars="200"/>
        <w:jc w:val="both"/>
        <w:rPr>
          <w:rFonts w:ascii="宋体" w:cs="宋体"/>
          <w:color w:val="auto"/>
          <w:sz w:val="20"/>
          <w:szCs w:val="20"/>
          <w:highlight w:val="none"/>
        </w:rPr>
      </w:pPr>
      <w:r>
        <w:rPr>
          <w:rFonts w:hint="eastAsia" w:ascii="宋体" w:hAnsi="宋体" w:cs="宋体"/>
          <w:color w:val="auto"/>
          <w:sz w:val="21"/>
          <w:szCs w:val="21"/>
          <w:highlight w:val="none"/>
        </w:rPr>
        <w:t>根据《中华人民共和国政府采购法》、《政府采购竞争性磋商采购方式管理暂行办法》等有关规定，</w:t>
      </w:r>
      <w:r>
        <w:rPr>
          <w:rFonts w:hint="eastAsia" w:ascii="宋体" w:hAnsi="宋体" w:cs="宋体"/>
          <w:color w:val="auto"/>
          <w:sz w:val="21"/>
          <w:szCs w:val="21"/>
          <w:highlight w:val="none"/>
          <w:u w:val="single"/>
        </w:rPr>
        <w:t>浙江五石工程咨询有限公司</w:t>
      </w:r>
      <w:r>
        <w:rPr>
          <w:rFonts w:hint="eastAsia" w:ascii="宋体" w:hAnsi="宋体" w:cs="宋体"/>
          <w:color w:val="auto"/>
          <w:sz w:val="21"/>
          <w:szCs w:val="21"/>
          <w:highlight w:val="none"/>
        </w:rPr>
        <w:t>受</w:t>
      </w:r>
      <w:r>
        <w:rPr>
          <w:rFonts w:hint="eastAsia" w:ascii="宋体" w:hAnsi="宋体" w:cs="宋体"/>
          <w:color w:val="auto"/>
          <w:sz w:val="21"/>
          <w:szCs w:val="21"/>
          <w:highlight w:val="none"/>
          <w:u w:val="single"/>
        </w:rPr>
        <w:t>浙江农林大学</w:t>
      </w:r>
      <w:r>
        <w:rPr>
          <w:rFonts w:hint="eastAsia" w:ascii="宋体" w:hAnsi="宋体" w:cs="宋体"/>
          <w:color w:val="auto"/>
          <w:sz w:val="21"/>
          <w:szCs w:val="21"/>
          <w:highlight w:val="none"/>
        </w:rPr>
        <w:t>委托，以竞争性磋商的方式就</w:t>
      </w:r>
      <w:r>
        <w:rPr>
          <w:rFonts w:hint="eastAsia" w:ascii="宋体" w:hAnsi="宋体" w:cs="宋体"/>
          <w:color w:val="auto"/>
          <w:sz w:val="21"/>
          <w:szCs w:val="21"/>
          <w:highlight w:val="none"/>
          <w:u w:val="single"/>
        </w:rPr>
        <w:t>浙江农林大学集贤东湖食堂周边道路工程</w:t>
      </w:r>
      <w:r>
        <w:rPr>
          <w:rFonts w:hint="eastAsia" w:ascii="宋体" w:hAnsi="宋体" w:cs="宋体"/>
          <w:color w:val="auto"/>
          <w:sz w:val="21"/>
          <w:szCs w:val="21"/>
          <w:highlight w:val="none"/>
        </w:rPr>
        <w:t>组织采购，欢迎国内合格的供应商前来参加磋商。</w:t>
      </w:r>
    </w:p>
    <w:p>
      <w:pPr>
        <w:spacing w:line="240" w:lineRule="exact"/>
        <w:ind w:firstLine="422" w:firstLineChars="200"/>
        <w:rPr>
          <w:rFonts w:hint="eastAsia" w:ascii="宋体" w:eastAsia="宋体" w:cs="宋体"/>
          <w:color w:val="auto"/>
          <w:sz w:val="20"/>
          <w:szCs w:val="20"/>
          <w:highlight w:val="none"/>
          <w:lang w:eastAsia="zh-CN"/>
        </w:rPr>
      </w:pPr>
      <w:r>
        <w:rPr>
          <w:rFonts w:hint="eastAsia" w:ascii="宋体" w:hAnsi="宋体" w:cs="宋体"/>
          <w:b/>
          <w:bCs/>
          <w:color w:val="auto"/>
          <w:sz w:val="21"/>
          <w:szCs w:val="21"/>
          <w:highlight w:val="none"/>
        </w:rPr>
        <w:t>一、项目编号：</w:t>
      </w:r>
      <w:r>
        <w:rPr>
          <w:rFonts w:hint="eastAsia" w:ascii="宋体" w:hAnsi="宋体" w:cs="宋体"/>
          <w:b/>
          <w:bCs/>
          <w:color w:val="auto"/>
          <w:sz w:val="21"/>
          <w:szCs w:val="21"/>
          <w:highlight w:val="none"/>
          <w:lang w:eastAsia="zh-CN"/>
        </w:rPr>
        <w:t>ZJWSBJ-NL-2019021C(1)</w:t>
      </w:r>
    </w:p>
    <w:p>
      <w:pPr>
        <w:spacing w:line="168" w:lineRule="exact"/>
        <w:rPr>
          <w:rFonts w:ascii="宋体" w:cs="宋体"/>
          <w:color w:val="auto"/>
          <w:sz w:val="20"/>
          <w:szCs w:val="20"/>
          <w:highlight w:val="none"/>
        </w:rPr>
      </w:pPr>
    </w:p>
    <w:p>
      <w:pPr>
        <w:spacing w:line="240" w:lineRule="exact"/>
        <w:ind w:firstLine="422" w:firstLineChars="200"/>
        <w:rPr>
          <w:rFonts w:ascii="宋体" w:cs="宋体"/>
          <w:b/>
          <w:bCs/>
          <w:color w:val="auto"/>
          <w:sz w:val="21"/>
          <w:szCs w:val="21"/>
          <w:highlight w:val="none"/>
        </w:rPr>
      </w:pPr>
      <w:r>
        <w:rPr>
          <w:rFonts w:hint="eastAsia" w:ascii="宋体" w:hAnsi="宋体" w:cs="宋体"/>
          <w:b/>
          <w:bCs/>
          <w:color w:val="auto"/>
          <w:sz w:val="21"/>
          <w:szCs w:val="21"/>
          <w:highlight w:val="none"/>
        </w:rPr>
        <w:t>二、采购项目的内容、数量、简要规格描述</w:t>
      </w:r>
    </w:p>
    <w:p>
      <w:pPr>
        <w:spacing w:line="240" w:lineRule="exact"/>
        <w:rPr>
          <w:rFonts w:ascii="宋体" w:cs="宋体"/>
          <w:b/>
          <w:bCs/>
          <w:color w:val="auto"/>
          <w:sz w:val="21"/>
          <w:szCs w:val="21"/>
          <w:highlight w:val="none"/>
        </w:rPr>
      </w:pPr>
    </w:p>
    <w:tbl>
      <w:tblPr>
        <w:tblStyle w:val="19"/>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2181"/>
        <w:gridCol w:w="667"/>
        <w:gridCol w:w="651"/>
        <w:gridCol w:w="1333"/>
        <w:gridCol w:w="2648"/>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524"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序号</w:t>
            </w:r>
          </w:p>
        </w:tc>
        <w:tc>
          <w:tcPr>
            <w:tcW w:w="2181"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项目名称</w:t>
            </w:r>
          </w:p>
        </w:tc>
        <w:tc>
          <w:tcPr>
            <w:tcW w:w="667"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数量</w:t>
            </w:r>
          </w:p>
        </w:tc>
        <w:tc>
          <w:tcPr>
            <w:tcW w:w="651"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单位</w:t>
            </w:r>
          </w:p>
        </w:tc>
        <w:tc>
          <w:tcPr>
            <w:tcW w:w="1333"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招标控制价</w:t>
            </w:r>
          </w:p>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（万元）</w:t>
            </w:r>
          </w:p>
        </w:tc>
        <w:tc>
          <w:tcPr>
            <w:tcW w:w="2648"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简要技术要求、用途</w:t>
            </w:r>
          </w:p>
        </w:tc>
        <w:tc>
          <w:tcPr>
            <w:tcW w:w="524"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524"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w:t>
            </w:r>
          </w:p>
        </w:tc>
        <w:tc>
          <w:tcPr>
            <w:tcW w:w="2181"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浙江农林大学集贤东湖食堂周边道路工程</w:t>
            </w:r>
          </w:p>
        </w:tc>
        <w:tc>
          <w:tcPr>
            <w:tcW w:w="667"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w:t>
            </w:r>
          </w:p>
        </w:tc>
        <w:tc>
          <w:tcPr>
            <w:tcW w:w="651"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项</w:t>
            </w:r>
          </w:p>
        </w:tc>
        <w:tc>
          <w:tcPr>
            <w:tcW w:w="133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126.0387</w:t>
            </w:r>
          </w:p>
        </w:tc>
        <w:tc>
          <w:tcPr>
            <w:tcW w:w="2648"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浙江农林大学集贤东湖食堂周边道路工程，具体详见工程量清单、图纸。</w:t>
            </w:r>
          </w:p>
        </w:tc>
        <w:tc>
          <w:tcPr>
            <w:tcW w:w="524" w:type="dxa"/>
            <w:vAlign w:val="center"/>
          </w:tcPr>
          <w:p>
            <w:pPr>
              <w:snapToGrid w:val="0"/>
              <w:jc w:val="center"/>
              <w:rPr>
                <w:rFonts w:ascii="宋体" w:cs="宋体"/>
                <w:color w:val="auto"/>
                <w:sz w:val="21"/>
                <w:szCs w:val="21"/>
                <w:highlight w:val="none"/>
              </w:rPr>
            </w:pPr>
          </w:p>
        </w:tc>
      </w:tr>
    </w:tbl>
    <w:p>
      <w:pPr>
        <w:spacing w:line="240" w:lineRule="exact"/>
        <w:rPr>
          <w:rFonts w:ascii="宋体" w:cs="宋体"/>
          <w:b/>
          <w:bCs/>
          <w:color w:val="auto"/>
          <w:sz w:val="21"/>
          <w:szCs w:val="21"/>
          <w:highlight w:val="none"/>
        </w:rPr>
      </w:pPr>
    </w:p>
    <w:p>
      <w:pPr>
        <w:spacing w:line="360" w:lineRule="auto"/>
        <w:ind w:firstLine="422" w:firstLineChars="200"/>
        <w:rPr>
          <w:rFonts w:ascii="宋体" w:cs="宋体"/>
          <w:b/>
          <w:bCs/>
          <w:color w:val="auto"/>
          <w:sz w:val="21"/>
          <w:szCs w:val="21"/>
          <w:highlight w:val="none"/>
        </w:rPr>
      </w:pPr>
      <w:r>
        <w:rPr>
          <w:rFonts w:hint="eastAsia" w:ascii="宋体" w:hAnsi="宋体" w:cs="宋体"/>
          <w:b/>
          <w:bCs/>
          <w:color w:val="auto"/>
          <w:sz w:val="21"/>
          <w:szCs w:val="21"/>
          <w:highlight w:val="none"/>
        </w:rPr>
        <w:t>三、合格磋商响应供应商的资格要求：</w:t>
      </w:r>
    </w:p>
    <w:p>
      <w:pPr>
        <w:spacing w:line="360" w:lineRule="auto"/>
        <w:ind w:firstLine="630" w:firstLineChars="3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符合《中华人民共和国政府采购法》第二十二条的规定；</w:t>
      </w:r>
    </w:p>
    <w:p>
      <w:pPr>
        <w:spacing w:line="360" w:lineRule="auto"/>
        <w:ind w:firstLine="630" w:firstLineChars="300"/>
        <w:rPr>
          <w:rFonts w:ascii="宋体" w:cs="宋体"/>
          <w:color w:val="auto"/>
          <w:sz w:val="20"/>
          <w:szCs w:val="20"/>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供应商未被列入失信被执行人名单、重大税收违法案件当事人名单、政府采购严重违法失信行为记录名单，信用信息以信用中国网站（</w:t>
      </w:r>
      <w:r>
        <w:rPr>
          <w:rFonts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）公布为准；</w:t>
      </w:r>
    </w:p>
    <w:p>
      <w:pPr>
        <w:spacing w:line="360" w:lineRule="auto"/>
        <w:ind w:firstLine="630" w:firstLineChars="3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单位负责人为同一人或者存在直接控股、管理关系的不同供应商，不得参加同一合同项下的政府采购活动。</w:t>
      </w:r>
    </w:p>
    <w:p>
      <w:pPr>
        <w:spacing w:line="360" w:lineRule="auto"/>
        <w:ind w:firstLine="422" w:firstLineChars="200"/>
        <w:rPr>
          <w:rFonts w:ascii="宋体" w:cs="宋体"/>
          <w:b/>
          <w:bCs/>
          <w:color w:val="auto"/>
          <w:sz w:val="21"/>
          <w:szCs w:val="21"/>
          <w:highlight w:val="none"/>
        </w:rPr>
      </w:pPr>
      <w:r>
        <w:rPr>
          <w:rFonts w:hint="eastAsia" w:ascii="宋体" w:hAnsi="宋体" w:cs="宋体"/>
          <w:b/>
          <w:bCs/>
          <w:color w:val="auto"/>
          <w:sz w:val="21"/>
          <w:szCs w:val="21"/>
          <w:highlight w:val="none"/>
        </w:rPr>
        <w:t>磋商响应供应商特定条件：</w:t>
      </w:r>
    </w:p>
    <w:p>
      <w:pPr>
        <w:spacing w:line="360" w:lineRule="auto"/>
        <w:ind w:firstLine="632" w:firstLineChars="300"/>
        <w:rPr>
          <w:rFonts w:ascii="宋体" w:cs="宋体"/>
          <w:b/>
          <w:bCs/>
          <w:color w:val="auto"/>
          <w:sz w:val="20"/>
          <w:szCs w:val="20"/>
          <w:highlight w:val="none"/>
        </w:rPr>
      </w:pPr>
      <w:bookmarkStart w:id="14" w:name="_Toc14241_WPSOffice_Level2"/>
      <w:bookmarkStart w:id="15" w:name="_Toc14201_WPSOffice_Level2"/>
      <w:r>
        <w:rPr>
          <w:rFonts w:ascii="宋体" w:hAnsi="宋体" w:cs="宋体"/>
          <w:b/>
          <w:bCs/>
          <w:color w:val="auto"/>
          <w:sz w:val="21"/>
          <w:szCs w:val="21"/>
          <w:highlight w:val="none"/>
        </w:rPr>
        <w:t>1.</w:t>
      </w:r>
      <w:r>
        <w:rPr>
          <w:rFonts w:hint="eastAsia" w:ascii="宋体" w:hAnsi="宋体" w:cs="宋体"/>
          <w:b/>
          <w:bCs/>
          <w:color w:val="auto"/>
          <w:sz w:val="21"/>
          <w:szCs w:val="21"/>
          <w:highlight w:val="none"/>
        </w:rPr>
        <w:t>具有市政公用工程施工总承包叁级及以上资质；</w:t>
      </w:r>
      <w:bookmarkEnd w:id="14"/>
      <w:bookmarkEnd w:id="15"/>
    </w:p>
    <w:p>
      <w:pPr>
        <w:spacing w:line="360" w:lineRule="auto"/>
        <w:ind w:firstLine="632" w:firstLineChars="300"/>
        <w:rPr>
          <w:rFonts w:ascii="宋体" w:cs="宋体"/>
          <w:b/>
          <w:bCs/>
          <w:color w:val="auto"/>
          <w:sz w:val="20"/>
          <w:szCs w:val="20"/>
          <w:highlight w:val="none"/>
        </w:rPr>
      </w:pPr>
      <w:bookmarkStart w:id="16" w:name="_Toc25290_WPSOffice_Level2"/>
      <w:bookmarkStart w:id="17" w:name="_Toc11517_WPSOffice_Level2"/>
      <w:r>
        <w:rPr>
          <w:rFonts w:ascii="宋体" w:hAnsi="宋体" w:cs="宋体"/>
          <w:b/>
          <w:bCs/>
          <w:color w:val="auto"/>
          <w:sz w:val="21"/>
          <w:szCs w:val="21"/>
          <w:highlight w:val="none"/>
        </w:rPr>
        <w:t>2.</w:t>
      </w:r>
      <w:r>
        <w:rPr>
          <w:rFonts w:hint="eastAsia" w:ascii="宋体" w:hAnsi="宋体" w:cs="宋体"/>
          <w:b/>
          <w:bCs/>
          <w:color w:val="auto"/>
          <w:sz w:val="21"/>
          <w:szCs w:val="21"/>
          <w:highlight w:val="none"/>
        </w:rPr>
        <w:t>企业具有安全生产许可证，且在有效期内；</w:t>
      </w:r>
      <w:bookmarkEnd w:id="16"/>
      <w:bookmarkEnd w:id="17"/>
    </w:p>
    <w:p>
      <w:pPr>
        <w:spacing w:line="360" w:lineRule="auto"/>
        <w:ind w:firstLine="632" w:firstLineChars="300"/>
        <w:rPr>
          <w:rFonts w:ascii="宋体" w:cs="宋体"/>
          <w:b/>
          <w:bCs/>
          <w:color w:val="auto"/>
          <w:sz w:val="20"/>
          <w:szCs w:val="20"/>
          <w:highlight w:val="none"/>
        </w:rPr>
      </w:pPr>
      <w:bookmarkStart w:id="18" w:name="_Toc5609_WPSOffice_Level2"/>
      <w:bookmarkStart w:id="19" w:name="_Toc21231_WPSOffice_Level2"/>
      <w:r>
        <w:rPr>
          <w:rFonts w:ascii="宋体" w:hAnsi="宋体" w:cs="宋体"/>
          <w:b/>
          <w:bCs/>
          <w:color w:val="auto"/>
          <w:sz w:val="21"/>
          <w:szCs w:val="21"/>
          <w:highlight w:val="none"/>
        </w:rPr>
        <w:t>3.</w:t>
      </w:r>
      <w:r>
        <w:rPr>
          <w:rFonts w:hint="eastAsia" w:ascii="宋体" w:hAnsi="宋体" w:cs="宋体"/>
          <w:b/>
          <w:bCs/>
          <w:color w:val="auto"/>
          <w:sz w:val="21"/>
          <w:szCs w:val="21"/>
          <w:highlight w:val="none"/>
        </w:rPr>
        <w:t>本项目不接受联合体。</w:t>
      </w:r>
      <w:bookmarkEnd w:id="18"/>
      <w:bookmarkEnd w:id="19"/>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四、获取磋商文件的时间、地点、方式及磋商文件售价</w:t>
      </w:r>
    </w:p>
    <w:p>
      <w:pPr>
        <w:spacing w:line="360" w:lineRule="auto"/>
        <w:ind w:firstLine="630" w:firstLineChars="3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时间：</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07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日至</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07</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29</w:t>
      </w:r>
      <w:r>
        <w:rPr>
          <w:rFonts w:hint="eastAsia" w:ascii="宋体" w:hAnsi="宋体" w:cs="宋体"/>
          <w:color w:val="auto"/>
          <w:sz w:val="21"/>
          <w:szCs w:val="21"/>
          <w:highlight w:val="none"/>
        </w:rPr>
        <w:t>日（双休日及法定节假日除外）</w:t>
      </w:r>
    </w:p>
    <w:p>
      <w:pPr>
        <w:spacing w:line="360" w:lineRule="auto"/>
        <w:ind w:left="440" w:firstLine="210" w:firstLineChars="100"/>
        <w:rPr>
          <w:rFonts w:ascii="宋体" w:cs="宋体"/>
          <w:color w:val="auto"/>
          <w:sz w:val="21"/>
          <w:szCs w:val="21"/>
          <w:highlight w:val="none"/>
        </w:rPr>
      </w:pPr>
      <w:r>
        <w:rPr>
          <w:rFonts w:hint="eastAsia" w:ascii="宋体" w:hAnsi="宋体" w:cs="宋体"/>
          <w:color w:val="auto"/>
          <w:sz w:val="21"/>
          <w:szCs w:val="21"/>
          <w:highlight w:val="none"/>
        </w:rPr>
        <w:t>上午：</w:t>
      </w:r>
      <w:r>
        <w:rPr>
          <w:rFonts w:ascii="宋体" w:hAnsi="宋体" w:cs="宋体"/>
          <w:color w:val="auto"/>
          <w:sz w:val="21"/>
          <w:szCs w:val="21"/>
          <w:highlight w:val="none"/>
        </w:rPr>
        <w:t>9:30-11:30</w:t>
      </w:r>
      <w:r>
        <w:rPr>
          <w:rFonts w:hint="eastAsia" w:ascii="宋体" w:hAnsi="宋体" w:cs="宋体"/>
          <w:color w:val="auto"/>
          <w:sz w:val="21"/>
          <w:szCs w:val="21"/>
          <w:highlight w:val="none"/>
        </w:rPr>
        <w:t>；下午：</w:t>
      </w:r>
      <w:r>
        <w:rPr>
          <w:rFonts w:ascii="宋体" w:hAnsi="宋体" w:cs="宋体"/>
          <w:color w:val="auto"/>
          <w:sz w:val="21"/>
          <w:szCs w:val="21"/>
          <w:highlight w:val="none"/>
        </w:rPr>
        <w:t>14:00-16:30</w:t>
      </w:r>
    </w:p>
    <w:p>
      <w:pPr>
        <w:spacing w:line="360" w:lineRule="auto"/>
        <w:ind w:firstLine="630" w:firstLineChars="3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地点：浙江五石工程咨询有限公司（杭州市滨江区东信大道</w:t>
      </w:r>
      <w:r>
        <w:rPr>
          <w:rFonts w:ascii="宋体" w:hAnsi="宋体" w:cs="宋体"/>
          <w:color w:val="auto"/>
          <w:sz w:val="21"/>
          <w:szCs w:val="21"/>
          <w:highlight w:val="none"/>
        </w:rPr>
        <w:t>66</w:t>
      </w:r>
      <w:r>
        <w:rPr>
          <w:rFonts w:hint="eastAsia" w:ascii="宋体" w:hAnsi="宋体" w:cs="宋体"/>
          <w:color w:val="auto"/>
          <w:sz w:val="21"/>
          <w:szCs w:val="21"/>
          <w:highlight w:val="none"/>
        </w:rPr>
        <w:t>号启迪楼</w:t>
      </w:r>
      <w:r>
        <w:rPr>
          <w:rFonts w:ascii="宋体" w:hAnsi="宋体" w:cs="宋体"/>
          <w:color w:val="auto"/>
          <w:sz w:val="21"/>
          <w:szCs w:val="21"/>
          <w:highlight w:val="none"/>
        </w:rPr>
        <w:t>1207</w:t>
      </w:r>
      <w:r>
        <w:rPr>
          <w:rFonts w:hint="eastAsia" w:ascii="宋体" w:hAnsi="宋体" w:cs="宋体"/>
          <w:color w:val="auto"/>
          <w:sz w:val="21"/>
          <w:szCs w:val="21"/>
          <w:highlight w:val="none"/>
        </w:rPr>
        <w:t>室）</w:t>
      </w:r>
    </w:p>
    <w:p>
      <w:pPr>
        <w:spacing w:line="360" w:lineRule="auto"/>
        <w:ind w:firstLine="630" w:firstLineChars="3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获取方式：①现场报名：现场报名需携带报名资料，并现场交纳报名费。②官网报名：前往浙江五石工程咨询有限公司官网（</w:t>
      </w:r>
      <w:r>
        <w:rPr>
          <w:rFonts w:ascii="宋体" w:hAnsi="宋体" w:cs="宋体"/>
          <w:color w:val="auto"/>
          <w:sz w:val="21"/>
          <w:szCs w:val="21"/>
          <w:highlight w:val="none"/>
        </w:rPr>
        <w:t>http://zjwsbidding.com/</w:t>
      </w:r>
      <w:r>
        <w:rPr>
          <w:rFonts w:hint="eastAsia" w:ascii="宋体" w:hAnsi="宋体" w:cs="宋体"/>
          <w:color w:val="auto"/>
          <w:sz w:val="21"/>
          <w:szCs w:val="21"/>
          <w:highlight w:val="none"/>
        </w:rPr>
        <w:t>）招投标专区进行报名。</w:t>
      </w:r>
    </w:p>
    <w:p>
      <w:pPr>
        <w:spacing w:line="360" w:lineRule="auto"/>
        <w:ind w:firstLine="630" w:firstLineChars="3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售价（元）：每本</w:t>
      </w:r>
      <w:r>
        <w:rPr>
          <w:rFonts w:ascii="宋体" w:hAnsi="宋体" w:cs="宋体"/>
          <w:color w:val="auto"/>
          <w:sz w:val="21"/>
          <w:szCs w:val="21"/>
          <w:highlight w:val="none"/>
        </w:rPr>
        <w:t>500</w:t>
      </w:r>
      <w:r>
        <w:rPr>
          <w:rFonts w:hint="eastAsia" w:ascii="宋体" w:hAnsi="宋体" w:cs="宋体"/>
          <w:color w:val="auto"/>
          <w:sz w:val="21"/>
          <w:szCs w:val="21"/>
          <w:highlight w:val="none"/>
        </w:rPr>
        <w:t>（售后不退）。</w:t>
      </w:r>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五、磋商响应截止时间：</w:t>
      </w:r>
      <w:r>
        <w:rPr>
          <w:rFonts w:ascii="宋体" w:hAnsi="宋体" w:cs="宋体"/>
          <w:color w:val="auto"/>
          <w:sz w:val="21"/>
          <w:szCs w:val="21"/>
          <w:highlight w:val="none"/>
        </w:rPr>
        <w:t xml:space="preserve">2019 </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eastAsia="zh-CN"/>
        </w:rPr>
        <w:t>08月01日</w:t>
      </w:r>
      <w:r>
        <w:rPr>
          <w:rFonts w:ascii="宋体" w:hAnsi="宋体" w:cs="宋体"/>
          <w:color w:val="auto"/>
          <w:sz w:val="21"/>
          <w:szCs w:val="21"/>
          <w:highlight w:val="none"/>
        </w:rPr>
        <w:t xml:space="preserve"> 14</w:t>
      </w:r>
      <w:r>
        <w:rPr>
          <w:rFonts w:hint="eastAsia" w:ascii="宋体" w:hAnsi="宋体" w:cs="宋体"/>
          <w:color w:val="auto"/>
          <w:sz w:val="21"/>
          <w:szCs w:val="21"/>
          <w:highlight w:val="none"/>
        </w:rPr>
        <w:t>：</w:t>
      </w:r>
      <w:r>
        <w:rPr>
          <w:rFonts w:ascii="宋体" w:cs="宋体"/>
          <w:color w:val="auto"/>
          <w:sz w:val="21"/>
          <w:szCs w:val="21"/>
          <w:highlight w:val="none"/>
        </w:rPr>
        <w:t>00</w:t>
      </w:r>
      <w:r>
        <w:rPr>
          <w:rFonts w:hint="eastAsia" w:ascii="宋体" w:hAnsi="宋体" w:cs="宋体"/>
          <w:color w:val="auto"/>
          <w:sz w:val="21"/>
          <w:szCs w:val="21"/>
          <w:highlight w:val="none"/>
        </w:rPr>
        <w:t>整；</w:t>
      </w:r>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六、磋商响应文件提交地点：</w:t>
      </w:r>
      <w:r>
        <w:rPr>
          <w:rFonts w:hint="eastAsia" w:ascii="宋体" w:hAnsi="宋体" w:cs="宋体"/>
          <w:color w:val="auto"/>
          <w:sz w:val="21"/>
          <w:szCs w:val="21"/>
          <w:highlight w:val="none"/>
        </w:rPr>
        <w:t>杭州市西湖区西园八路</w:t>
      </w:r>
      <w:r>
        <w:rPr>
          <w:rFonts w:ascii="宋体" w:hAnsi="宋体" w:cs="宋体"/>
          <w:color w:val="auto"/>
          <w:sz w:val="21"/>
          <w:szCs w:val="21"/>
          <w:highlight w:val="none"/>
        </w:rPr>
        <w:t>11</w:t>
      </w:r>
      <w:r>
        <w:rPr>
          <w:rFonts w:hint="eastAsia" w:ascii="宋体" w:hAnsi="宋体" w:cs="宋体"/>
          <w:color w:val="auto"/>
          <w:sz w:val="21"/>
          <w:szCs w:val="21"/>
          <w:highlight w:val="none"/>
        </w:rPr>
        <w:t>号杭州数字信息产业园</w:t>
      </w:r>
      <w:r>
        <w:rPr>
          <w:rFonts w:ascii="宋体" w:hAnsi="宋体" w:cs="宋体"/>
          <w:color w:val="auto"/>
          <w:sz w:val="21"/>
          <w:szCs w:val="21"/>
          <w:highlight w:val="none"/>
        </w:rPr>
        <w:t>G</w:t>
      </w:r>
      <w:r>
        <w:rPr>
          <w:rFonts w:hint="eastAsia" w:ascii="宋体" w:hAnsi="宋体" w:cs="宋体"/>
          <w:color w:val="auto"/>
          <w:sz w:val="21"/>
          <w:szCs w:val="21"/>
          <w:highlight w:val="none"/>
        </w:rPr>
        <w:t>座</w:t>
      </w:r>
      <w:r>
        <w:rPr>
          <w:rFonts w:ascii="宋体" w:hAnsi="宋体" w:cs="宋体"/>
          <w:color w:val="auto"/>
          <w:sz w:val="21"/>
          <w:szCs w:val="21"/>
          <w:highlight w:val="none"/>
        </w:rPr>
        <w:t>603</w:t>
      </w:r>
      <w:r>
        <w:rPr>
          <w:rFonts w:hint="eastAsia" w:ascii="宋体" w:hAnsi="宋体" w:cs="宋体"/>
          <w:color w:val="auto"/>
          <w:sz w:val="21"/>
          <w:szCs w:val="21"/>
          <w:highlight w:val="none"/>
        </w:rPr>
        <w:t>室；</w:t>
      </w:r>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七、磋商时间：</w:t>
      </w:r>
      <w:r>
        <w:rPr>
          <w:rFonts w:ascii="宋体" w:hAnsi="宋体" w:cs="宋体"/>
          <w:color w:val="auto"/>
          <w:sz w:val="21"/>
          <w:szCs w:val="21"/>
          <w:highlight w:val="none"/>
        </w:rPr>
        <w:t xml:space="preserve">2019 </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eastAsia="zh-CN"/>
        </w:rPr>
        <w:t>08月01日</w:t>
      </w:r>
      <w:r>
        <w:rPr>
          <w:rFonts w:ascii="宋体" w:hAnsi="宋体" w:cs="宋体"/>
          <w:color w:val="auto"/>
          <w:sz w:val="21"/>
          <w:szCs w:val="21"/>
          <w:highlight w:val="none"/>
        </w:rPr>
        <w:t xml:space="preserve"> 14</w:t>
      </w:r>
      <w:r>
        <w:rPr>
          <w:rFonts w:hint="eastAsia" w:ascii="宋体" w:hAnsi="宋体" w:cs="宋体"/>
          <w:color w:val="auto"/>
          <w:sz w:val="21"/>
          <w:szCs w:val="21"/>
          <w:highlight w:val="none"/>
        </w:rPr>
        <w:t>：</w:t>
      </w:r>
      <w:r>
        <w:rPr>
          <w:rFonts w:ascii="宋体" w:cs="宋体"/>
          <w:color w:val="auto"/>
          <w:sz w:val="21"/>
          <w:szCs w:val="21"/>
          <w:highlight w:val="none"/>
        </w:rPr>
        <w:t>00</w:t>
      </w:r>
      <w:r>
        <w:rPr>
          <w:rFonts w:hint="eastAsia" w:ascii="宋体" w:hAnsi="宋体" w:cs="宋体"/>
          <w:color w:val="auto"/>
          <w:sz w:val="21"/>
          <w:szCs w:val="21"/>
          <w:highlight w:val="none"/>
        </w:rPr>
        <w:t>整；</w:t>
      </w:r>
      <w:r>
        <w:rPr>
          <w:rFonts w:ascii="宋体" w:hAnsi="宋体" w:cs="宋体"/>
          <w:color w:val="auto"/>
          <w:sz w:val="21"/>
          <w:szCs w:val="21"/>
          <w:highlight w:val="none"/>
        </w:rPr>
        <w:t xml:space="preserve"> </w:t>
      </w:r>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八、磋商地点：</w:t>
      </w:r>
      <w:r>
        <w:rPr>
          <w:rFonts w:hint="eastAsia" w:ascii="宋体" w:hAnsi="宋体" w:cs="宋体"/>
          <w:color w:val="auto"/>
          <w:sz w:val="21"/>
          <w:szCs w:val="21"/>
          <w:highlight w:val="none"/>
        </w:rPr>
        <w:t>杭州市西湖区西园八路</w:t>
      </w:r>
      <w:r>
        <w:rPr>
          <w:rFonts w:ascii="宋体" w:hAnsi="宋体" w:cs="宋体"/>
          <w:color w:val="auto"/>
          <w:sz w:val="21"/>
          <w:szCs w:val="21"/>
          <w:highlight w:val="none"/>
        </w:rPr>
        <w:t>11</w:t>
      </w:r>
      <w:r>
        <w:rPr>
          <w:rFonts w:hint="eastAsia" w:ascii="宋体" w:hAnsi="宋体" w:cs="宋体"/>
          <w:color w:val="auto"/>
          <w:sz w:val="21"/>
          <w:szCs w:val="21"/>
          <w:highlight w:val="none"/>
        </w:rPr>
        <w:t>号杭州数字信息产业园</w:t>
      </w:r>
      <w:r>
        <w:rPr>
          <w:rFonts w:ascii="宋体" w:hAnsi="宋体" w:cs="宋体"/>
          <w:color w:val="auto"/>
          <w:sz w:val="21"/>
          <w:szCs w:val="21"/>
          <w:highlight w:val="none"/>
        </w:rPr>
        <w:t>G</w:t>
      </w:r>
      <w:r>
        <w:rPr>
          <w:rFonts w:hint="eastAsia" w:ascii="宋体" w:hAnsi="宋体" w:cs="宋体"/>
          <w:color w:val="auto"/>
          <w:sz w:val="21"/>
          <w:szCs w:val="21"/>
          <w:highlight w:val="none"/>
        </w:rPr>
        <w:t>座</w:t>
      </w:r>
      <w:r>
        <w:rPr>
          <w:rFonts w:ascii="宋体" w:hAnsi="宋体" w:cs="宋体"/>
          <w:color w:val="auto"/>
          <w:sz w:val="21"/>
          <w:szCs w:val="21"/>
          <w:highlight w:val="none"/>
        </w:rPr>
        <w:t>603</w:t>
      </w:r>
      <w:r>
        <w:rPr>
          <w:rFonts w:hint="eastAsia" w:ascii="宋体" w:hAnsi="宋体" w:cs="宋体"/>
          <w:color w:val="auto"/>
          <w:sz w:val="21"/>
          <w:szCs w:val="21"/>
          <w:highlight w:val="none"/>
        </w:rPr>
        <w:t>室；</w:t>
      </w:r>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九、磋商保证金及交付方式：本项目不提交；</w:t>
      </w:r>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十、其他事项：</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磋商公告期限：从公告发布之日起至公告发布之日后的第</w:t>
      </w:r>
      <w:r>
        <w:rPr>
          <w:rFonts w:ascii="宋体" w:hAnsi="宋体" w:cs="宋体"/>
          <w:color w:val="auto"/>
          <w:sz w:val="21"/>
          <w:szCs w:val="21"/>
          <w:highlight w:val="none"/>
        </w:rPr>
        <w:t xml:space="preserve"> 4 </w:t>
      </w:r>
      <w:r>
        <w:rPr>
          <w:rFonts w:hint="eastAsia" w:ascii="宋体" w:hAnsi="宋体" w:cs="宋体"/>
          <w:color w:val="auto"/>
          <w:sz w:val="21"/>
          <w:szCs w:val="21"/>
          <w:highlight w:val="none"/>
        </w:rPr>
        <w:t>个工作日；</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未经报名登记并获取磋商文件的供应商参与本项目投标，将被拒绝；</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供应商认为采购文件使自己的权益受到损害的，可以自收到采购文件之日（发售截止日之后收到采购文件的，以发售截止日为准）或者采购文件公告期限届满之日（竞争性磋商公告为公告发布后的第</w:t>
      </w:r>
      <w:r>
        <w:rPr>
          <w:rFonts w:ascii="宋体" w:hAnsi="宋体" w:cs="宋体"/>
          <w:color w:val="auto"/>
          <w:sz w:val="21"/>
          <w:szCs w:val="21"/>
          <w:highlight w:val="none"/>
        </w:rPr>
        <w:t xml:space="preserve"> 4 </w:t>
      </w:r>
      <w:r>
        <w:rPr>
          <w:rFonts w:hint="eastAsia" w:ascii="宋体" w:hAnsi="宋体" w:cs="宋体"/>
          <w:color w:val="auto"/>
          <w:sz w:val="21"/>
          <w:szCs w:val="21"/>
          <w:highlight w:val="none"/>
        </w:rPr>
        <w:t>个工作日）起</w:t>
      </w:r>
      <w:r>
        <w:rPr>
          <w:rFonts w:ascii="宋体" w:hAnsi="宋体" w:cs="宋体"/>
          <w:color w:val="auto"/>
          <w:sz w:val="21"/>
          <w:szCs w:val="21"/>
          <w:highlight w:val="none"/>
        </w:rPr>
        <w:t xml:space="preserve"> 7 </w:t>
      </w:r>
      <w:r>
        <w:rPr>
          <w:rFonts w:hint="eastAsia" w:ascii="宋体" w:hAnsi="宋体" w:cs="宋体"/>
          <w:color w:val="auto"/>
          <w:sz w:val="21"/>
          <w:szCs w:val="21"/>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2" w:firstLineChars="200"/>
        <w:rPr>
          <w:rFonts w:ascii="宋体" w:cs="宋体"/>
          <w:b/>
          <w:bCs/>
          <w:color w:val="auto"/>
          <w:sz w:val="20"/>
          <w:szCs w:val="20"/>
          <w:highlight w:val="none"/>
        </w:rPr>
      </w:pPr>
      <w:r>
        <w:rPr>
          <w:rFonts w:ascii="宋体" w:hAnsi="宋体" w:cs="宋体"/>
          <w:b/>
          <w:bCs/>
          <w:color w:val="auto"/>
          <w:sz w:val="21"/>
          <w:szCs w:val="21"/>
          <w:highlight w:val="none"/>
        </w:rPr>
        <w:t>4</w:t>
      </w:r>
      <w:r>
        <w:rPr>
          <w:rFonts w:hint="eastAsia" w:ascii="宋体" w:hAnsi="宋体" w:cs="宋体"/>
          <w:b/>
          <w:bCs/>
          <w:color w:val="auto"/>
          <w:sz w:val="21"/>
          <w:szCs w:val="21"/>
          <w:highlight w:val="none"/>
        </w:rPr>
        <w:t>、购买竞争性磋商时须提交的文件资料：</w:t>
      </w:r>
    </w:p>
    <w:p>
      <w:pPr>
        <w:spacing w:line="360" w:lineRule="auto"/>
        <w:ind w:firstLine="211" w:firstLineChars="100"/>
        <w:rPr>
          <w:rFonts w:ascii="宋体" w:cs="宋体"/>
          <w:b/>
          <w:bCs/>
          <w:color w:val="auto"/>
          <w:sz w:val="20"/>
          <w:szCs w:val="20"/>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1</w:t>
      </w:r>
      <w:r>
        <w:rPr>
          <w:rFonts w:hint="eastAsia" w:ascii="宋体" w:hAnsi="宋体" w:cs="宋体"/>
          <w:b/>
          <w:bCs/>
          <w:color w:val="auto"/>
          <w:sz w:val="21"/>
          <w:szCs w:val="21"/>
          <w:highlight w:val="none"/>
        </w:rPr>
        <w:t>）介绍信或法人授权书（原件加盖公章）；</w:t>
      </w:r>
    </w:p>
    <w:p>
      <w:pPr>
        <w:spacing w:line="360" w:lineRule="auto"/>
        <w:ind w:firstLine="211" w:firstLineChars="100"/>
        <w:rPr>
          <w:rFonts w:ascii="宋体" w:cs="宋体"/>
          <w:b/>
          <w:bCs/>
          <w:color w:val="auto"/>
          <w:sz w:val="20"/>
          <w:szCs w:val="20"/>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2</w:t>
      </w:r>
      <w:r>
        <w:rPr>
          <w:rFonts w:hint="eastAsia" w:ascii="宋体" w:hAnsi="宋体" w:cs="宋体"/>
          <w:b/>
          <w:bCs/>
          <w:color w:val="auto"/>
          <w:sz w:val="21"/>
          <w:szCs w:val="21"/>
          <w:highlight w:val="none"/>
        </w:rPr>
        <w:t>）被授权人身份证（复印件加盖公章）；</w:t>
      </w:r>
    </w:p>
    <w:p>
      <w:pPr>
        <w:spacing w:line="360" w:lineRule="auto"/>
        <w:ind w:firstLine="211" w:firstLineChars="100"/>
        <w:rPr>
          <w:rFonts w:ascii="宋体" w:cs="宋体"/>
          <w:b/>
          <w:bCs/>
          <w:color w:val="auto"/>
          <w:sz w:val="21"/>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3</w:t>
      </w:r>
      <w:r>
        <w:rPr>
          <w:rFonts w:hint="eastAsia" w:ascii="宋体" w:hAnsi="宋体" w:cs="宋体"/>
          <w:b/>
          <w:bCs/>
          <w:color w:val="auto"/>
          <w:sz w:val="21"/>
          <w:szCs w:val="21"/>
          <w:highlight w:val="none"/>
        </w:rPr>
        <w:t>）营业执照副本（复印件加盖公章）；</w:t>
      </w:r>
    </w:p>
    <w:p>
      <w:pPr>
        <w:spacing w:line="360" w:lineRule="auto"/>
        <w:ind w:firstLine="211" w:firstLineChars="100"/>
        <w:rPr>
          <w:rFonts w:ascii="宋体" w:cs="宋体"/>
          <w:b/>
          <w:bCs/>
          <w:color w:val="auto"/>
          <w:sz w:val="21"/>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4</w:t>
      </w:r>
      <w:r>
        <w:rPr>
          <w:rFonts w:hint="eastAsia" w:ascii="宋体" w:hAnsi="宋体" w:cs="宋体"/>
          <w:b/>
          <w:bCs/>
          <w:color w:val="auto"/>
          <w:sz w:val="21"/>
          <w:szCs w:val="21"/>
          <w:highlight w:val="none"/>
        </w:rPr>
        <w:t>）供应商报名表；（原件加盖公章）；</w:t>
      </w:r>
    </w:p>
    <w:p>
      <w:pPr>
        <w:spacing w:line="360" w:lineRule="auto"/>
        <w:ind w:firstLine="211" w:firstLineChars="100"/>
        <w:rPr>
          <w:rFonts w:ascii="宋体" w:cs="宋体"/>
          <w:b/>
          <w:bCs/>
          <w:color w:val="auto"/>
          <w:sz w:val="21"/>
          <w:szCs w:val="21"/>
          <w:highlight w:val="none"/>
        </w:rPr>
      </w:pPr>
      <w:r>
        <w:rPr>
          <w:rFonts w:hint="eastAsia" w:ascii="宋体" w:hAnsi="宋体" w:cs="宋体"/>
          <w:b/>
          <w:bCs/>
          <w:color w:val="auto"/>
          <w:sz w:val="21"/>
          <w:szCs w:val="21"/>
          <w:highlight w:val="none"/>
        </w:rPr>
        <w:t>（</w:t>
      </w:r>
      <w:r>
        <w:rPr>
          <w:rFonts w:ascii="宋体" w:hAnsi="宋体" w:cs="宋体"/>
          <w:b/>
          <w:bCs/>
          <w:color w:val="auto"/>
          <w:sz w:val="21"/>
          <w:szCs w:val="21"/>
          <w:highlight w:val="none"/>
        </w:rPr>
        <w:t>5</w:t>
      </w:r>
      <w:r>
        <w:rPr>
          <w:rFonts w:hint="eastAsia" w:ascii="宋体" w:hAnsi="宋体" w:cs="宋体"/>
          <w:b/>
          <w:bCs/>
          <w:color w:val="auto"/>
          <w:sz w:val="21"/>
          <w:szCs w:val="21"/>
          <w:highlight w:val="none"/>
        </w:rPr>
        <w:t>）市政公用工程施工总承包叁级及以上资质</w:t>
      </w:r>
      <w:r>
        <w:rPr>
          <w:rFonts w:hint="eastAsia" w:ascii="宋体" w:hAnsi="宋体" w:cs="宋体"/>
          <w:b/>
          <w:bCs/>
          <w:color w:val="auto"/>
          <w:sz w:val="21"/>
          <w:szCs w:val="21"/>
          <w:highlight w:val="none"/>
          <w:lang w:eastAsia="zh-CN"/>
        </w:rPr>
        <w:t>证书、企业</w:t>
      </w:r>
      <w:r>
        <w:rPr>
          <w:rFonts w:hint="eastAsia" w:ascii="宋体" w:hAnsi="宋体" w:cs="宋体"/>
          <w:b/>
          <w:bCs/>
          <w:color w:val="auto"/>
          <w:sz w:val="21"/>
          <w:szCs w:val="21"/>
          <w:highlight w:val="none"/>
        </w:rPr>
        <w:t>安全生产许可证（复印件加盖公章）；</w:t>
      </w:r>
    </w:p>
    <w:p>
      <w:pPr>
        <w:spacing w:line="360" w:lineRule="auto"/>
        <w:ind w:right="346" w:firstLine="420" w:firstLineChars="200"/>
        <w:jc w:val="both"/>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竞争性磋商文件发售截止时间之后潜在供应商仍然可以购买磋商文件，但该供应商如对磋商文件有疑问可以按磋商文件规定的询疑时间前提出，逾期提出的，采购组织机构可以不予受理、答复；</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潜在供应商可在浙江政府采购网</w:t>
      </w:r>
      <w:r>
        <w:rPr>
          <w:rFonts w:ascii="宋体" w:hAnsi="宋体" w:cs="宋体"/>
          <w:color w:val="auto"/>
          <w:sz w:val="21"/>
          <w:szCs w:val="21"/>
          <w:highlight w:val="none"/>
        </w:rPr>
        <w:t xml:space="preserve"> http://www.zjzfcg.gov.cn </w:t>
      </w:r>
      <w:r>
        <w:rPr>
          <w:rFonts w:hint="eastAsia" w:ascii="宋体" w:hAnsi="宋体" w:cs="宋体"/>
          <w:color w:val="auto"/>
          <w:sz w:val="21"/>
          <w:szCs w:val="21"/>
          <w:highlight w:val="none"/>
        </w:rPr>
        <w:t>进行免费注册，具体详见浙江政府采购网供应商注册要求；</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书面质疑受理地点：杭州市滨江区东方通信科技园启迪楼</w:t>
      </w:r>
      <w:r>
        <w:rPr>
          <w:rFonts w:ascii="宋体" w:hAnsi="宋体" w:cs="宋体"/>
          <w:color w:val="auto"/>
          <w:sz w:val="21"/>
          <w:szCs w:val="21"/>
          <w:highlight w:val="none"/>
        </w:rPr>
        <w:t>2</w:t>
      </w:r>
      <w:r>
        <w:rPr>
          <w:rFonts w:hint="eastAsia" w:ascii="宋体" w:hAnsi="宋体" w:cs="宋体"/>
          <w:color w:val="auto"/>
          <w:sz w:val="21"/>
          <w:szCs w:val="21"/>
          <w:highlight w:val="none"/>
        </w:rPr>
        <w:t>楼</w:t>
      </w:r>
      <w:r>
        <w:rPr>
          <w:rFonts w:ascii="宋体" w:hAnsi="宋体" w:cs="宋体"/>
          <w:color w:val="auto"/>
          <w:sz w:val="21"/>
          <w:szCs w:val="21"/>
          <w:highlight w:val="none"/>
        </w:rPr>
        <w:t>1207</w:t>
      </w:r>
      <w:r>
        <w:rPr>
          <w:rFonts w:hint="eastAsia" w:ascii="宋体" w:hAnsi="宋体" w:cs="宋体"/>
          <w:color w:val="auto"/>
          <w:sz w:val="21"/>
          <w:szCs w:val="21"/>
          <w:highlight w:val="none"/>
        </w:rPr>
        <w:t>室；</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联系人：毛工</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电话：</w:t>
      </w:r>
      <w:r>
        <w:rPr>
          <w:rFonts w:ascii="宋体" w:hAnsi="宋体" w:cs="宋体"/>
          <w:color w:val="auto"/>
          <w:sz w:val="21"/>
          <w:szCs w:val="21"/>
          <w:highlight w:val="none"/>
        </w:rPr>
        <w:t>0571-87805727</w:t>
      </w:r>
      <w:r>
        <w:rPr>
          <w:rFonts w:hint="eastAsia" w:ascii="宋体" w:hAnsi="宋体" w:cs="宋体"/>
          <w:color w:val="auto"/>
          <w:sz w:val="21"/>
          <w:szCs w:val="21"/>
          <w:highlight w:val="none"/>
        </w:rPr>
        <w:t>；</w:t>
      </w:r>
    </w:p>
    <w:p>
      <w:pPr>
        <w:spacing w:line="360" w:lineRule="auto"/>
        <w:ind w:firstLine="422" w:firstLineChars="200"/>
        <w:rPr>
          <w:rFonts w:ascii="宋体" w:cs="宋体"/>
          <w:color w:val="auto"/>
          <w:sz w:val="21"/>
          <w:szCs w:val="21"/>
          <w:highlight w:val="none"/>
        </w:rPr>
      </w:pPr>
      <w:r>
        <w:rPr>
          <w:rFonts w:hint="eastAsia" w:ascii="宋体" w:hAnsi="宋体" w:cs="宋体"/>
          <w:b/>
          <w:bCs/>
          <w:color w:val="auto"/>
          <w:sz w:val="21"/>
          <w:szCs w:val="21"/>
          <w:highlight w:val="none"/>
        </w:rPr>
        <w:t>十一、联系方式</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采购人：浙江农林大学</w:t>
      </w:r>
    </w:p>
    <w:p>
      <w:pPr>
        <w:spacing w:line="360" w:lineRule="auto"/>
        <w:ind w:firstLine="630" w:firstLineChars="300"/>
        <w:rPr>
          <w:rFonts w:ascii="宋体" w:cs="宋体"/>
          <w:color w:val="auto"/>
          <w:sz w:val="21"/>
          <w:szCs w:val="21"/>
          <w:highlight w:val="none"/>
        </w:rPr>
      </w:pPr>
      <w:r>
        <w:rPr>
          <w:rFonts w:hint="eastAsia" w:ascii="宋体" w:hAnsi="宋体" w:cs="宋体"/>
          <w:color w:val="auto"/>
          <w:sz w:val="21"/>
          <w:szCs w:val="21"/>
          <w:highlight w:val="none"/>
        </w:rPr>
        <w:t>联系人：王老师</w:t>
      </w:r>
    </w:p>
    <w:p>
      <w:pPr>
        <w:spacing w:line="360" w:lineRule="auto"/>
        <w:ind w:firstLine="630" w:firstLineChars="300"/>
        <w:rPr>
          <w:rFonts w:ascii="宋体" w:cs="宋体"/>
          <w:color w:val="auto"/>
          <w:sz w:val="21"/>
          <w:szCs w:val="21"/>
          <w:highlight w:val="none"/>
        </w:rPr>
      </w:pPr>
      <w:r>
        <w:rPr>
          <w:rFonts w:hint="eastAsia" w:ascii="宋体" w:hAnsi="宋体" w:cs="宋体"/>
          <w:color w:val="auto"/>
          <w:sz w:val="21"/>
          <w:szCs w:val="21"/>
          <w:highlight w:val="none"/>
        </w:rPr>
        <w:t>联系电话：</w:t>
      </w:r>
      <w:r>
        <w:rPr>
          <w:rFonts w:ascii="宋体" w:hAnsi="宋体" w:cs="宋体"/>
          <w:color w:val="auto"/>
          <w:sz w:val="21"/>
          <w:szCs w:val="21"/>
          <w:highlight w:val="none"/>
        </w:rPr>
        <w:t>0571-63740897</w:t>
      </w:r>
    </w:p>
    <w:p>
      <w:pPr>
        <w:spacing w:line="360" w:lineRule="auto"/>
        <w:ind w:firstLine="630" w:firstLineChars="300"/>
        <w:rPr>
          <w:rFonts w:ascii="宋体" w:cs="宋体"/>
          <w:color w:val="auto"/>
          <w:sz w:val="21"/>
          <w:szCs w:val="21"/>
          <w:highlight w:val="none"/>
        </w:rPr>
      </w:pPr>
      <w:r>
        <w:rPr>
          <w:rFonts w:hint="eastAsia" w:ascii="宋体" w:hAnsi="宋体" w:cs="宋体"/>
          <w:color w:val="auto"/>
          <w:sz w:val="21"/>
          <w:szCs w:val="21"/>
          <w:highlight w:val="none"/>
        </w:rPr>
        <w:t>项目联系人：郑老师</w:t>
      </w:r>
    </w:p>
    <w:p>
      <w:pPr>
        <w:spacing w:line="360" w:lineRule="auto"/>
        <w:ind w:firstLine="630" w:firstLineChars="300"/>
        <w:rPr>
          <w:rFonts w:ascii="宋体" w:cs="宋体"/>
          <w:color w:val="auto"/>
          <w:sz w:val="20"/>
          <w:szCs w:val="20"/>
          <w:highlight w:val="none"/>
        </w:rPr>
      </w:pPr>
      <w:r>
        <w:rPr>
          <w:rFonts w:hint="eastAsia" w:ascii="宋体" w:hAnsi="宋体" w:cs="宋体"/>
          <w:color w:val="auto"/>
          <w:sz w:val="21"/>
          <w:szCs w:val="21"/>
          <w:highlight w:val="none"/>
        </w:rPr>
        <w:t>联系方式：</w:t>
      </w:r>
      <w:r>
        <w:rPr>
          <w:rFonts w:ascii="宋体" w:hAnsi="宋体" w:cs="宋体"/>
          <w:color w:val="auto"/>
          <w:sz w:val="21"/>
          <w:szCs w:val="21"/>
          <w:highlight w:val="none"/>
        </w:rPr>
        <w:t>0571-63732951</w:t>
      </w:r>
    </w:p>
    <w:p>
      <w:pPr>
        <w:spacing w:line="360" w:lineRule="auto"/>
        <w:ind w:firstLine="630" w:firstLineChars="300"/>
        <w:rPr>
          <w:rFonts w:ascii="宋体" w:cs="宋体"/>
          <w:color w:val="auto"/>
          <w:sz w:val="20"/>
          <w:szCs w:val="20"/>
          <w:highlight w:val="none"/>
        </w:rPr>
      </w:pPr>
      <w:r>
        <w:rPr>
          <w:rFonts w:hint="eastAsia" w:ascii="宋体" w:hAnsi="宋体" w:cs="宋体"/>
          <w:color w:val="auto"/>
          <w:sz w:val="21"/>
          <w:szCs w:val="21"/>
          <w:highlight w:val="none"/>
        </w:rPr>
        <w:t>地址：杭州市临安区武肃街</w:t>
      </w:r>
      <w:r>
        <w:rPr>
          <w:rFonts w:ascii="宋体" w:hAnsi="宋体" w:cs="宋体"/>
          <w:color w:val="auto"/>
          <w:sz w:val="21"/>
          <w:szCs w:val="21"/>
          <w:highlight w:val="none"/>
        </w:rPr>
        <w:t>666</w:t>
      </w:r>
      <w:r>
        <w:rPr>
          <w:rFonts w:hint="eastAsia" w:ascii="宋体" w:hAnsi="宋体" w:cs="宋体"/>
          <w:color w:val="auto"/>
          <w:sz w:val="21"/>
          <w:szCs w:val="21"/>
          <w:highlight w:val="none"/>
        </w:rPr>
        <w:t>号；</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采购代理机构名称：浙江五石工程咨询有限公司</w:t>
      </w:r>
    </w:p>
    <w:p>
      <w:pPr>
        <w:spacing w:line="360" w:lineRule="auto"/>
        <w:ind w:firstLine="630" w:firstLineChars="300"/>
        <w:jc w:val="both"/>
        <w:rPr>
          <w:rFonts w:ascii="宋体" w:cs="宋体"/>
          <w:color w:val="auto"/>
          <w:sz w:val="21"/>
          <w:szCs w:val="21"/>
          <w:highlight w:val="none"/>
        </w:rPr>
      </w:pPr>
      <w:r>
        <w:rPr>
          <w:rFonts w:hint="eastAsia" w:ascii="宋体" w:hAnsi="宋体" w:cs="宋体"/>
          <w:color w:val="auto"/>
          <w:sz w:val="21"/>
          <w:szCs w:val="21"/>
          <w:highlight w:val="none"/>
        </w:rPr>
        <w:t>联系人：徐工</w:t>
      </w:r>
    </w:p>
    <w:p>
      <w:pPr>
        <w:spacing w:line="360" w:lineRule="auto"/>
        <w:ind w:firstLine="630" w:firstLineChars="300"/>
        <w:jc w:val="both"/>
        <w:rPr>
          <w:rFonts w:ascii="宋体" w:cs="宋体"/>
          <w:color w:val="auto"/>
          <w:sz w:val="21"/>
          <w:szCs w:val="21"/>
          <w:highlight w:val="none"/>
        </w:rPr>
      </w:pPr>
      <w:r>
        <w:rPr>
          <w:rFonts w:hint="eastAsia" w:ascii="宋体" w:hAnsi="宋体" w:cs="宋体"/>
          <w:color w:val="auto"/>
          <w:sz w:val="21"/>
          <w:szCs w:val="21"/>
          <w:highlight w:val="none"/>
        </w:rPr>
        <w:t>联系电话：</w:t>
      </w:r>
      <w:r>
        <w:rPr>
          <w:rFonts w:ascii="宋体" w:hAnsi="宋体" w:cs="宋体"/>
          <w:color w:val="auto"/>
          <w:sz w:val="21"/>
          <w:szCs w:val="21"/>
          <w:highlight w:val="none"/>
        </w:rPr>
        <w:t>0571-87805727</w:t>
      </w:r>
    </w:p>
    <w:p>
      <w:pPr>
        <w:spacing w:line="360" w:lineRule="auto"/>
        <w:ind w:firstLine="630" w:firstLineChars="300"/>
        <w:rPr>
          <w:rFonts w:ascii="宋体" w:cs="宋体"/>
          <w:color w:val="auto"/>
          <w:sz w:val="21"/>
          <w:szCs w:val="21"/>
          <w:highlight w:val="none"/>
        </w:rPr>
      </w:pPr>
      <w:r>
        <w:rPr>
          <w:rFonts w:hint="eastAsia" w:ascii="宋体" w:hAnsi="宋体" w:cs="宋体"/>
          <w:color w:val="auto"/>
          <w:sz w:val="21"/>
          <w:szCs w:val="21"/>
          <w:highlight w:val="none"/>
        </w:rPr>
        <w:t>地址：杭州市滨江区东方通信科技园启迪楼</w:t>
      </w:r>
      <w:r>
        <w:rPr>
          <w:rFonts w:ascii="宋体" w:hAnsi="宋体" w:cs="宋体"/>
          <w:color w:val="auto"/>
          <w:sz w:val="21"/>
          <w:szCs w:val="21"/>
          <w:highlight w:val="none"/>
        </w:rPr>
        <w:t>2</w:t>
      </w:r>
      <w:r>
        <w:rPr>
          <w:rFonts w:hint="eastAsia" w:ascii="宋体" w:hAnsi="宋体" w:cs="宋体"/>
          <w:color w:val="auto"/>
          <w:sz w:val="21"/>
          <w:szCs w:val="21"/>
          <w:highlight w:val="none"/>
        </w:rPr>
        <w:t>楼</w:t>
      </w:r>
      <w:r>
        <w:rPr>
          <w:rFonts w:ascii="宋体" w:hAnsi="宋体" w:cs="宋体"/>
          <w:color w:val="auto"/>
          <w:sz w:val="21"/>
          <w:szCs w:val="21"/>
          <w:highlight w:val="none"/>
        </w:rPr>
        <w:t>1207</w:t>
      </w:r>
      <w:r>
        <w:rPr>
          <w:rFonts w:hint="eastAsia" w:ascii="宋体" w:hAnsi="宋体" w:cs="宋体"/>
          <w:color w:val="auto"/>
          <w:sz w:val="21"/>
          <w:szCs w:val="21"/>
          <w:highlight w:val="none"/>
        </w:rPr>
        <w:t>室</w:t>
      </w:r>
    </w:p>
    <w:p>
      <w:pPr>
        <w:spacing w:line="360" w:lineRule="auto"/>
        <w:ind w:firstLine="420" w:firstLineChars="200"/>
        <w:jc w:val="both"/>
        <w:rPr>
          <w:rFonts w:asci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同级政府采购监管部门：浙江省财政厅政府采购监管处</w:t>
      </w:r>
    </w:p>
    <w:p>
      <w:pPr>
        <w:spacing w:line="360" w:lineRule="auto"/>
        <w:ind w:firstLine="630" w:firstLineChars="300"/>
        <w:jc w:val="both"/>
        <w:rPr>
          <w:rFonts w:ascii="宋体" w:cs="宋体"/>
          <w:color w:val="auto"/>
          <w:sz w:val="21"/>
          <w:szCs w:val="21"/>
          <w:highlight w:val="none"/>
        </w:rPr>
      </w:pPr>
      <w:r>
        <w:rPr>
          <w:rFonts w:hint="eastAsia" w:ascii="宋体" w:hAnsi="宋体" w:cs="宋体"/>
          <w:color w:val="auto"/>
          <w:sz w:val="21"/>
          <w:szCs w:val="21"/>
          <w:highlight w:val="none"/>
        </w:rPr>
        <w:t>联系人：倪文良</w:t>
      </w:r>
    </w:p>
    <w:p>
      <w:pPr>
        <w:spacing w:line="360" w:lineRule="auto"/>
        <w:ind w:firstLine="630" w:firstLineChars="300"/>
        <w:jc w:val="both"/>
        <w:rPr>
          <w:rFonts w:ascii="宋体" w:cs="宋体"/>
          <w:color w:val="auto"/>
          <w:sz w:val="21"/>
          <w:szCs w:val="21"/>
          <w:highlight w:val="none"/>
        </w:rPr>
      </w:pPr>
      <w:r>
        <w:rPr>
          <w:rFonts w:hint="eastAsia" w:ascii="宋体" w:hAnsi="宋体" w:cs="宋体"/>
          <w:color w:val="auto"/>
          <w:sz w:val="21"/>
          <w:szCs w:val="21"/>
          <w:highlight w:val="none"/>
        </w:rPr>
        <w:t>联系电话：</w:t>
      </w:r>
      <w:r>
        <w:rPr>
          <w:rFonts w:ascii="宋体" w:hAnsi="宋体" w:cs="宋体"/>
          <w:color w:val="auto"/>
          <w:sz w:val="21"/>
          <w:szCs w:val="21"/>
          <w:highlight w:val="none"/>
        </w:rPr>
        <w:t>0571-87057615</w:t>
      </w:r>
    </w:p>
    <w:p>
      <w:pPr>
        <w:spacing w:line="360" w:lineRule="auto"/>
        <w:ind w:firstLine="630" w:firstLineChars="300"/>
        <w:jc w:val="both"/>
        <w:rPr>
          <w:rFonts w:ascii="宋体" w:cs="宋体"/>
          <w:color w:val="auto"/>
          <w:sz w:val="21"/>
          <w:szCs w:val="21"/>
          <w:highlight w:val="none"/>
        </w:rPr>
      </w:pPr>
      <w:r>
        <w:rPr>
          <w:rFonts w:hint="eastAsia" w:ascii="宋体" w:hAnsi="宋体" w:cs="宋体"/>
          <w:color w:val="auto"/>
          <w:sz w:val="21"/>
          <w:szCs w:val="21"/>
          <w:highlight w:val="none"/>
        </w:rPr>
        <w:t>地址：杭州市环城西路</w:t>
      </w:r>
      <w:r>
        <w:rPr>
          <w:rFonts w:ascii="宋体" w:hAnsi="宋体" w:cs="宋体"/>
          <w:color w:val="auto"/>
          <w:sz w:val="21"/>
          <w:szCs w:val="21"/>
          <w:highlight w:val="none"/>
        </w:rPr>
        <w:t xml:space="preserve"> 37 </w:t>
      </w:r>
      <w:r>
        <w:rPr>
          <w:rFonts w:hint="eastAsia" w:ascii="宋体" w:hAnsi="宋体" w:cs="宋体"/>
          <w:color w:val="auto"/>
          <w:sz w:val="21"/>
          <w:szCs w:val="21"/>
          <w:highlight w:val="none"/>
        </w:rPr>
        <w:t>号</w:t>
      </w:r>
    </w:p>
    <w:p>
      <w:pPr>
        <w:spacing w:line="360" w:lineRule="auto"/>
        <w:ind w:firstLine="398" w:firstLineChars="200"/>
        <w:jc w:val="both"/>
        <w:rPr>
          <w:rFonts w:ascii="宋体" w:cs="宋体"/>
          <w:b/>
          <w:color w:val="auto"/>
          <w:spacing w:val="-6"/>
          <w:sz w:val="21"/>
          <w:szCs w:val="21"/>
          <w:highlight w:val="none"/>
        </w:rPr>
      </w:pPr>
      <w:r>
        <w:rPr>
          <w:rFonts w:hint="eastAsia" w:ascii="宋体" w:hAnsi="宋体" w:cs="宋体"/>
          <w:b/>
          <w:color w:val="auto"/>
          <w:spacing w:val="-6"/>
          <w:sz w:val="21"/>
          <w:szCs w:val="21"/>
          <w:highlight w:val="none"/>
        </w:rPr>
        <w:t>十二、采购项目需要落实的政府采购政策：</w:t>
      </w:r>
    </w:p>
    <w:p>
      <w:pPr>
        <w:spacing w:line="360" w:lineRule="auto"/>
        <w:ind w:right="62" w:firstLine="594" w:firstLineChars="300"/>
        <w:jc w:val="both"/>
        <w:rPr>
          <w:rFonts w:ascii="宋体" w:cs="宋体"/>
          <w:color w:val="auto"/>
          <w:spacing w:val="-6"/>
          <w:sz w:val="21"/>
          <w:szCs w:val="21"/>
          <w:highlight w:val="none"/>
        </w:rPr>
      </w:pPr>
      <w:bookmarkStart w:id="20" w:name="_Toc24376_WPSOffice_Level2"/>
      <w:bookmarkStart w:id="21" w:name="_Toc23564_WPSOffice_Level2"/>
      <w:r>
        <w:rPr>
          <w:rFonts w:ascii="宋体" w:hAnsi="宋体" w:cs="宋体"/>
          <w:color w:val="auto"/>
          <w:spacing w:val="-6"/>
          <w:sz w:val="21"/>
          <w:szCs w:val="21"/>
          <w:highlight w:val="none"/>
        </w:rPr>
        <w:t>1.</w:t>
      </w:r>
      <w:r>
        <w:rPr>
          <w:rFonts w:hint="eastAsia" w:ascii="宋体" w:hAnsi="宋体" w:cs="宋体"/>
          <w:color w:val="auto"/>
          <w:spacing w:val="-6"/>
          <w:sz w:val="21"/>
          <w:szCs w:val="21"/>
          <w:highlight w:val="none"/>
        </w:rPr>
        <w:t>政府采购促进中小企业发展；</w:t>
      </w:r>
      <w:bookmarkEnd w:id="20"/>
      <w:bookmarkEnd w:id="21"/>
    </w:p>
    <w:p>
      <w:pPr>
        <w:spacing w:line="360" w:lineRule="auto"/>
        <w:ind w:right="62" w:firstLine="594" w:firstLineChars="300"/>
        <w:jc w:val="both"/>
        <w:rPr>
          <w:rFonts w:ascii="宋体" w:cs="宋体"/>
          <w:color w:val="auto"/>
          <w:spacing w:val="-6"/>
          <w:sz w:val="21"/>
          <w:szCs w:val="21"/>
          <w:highlight w:val="none"/>
        </w:rPr>
      </w:pPr>
      <w:bookmarkStart w:id="22" w:name="_Toc12050_WPSOffice_Level2"/>
      <w:bookmarkStart w:id="23" w:name="_Toc20341_WPSOffice_Level2"/>
      <w:r>
        <w:rPr>
          <w:rFonts w:ascii="宋体" w:hAnsi="宋体" w:cs="宋体"/>
          <w:color w:val="auto"/>
          <w:spacing w:val="-6"/>
          <w:sz w:val="21"/>
          <w:szCs w:val="21"/>
          <w:highlight w:val="none"/>
        </w:rPr>
        <w:t>2.</w:t>
      </w:r>
      <w:r>
        <w:rPr>
          <w:rFonts w:hint="eastAsia" w:ascii="宋体" w:hAnsi="宋体" w:cs="宋体"/>
          <w:color w:val="auto"/>
          <w:spacing w:val="-6"/>
          <w:sz w:val="21"/>
          <w:szCs w:val="21"/>
          <w:highlight w:val="none"/>
        </w:rPr>
        <w:t>政府采购支持监狱企业发展；</w:t>
      </w:r>
      <w:bookmarkEnd w:id="22"/>
      <w:bookmarkEnd w:id="23"/>
    </w:p>
    <w:p>
      <w:pPr>
        <w:spacing w:line="360" w:lineRule="auto"/>
        <w:ind w:right="62" w:firstLine="594" w:firstLineChars="300"/>
        <w:jc w:val="both"/>
        <w:rPr>
          <w:rFonts w:ascii="宋体" w:cs="宋体"/>
          <w:color w:val="auto"/>
          <w:spacing w:val="-6"/>
          <w:sz w:val="21"/>
          <w:szCs w:val="21"/>
          <w:highlight w:val="none"/>
        </w:rPr>
      </w:pPr>
      <w:bookmarkStart w:id="24" w:name="_Toc20772_WPSOffice_Level2"/>
      <w:bookmarkStart w:id="25" w:name="_Toc14818_WPSOffice_Level2"/>
      <w:r>
        <w:rPr>
          <w:rFonts w:ascii="宋体" w:hAnsi="宋体" w:cs="宋体"/>
          <w:color w:val="auto"/>
          <w:spacing w:val="-6"/>
          <w:sz w:val="21"/>
          <w:szCs w:val="21"/>
          <w:highlight w:val="none"/>
        </w:rPr>
        <w:t>3.</w:t>
      </w:r>
      <w:r>
        <w:rPr>
          <w:rFonts w:hint="eastAsia" w:ascii="宋体" w:hAnsi="宋体" w:cs="宋体"/>
          <w:color w:val="auto"/>
          <w:spacing w:val="-6"/>
          <w:sz w:val="21"/>
          <w:szCs w:val="21"/>
          <w:highlight w:val="none"/>
        </w:rPr>
        <w:t>政府采购促进残疾人就业；</w:t>
      </w:r>
      <w:bookmarkEnd w:id="24"/>
      <w:bookmarkEnd w:id="25"/>
    </w:p>
    <w:p>
      <w:pPr>
        <w:spacing w:line="360" w:lineRule="auto"/>
        <w:ind w:right="3626" w:firstLine="594" w:firstLineChars="300"/>
        <w:jc w:val="both"/>
        <w:rPr>
          <w:rFonts w:ascii="宋体" w:cs="宋体"/>
          <w:color w:val="auto"/>
          <w:sz w:val="21"/>
          <w:szCs w:val="21"/>
          <w:highlight w:val="none"/>
        </w:rPr>
        <w:sectPr>
          <w:headerReference r:id="rId7" w:type="default"/>
          <w:pgSz w:w="11900" w:h="16838"/>
          <w:pgMar w:top="1440" w:right="1440" w:bottom="401" w:left="1440" w:header="567" w:footer="567" w:gutter="0"/>
          <w:cols w:equalWidth="0" w:num="1">
            <w:col w:w="9026"/>
          </w:cols>
        </w:sectPr>
      </w:pPr>
      <w:bookmarkStart w:id="26" w:name="_Toc24533_WPSOffice_Level2"/>
      <w:bookmarkStart w:id="27" w:name="_Toc28987_WPSOffice_Level2"/>
      <w:r>
        <w:rPr>
          <w:rFonts w:ascii="宋体" w:hAnsi="宋体" w:cs="宋体"/>
          <w:color w:val="auto"/>
          <w:spacing w:val="-6"/>
          <w:sz w:val="21"/>
          <w:szCs w:val="21"/>
          <w:highlight w:val="none"/>
        </w:rPr>
        <w:t>4.</w:t>
      </w:r>
      <w:r>
        <w:rPr>
          <w:rFonts w:hint="eastAsia" w:ascii="宋体" w:hAnsi="宋体" w:cs="宋体"/>
          <w:color w:val="auto"/>
          <w:spacing w:val="-6"/>
          <w:sz w:val="21"/>
          <w:szCs w:val="21"/>
          <w:highlight w:val="none"/>
        </w:rPr>
        <w:t>政府采购鼓励节能、环保产品；</w:t>
      </w:r>
      <w:bookmarkEnd w:id="26"/>
      <w:bookmarkEnd w:id="27"/>
    </w:p>
    <w:p>
      <w:pPr>
        <w:spacing w:line="1" w:lineRule="exact"/>
        <w:rPr>
          <w:rFonts w:ascii="宋体" w:cs="宋体"/>
          <w:color w:val="auto"/>
          <w:sz w:val="20"/>
          <w:szCs w:val="20"/>
          <w:highlight w:val="none"/>
        </w:rPr>
      </w:pPr>
      <w:bookmarkStart w:id="28" w:name="page5"/>
      <w:bookmarkEnd w:id="28"/>
      <w:bookmarkStart w:id="29" w:name="page6"/>
      <w:bookmarkEnd w:id="29"/>
    </w:p>
    <w:p>
      <w:pPr>
        <w:spacing w:line="20" w:lineRule="exact"/>
        <w:rPr>
          <w:rFonts w:ascii="宋体" w:cs="宋体"/>
          <w:color w:val="auto"/>
          <w:highlight w:val="none"/>
        </w:rPr>
      </w:pPr>
      <w:r>
        <w:rPr>
          <w:color w:val="auto"/>
          <w:highlight w:val="none"/>
        </w:rPr>
        <w:pict>
          <v:shape id="Picture 8" o:spid="_x0000_s1034" o:spt="75" type="#_x0000_t75" style="position:absolute;left:0pt;margin-left:176.05pt;margin-top:-398.75pt;height:12.6pt;width:9.95pt;z-index:-251670528;mso-width-relative:page;mso-height-relative:page;" filled="f" o:preferrelative="t" stroked="f" coordsize="21600,21600" o:allowincell="f">
            <v:path/>
            <v:fill on="f" focussize="0,0"/>
            <v:stroke on="f" joinstyle="miter"/>
            <v:imagedata r:id="rId10" o:title=""/>
            <o:lock v:ext="edit" aspectratio="t"/>
          </v:shape>
        </w:pict>
      </w:r>
    </w:p>
    <w:p>
      <w:pPr>
        <w:tabs>
          <w:tab w:val="center" w:pos="4737"/>
        </w:tabs>
        <w:jc w:val="center"/>
        <w:rPr>
          <w:rFonts w:ascii="宋体" w:cs="宋体"/>
          <w:b/>
          <w:bCs/>
          <w:color w:val="auto"/>
          <w:sz w:val="32"/>
          <w:szCs w:val="32"/>
          <w:highlight w:val="none"/>
        </w:rPr>
      </w:pPr>
      <w:bookmarkStart w:id="30" w:name="_Toc1045_WPSOffice_Level1"/>
      <w:bookmarkStart w:id="31" w:name="_Toc14201_WPSOffice_Level1"/>
      <w:bookmarkStart w:id="32" w:name="_Toc6071_WPSOffice_Level1"/>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供应商须知前附表</w:t>
      </w:r>
      <w:bookmarkEnd w:id="30"/>
      <w:bookmarkEnd w:id="31"/>
      <w:bookmarkEnd w:id="32"/>
    </w:p>
    <w:p>
      <w:pPr>
        <w:tabs>
          <w:tab w:val="center" w:pos="4737"/>
        </w:tabs>
        <w:jc w:val="both"/>
        <w:rPr>
          <w:rFonts w:ascii="宋体" w:cs="宋体"/>
          <w:b/>
          <w:bCs/>
          <w:color w:val="auto"/>
          <w:sz w:val="32"/>
          <w:szCs w:val="32"/>
          <w:highlight w:val="none"/>
        </w:rPr>
      </w:pPr>
    </w:p>
    <w:tbl>
      <w:tblPr>
        <w:tblStyle w:val="19"/>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46"/>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blHeader/>
        </w:trPr>
        <w:tc>
          <w:tcPr>
            <w:tcW w:w="959" w:type="dxa"/>
            <w:tcBorders>
              <w:top w:val="single" w:color="auto" w:sz="12" w:space="0"/>
              <w:left w:val="single" w:color="auto" w:sz="12" w:space="0"/>
            </w:tcBorders>
            <w:vAlign w:val="center"/>
          </w:tcPr>
          <w:p>
            <w:pPr>
              <w:snapToGrid w:val="0"/>
              <w:spacing w:line="400" w:lineRule="exact"/>
              <w:jc w:val="center"/>
              <w:rPr>
                <w:rFonts w:ascii="宋体" w:cs="宋体"/>
                <w:b/>
                <w:color w:val="auto"/>
                <w:sz w:val="21"/>
                <w:szCs w:val="21"/>
                <w:highlight w:val="none"/>
              </w:rPr>
            </w:pPr>
            <w:r>
              <w:rPr>
                <w:rFonts w:hint="eastAsia" w:ascii="宋体" w:hAnsi="宋体" w:cs="宋体"/>
                <w:b/>
                <w:color w:val="auto"/>
                <w:sz w:val="21"/>
                <w:szCs w:val="21"/>
                <w:highlight w:val="none"/>
              </w:rPr>
              <w:t>序号</w:t>
            </w:r>
          </w:p>
        </w:tc>
        <w:tc>
          <w:tcPr>
            <w:tcW w:w="2146" w:type="dxa"/>
            <w:tcBorders>
              <w:top w:val="single" w:color="auto" w:sz="12" w:space="0"/>
            </w:tcBorders>
            <w:vAlign w:val="center"/>
          </w:tcPr>
          <w:p>
            <w:pPr>
              <w:snapToGrid w:val="0"/>
              <w:spacing w:line="400" w:lineRule="exact"/>
              <w:jc w:val="center"/>
              <w:rPr>
                <w:rFonts w:ascii="宋体" w:cs="宋体"/>
                <w:b/>
                <w:color w:val="auto"/>
                <w:sz w:val="21"/>
                <w:szCs w:val="21"/>
                <w:highlight w:val="none"/>
              </w:rPr>
            </w:pPr>
            <w:r>
              <w:rPr>
                <w:rFonts w:hint="eastAsia" w:ascii="宋体" w:hAnsi="宋体" w:cs="宋体"/>
                <w:b/>
                <w:color w:val="auto"/>
                <w:sz w:val="21"/>
                <w:szCs w:val="21"/>
                <w:highlight w:val="none"/>
              </w:rPr>
              <w:t>内容</w:t>
            </w:r>
          </w:p>
        </w:tc>
        <w:tc>
          <w:tcPr>
            <w:tcW w:w="6314" w:type="dxa"/>
            <w:tcBorders>
              <w:top w:val="single" w:color="auto" w:sz="12" w:space="0"/>
              <w:right w:val="single" w:color="auto" w:sz="12" w:space="0"/>
            </w:tcBorders>
            <w:vAlign w:val="center"/>
          </w:tcPr>
          <w:p>
            <w:pPr>
              <w:snapToGrid w:val="0"/>
              <w:spacing w:line="400" w:lineRule="exact"/>
              <w:jc w:val="center"/>
              <w:rPr>
                <w:rFonts w:ascii="宋体" w:cs="宋体"/>
                <w:b/>
                <w:color w:val="auto"/>
                <w:sz w:val="21"/>
                <w:szCs w:val="21"/>
                <w:highlight w:val="none"/>
              </w:rPr>
            </w:pPr>
            <w:r>
              <w:rPr>
                <w:rFonts w:hint="eastAsia" w:ascii="宋体" w:hAnsi="宋体" w:cs="宋体"/>
                <w:b/>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采购人</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color w:val="auto"/>
                <w:sz w:val="21"/>
                <w:szCs w:val="21"/>
                <w:highlight w:val="none"/>
              </w:rPr>
              <w:t>浙江农林大学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2</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采购代理机构</w:t>
            </w:r>
          </w:p>
        </w:tc>
        <w:tc>
          <w:tcPr>
            <w:tcW w:w="6314" w:type="dxa"/>
            <w:tcBorders>
              <w:right w:val="single" w:color="auto" w:sz="12" w:space="0"/>
            </w:tcBorders>
            <w:vAlign w:val="center"/>
          </w:tcPr>
          <w:p>
            <w:pPr>
              <w:spacing w:line="300" w:lineRule="exact"/>
              <w:rPr>
                <w:rFonts w:ascii="宋体" w:cs="宋体"/>
                <w:color w:val="auto"/>
                <w:sz w:val="21"/>
                <w:szCs w:val="21"/>
                <w:highlight w:val="none"/>
              </w:rPr>
            </w:pPr>
            <w:r>
              <w:rPr>
                <w:rFonts w:hint="eastAsia" w:ascii="宋体" w:hAnsi="宋体" w:cs="宋体"/>
                <w:color w:val="auto"/>
                <w:sz w:val="21"/>
                <w:szCs w:val="21"/>
                <w:highlight w:val="none"/>
              </w:rPr>
              <w:t>浙江五石工程咨询有限公司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3</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是否接受联合体投标</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color w:val="auto"/>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4</w:t>
            </w:r>
          </w:p>
        </w:tc>
        <w:tc>
          <w:tcPr>
            <w:tcW w:w="2146" w:type="dxa"/>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工期</w:t>
            </w:r>
          </w:p>
        </w:tc>
        <w:tc>
          <w:tcPr>
            <w:tcW w:w="6314" w:type="dxa"/>
            <w:tcBorders>
              <w:right w:val="single" w:color="auto" w:sz="12" w:space="0"/>
            </w:tcBorders>
            <w:vAlign w:val="center"/>
          </w:tcPr>
          <w:p>
            <w:pPr>
              <w:rPr>
                <w:rFonts w:ascii="宋体" w:cs="宋体"/>
                <w:color w:val="auto"/>
                <w:sz w:val="21"/>
                <w:szCs w:val="21"/>
                <w:highlight w:val="none"/>
              </w:rPr>
            </w:pPr>
            <w:r>
              <w:rPr>
                <w:rFonts w:hint="eastAsia" w:ascii="宋体" w:hAnsi="宋体" w:cs="宋体"/>
                <w:b/>
                <w:bCs/>
                <w:color w:val="auto"/>
                <w:sz w:val="21"/>
                <w:szCs w:val="21"/>
                <w:highlight w:val="none"/>
              </w:rPr>
              <w:t>计划工期：签订合同之日起</w:t>
            </w:r>
            <w:r>
              <w:rPr>
                <w:rFonts w:ascii="宋体" w:hAnsi="宋体" w:cs="宋体"/>
                <w:b/>
                <w:bCs/>
                <w:color w:val="auto"/>
                <w:sz w:val="21"/>
                <w:szCs w:val="21"/>
                <w:highlight w:val="none"/>
              </w:rPr>
              <w:t>30</w:t>
            </w:r>
            <w:r>
              <w:rPr>
                <w:rFonts w:hint="eastAsia" w:ascii="宋体" w:hAnsi="宋体" w:cs="宋体"/>
                <w:b/>
                <w:bCs/>
                <w:color w:val="auto"/>
                <w:sz w:val="21"/>
                <w:szCs w:val="21"/>
                <w:highlight w:val="none"/>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5</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质量要求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color w:val="auto"/>
                <w:sz w:val="21"/>
                <w:szCs w:val="21"/>
                <w:highlight w:val="none"/>
              </w:rPr>
              <w:t>质量要求符合《工程施工质量验收规范》达到国家验收规范</w:t>
            </w:r>
            <w:r>
              <w:rPr>
                <w:rFonts w:hint="eastAsia" w:ascii="宋体" w:hAnsi="宋体" w:cs="宋体"/>
                <w:b/>
                <w:bCs/>
                <w:color w:val="auto"/>
                <w:sz w:val="21"/>
                <w:szCs w:val="21"/>
                <w:highlight w:val="none"/>
              </w:rPr>
              <w:t>合格</w:t>
            </w:r>
            <w:r>
              <w:rPr>
                <w:rFonts w:hint="eastAsia" w:ascii="宋体" w:hAnsi="宋体" w:cs="宋体"/>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6</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现场踏勘</w:t>
            </w:r>
          </w:p>
        </w:tc>
        <w:tc>
          <w:tcPr>
            <w:tcW w:w="6314" w:type="dxa"/>
            <w:tcBorders>
              <w:right w:val="single" w:color="auto" w:sz="12" w:space="0"/>
            </w:tcBorders>
            <w:vAlign w:val="center"/>
          </w:tcPr>
          <w:p>
            <w:pPr>
              <w:spacing w:line="300" w:lineRule="exact"/>
              <w:rPr>
                <w:rFonts w:ascii="宋体" w:cs="宋体"/>
                <w:color w:val="auto"/>
                <w:sz w:val="21"/>
                <w:szCs w:val="21"/>
                <w:highlight w:val="none"/>
              </w:rPr>
            </w:pPr>
            <w:r>
              <w:rPr>
                <w:rFonts w:hint="eastAsia" w:ascii="宋体" w:hAnsi="宋体" w:cs="宋体"/>
                <w:color w:val="auto"/>
                <w:sz w:val="21"/>
                <w:szCs w:val="21"/>
                <w:highlight w:val="none"/>
              </w:rPr>
              <w:t>不组织，投标人如有需要，经采购人同意后可自行前往，踏勘期间发生的费用或意外导致伤亡等一切责任和损失均由投标人自负。</w:t>
            </w:r>
          </w:p>
          <w:p>
            <w:pPr>
              <w:rPr>
                <w:rFonts w:ascii="宋体" w:cs="宋体"/>
                <w:color w:val="auto"/>
                <w:sz w:val="21"/>
                <w:szCs w:val="21"/>
                <w:highlight w:val="none"/>
              </w:rPr>
            </w:pPr>
            <w:r>
              <w:rPr>
                <w:rFonts w:hint="eastAsia" w:ascii="宋体" w:hAnsi="宋体" w:cs="宋体"/>
                <w:color w:val="auto"/>
                <w:sz w:val="21"/>
                <w:szCs w:val="21"/>
                <w:highlight w:val="none"/>
              </w:rPr>
              <w:t>联系人：俞老师</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联系方式：</w:t>
            </w:r>
            <w:r>
              <w:rPr>
                <w:rFonts w:ascii="宋体" w:hAnsi="宋体" w:cs="宋体"/>
                <w:color w:val="auto"/>
                <w:sz w:val="21"/>
                <w:szCs w:val="21"/>
                <w:highlight w:val="none"/>
              </w:rPr>
              <w:t>0571-63732951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7</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答疑会</w:t>
            </w:r>
          </w:p>
        </w:tc>
        <w:tc>
          <w:tcPr>
            <w:tcW w:w="6314" w:type="dxa"/>
            <w:tcBorders>
              <w:right w:val="single" w:color="auto" w:sz="12" w:space="0"/>
            </w:tcBorders>
            <w:vAlign w:val="center"/>
          </w:tcPr>
          <w:p>
            <w:pPr>
              <w:spacing w:line="300" w:lineRule="exact"/>
              <w:ind w:right="87"/>
              <w:rPr>
                <w:rFonts w:ascii="宋体" w:cs="宋体"/>
                <w:color w:val="auto"/>
                <w:sz w:val="21"/>
                <w:szCs w:val="21"/>
                <w:highlight w:val="none"/>
              </w:rPr>
            </w:pPr>
            <w:r>
              <w:rPr>
                <w:rFonts w:hint="eastAsia" w:ascii="宋体" w:hAnsi="宋体" w:cs="宋体"/>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8</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b/>
                <w:bCs/>
                <w:color w:val="auto"/>
                <w:sz w:val="21"/>
                <w:szCs w:val="21"/>
                <w:highlight w:val="none"/>
              </w:rPr>
              <w:t>分包</w:t>
            </w:r>
          </w:p>
        </w:tc>
        <w:tc>
          <w:tcPr>
            <w:tcW w:w="6314" w:type="dxa"/>
            <w:tcBorders>
              <w:right w:val="single" w:color="auto" w:sz="12" w:space="0"/>
            </w:tcBorders>
            <w:vAlign w:val="center"/>
          </w:tcPr>
          <w:p>
            <w:pPr>
              <w:spacing w:line="300" w:lineRule="exact"/>
              <w:rPr>
                <w:rFonts w:ascii="宋体" w:cs="宋体"/>
                <w:color w:val="auto"/>
                <w:sz w:val="21"/>
                <w:szCs w:val="21"/>
                <w:highlight w:val="none"/>
              </w:rPr>
            </w:pPr>
            <w:r>
              <w:rPr>
                <w:rFonts w:hint="eastAsia" w:ascii="宋体" w:hAnsi="宋体" w:cs="宋体"/>
                <w:color w:val="auto"/>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9</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询疑截止时间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color w:val="auto"/>
                <w:sz w:val="21"/>
                <w:szCs w:val="21"/>
                <w:highlight w:val="none"/>
              </w:rPr>
              <w:t>投标人在收到招标文件后，对招标文件若有疑问，均应在</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7</w:t>
            </w:r>
            <w:r>
              <w:rPr>
                <w:rFonts w:hint="eastAsia" w:ascii="宋体" w:hAnsi="宋体" w:cs="宋体"/>
                <w:color w:val="auto"/>
                <w:sz w:val="21"/>
                <w:szCs w:val="21"/>
                <w:highlight w:val="none"/>
              </w:rPr>
              <w:t>月</w:t>
            </w:r>
            <w:r>
              <w:rPr>
                <w:rFonts w:ascii="宋体" w:hAnsi="宋体" w:cs="宋体"/>
                <w:color w:val="auto"/>
                <w:sz w:val="21"/>
                <w:szCs w:val="21"/>
                <w:highlight w:val="none"/>
              </w:rPr>
              <w:t>16</w:t>
            </w:r>
            <w:r>
              <w:rPr>
                <w:rFonts w:hint="eastAsia" w:ascii="宋体" w:hAnsi="宋体" w:cs="宋体"/>
                <w:color w:val="auto"/>
                <w:sz w:val="21"/>
                <w:szCs w:val="21"/>
                <w:highlight w:val="none"/>
              </w:rPr>
              <w:t>日</w:t>
            </w:r>
            <w:r>
              <w:rPr>
                <w:rFonts w:ascii="宋体" w:hAnsi="宋体" w:cs="宋体"/>
                <w:color w:val="auto"/>
                <w:sz w:val="21"/>
                <w:szCs w:val="21"/>
                <w:highlight w:val="none"/>
              </w:rPr>
              <w:t>17 :00</w:t>
            </w:r>
            <w:r>
              <w:rPr>
                <w:rFonts w:hint="eastAsia" w:ascii="宋体" w:hAnsi="宋体" w:cs="宋体"/>
                <w:color w:val="auto"/>
                <w:sz w:val="21"/>
                <w:szCs w:val="21"/>
                <w:highlight w:val="none"/>
              </w:rPr>
              <w:t>前以书面形式向招标代理机构提交。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10</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签字或盖章要求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color w:val="auto"/>
                <w:sz w:val="21"/>
                <w:szCs w:val="21"/>
                <w:highlight w:val="none"/>
              </w:rPr>
              <w:t>按照响应文件格式要求签署、盖章。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11</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响应文件份数</w:t>
            </w:r>
          </w:p>
        </w:tc>
        <w:tc>
          <w:tcPr>
            <w:tcW w:w="6314" w:type="dxa"/>
            <w:tcBorders>
              <w:right w:val="single" w:color="auto" w:sz="12" w:space="0"/>
            </w:tcBorders>
            <w:vAlign w:val="center"/>
          </w:tcPr>
          <w:p>
            <w:pPr>
              <w:pStyle w:val="7"/>
              <w:rPr>
                <w:rFonts w:ascii="宋体" w:hAnsi="宋体" w:cs="宋体"/>
                <w:color w:val="auto"/>
                <w:sz w:val="21"/>
                <w:szCs w:val="21"/>
                <w:highlight w:val="none"/>
              </w:rPr>
            </w:pPr>
            <w:r>
              <w:rPr>
                <w:rFonts w:hint="eastAsia" w:ascii="宋体" w:hAnsi="宋体" w:cs="宋体"/>
                <w:color w:val="auto"/>
                <w:sz w:val="21"/>
                <w:szCs w:val="21"/>
                <w:highlight w:val="none"/>
              </w:rPr>
              <w:t>响应文件组成：正本一份、副本四份、电子版一份（</w:t>
            </w:r>
            <w:r>
              <w:rPr>
                <w:rFonts w:ascii="宋体" w:hAnsi="宋体" w:cs="宋体"/>
                <w:color w:val="auto"/>
                <w:sz w:val="21"/>
                <w:szCs w:val="21"/>
                <w:highlight w:val="none"/>
              </w:rPr>
              <w:t>U</w:t>
            </w:r>
            <w:r>
              <w:rPr>
                <w:rFonts w:hint="eastAsia" w:ascii="宋体" w:hAnsi="宋体" w:cs="宋体"/>
                <w:color w:val="auto"/>
                <w:sz w:val="21"/>
                <w:szCs w:val="21"/>
                <w:highlight w:val="none"/>
              </w:rPr>
              <w:t>盘或光盘）。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12</w:t>
            </w:r>
          </w:p>
        </w:tc>
        <w:tc>
          <w:tcPr>
            <w:tcW w:w="2146" w:type="dxa"/>
            <w:vAlign w:val="center"/>
          </w:tcPr>
          <w:p>
            <w:pPr>
              <w:autoSpaceDE w:val="0"/>
              <w:autoSpaceDN w:val="0"/>
              <w:adjustRightInd w:val="0"/>
              <w:snapToGrid w:val="0"/>
              <w:spacing w:line="300" w:lineRule="exact"/>
              <w:jc w:val="center"/>
              <w:textAlignment w:val="bottom"/>
              <w:rPr>
                <w:rFonts w:ascii="宋体" w:cs="宋体"/>
                <w:b/>
                <w:bCs/>
                <w:color w:val="auto"/>
                <w:sz w:val="21"/>
                <w:szCs w:val="21"/>
                <w:highlight w:val="none"/>
              </w:rPr>
            </w:pPr>
            <w:r>
              <w:rPr>
                <w:rFonts w:hint="eastAsia" w:ascii="宋体" w:hAnsi="宋体" w:cs="宋体"/>
                <w:b/>
                <w:bCs/>
                <w:color w:val="auto"/>
                <w:sz w:val="21"/>
                <w:szCs w:val="21"/>
                <w:highlight w:val="none"/>
              </w:rPr>
              <w:t>响应文件装订要求</w:t>
            </w:r>
          </w:p>
        </w:tc>
        <w:tc>
          <w:tcPr>
            <w:tcW w:w="6314" w:type="dxa"/>
            <w:tcBorders>
              <w:right w:val="single" w:color="auto" w:sz="12" w:space="0"/>
            </w:tcBorders>
            <w:vAlign w:val="center"/>
          </w:tcPr>
          <w:p>
            <w:pPr>
              <w:spacing w:line="300" w:lineRule="exact"/>
              <w:rPr>
                <w:rFonts w:ascii="宋体" w:cs="宋体"/>
                <w:b/>
                <w:bCs/>
                <w:color w:val="auto"/>
                <w:spacing w:val="-6"/>
                <w:sz w:val="21"/>
                <w:szCs w:val="21"/>
                <w:highlight w:val="none"/>
                <w:u w:val="single"/>
              </w:rPr>
            </w:pPr>
            <w:r>
              <w:rPr>
                <w:rFonts w:hint="eastAsia" w:ascii="宋体" w:hAnsi="宋体" w:cs="宋体"/>
                <w:color w:val="auto"/>
                <w:spacing w:val="-6"/>
                <w:sz w:val="21"/>
                <w:szCs w:val="21"/>
                <w:highlight w:val="none"/>
                <w:u w:val="single"/>
              </w:rPr>
              <w:t>响应方应将报价文件和商务文件、技术文件分别编制，</w:t>
            </w:r>
            <w:r>
              <w:rPr>
                <w:rFonts w:hint="eastAsia" w:ascii="宋体" w:hAnsi="宋体" w:cs="宋体"/>
                <w:b/>
                <w:bCs/>
                <w:color w:val="auto"/>
                <w:spacing w:val="-6"/>
                <w:sz w:val="21"/>
                <w:szCs w:val="21"/>
                <w:highlight w:val="none"/>
                <w:u w:val="single"/>
              </w:rPr>
              <w:t>商务文件和技术文件可以合钉成一本，报价文件单独成册装订。（要求胶装）并在封面注明</w:t>
            </w:r>
            <w:r>
              <w:rPr>
                <w:rFonts w:ascii="宋体" w:hAnsi="宋体" w:cs="宋体"/>
                <w:b/>
                <w:bCs/>
                <w:color w:val="auto"/>
                <w:spacing w:val="-6"/>
                <w:sz w:val="21"/>
                <w:szCs w:val="21"/>
                <w:highlight w:val="none"/>
                <w:u w:val="single"/>
              </w:rPr>
              <w:t xml:space="preserve"> </w:t>
            </w:r>
            <w:r>
              <w:rPr>
                <w:rFonts w:hint="eastAsia" w:ascii="宋体" w:hAnsi="宋体" w:cs="宋体"/>
                <w:b/>
                <w:bCs/>
                <w:color w:val="auto"/>
                <w:spacing w:val="-6"/>
                <w:sz w:val="21"/>
                <w:szCs w:val="21"/>
                <w:highlight w:val="none"/>
                <w:u w:val="single"/>
              </w:rPr>
              <w:t>“正本”或“副本”字样。</w:t>
            </w:r>
          </w:p>
          <w:p>
            <w:pPr>
              <w:spacing w:line="300" w:lineRule="exact"/>
              <w:rPr>
                <w:rFonts w:ascii="宋体" w:cs="宋体"/>
                <w:b/>
                <w:bCs/>
                <w:color w:val="auto"/>
                <w:sz w:val="21"/>
                <w:szCs w:val="21"/>
                <w:highlight w:val="none"/>
              </w:rPr>
            </w:pPr>
            <w:r>
              <w:rPr>
                <w:rFonts w:hint="eastAsia" w:ascii="宋体" w:hAnsi="宋体" w:cs="宋体"/>
                <w:color w:val="auto"/>
                <w:spacing w:val="-6"/>
                <w:sz w:val="21"/>
                <w:szCs w:val="21"/>
                <w:highlight w:val="none"/>
              </w:rPr>
              <w:t>▲</w:t>
            </w:r>
            <w:r>
              <w:rPr>
                <w:rFonts w:hint="eastAsia" w:ascii="宋体" w:hAnsi="宋体" w:cs="宋体"/>
                <w:color w:val="auto"/>
                <w:sz w:val="21"/>
                <w:szCs w:val="21"/>
                <w:highlight w:val="none"/>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13</w:t>
            </w:r>
          </w:p>
        </w:tc>
        <w:tc>
          <w:tcPr>
            <w:tcW w:w="2146" w:type="dxa"/>
            <w:vAlign w:val="center"/>
          </w:tcPr>
          <w:p>
            <w:pPr>
              <w:spacing w:line="300" w:lineRule="exact"/>
              <w:jc w:val="center"/>
              <w:rPr>
                <w:rFonts w:ascii="宋体" w:cs="宋体"/>
                <w:color w:val="auto"/>
                <w:sz w:val="21"/>
                <w:szCs w:val="21"/>
                <w:highlight w:val="none"/>
              </w:rPr>
            </w:pPr>
            <w:r>
              <w:rPr>
                <w:rFonts w:hint="eastAsia" w:ascii="宋体" w:hAnsi="宋体" w:cs="宋体"/>
                <w:color w:val="auto"/>
                <w:sz w:val="21"/>
                <w:szCs w:val="21"/>
                <w:highlight w:val="none"/>
              </w:rPr>
              <w:t>磋商保证金</w:t>
            </w:r>
          </w:p>
        </w:tc>
        <w:tc>
          <w:tcPr>
            <w:tcW w:w="6314" w:type="dxa"/>
            <w:tcBorders>
              <w:right w:val="single" w:color="auto" w:sz="12" w:space="0"/>
            </w:tcBorders>
            <w:vAlign w:val="center"/>
          </w:tcPr>
          <w:p>
            <w:pPr>
              <w:pStyle w:val="9"/>
              <w:spacing w:before="120" w:after="120" w:line="300" w:lineRule="exact"/>
              <w:rPr>
                <w:rFonts w:hAnsi="宋体" w:cs="宋体"/>
                <w:color w:val="auto"/>
                <w:sz w:val="21"/>
                <w:szCs w:val="21"/>
                <w:highlight w:val="none"/>
                <w:u w:val="single"/>
              </w:rPr>
            </w:pPr>
            <w:r>
              <w:rPr>
                <w:rFonts w:hint="eastAsia" w:hAnsi="宋体" w:cs="宋体"/>
                <w:color w:val="auto"/>
                <w:sz w:val="21"/>
                <w:szCs w:val="21"/>
                <w:highlight w:val="none"/>
                <w:u w:val="single"/>
              </w:rPr>
              <w:t>本项目不提交；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14</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响应文件有效期</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color w:val="auto"/>
                <w:sz w:val="21"/>
                <w:szCs w:val="21"/>
                <w:highlight w:val="none"/>
              </w:rPr>
              <w:t>自响应文件提交截止时间起</w:t>
            </w:r>
            <w:r>
              <w:rPr>
                <w:rFonts w:ascii="宋体" w:hAnsi="宋体" w:cs="宋体"/>
                <w:color w:val="auto"/>
                <w:sz w:val="21"/>
                <w:szCs w:val="21"/>
                <w:highlight w:val="none"/>
              </w:rPr>
              <w:t>120</w:t>
            </w:r>
            <w:r>
              <w:rPr>
                <w:rFonts w:hint="eastAsia" w:ascii="宋体" w:hAnsi="宋体" w:cs="宋体"/>
                <w:color w:val="auto"/>
                <w:sz w:val="21"/>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15</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响应文件密封要求</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b/>
                <w:color w:val="auto"/>
                <w:spacing w:val="-8"/>
                <w:sz w:val="21"/>
                <w:szCs w:val="21"/>
                <w:highlight w:val="none"/>
              </w:rPr>
              <w:t>应将响应文件</w:t>
            </w:r>
            <w:r>
              <w:rPr>
                <w:rFonts w:hint="eastAsia" w:ascii="宋体" w:hAnsi="宋体" w:cs="宋体"/>
                <w:b/>
                <w:bCs/>
                <w:color w:val="auto"/>
                <w:spacing w:val="-6"/>
                <w:sz w:val="21"/>
                <w:szCs w:val="21"/>
                <w:highlight w:val="none"/>
                <w:u w:val="single"/>
              </w:rPr>
              <w:t>商务文件和技术文件</w:t>
            </w:r>
            <w:r>
              <w:rPr>
                <w:rFonts w:hint="eastAsia" w:ascii="宋体" w:hAnsi="宋体" w:cs="宋体"/>
                <w:b/>
                <w:color w:val="auto"/>
                <w:spacing w:val="-8"/>
                <w:sz w:val="21"/>
                <w:szCs w:val="21"/>
                <w:highlight w:val="none"/>
              </w:rPr>
              <w:t>正本与副本密封包装为一包，</w:t>
            </w:r>
            <w:r>
              <w:rPr>
                <w:rFonts w:hint="eastAsia" w:ascii="宋体" w:hAnsi="宋体" w:cs="宋体"/>
                <w:b/>
                <w:color w:val="auto"/>
                <w:spacing w:val="-8"/>
                <w:sz w:val="21"/>
                <w:szCs w:val="21"/>
                <w:highlight w:val="none"/>
                <w:u w:val="single"/>
              </w:rPr>
              <w:t>报价文件</w:t>
            </w:r>
            <w:r>
              <w:rPr>
                <w:rFonts w:hint="eastAsia" w:ascii="宋体" w:hAnsi="宋体" w:cs="宋体"/>
                <w:b/>
                <w:color w:val="auto"/>
                <w:spacing w:val="-8"/>
                <w:sz w:val="21"/>
                <w:szCs w:val="21"/>
                <w:highlight w:val="none"/>
              </w:rPr>
              <w:t>正本与副本和</w:t>
            </w:r>
            <w:r>
              <w:rPr>
                <w:rFonts w:hint="eastAsia" w:ascii="宋体" w:hAnsi="宋体" w:cs="宋体"/>
                <w:b/>
                <w:color w:val="auto"/>
                <w:spacing w:val="-8"/>
                <w:sz w:val="21"/>
                <w:szCs w:val="21"/>
                <w:highlight w:val="none"/>
                <w:u w:val="single"/>
              </w:rPr>
              <w:t>电子版</w:t>
            </w:r>
            <w:r>
              <w:rPr>
                <w:rFonts w:hint="eastAsia" w:ascii="宋体" w:hAnsi="宋体" w:cs="宋体"/>
                <w:b/>
                <w:color w:val="auto"/>
                <w:spacing w:val="-8"/>
                <w:sz w:val="21"/>
                <w:szCs w:val="21"/>
                <w:highlight w:val="none"/>
              </w:rPr>
              <w:t>密封包装为一包。</w:t>
            </w:r>
            <w:r>
              <w:rPr>
                <w:rFonts w:hint="eastAsia" w:ascii="宋体" w:hAnsi="宋体" w:cs="宋体"/>
                <w:color w:val="auto"/>
                <w:sz w:val="21"/>
                <w:szCs w:val="21"/>
                <w:highlight w:val="none"/>
              </w:rPr>
              <w:t>在外包装上注明投标项目名称、项目编号、投标人全称及开标时启封字样，并加盖公章。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16</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响应文件递交截止时间</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17</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开标时间、地点</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color w:val="auto"/>
                <w:sz w:val="21"/>
                <w:szCs w:val="21"/>
                <w:highlight w:val="none"/>
              </w:rPr>
              <w:t>按公告规定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959" w:type="dxa"/>
            <w:tcBorders>
              <w:left w:val="single" w:color="auto" w:sz="12" w:space="0"/>
            </w:tcBorders>
            <w:vAlign w:val="center"/>
          </w:tcPr>
          <w:p>
            <w:pPr>
              <w:jc w:val="center"/>
              <w:rPr>
                <w:rFonts w:ascii="宋体" w:cs="宋体"/>
                <w:color w:val="auto"/>
                <w:sz w:val="21"/>
                <w:szCs w:val="21"/>
                <w:highlight w:val="none"/>
              </w:rPr>
            </w:pPr>
            <w:r>
              <w:rPr>
                <w:rFonts w:ascii="宋体" w:hAnsi="宋体" w:cs="宋体"/>
                <w:color w:val="auto"/>
                <w:sz w:val="21"/>
                <w:szCs w:val="21"/>
                <w:highlight w:val="none"/>
              </w:rPr>
              <w:t>18</w:t>
            </w:r>
          </w:p>
        </w:tc>
        <w:tc>
          <w:tcPr>
            <w:tcW w:w="2146" w:type="dxa"/>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履约保证金</w:t>
            </w:r>
          </w:p>
        </w:tc>
        <w:tc>
          <w:tcPr>
            <w:tcW w:w="6314" w:type="dxa"/>
            <w:tcBorders>
              <w:right w:val="single" w:color="auto" w:sz="12" w:space="0"/>
            </w:tcBorders>
            <w:vAlign w:val="center"/>
          </w:tcPr>
          <w:p>
            <w:pPr>
              <w:rPr>
                <w:rFonts w:hint="eastAsia" w:ascii="宋体" w:cs="宋体"/>
                <w:b w:val="0"/>
                <w:bCs/>
                <w:color w:val="auto"/>
                <w:sz w:val="21"/>
                <w:szCs w:val="21"/>
                <w:highlight w:val="none"/>
              </w:rPr>
            </w:pPr>
            <w:r>
              <w:rPr>
                <w:rFonts w:hint="eastAsia" w:ascii="宋体" w:cs="宋体"/>
                <w:b w:val="0"/>
                <w:bCs/>
                <w:color w:val="auto"/>
                <w:sz w:val="21"/>
                <w:szCs w:val="21"/>
                <w:highlight w:val="none"/>
              </w:rPr>
              <w:t>（1）成交人向采购方提供履约担保，担保方式为：  银行汇票或转帐支票或现金支票  担保合同作为本合同附件。担保额度：合同价的2.5%。成交人在合同协议签订前3天内，应按合同规定向采购人提交履约保证金。</w:t>
            </w:r>
          </w:p>
          <w:p>
            <w:pPr>
              <w:rPr>
                <w:rFonts w:hint="eastAsia" w:ascii="宋体" w:cs="宋体"/>
                <w:b w:val="0"/>
                <w:bCs/>
                <w:color w:val="auto"/>
                <w:sz w:val="21"/>
                <w:szCs w:val="21"/>
                <w:highlight w:val="none"/>
              </w:rPr>
            </w:pPr>
            <w:r>
              <w:rPr>
                <w:rFonts w:hint="eastAsia" w:ascii="宋体" w:cs="宋体"/>
                <w:b w:val="0"/>
                <w:bCs/>
                <w:color w:val="auto"/>
                <w:sz w:val="21"/>
                <w:szCs w:val="21"/>
                <w:highlight w:val="none"/>
              </w:rPr>
              <w:t>（2）双方约定的其他担保事项：履约担保金中40%作为质量担保，30%作为工期进度担保，剩余30%作为文明施工担保。</w:t>
            </w:r>
          </w:p>
          <w:p>
            <w:pPr>
              <w:rPr>
                <w:rFonts w:hint="eastAsia" w:ascii="宋体" w:cs="宋体"/>
                <w:b w:val="0"/>
                <w:bCs/>
                <w:color w:val="auto"/>
                <w:sz w:val="21"/>
                <w:szCs w:val="21"/>
                <w:highlight w:val="none"/>
              </w:rPr>
            </w:pPr>
            <w:r>
              <w:rPr>
                <w:rFonts w:hint="eastAsia" w:ascii="宋体" w:cs="宋体"/>
                <w:b w:val="0"/>
                <w:bCs/>
                <w:color w:val="auto"/>
                <w:sz w:val="21"/>
                <w:szCs w:val="21"/>
                <w:highlight w:val="none"/>
              </w:rPr>
              <w:t>（3）如成交人原因造成合同中止，履约担保金不返还。</w:t>
            </w:r>
          </w:p>
          <w:p>
            <w:pPr>
              <w:rPr>
                <w:rFonts w:ascii="宋体" w:cs="宋体"/>
                <w:b/>
                <w:color w:val="auto"/>
                <w:sz w:val="21"/>
                <w:szCs w:val="21"/>
                <w:highlight w:val="none"/>
              </w:rPr>
            </w:pPr>
            <w:r>
              <w:rPr>
                <w:rFonts w:hint="eastAsia" w:ascii="宋体" w:cs="宋体"/>
                <w:b w:val="0"/>
                <w:bCs/>
                <w:color w:val="auto"/>
                <w:sz w:val="21"/>
                <w:szCs w:val="21"/>
                <w:highlight w:val="none"/>
              </w:rPr>
              <w:t>（4）如成交人不能按磋商承诺和合同要求履约，采购人将有权扣除相应甚至全部履约保证金。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19</w:t>
            </w:r>
          </w:p>
        </w:tc>
        <w:tc>
          <w:tcPr>
            <w:tcW w:w="2146" w:type="dxa"/>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hint="eastAsia" w:ascii="宋体" w:hAnsi="宋体" w:cs="宋体"/>
                <w:color w:val="auto"/>
                <w:sz w:val="21"/>
                <w:szCs w:val="21"/>
                <w:highlight w:val="none"/>
              </w:rPr>
              <w:t>评标方法及标准</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color w:val="auto"/>
                <w:sz w:val="21"/>
                <w:szCs w:val="21"/>
                <w:highlight w:val="none"/>
              </w:rPr>
            </w:pPr>
            <w:r>
              <w:rPr>
                <w:rFonts w:hint="eastAsia" w:ascii="宋体" w:hAnsi="宋体" w:cs="宋体"/>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20</w:t>
            </w:r>
          </w:p>
        </w:tc>
        <w:tc>
          <w:tcPr>
            <w:tcW w:w="2146" w:type="dxa"/>
            <w:vAlign w:val="center"/>
          </w:tcPr>
          <w:p>
            <w:pPr>
              <w:autoSpaceDE w:val="0"/>
              <w:autoSpaceDN w:val="0"/>
              <w:adjustRightInd w:val="0"/>
              <w:snapToGrid w:val="0"/>
              <w:spacing w:line="300" w:lineRule="exact"/>
              <w:jc w:val="center"/>
              <w:textAlignment w:val="bottom"/>
              <w:rPr>
                <w:rFonts w:ascii="宋体" w:cs="宋体"/>
                <w:b/>
                <w:color w:val="auto"/>
                <w:sz w:val="21"/>
                <w:szCs w:val="21"/>
                <w:highlight w:val="none"/>
              </w:rPr>
            </w:pPr>
            <w:r>
              <w:rPr>
                <w:rFonts w:hint="eastAsia" w:ascii="宋体" w:hAnsi="宋体" w:cs="宋体"/>
                <w:b/>
                <w:color w:val="auto"/>
                <w:sz w:val="21"/>
                <w:szCs w:val="21"/>
                <w:highlight w:val="none"/>
              </w:rPr>
              <w:t>最高限价</w:t>
            </w:r>
          </w:p>
        </w:tc>
        <w:tc>
          <w:tcPr>
            <w:tcW w:w="6314" w:type="dxa"/>
            <w:tcBorders>
              <w:right w:val="single" w:color="auto" w:sz="12" w:space="0"/>
            </w:tcBorders>
            <w:vAlign w:val="center"/>
          </w:tcPr>
          <w:p>
            <w:pPr>
              <w:autoSpaceDE w:val="0"/>
              <w:autoSpaceDN w:val="0"/>
              <w:adjustRightInd w:val="0"/>
              <w:snapToGrid w:val="0"/>
              <w:spacing w:line="300" w:lineRule="exact"/>
              <w:textAlignment w:val="bottom"/>
              <w:rPr>
                <w:rFonts w:ascii="宋体" w:cs="宋体"/>
                <w:b/>
                <w:color w:val="auto"/>
                <w:sz w:val="21"/>
                <w:szCs w:val="21"/>
                <w:highlight w:val="none"/>
              </w:rPr>
            </w:pPr>
            <w:r>
              <w:rPr>
                <w:rFonts w:hint="eastAsia" w:ascii="宋体" w:hAnsi="宋体" w:cs="宋体"/>
                <w:b/>
                <w:color w:val="auto"/>
                <w:sz w:val="21"/>
                <w:szCs w:val="21"/>
                <w:highlight w:val="none"/>
              </w:rPr>
              <w:t>▲最高限价人民币</w:t>
            </w:r>
            <w:r>
              <w:rPr>
                <w:rFonts w:ascii="宋体" w:hAnsi="宋体" w:cs="宋体"/>
                <w:b/>
                <w:color w:val="auto"/>
                <w:sz w:val="21"/>
                <w:szCs w:val="21"/>
                <w:highlight w:val="none"/>
              </w:rPr>
              <w:t>126.0387</w:t>
            </w:r>
            <w:r>
              <w:rPr>
                <w:rFonts w:hint="eastAsia" w:ascii="宋体" w:hAnsi="宋体" w:cs="宋体"/>
                <w:b/>
                <w:color w:val="auto"/>
                <w:sz w:val="21"/>
                <w:szCs w:val="21"/>
                <w:highlight w:val="none"/>
              </w:rPr>
              <w:t>万元整，超过最高限价的按无效标处理。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21</w:t>
            </w:r>
          </w:p>
        </w:tc>
        <w:tc>
          <w:tcPr>
            <w:tcW w:w="2146" w:type="dxa"/>
            <w:vAlign w:val="center"/>
          </w:tcPr>
          <w:p>
            <w:pPr>
              <w:rPr>
                <w:rFonts w:ascii="宋体" w:cs="宋体"/>
                <w:color w:val="auto"/>
                <w:sz w:val="21"/>
                <w:szCs w:val="21"/>
                <w:highlight w:val="none"/>
              </w:rPr>
            </w:pPr>
            <w:r>
              <w:rPr>
                <w:rFonts w:hint="eastAsia" w:ascii="宋体" w:hAnsi="宋体" w:cs="宋体"/>
                <w:b/>
                <w:snapToGrid w:val="0"/>
                <w:color w:val="auto"/>
                <w:kern w:val="10"/>
                <w:sz w:val="21"/>
                <w:szCs w:val="21"/>
                <w:highlight w:val="none"/>
              </w:rPr>
              <w:t>中标结果公示媒体</w:t>
            </w:r>
          </w:p>
        </w:tc>
        <w:tc>
          <w:tcPr>
            <w:tcW w:w="6314" w:type="dxa"/>
            <w:tcBorders>
              <w:right w:val="single" w:color="auto" w:sz="12" w:space="0"/>
            </w:tcBorders>
            <w:vAlign w:val="center"/>
          </w:tcPr>
          <w:p>
            <w:pPr>
              <w:rPr>
                <w:rFonts w:ascii="宋体" w:cs="宋体"/>
                <w:color w:val="auto"/>
                <w:sz w:val="21"/>
                <w:szCs w:val="21"/>
                <w:highlight w:val="none"/>
              </w:rPr>
            </w:pPr>
            <w:r>
              <w:rPr>
                <w:rFonts w:hint="eastAsia" w:ascii="宋体" w:hAnsi="宋体" w:cs="宋体"/>
                <w:color w:val="auto"/>
                <w:sz w:val="21"/>
                <w:szCs w:val="21"/>
                <w:highlight w:val="none"/>
              </w:rPr>
              <w:t>浙江省政府采购网（</w:t>
            </w:r>
            <w:r>
              <w:rPr>
                <w:rFonts w:ascii="宋体" w:hAnsi="宋体" w:cs="宋体"/>
                <w:color w:val="auto"/>
                <w:sz w:val="21"/>
                <w:szCs w:val="21"/>
                <w:highlight w:val="none"/>
              </w:rPr>
              <w:t>http://www.zjzfcg.gov.cn</w:t>
            </w:r>
            <w:r>
              <w:rPr>
                <w:rFonts w:hint="eastAsia"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959" w:type="dxa"/>
            <w:tcBorders>
              <w:left w:val="single" w:color="auto" w:sz="12" w:space="0"/>
            </w:tcBorders>
            <w:vAlign w:val="center"/>
          </w:tcPr>
          <w:p>
            <w:pPr>
              <w:autoSpaceDE w:val="0"/>
              <w:autoSpaceDN w:val="0"/>
              <w:adjustRightInd w:val="0"/>
              <w:snapToGrid w:val="0"/>
              <w:spacing w:line="300" w:lineRule="exact"/>
              <w:jc w:val="center"/>
              <w:textAlignment w:val="bottom"/>
              <w:rPr>
                <w:rFonts w:ascii="宋体" w:cs="宋体"/>
                <w:color w:val="auto"/>
                <w:sz w:val="21"/>
                <w:szCs w:val="21"/>
                <w:highlight w:val="none"/>
              </w:rPr>
            </w:pPr>
            <w:r>
              <w:rPr>
                <w:rFonts w:ascii="宋体" w:hAnsi="宋体" w:cs="宋体"/>
                <w:color w:val="auto"/>
                <w:sz w:val="21"/>
                <w:szCs w:val="21"/>
                <w:highlight w:val="none"/>
              </w:rPr>
              <w:t>22</w:t>
            </w:r>
          </w:p>
        </w:tc>
        <w:tc>
          <w:tcPr>
            <w:tcW w:w="2146" w:type="dxa"/>
            <w:vAlign w:val="center"/>
          </w:tcPr>
          <w:p>
            <w:pPr>
              <w:jc w:val="center"/>
              <w:rPr>
                <w:rFonts w:ascii="宋体" w:cs="宋体"/>
                <w:b/>
                <w:color w:val="auto"/>
                <w:sz w:val="21"/>
                <w:szCs w:val="21"/>
                <w:highlight w:val="none"/>
              </w:rPr>
            </w:pPr>
            <w:r>
              <w:rPr>
                <w:rFonts w:hint="eastAsia" w:ascii="宋体" w:hAnsi="宋体" w:cs="宋体"/>
                <w:b/>
                <w:color w:val="auto"/>
                <w:sz w:val="21"/>
                <w:szCs w:val="21"/>
                <w:highlight w:val="none"/>
              </w:rPr>
              <w:t>采购代理服务费与造价编制服务费</w:t>
            </w:r>
          </w:p>
        </w:tc>
        <w:tc>
          <w:tcPr>
            <w:tcW w:w="6314" w:type="dxa"/>
            <w:tcBorders>
              <w:right w:val="single" w:color="auto" w:sz="12" w:space="0"/>
            </w:tcBorders>
            <w:vAlign w:val="center"/>
          </w:tcPr>
          <w:p>
            <w:pPr>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、参照国家发改委发改办价格</w:t>
            </w:r>
            <w:r>
              <w:rPr>
                <w:rFonts w:ascii="宋体" w:hAnsi="宋体" w:cs="宋体"/>
                <w:color w:val="auto"/>
                <w:sz w:val="21"/>
                <w:szCs w:val="21"/>
                <w:highlight w:val="none"/>
              </w:rPr>
              <w:t>[2003]857</w:t>
            </w:r>
            <w:r>
              <w:rPr>
                <w:rFonts w:hint="eastAsia" w:ascii="宋体" w:hAnsi="宋体" w:cs="宋体"/>
                <w:color w:val="auto"/>
                <w:sz w:val="21"/>
                <w:szCs w:val="21"/>
                <w:highlight w:val="none"/>
              </w:rPr>
              <w:t>号通知和原国家计</w:t>
            </w:r>
            <w:r>
              <w:rPr>
                <w:rFonts w:ascii="宋体" w:hAnsi="宋体" w:cs="宋体"/>
                <w:color w:val="auto"/>
                <w:sz w:val="21"/>
                <w:szCs w:val="21"/>
                <w:highlight w:val="none"/>
              </w:rPr>
              <w:t>[2002]1980</w:t>
            </w:r>
            <w:r>
              <w:rPr>
                <w:rFonts w:hint="eastAsia" w:ascii="宋体" w:hAnsi="宋体" w:cs="宋体"/>
                <w:color w:val="auto"/>
                <w:sz w:val="21"/>
                <w:szCs w:val="21"/>
                <w:highlight w:val="none"/>
              </w:rPr>
              <w:t>号文件规定的招标费率标准</w:t>
            </w:r>
            <w:r>
              <w:rPr>
                <w:rFonts w:ascii="宋体" w:hAnsi="宋体" w:cs="宋体"/>
                <w:color w:val="auto"/>
                <w:sz w:val="21"/>
                <w:szCs w:val="21"/>
                <w:highlight w:val="none"/>
              </w:rPr>
              <w:t>7</w:t>
            </w:r>
            <w:r>
              <w:rPr>
                <w:rFonts w:hint="eastAsia" w:ascii="宋体" w:hAnsi="宋体" w:cs="宋体"/>
                <w:color w:val="auto"/>
                <w:sz w:val="21"/>
                <w:szCs w:val="21"/>
                <w:highlight w:val="none"/>
              </w:rPr>
              <w:t>折收取服务费，不足</w:t>
            </w:r>
            <w:r>
              <w:rPr>
                <w:rFonts w:ascii="宋体" w:hAnsi="宋体" w:cs="宋体"/>
                <w:color w:val="auto"/>
                <w:sz w:val="21"/>
                <w:szCs w:val="21"/>
                <w:highlight w:val="none"/>
              </w:rPr>
              <w:t>3000</w:t>
            </w:r>
            <w:r>
              <w:rPr>
                <w:rFonts w:hint="eastAsia" w:ascii="宋体" w:hAnsi="宋体" w:cs="宋体"/>
                <w:color w:val="auto"/>
                <w:sz w:val="21"/>
                <w:szCs w:val="21"/>
                <w:highlight w:val="none"/>
              </w:rPr>
              <w:t>元按</w:t>
            </w:r>
            <w:r>
              <w:rPr>
                <w:rFonts w:ascii="宋体" w:hAnsi="宋体" w:cs="宋体"/>
                <w:color w:val="auto"/>
                <w:sz w:val="21"/>
                <w:szCs w:val="21"/>
                <w:highlight w:val="none"/>
              </w:rPr>
              <w:t>3000</w:t>
            </w:r>
            <w:r>
              <w:rPr>
                <w:rFonts w:hint="eastAsia" w:ascii="宋体" w:hAnsi="宋体" w:cs="宋体"/>
                <w:color w:val="auto"/>
                <w:sz w:val="21"/>
                <w:szCs w:val="21"/>
                <w:highlight w:val="none"/>
              </w:rPr>
              <w:t>元收取。</w:t>
            </w:r>
          </w:p>
          <w:p>
            <w:pPr>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、中标人在领取中标通知书前，应向招标代理机构交纳招标代理服务费。</w:t>
            </w:r>
          </w:p>
          <w:p>
            <w:pPr>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、招标代理服务费以电汇方式支付。</w:t>
            </w:r>
          </w:p>
          <w:p>
            <w:pPr>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、中标人如未按上述规定办理，本招标代理机构有权从其参加招标活动的投标保证金中收取采招标代理服务费，并对不足部分进行追索。</w:t>
            </w:r>
          </w:p>
          <w:p>
            <w:pPr>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、服务费缴纳账号：</w:t>
            </w:r>
          </w:p>
          <w:p>
            <w:pPr>
              <w:rPr>
                <w:rFonts w:ascii="宋体" w:cs="宋体"/>
                <w:color w:val="auto"/>
                <w:sz w:val="21"/>
                <w:szCs w:val="21"/>
                <w:highlight w:val="none"/>
              </w:rPr>
            </w:pPr>
            <w:r>
              <w:rPr>
                <w:rFonts w:hint="eastAsia" w:ascii="宋体" w:hAnsi="宋体" w:cs="宋体"/>
                <w:color w:val="auto"/>
                <w:sz w:val="21"/>
                <w:szCs w:val="21"/>
                <w:highlight w:val="none"/>
              </w:rPr>
              <w:t>单位名称：浙江五石工程咨询有限公司萧山分公司</w:t>
            </w:r>
          </w:p>
          <w:p>
            <w:pPr>
              <w:rPr>
                <w:rFonts w:ascii="宋体" w:cs="宋体"/>
                <w:color w:val="auto"/>
                <w:sz w:val="21"/>
                <w:szCs w:val="21"/>
                <w:highlight w:val="none"/>
              </w:rPr>
            </w:pPr>
            <w:r>
              <w:rPr>
                <w:rFonts w:hint="eastAsia" w:ascii="宋体" w:hAnsi="宋体" w:cs="宋体"/>
                <w:color w:val="auto"/>
                <w:sz w:val="21"/>
                <w:szCs w:val="21"/>
                <w:highlight w:val="none"/>
              </w:rPr>
              <w:t>开户银行：浙江民泰商业银行杭州钱江新城支行</w:t>
            </w:r>
          </w:p>
          <w:p>
            <w:pPr>
              <w:rPr>
                <w:rFonts w:ascii="宋体" w:cs="宋体"/>
                <w:color w:val="auto"/>
                <w:sz w:val="21"/>
                <w:szCs w:val="21"/>
                <w:highlight w:val="none"/>
              </w:rPr>
            </w:pPr>
            <w:r>
              <w:rPr>
                <w:rFonts w:hint="eastAsia" w:ascii="宋体" w:hAnsi="宋体" w:cs="宋体"/>
                <w:color w:val="auto"/>
                <w:sz w:val="21"/>
                <w:szCs w:val="21"/>
                <w:highlight w:val="none"/>
              </w:rPr>
              <w:t>账</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号：</w:t>
            </w:r>
            <w:r>
              <w:rPr>
                <w:rFonts w:ascii="宋体" w:hAnsi="宋体" w:cs="宋体"/>
                <w:color w:val="auto"/>
                <w:sz w:val="21"/>
                <w:szCs w:val="21"/>
                <w:highlight w:val="none"/>
              </w:rPr>
              <w:t>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959" w:type="dxa"/>
            <w:vMerge w:val="restart"/>
            <w:tcBorders>
              <w:left w:val="single" w:color="auto" w:sz="12" w:space="0"/>
            </w:tcBorders>
            <w:vAlign w:val="center"/>
          </w:tcPr>
          <w:p>
            <w:pPr>
              <w:snapToGrid w:val="0"/>
              <w:spacing w:line="300" w:lineRule="exact"/>
              <w:jc w:val="center"/>
              <w:rPr>
                <w:rFonts w:ascii="宋体" w:cs="宋体"/>
                <w:color w:val="auto"/>
                <w:sz w:val="21"/>
                <w:szCs w:val="21"/>
                <w:highlight w:val="none"/>
              </w:rPr>
            </w:pPr>
            <w:r>
              <w:rPr>
                <w:rFonts w:ascii="宋体" w:hAnsi="宋体" w:cs="宋体"/>
                <w:color w:val="auto"/>
                <w:sz w:val="21"/>
                <w:szCs w:val="21"/>
                <w:highlight w:val="none"/>
              </w:rPr>
              <w:t>22</w:t>
            </w:r>
          </w:p>
        </w:tc>
        <w:tc>
          <w:tcPr>
            <w:tcW w:w="2146" w:type="dxa"/>
            <w:vMerge w:val="restart"/>
            <w:vAlign w:val="center"/>
          </w:tcPr>
          <w:p>
            <w:pPr>
              <w:snapToGrid w:val="0"/>
              <w:spacing w:line="300" w:lineRule="exact"/>
              <w:jc w:val="center"/>
              <w:rPr>
                <w:rFonts w:ascii="宋体" w:cs="宋体"/>
                <w:b/>
                <w:color w:val="auto"/>
                <w:sz w:val="21"/>
                <w:szCs w:val="21"/>
                <w:highlight w:val="none"/>
              </w:rPr>
            </w:pPr>
            <w:r>
              <w:rPr>
                <w:rFonts w:hint="eastAsia" w:ascii="宋体" w:hAnsi="宋体" w:cs="宋体"/>
                <w:b/>
                <w:color w:val="auto"/>
                <w:sz w:val="21"/>
                <w:szCs w:val="21"/>
                <w:highlight w:val="none"/>
              </w:rPr>
              <w:t>特别提醒</w:t>
            </w:r>
          </w:p>
        </w:tc>
        <w:tc>
          <w:tcPr>
            <w:tcW w:w="6314" w:type="dxa"/>
            <w:tcBorders>
              <w:right w:val="single" w:color="auto" w:sz="12" w:space="0"/>
            </w:tcBorders>
            <w:vAlign w:val="center"/>
          </w:tcPr>
          <w:p>
            <w:pPr>
              <w:snapToGrid w:val="0"/>
              <w:spacing w:line="300" w:lineRule="exact"/>
              <w:rPr>
                <w:rFonts w:ascii="宋体" w:cs="宋体"/>
                <w:bCs/>
                <w:snapToGrid w:val="0"/>
                <w:color w:val="auto"/>
                <w:sz w:val="21"/>
                <w:szCs w:val="21"/>
                <w:highlight w:val="none"/>
              </w:rPr>
            </w:pPr>
            <w:r>
              <w:rPr>
                <w:rFonts w:hint="eastAsia" w:ascii="宋体" w:hAnsi="宋体" w:cs="宋体"/>
                <w:bCs/>
                <w:snapToGrid w:val="0"/>
                <w:color w:val="auto"/>
                <w:sz w:val="21"/>
                <w:szCs w:val="21"/>
                <w:highlight w:val="none"/>
              </w:rPr>
              <w:t>企业信用融资</w:t>
            </w:r>
            <w:r>
              <w:rPr>
                <w:rFonts w:ascii="宋体" w:hAnsi="宋体" w:cs="宋体"/>
                <w:bCs/>
                <w:snapToGrid w:val="0"/>
                <w:color w:val="auto"/>
                <w:sz w:val="21"/>
                <w:szCs w:val="21"/>
                <w:highlight w:val="none"/>
              </w:rPr>
              <w:t>:</w:t>
            </w:r>
            <w:r>
              <w:rPr>
                <w:rFonts w:hint="eastAsia" w:ascii="宋体" w:hAnsi="宋体" w:cs="宋体"/>
                <w:bCs/>
                <w:snapToGrid w:val="0"/>
                <w:color w:val="auto"/>
                <w:sz w:val="21"/>
                <w:szCs w:val="21"/>
                <w:highlight w:val="none"/>
              </w:rPr>
              <w:t>为支持和促进中小企业发展，进一步发挥政府采购政策功能，浙江省财政局与省银监局、市金融办、市经信委共同出台了《浙江省政府采购支持中小企业信用融资暂行办法》，供应商若有融资意向，详见本招标文件尾页《政府采购支持中小企业信用融资相关事项通知》，或登陆浙江省政府采购网（</w:t>
            </w:r>
            <w:r>
              <w:rPr>
                <w:rFonts w:ascii="宋体" w:hAnsi="宋体" w:cs="宋体"/>
                <w:bCs/>
                <w:snapToGrid w:val="0"/>
                <w:color w:val="auto"/>
                <w:sz w:val="21"/>
                <w:szCs w:val="21"/>
                <w:highlight w:val="none"/>
              </w:rPr>
              <w:t>http://www.zjzfcg.gov.cn/</w:t>
            </w:r>
            <w:r>
              <w:rPr>
                <w:rFonts w:hint="eastAsia" w:ascii="宋体" w:hAnsi="宋体" w:cs="宋体"/>
                <w:bCs/>
                <w:snapToGrid w:val="0"/>
                <w:color w:val="auto"/>
                <w:sz w:val="21"/>
                <w:szCs w:val="21"/>
                <w:highlight w:val="none"/>
              </w:rPr>
              <w:t>）“中小企业信用融资”专栏，查看信用融资政策文件及各相关银行服务方案。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vMerge w:val="continue"/>
            <w:tcBorders>
              <w:left w:val="single" w:color="auto" w:sz="12" w:space="0"/>
            </w:tcBorders>
            <w:vAlign w:val="center"/>
          </w:tcPr>
          <w:p>
            <w:pPr>
              <w:snapToGrid w:val="0"/>
              <w:spacing w:line="300" w:lineRule="exact"/>
              <w:jc w:val="center"/>
              <w:rPr>
                <w:rFonts w:ascii="宋体" w:cs="宋体"/>
                <w:color w:val="auto"/>
                <w:sz w:val="21"/>
                <w:szCs w:val="21"/>
                <w:highlight w:val="none"/>
              </w:rPr>
            </w:pPr>
          </w:p>
        </w:tc>
        <w:tc>
          <w:tcPr>
            <w:tcW w:w="2146" w:type="dxa"/>
            <w:vMerge w:val="continue"/>
            <w:vAlign w:val="center"/>
          </w:tcPr>
          <w:p>
            <w:pPr>
              <w:snapToGrid w:val="0"/>
              <w:spacing w:line="300" w:lineRule="exact"/>
              <w:jc w:val="center"/>
              <w:rPr>
                <w:rFonts w:ascii="宋体" w:cs="宋体"/>
                <w:b/>
                <w:color w:val="auto"/>
                <w:sz w:val="21"/>
                <w:szCs w:val="21"/>
                <w:highlight w:val="none"/>
              </w:rPr>
            </w:pPr>
          </w:p>
        </w:tc>
        <w:tc>
          <w:tcPr>
            <w:tcW w:w="6314" w:type="dxa"/>
            <w:tcBorders>
              <w:right w:val="single" w:color="auto" w:sz="12" w:space="0"/>
            </w:tcBorders>
            <w:vAlign w:val="center"/>
          </w:tcPr>
          <w:p>
            <w:pPr>
              <w:snapToGrid w:val="0"/>
              <w:spacing w:line="300" w:lineRule="exact"/>
              <w:rPr>
                <w:rFonts w:ascii="宋体" w:cs="宋体"/>
                <w:bCs/>
                <w:color w:val="auto"/>
                <w:kern w:val="10"/>
                <w:sz w:val="21"/>
                <w:szCs w:val="21"/>
                <w:highlight w:val="none"/>
              </w:rPr>
            </w:pPr>
            <w:r>
              <w:rPr>
                <w:rFonts w:hint="eastAsia" w:ascii="宋体" w:hAnsi="宋体" w:cs="宋体"/>
                <w:bCs/>
                <w:color w:val="auto"/>
                <w:kern w:val="10"/>
                <w:sz w:val="21"/>
                <w:szCs w:val="21"/>
                <w:highlight w:val="none"/>
              </w:rPr>
              <w:t>根据《关于在政府采购活动中查询及使用信用记录有关问题的通知》财库</w:t>
            </w:r>
            <w:r>
              <w:rPr>
                <w:rFonts w:ascii="宋体" w:hAnsi="宋体" w:cs="宋体"/>
                <w:bCs/>
                <w:color w:val="auto"/>
                <w:kern w:val="10"/>
                <w:sz w:val="21"/>
                <w:szCs w:val="21"/>
                <w:highlight w:val="none"/>
              </w:rPr>
              <w:t>[2016]125</w:t>
            </w:r>
            <w:r>
              <w:rPr>
                <w:rFonts w:hint="eastAsia" w:ascii="宋体" w:hAnsi="宋体" w:cs="宋体"/>
                <w:bCs/>
                <w:color w:val="auto"/>
                <w:kern w:val="10"/>
                <w:sz w:val="21"/>
                <w:szCs w:val="21"/>
                <w:highlight w:val="none"/>
              </w:rPr>
              <w:t>号的规定：</w:t>
            </w:r>
          </w:p>
          <w:p>
            <w:pPr>
              <w:snapToGrid w:val="0"/>
              <w:spacing w:line="300" w:lineRule="exact"/>
              <w:rPr>
                <w:rFonts w:ascii="宋体" w:cs="宋体"/>
                <w:bCs/>
                <w:color w:val="auto"/>
                <w:kern w:val="10"/>
                <w:sz w:val="21"/>
                <w:szCs w:val="21"/>
                <w:highlight w:val="none"/>
              </w:rPr>
            </w:pPr>
            <w:r>
              <w:rPr>
                <w:rFonts w:ascii="宋体" w:hAnsi="宋体" w:cs="宋体"/>
                <w:bCs/>
                <w:color w:val="auto"/>
                <w:kern w:val="10"/>
                <w:sz w:val="21"/>
                <w:szCs w:val="21"/>
                <w:highlight w:val="none"/>
              </w:rPr>
              <w:t>1</w:t>
            </w:r>
            <w:r>
              <w:rPr>
                <w:rFonts w:hint="eastAsia" w:ascii="宋体" w:hAnsi="宋体" w:cs="宋体"/>
                <w:bCs/>
                <w:color w:val="auto"/>
                <w:kern w:val="10"/>
                <w:sz w:val="21"/>
                <w:szCs w:val="21"/>
                <w:highlight w:val="none"/>
              </w:rPr>
              <w:t>）采购人或采购代理机构将对本项目供应商的信用信息进行查询。</w:t>
            </w:r>
          </w:p>
          <w:p>
            <w:pPr>
              <w:snapToGrid w:val="0"/>
              <w:spacing w:line="300" w:lineRule="exact"/>
              <w:rPr>
                <w:rFonts w:ascii="宋体" w:cs="宋体"/>
                <w:bCs/>
                <w:color w:val="auto"/>
                <w:kern w:val="10"/>
                <w:sz w:val="21"/>
                <w:szCs w:val="21"/>
                <w:highlight w:val="none"/>
              </w:rPr>
            </w:pPr>
            <w:r>
              <w:rPr>
                <w:rFonts w:ascii="宋体" w:hAnsi="宋体" w:cs="宋体"/>
                <w:bCs/>
                <w:color w:val="auto"/>
                <w:kern w:val="10"/>
                <w:sz w:val="21"/>
                <w:szCs w:val="21"/>
                <w:highlight w:val="none"/>
              </w:rPr>
              <w:t>2</w:t>
            </w:r>
            <w:r>
              <w:rPr>
                <w:rFonts w:hint="eastAsia" w:ascii="宋体" w:hAnsi="宋体" w:cs="宋体"/>
                <w:bCs/>
                <w:color w:val="auto"/>
                <w:kern w:val="10"/>
                <w:sz w:val="21"/>
                <w:szCs w:val="21"/>
                <w:highlight w:val="none"/>
              </w:rPr>
              <w:t>）查询渠道为信用中国网站（</w:t>
            </w:r>
            <w:r>
              <w:rPr>
                <w:rFonts w:ascii="宋体" w:hAnsi="宋体" w:cs="宋体"/>
                <w:bCs/>
                <w:color w:val="auto"/>
                <w:kern w:val="10"/>
                <w:sz w:val="21"/>
                <w:szCs w:val="21"/>
                <w:highlight w:val="none"/>
              </w:rPr>
              <w:t>www.creditchina.gov.cn</w:t>
            </w:r>
            <w:r>
              <w:rPr>
                <w:rFonts w:hint="eastAsia" w:ascii="宋体" w:hAnsi="宋体" w:cs="宋体"/>
                <w:bCs/>
                <w:color w:val="auto"/>
                <w:kern w:val="10"/>
                <w:sz w:val="21"/>
                <w:szCs w:val="21"/>
                <w:highlight w:val="none"/>
              </w:rPr>
              <w:t>）、中国政府采购网（</w:t>
            </w:r>
            <w:r>
              <w:rPr>
                <w:rFonts w:ascii="宋体" w:hAnsi="宋体" w:cs="宋体"/>
                <w:bCs/>
                <w:color w:val="auto"/>
                <w:kern w:val="10"/>
                <w:sz w:val="21"/>
                <w:szCs w:val="21"/>
                <w:highlight w:val="none"/>
              </w:rPr>
              <w:t>www.ccgp.gov.cn</w:t>
            </w:r>
            <w:r>
              <w:rPr>
                <w:rFonts w:hint="eastAsia" w:ascii="宋体" w:hAnsi="宋体" w:cs="宋体"/>
                <w:bCs/>
                <w:color w:val="auto"/>
                <w:kern w:val="10"/>
                <w:sz w:val="21"/>
                <w:szCs w:val="21"/>
                <w:highlight w:val="none"/>
              </w:rPr>
              <w:t>）。</w:t>
            </w:r>
          </w:p>
          <w:p>
            <w:pPr>
              <w:snapToGrid w:val="0"/>
              <w:spacing w:line="300" w:lineRule="exact"/>
              <w:rPr>
                <w:rFonts w:ascii="宋体" w:cs="宋体"/>
                <w:bCs/>
                <w:color w:val="auto"/>
                <w:kern w:val="10"/>
                <w:sz w:val="21"/>
                <w:szCs w:val="21"/>
                <w:highlight w:val="none"/>
              </w:rPr>
            </w:pPr>
            <w:r>
              <w:rPr>
                <w:rFonts w:ascii="宋体" w:hAnsi="宋体" w:cs="宋体"/>
                <w:bCs/>
                <w:color w:val="auto"/>
                <w:kern w:val="10"/>
                <w:sz w:val="21"/>
                <w:szCs w:val="21"/>
                <w:highlight w:val="none"/>
              </w:rPr>
              <w:t>3</w:t>
            </w:r>
            <w:r>
              <w:rPr>
                <w:rFonts w:hint="eastAsia" w:ascii="宋体" w:hAnsi="宋体" w:cs="宋体"/>
                <w:bCs/>
                <w:color w:val="auto"/>
                <w:kern w:val="10"/>
                <w:sz w:val="21"/>
                <w:szCs w:val="21"/>
                <w:highlight w:val="none"/>
              </w:rPr>
              <w:t>）信用信息截止时点为从本项目投标截止日往前追溯三年，期间被列入失信被执行人名单、重大税收违法案件当事人名单、政府采购严重违法失信行为记录名单等供应商信用信息均将用于本项目。</w:t>
            </w:r>
          </w:p>
          <w:p>
            <w:pPr>
              <w:snapToGrid w:val="0"/>
              <w:spacing w:line="300" w:lineRule="exact"/>
              <w:rPr>
                <w:rFonts w:ascii="宋体" w:cs="宋体"/>
                <w:bCs/>
                <w:color w:val="auto"/>
                <w:kern w:val="10"/>
                <w:sz w:val="21"/>
                <w:szCs w:val="21"/>
                <w:highlight w:val="none"/>
              </w:rPr>
            </w:pPr>
            <w:r>
              <w:rPr>
                <w:rFonts w:ascii="宋体" w:hAnsi="宋体" w:cs="宋体"/>
                <w:bCs/>
                <w:color w:val="auto"/>
                <w:kern w:val="10"/>
                <w:sz w:val="21"/>
                <w:szCs w:val="21"/>
                <w:highlight w:val="none"/>
              </w:rPr>
              <w:t>4</w:t>
            </w:r>
            <w:r>
              <w:rPr>
                <w:rFonts w:hint="eastAsia" w:ascii="宋体" w:hAnsi="宋体" w:cs="宋体"/>
                <w:bCs/>
                <w:color w:val="auto"/>
                <w:kern w:val="10"/>
                <w:sz w:val="21"/>
                <w:szCs w:val="21"/>
                <w:highlight w:val="none"/>
              </w:rPr>
              <w:t>）信用信息查询记录和证据以网页截图等方式留存。</w:t>
            </w:r>
          </w:p>
          <w:p>
            <w:pPr>
              <w:snapToGrid w:val="0"/>
              <w:spacing w:line="300" w:lineRule="exact"/>
              <w:rPr>
                <w:rFonts w:ascii="宋体" w:cs="宋体"/>
                <w:bCs/>
                <w:color w:val="auto"/>
                <w:kern w:val="10"/>
                <w:sz w:val="21"/>
                <w:szCs w:val="21"/>
                <w:highlight w:val="none"/>
              </w:rPr>
            </w:pPr>
            <w:r>
              <w:rPr>
                <w:rFonts w:ascii="宋体" w:hAnsi="宋体" w:cs="宋体"/>
                <w:bCs/>
                <w:color w:val="auto"/>
                <w:kern w:val="10"/>
                <w:sz w:val="21"/>
                <w:szCs w:val="21"/>
                <w:highlight w:val="none"/>
              </w:rPr>
              <w:t>5</w:t>
            </w:r>
            <w:r>
              <w:rPr>
                <w:rFonts w:hint="eastAsia" w:ascii="宋体" w:hAnsi="宋体" w:cs="宋体"/>
                <w:bCs/>
                <w:color w:val="auto"/>
                <w:kern w:val="10"/>
                <w:sz w:val="21"/>
                <w:szCs w:val="21"/>
                <w:highlight w:val="none"/>
              </w:rPr>
              <w:t>）投标截止日当日网站显示的信用信息将作为评审和确定中标人的依据。</w:t>
            </w:r>
          </w:p>
          <w:p>
            <w:pPr>
              <w:snapToGrid w:val="0"/>
              <w:spacing w:line="300" w:lineRule="exact"/>
              <w:rPr>
                <w:rFonts w:ascii="宋体" w:cs="宋体"/>
                <w:bCs/>
                <w:color w:val="auto"/>
                <w:kern w:val="10"/>
                <w:sz w:val="21"/>
                <w:szCs w:val="21"/>
                <w:highlight w:val="none"/>
              </w:rPr>
            </w:pPr>
            <w:r>
              <w:rPr>
                <w:rFonts w:ascii="宋体" w:hAnsi="宋体" w:cs="宋体"/>
                <w:bCs/>
                <w:color w:val="auto"/>
                <w:kern w:val="10"/>
                <w:sz w:val="21"/>
                <w:szCs w:val="21"/>
                <w:highlight w:val="none"/>
              </w:rPr>
              <w:t>6</w:t>
            </w:r>
            <w:r>
              <w:rPr>
                <w:rFonts w:hint="eastAsia" w:ascii="宋体" w:hAnsi="宋体" w:cs="宋体"/>
                <w:bCs/>
                <w:color w:val="auto"/>
                <w:kern w:val="10"/>
                <w:sz w:val="21"/>
                <w:szCs w:val="21"/>
                <w:highlight w:val="none"/>
              </w:rPr>
              <w:t>）联合体成员存在不良信用记录的，视同联合体存在不良信用记录。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959" w:type="dxa"/>
            <w:tcBorders>
              <w:left w:val="single" w:color="auto" w:sz="12" w:space="0"/>
              <w:bottom w:val="single" w:color="auto" w:sz="12" w:space="0"/>
            </w:tcBorders>
            <w:vAlign w:val="center"/>
          </w:tcPr>
          <w:p>
            <w:pPr>
              <w:snapToGrid w:val="0"/>
              <w:spacing w:line="300" w:lineRule="exact"/>
              <w:jc w:val="center"/>
              <w:rPr>
                <w:rFonts w:ascii="宋体" w:cs="宋体"/>
                <w:color w:val="auto"/>
                <w:sz w:val="21"/>
                <w:szCs w:val="21"/>
                <w:highlight w:val="none"/>
              </w:rPr>
            </w:pPr>
            <w:r>
              <w:rPr>
                <w:rFonts w:ascii="宋体" w:hAnsi="宋体" w:cs="宋体"/>
                <w:color w:val="auto"/>
                <w:sz w:val="21"/>
                <w:szCs w:val="21"/>
                <w:highlight w:val="none"/>
              </w:rPr>
              <w:t>23</w:t>
            </w:r>
          </w:p>
        </w:tc>
        <w:tc>
          <w:tcPr>
            <w:tcW w:w="2146" w:type="dxa"/>
            <w:tcBorders>
              <w:bottom w:val="single" w:color="auto" w:sz="12" w:space="0"/>
            </w:tcBorders>
            <w:vAlign w:val="center"/>
          </w:tcPr>
          <w:p>
            <w:pPr>
              <w:snapToGrid w:val="0"/>
              <w:spacing w:line="300" w:lineRule="exact"/>
              <w:jc w:val="center"/>
              <w:rPr>
                <w:rFonts w:ascii="宋体" w:cs="宋体"/>
                <w:b/>
                <w:color w:val="auto"/>
                <w:sz w:val="21"/>
                <w:szCs w:val="21"/>
                <w:highlight w:val="none"/>
              </w:rPr>
            </w:pPr>
            <w:r>
              <w:rPr>
                <w:rFonts w:hint="eastAsia" w:ascii="宋体" w:hAnsi="宋体" w:cs="宋体"/>
                <w:b/>
                <w:bCs/>
                <w:color w:val="auto"/>
                <w:sz w:val="21"/>
                <w:szCs w:val="21"/>
                <w:highlight w:val="none"/>
              </w:rPr>
              <w:t>▲</w:t>
            </w:r>
            <w:r>
              <w:rPr>
                <w:rFonts w:hint="eastAsia" w:ascii="宋体" w:hAnsi="宋体" w:cs="宋体"/>
                <w:b/>
                <w:color w:val="auto"/>
                <w:sz w:val="21"/>
                <w:szCs w:val="21"/>
                <w:highlight w:val="none"/>
              </w:rPr>
              <w:t>造价人员签字及盖章要求</w:t>
            </w:r>
          </w:p>
        </w:tc>
        <w:tc>
          <w:tcPr>
            <w:tcW w:w="6314" w:type="dxa"/>
            <w:tcBorders>
              <w:bottom w:val="single" w:color="auto" w:sz="12" w:space="0"/>
              <w:right w:val="single" w:color="auto" w:sz="12" w:space="0"/>
            </w:tcBorders>
            <w:vAlign w:val="center"/>
          </w:tcPr>
          <w:p>
            <w:pPr>
              <w:snapToGrid w:val="0"/>
              <w:spacing w:line="300" w:lineRule="exact"/>
              <w:rPr>
                <w:rFonts w:ascii="宋体" w:cs="宋体"/>
                <w:bCs/>
                <w:color w:val="auto"/>
                <w:kern w:val="10"/>
                <w:sz w:val="21"/>
                <w:szCs w:val="21"/>
                <w:highlight w:val="none"/>
              </w:rPr>
            </w:pPr>
            <w:r>
              <w:rPr>
                <w:rFonts w:hint="eastAsia" w:ascii="宋体" w:hAnsi="宋体" w:cs="宋体"/>
                <w:bCs/>
                <w:color w:val="auto"/>
                <w:kern w:val="10"/>
                <w:sz w:val="21"/>
                <w:szCs w:val="21"/>
                <w:highlight w:val="none"/>
              </w:rPr>
              <w:t>根据国家住建部、省级造价主管部门对造价从业人员执业管理的相关法律法规规定以及国标计价规范的规定，报价的编制必须遵守以下规定：</w:t>
            </w:r>
          </w:p>
          <w:p>
            <w:pPr>
              <w:snapToGrid w:val="0"/>
              <w:spacing w:line="300" w:lineRule="exact"/>
              <w:rPr>
                <w:rFonts w:ascii="宋体" w:cs="宋体"/>
                <w:bCs/>
                <w:color w:val="auto"/>
                <w:kern w:val="10"/>
                <w:sz w:val="21"/>
                <w:szCs w:val="21"/>
                <w:highlight w:val="none"/>
              </w:rPr>
            </w:pPr>
            <w:r>
              <w:rPr>
                <w:rFonts w:hint="eastAsia" w:ascii="宋体" w:hAnsi="宋体" w:cs="宋体"/>
                <w:bCs/>
                <w:color w:val="auto"/>
                <w:kern w:val="10"/>
                <w:sz w:val="21"/>
                <w:szCs w:val="21"/>
                <w:highlight w:val="none"/>
              </w:rPr>
              <w:t>（</w:t>
            </w:r>
            <w:r>
              <w:rPr>
                <w:rFonts w:ascii="宋体" w:hAnsi="宋体" w:cs="宋体"/>
                <w:bCs/>
                <w:color w:val="auto"/>
                <w:kern w:val="10"/>
                <w:sz w:val="21"/>
                <w:szCs w:val="21"/>
                <w:highlight w:val="none"/>
              </w:rPr>
              <w:t>1</w:t>
            </w:r>
            <w:r>
              <w:rPr>
                <w:rFonts w:hint="eastAsia" w:ascii="宋体" w:hAnsi="宋体" w:cs="宋体"/>
                <w:bCs/>
                <w:color w:val="auto"/>
                <w:kern w:val="10"/>
                <w:sz w:val="21"/>
                <w:szCs w:val="21"/>
                <w:highlight w:val="none"/>
              </w:rPr>
              <w:t>）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宋体" w:cs="宋体"/>
                <w:bCs/>
                <w:color w:val="auto"/>
                <w:kern w:val="10"/>
                <w:sz w:val="21"/>
                <w:szCs w:val="21"/>
                <w:highlight w:val="none"/>
              </w:rPr>
            </w:pPr>
            <w:r>
              <w:rPr>
                <w:rFonts w:hint="eastAsia" w:ascii="宋体" w:hAnsi="宋体" w:cs="宋体"/>
                <w:bCs/>
                <w:color w:val="auto"/>
                <w:kern w:val="10"/>
                <w:sz w:val="21"/>
                <w:szCs w:val="21"/>
                <w:highlight w:val="none"/>
              </w:rPr>
              <w:t>（</w:t>
            </w:r>
            <w:r>
              <w:rPr>
                <w:rFonts w:ascii="宋体" w:hAnsi="宋体" w:cs="宋体"/>
                <w:bCs/>
                <w:color w:val="auto"/>
                <w:kern w:val="10"/>
                <w:sz w:val="21"/>
                <w:szCs w:val="21"/>
                <w:highlight w:val="none"/>
              </w:rPr>
              <w:t>2</w:t>
            </w:r>
            <w:r>
              <w:rPr>
                <w:rFonts w:hint="eastAsia" w:ascii="宋体" w:hAnsi="宋体" w:cs="宋体"/>
                <w:bCs/>
                <w:color w:val="auto"/>
                <w:kern w:val="10"/>
                <w:sz w:val="21"/>
                <w:szCs w:val="21"/>
                <w:highlight w:val="none"/>
              </w:rPr>
              <w:t>）如报价由供应商编制，编制人员必须是在编制单位注册的造价工程师，并由其签字并盖执业专用章；</w:t>
            </w:r>
          </w:p>
          <w:p>
            <w:pPr>
              <w:snapToGrid w:val="0"/>
              <w:spacing w:line="300" w:lineRule="exact"/>
              <w:rPr>
                <w:rFonts w:ascii="宋体" w:cs="宋体"/>
                <w:bCs/>
                <w:color w:val="auto"/>
                <w:kern w:val="10"/>
                <w:sz w:val="21"/>
                <w:szCs w:val="21"/>
                <w:highlight w:val="none"/>
              </w:rPr>
            </w:pPr>
            <w:r>
              <w:rPr>
                <w:rFonts w:hint="eastAsia" w:ascii="宋体" w:hAnsi="宋体" w:cs="宋体"/>
                <w:bCs/>
                <w:color w:val="auto"/>
                <w:kern w:val="10"/>
                <w:sz w:val="21"/>
                <w:szCs w:val="21"/>
                <w:highlight w:val="none"/>
              </w:rPr>
              <w:t>（</w:t>
            </w:r>
            <w:r>
              <w:rPr>
                <w:rFonts w:ascii="宋体" w:hAnsi="宋体" w:cs="宋体"/>
                <w:bCs/>
                <w:color w:val="auto"/>
                <w:kern w:val="10"/>
                <w:sz w:val="21"/>
                <w:szCs w:val="21"/>
                <w:highlight w:val="none"/>
              </w:rPr>
              <w:t>3</w:t>
            </w:r>
            <w:r>
              <w:rPr>
                <w:rFonts w:hint="eastAsia" w:ascii="宋体" w:hAnsi="宋体" w:cs="宋体"/>
                <w:bCs/>
                <w:color w:val="auto"/>
                <w:kern w:val="10"/>
                <w:sz w:val="21"/>
                <w:szCs w:val="21"/>
                <w:highlight w:val="none"/>
              </w:rPr>
              <w:t>）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宋体" w:cs="宋体"/>
                <w:bCs/>
                <w:color w:val="auto"/>
                <w:kern w:val="10"/>
                <w:sz w:val="21"/>
                <w:szCs w:val="21"/>
                <w:highlight w:val="none"/>
              </w:rPr>
            </w:pPr>
            <w:r>
              <w:rPr>
                <w:rFonts w:hint="eastAsia" w:ascii="宋体" w:hAnsi="宋体" w:cs="宋体"/>
                <w:bCs/>
                <w:color w:val="auto"/>
                <w:kern w:val="10"/>
                <w:sz w:val="21"/>
                <w:szCs w:val="21"/>
                <w:highlight w:val="none"/>
              </w:rPr>
              <w:t>（</w:t>
            </w:r>
            <w:r>
              <w:rPr>
                <w:rFonts w:ascii="宋体" w:hAnsi="宋体" w:cs="宋体"/>
                <w:bCs/>
                <w:color w:val="auto"/>
                <w:kern w:val="10"/>
                <w:sz w:val="21"/>
                <w:szCs w:val="21"/>
                <w:highlight w:val="none"/>
              </w:rPr>
              <w:t>4</w:t>
            </w:r>
            <w:r>
              <w:rPr>
                <w:rFonts w:hint="eastAsia" w:ascii="宋体" w:hAnsi="宋体" w:cs="宋体"/>
                <w:bCs/>
                <w:color w:val="auto"/>
                <w:kern w:val="10"/>
                <w:sz w:val="21"/>
                <w:szCs w:val="21"/>
                <w:highlight w:val="none"/>
              </w:rPr>
              <w:t>）报价文件不得由供应商的造价人员和受委托的咨询公司的造价人员混合编审，报价文件封面所盖的造价工程师只能是同一单位人员；</w:t>
            </w:r>
          </w:p>
          <w:p>
            <w:pPr>
              <w:snapToGrid w:val="0"/>
              <w:spacing w:line="300" w:lineRule="exact"/>
              <w:rPr>
                <w:rFonts w:ascii="宋体" w:cs="宋体"/>
                <w:bCs/>
                <w:color w:val="auto"/>
                <w:kern w:val="10"/>
                <w:sz w:val="21"/>
                <w:szCs w:val="21"/>
                <w:highlight w:val="none"/>
              </w:rPr>
            </w:pPr>
            <w:r>
              <w:rPr>
                <w:rFonts w:hint="eastAsia" w:ascii="宋体" w:hAnsi="宋体" w:cs="宋体"/>
                <w:bCs/>
                <w:color w:val="auto"/>
                <w:kern w:val="10"/>
                <w:sz w:val="21"/>
                <w:szCs w:val="21"/>
                <w:highlight w:val="none"/>
              </w:rPr>
              <w:t>工程造价咨询人不得同时接受采购人和供应商对同一工程的控制价和报价的编制。</w:t>
            </w:r>
          </w:p>
        </w:tc>
      </w:tr>
    </w:tbl>
    <w:p>
      <w:pPr>
        <w:rPr>
          <w:rFonts w:ascii="宋体" w:cs="宋体"/>
          <w:color w:val="auto"/>
          <w:sz w:val="20"/>
          <w:szCs w:val="20"/>
          <w:highlight w:val="none"/>
        </w:rPr>
      </w:pPr>
      <w:bookmarkStart w:id="33" w:name="page8"/>
      <w:bookmarkEnd w:id="33"/>
      <w:bookmarkStart w:id="34" w:name="page7"/>
      <w:bookmarkEnd w:id="34"/>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rPr>
          <w:rFonts w:ascii="宋体" w:cs="宋体"/>
          <w:color w:val="auto"/>
          <w:highlight w:val="none"/>
        </w:rPr>
        <w:sectPr>
          <w:pgSz w:w="11900" w:h="16838"/>
          <w:pgMar w:top="1440" w:right="1326" w:bottom="401" w:left="1440" w:header="567" w:footer="567" w:gutter="0"/>
          <w:cols w:equalWidth="0" w:num="1">
            <w:col w:w="9140"/>
          </w:cols>
        </w:sectPr>
      </w:pPr>
    </w:p>
    <w:p>
      <w:pPr>
        <w:spacing w:line="1" w:lineRule="exact"/>
        <w:rPr>
          <w:rFonts w:ascii="宋体" w:cs="宋体"/>
          <w:color w:val="auto"/>
          <w:sz w:val="20"/>
          <w:szCs w:val="20"/>
          <w:highlight w:val="none"/>
        </w:rPr>
      </w:pPr>
      <w:bookmarkStart w:id="35" w:name="page9"/>
      <w:bookmarkEnd w:id="35"/>
    </w:p>
    <w:p>
      <w:pPr>
        <w:tabs>
          <w:tab w:val="left" w:pos="300"/>
        </w:tabs>
        <w:spacing w:line="366" w:lineRule="exact"/>
        <w:ind w:left="2700"/>
        <w:jc w:val="both"/>
        <w:rPr>
          <w:rFonts w:ascii="宋体" w:cs="宋体"/>
          <w:color w:val="auto"/>
          <w:sz w:val="20"/>
          <w:szCs w:val="20"/>
          <w:highlight w:val="none"/>
        </w:rPr>
      </w:pPr>
      <w:bookmarkStart w:id="36" w:name="_Toc25290_WPSOffice_Level1"/>
      <w:bookmarkStart w:id="37" w:name="_Toc9888_WPSOffice_Level1"/>
      <w:bookmarkStart w:id="38" w:name="_Toc22854_WPSOffice_Level1"/>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供应商须知</w:t>
      </w:r>
      <w:bookmarkEnd w:id="36"/>
      <w:bookmarkEnd w:id="37"/>
      <w:bookmarkEnd w:id="38"/>
    </w:p>
    <w:p>
      <w:pPr>
        <w:spacing w:line="256" w:lineRule="exact"/>
        <w:rPr>
          <w:rFonts w:ascii="宋体" w:cs="宋体"/>
          <w:color w:val="auto"/>
          <w:sz w:val="20"/>
          <w:szCs w:val="20"/>
          <w:highlight w:val="none"/>
        </w:rPr>
      </w:pPr>
    </w:p>
    <w:p>
      <w:pPr>
        <w:spacing w:line="240" w:lineRule="exact"/>
        <w:ind w:firstLine="422" w:firstLineChars="200"/>
        <w:rPr>
          <w:rFonts w:ascii="宋体" w:cs="宋体"/>
          <w:color w:val="auto"/>
          <w:sz w:val="20"/>
          <w:szCs w:val="20"/>
          <w:highlight w:val="none"/>
        </w:rPr>
      </w:pPr>
      <w:bookmarkStart w:id="39" w:name="_Toc22915_WPSOffice_Level2"/>
      <w:bookmarkStart w:id="40" w:name="_Toc28392_WPSOffice_Level2"/>
      <w:r>
        <w:rPr>
          <w:rFonts w:hint="eastAsia" w:ascii="宋体" w:hAnsi="宋体" w:cs="宋体"/>
          <w:b/>
          <w:bCs/>
          <w:color w:val="auto"/>
          <w:sz w:val="21"/>
          <w:szCs w:val="21"/>
          <w:highlight w:val="none"/>
        </w:rPr>
        <w:t>一、总则</w:t>
      </w:r>
      <w:bookmarkEnd w:id="39"/>
      <w:bookmarkEnd w:id="40"/>
    </w:p>
    <w:p>
      <w:pPr>
        <w:spacing w:line="172" w:lineRule="exact"/>
        <w:rPr>
          <w:rFonts w:ascii="宋体" w:cs="宋体"/>
          <w:color w:val="auto"/>
          <w:sz w:val="20"/>
          <w:szCs w:val="20"/>
          <w:highlight w:val="none"/>
        </w:rPr>
      </w:pP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1.1</w:t>
      </w:r>
      <w:r>
        <w:rPr>
          <w:rFonts w:hint="eastAsia" w:ascii="宋体" w:hAnsi="宋体" w:cs="宋体"/>
          <w:color w:val="auto"/>
          <w:sz w:val="21"/>
          <w:szCs w:val="21"/>
          <w:highlight w:val="none"/>
        </w:rPr>
        <w:t>、实施依据</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本次采购工作是按照《中华人民共和国政府采购法》、《政府采购竞争性磋商采购方式管理暂行办法》等招标投标有关法律、法规、规章、文件的规定组织和实施。</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1.2</w:t>
      </w:r>
      <w:r>
        <w:rPr>
          <w:rFonts w:hint="eastAsia" w:ascii="宋体" w:hAnsi="宋体" w:cs="宋体"/>
          <w:color w:val="auto"/>
          <w:sz w:val="21"/>
          <w:szCs w:val="21"/>
          <w:highlight w:val="none"/>
        </w:rPr>
        <w:t>、采购方式：竞争性磋商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1.3</w:t>
      </w:r>
      <w:r>
        <w:rPr>
          <w:rFonts w:hint="eastAsia" w:ascii="宋体" w:hAnsi="宋体" w:cs="宋体"/>
          <w:color w:val="auto"/>
          <w:sz w:val="21"/>
          <w:szCs w:val="21"/>
          <w:highlight w:val="none"/>
        </w:rPr>
        <w:t>、定义</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采购人：是指依法进行政府采购的国家机关、事业单位、团体组织，见“供应商须知前附表”；</w:t>
      </w:r>
    </w:p>
    <w:p>
      <w:pPr>
        <w:spacing w:line="360" w:lineRule="auto"/>
        <w:rPr>
          <w:rFonts w:ascii="宋体" w:cs="宋体"/>
          <w:color w:val="auto"/>
          <w:sz w:val="20"/>
          <w:szCs w:val="20"/>
          <w:highlight w:val="none"/>
        </w:rPr>
      </w:pPr>
      <w:r>
        <w:rPr>
          <w:rFonts w:hint="eastAsia" w:ascii="宋体" w:hAnsi="宋体" w:cs="宋体"/>
          <w:color w:val="auto"/>
          <w:sz w:val="21"/>
          <w:szCs w:val="21"/>
          <w:highlight w:val="none"/>
        </w:rPr>
        <w:t>采购代理机构：受采购人委托，在委托的范围内办理政府采购事宜的机构，见“供应商须知前附表”；</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供应商：是指参加本政府采购项目磋商的供应商；</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供应商代表：是指参加本项目磋商活动的供应商法定代表人或法定代表人授权代表；</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磋商联合体：是指两个以上供应商组成联合体，以一个供应商的身份参加磋商；</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甲方：是指合同签订的一方，一般与采购人、用户相同；</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乙方：是指合同签订的另一方，与成交人相同；</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制造商：是指拥有响应产品自主知识产权的单位；</w:t>
      </w:r>
    </w:p>
    <w:p>
      <w:pPr>
        <w:spacing w:line="360" w:lineRule="auto"/>
        <w:ind w:right="346" w:firstLine="420" w:firstLineChars="200"/>
        <w:jc w:val="both"/>
        <w:rPr>
          <w:rFonts w:ascii="宋体" w:cs="宋体"/>
          <w:color w:val="auto"/>
          <w:sz w:val="20"/>
          <w:szCs w:val="20"/>
          <w:highlight w:val="none"/>
        </w:rPr>
      </w:pPr>
      <w:r>
        <w:rPr>
          <w:rFonts w:hint="eastAsia" w:ascii="宋体" w:hAnsi="宋体" w:cs="宋体"/>
          <w:color w:val="auto"/>
          <w:sz w:val="21"/>
          <w:szCs w:val="21"/>
          <w:highlight w:val="none"/>
        </w:rPr>
        <w:t>中小企业（含中型、小型、微型）：符合中小企业划分标准（工信部联企业</w:t>
      </w:r>
      <w:r>
        <w:rPr>
          <w:rFonts w:ascii="宋体" w:hAnsi="宋体" w:cs="宋体"/>
          <w:color w:val="auto"/>
          <w:sz w:val="21"/>
          <w:szCs w:val="21"/>
          <w:highlight w:val="none"/>
        </w:rPr>
        <w:t>[2011]300</w:t>
      </w:r>
      <w:r>
        <w:rPr>
          <w:rFonts w:hint="eastAsia" w:ascii="宋体" w:hAnsi="宋体" w:cs="宋体"/>
          <w:color w:val="auto"/>
          <w:sz w:val="21"/>
          <w:szCs w:val="21"/>
          <w:highlight w:val="none"/>
        </w:rPr>
        <w:t>号）的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残疾人福利性单位：符合《财政部</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民政部</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中国残疾人联合会关于促进残疾人就业政府采购政策的通知》（财库〔</w:t>
      </w:r>
      <w:r>
        <w:rPr>
          <w:rFonts w:ascii="宋体" w:hAnsi="宋体" w:cs="宋体"/>
          <w:color w:val="auto"/>
          <w:sz w:val="21"/>
          <w:szCs w:val="21"/>
          <w:highlight w:val="none"/>
        </w:rPr>
        <w:t>2018</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141 </w:t>
      </w:r>
      <w:r>
        <w:rPr>
          <w:rFonts w:hint="eastAsia" w:ascii="宋体" w:hAnsi="宋体" w:cs="宋体"/>
          <w:color w:val="auto"/>
          <w:sz w:val="21"/>
          <w:szCs w:val="21"/>
          <w:highlight w:val="none"/>
        </w:rPr>
        <w:t>号）的规定的单位；</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政府采购监管部门：浙江省财政厅政府采购监管处。</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1.4</w:t>
      </w:r>
      <w:r>
        <w:rPr>
          <w:rFonts w:hint="eastAsia" w:ascii="宋体" w:hAnsi="宋体" w:cs="宋体"/>
          <w:color w:val="auto"/>
          <w:sz w:val="21"/>
          <w:szCs w:val="21"/>
          <w:highlight w:val="none"/>
        </w:rPr>
        <w:t>、供应商须知前附表规定接受联合体磋商的，应遵守以下规定：（本工程不适用）</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）两个以上供应商可以组成一个联合体，以一个供应商的身份共同参加磋商；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）组成联合体参加本项目磋商的，供应商须在购买竞争性磋商文件时向采购代理机构</w:t>
      </w:r>
    </w:p>
    <w:p>
      <w:pPr>
        <w:spacing w:line="360" w:lineRule="auto"/>
        <w:rPr>
          <w:rFonts w:ascii="宋体" w:cs="宋体"/>
          <w:color w:val="auto"/>
          <w:sz w:val="20"/>
          <w:szCs w:val="20"/>
          <w:highlight w:val="none"/>
        </w:rPr>
      </w:pPr>
      <w:r>
        <w:rPr>
          <w:rFonts w:hint="eastAsia" w:ascii="宋体" w:hAnsi="宋体" w:cs="宋体"/>
          <w:color w:val="auto"/>
          <w:sz w:val="21"/>
          <w:szCs w:val="21"/>
          <w:highlight w:val="none"/>
        </w:rPr>
        <w:t>作出相关书面说明，否则响应无效；</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以联合体形式参加本项目磋商的，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360" w:lineRule="auto"/>
        <w:ind w:firstLine="420" w:firstLineChars="200"/>
        <w:rPr>
          <w:rFonts w:ascii="宋体" w:cs="宋体"/>
          <w:color w:val="auto"/>
          <w:highlight w:val="none"/>
        </w:rPr>
        <w:sectPr>
          <w:pgSz w:w="11900" w:h="16838"/>
          <w:pgMar w:top="1440" w:right="1440" w:bottom="401" w:left="1440" w:header="567" w:footer="567" w:gutter="0"/>
          <w:cols w:equalWidth="0" w:num="1">
            <w:col w:w="9026"/>
          </w:cols>
        </w:sectPr>
      </w:pPr>
      <w:r>
        <w:rPr>
          <w:rFonts w:ascii="宋体" w:hAnsi="宋体" w:cs="宋体"/>
          <w:color w:val="auto"/>
          <w:sz w:val="21"/>
          <w:szCs w:val="21"/>
          <w:highlight w:val="none"/>
        </w:rPr>
        <w:t>4</w:t>
      </w:r>
      <w:r>
        <w:rPr>
          <w:rFonts w:hint="eastAsia" w:ascii="宋体" w:hAnsi="宋体" w:cs="宋体"/>
          <w:color w:val="auto"/>
          <w:sz w:val="21"/>
          <w:szCs w:val="21"/>
          <w:highlight w:val="none"/>
        </w:rPr>
        <w:t>）联合体各方之间须签订磋商联合协议，明确约定联合体各方承担的工作和相应的责</w:t>
      </w:r>
    </w:p>
    <w:p>
      <w:pPr>
        <w:spacing w:line="360" w:lineRule="auto"/>
        <w:rPr>
          <w:rFonts w:ascii="宋体" w:cs="宋体"/>
          <w:color w:val="auto"/>
          <w:sz w:val="21"/>
          <w:szCs w:val="21"/>
          <w:highlight w:val="none"/>
        </w:rPr>
      </w:pPr>
      <w:bookmarkStart w:id="41" w:name="page10"/>
      <w:bookmarkEnd w:id="41"/>
      <w:r>
        <w:rPr>
          <w:rFonts w:hint="eastAsia" w:ascii="宋体" w:hAnsi="宋体" w:cs="宋体"/>
          <w:color w:val="auto"/>
          <w:sz w:val="21"/>
          <w:szCs w:val="21"/>
          <w:highlight w:val="none"/>
        </w:rPr>
        <w:t>任，在磋商联合协议中指定本项目主办人，并将磋商联合协议作为响应文件组成的一部分；本项目的主体、关键性工作须由主办人完成，并在磋商联合协议中进行说明；</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）联合体各方签订磋商联合协议后，不得再以自己名义单独在本项目中参加磋商，也不得组成新的联合体参加本项目磋商；</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）联合体各方共同与采购人签订采购合同，就采购合同约定的事项对采购人承担连带责任；</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）响应文件须由主办人盖章及其全权代表签署。</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1.5</w:t>
      </w:r>
      <w:r>
        <w:rPr>
          <w:rFonts w:hint="eastAsia" w:ascii="宋体" w:hAnsi="宋体" w:cs="宋体"/>
          <w:color w:val="auto"/>
          <w:sz w:val="21"/>
          <w:szCs w:val="21"/>
          <w:highlight w:val="none"/>
        </w:rPr>
        <w:t>、费用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无论磋商过程中的做法和结果如何，供应商自行承担磋商活动中所发生的全部费用。</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1.6</w:t>
      </w:r>
      <w:r>
        <w:rPr>
          <w:rFonts w:hint="eastAsia" w:ascii="宋体" w:hAnsi="宋体" w:cs="宋体"/>
          <w:color w:val="auto"/>
          <w:sz w:val="21"/>
          <w:szCs w:val="21"/>
          <w:highlight w:val="none"/>
        </w:rPr>
        <w:t>、保密</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参与磋商活动的各方应对竞争性磋商文件和响应文件中的商业和技术等秘密保密，违者应对此造成的后果承担法律责任。</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1.7</w:t>
      </w:r>
      <w:r>
        <w:rPr>
          <w:rFonts w:hint="eastAsia" w:ascii="宋体" w:hAnsi="宋体" w:cs="宋体"/>
          <w:color w:val="auto"/>
          <w:sz w:val="21"/>
          <w:szCs w:val="21"/>
          <w:highlight w:val="none"/>
        </w:rPr>
        <w:t>、语言文字</w:t>
      </w:r>
    </w:p>
    <w:p>
      <w:pPr>
        <w:spacing w:line="360" w:lineRule="auto"/>
        <w:rPr>
          <w:rFonts w:ascii="宋体" w:cs="宋体"/>
          <w:color w:val="auto"/>
          <w:sz w:val="21"/>
          <w:szCs w:val="21"/>
          <w:highlight w:val="none"/>
        </w:rPr>
      </w:pPr>
      <w:r>
        <w:rPr>
          <w:rFonts w:hint="eastAsia" w:ascii="宋体" w:hAnsi="宋体" w:cs="宋体"/>
          <w:color w:val="auto"/>
          <w:sz w:val="21"/>
          <w:szCs w:val="21"/>
          <w:highlight w:val="none"/>
        </w:rPr>
        <w:t>除专用术语外，与磋商有关的语言使用中文。专用术语应附有中文注释。</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1.8</w:t>
      </w:r>
      <w:r>
        <w:rPr>
          <w:rFonts w:hint="eastAsia" w:ascii="宋体" w:hAnsi="宋体" w:cs="宋体"/>
          <w:color w:val="auto"/>
          <w:sz w:val="21"/>
          <w:szCs w:val="21"/>
          <w:highlight w:val="none"/>
        </w:rPr>
        <w:t>、计量单位</w:t>
      </w:r>
    </w:p>
    <w:p>
      <w:pPr>
        <w:spacing w:line="360" w:lineRule="auto"/>
        <w:rPr>
          <w:rFonts w:ascii="宋体" w:cs="宋体"/>
          <w:color w:val="auto"/>
          <w:sz w:val="21"/>
          <w:szCs w:val="21"/>
          <w:highlight w:val="none"/>
        </w:rPr>
      </w:pPr>
      <w:r>
        <w:rPr>
          <w:rFonts w:hint="eastAsia" w:ascii="宋体" w:hAnsi="宋体" w:cs="宋体"/>
          <w:color w:val="auto"/>
          <w:sz w:val="21"/>
          <w:szCs w:val="21"/>
          <w:highlight w:val="none"/>
        </w:rPr>
        <w:t>所有计量均采用中华人民共和国法定计量单位。</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1.9</w:t>
      </w:r>
      <w:r>
        <w:rPr>
          <w:rFonts w:hint="eastAsia" w:ascii="宋体" w:hAnsi="宋体" w:cs="宋体"/>
          <w:color w:val="auto"/>
          <w:sz w:val="21"/>
          <w:szCs w:val="21"/>
          <w:highlight w:val="none"/>
        </w:rPr>
        <w:t>、踏勘现场</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1.9.1 </w:t>
      </w:r>
      <w:r>
        <w:rPr>
          <w:rFonts w:hint="eastAsia" w:ascii="宋体" w:hAnsi="宋体" w:cs="宋体"/>
          <w:color w:val="auto"/>
          <w:sz w:val="21"/>
          <w:szCs w:val="21"/>
          <w:highlight w:val="none"/>
        </w:rPr>
        <w:t>供应商须知前附表规定组织踏勘现场的，采购人按供应商须知前附表规定的时间、地点组织供应商踏勘项目现场。</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1.9.2 </w:t>
      </w:r>
      <w:r>
        <w:rPr>
          <w:rFonts w:hint="eastAsia" w:ascii="宋体" w:hAnsi="宋体" w:cs="宋体"/>
          <w:color w:val="auto"/>
          <w:sz w:val="21"/>
          <w:szCs w:val="21"/>
          <w:highlight w:val="none"/>
        </w:rPr>
        <w:t>供应商踏勘现场发生的费用自理。</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1.9.3 </w:t>
      </w:r>
      <w:r>
        <w:rPr>
          <w:rFonts w:hint="eastAsia" w:ascii="宋体" w:hAnsi="宋体" w:cs="宋体"/>
          <w:color w:val="auto"/>
          <w:sz w:val="21"/>
          <w:szCs w:val="21"/>
          <w:highlight w:val="none"/>
        </w:rPr>
        <w:t>除采购人的原因外，供应商自行负责在踏勘现场中所发生的人员伤亡和财产损失。</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1.9.4 </w:t>
      </w:r>
      <w:r>
        <w:rPr>
          <w:rFonts w:hint="eastAsia" w:ascii="宋体" w:hAnsi="宋体" w:cs="宋体"/>
          <w:color w:val="auto"/>
          <w:sz w:val="21"/>
          <w:szCs w:val="21"/>
          <w:highlight w:val="none"/>
        </w:rPr>
        <w:t>采购人在踏勘现场中介绍的场地和相关的周边环境情况，供供应商在编制响应文</w:t>
      </w:r>
    </w:p>
    <w:p>
      <w:pPr>
        <w:spacing w:line="360" w:lineRule="auto"/>
        <w:rPr>
          <w:rFonts w:ascii="宋体" w:cs="宋体"/>
          <w:color w:val="auto"/>
          <w:sz w:val="21"/>
          <w:szCs w:val="21"/>
          <w:highlight w:val="none"/>
        </w:rPr>
      </w:pPr>
      <w:r>
        <w:rPr>
          <w:rFonts w:hint="eastAsia" w:ascii="宋体" w:hAnsi="宋体" w:cs="宋体"/>
          <w:color w:val="auto"/>
          <w:sz w:val="21"/>
          <w:szCs w:val="21"/>
          <w:highlight w:val="none"/>
        </w:rPr>
        <w:t>件时参考，采购人不对供应商据此作出的判断和决策负责。</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1.10</w:t>
      </w:r>
      <w:r>
        <w:rPr>
          <w:rFonts w:hint="eastAsia" w:ascii="宋体" w:hAnsi="宋体" w:cs="宋体"/>
          <w:color w:val="auto"/>
          <w:sz w:val="21"/>
          <w:szCs w:val="21"/>
          <w:highlight w:val="none"/>
        </w:rPr>
        <w:t>、答疑会</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1.10.1 </w:t>
      </w:r>
      <w:r>
        <w:rPr>
          <w:rFonts w:hint="eastAsia" w:ascii="宋体" w:hAnsi="宋体" w:cs="宋体"/>
          <w:color w:val="auto"/>
          <w:sz w:val="21"/>
          <w:szCs w:val="21"/>
          <w:highlight w:val="none"/>
        </w:rPr>
        <w:t>供应商须知前附表规定召开答疑会的，采购人按供应商须知前附表规定的时间和</w:t>
      </w:r>
    </w:p>
    <w:p>
      <w:pPr>
        <w:spacing w:line="360" w:lineRule="auto"/>
        <w:rPr>
          <w:rFonts w:ascii="宋体" w:cs="宋体"/>
          <w:color w:val="auto"/>
          <w:sz w:val="21"/>
          <w:szCs w:val="21"/>
          <w:highlight w:val="none"/>
        </w:rPr>
      </w:pPr>
      <w:r>
        <w:rPr>
          <w:rFonts w:hint="eastAsia" w:ascii="宋体" w:hAnsi="宋体" w:cs="宋体"/>
          <w:color w:val="auto"/>
          <w:sz w:val="21"/>
          <w:szCs w:val="21"/>
          <w:highlight w:val="none"/>
        </w:rPr>
        <w:t>地点召开答疑会，澄清供应商提出的问题。</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1.10.2 </w:t>
      </w:r>
      <w:r>
        <w:rPr>
          <w:rFonts w:hint="eastAsia" w:ascii="宋体" w:hAnsi="宋体" w:cs="宋体"/>
          <w:color w:val="auto"/>
          <w:sz w:val="21"/>
          <w:szCs w:val="21"/>
          <w:highlight w:val="none"/>
        </w:rPr>
        <w:t>供应商应在答疑会时间的前一天，以书面形式将提出的问题送达采购人，以便采</w:t>
      </w:r>
    </w:p>
    <w:p>
      <w:pPr>
        <w:spacing w:line="360" w:lineRule="auto"/>
        <w:rPr>
          <w:rFonts w:ascii="宋体" w:cs="宋体"/>
          <w:color w:val="auto"/>
          <w:sz w:val="21"/>
          <w:szCs w:val="21"/>
          <w:highlight w:val="none"/>
        </w:rPr>
      </w:pPr>
      <w:r>
        <w:rPr>
          <w:rFonts w:hint="eastAsia" w:ascii="宋体" w:hAnsi="宋体" w:cs="宋体"/>
          <w:color w:val="auto"/>
          <w:sz w:val="21"/>
          <w:szCs w:val="21"/>
          <w:highlight w:val="none"/>
        </w:rPr>
        <w:t>购人在会议期间澄清。</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1.10.3 </w:t>
      </w:r>
      <w:r>
        <w:rPr>
          <w:rFonts w:hint="eastAsia" w:ascii="宋体" w:hAnsi="宋体" w:cs="宋体"/>
          <w:color w:val="auto"/>
          <w:sz w:val="21"/>
          <w:szCs w:val="21"/>
          <w:highlight w:val="none"/>
        </w:rPr>
        <w:t>答疑会后，采购人按本章</w:t>
      </w:r>
      <w:r>
        <w:rPr>
          <w:rFonts w:ascii="宋体" w:hAnsi="宋体" w:cs="宋体"/>
          <w:color w:val="auto"/>
          <w:sz w:val="21"/>
          <w:szCs w:val="21"/>
          <w:highlight w:val="none"/>
        </w:rPr>
        <w:t xml:space="preserve"> 2.4 </w:t>
      </w:r>
      <w:r>
        <w:rPr>
          <w:rFonts w:hint="eastAsia" w:ascii="宋体" w:hAnsi="宋体" w:cs="宋体"/>
          <w:color w:val="auto"/>
          <w:sz w:val="21"/>
          <w:szCs w:val="21"/>
          <w:highlight w:val="none"/>
        </w:rPr>
        <w:t>款规定对供应商所提问题进行澄清答复。</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1.11</w:t>
      </w:r>
      <w:r>
        <w:rPr>
          <w:rFonts w:hint="eastAsia" w:ascii="宋体" w:hAnsi="宋体" w:cs="宋体"/>
          <w:color w:val="auto"/>
          <w:sz w:val="21"/>
          <w:szCs w:val="21"/>
          <w:highlight w:val="none"/>
        </w:rPr>
        <w:t>、分包</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供应商须知前附表规定允许分包的，供应商应当在响应文件载明分包的具体情况，应符合采购人在供应商须知前附表规定的分包内容、分包金额和接受分包的第三人资质要求等限制条件。</w:t>
      </w:r>
    </w:p>
    <w:p>
      <w:pPr>
        <w:spacing w:line="200" w:lineRule="exact"/>
        <w:rPr>
          <w:rFonts w:ascii="宋体" w:cs="宋体"/>
          <w:color w:val="auto"/>
          <w:sz w:val="20"/>
          <w:szCs w:val="20"/>
          <w:highlight w:val="none"/>
        </w:rPr>
      </w:pPr>
    </w:p>
    <w:p>
      <w:pPr>
        <w:spacing w:line="304" w:lineRule="exact"/>
        <w:rPr>
          <w:rFonts w:ascii="宋体" w:cs="宋体"/>
          <w:color w:val="auto"/>
          <w:sz w:val="20"/>
          <w:szCs w:val="20"/>
          <w:highlight w:val="none"/>
        </w:rPr>
      </w:pPr>
    </w:p>
    <w:p>
      <w:pPr>
        <w:rPr>
          <w:rFonts w:ascii="宋体" w:cs="宋体"/>
          <w:color w:val="auto"/>
          <w:highlight w:val="none"/>
        </w:rPr>
        <w:sectPr>
          <w:pgSz w:w="11900" w:h="16838"/>
          <w:pgMar w:top="1440" w:right="1440" w:bottom="401" w:left="1440" w:header="567" w:footer="567" w:gutter="0"/>
          <w:cols w:equalWidth="0" w:num="1">
            <w:col w:w="9026"/>
          </w:cols>
        </w:sectPr>
      </w:pPr>
    </w:p>
    <w:p>
      <w:pPr>
        <w:spacing w:line="1" w:lineRule="exact"/>
        <w:rPr>
          <w:rFonts w:ascii="宋体" w:cs="宋体"/>
          <w:color w:val="auto"/>
          <w:sz w:val="20"/>
          <w:szCs w:val="20"/>
          <w:highlight w:val="none"/>
        </w:rPr>
      </w:pPr>
      <w:bookmarkStart w:id="42" w:name="page11"/>
      <w:bookmarkEnd w:id="42"/>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1.12</w:t>
      </w:r>
      <w:r>
        <w:rPr>
          <w:rFonts w:hint="eastAsia" w:ascii="宋体" w:hAnsi="宋体" w:cs="宋体"/>
          <w:color w:val="auto"/>
          <w:sz w:val="21"/>
          <w:szCs w:val="21"/>
          <w:highlight w:val="none"/>
        </w:rPr>
        <w:t>、偏离</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响应文件应完全响应竞争性磋商文件规定的实质性内容和条件。</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1.13</w:t>
      </w:r>
      <w:r>
        <w:rPr>
          <w:rFonts w:hint="eastAsia" w:ascii="宋体" w:hAnsi="宋体" w:cs="宋体"/>
          <w:color w:val="auto"/>
          <w:sz w:val="21"/>
          <w:szCs w:val="21"/>
          <w:highlight w:val="none"/>
        </w:rPr>
        <w:t>、其他</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1.13.1</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u w:val="single"/>
        </w:rPr>
        <w:t>供应商的法定代表人作为磋商全权代表参加磋商的，供应商须在响应文件中提供《法定代表人资格证明书》；法定代表人授权供应商在职职工作为磋商全权代表参加磋商的，供应商须在响应文件中提供附有《法定代表人资格证明书》的《法定代表人授权书》。</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1.13.2</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u w:val="single"/>
        </w:rPr>
        <w:t>供应商对所响应标项内的采购内容必须全部进行响应。</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1.13.4 </w:t>
      </w:r>
      <w:r>
        <w:rPr>
          <w:rFonts w:hint="eastAsia" w:ascii="宋体" w:hAnsi="宋体" w:cs="宋体"/>
          <w:color w:val="auto"/>
          <w:sz w:val="21"/>
          <w:szCs w:val="21"/>
          <w:highlight w:val="none"/>
        </w:rPr>
        <w:t>竞争性磋商文件中所涉及的产品品牌或型号均为建议性要求或为档次选择要求或为代替部分技术指标描述，供应商可以选择其他品牌型号的产品参加磋商但响应产品须具有相当于或优于竞争性磋商文件要求的指标、性能、档次。否则，磋商小组将对其作出不利的评审。</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1.13.5 </w:t>
      </w:r>
      <w:r>
        <w:rPr>
          <w:rFonts w:hint="eastAsia" w:ascii="宋体" w:hAnsi="宋体" w:cs="宋体"/>
          <w:color w:val="auto"/>
          <w:sz w:val="21"/>
          <w:szCs w:val="21"/>
          <w:highlight w:val="none"/>
        </w:rPr>
        <w:t>竞争性磋商文件中如有描述歧义或前后不一致的地方，磋商小组有权按公平、合理的原则进行评判，但对同一条款的评判适用于每个供应商。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1.13.6 </w:t>
      </w:r>
      <w:r>
        <w:rPr>
          <w:rFonts w:hint="eastAsia" w:ascii="宋体" w:hAnsi="宋体" w:cs="宋体"/>
          <w:color w:val="auto"/>
          <w:sz w:val="21"/>
          <w:szCs w:val="21"/>
          <w:highlight w:val="none"/>
        </w:rPr>
        <w:t>响应文件的响应内容必须真实、明确、准确。否则，磋商小组将对其作出不利的评审。</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1.13.7 </w:t>
      </w:r>
      <w:r>
        <w:rPr>
          <w:rFonts w:hint="eastAsia" w:ascii="宋体" w:hAnsi="宋体" w:cs="宋体"/>
          <w:color w:val="auto"/>
          <w:sz w:val="21"/>
          <w:szCs w:val="21"/>
          <w:highlight w:val="none"/>
        </w:rPr>
        <w:t>乙方为履行合同引起的相关人员的差旅费、食宿费以及其它不可预知的费用由乙方自理。合同实施过程中，须与甲方积极配合。</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1.13.8 </w:t>
      </w:r>
      <w:r>
        <w:rPr>
          <w:rFonts w:hint="eastAsia" w:ascii="宋体" w:hAnsi="宋体" w:cs="宋体"/>
          <w:color w:val="auto"/>
          <w:sz w:val="21"/>
          <w:szCs w:val="21"/>
          <w:highlight w:val="none"/>
        </w:rPr>
        <w:t>项目资金为财政性投资，资金已落实。</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1.13.9 </w:t>
      </w:r>
      <w:r>
        <w:rPr>
          <w:rFonts w:hint="eastAsia" w:ascii="宋体" w:hAnsi="宋体" w:cs="宋体"/>
          <w:color w:val="auto"/>
          <w:sz w:val="21"/>
          <w:szCs w:val="21"/>
          <w:highlight w:val="none"/>
        </w:rPr>
        <w:t>供应商须对所提供产品、方案、技术、服务等拥有合法的占有和处置权，并对涉及项目的所有内容可能侵权行为指控负责，保证不伤害采购人的利益。在法律范围内，如果</w:t>
      </w:r>
      <w:r>
        <w:rPr>
          <w:rFonts w:hint="eastAsia" w:ascii="宋体" w:hAnsi="宋体" w:cs="宋体"/>
          <w:color w:val="auto"/>
          <w:sz w:val="20"/>
          <w:szCs w:val="20"/>
          <w:highlight w:val="none"/>
        </w:rPr>
        <w:t>出现文字、图片、商标和技术等侵权行为而造成的纠纷和产生的一切费用，采购人概不负责，</w:t>
      </w:r>
      <w:r>
        <w:rPr>
          <w:rFonts w:hint="eastAsia" w:ascii="宋体" w:hAnsi="宋体" w:cs="宋体"/>
          <w:color w:val="auto"/>
          <w:sz w:val="21"/>
          <w:szCs w:val="21"/>
          <w:highlight w:val="none"/>
        </w:rPr>
        <w:t>由此给采购人造成损失的，供应商应承担相应后果，并负责赔偿。供应商为执行本项目合同而提供的技术资料等归采购人所有。</w:t>
      </w:r>
    </w:p>
    <w:p>
      <w:pPr>
        <w:spacing w:line="360" w:lineRule="auto"/>
        <w:ind w:firstLine="422" w:firstLineChars="200"/>
        <w:rPr>
          <w:rFonts w:ascii="宋体" w:cs="宋体"/>
          <w:b/>
          <w:bCs/>
          <w:color w:val="auto"/>
          <w:sz w:val="21"/>
          <w:szCs w:val="21"/>
          <w:highlight w:val="none"/>
          <w:u w:val="single"/>
        </w:rPr>
      </w:pPr>
      <w:r>
        <w:rPr>
          <w:rFonts w:ascii="宋体" w:hAnsi="宋体" w:cs="宋体"/>
          <w:b/>
          <w:bCs/>
          <w:color w:val="auto"/>
          <w:sz w:val="21"/>
          <w:szCs w:val="21"/>
          <w:highlight w:val="none"/>
          <w:u w:val="single"/>
        </w:rPr>
        <w:t xml:space="preserve">1.13.10 </w:t>
      </w:r>
      <w:r>
        <w:rPr>
          <w:rFonts w:hint="eastAsia" w:ascii="宋体" w:hAnsi="宋体" w:cs="宋体"/>
          <w:b/>
          <w:bCs/>
          <w:color w:val="auto"/>
          <w:sz w:val="21"/>
          <w:szCs w:val="21"/>
          <w:highlight w:val="none"/>
          <w:u w:val="single"/>
        </w:rPr>
        <w:t>磋商所使用的资格、信誉、荣誉、业绩、企业认证等证明材料必须为供应商自身所拥有，不同法人、其他组织资料与供应商无关，评审时不作为该供应商的依据。</w:t>
      </w:r>
    </w:p>
    <w:p>
      <w:pPr>
        <w:spacing w:line="360" w:lineRule="auto"/>
        <w:ind w:firstLine="211" w:firstLineChars="100"/>
        <w:rPr>
          <w:rFonts w:ascii="宋体" w:cs="宋体"/>
          <w:b/>
          <w:bCs/>
          <w:color w:val="auto"/>
          <w:sz w:val="21"/>
          <w:szCs w:val="21"/>
          <w:highlight w:val="none"/>
          <w:u w:val="single"/>
        </w:rPr>
      </w:pPr>
      <w:r>
        <w:rPr>
          <w:rFonts w:hint="eastAsia" w:ascii="宋体" w:hAnsi="宋体" w:cs="宋体"/>
          <w:b/>
          <w:bCs/>
          <w:color w:val="auto"/>
          <w:sz w:val="21"/>
          <w:szCs w:val="21"/>
          <w:highlight w:val="none"/>
          <w:u w:val="single"/>
        </w:rPr>
        <w:t>“▲”系指实质性要求条款，磋商响应供应商必须做出实质性响应，不满足则按无效标处理。</w:t>
      </w:r>
    </w:p>
    <w:p>
      <w:pPr>
        <w:spacing w:line="360" w:lineRule="auto"/>
        <w:ind w:firstLine="211" w:firstLineChars="100"/>
        <w:rPr>
          <w:rFonts w:ascii="宋体" w:cs="宋体"/>
          <w:b/>
          <w:bCs/>
          <w:color w:val="auto"/>
          <w:sz w:val="21"/>
          <w:szCs w:val="21"/>
          <w:highlight w:val="none"/>
        </w:rPr>
      </w:pPr>
      <w:r>
        <w:rPr>
          <w:rFonts w:hint="eastAsia" w:ascii="宋体" w:hAnsi="宋体" w:cs="宋体"/>
          <w:b/>
          <w:bCs/>
          <w:color w:val="auto"/>
          <w:sz w:val="21"/>
          <w:szCs w:val="21"/>
          <w:highlight w:val="none"/>
          <w:u w:val="single"/>
        </w:rPr>
        <w:t>“★”系指重要条款，磋商响应供应商应满足或者优于指标要求，否则按照负偏离计算。</w:t>
      </w:r>
    </w:p>
    <w:p>
      <w:pPr>
        <w:spacing w:line="360" w:lineRule="auto"/>
        <w:ind w:firstLine="422" w:firstLineChars="200"/>
        <w:rPr>
          <w:rFonts w:ascii="宋体" w:cs="宋体"/>
          <w:color w:val="auto"/>
          <w:sz w:val="20"/>
          <w:szCs w:val="20"/>
          <w:highlight w:val="none"/>
        </w:rPr>
      </w:pPr>
      <w:bookmarkStart w:id="43" w:name="_Toc29859_WPSOffice_Level2"/>
      <w:bookmarkStart w:id="44" w:name="_Toc11507_WPSOffice_Level2"/>
      <w:r>
        <w:rPr>
          <w:rFonts w:hint="eastAsia" w:ascii="宋体" w:hAnsi="宋体" w:cs="宋体"/>
          <w:b/>
          <w:bCs/>
          <w:color w:val="auto"/>
          <w:sz w:val="21"/>
          <w:szCs w:val="21"/>
          <w:highlight w:val="none"/>
        </w:rPr>
        <w:t>二、竞争性磋商文件</w:t>
      </w:r>
      <w:bookmarkEnd w:id="43"/>
      <w:bookmarkEnd w:id="44"/>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、竞争性磋商文件组成</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2.1.1 </w:t>
      </w:r>
      <w:r>
        <w:rPr>
          <w:rFonts w:hint="eastAsia" w:ascii="宋体" w:hAnsi="宋体" w:cs="宋体"/>
          <w:color w:val="auto"/>
          <w:sz w:val="21"/>
          <w:szCs w:val="21"/>
          <w:highlight w:val="none"/>
        </w:rPr>
        <w:t>第一章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竞争性磋商公告</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2.1.2 </w:t>
      </w:r>
      <w:r>
        <w:rPr>
          <w:rFonts w:hint="eastAsia" w:ascii="宋体" w:hAnsi="宋体" w:cs="宋体"/>
          <w:color w:val="auto"/>
          <w:sz w:val="21"/>
          <w:szCs w:val="21"/>
          <w:highlight w:val="none"/>
        </w:rPr>
        <w:t>第二章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供应商须知前附表</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2.1.3 </w:t>
      </w:r>
      <w:r>
        <w:rPr>
          <w:rFonts w:hint="eastAsia" w:ascii="宋体" w:hAnsi="宋体" w:cs="宋体"/>
          <w:color w:val="auto"/>
          <w:sz w:val="21"/>
          <w:szCs w:val="21"/>
          <w:highlight w:val="none"/>
        </w:rPr>
        <w:t>第三章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供应商须知</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2.1.4 </w:t>
      </w:r>
      <w:r>
        <w:rPr>
          <w:rFonts w:hint="eastAsia" w:ascii="宋体" w:hAnsi="宋体" w:cs="宋体"/>
          <w:color w:val="auto"/>
          <w:sz w:val="21"/>
          <w:szCs w:val="21"/>
          <w:highlight w:val="none"/>
        </w:rPr>
        <w:t>第四章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采购内容及技术要求</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2.1.5 </w:t>
      </w:r>
      <w:r>
        <w:rPr>
          <w:rFonts w:hint="eastAsia" w:ascii="宋体" w:hAnsi="宋体" w:cs="宋体"/>
          <w:color w:val="auto"/>
          <w:sz w:val="21"/>
          <w:szCs w:val="21"/>
          <w:highlight w:val="none"/>
        </w:rPr>
        <w:t>第五章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合同</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2.1.6 </w:t>
      </w:r>
      <w:r>
        <w:rPr>
          <w:rFonts w:hint="eastAsia" w:ascii="宋体" w:hAnsi="宋体" w:cs="宋体"/>
          <w:color w:val="auto"/>
          <w:sz w:val="21"/>
          <w:szCs w:val="21"/>
          <w:highlight w:val="none"/>
        </w:rPr>
        <w:t>第六章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响应文件格式</w:t>
      </w:r>
    </w:p>
    <w:p>
      <w:pPr>
        <w:spacing w:line="1" w:lineRule="exact"/>
        <w:rPr>
          <w:rFonts w:ascii="宋体" w:cs="宋体"/>
          <w:color w:val="auto"/>
          <w:sz w:val="20"/>
          <w:szCs w:val="20"/>
          <w:highlight w:val="none"/>
        </w:rPr>
      </w:pPr>
      <w:bookmarkStart w:id="45" w:name="page12"/>
      <w:bookmarkEnd w:id="45"/>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2.1.7 </w:t>
      </w:r>
      <w:r>
        <w:rPr>
          <w:rFonts w:hint="eastAsia" w:ascii="宋体" w:hAnsi="宋体" w:cs="宋体"/>
          <w:color w:val="auto"/>
          <w:sz w:val="21"/>
          <w:szCs w:val="21"/>
          <w:highlight w:val="none"/>
        </w:rPr>
        <w:t>第七章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评审办法</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2.1.8 </w:t>
      </w:r>
      <w:r>
        <w:rPr>
          <w:rFonts w:hint="eastAsia" w:ascii="宋体" w:hAnsi="宋体" w:cs="宋体"/>
          <w:color w:val="auto"/>
          <w:sz w:val="21"/>
          <w:szCs w:val="21"/>
          <w:highlight w:val="none"/>
        </w:rPr>
        <w:t>补充文件（如有）</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、竞争性磋商文件的解释权</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竞争性磋商文件的解释权归采购人和采购代理机构所有。</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、竞争性磋商文件的质疑</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2.3.1 </w:t>
      </w:r>
      <w:r>
        <w:rPr>
          <w:rFonts w:hint="eastAsia" w:ascii="宋体" w:hAnsi="宋体" w:cs="宋体"/>
          <w:color w:val="auto"/>
          <w:sz w:val="21"/>
          <w:szCs w:val="21"/>
          <w:highlight w:val="none"/>
        </w:rPr>
        <w:t>供应商认为竞争性磋商文件规定内容使自己的合法权益受到损害的，供应商可以提出书面质疑。</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2.3.2 </w:t>
      </w:r>
      <w:r>
        <w:rPr>
          <w:rFonts w:hint="eastAsia" w:ascii="宋体" w:hAnsi="宋体" w:cs="宋体"/>
          <w:color w:val="auto"/>
          <w:sz w:val="21"/>
          <w:szCs w:val="21"/>
          <w:highlight w:val="none"/>
        </w:rPr>
        <w:t>质疑书须包括以下内容：</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（一）质疑人的名称、地址、邮政编码、联系人、联系电话；</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（二）被质疑采购项目名称、编号及采购内容；</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（三）具体的质疑事项及事实依据；</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（四）认为自己合法权益受到损害或可能受到损害的相关证据材料；</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（五）提出质疑的日期。</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2.3.3 </w:t>
      </w:r>
      <w:r>
        <w:rPr>
          <w:rFonts w:hint="eastAsia" w:ascii="宋体" w:hAnsi="宋体" w:cs="宋体"/>
          <w:color w:val="auto"/>
          <w:sz w:val="21"/>
          <w:szCs w:val="21"/>
          <w:highlight w:val="none"/>
        </w:rPr>
        <w:t>质疑期限自供应商获得竞争性磋商文件之日起</w:t>
      </w:r>
      <w:r>
        <w:rPr>
          <w:rFonts w:ascii="宋体" w:hAnsi="宋体" w:cs="宋体"/>
          <w:color w:val="auto"/>
          <w:sz w:val="21"/>
          <w:szCs w:val="21"/>
          <w:highlight w:val="none"/>
        </w:rPr>
        <w:t xml:space="preserve"> 3 </w:t>
      </w:r>
      <w:r>
        <w:rPr>
          <w:rFonts w:hint="eastAsia" w:ascii="宋体" w:hAnsi="宋体" w:cs="宋体"/>
          <w:color w:val="auto"/>
          <w:sz w:val="21"/>
          <w:szCs w:val="21"/>
          <w:highlight w:val="none"/>
        </w:rPr>
        <w:t>个工作日内且在响应文件递交截止时间前向采购代理机构提出。</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2.3.4 </w:t>
      </w:r>
      <w:r>
        <w:rPr>
          <w:rFonts w:hint="eastAsia" w:ascii="宋体" w:hAnsi="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00" w:firstLineChars="200"/>
        <w:rPr>
          <w:rFonts w:ascii="宋体" w:cs="宋体"/>
          <w:color w:val="auto"/>
          <w:sz w:val="20"/>
          <w:szCs w:val="20"/>
          <w:highlight w:val="none"/>
        </w:rPr>
      </w:pPr>
      <w:r>
        <w:rPr>
          <w:rFonts w:ascii="宋体" w:hAnsi="宋体" w:cs="宋体"/>
          <w:color w:val="auto"/>
          <w:sz w:val="20"/>
          <w:szCs w:val="20"/>
          <w:highlight w:val="none"/>
        </w:rPr>
        <w:t xml:space="preserve">2.3.5 </w:t>
      </w:r>
      <w:r>
        <w:rPr>
          <w:rFonts w:hint="eastAsia" w:ascii="宋体" w:hAnsi="宋体" w:cs="宋体"/>
          <w:color w:val="auto"/>
          <w:sz w:val="21"/>
          <w:szCs w:val="21"/>
          <w:highlight w:val="none"/>
        </w:rPr>
        <w:t>质疑书必须署名，由法定代表人签字（或盖章）并加盖单位公章，否则不予受理。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2.3.6 </w:t>
      </w:r>
      <w:r>
        <w:rPr>
          <w:rFonts w:hint="eastAsia" w:ascii="宋体" w:hAnsi="宋体" w:cs="宋体"/>
          <w:color w:val="auto"/>
          <w:sz w:val="21"/>
          <w:szCs w:val="21"/>
          <w:highlight w:val="none"/>
        </w:rPr>
        <w:t>质疑书以直接提交、传真或邮寄方式提交（一式三份）。</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2.3.7 </w:t>
      </w:r>
      <w:r>
        <w:rPr>
          <w:rFonts w:hint="eastAsia" w:ascii="宋体" w:hAnsi="宋体" w:cs="宋体"/>
          <w:color w:val="auto"/>
          <w:sz w:val="21"/>
          <w:szCs w:val="21"/>
          <w:highlight w:val="none"/>
        </w:rPr>
        <w:t>质疑书以传真形式提交后，同时须向采购代理机构提交质疑书原件，实际收到原件之日作为收到质疑的日期。</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2.4</w:t>
      </w:r>
      <w:r>
        <w:rPr>
          <w:rFonts w:hint="eastAsia" w:ascii="宋体" w:hAnsi="宋体" w:cs="宋体"/>
          <w:color w:val="auto"/>
          <w:sz w:val="21"/>
          <w:szCs w:val="21"/>
          <w:highlight w:val="none"/>
        </w:rPr>
        <w:t>、竞争性磋商文件的澄清</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2.4.1 </w:t>
      </w:r>
      <w:r>
        <w:rPr>
          <w:rFonts w:hint="eastAsia" w:ascii="宋体" w:hAnsi="宋体" w:cs="宋体"/>
          <w:color w:val="auto"/>
          <w:sz w:val="21"/>
          <w:szCs w:val="21"/>
          <w:highlight w:val="none"/>
        </w:rPr>
        <w:t>供应商对竞争性磋商文件如有疑问要求澄清，或认为有必要与采购代理机构进行技术交流，供应商需将书面资料在“供应商须知前附表”规定询疑截止时间前传真或送达至采购代理机构，同时将电子文件发至供应商须知前附表注明的邮箱（电子邮件与书面文件有不一致的，以书面文件为准），并与采购代理机构进行确认。采购代理机构有权对询疑截止时间后的收到疑问将不予受理、答复。</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2.4.2 </w:t>
      </w:r>
      <w:r>
        <w:rPr>
          <w:rFonts w:hint="eastAsia" w:ascii="宋体" w:hAnsi="宋体" w:cs="宋体"/>
          <w:color w:val="auto"/>
          <w:sz w:val="21"/>
          <w:szCs w:val="21"/>
          <w:highlight w:val="none"/>
        </w:rPr>
        <w:t>供应商要求澄清的资料应加盖单位公章、写明日期。</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2.4.3 </w:t>
      </w:r>
      <w:r>
        <w:rPr>
          <w:rFonts w:hint="eastAsia" w:ascii="宋体" w:hAnsi="宋体" w:cs="宋体"/>
          <w:color w:val="auto"/>
          <w:sz w:val="21"/>
          <w:szCs w:val="21"/>
          <w:highlight w:val="none"/>
        </w:rPr>
        <w:t>如有必要，采购代理机构和采购人对供应商所有要求澄清的问题都予以解答，澄清答复的文件为补充文件，作为竞争性磋商文件的组成部分，补充文件将以传真、网上公告等形式告知所有购买竞争性磋商文件的供应商，补充文件对供应商均有约束力。</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2.4.4 </w:t>
      </w:r>
      <w:r>
        <w:rPr>
          <w:rFonts w:hint="eastAsia" w:ascii="宋体" w:hAnsi="宋体" w:cs="宋体"/>
          <w:color w:val="auto"/>
          <w:sz w:val="21"/>
          <w:szCs w:val="21"/>
          <w:highlight w:val="none"/>
        </w:rPr>
        <w:t>补充文件发出后，采购人原则上不改变竞争性磋商文件规定的响应文件递交截止时间及开标时间。供应商如认为补充文件内容影响响应文件编制，须延长响应文件递交截止时间的，必须在收到补充文件后</w:t>
      </w:r>
      <w:r>
        <w:rPr>
          <w:rFonts w:ascii="宋体" w:hAnsi="宋体" w:cs="宋体"/>
          <w:color w:val="auto"/>
          <w:sz w:val="21"/>
          <w:szCs w:val="21"/>
          <w:highlight w:val="none"/>
        </w:rPr>
        <w:t xml:space="preserve"> 24 </w:t>
      </w:r>
      <w:r>
        <w:rPr>
          <w:rFonts w:hint="eastAsia" w:ascii="宋体" w:hAnsi="宋体" w:cs="宋体"/>
          <w:color w:val="auto"/>
          <w:sz w:val="21"/>
          <w:szCs w:val="21"/>
          <w:highlight w:val="none"/>
        </w:rPr>
        <w:t>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cs="宋体"/>
          <w:color w:val="auto"/>
          <w:sz w:val="20"/>
          <w:szCs w:val="20"/>
          <w:highlight w:val="none"/>
        </w:rPr>
      </w:pPr>
      <w:bookmarkStart w:id="46" w:name="page13"/>
      <w:bookmarkEnd w:id="46"/>
      <w:r>
        <w:rPr>
          <w:rFonts w:ascii="宋体" w:hAnsi="宋体" w:cs="宋体"/>
          <w:color w:val="auto"/>
          <w:sz w:val="21"/>
          <w:szCs w:val="21"/>
          <w:highlight w:val="none"/>
        </w:rPr>
        <w:t xml:space="preserve">2.4.5 </w:t>
      </w:r>
      <w:r>
        <w:rPr>
          <w:rFonts w:hint="eastAsia" w:ascii="宋体" w:hAnsi="宋体" w:cs="宋体"/>
          <w:color w:val="auto"/>
          <w:sz w:val="21"/>
          <w:szCs w:val="21"/>
          <w:highlight w:val="none"/>
        </w:rPr>
        <w:t>供应商在收到补充文件后，应在</w:t>
      </w:r>
      <w:r>
        <w:rPr>
          <w:rFonts w:ascii="宋体" w:hAnsi="宋体" w:cs="宋体"/>
          <w:color w:val="auto"/>
          <w:sz w:val="21"/>
          <w:szCs w:val="21"/>
          <w:highlight w:val="none"/>
        </w:rPr>
        <w:t xml:space="preserve"> 24 </w:t>
      </w:r>
      <w:r>
        <w:rPr>
          <w:rFonts w:hint="eastAsia" w:ascii="宋体" w:hAnsi="宋体" w:cs="宋体"/>
          <w:color w:val="auto"/>
          <w:sz w:val="21"/>
          <w:szCs w:val="21"/>
          <w:highlight w:val="none"/>
        </w:rPr>
        <w:t>小时内以书面形式向采购代理机构确认已收到该补充文件。</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2.4.6 </w:t>
      </w:r>
      <w:r>
        <w:rPr>
          <w:rFonts w:hint="eastAsia" w:ascii="宋体" w:hAnsi="宋体" w:cs="宋体"/>
          <w:color w:val="auto"/>
          <w:sz w:val="21"/>
          <w:szCs w:val="21"/>
          <w:highlight w:val="none"/>
        </w:rPr>
        <w:t>供应商在竞争性磋商文件规定的询疑截止时间前内未对竞争性磋商文件提出疑问的，采购代理机构将视其为无异议。</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2.4.7 </w:t>
      </w:r>
      <w:r>
        <w:rPr>
          <w:rFonts w:hint="eastAsia" w:ascii="宋体" w:hAnsi="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2.5</w:t>
      </w:r>
      <w:r>
        <w:rPr>
          <w:rFonts w:hint="eastAsia" w:ascii="宋体" w:hAnsi="宋体" w:cs="宋体"/>
          <w:color w:val="auto"/>
          <w:sz w:val="21"/>
          <w:szCs w:val="21"/>
          <w:highlight w:val="none"/>
        </w:rPr>
        <w:t>、竞争性磋商文件的修改</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2.5.1 </w:t>
      </w:r>
      <w:r>
        <w:rPr>
          <w:rFonts w:hint="eastAsia" w:ascii="宋体" w:hAnsi="宋体" w:cs="宋体"/>
          <w:color w:val="auto"/>
          <w:sz w:val="21"/>
          <w:szCs w:val="21"/>
          <w:highlight w:val="none"/>
        </w:rPr>
        <w:t>在响应文件提交的截止时间前，由于各种原因采购人可能以补充文件的形式修改完善竞争性磋商文件。</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2.5.2 </w:t>
      </w:r>
      <w:r>
        <w:rPr>
          <w:rFonts w:hint="eastAsia" w:ascii="宋体" w:hAnsi="宋体" w:cs="宋体"/>
          <w:color w:val="auto"/>
          <w:sz w:val="21"/>
          <w:szCs w:val="21"/>
          <w:highlight w:val="none"/>
        </w:rPr>
        <w:t>补充文件作为竞争性磋商文件组成部分，补充文件将以传真、网上公告等形式告知所有购买竞争性磋商文件的供应商，补充文件对供应商均有约束力。</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2.5.3 </w:t>
      </w:r>
      <w:r>
        <w:rPr>
          <w:rFonts w:hint="eastAsia" w:ascii="宋体" w:hAnsi="宋体" w:cs="宋体"/>
          <w:color w:val="auto"/>
          <w:sz w:val="21"/>
          <w:szCs w:val="21"/>
          <w:highlight w:val="none"/>
        </w:rPr>
        <w:t>补充文件发出后，采购人原则上不改变本文件规定的响应文件递交截止时间及开启时间。供应商如认为补充文件内容影响响应文件编制，须延长响应文件递交截止时间的，必须在收到补充文件后</w:t>
      </w:r>
      <w:r>
        <w:rPr>
          <w:rFonts w:ascii="宋体" w:hAnsi="宋体" w:cs="宋体"/>
          <w:color w:val="auto"/>
          <w:sz w:val="21"/>
          <w:szCs w:val="21"/>
          <w:highlight w:val="none"/>
        </w:rPr>
        <w:t xml:space="preserve"> 24 </w:t>
      </w:r>
      <w:r>
        <w:rPr>
          <w:rFonts w:hint="eastAsia" w:ascii="宋体" w:hAnsi="宋体" w:cs="宋体"/>
          <w:color w:val="auto"/>
          <w:sz w:val="21"/>
          <w:szCs w:val="21"/>
          <w:highlight w:val="none"/>
        </w:rPr>
        <w:t>小时内将意见和理由以书面形式向采购代理机构提出，否则，采购代理机构视供应商完全接受并有足够的时间编制响应文件且按规定时间进行磋商。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2.5.4 </w:t>
      </w:r>
      <w:r>
        <w:rPr>
          <w:rFonts w:hint="eastAsia" w:ascii="宋体" w:hAnsi="宋体" w:cs="宋体"/>
          <w:color w:val="auto"/>
          <w:sz w:val="21"/>
          <w:szCs w:val="21"/>
          <w:highlight w:val="none"/>
        </w:rPr>
        <w:t>供应商在收到补充文件后，应在</w:t>
      </w:r>
      <w:r>
        <w:rPr>
          <w:rFonts w:ascii="宋体" w:hAnsi="宋体" w:cs="宋体"/>
          <w:color w:val="auto"/>
          <w:sz w:val="21"/>
          <w:szCs w:val="21"/>
          <w:highlight w:val="none"/>
        </w:rPr>
        <w:t xml:space="preserve"> 24 </w:t>
      </w:r>
      <w:r>
        <w:rPr>
          <w:rFonts w:hint="eastAsia" w:ascii="宋体" w:hAnsi="宋体" w:cs="宋体"/>
          <w:color w:val="auto"/>
          <w:sz w:val="21"/>
          <w:szCs w:val="21"/>
          <w:highlight w:val="none"/>
        </w:rPr>
        <w:t>小时内以书面形式向采购代理机构确认已收到该补充文件。</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2.5.5 </w:t>
      </w:r>
      <w:r>
        <w:rPr>
          <w:rFonts w:hint="eastAsia" w:ascii="宋体" w:hAnsi="宋体" w:cs="宋体"/>
          <w:color w:val="auto"/>
          <w:sz w:val="21"/>
          <w:szCs w:val="21"/>
          <w:highlight w:val="none"/>
        </w:rPr>
        <w:t>供应商收到补充文件后，对补充文件如有疑问要求澄清，应在</w:t>
      </w:r>
      <w:r>
        <w:rPr>
          <w:rFonts w:ascii="宋体" w:hAnsi="宋体" w:cs="宋体"/>
          <w:color w:val="auto"/>
          <w:sz w:val="21"/>
          <w:szCs w:val="21"/>
          <w:highlight w:val="none"/>
        </w:rPr>
        <w:t xml:space="preserve"> 24 </w:t>
      </w:r>
      <w:r>
        <w:rPr>
          <w:rFonts w:hint="eastAsia" w:ascii="宋体" w:hAnsi="宋体" w:cs="宋体"/>
          <w:color w:val="auto"/>
          <w:sz w:val="21"/>
          <w:szCs w:val="21"/>
          <w:highlight w:val="none"/>
        </w:rPr>
        <w:t>小时内将书面</w:t>
      </w:r>
      <w:r>
        <w:rPr>
          <w:rFonts w:hint="eastAsia" w:ascii="宋体" w:hAnsi="宋体" w:cs="宋体"/>
          <w:color w:val="auto"/>
          <w:sz w:val="20"/>
          <w:szCs w:val="20"/>
          <w:highlight w:val="none"/>
        </w:rPr>
        <w:t>资料传</w:t>
      </w:r>
      <w:r>
        <w:rPr>
          <w:rFonts w:hint="eastAsia" w:ascii="宋体" w:hAnsi="宋体" w:cs="宋体"/>
          <w:color w:val="auto"/>
          <w:sz w:val="21"/>
          <w:szCs w:val="21"/>
          <w:highlight w:val="none"/>
        </w:rPr>
        <w:t>真或送达至采购代理机构，同时将电子文件发至供应商须知前附表注明的邮箱（</w:t>
      </w:r>
      <w:r>
        <w:rPr>
          <w:rFonts w:hint="eastAsia" w:ascii="宋体" w:hAnsi="宋体" w:cs="宋体"/>
          <w:color w:val="auto"/>
          <w:sz w:val="20"/>
          <w:szCs w:val="20"/>
          <w:highlight w:val="none"/>
        </w:rPr>
        <w:t>电子</w:t>
      </w:r>
      <w:r>
        <w:rPr>
          <w:rFonts w:hint="eastAsia" w:ascii="宋体" w:hAnsi="宋体" w:cs="宋体"/>
          <w:color w:val="auto"/>
          <w:sz w:val="21"/>
          <w:szCs w:val="21"/>
          <w:highlight w:val="none"/>
        </w:rPr>
        <w:t>邮件与书面文件有不一致的，以书面文件为准），并与采购代理机构进行确认。</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2.5.6 </w:t>
      </w:r>
      <w:r>
        <w:rPr>
          <w:rFonts w:hint="eastAsia" w:ascii="宋体" w:hAnsi="宋体" w:cs="宋体"/>
          <w:color w:val="auto"/>
          <w:sz w:val="21"/>
          <w:szCs w:val="21"/>
          <w:highlight w:val="none"/>
        </w:rPr>
        <w:t>供应商要求澄清的资料应加盖单位公章、写明日期。</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2.5.7 </w:t>
      </w:r>
      <w:r>
        <w:rPr>
          <w:rFonts w:hint="eastAsia" w:ascii="宋体" w:hAnsi="宋体" w:cs="宋体"/>
          <w:color w:val="auto"/>
          <w:sz w:val="21"/>
          <w:szCs w:val="21"/>
          <w:highlight w:val="none"/>
        </w:rPr>
        <w:t>对补充文件的澄清答复按</w:t>
      </w:r>
      <w:r>
        <w:rPr>
          <w:rFonts w:ascii="宋体" w:hAnsi="宋体" w:cs="宋体"/>
          <w:color w:val="auto"/>
          <w:sz w:val="21"/>
          <w:szCs w:val="21"/>
          <w:highlight w:val="none"/>
        </w:rPr>
        <w:t xml:space="preserve"> 2.4 </w:t>
      </w:r>
      <w:r>
        <w:rPr>
          <w:rFonts w:hint="eastAsia" w:ascii="宋体" w:hAnsi="宋体" w:cs="宋体"/>
          <w:color w:val="auto"/>
          <w:sz w:val="21"/>
          <w:szCs w:val="21"/>
          <w:highlight w:val="none"/>
        </w:rPr>
        <w:t>款规定。</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2.5.8 </w:t>
      </w:r>
      <w:r>
        <w:rPr>
          <w:rFonts w:hint="eastAsia" w:ascii="宋体" w:hAnsi="宋体" w:cs="宋体"/>
          <w:color w:val="auto"/>
          <w:sz w:val="21"/>
          <w:szCs w:val="21"/>
          <w:highlight w:val="none"/>
        </w:rPr>
        <w:t>当竞争性磋商文件与补充文件就同一内容的表述不一致时，以最后发出的书面文件为准。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2.5.9 </w:t>
      </w:r>
      <w:r>
        <w:rPr>
          <w:rFonts w:hint="eastAsia" w:ascii="宋体" w:hAnsi="宋体" w:cs="宋体"/>
          <w:color w:val="auto"/>
          <w:sz w:val="21"/>
          <w:szCs w:val="21"/>
          <w:highlight w:val="none"/>
        </w:rPr>
        <w:t>任何口头答复均不属于竞争性磋商文件的组成部分。</w:t>
      </w:r>
    </w:p>
    <w:p>
      <w:pPr>
        <w:spacing w:line="360" w:lineRule="auto"/>
        <w:ind w:firstLine="422" w:firstLineChars="200"/>
        <w:rPr>
          <w:rFonts w:ascii="宋体" w:cs="宋体"/>
          <w:color w:val="auto"/>
          <w:sz w:val="20"/>
          <w:szCs w:val="20"/>
          <w:highlight w:val="none"/>
        </w:rPr>
      </w:pPr>
      <w:bookmarkStart w:id="47" w:name="_Toc3166_WPSOffice_Level2"/>
      <w:bookmarkStart w:id="48" w:name="_Toc27277_WPSOffice_Level2"/>
      <w:r>
        <w:rPr>
          <w:rFonts w:hint="eastAsia" w:ascii="宋体" w:hAnsi="宋体" w:cs="宋体"/>
          <w:b/>
          <w:bCs/>
          <w:color w:val="auto"/>
          <w:sz w:val="21"/>
          <w:szCs w:val="21"/>
          <w:highlight w:val="none"/>
        </w:rPr>
        <w:t>三、响应文件</w:t>
      </w:r>
      <w:bookmarkEnd w:id="47"/>
      <w:bookmarkEnd w:id="48"/>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、响应文件</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3.1.1 </w:t>
      </w:r>
      <w:r>
        <w:rPr>
          <w:rFonts w:hint="eastAsia" w:ascii="宋体" w:hAnsi="宋体" w:cs="宋体"/>
          <w:color w:val="auto"/>
          <w:sz w:val="21"/>
          <w:szCs w:val="21"/>
          <w:highlight w:val="none"/>
        </w:rPr>
        <w:t>供应商应仔细阅读竞争性磋商文件规定的所有内容，以保证能全面准确理解竞争性磋商文件，并按照竞争性磋商文件要求，详细编制响应文件，响应文件内容必须针对本次磋商响应。</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3.1.2 </w:t>
      </w:r>
      <w:r>
        <w:rPr>
          <w:rFonts w:hint="eastAsia" w:ascii="宋体" w:hAnsi="宋体" w:cs="宋体"/>
          <w:color w:val="auto"/>
          <w:sz w:val="21"/>
          <w:szCs w:val="21"/>
          <w:highlight w:val="none"/>
        </w:rPr>
        <w:t>供应商必须按竞争性磋商文件的要求提供相关资料，并对竞争性磋商文件中提出的所有内容要求给予实质性响应，须保证响应文件的准确、真实、明确。响应文件响应内容对竞争性磋商文件要求如有偏离均应填写偏离表，如不填写，采购人有权视作响应文件完全响应竞争性磋商文件要求。</w:t>
      </w:r>
    </w:p>
    <w:p>
      <w:pPr>
        <w:spacing w:line="360" w:lineRule="auto"/>
        <w:ind w:firstLine="422" w:firstLineChars="200"/>
        <w:rPr>
          <w:rFonts w:ascii="宋体" w:cs="宋体"/>
          <w:color w:val="auto"/>
          <w:sz w:val="20"/>
          <w:szCs w:val="20"/>
          <w:highlight w:val="none"/>
        </w:rPr>
      </w:pPr>
      <w:r>
        <w:rPr>
          <w:rFonts w:ascii="宋体" w:hAnsi="宋体" w:cs="宋体"/>
          <w:b/>
          <w:bCs/>
          <w:color w:val="auto"/>
          <w:sz w:val="21"/>
          <w:szCs w:val="21"/>
          <w:highlight w:val="none"/>
        </w:rPr>
        <w:t>3.2</w:t>
      </w:r>
      <w:r>
        <w:rPr>
          <w:rFonts w:hint="eastAsia" w:ascii="宋体" w:hAnsi="宋体" w:cs="宋体"/>
          <w:b/>
          <w:bCs/>
          <w:color w:val="auto"/>
          <w:sz w:val="21"/>
          <w:szCs w:val="21"/>
          <w:highlight w:val="none"/>
        </w:rPr>
        <w:t>、响应文件组成</w:t>
      </w:r>
    </w:p>
    <w:p>
      <w:pPr>
        <w:spacing w:line="360" w:lineRule="auto"/>
        <w:ind w:firstLine="422" w:firstLineChars="200"/>
        <w:rPr>
          <w:rFonts w:ascii="宋体" w:cs="宋体"/>
          <w:b/>
          <w:bCs/>
          <w:color w:val="auto"/>
          <w:sz w:val="21"/>
          <w:szCs w:val="21"/>
          <w:highlight w:val="none"/>
        </w:rPr>
      </w:pPr>
      <w:r>
        <w:rPr>
          <w:rFonts w:ascii="宋体" w:hAnsi="宋体" w:cs="宋体"/>
          <w:b/>
          <w:bCs/>
          <w:color w:val="auto"/>
          <w:sz w:val="21"/>
          <w:szCs w:val="21"/>
          <w:highlight w:val="none"/>
        </w:rPr>
        <w:t xml:space="preserve">3.2.1 </w:t>
      </w:r>
      <w:r>
        <w:rPr>
          <w:rFonts w:hint="eastAsia" w:ascii="宋体" w:hAnsi="宋体" w:cs="宋体"/>
          <w:b/>
          <w:bCs/>
          <w:color w:val="auto"/>
          <w:sz w:val="21"/>
          <w:szCs w:val="21"/>
          <w:highlight w:val="none"/>
        </w:rPr>
        <w:t>投标文件报价文件</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报价函；</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初次报价一览表；</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工程量清单报价</w:t>
      </w:r>
      <w:bookmarkStart w:id="49" w:name="page14"/>
      <w:bookmarkEnd w:id="49"/>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中小企业（监狱）声明函及其相关的充分的证明材料、残疾人福利性单位声明函。</w:t>
      </w:r>
    </w:p>
    <w:p>
      <w:pPr>
        <w:spacing w:line="360" w:lineRule="auto"/>
        <w:ind w:firstLine="422" w:firstLineChars="200"/>
        <w:rPr>
          <w:rFonts w:ascii="宋体" w:cs="宋体"/>
          <w:b/>
          <w:bCs/>
          <w:color w:val="auto"/>
          <w:sz w:val="21"/>
          <w:szCs w:val="21"/>
          <w:highlight w:val="none"/>
        </w:rPr>
      </w:pPr>
      <w:r>
        <w:rPr>
          <w:rFonts w:ascii="宋体" w:hAnsi="宋体" w:cs="宋体"/>
          <w:b/>
          <w:bCs/>
          <w:color w:val="auto"/>
          <w:sz w:val="21"/>
          <w:szCs w:val="21"/>
          <w:highlight w:val="none"/>
        </w:rPr>
        <w:t xml:space="preserve">3.2.2 </w:t>
      </w:r>
      <w:r>
        <w:rPr>
          <w:rFonts w:hint="eastAsia" w:ascii="宋体" w:hAnsi="宋体" w:cs="宋体"/>
          <w:b/>
          <w:bCs/>
          <w:color w:val="auto"/>
          <w:sz w:val="21"/>
          <w:szCs w:val="21"/>
          <w:highlight w:val="none"/>
        </w:rPr>
        <w:t>投标文件商务、技术文件</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商务文件：</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）法定代表人资格证明书或附有法定代表人资格证明书的法定代表人授权书；</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）资格审查资料；</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）供应商声明函；</w:t>
      </w:r>
    </w:p>
    <w:p>
      <w:pPr>
        <w:spacing w:line="360" w:lineRule="auto"/>
        <w:ind w:firstLine="420" w:firstLineChars="200"/>
        <w:rPr>
          <w:rFonts w:ascii="宋体" w:cs="宋体"/>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）公司基本情况介绍；</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）供应商类似工程业绩；</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技术文件：</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）施工方案；</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）质量保证措施；（根据评分表要求制作、格式自拟）</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）拟投入的主要施工机械设备情况、主要施工机械计划；</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）工期承诺、进度控制措施及施工质量控制措施；</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）投入本项目的工程技术管理人员的专业配置情况；附表三、附表四、附表五</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）关键工序、复杂环节的相应技术措施；</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）安全文明施工保证措施；</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）材料设备进场计划及施工计划情况；</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9</w:t>
      </w:r>
      <w:r>
        <w:rPr>
          <w:rFonts w:hint="eastAsia" w:ascii="宋体" w:hAnsi="宋体" w:cs="宋体"/>
          <w:color w:val="auto"/>
          <w:sz w:val="21"/>
          <w:szCs w:val="21"/>
          <w:highlight w:val="none"/>
        </w:rPr>
        <w:t>）应急处置方案及售后服务；</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10</w:t>
      </w:r>
      <w:r>
        <w:rPr>
          <w:rFonts w:hint="eastAsia" w:ascii="宋体" w:hAnsi="宋体" w:cs="宋体"/>
          <w:color w:val="auto"/>
          <w:sz w:val="21"/>
          <w:szCs w:val="21"/>
          <w:highlight w:val="none"/>
        </w:rPr>
        <w:t>）主要材料品牌表；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11</w:t>
      </w:r>
      <w:r>
        <w:rPr>
          <w:rFonts w:hint="eastAsia" w:ascii="宋体" w:hAnsi="宋体" w:cs="宋体"/>
          <w:color w:val="auto"/>
          <w:sz w:val="21"/>
          <w:szCs w:val="21"/>
          <w:highlight w:val="none"/>
        </w:rPr>
        <w:t>）供应商认为需要提供的资料。</w:t>
      </w:r>
    </w:p>
    <w:p>
      <w:pPr>
        <w:spacing w:line="360" w:lineRule="auto"/>
        <w:ind w:firstLine="422" w:firstLineChars="200"/>
        <w:rPr>
          <w:rFonts w:ascii="宋体" w:cs="宋体"/>
          <w:b/>
          <w:bCs/>
          <w:color w:val="auto"/>
          <w:sz w:val="21"/>
          <w:szCs w:val="21"/>
          <w:highlight w:val="none"/>
          <w:u w:val="single"/>
        </w:rPr>
      </w:pPr>
      <w:r>
        <w:rPr>
          <w:rFonts w:hint="eastAsia" w:ascii="宋体" w:hAnsi="宋体" w:cs="宋体"/>
          <w:b/>
          <w:bCs/>
          <w:color w:val="auto"/>
          <w:sz w:val="21"/>
          <w:szCs w:val="21"/>
          <w:highlight w:val="none"/>
          <w:u w:val="single"/>
        </w:rPr>
        <w:t>采用文字表述外可附下列图表，图表及格式要求附后，没有图表的可格式自拟。</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附表一</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拟投入的主要施工设备表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附表二</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拟配备的试验和检测仪器设备表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附表三</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项目管理班子配备情况表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附表四、项目经理简历表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附表五、技术负责人简历表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附表六、劳动力计划表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附表七、计划开、竣工日期和施工进度网络图或横道图</w:t>
      </w:r>
    </w:p>
    <w:p>
      <w:pPr>
        <w:spacing w:line="360" w:lineRule="auto"/>
        <w:ind w:firstLine="422" w:firstLineChars="200"/>
        <w:rPr>
          <w:rFonts w:ascii="宋体" w:cs="宋体"/>
          <w:b/>
          <w:bCs/>
          <w:color w:val="auto"/>
          <w:sz w:val="20"/>
          <w:szCs w:val="20"/>
          <w:highlight w:val="none"/>
        </w:rPr>
      </w:pPr>
      <w:r>
        <w:rPr>
          <w:rFonts w:ascii="宋体" w:hAnsi="宋体" w:cs="宋体"/>
          <w:b/>
          <w:bCs/>
          <w:color w:val="auto"/>
          <w:sz w:val="21"/>
          <w:szCs w:val="21"/>
          <w:highlight w:val="none"/>
        </w:rPr>
        <w:t>3.3</w:t>
      </w:r>
      <w:r>
        <w:rPr>
          <w:rFonts w:hint="eastAsia" w:ascii="宋体" w:hAnsi="宋体" w:cs="宋体"/>
          <w:b/>
          <w:bCs/>
          <w:color w:val="auto"/>
          <w:sz w:val="21"/>
          <w:szCs w:val="21"/>
          <w:highlight w:val="none"/>
        </w:rPr>
        <w:t>、响应文件的编制</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3.3.1 </w:t>
      </w:r>
      <w:r>
        <w:rPr>
          <w:rFonts w:hint="eastAsia" w:ascii="宋体" w:hAnsi="宋体" w:cs="宋体"/>
          <w:color w:val="auto"/>
          <w:sz w:val="21"/>
          <w:szCs w:val="21"/>
          <w:highlight w:val="none"/>
        </w:rPr>
        <w:t>响应文件应按照本章</w:t>
      </w:r>
      <w:r>
        <w:rPr>
          <w:rFonts w:ascii="宋体" w:hAnsi="宋体" w:cs="宋体"/>
          <w:color w:val="auto"/>
          <w:sz w:val="21"/>
          <w:szCs w:val="21"/>
          <w:highlight w:val="none"/>
        </w:rPr>
        <w:t xml:space="preserve"> 3.2 </w:t>
      </w:r>
      <w:r>
        <w:rPr>
          <w:rFonts w:hint="eastAsia" w:ascii="宋体" w:hAnsi="宋体" w:cs="宋体"/>
          <w:color w:val="auto"/>
          <w:sz w:val="21"/>
          <w:szCs w:val="21"/>
          <w:highlight w:val="none"/>
        </w:rPr>
        <w:t>款中规定的顺序及采用“响应文件格式”中提供的格式进行编制。</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3.3.2 </w:t>
      </w:r>
      <w:r>
        <w:rPr>
          <w:rFonts w:hint="eastAsia" w:ascii="宋体" w:hAnsi="宋体" w:cs="宋体"/>
          <w:color w:val="auto"/>
          <w:sz w:val="21"/>
          <w:szCs w:val="21"/>
          <w:highlight w:val="none"/>
        </w:rPr>
        <w:t>响应文件应当对竞争性磋商文件规定的内容进行明确，对竞争性磋商文件规定的实质性内容应当作出响应。</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3.3.3 </w:t>
      </w:r>
      <w:r>
        <w:rPr>
          <w:rFonts w:hint="eastAsia" w:ascii="宋体" w:hAnsi="宋体" w:cs="宋体"/>
          <w:color w:val="auto"/>
          <w:sz w:val="21"/>
          <w:szCs w:val="21"/>
          <w:highlight w:val="none"/>
        </w:rPr>
        <w:t>响应文件的正本需打印或用不退色的墨水填写，并注明“正本”字样。副本可以复印，并注明“副本”字样。当副本和正本不一致时，以正本为准。</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3.3.4 </w:t>
      </w:r>
      <w:r>
        <w:rPr>
          <w:rFonts w:hint="eastAsia" w:ascii="宋体" w:hAnsi="宋体" w:cs="宋体"/>
          <w:color w:val="auto"/>
          <w:sz w:val="21"/>
          <w:szCs w:val="21"/>
          <w:highlight w:val="none"/>
        </w:rPr>
        <w:t>响应文件由供应商的法定代表人或其委托代理人签字（或盖章）、盖单位公章。响应文件应尽量避免涂改、行间插字或删除，如果出现上述情况，改动之处应加盖单位公章或由响应文件签署人签字（或盖章）确认。签字或盖章的具体要求见“供应商须知前附表”。</w:t>
      </w:r>
      <w:bookmarkStart w:id="50" w:name="page15"/>
      <w:bookmarkEnd w:id="50"/>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3.3.5 </w:t>
      </w:r>
      <w:r>
        <w:rPr>
          <w:rFonts w:hint="eastAsia" w:ascii="宋体" w:hAnsi="宋体" w:cs="宋体"/>
          <w:color w:val="auto"/>
          <w:sz w:val="21"/>
          <w:szCs w:val="21"/>
          <w:highlight w:val="none"/>
        </w:rPr>
        <w:t>响应文件份数要求详见“供应商须知前附表”。</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3.3.6 </w:t>
      </w:r>
      <w:r>
        <w:rPr>
          <w:rFonts w:hint="eastAsia" w:ascii="宋体" w:hAnsi="宋体" w:cs="宋体"/>
          <w:color w:val="auto"/>
          <w:sz w:val="21"/>
          <w:szCs w:val="21"/>
          <w:highlight w:val="none"/>
        </w:rPr>
        <w:t>响应文件应编制目录，响应文件装订要求详见“供应商须知前附表”。</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3.3.7 </w:t>
      </w:r>
      <w:r>
        <w:rPr>
          <w:rFonts w:hint="eastAsia" w:ascii="宋体" w:hAnsi="宋体" w:cs="宋体"/>
          <w:color w:val="auto"/>
          <w:sz w:val="21"/>
          <w:szCs w:val="21"/>
          <w:highlight w:val="none"/>
        </w:rPr>
        <w:t>由于字迹模糊或表达不清引起的后果由供应商负责。</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3.4</w:t>
      </w:r>
      <w:r>
        <w:rPr>
          <w:rFonts w:hint="eastAsia" w:ascii="宋体" w:hAnsi="宋体" w:cs="宋体"/>
          <w:color w:val="auto"/>
          <w:sz w:val="21"/>
          <w:szCs w:val="21"/>
          <w:highlight w:val="none"/>
        </w:rPr>
        <w:t>、磋商报价</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rPr>
        <w:t xml:space="preserve">3.4.1 </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u w:val="single"/>
        </w:rPr>
        <w:t>本项目以含税人民币报价</w:t>
      </w:r>
      <w:r>
        <w:rPr>
          <w:rFonts w:hint="eastAsia" w:ascii="宋体" w:hAnsi="宋体" w:cs="宋体"/>
          <w:color w:val="auto"/>
          <w:sz w:val="21"/>
          <w:szCs w:val="21"/>
          <w:highlight w:val="none"/>
          <w:u w:val="single"/>
        </w:rPr>
        <w:t>。</w:t>
      </w:r>
    </w:p>
    <w:p>
      <w:pPr>
        <w:pStyle w:val="38"/>
        <w:adjustRightInd w:val="0"/>
        <w:snapToGrid w:val="0"/>
        <w:spacing w:before="0"/>
        <w:ind w:firstLine="31680"/>
        <w:rPr>
          <w:rFonts w:ascii="宋体" w:cs="宋体"/>
          <w:color w:val="auto"/>
          <w:sz w:val="21"/>
          <w:szCs w:val="21"/>
          <w:highlight w:val="none"/>
          <w:u w:val="single"/>
        </w:rPr>
      </w:pPr>
      <w:r>
        <w:rPr>
          <w:rFonts w:hint="eastAsia" w:ascii="宋体" w:hAnsi="宋体" w:cs="宋体"/>
          <w:b/>
          <w:color w:val="auto"/>
          <w:sz w:val="21"/>
          <w:szCs w:val="21"/>
          <w:highlight w:val="none"/>
          <w:u w:val="single"/>
        </w:rPr>
        <w:t>招标文件中明确的采购内容的采购、运输以及施工安装期间潜可能产生的费用、设计费（含施工图优化）、凡在投标报价中涉及到企业管理费、利润、措施费、规费、税金等国家、省、市强制性要求的费用，若投标人报价不足或未报价，则视作优惠，一旦中标，投标人自行承担该费用。投标人对合同内容的费用、质量、安全、文明服务等实行全面承包。最后磋商报价是履行合同的最终价格。</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3.4.2 </w:t>
      </w:r>
      <w:r>
        <w:rPr>
          <w:rFonts w:hint="eastAsia" w:ascii="宋体" w:hAnsi="宋体" w:cs="宋体"/>
          <w:color w:val="auto"/>
          <w:sz w:val="21"/>
          <w:szCs w:val="21"/>
          <w:highlight w:val="none"/>
        </w:rPr>
        <w:t>供应商应按</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“工程量清单”的要求填写相应表格，请供应商详细阅读采购文件工程量清单编制说明。</w:t>
      </w:r>
    </w:p>
    <w:p>
      <w:pPr>
        <w:spacing w:line="360" w:lineRule="auto"/>
        <w:ind w:firstLine="420" w:firstLineChars="200"/>
        <w:rPr>
          <w:rFonts w:ascii="宋体" w:cs="宋体"/>
          <w:b/>
          <w:bCs/>
          <w:color w:val="auto"/>
          <w:sz w:val="21"/>
          <w:szCs w:val="21"/>
          <w:highlight w:val="none"/>
          <w:u w:val="single"/>
        </w:rPr>
      </w:pPr>
      <w:r>
        <w:rPr>
          <w:rFonts w:ascii="宋体" w:hAnsi="宋体" w:cs="宋体"/>
          <w:color w:val="auto"/>
          <w:sz w:val="21"/>
          <w:szCs w:val="21"/>
          <w:highlight w:val="none"/>
        </w:rPr>
        <w:t xml:space="preserve">3.4.3 </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u w:val="single"/>
        </w:rPr>
        <w:t>所投标项最后一轮报价只允许有一个报价，不接受有选择报价的响应文件。</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3.4.4 </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u w:val="single"/>
        </w:rPr>
        <w:t>造价人员签字及盖章要求：详见前附表要求。</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3.5</w:t>
      </w:r>
      <w:r>
        <w:rPr>
          <w:rFonts w:hint="eastAsia" w:ascii="宋体" w:hAnsi="宋体" w:cs="宋体"/>
          <w:color w:val="auto"/>
          <w:sz w:val="21"/>
          <w:szCs w:val="21"/>
          <w:highlight w:val="none"/>
        </w:rPr>
        <w:t>、磋商保证金：本项目不提交；</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3.6 </w:t>
      </w:r>
      <w:r>
        <w:rPr>
          <w:rFonts w:hint="eastAsia" w:ascii="宋体" w:hAnsi="宋体" w:cs="宋体"/>
          <w:color w:val="auto"/>
          <w:sz w:val="21"/>
          <w:szCs w:val="21"/>
          <w:highlight w:val="none"/>
        </w:rPr>
        <w:t>响应文件有效期</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3.6.1 </w:t>
      </w:r>
      <w:r>
        <w:rPr>
          <w:rFonts w:hint="eastAsia" w:ascii="宋体" w:hAnsi="宋体" w:cs="宋体"/>
          <w:color w:val="auto"/>
          <w:sz w:val="21"/>
          <w:szCs w:val="21"/>
          <w:highlight w:val="none"/>
        </w:rPr>
        <w:t>响应文件有效期按“供应商须知前附表”规定，响应文件应在该有效期内保持有效。合同签订后，响应文件作为合同附件，响应文件有效期同合同有效期。</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3.6.2 </w:t>
      </w:r>
      <w:r>
        <w:rPr>
          <w:rFonts w:hint="eastAsia" w:ascii="宋体" w:hAnsi="宋体" w:cs="宋体"/>
          <w:color w:val="auto"/>
          <w:sz w:val="21"/>
          <w:szCs w:val="21"/>
          <w:highlight w:val="none"/>
        </w:rPr>
        <w:t>在特殊情况下，采购人可与供应商协商延长响应文件有效期，这种要求和答复均应以书面形式进行。</w:t>
      </w:r>
    </w:p>
    <w:p>
      <w:pPr>
        <w:spacing w:line="1" w:lineRule="exact"/>
        <w:rPr>
          <w:rFonts w:ascii="宋体" w:cs="宋体"/>
          <w:color w:val="auto"/>
          <w:sz w:val="20"/>
          <w:szCs w:val="20"/>
          <w:highlight w:val="none"/>
        </w:rPr>
      </w:pPr>
      <w:bookmarkStart w:id="51" w:name="page16"/>
      <w:bookmarkEnd w:id="51"/>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3.6.3 </w:t>
      </w:r>
      <w:r>
        <w:rPr>
          <w:rFonts w:hint="eastAsia" w:ascii="宋体" w:hAnsi="宋体" w:cs="宋体"/>
          <w:color w:val="auto"/>
          <w:sz w:val="21"/>
          <w:szCs w:val="21"/>
          <w:highlight w:val="none"/>
        </w:rPr>
        <w:t>供应商可拒绝接受延期要求。同意延长有效期的供应商不能修改响应文件。</w:t>
      </w:r>
    </w:p>
    <w:p>
      <w:pPr>
        <w:spacing w:line="360" w:lineRule="auto"/>
        <w:ind w:firstLine="422" w:firstLineChars="200"/>
        <w:rPr>
          <w:rFonts w:ascii="宋体" w:cs="宋体"/>
          <w:color w:val="auto"/>
          <w:sz w:val="20"/>
          <w:szCs w:val="20"/>
          <w:highlight w:val="none"/>
        </w:rPr>
      </w:pPr>
      <w:bookmarkStart w:id="52" w:name="_Toc18155_WPSOffice_Level2"/>
      <w:bookmarkStart w:id="53" w:name="_Toc10590_WPSOffice_Level2"/>
      <w:r>
        <w:rPr>
          <w:rFonts w:hint="eastAsia" w:ascii="宋体" w:hAnsi="宋体" w:cs="宋体"/>
          <w:b/>
          <w:bCs/>
          <w:color w:val="auto"/>
          <w:sz w:val="21"/>
          <w:szCs w:val="21"/>
          <w:highlight w:val="none"/>
        </w:rPr>
        <w:t>四、磋商响应</w:t>
      </w:r>
      <w:bookmarkEnd w:id="52"/>
      <w:bookmarkEnd w:id="53"/>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4.1</w:t>
      </w:r>
      <w:r>
        <w:rPr>
          <w:rFonts w:hint="eastAsia" w:ascii="宋体" w:hAnsi="宋体" w:cs="宋体"/>
          <w:color w:val="auto"/>
          <w:sz w:val="21"/>
          <w:szCs w:val="21"/>
          <w:highlight w:val="none"/>
        </w:rPr>
        <w:t>、响应文件的密封及标记：</w:t>
      </w:r>
      <w:r>
        <w:rPr>
          <w:rFonts w:hint="eastAsia" w:ascii="宋体" w:hAnsi="宋体" w:cs="宋体"/>
          <w:b/>
          <w:bCs/>
          <w:color w:val="auto"/>
          <w:sz w:val="21"/>
          <w:szCs w:val="21"/>
          <w:highlight w:val="none"/>
        </w:rPr>
        <w:t>详见前附表中要求。</w:t>
      </w:r>
    </w:p>
    <w:p>
      <w:pPr>
        <w:spacing w:line="360" w:lineRule="auto"/>
        <w:ind w:firstLine="420" w:firstLineChars="200"/>
        <w:rPr>
          <w:rFonts w:ascii="宋体" w:cs="宋体"/>
          <w:b/>
          <w:bCs/>
          <w:color w:val="auto"/>
          <w:sz w:val="21"/>
          <w:szCs w:val="21"/>
          <w:highlight w:val="none"/>
        </w:rPr>
      </w:pPr>
      <w:r>
        <w:rPr>
          <w:rFonts w:ascii="宋体" w:hAnsi="宋体" w:cs="宋体"/>
          <w:color w:val="auto"/>
          <w:sz w:val="21"/>
          <w:szCs w:val="21"/>
          <w:highlight w:val="none"/>
        </w:rPr>
        <w:t xml:space="preserve">4.1.1 </w:t>
      </w:r>
      <w:r>
        <w:rPr>
          <w:rFonts w:hint="eastAsia" w:ascii="宋体" w:hAnsi="宋体" w:cs="宋体"/>
          <w:color w:val="auto"/>
          <w:sz w:val="21"/>
          <w:szCs w:val="21"/>
          <w:highlight w:val="none"/>
        </w:rPr>
        <w:t>响应文件应按以下方法装袋密封：</w:t>
      </w:r>
      <w:r>
        <w:rPr>
          <w:rFonts w:hint="eastAsia" w:ascii="宋体" w:hAnsi="宋体" w:cs="宋体"/>
          <w:b/>
          <w:bCs/>
          <w:color w:val="auto"/>
          <w:sz w:val="21"/>
          <w:szCs w:val="21"/>
          <w:highlight w:val="none"/>
        </w:rPr>
        <w:t>详见前附表中要求。</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4.1.2 </w:t>
      </w:r>
      <w:r>
        <w:rPr>
          <w:rFonts w:hint="eastAsia" w:ascii="宋体" w:hAnsi="宋体" w:cs="宋体"/>
          <w:b/>
          <w:bCs/>
          <w:color w:val="auto"/>
          <w:sz w:val="21"/>
          <w:szCs w:val="21"/>
          <w:highlight w:val="none"/>
        </w:rPr>
        <w:t>如果供应商未按上述要求加写标记，采购人对响应文件的误投和提前启封不负责任。</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4.2</w:t>
      </w:r>
      <w:r>
        <w:rPr>
          <w:rFonts w:hint="eastAsia" w:ascii="宋体" w:hAnsi="宋体" w:cs="宋体"/>
          <w:color w:val="auto"/>
          <w:sz w:val="21"/>
          <w:szCs w:val="21"/>
          <w:highlight w:val="none"/>
        </w:rPr>
        <w:t>、响应文件的提交</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4.2.1 </w:t>
      </w:r>
      <w:r>
        <w:rPr>
          <w:rFonts w:hint="eastAsia" w:ascii="宋体" w:hAnsi="宋体" w:cs="宋体"/>
          <w:color w:val="auto"/>
          <w:sz w:val="21"/>
          <w:szCs w:val="21"/>
          <w:highlight w:val="none"/>
        </w:rPr>
        <w:t>供应商应在“供应商须知前附表”规定响应文件提交的截止时间前提交响应文件。</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4.2.2 </w:t>
      </w:r>
      <w:r>
        <w:rPr>
          <w:rFonts w:hint="eastAsia" w:ascii="宋体" w:hAnsi="宋体" w:cs="宋体"/>
          <w:color w:val="auto"/>
          <w:sz w:val="21"/>
          <w:szCs w:val="21"/>
          <w:highlight w:val="none"/>
        </w:rPr>
        <w:t>供应商提交响应文件地点见“供应商须知前附表”。</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4.2.3 </w:t>
      </w:r>
      <w:r>
        <w:rPr>
          <w:rFonts w:hint="eastAsia" w:ascii="宋体" w:hAnsi="宋体" w:cs="宋体"/>
          <w:color w:val="auto"/>
          <w:sz w:val="21"/>
          <w:szCs w:val="21"/>
          <w:highlight w:val="none"/>
        </w:rPr>
        <w:t>供应商提交的响应文件均不予退还。</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4.2.4 </w:t>
      </w:r>
      <w:r>
        <w:rPr>
          <w:rFonts w:hint="eastAsia" w:ascii="宋体" w:hAnsi="宋体" w:cs="宋体"/>
          <w:color w:val="auto"/>
          <w:sz w:val="21"/>
          <w:szCs w:val="21"/>
          <w:highlight w:val="none"/>
        </w:rPr>
        <w:t>逾期送达的或者未送达指定地点的响应文件，采购人将不予受理。</w:t>
      </w:r>
    </w:p>
    <w:p>
      <w:pPr>
        <w:spacing w:line="360" w:lineRule="auto"/>
        <w:ind w:right="346" w:firstLine="420" w:firstLineChars="200"/>
        <w:rPr>
          <w:rFonts w:ascii="宋体" w:cs="宋体"/>
          <w:color w:val="auto"/>
          <w:sz w:val="20"/>
          <w:szCs w:val="20"/>
          <w:highlight w:val="none"/>
        </w:rPr>
      </w:pPr>
      <w:r>
        <w:rPr>
          <w:rFonts w:ascii="宋体" w:hAnsi="宋体" w:cs="宋体"/>
          <w:color w:val="auto"/>
          <w:sz w:val="21"/>
          <w:szCs w:val="21"/>
          <w:highlight w:val="none"/>
        </w:rPr>
        <w:t xml:space="preserve">4.2.5 </w:t>
      </w:r>
      <w:r>
        <w:rPr>
          <w:rFonts w:hint="eastAsia" w:ascii="宋体" w:hAnsi="宋体" w:cs="宋体"/>
          <w:color w:val="auto"/>
          <w:sz w:val="21"/>
          <w:szCs w:val="21"/>
          <w:highlight w:val="none"/>
        </w:rPr>
        <w:t>采购人如因故推迟响应文件递交截止时间，应以书面形式通知所有供应商。在这种情况下，采购人和供应商的权利和义务将受到新的</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响应文件提交的截止时间的约束。</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4.3</w:t>
      </w:r>
      <w:r>
        <w:rPr>
          <w:rFonts w:hint="eastAsia" w:ascii="宋体" w:hAnsi="宋体" w:cs="宋体"/>
          <w:color w:val="auto"/>
          <w:sz w:val="21"/>
          <w:szCs w:val="21"/>
          <w:highlight w:val="none"/>
        </w:rPr>
        <w:t>、响应文件的修改和撤回</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4.3.1 </w:t>
      </w:r>
      <w:r>
        <w:rPr>
          <w:rFonts w:hint="eastAsia" w:ascii="宋体" w:hAnsi="宋体" w:cs="宋体"/>
          <w:color w:val="auto"/>
          <w:sz w:val="21"/>
          <w:szCs w:val="21"/>
          <w:highlight w:val="none"/>
        </w:rPr>
        <w:t>供应商在递交响应文件以后如必须修改或撤回响应文件，必须在响应文件提交的截止时间以前将书面的磋商修改文件或撤标通知邮寄到达或送达采购代理机构。</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4.3.2 </w:t>
      </w:r>
      <w:r>
        <w:rPr>
          <w:rFonts w:hint="eastAsia" w:ascii="宋体" w:hAnsi="宋体" w:cs="宋体"/>
          <w:color w:val="auto"/>
          <w:sz w:val="21"/>
          <w:szCs w:val="21"/>
          <w:highlight w:val="none"/>
        </w:rPr>
        <w:t>磋商修改文件必须密封，在密封袋上写明磋商项目编号、磋商项目名称、供应商名称、所响应标项名称，并注明“修改文件”、“磋商时启封”字样。</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4.3.3 </w:t>
      </w:r>
      <w:r>
        <w:rPr>
          <w:rFonts w:hint="eastAsia" w:ascii="宋体" w:hAnsi="宋体" w:cs="宋体"/>
          <w:color w:val="auto"/>
          <w:sz w:val="21"/>
          <w:szCs w:val="21"/>
          <w:highlight w:val="none"/>
        </w:rPr>
        <w:t>供应商以传真或电报形式通知采购人撤标时，必须在响应文件提交的截止时间以前补充由法定代表人或法定代表人授权代表签署的正式文件。</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4.4 </w:t>
      </w:r>
      <w:r>
        <w:rPr>
          <w:rFonts w:hint="eastAsia" w:ascii="宋体" w:hAnsi="宋体" w:cs="宋体"/>
          <w:color w:val="auto"/>
          <w:sz w:val="21"/>
          <w:szCs w:val="21"/>
          <w:highlight w:val="none"/>
        </w:rPr>
        <w:t>备选磋商方案</w:t>
      </w:r>
    </w:p>
    <w:p>
      <w:pPr>
        <w:spacing w:line="240" w:lineRule="exact"/>
        <w:ind w:firstLine="420" w:firstLineChars="200"/>
        <w:rPr>
          <w:rFonts w:ascii="宋体" w:cs="宋体"/>
          <w:color w:val="auto"/>
          <w:sz w:val="20"/>
          <w:szCs w:val="20"/>
          <w:highlight w:val="none"/>
        </w:rPr>
      </w:pPr>
      <w:r>
        <w:rPr>
          <w:rFonts w:hint="eastAsia" w:ascii="宋体" w:hAnsi="宋体" w:cs="宋体"/>
          <w:color w:val="auto"/>
          <w:sz w:val="21"/>
          <w:szCs w:val="21"/>
          <w:highlight w:val="none"/>
        </w:rPr>
        <w:t>供应商不得提交备选磋商方案，否则，响应文件将被判定为无效标。</w:t>
      </w:r>
    </w:p>
    <w:p>
      <w:pPr>
        <w:spacing w:line="168" w:lineRule="exact"/>
        <w:rPr>
          <w:rFonts w:ascii="宋体" w:cs="宋体"/>
          <w:color w:val="auto"/>
          <w:sz w:val="20"/>
          <w:szCs w:val="20"/>
          <w:highlight w:val="none"/>
        </w:rPr>
      </w:pPr>
    </w:p>
    <w:p>
      <w:pPr>
        <w:spacing w:line="360" w:lineRule="auto"/>
        <w:ind w:firstLine="422" w:firstLineChars="200"/>
        <w:rPr>
          <w:rFonts w:ascii="宋体" w:cs="宋体"/>
          <w:color w:val="auto"/>
          <w:sz w:val="20"/>
          <w:szCs w:val="20"/>
          <w:highlight w:val="none"/>
        </w:rPr>
      </w:pPr>
      <w:bookmarkStart w:id="54" w:name="_Toc23684_WPSOffice_Level2"/>
      <w:bookmarkStart w:id="55" w:name="_Toc26605_WPSOffice_Level2"/>
      <w:r>
        <w:rPr>
          <w:rFonts w:hint="eastAsia" w:ascii="宋体" w:hAnsi="宋体" w:cs="宋体"/>
          <w:b/>
          <w:bCs/>
          <w:color w:val="auto"/>
          <w:sz w:val="21"/>
          <w:szCs w:val="21"/>
          <w:highlight w:val="none"/>
        </w:rPr>
        <w:t>五、响应文件的开启、评审及合同签订</w:t>
      </w:r>
      <w:bookmarkEnd w:id="54"/>
      <w:bookmarkEnd w:id="55"/>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5.1</w:t>
      </w:r>
      <w:r>
        <w:rPr>
          <w:rFonts w:hint="eastAsia" w:ascii="宋体" w:hAnsi="宋体" w:cs="宋体"/>
          <w:color w:val="auto"/>
          <w:sz w:val="21"/>
          <w:szCs w:val="21"/>
          <w:highlight w:val="none"/>
        </w:rPr>
        <w:t>、开启</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5.1.1 </w:t>
      </w:r>
      <w:r>
        <w:rPr>
          <w:rFonts w:hint="eastAsia" w:ascii="宋体" w:hAnsi="宋体" w:cs="宋体"/>
          <w:color w:val="auto"/>
          <w:sz w:val="21"/>
          <w:szCs w:val="21"/>
          <w:highlight w:val="none"/>
        </w:rPr>
        <w:t>采购人按“供应商须知前附表”规定的时间、地点公开开启，并邀请所有供应商代表准时参加。</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5.1.2 </w:t>
      </w:r>
      <w:r>
        <w:rPr>
          <w:rFonts w:hint="eastAsia" w:ascii="宋体" w:hAnsi="宋体" w:cs="宋体"/>
          <w:color w:val="auto"/>
          <w:sz w:val="21"/>
          <w:szCs w:val="21"/>
          <w:highlight w:val="none"/>
        </w:rPr>
        <w:t>供应商代表为法定代表人或其委托代理人，供应商代表必须出席开标大会，并签</w:t>
      </w:r>
      <w:r>
        <w:rPr>
          <w:rFonts w:hint="eastAsia" w:ascii="宋体" w:hAnsi="宋体" w:cs="宋体"/>
          <w:color w:val="auto"/>
          <w:sz w:val="20"/>
          <w:szCs w:val="20"/>
          <w:highlight w:val="none"/>
        </w:rPr>
        <w:t>名报</w:t>
      </w:r>
      <w:r>
        <w:rPr>
          <w:rFonts w:hint="eastAsia" w:ascii="宋体" w:hAnsi="宋体" w:cs="宋体"/>
          <w:color w:val="auto"/>
          <w:sz w:val="21"/>
          <w:szCs w:val="21"/>
          <w:highlight w:val="none"/>
        </w:rPr>
        <w:t>到，以证明其出席磋商会议，且随身携带有效身份证原件（或采购人认可的其他身份证</w:t>
      </w:r>
      <w:bookmarkStart w:id="56" w:name="page17"/>
      <w:bookmarkEnd w:id="56"/>
      <w:r>
        <w:rPr>
          <w:rFonts w:hint="eastAsia" w:ascii="宋体" w:hAnsi="宋体" w:cs="宋体"/>
          <w:color w:val="auto"/>
          <w:sz w:val="21"/>
          <w:szCs w:val="21"/>
          <w:highlight w:val="none"/>
        </w:rPr>
        <w:t>明原件）。法定代表人须提供（现场出示或在响应文件中提供）法定代表人资格证明书，委托代理人须提供（现场出示或在响应文件中提供）附有法定代表人资格证明书的授权委托书。</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5.1.3 </w:t>
      </w:r>
      <w:r>
        <w:rPr>
          <w:rFonts w:hint="eastAsia" w:ascii="宋体" w:hAnsi="宋体" w:cs="宋体"/>
          <w:color w:val="auto"/>
          <w:sz w:val="21"/>
          <w:szCs w:val="21"/>
          <w:highlight w:val="none"/>
        </w:rPr>
        <w:t>核验出席开标活动现场的各授权供应商代表及相关单位人员身份，并组织其登记、签到。对现场接受采购响应文件的，由现场工作人员接收采购响应文件并登记，请供应商代表对采购响应文件的递交记录情况进行签字确认。</w:t>
      </w:r>
    </w:p>
    <w:p>
      <w:pPr>
        <w:spacing w:line="360" w:lineRule="auto"/>
        <w:ind w:right="346" w:firstLine="420" w:firstLineChars="200"/>
        <w:rPr>
          <w:rFonts w:ascii="宋体" w:cs="宋体"/>
          <w:color w:val="auto"/>
          <w:sz w:val="21"/>
          <w:szCs w:val="21"/>
          <w:highlight w:val="none"/>
        </w:rPr>
      </w:pPr>
      <w:r>
        <w:rPr>
          <w:rFonts w:hint="eastAsia" w:ascii="宋体" w:hAnsi="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rFonts w:ascii="宋体" w:cs="宋体"/>
          <w:color w:val="auto"/>
          <w:sz w:val="20"/>
          <w:szCs w:val="20"/>
          <w:highlight w:val="none"/>
        </w:rPr>
      </w:pPr>
      <w:r>
        <w:rPr>
          <w:rFonts w:hint="eastAsia" w:ascii="宋体" w:hAnsi="宋体" w:cs="宋体"/>
          <w:color w:val="auto"/>
          <w:sz w:val="21"/>
          <w:szCs w:val="21"/>
          <w:highlight w:val="none"/>
        </w:rPr>
        <w:t>按供应商提交投标文件的先后顺序当众拆封、清点投标文件（包括正本、副本）数量，将拆封后的响应文件由现场工作人员护送至指定的评审地点。对不符合装订要求的投标文件，由现场工作人员退还供应商代表。</w:t>
      </w:r>
    </w:p>
    <w:p>
      <w:pPr>
        <w:spacing w:line="360" w:lineRule="auto"/>
        <w:ind w:right="346" w:firstLine="420" w:firstLineChars="200"/>
        <w:jc w:val="both"/>
        <w:rPr>
          <w:rFonts w:ascii="宋体" w:cs="宋体"/>
          <w:color w:val="auto"/>
          <w:sz w:val="20"/>
          <w:szCs w:val="20"/>
          <w:highlight w:val="none"/>
        </w:rPr>
      </w:pPr>
      <w:r>
        <w:rPr>
          <w:rFonts w:hint="eastAsia" w:ascii="宋体" w:hAnsi="宋体" w:cs="宋体"/>
          <w:color w:val="auto"/>
          <w:sz w:val="21"/>
          <w:szCs w:val="21"/>
          <w:highlight w:val="none"/>
        </w:rPr>
        <w:t>商务技术评审结束后，主持人宣告评审无效供应商名称及理由并签字确认；进行二次报价填写。统一收取最终报价。评审结束后，主持人公布中标候选供应商名单，及采购人最终确定中标供应商名单的时间和公告方式等。</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5.1.4 </w:t>
      </w:r>
      <w:r>
        <w:rPr>
          <w:rFonts w:hint="eastAsia" w:ascii="宋体" w:hAnsi="宋体" w:cs="宋体"/>
          <w:color w:val="auto"/>
          <w:sz w:val="21"/>
          <w:szCs w:val="21"/>
          <w:highlight w:val="none"/>
        </w:rPr>
        <w:t>供应商在响应文件提交的截止时间前提交响应文件撤回函的，采购人将在开启时宣读撤回函，并将其响应文件及时退还供应商。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5.1.5 </w:t>
      </w:r>
      <w:r>
        <w:rPr>
          <w:rFonts w:hint="eastAsia" w:ascii="宋体" w:hAnsi="宋体" w:cs="宋体"/>
          <w:color w:val="auto"/>
          <w:sz w:val="21"/>
          <w:szCs w:val="21"/>
          <w:highlight w:val="none"/>
        </w:rPr>
        <w:t>开启结束后，供应商代表应在开启记录上签字确认。唱标人、记录人、监督人均应在开启记录上签字。供应商代表未在开启记录上签字的，均视为对开启结果予以默认。</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5.1.6 </w:t>
      </w:r>
      <w:r>
        <w:rPr>
          <w:rFonts w:hint="eastAsia" w:ascii="宋体" w:hAnsi="宋体" w:cs="宋体"/>
          <w:color w:val="auto"/>
          <w:sz w:val="21"/>
          <w:szCs w:val="21"/>
          <w:highlight w:val="none"/>
        </w:rPr>
        <w:t>开启结束后，如发现开启结果与响应文件不一致者，除磋商小组认定的特殊情况应另行处理外，其开启结果不予纠正。</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5.1.7 </w:t>
      </w:r>
      <w:r>
        <w:rPr>
          <w:rFonts w:hint="eastAsia" w:ascii="宋体" w:hAnsi="宋体" w:cs="宋体"/>
          <w:color w:val="auto"/>
          <w:sz w:val="21"/>
          <w:szCs w:val="21"/>
          <w:highlight w:val="none"/>
        </w:rPr>
        <w:t>如供应商不派代表参加开标会（未到场或者不能出示其身份证件或者未按时签到的），投标人不得对采购相关人员、开标过程和开标结果提出异议。</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5.2 </w:t>
      </w:r>
      <w:r>
        <w:rPr>
          <w:rFonts w:hint="eastAsia" w:ascii="宋体" w:hAnsi="宋体" w:cs="宋体"/>
          <w:color w:val="auto"/>
          <w:sz w:val="21"/>
          <w:szCs w:val="21"/>
          <w:highlight w:val="none"/>
        </w:rPr>
        <w:t>不予接收的响应文件</w:t>
      </w:r>
    </w:p>
    <w:p>
      <w:pPr>
        <w:spacing w:line="360" w:lineRule="auto"/>
        <w:ind w:firstLine="210" w:firstLineChars="1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）在响应文件提交的截止时间以后送达的响应文件；</w:t>
      </w:r>
    </w:p>
    <w:p>
      <w:pPr>
        <w:spacing w:line="1" w:lineRule="exact"/>
        <w:rPr>
          <w:rFonts w:ascii="宋体" w:cs="宋体"/>
          <w:color w:val="auto"/>
          <w:sz w:val="20"/>
          <w:szCs w:val="20"/>
          <w:highlight w:val="none"/>
        </w:rPr>
      </w:pPr>
      <w:bookmarkStart w:id="57" w:name="page18"/>
      <w:bookmarkEnd w:id="57"/>
    </w:p>
    <w:p>
      <w:pPr>
        <w:spacing w:line="255" w:lineRule="exact"/>
        <w:ind w:firstLine="210" w:firstLineChars="100"/>
        <w:rPr>
          <w:rFonts w:ascii="宋体" w:cs="宋体"/>
          <w:color w:val="auto"/>
          <w:sz w:val="20"/>
          <w:szCs w:val="20"/>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）未密封的响应文件。</w:t>
      </w:r>
    </w:p>
    <w:p>
      <w:pPr>
        <w:spacing w:line="153" w:lineRule="exact"/>
        <w:rPr>
          <w:rFonts w:ascii="宋体" w:cs="宋体"/>
          <w:color w:val="auto"/>
          <w:sz w:val="20"/>
          <w:szCs w:val="20"/>
          <w:highlight w:val="none"/>
        </w:rPr>
      </w:pP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5.3</w:t>
      </w:r>
      <w:r>
        <w:rPr>
          <w:rFonts w:hint="eastAsia" w:ascii="宋体" w:hAnsi="宋体" w:cs="宋体"/>
          <w:color w:val="auto"/>
          <w:sz w:val="21"/>
          <w:szCs w:val="21"/>
          <w:highlight w:val="none"/>
        </w:rPr>
        <w:t>、响应文件初步评审</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5.3.1 </w:t>
      </w:r>
      <w:r>
        <w:rPr>
          <w:rFonts w:hint="eastAsia" w:ascii="宋体" w:hAnsi="宋体" w:cs="宋体"/>
          <w:color w:val="auto"/>
          <w:sz w:val="21"/>
          <w:szCs w:val="21"/>
          <w:highlight w:val="none"/>
        </w:rPr>
        <w:t>磋商小组将首先审查每份响应文件是否实质上响应了竞争性磋商文件的要求，实质性响应的响应文件是指响应文件符合竞争性磋商文件规定的实质性内容、条件和规定。</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5.3.2 </w:t>
      </w:r>
      <w:r>
        <w:rPr>
          <w:rFonts w:hint="eastAsia" w:ascii="宋体" w:hAnsi="宋体" w:cs="宋体"/>
          <w:color w:val="auto"/>
          <w:sz w:val="21"/>
          <w:szCs w:val="21"/>
          <w:highlight w:val="none"/>
        </w:rPr>
        <w:t>重大偏离或保留是指将会影响到竞争性磋商文件规定的服务范围、质量标准，或会给合同中规定的采购人的权利和供应商的责任造成实质性限制，而纠正这些偏离或保留将对其他提交了实质性响应的响应文件的供应商产生不公平影响的。</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5.3.3 </w:t>
      </w:r>
      <w:r>
        <w:rPr>
          <w:rFonts w:hint="eastAsia" w:ascii="宋体" w:hAnsi="宋体" w:cs="宋体"/>
          <w:color w:val="auto"/>
          <w:sz w:val="21"/>
          <w:szCs w:val="21"/>
          <w:highlight w:val="none"/>
        </w:rPr>
        <w:t>细微偏离是指响应文件对竞争性磋商文件的非实质性内容存在不完全响应或不响应。</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5.3.4 </w:t>
      </w:r>
      <w:r>
        <w:rPr>
          <w:rFonts w:hint="eastAsia" w:ascii="宋体" w:hAnsi="宋体" w:cs="宋体"/>
          <w:color w:val="auto"/>
          <w:sz w:val="21"/>
          <w:szCs w:val="21"/>
          <w:highlight w:val="none"/>
        </w:rPr>
        <w:t>重大偏离和保留、细微偏离由磋商小组界定。初步评审时如发现响应文件与竞争性磋商文件要求有重大偏离和保留，其响应文件将被作无效标处理。供应商不得通过修正或撤消不符合竞争性磋商文件要求的重大偏离和保留从而使其响应文件实质性响应竞争性磋商文件要求。但允许响应文件在实质性满足竞争性磋商文件要求的前提下出现的细微偏差，在详细评审时可按评审办法对细微偏差做出不利于该供应商的评审。</w:t>
      </w:r>
    </w:p>
    <w:p>
      <w:pPr>
        <w:spacing w:line="360" w:lineRule="auto"/>
        <w:ind w:firstLine="422" w:firstLineChars="200"/>
        <w:rPr>
          <w:rFonts w:ascii="宋体" w:cs="宋体"/>
          <w:color w:val="auto"/>
          <w:sz w:val="20"/>
          <w:szCs w:val="20"/>
          <w:highlight w:val="none"/>
        </w:rPr>
      </w:pPr>
      <w:bookmarkStart w:id="58" w:name="_Toc25899_WPSOffice_Level2"/>
      <w:bookmarkStart w:id="59" w:name="_Toc7403_WPSOffice_Level2"/>
      <w:r>
        <w:rPr>
          <w:rFonts w:hint="eastAsia" w:ascii="宋体" w:hAnsi="宋体" w:cs="宋体"/>
          <w:b/>
          <w:bCs/>
          <w:color w:val="auto"/>
          <w:sz w:val="21"/>
          <w:szCs w:val="21"/>
          <w:highlight w:val="none"/>
        </w:rPr>
        <w:t>六、磋商</w:t>
      </w:r>
      <w:bookmarkEnd w:id="58"/>
      <w:bookmarkEnd w:id="59"/>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6.1</w:t>
      </w:r>
      <w:r>
        <w:rPr>
          <w:rFonts w:hint="eastAsia" w:ascii="宋体" w:hAnsi="宋体" w:cs="宋体"/>
          <w:color w:val="auto"/>
          <w:sz w:val="21"/>
          <w:szCs w:val="21"/>
          <w:highlight w:val="none"/>
        </w:rPr>
        <w:t>、初步评审工作内容</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）资格性检查</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依据法律法规及竞争性磋商文件的规定，采购人授权磋商小组对供应商的资格进行审查</w:t>
      </w:r>
      <w:r>
        <w:rPr>
          <w:rFonts w:ascii="宋体" w:cs="宋体"/>
          <w:color w:val="auto"/>
          <w:sz w:val="24"/>
          <w:szCs w:val="24"/>
          <w:highlight w:val="none"/>
        </w:rPr>
        <w:t>,</w:t>
      </w:r>
      <w:r>
        <w:rPr>
          <w:rFonts w:hint="eastAsia" w:ascii="宋体" w:hAnsi="宋体" w:cs="宋体"/>
          <w:color w:val="auto"/>
          <w:sz w:val="21"/>
          <w:szCs w:val="21"/>
          <w:highlight w:val="none"/>
        </w:rPr>
        <w:t>评审小组对响应文件中的提供的资格证明材料进行审查，以确定供应商是否具备磋商资格。</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）符合性检查</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依据竞争性磋商文件的规定，从响应文件的有效性、完整性和对竞争性磋商文件的响应程度进行审查，以确定是否对竞争性磋商文件的实质性要求作出响应。</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6.2</w:t>
      </w:r>
      <w:r>
        <w:rPr>
          <w:rFonts w:hint="eastAsia" w:ascii="宋体" w:hAnsi="宋体" w:cs="宋体"/>
          <w:color w:val="auto"/>
          <w:sz w:val="21"/>
          <w:szCs w:val="21"/>
          <w:highlight w:val="none"/>
        </w:rPr>
        <w:t>、响应文件的澄清</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6.2.1 </w:t>
      </w:r>
      <w:r>
        <w:rPr>
          <w:rFonts w:hint="eastAsia" w:ascii="宋体" w:hAnsi="宋体" w:cs="宋体"/>
          <w:color w:val="auto"/>
          <w:sz w:val="21"/>
          <w:szCs w:val="21"/>
          <w:highlight w:val="none"/>
        </w:rPr>
        <w:t>磋商小组可要求供应商对响应文件中含义不明确、同类问题表述不一致、有明显的文字和计算错误的内容等进行澄清并做出书面答复。书面答复须由供应商代表签字（或盖章）并作为响应文件的一部分。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6.2.2 </w:t>
      </w:r>
      <w:r>
        <w:rPr>
          <w:rFonts w:hint="eastAsia" w:ascii="宋体" w:hAnsi="宋体" w:cs="宋体"/>
          <w:color w:val="auto"/>
          <w:sz w:val="21"/>
          <w:szCs w:val="21"/>
          <w:highlight w:val="none"/>
        </w:rPr>
        <w:t>供应商对响应文件的澄清不得超出响应文件的范围或者改变响应文件的实质性内容。</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6.3</w:t>
      </w:r>
      <w:r>
        <w:rPr>
          <w:rFonts w:hint="eastAsia" w:ascii="宋体" w:hAnsi="宋体" w:cs="宋体"/>
          <w:color w:val="auto"/>
          <w:sz w:val="21"/>
          <w:szCs w:val="21"/>
          <w:highlight w:val="none"/>
        </w:rPr>
        <w:t>、错误修正</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磋商小组将对确定为实质上响应竞争性磋商文件要求的响应文件进行校核，看其在磋商报价方面是否有计算、累计或表达上的错误，修正错误的原则及顺序如下：</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）正本与副本不一致时，以正本为准；</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）响应文件中开标一览表（报价表）内容与响应文件中相应内容不一致的，以开标</w:t>
      </w:r>
      <w:bookmarkStart w:id="60" w:name="page19"/>
      <w:bookmarkEnd w:id="60"/>
      <w:r>
        <w:rPr>
          <w:rFonts w:hint="eastAsia" w:ascii="宋体" w:hAnsi="宋体" w:cs="宋体"/>
          <w:color w:val="auto"/>
          <w:sz w:val="21"/>
          <w:szCs w:val="21"/>
          <w:highlight w:val="none"/>
        </w:rPr>
        <w:t>一览表（报价表）为准；</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）响应文件的大写金额和小写金额不一致的，以大写金额为准；</w:t>
      </w:r>
    </w:p>
    <w:p>
      <w:pPr>
        <w:spacing w:line="360" w:lineRule="auto"/>
        <w:ind w:right="346" w:firstLine="210" w:firstLineChars="100"/>
        <w:jc w:val="both"/>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）单价金额小数点或者百分比有明显错位的，以开标一览表的总价为准，并修改单价；</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）总价金额与按单价汇总金额不一致的，以单价金额计算结果为准；</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）对不同文字文本响应文件的解释发生异议的，以中文文本为准；</w:t>
      </w:r>
    </w:p>
    <w:p>
      <w:pPr>
        <w:spacing w:line="360" w:lineRule="auto"/>
        <w:ind w:right="346" w:firstLine="210" w:firstLineChars="100"/>
        <w:jc w:val="both"/>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如响应文件中报价（清单报价）分项价格或单价有遗报，应视作已含在磋商报价总价中；其磋商报价总价在评审过程中不予调整。其分项价或单价由磋商小组在磋商报价总价不变的前提下根据合理的原则对其予以确定。</w:t>
      </w:r>
    </w:p>
    <w:p>
      <w:pPr>
        <w:spacing w:line="359" w:lineRule="exact"/>
        <w:ind w:right="346" w:firstLine="420" w:firstLineChars="200"/>
        <w:jc w:val="both"/>
        <w:rPr>
          <w:rFonts w:ascii="宋体" w:cs="宋体"/>
          <w:color w:val="auto"/>
          <w:sz w:val="20"/>
          <w:szCs w:val="20"/>
          <w:highlight w:val="none"/>
        </w:rPr>
      </w:pPr>
      <w:r>
        <w:rPr>
          <w:rFonts w:hint="eastAsia" w:ascii="宋体" w:hAnsi="宋体" w:cs="宋体"/>
          <w:color w:val="auto"/>
          <w:sz w:val="21"/>
          <w:szCs w:val="21"/>
          <w:highlight w:val="none"/>
        </w:rPr>
        <w:t>按上述修正错误的原则，调整或修正响应文件的磋商报价。经供应商确认后，调整后的磋商报价对供应商起约束作用。如果供应商不接受或者供应商在评审结束之前不能到场确认的，磋商小组将把调整或修正后的磋商报价作为该供应商的磋商报价，进入商务报价评审，但不接受修正的供应商最终将丧失其成交候选人资格。</w:t>
      </w:r>
    </w:p>
    <w:p>
      <w:pPr>
        <w:spacing w:line="170" w:lineRule="exact"/>
        <w:rPr>
          <w:rFonts w:ascii="宋体" w:cs="宋体"/>
          <w:color w:val="auto"/>
          <w:sz w:val="20"/>
          <w:szCs w:val="20"/>
          <w:highlight w:val="none"/>
        </w:rPr>
      </w:pP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6.4</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磋商小组认为投标人的报价明显低于其他通过符合性审查投标人的报价，有可能影响产品质量或者不能诚信履约的，应当要求其在评标现场</w:t>
      </w:r>
      <w:r>
        <w:rPr>
          <w:rFonts w:ascii="宋体" w:hAnsi="宋体" w:cs="宋体"/>
          <w:color w:val="auto"/>
          <w:sz w:val="21"/>
          <w:szCs w:val="21"/>
          <w:highlight w:val="none"/>
          <w:u w:val="single"/>
        </w:rPr>
        <w:t xml:space="preserve"> 30 </w:t>
      </w:r>
      <w:r>
        <w:rPr>
          <w:rFonts w:hint="eastAsia" w:ascii="宋体" w:hAnsi="宋体" w:cs="宋体"/>
          <w:color w:val="auto"/>
          <w:sz w:val="21"/>
          <w:szCs w:val="21"/>
          <w:highlight w:val="none"/>
          <w:u w:val="single"/>
        </w:rPr>
        <w:t>分钟内提供书面说明，必要时提交相关证明材料；投标人不能证明其报价合理性的，评标委员会应当将其作为无效投标处理。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6.5</w:t>
      </w:r>
      <w:r>
        <w:rPr>
          <w:rFonts w:hint="eastAsia" w:ascii="宋体" w:hAnsi="宋体" w:cs="宋体"/>
          <w:color w:val="auto"/>
          <w:sz w:val="21"/>
          <w:szCs w:val="21"/>
          <w:highlight w:val="none"/>
        </w:rPr>
        <w:t>、无效标</w:t>
      </w:r>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u w:val="single"/>
        </w:rPr>
        <w:t>有下列情形之一的响应文件，由磋商小组按少数服从多数原则进行认定，经认定属实后将该响应文件作无效标处理</w:t>
      </w:r>
      <w:r>
        <w:rPr>
          <w:rFonts w:hint="eastAsia" w:ascii="宋体" w:hAnsi="宋体" w:cs="宋体"/>
          <w:b/>
          <w:bCs/>
          <w:color w:val="auto"/>
          <w:sz w:val="21"/>
          <w:szCs w:val="21"/>
          <w:highlight w:val="none"/>
        </w:rPr>
        <w:t>：</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）供应商不符合磋商资格条件的；</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）报名的供应商与参加磋商的供应商发生实质性变更的且未提供有效证明的；</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）供应商提交两份或两份以上内容不同的响应文件，未声明哪一份有效的；</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）响应文件中未提供或提供无效的法定代表人资格证明书或附法定代表人资格证明书的法定代表人授权书；</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）未按竞争性磋商文件规定装订；</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）响应文件内容未按竞争性磋商文件规定签字或盖章的；</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）响应文件组成漏项或未按规定的格式编制或响应文件正、副本份数不足，内容不全或内容字迹模糊辨认不清的而导致评审活动无法正常进行；</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）供应商未按竞争性磋商文件变更通知更改响应文件的；</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9</w:t>
      </w:r>
      <w:r>
        <w:rPr>
          <w:rFonts w:hint="eastAsia" w:ascii="宋体" w:hAnsi="宋体" w:cs="宋体"/>
          <w:color w:val="auto"/>
          <w:sz w:val="21"/>
          <w:szCs w:val="21"/>
          <w:highlight w:val="none"/>
        </w:rPr>
        <w:t>）磋商最终报价超过最高限价的；</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）磋商最终报价明显高于其市场报价或某些分项报价明显不合理或者低于成本，或明显低于其他通过符合性审查投标人的报价，且在规定时间内不能合理说明原因并提</w:t>
      </w:r>
      <w:bookmarkStart w:id="61" w:name="page20"/>
      <w:bookmarkEnd w:id="61"/>
      <w:r>
        <w:rPr>
          <w:rFonts w:hint="eastAsia" w:ascii="宋体" w:hAnsi="宋体" w:cs="宋体"/>
          <w:color w:val="auto"/>
          <w:sz w:val="21"/>
          <w:szCs w:val="21"/>
          <w:highlight w:val="none"/>
        </w:rPr>
        <w:t>供证明材料的；</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11</w:t>
      </w:r>
      <w:r>
        <w:rPr>
          <w:rFonts w:hint="eastAsia" w:ascii="宋体" w:hAnsi="宋体" w:cs="宋体"/>
          <w:color w:val="auto"/>
          <w:sz w:val="21"/>
          <w:szCs w:val="21"/>
          <w:highlight w:val="none"/>
        </w:rPr>
        <w:t>）未实质性响应竞争性磋商文件中带“▲”条款要求的响应文件；</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12</w:t>
      </w:r>
      <w:r>
        <w:rPr>
          <w:rFonts w:hint="eastAsia" w:ascii="宋体" w:hAnsi="宋体" w:cs="宋体"/>
          <w:color w:val="auto"/>
          <w:sz w:val="21"/>
          <w:szCs w:val="21"/>
          <w:highlight w:val="none"/>
        </w:rPr>
        <w:t>）不符合磋商范围、技术规格、技术标准的要求无法满足采购人使用要求；</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13</w:t>
      </w:r>
      <w:r>
        <w:rPr>
          <w:rFonts w:hint="eastAsia" w:ascii="宋体" w:hAnsi="宋体" w:cs="宋体"/>
          <w:color w:val="auto"/>
          <w:sz w:val="21"/>
          <w:szCs w:val="21"/>
          <w:highlight w:val="none"/>
        </w:rPr>
        <w:t>）响应文件附有采购人不能接受的条款；</w:t>
      </w:r>
    </w:p>
    <w:p>
      <w:pPr>
        <w:spacing w:line="360" w:lineRule="auto"/>
        <w:ind w:firstLine="210" w:firstLineChars="100"/>
        <w:rPr>
          <w:rFonts w:ascii="宋体" w:cs="宋体"/>
          <w:color w:val="auto"/>
          <w:sz w:val="20"/>
          <w:szCs w:val="20"/>
          <w:highlight w:val="none"/>
        </w:rPr>
      </w:pPr>
      <w:r>
        <w:rPr>
          <w:rFonts w:ascii="宋体" w:hAnsi="宋体" w:cs="宋体"/>
          <w:color w:val="auto"/>
          <w:sz w:val="21"/>
          <w:szCs w:val="21"/>
          <w:highlight w:val="none"/>
        </w:rPr>
        <w:t>14</w:t>
      </w:r>
      <w:r>
        <w:rPr>
          <w:rFonts w:hint="eastAsia" w:ascii="宋体" w:hAnsi="宋体" w:cs="宋体"/>
          <w:color w:val="auto"/>
          <w:sz w:val="21"/>
          <w:szCs w:val="21"/>
          <w:highlight w:val="none"/>
        </w:rPr>
        <w:t>）存在串标、抬标或弄虚作假情况的；</w:t>
      </w:r>
    </w:p>
    <w:p>
      <w:pPr>
        <w:spacing w:line="360" w:lineRule="auto"/>
        <w:ind w:firstLine="210" w:firstLineChars="100"/>
        <w:rPr>
          <w:rFonts w:ascii="宋体" w:cs="宋体"/>
          <w:color w:val="auto"/>
          <w:sz w:val="21"/>
          <w:szCs w:val="21"/>
          <w:highlight w:val="none"/>
        </w:rPr>
      </w:pPr>
      <w:r>
        <w:rPr>
          <w:rFonts w:ascii="宋体" w:hAnsi="宋体" w:cs="宋体"/>
          <w:color w:val="auto"/>
          <w:sz w:val="21"/>
          <w:szCs w:val="21"/>
          <w:highlight w:val="none"/>
        </w:rPr>
        <w:t>15</w:t>
      </w:r>
      <w:r>
        <w:rPr>
          <w:rFonts w:hint="eastAsia" w:ascii="宋体" w:hAnsi="宋体" w:cs="宋体"/>
          <w:color w:val="auto"/>
          <w:sz w:val="21"/>
          <w:szCs w:val="21"/>
          <w:highlight w:val="none"/>
        </w:rPr>
        <w:t>）违反国家及政府部门相关法律、法规、文件规定或经磋商小组认定的其他属于重大偏离。</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6.6</w:t>
      </w:r>
      <w:r>
        <w:rPr>
          <w:rFonts w:hint="eastAsia" w:ascii="宋体" w:hAnsi="宋体" w:cs="宋体"/>
          <w:color w:val="auto"/>
          <w:sz w:val="21"/>
          <w:szCs w:val="21"/>
          <w:highlight w:val="none"/>
        </w:rPr>
        <w:t>、磋商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6.6.1 </w:t>
      </w:r>
      <w:r>
        <w:rPr>
          <w:rFonts w:hint="eastAsia" w:ascii="宋体" w:hAnsi="宋体" w:cs="宋体"/>
          <w:color w:val="auto"/>
          <w:sz w:val="21"/>
          <w:szCs w:val="21"/>
          <w:highlight w:val="none"/>
        </w:rPr>
        <w:t>采购人将按相关规定组织磋商小组，对响应文件进行审查、比较和评价。</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6.6.2 </w:t>
      </w:r>
      <w:r>
        <w:rPr>
          <w:rFonts w:hint="eastAsia" w:ascii="宋体" w:hAnsi="宋体" w:cs="宋体"/>
          <w:color w:val="auto"/>
          <w:sz w:val="21"/>
          <w:szCs w:val="21"/>
          <w:highlight w:val="none"/>
        </w:rPr>
        <w:t>评审原则</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本次评审采用综合评分法，在最大限度的满足竞争性磋商文件实质性要求的前提下，按竞争性磋商文件中规定各项评审因素进行综合评审后，以评审总得分最高的供应商作为成交候选供应商或成交供应商。采购人将把成交通知书授予最佳供应商，但最低报价不是成交的保证。</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6.6.3 </w:t>
      </w:r>
      <w:r>
        <w:rPr>
          <w:rFonts w:hint="eastAsia" w:ascii="宋体" w:hAnsi="宋体" w:cs="宋体"/>
          <w:color w:val="auto"/>
          <w:sz w:val="21"/>
          <w:szCs w:val="21"/>
          <w:highlight w:val="none"/>
        </w:rPr>
        <w:t>评审办法</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评审办法详见第七章。</w:t>
      </w:r>
    </w:p>
    <w:p>
      <w:pPr>
        <w:spacing w:line="360" w:lineRule="auto"/>
        <w:ind w:firstLine="422" w:firstLineChars="200"/>
        <w:rPr>
          <w:rFonts w:ascii="宋体" w:cs="宋体"/>
          <w:color w:val="auto"/>
          <w:sz w:val="20"/>
          <w:szCs w:val="20"/>
          <w:highlight w:val="none"/>
        </w:rPr>
      </w:pPr>
      <w:r>
        <w:rPr>
          <w:rFonts w:ascii="宋体" w:hAnsi="宋体" w:cs="宋体"/>
          <w:b/>
          <w:bCs/>
          <w:color w:val="auto"/>
          <w:sz w:val="21"/>
          <w:szCs w:val="21"/>
          <w:highlight w:val="none"/>
        </w:rPr>
        <w:t>6.7</w:t>
      </w:r>
      <w:r>
        <w:rPr>
          <w:rFonts w:hint="eastAsia" w:ascii="宋体" w:hAnsi="宋体" w:cs="宋体"/>
          <w:b/>
          <w:bCs/>
          <w:color w:val="auto"/>
          <w:sz w:val="21"/>
          <w:szCs w:val="21"/>
          <w:highlight w:val="none"/>
        </w:rPr>
        <w:t>、废标</w:t>
      </w:r>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在采购中，出现下列情形之一的，应予废标：</w:t>
      </w:r>
    </w:p>
    <w:p>
      <w:pPr>
        <w:spacing w:line="360" w:lineRule="auto"/>
        <w:ind w:firstLine="211" w:firstLineChars="100"/>
        <w:rPr>
          <w:rFonts w:ascii="宋体" w:cs="宋体"/>
          <w:color w:val="auto"/>
          <w:sz w:val="20"/>
          <w:szCs w:val="20"/>
          <w:highlight w:val="none"/>
        </w:rPr>
      </w:pPr>
      <w:r>
        <w:rPr>
          <w:rFonts w:ascii="宋体" w:hAnsi="宋体" w:cs="宋体"/>
          <w:b/>
          <w:bCs/>
          <w:color w:val="auto"/>
          <w:sz w:val="21"/>
          <w:szCs w:val="21"/>
          <w:highlight w:val="none"/>
        </w:rPr>
        <w:t>1</w:t>
      </w:r>
      <w:r>
        <w:rPr>
          <w:rFonts w:hint="eastAsia" w:ascii="宋体" w:hAnsi="宋体" w:cs="宋体"/>
          <w:b/>
          <w:bCs/>
          <w:color w:val="auto"/>
          <w:sz w:val="21"/>
          <w:szCs w:val="21"/>
          <w:highlight w:val="none"/>
        </w:rPr>
        <w:t>）出现影响采购公正的违法、违规行为的；</w:t>
      </w:r>
    </w:p>
    <w:p>
      <w:pPr>
        <w:spacing w:line="360" w:lineRule="auto"/>
        <w:ind w:firstLine="211" w:firstLineChars="100"/>
        <w:rPr>
          <w:rFonts w:ascii="宋体" w:cs="宋体"/>
          <w:color w:val="auto"/>
          <w:sz w:val="20"/>
          <w:szCs w:val="20"/>
          <w:highlight w:val="none"/>
        </w:rPr>
      </w:pPr>
      <w:r>
        <w:rPr>
          <w:rFonts w:ascii="宋体" w:hAnsi="宋体" w:cs="宋体"/>
          <w:b/>
          <w:bCs/>
          <w:color w:val="auto"/>
          <w:sz w:val="21"/>
          <w:szCs w:val="21"/>
          <w:highlight w:val="none"/>
        </w:rPr>
        <w:t>2</w:t>
      </w:r>
      <w:r>
        <w:rPr>
          <w:rFonts w:hint="eastAsia" w:ascii="宋体" w:hAnsi="宋体" w:cs="宋体"/>
          <w:b/>
          <w:bCs/>
          <w:color w:val="auto"/>
          <w:sz w:val="21"/>
          <w:szCs w:val="21"/>
          <w:highlight w:val="none"/>
        </w:rPr>
        <w:t>）符合专业条件的供应商或者对采购文件作实质响应的供应商不足三家的；</w:t>
      </w:r>
    </w:p>
    <w:p>
      <w:pPr>
        <w:spacing w:line="360" w:lineRule="auto"/>
        <w:ind w:firstLine="211" w:firstLineChars="100"/>
        <w:rPr>
          <w:rFonts w:ascii="宋体" w:cs="宋体"/>
          <w:color w:val="auto"/>
          <w:sz w:val="20"/>
          <w:szCs w:val="20"/>
          <w:highlight w:val="none"/>
        </w:rPr>
      </w:pPr>
      <w:r>
        <w:rPr>
          <w:rFonts w:ascii="宋体" w:hAnsi="宋体" w:cs="宋体"/>
          <w:b/>
          <w:bCs/>
          <w:color w:val="auto"/>
          <w:sz w:val="21"/>
          <w:szCs w:val="21"/>
          <w:highlight w:val="none"/>
        </w:rPr>
        <w:t>3</w:t>
      </w:r>
      <w:r>
        <w:rPr>
          <w:rFonts w:hint="eastAsia" w:ascii="宋体" w:hAnsi="宋体" w:cs="宋体"/>
          <w:b/>
          <w:bCs/>
          <w:color w:val="auto"/>
          <w:sz w:val="21"/>
          <w:szCs w:val="21"/>
          <w:highlight w:val="none"/>
        </w:rPr>
        <w:t>）供应商的报价均超过了最高限价的，采购人不能支付的；</w:t>
      </w:r>
    </w:p>
    <w:p>
      <w:pPr>
        <w:spacing w:line="360" w:lineRule="auto"/>
        <w:ind w:firstLine="211" w:firstLineChars="100"/>
        <w:rPr>
          <w:rFonts w:ascii="宋体" w:cs="宋体"/>
          <w:color w:val="auto"/>
          <w:sz w:val="20"/>
          <w:szCs w:val="20"/>
          <w:highlight w:val="none"/>
        </w:rPr>
      </w:pPr>
      <w:r>
        <w:rPr>
          <w:rFonts w:ascii="宋体" w:hAnsi="宋体" w:cs="宋体"/>
          <w:b/>
          <w:bCs/>
          <w:color w:val="auto"/>
          <w:sz w:val="21"/>
          <w:szCs w:val="21"/>
          <w:highlight w:val="none"/>
        </w:rPr>
        <w:t>4</w:t>
      </w:r>
      <w:r>
        <w:rPr>
          <w:rFonts w:hint="eastAsia" w:ascii="宋体" w:hAnsi="宋体" w:cs="宋体"/>
          <w:b/>
          <w:bCs/>
          <w:color w:val="auto"/>
          <w:sz w:val="21"/>
          <w:szCs w:val="21"/>
          <w:highlight w:val="none"/>
        </w:rPr>
        <w:t>）因重大变故，采购任务取消的。</w:t>
      </w:r>
    </w:p>
    <w:p>
      <w:pPr>
        <w:spacing w:line="360" w:lineRule="auto"/>
        <w:ind w:firstLine="422" w:firstLineChars="200"/>
        <w:rPr>
          <w:rFonts w:ascii="宋体" w:cs="宋体"/>
          <w:b/>
          <w:bCs/>
          <w:color w:val="auto"/>
          <w:sz w:val="20"/>
          <w:szCs w:val="20"/>
          <w:highlight w:val="none"/>
        </w:rPr>
      </w:pPr>
      <w:r>
        <w:rPr>
          <w:rFonts w:ascii="宋体" w:hAnsi="宋体" w:cs="宋体"/>
          <w:b/>
          <w:bCs/>
          <w:color w:val="auto"/>
          <w:sz w:val="21"/>
          <w:szCs w:val="21"/>
          <w:highlight w:val="none"/>
        </w:rPr>
        <w:t>6.8</w:t>
      </w:r>
      <w:r>
        <w:rPr>
          <w:rFonts w:hint="eastAsia" w:ascii="宋体" w:hAnsi="宋体" w:cs="宋体"/>
          <w:b/>
          <w:bCs/>
          <w:color w:val="auto"/>
          <w:sz w:val="21"/>
          <w:szCs w:val="21"/>
          <w:highlight w:val="none"/>
        </w:rPr>
        <w:t>、确认采购结果</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评审结束后，根据磋商小组推荐，采购人按政府采购有关规定确定成交人。</w:t>
      </w:r>
    </w:p>
    <w:p>
      <w:pPr>
        <w:spacing w:line="360" w:lineRule="auto"/>
        <w:ind w:firstLine="422" w:firstLineChars="200"/>
        <w:rPr>
          <w:rFonts w:ascii="宋体" w:cs="宋体"/>
          <w:b/>
          <w:bCs/>
          <w:color w:val="auto"/>
          <w:sz w:val="21"/>
          <w:szCs w:val="21"/>
          <w:highlight w:val="none"/>
        </w:rPr>
      </w:pPr>
      <w:r>
        <w:rPr>
          <w:rFonts w:ascii="宋体" w:hAnsi="宋体" w:cs="宋体"/>
          <w:b/>
          <w:bCs/>
          <w:color w:val="auto"/>
          <w:sz w:val="21"/>
          <w:szCs w:val="21"/>
          <w:highlight w:val="none"/>
        </w:rPr>
        <w:t>6.9</w:t>
      </w:r>
      <w:r>
        <w:rPr>
          <w:rFonts w:hint="eastAsia" w:ascii="宋体" w:hAnsi="宋体" w:cs="宋体"/>
          <w:b/>
          <w:bCs/>
          <w:color w:val="auto"/>
          <w:sz w:val="21"/>
          <w:szCs w:val="21"/>
          <w:highlight w:val="none"/>
        </w:rPr>
        <w:t>、结果公告</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在采购人确认采购结果后，采购代理机构按相关政府采购规定将成交结果发布在政府采购网上进行公示，公示期为</w:t>
      </w:r>
      <w:r>
        <w:rPr>
          <w:rFonts w:ascii="宋体" w:hAnsi="宋体" w:cs="宋体"/>
          <w:color w:val="auto"/>
          <w:sz w:val="21"/>
          <w:szCs w:val="21"/>
          <w:highlight w:val="none"/>
        </w:rPr>
        <w:t xml:space="preserve"> 1 </w:t>
      </w:r>
      <w:r>
        <w:rPr>
          <w:rFonts w:hint="eastAsia" w:ascii="宋体" w:hAnsi="宋体" w:cs="宋体"/>
          <w:color w:val="auto"/>
          <w:sz w:val="21"/>
          <w:szCs w:val="21"/>
          <w:highlight w:val="none"/>
        </w:rPr>
        <w:t>个工作日。采购人、采购代理机构及磋商小组对未成交的供应商不作落标原因解释。</w:t>
      </w:r>
    </w:p>
    <w:p>
      <w:pPr>
        <w:spacing w:line="360" w:lineRule="auto"/>
        <w:ind w:firstLine="422" w:firstLineChars="200"/>
        <w:rPr>
          <w:rFonts w:ascii="宋体" w:cs="宋体"/>
          <w:b/>
          <w:bCs/>
          <w:color w:val="auto"/>
          <w:sz w:val="21"/>
          <w:szCs w:val="21"/>
          <w:highlight w:val="none"/>
        </w:rPr>
      </w:pPr>
      <w:r>
        <w:rPr>
          <w:rFonts w:ascii="宋体" w:hAnsi="宋体" w:cs="宋体"/>
          <w:b/>
          <w:bCs/>
          <w:color w:val="auto"/>
          <w:sz w:val="21"/>
          <w:szCs w:val="21"/>
          <w:highlight w:val="none"/>
        </w:rPr>
        <w:t>6.10</w:t>
      </w:r>
      <w:r>
        <w:rPr>
          <w:rFonts w:hint="eastAsia" w:ascii="宋体" w:hAnsi="宋体" w:cs="宋体"/>
          <w:b/>
          <w:bCs/>
          <w:color w:val="auto"/>
          <w:sz w:val="21"/>
          <w:szCs w:val="21"/>
          <w:highlight w:val="none"/>
        </w:rPr>
        <w:t>、采购过程、采购结果质疑</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6.10.1 </w:t>
      </w:r>
      <w:r>
        <w:rPr>
          <w:rFonts w:hint="eastAsia" w:ascii="宋体" w:hAnsi="宋体" w:cs="宋体"/>
          <w:color w:val="auto"/>
          <w:sz w:val="21"/>
          <w:szCs w:val="21"/>
          <w:highlight w:val="none"/>
        </w:rPr>
        <w:t>供应商认为采购过程、采购结果使自己的合法权益受到损害的，供应商可以提出书面质疑。</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6.10.2 </w:t>
      </w:r>
      <w:r>
        <w:rPr>
          <w:rFonts w:hint="eastAsia" w:ascii="宋体" w:hAnsi="宋体" w:cs="宋体"/>
          <w:color w:val="auto"/>
          <w:sz w:val="21"/>
          <w:szCs w:val="21"/>
          <w:highlight w:val="none"/>
        </w:rPr>
        <w:t>质疑书须包括以下内容：</w:t>
      </w:r>
    </w:p>
    <w:p>
      <w:pPr>
        <w:spacing w:line="360" w:lineRule="auto"/>
        <w:ind w:firstLine="200" w:firstLineChars="100"/>
        <w:rPr>
          <w:rFonts w:ascii="宋体" w:cs="宋体"/>
          <w:color w:val="auto"/>
          <w:sz w:val="20"/>
          <w:szCs w:val="20"/>
          <w:highlight w:val="none"/>
        </w:rPr>
      </w:pPr>
      <w:r>
        <w:rPr>
          <w:rFonts w:hint="eastAsia" w:ascii="宋体" w:hAnsi="宋体" w:cs="宋体"/>
          <w:color w:val="auto"/>
          <w:sz w:val="20"/>
          <w:szCs w:val="20"/>
          <w:highlight w:val="none"/>
        </w:rPr>
        <w:t>（</w:t>
      </w:r>
      <w:r>
        <w:rPr>
          <w:rFonts w:ascii="宋体" w:hAnsi="宋体" w:cs="宋体"/>
          <w:color w:val="auto"/>
          <w:sz w:val="20"/>
          <w:szCs w:val="20"/>
          <w:highlight w:val="none"/>
        </w:rPr>
        <w:t>1</w:t>
      </w:r>
      <w:r>
        <w:rPr>
          <w:rFonts w:hint="eastAsia" w:ascii="宋体" w:hAnsi="宋体" w:cs="宋体"/>
          <w:color w:val="auto"/>
          <w:sz w:val="20"/>
          <w:szCs w:val="20"/>
          <w:highlight w:val="none"/>
        </w:rPr>
        <w:t>）</w:t>
      </w:r>
      <w:r>
        <w:rPr>
          <w:rFonts w:hint="eastAsia" w:ascii="宋体" w:hAnsi="宋体" w:cs="宋体"/>
          <w:color w:val="auto"/>
          <w:sz w:val="21"/>
          <w:szCs w:val="21"/>
          <w:highlight w:val="none"/>
        </w:rPr>
        <w:t>质疑人的名称、地址、邮政编码、联系人、联系电话，以及被质疑人名称及联系方式；</w:t>
      </w:r>
    </w:p>
    <w:p>
      <w:pPr>
        <w:spacing w:line="360" w:lineRule="auto"/>
        <w:ind w:firstLine="210" w:firstLineChars="100"/>
        <w:rPr>
          <w:rFonts w:ascii="宋体" w:cs="宋体"/>
          <w:color w:val="auto"/>
          <w:sz w:val="20"/>
          <w:szCs w:val="20"/>
          <w:highlight w:val="none"/>
        </w:rPr>
      </w:pPr>
      <w:bookmarkStart w:id="62" w:name="page21"/>
      <w:bookmarkEnd w:id="62"/>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）被质疑采购项目名称、编号及采购内容；</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）具体的质疑事项及事实依据；</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）认为自己合法权益受到损害或可能受到损害的相关证据材料；</w:t>
      </w:r>
    </w:p>
    <w:p>
      <w:pPr>
        <w:spacing w:line="360" w:lineRule="auto"/>
        <w:ind w:firstLine="210" w:firstLineChars="1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）提出质疑的日期。</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6.10.3 </w:t>
      </w:r>
      <w:r>
        <w:rPr>
          <w:rFonts w:hint="eastAsia" w:ascii="宋体" w:hAnsi="宋体" w:cs="宋体"/>
          <w:color w:val="auto"/>
          <w:sz w:val="21"/>
          <w:szCs w:val="21"/>
          <w:highlight w:val="none"/>
        </w:rPr>
        <w:t>采购过程的质疑期限自各采购程序环节结束之日起计算，</w:t>
      </w:r>
      <w:r>
        <w:rPr>
          <w:rFonts w:ascii="宋体" w:hAnsi="宋体" w:cs="宋体"/>
          <w:color w:val="auto"/>
          <w:sz w:val="21"/>
          <w:szCs w:val="21"/>
          <w:highlight w:val="none"/>
        </w:rPr>
        <w:t xml:space="preserve">7 </w:t>
      </w:r>
      <w:r>
        <w:rPr>
          <w:rFonts w:hint="eastAsia" w:ascii="宋体" w:hAnsi="宋体" w:cs="宋体"/>
          <w:color w:val="auto"/>
          <w:sz w:val="21"/>
          <w:szCs w:val="21"/>
          <w:highlight w:val="none"/>
        </w:rPr>
        <w:t>个工作日内向采购代理机构提出，逾期提出不予受理。采购结果的质疑期限自采购结果公告（包括结果公示、结果变更公告等）之日起计算，</w:t>
      </w:r>
      <w:r>
        <w:rPr>
          <w:rFonts w:ascii="宋体" w:hAnsi="宋体" w:cs="宋体"/>
          <w:color w:val="auto"/>
          <w:sz w:val="21"/>
          <w:szCs w:val="21"/>
          <w:highlight w:val="none"/>
        </w:rPr>
        <w:t>7</w:t>
      </w:r>
      <w:r>
        <w:rPr>
          <w:rFonts w:hint="eastAsia" w:ascii="宋体" w:hAnsi="宋体" w:cs="宋体"/>
          <w:color w:val="auto"/>
          <w:sz w:val="21"/>
          <w:szCs w:val="21"/>
          <w:highlight w:val="none"/>
        </w:rPr>
        <w:t>个工作日内向采购代理机构提出，逾期提出不予受理。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6.10.4 </w:t>
      </w:r>
      <w:r>
        <w:rPr>
          <w:rFonts w:hint="eastAsia" w:ascii="宋体" w:hAnsi="宋体" w:cs="宋体"/>
          <w:color w:val="auto"/>
          <w:sz w:val="21"/>
          <w:szCs w:val="21"/>
          <w:highlight w:val="none"/>
        </w:rPr>
        <w:t>质疑书中涉及的相关材料中有外文资料的，应当将与质疑相关的外文资料完整、客观、真实地翻译为中文，并注明翻译人员姓名、工作单位、联系方式等信息。</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6.10.5 </w:t>
      </w:r>
      <w:r>
        <w:rPr>
          <w:rFonts w:hint="eastAsia" w:ascii="宋体" w:hAnsi="宋体" w:cs="宋体"/>
          <w:color w:val="auto"/>
          <w:sz w:val="21"/>
          <w:szCs w:val="21"/>
          <w:highlight w:val="none"/>
        </w:rPr>
        <w:t>质疑书必须署名，由法定代表人签字（或盖章）并加盖单位公章，否则不予受理。</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6.10.6 </w:t>
      </w:r>
      <w:r>
        <w:rPr>
          <w:rFonts w:hint="eastAsia" w:ascii="宋体" w:hAnsi="宋体" w:cs="宋体"/>
          <w:color w:val="auto"/>
          <w:sz w:val="21"/>
          <w:szCs w:val="21"/>
          <w:highlight w:val="none"/>
        </w:rPr>
        <w:t>质疑书以直接提交、传真或邮寄方式提交（一式三份）。</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6.10.7 </w:t>
      </w:r>
      <w:r>
        <w:rPr>
          <w:rFonts w:hint="eastAsia" w:ascii="宋体" w:hAnsi="宋体" w:cs="宋体"/>
          <w:color w:val="auto"/>
          <w:sz w:val="21"/>
          <w:szCs w:val="21"/>
          <w:highlight w:val="none"/>
        </w:rPr>
        <w:t>质疑书以传真形式提交后，同时须向采购代理机构提交质疑书原件，采购代理机构以收到原件之日作为收到质疑日。</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6.11</w:t>
      </w:r>
      <w:r>
        <w:rPr>
          <w:rFonts w:hint="eastAsia" w:ascii="宋体" w:hAnsi="宋体" w:cs="宋体"/>
          <w:color w:val="auto"/>
          <w:sz w:val="21"/>
          <w:szCs w:val="21"/>
          <w:highlight w:val="none"/>
        </w:rPr>
        <w:t>、发出成交通知书</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6.11.1 </w:t>
      </w:r>
      <w:r>
        <w:rPr>
          <w:rFonts w:hint="eastAsia" w:ascii="宋体" w:hAnsi="宋体" w:cs="宋体"/>
          <w:color w:val="auto"/>
          <w:sz w:val="21"/>
          <w:szCs w:val="21"/>
          <w:highlight w:val="none"/>
        </w:rPr>
        <w:t>采购人及采购代理机构将以书面形式向成交人发出成交通知书。</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6.12</w:t>
      </w:r>
      <w:r>
        <w:rPr>
          <w:rFonts w:hint="eastAsia" w:ascii="宋体" w:hAnsi="宋体" w:cs="宋体"/>
          <w:color w:val="auto"/>
          <w:sz w:val="21"/>
          <w:szCs w:val="21"/>
          <w:highlight w:val="none"/>
        </w:rPr>
        <w:t>、签订合同</w:t>
      </w:r>
    </w:p>
    <w:p>
      <w:pPr>
        <w:spacing w:line="360" w:lineRule="auto"/>
        <w:ind w:firstLine="420" w:firstLineChars="200"/>
        <w:rPr>
          <w:rFonts w:ascii="宋体" w:cs="宋体"/>
          <w:color w:val="auto"/>
          <w:sz w:val="20"/>
          <w:szCs w:val="20"/>
          <w:highlight w:val="none"/>
        </w:rPr>
      </w:pPr>
      <w:r>
        <w:rPr>
          <w:rFonts w:ascii="宋体" w:hAnsi="宋体" w:cs="宋体"/>
          <w:color w:val="auto"/>
          <w:sz w:val="21"/>
          <w:szCs w:val="21"/>
          <w:highlight w:val="none"/>
        </w:rPr>
        <w:t xml:space="preserve">6.12.1 </w:t>
      </w:r>
      <w:r>
        <w:rPr>
          <w:rFonts w:hint="eastAsia" w:ascii="宋体" w:hAnsi="宋体" w:cs="宋体"/>
          <w:color w:val="auto"/>
          <w:sz w:val="21"/>
          <w:szCs w:val="21"/>
          <w:highlight w:val="none"/>
        </w:rPr>
        <w:t>成交人应在接到成交通知书后按成交通知书规定的时间、地点与采购人签订合同。</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6.12.2 </w:t>
      </w:r>
      <w:r>
        <w:rPr>
          <w:rFonts w:hint="eastAsia" w:ascii="宋体" w:hAnsi="宋体" w:cs="宋体"/>
          <w:color w:val="auto"/>
          <w:sz w:val="21"/>
          <w:szCs w:val="21"/>
          <w:highlight w:val="none"/>
        </w:rPr>
        <w:t>竞争性磋商文件及补充文件、成交人的响应文件及磋商修改文件、评审过程中有关澄清文件和成交通知书均作为合同附件。</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6.12.3 </w:t>
      </w:r>
      <w:r>
        <w:rPr>
          <w:rFonts w:hint="eastAsia" w:ascii="宋体" w:hAnsi="宋体" w:cs="宋体"/>
          <w:color w:val="auto"/>
          <w:sz w:val="21"/>
          <w:szCs w:val="21"/>
          <w:highlight w:val="none"/>
        </w:rPr>
        <w:t>拒签合同的责任</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成交人接到成交通知书后，在规定时间内借故否认已经承诺的条件而拒签合同者，以磋商违约处理，并赔偿采购人由此造成的直接经济损失。采购人将向政府采购监管部门进行汇报。</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6.13</w:t>
      </w:r>
      <w:r>
        <w:rPr>
          <w:rFonts w:hint="eastAsia" w:ascii="宋体" w:hAnsi="宋体" w:cs="宋体"/>
          <w:color w:val="auto"/>
          <w:sz w:val="21"/>
          <w:szCs w:val="21"/>
          <w:highlight w:val="none"/>
        </w:rPr>
        <w:t>、履约保证金</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成交人在签订合同后按“供应商须知前附表”规定的缴纳履约保证金。</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6.14</w:t>
      </w:r>
      <w:r>
        <w:rPr>
          <w:rFonts w:hint="eastAsia" w:ascii="宋体" w:hAnsi="宋体" w:cs="宋体"/>
          <w:color w:val="auto"/>
          <w:sz w:val="21"/>
          <w:szCs w:val="21"/>
          <w:highlight w:val="none"/>
        </w:rPr>
        <w:t>、采购代理服务费</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本次采购代理服务费按“供应商须知前附表”规定收取。</w:t>
      </w:r>
    </w:p>
    <w:p>
      <w:pPr>
        <w:rPr>
          <w:rFonts w:ascii="宋体" w:cs="宋体"/>
          <w:color w:val="auto"/>
          <w:highlight w:val="none"/>
        </w:rPr>
        <w:sectPr>
          <w:pgSz w:w="11900" w:h="16838"/>
          <w:pgMar w:top="1440" w:right="1440" w:bottom="401" w:left="1440" w:header="567" w:footer="567" w:gutter="0"/>
          <w:cols w:equalWidth="0" w:num="1">
            <w:col w:w="9026"/>
          </w:cols>
        </w:sectPr>
      </w:pPr>
    </w:p>
    <w:p>
      <w:pPr>
        <w:spacing w:line="1" w:lineRule="exact"/>
        <w:rPr>
          <w:rFonts w:ascii="宋体" w:cs="宋体"/>
          <w:color w:val="auto"/>
          <w:sz w:val="20"/>
          <w:szCs w:val="20"/>
          <w:highlight w:val="none"/>
        </w:rPr>
      </w:pPr>
      <w:bookmarkStart w:id="63" w:name="page22"/>
      <w:bookmarkEnd w:id="63"/>
    </w:p>
    <w:p>
      <w:pPr>
        <w:tabs>
          <w:tab w:val="left" w:pos="320"/>
        </w:tabs>
        <w:spacing w:line="366" w:lineRule="exact"/>
        <w:jc w:val="center"/>
        <w:rPr>
          <w:rFonts w:ascii="宋体" w:cs="宋体"/>
          <w:color w:val="auto"/>
          <w:sz w:val="20"/>
          <w:szCs w:val="20"/>
          <w:highlight w:val="none"/>
        </w:rPr>
      </w:pPr>
      <w:bookmarkStart w:id="64" w:name="_Toc7878_WPSOffice_Level1"/>
      <w:bookmarkStart w:id="65" w:name="_Toc5609_WPSOffice_Level1"/>
      <w:bookmarkStart w:id="66" w:name="_Toc9552_WPSOffice_Level1"/>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采购内容及技术要求</w:t>
      </w:r>
      <w:bookmarkEnd w:id="64"/>
      <w:bookmarkEnd w:id="65"/>
      <w:bookmarkEnd w:id="66"/>
    </w:p>
    <w:p>
      <w:pPr>
        <w:spacing w:line="298" w:lineRule="exact"/>
        <w:rPr>
          <w:rFonts w:ascii="宋体" w:cs="宋体"/>
          <w:color w:val="auto"/>
          <w:sz w:val="20"/>
          <w:szCs w:val="20"/>
          <w:highlight w:val="none"/>
        </w:rPr>
      </w:pPr>
    </w:p>
    <w:p>
      <w:pPr>
        <w:pStyle w:val="4"/>
        <w:rPr>
          <w:rFonts w:ascii="宋体" w:cs="宋体"/>
          <w:color w:val="auto"/>
          <w:sz w:val="21"/>
          <w:szCs w:val="21"/>
          <w:highlight w:val="none"/>
        </w:rPr>
      </w:pPr>
      <w:bookmarkStart w:id="67" w:name="_Toc1247_WPSOffice_Level2"/>
      <w:bookmarkStart w:id="68" w:name="_Toc1984_WPSOffice_Level2"/>
      <w:bookmarkStart w:id="69" w:name="_Toc442102512"/>
      <w:bookmarkStart w:id="70" w:name="_Toc519000561"/>
      <w:bookmarkStart w:id="71" w:name="_Toc420505109"/>
      <w:bookmarkStart w:id="72" w:name="_Toc14746_WPSOffice_Level2"/>
      <w:r>
        <w:rPr>
          <w:rFonts w:hint="eastAsia" w:ascii="宋体" w:hAnsi="宋体" w:cs="宋体"/>
          <w:color w:val="auto"/>
          <w:sz w:val="21"/>
          <w:szCs w:val="21"/>
          <w:highlight w:val="none"/>
        </w:rPr>
        <w:t>（一）项目概况</w:t>
      </w:r>
      <w:bookmarkEnd w:id="67"/>
      <w:bookmarkEnd w:id="68"/>
    </w:p>
    <w:p>
      <w:pPr>
        <w:spacing w:line="360" w:lineRule="auto"/>
        <w:ind w:firstLine="420"/>
        <w:rPr>
          <w:rFonts w:hint="eastAsia" w:ascii="宋体" w:hAnsi="宋体" w:eastAsia="宋体" w:cs="宋体"/>
          <w:b/>
          <w:bCs/>
          <w:color w:val="auto"/>
          <w:sz w:val="21"/>
          <w:szCs w:val="21"/>
          <w:highlight w:val="none"/>
          <w:lang w:eastAsia="zh-CN"/>
        </w:rPr>
      </w:pPr>
      <w:r>
        <w:rPr>
          <w:rFonts w:ascii="宋体" w:hAnsi="宋体" w:cs="宋体"/>
          <w:b/>
          <w:bCs/>
          <w:color w:val="auto"/>
          <w:sz w:val="21"/>
          <w:szCs w:val="21"/>
          <w:highlight w:val="none"/>
        </w:rPr>
        <w:t>1</w:t>
      </w:r>
      <w:r>
        <w:rPr>
          <w:rFonts w:hint="eastAsia" w:ascii="宋体" w:hAnsi="宋体" w:cs="宋体"/>
          <w:b/>
          <w:bCs/>
          <w:color w:val="auto"/>
          <w:sz w:val="21"/>
          <w:szCs w:val="21"/>
          <w:highlight w:val="none"/>
        </w:rPr>
        <w:t>、</w:t>
      </w:r>
      <w:r>
        <w:rPr>
          <w:rFonts w:hint="eastAsia" w:ascii="宋体" w:hAnsi="宋体" w:cs="宋体"/>
          <w:b/>
          <w:bCs/>
          <w:color w:val="auto"/>
          <w:sz w:val="21"/>
          <w:szCs w:val="21"/>
          <w:highlight w:val="none"/>
          <w:lang w:eastAsia="zh-CN"/>
        </w:rPr>
        <w:t>项目简介</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本项目为浙江农林大学集贤东湖食堂周边道路工程，位于浙江农林大学东湖校区（杭州市临安区武肃街</w:t>
      </w:r>
      <w:r>
        <w:rPr>
          <w:rFonts w:ascii="宋体" w:hAnsi="宋体" w:cs="宋体"/>
          <w:color w:val="auto"/>
          <w:sz w:val="21"/>
          <w:szCs w:val="21"/>
          <w:highlight w:val="none"/>
        </w:rPr>
        <w:t>666</w:t>
      </w:r>
      <w:r>
        <w:rPr>
          <w:rFonts w:hint="eastAsia" w:ascii="宋体" w:hAnsi="宋体" w:cs="宋体"/>
          <w:color w:val="auto"/>
          <w:sz w:val="21"/>
          <w:szCs w:val="21"/>
          <w:highlight w:val="none"/>
        </w:rPr>
        <w:t>号），主要内容为集贤东湖食堂周边广场道路面层更换。</w:t>
      </w:r>
    </w:p>
    <w:p>
      <w:pPr>
        <w:spacing w:line="360" w:lineRule="auto"/>
        <w:ind w:firstLine="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2、项目</w:t>
      </w:r>
      <w:r>
        <w:rPr>
          <w:rFonts w:hint="eastAsia" w:ascii="宋体" w:hAnsi="宋体" w:cs="宋体"/>
          <w:b/>
          <w:bCs/>
          <w:color w:val="auto"/>
          <w:sz w:val="21"/>
          <w:szCs w:val="21"/>
          <w:highlight w:val="none"/>
        </w:rPr>
        <w:t>工期</w:t>
      </w:r>
    </w:p>
    <w:p>
      <w:pPr>
        <w:spacing w:line="360" w:lineRule="auto"/>
        <w:ind w:firstLine="420"/>
        <w:rPr>
          <w:rFonts w:ascii="宋体" w:cs="宋体"/>
          <w:color w:val="auto"/>
          <w:sz w:val="21"/>
          <w:szCs w:val="21"/>
          <w:highlight w:val="none"/>
        </w:rPr>
      </w:pPr>
      <w:r>
        <w:rPr>
          <w:rFonts w:hint="eastAsia" w:ascii="宋体" w:hAnsi="宋体" w:cs="宋体"/>
          <w:color w:val="auto"/>
          <w:sz w:val="21"/>
          <w:szCs w:val="21"/>
          <w:highlight w:val="none"/>
          <w:lang w:eastAsia="zh-CN"/>
        </w:rPr>
        <w:t>工期</w:t>
      </w:r>
      <w:r>
        <w:rPr>
          <w:rFonts w:hint="eastAsia" w:ascii="宋体" w:hAnsi="宋体" w:cs="宋体"/>
          <w:color w:val="auto"/>
          <w:sz w:val="21"/>
          <w:szCs w:val="21"/>
          <w:highlight w:val="none"/>
        </w:rPr>
        <w:t>为</w:t>
      </w:r>
      <w:r>
        <w:rPr>
          <w:rFonts w:ascii="宋体" w:hAnsi="宋体" w:cs="宋体"/>
          <w:color w:val="auto"/>
          <w:sz w:val="21"/>
          <w:szCs w:val="21"/>
          <w:highlight w:val="none"/>
        </w:rPr>
        <w:t>30</w:t>
      </w:r>
      <w:r>
        <w:rPr>
          <w:rFonts w:hint="eastAsia" w:ascii="宋体" w:hAnsi="宋体" w:cs="宋体"/>
          <w:color w:val="auto"/>
          <w:sz w:val="21"/>
          <w:szCs w:val="21"/>
          <w:highlight w:val="none"/>
          <w:lang w:eastAsia="zh-CN"/>
        </w:rPr>
        <w:t>日历</w:t>
      </w:r>
      <w:r>
        <w:rPr>
          <w:rFonts w:hint="eastAsia" w:ascii="宋体" w:hAnsi="宋体" w:cs="宋体"/>
          <w:color w:val="auto"/>
          <w:sz w:val="21"/>
          <w:szCs w:val="21"/>
          <w:highlight w:val="none"/>
        </w:rPr>
        <w:t>天。</w:t>
      </w:r>
    </w:p>
    <w:p>
      <w:pPr>
        <w:spacing w:line="360" w:lineRule="auto"/>
        <w:ind w:firstLine="42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、工程内容</w:t>
      </w:r>
    </w:p>
    <w:p>
      <w:pPr>
        <w:spacing w:line="360" w:lineRule="auto"/>
        <w:ind w:firstLine="42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详见图纸及工程量清单</w:t>
      </w:r>
      <w:r>
        <w:rPr>
          <w:rFonts w:hint="eastAsia" w:ascii="宋体" w:hAnsi="宋体" w:cs="宋体"/>
          <w:color w:val="auto"/>
          <w:sz w:val="21"/>
          <w:szCs w:val="21"/>
          <w:highlight w:val="none"/>
          <w:lang w:eastAsia="zh-CN"/>
        </w:rPr>
        <w:t>。</w:t>
      </w:r>
    </w:p>
    <w:p>
      <w:pPr>
        <w:spacing w:line="360" w:lineRule="auto"/>
        <w:ind w:firstLine="420"/>
        <w:rPr>
          <w:rFonts w:hint="eastAsia" w:ascii="宋体" w:hAnsi="宋体" w:cs="宋体"/>
          <w:b/>
          <w:bCs/>
          <w:color w:val="auto"/>
          <w:sz w:val="21"/>
          <w:szCs w:val="21"/>
          <w:highlight w:val="none"/>
          <w:lang w:val="en-US" w:eastAsia="zh-CN"/>
        </w:rPr>
      </w:pPr>
      <w:bookmarkStart w:id="73" w:name="_Toc9286_WPSOffice_Level2"/>
      <w:bookmarkStart w:id="74" w:name="_Toc22756_WPSOffice_Level2"/>
      <w:r>
        <w:rPr>
          <w:rFonts w:hint="eastAsia" w:ascii="宋体" w:hAnsi="宋体" w:cs="宋体"/>
          <w:b/>
          <w:bCs/>
          <w:color w:val="auto"/>
          <w:sz w:val="21"/>
          <w:szCs w:val="21"/>
          <w:highlight w:val="none"/>
          <w:lang w:val="en-US" w:eastAsia="zh-CN"/>
        </w:rPr>
        <w:t>4、质保期</w:t>
      </w:r>
    </w:p>
    <w:p>
      <w:pPr>
        <w:spacing w:line="360" w:lineRule="auto"/>
        <w:ind w:firstLine="819" w:firstLineChars="39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2年（</w:t>
      </w:r>
      <w:r>
        <w:rPr>
          <w:rFonts w:hint="eastAsia" w:ascii="宋体" w:hAnsi="宋体"/>
          <w:spacing w:val="-6"/>
          <w:sz w:val="21"/>
          <w:szCs w:val="21"/>
          <w:highlight w:val="none"/>
        </w:rPr>
        <w:t>技术要求里另有注明的以技术要求为准</w:t>
      </w:r>
      <w:r>
        <w:rPr>
          <w:rFonts w:hint="eastAsia" w:ascii="宋体" w:hAnsi="宋体" w:cs="宋体"/>
          <w:color w:val="auto"/>
          <w:sz w:val="21"/>
          <w:szCs w:val="21"/>
          <w:highlight w:val="none"/>
          <w:lang w:val="en-US" w:eastAsia="zh-CN"/>
        </w:rPr>
        <w:t>）</w:t>
      </w:r>
    </w:p>
    <w:p>
      <w:pPr>
        <w:spacing w:line="360" w:lineRule="auto"/>
        <w:ind w:firstLine="42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5、履约保证金</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向采购方提供履约担保，担保方式为：</w:t>
      </w:r>
      <w:r>
        <w:rPr>
          <w:rFonts w:hint="eastAsia" w:ascii="宋体" w:hAnsi="宋体" w:cs="宋体"/>
          <w:color w:val="auto"/>
          <w:sz w:val="21"/>
          <w:szCs w:val="21"/>
          <w:highlight w:val="none"/>
          <w:u w:val="single"/>
        </w:rPr>
        <w:t xml:space="preserve"> 银行汇票或转帐支票或现金支票 </w:t>
      </w:r>
      <w:r>
        <w:rPr>
          <w:rFonts w:hint="eastAsia" w:ascii="宋体" w:hAnsi="宋体" w:cs="宋体"/>
          <w:color w:val="auto"/>
          <w:sz w:val="21"/>
          <w:szCs w:val="21"/>
          <w:highlight w:val="none"/>
        </w:rPr>
        <w:t>担保合同作为本合同附件。担保额度：合同价的2.5%。</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在合同协议签订前3天内，应按合同规定向</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提交履约保证金。</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双方约定的其他担保事项：履约担保金中40%作为质量担保，30%作为工期进度担保，剩余30%作为文明施工担保。</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如</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原因造成合同中止，履约担保金不返还。</w:t>
      </w:r>
    </w:p>
    <w:p>
      <w:pPr>
        <w:spacing w:line="360" w:lineRule="auto"/>
        <w:ind w:firstLine="42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如</w:t>
      </w:r>
      <w:r>
        <w:rPr>
          <w:rFonts w:hint="eastAsia" w:ascii="宋体" w:hAnsi="宋体" w:cs="宋体"/>
          <w:color w:val="auto"/>
          <w:sz w:val="21"/>
          <w:szCs w:val="21"/>
          <w:highlight w:val="none"/>
          <w:lang w:eastAsia="zh-CN"/>
        </w:rPr>
        <w:t>成交人</w:t>
      </w:r>
      <w:r>
        <w:rPr>
          <w:rFonts w:hint="eastAsia" w:ascii="宋体" w:hAnsi="宋体" w:cs="宋体"/>
          <w:color w:val="auto"/>
          <w:sz w:val="21"/>
          <w:szCs w:val="21"/>
          <w:highlight w:val="none"/>
        </w:rPr>
        <w:t>不能按磋商承诺和合同要求履约，</w:t>
      </w:r>
      <w:r>
        <w:rPr>
          <w:rFonts w:hint="eastAsia" w:ascii="宋体" w:hAnsi="宋体" w:cs="宋体"/>
          <w:color w:val="auto"/>
          <w:sz w:val="21"/>
          <w:szCs w:val="21"/>
          <w:highlight w:val="none"/>
          <w:lang w:eastAsia="zh-CN"/>
        </w:rPr>
        <w:t>采购人</w:t>
      </w:r>
      <w:r>
        <w:rPr>
          <w:rFonts w:hint="eastAsia" w:ascii="宋体" w:hAnsi="宋体" w:cs="宋体"/>
          <w:color w:val="auto"/>
          <w:sz w:val="21"/>
          <w:szCs w:val="21"/>
          <w:highlight w:val="none"/>
        </w:rPr>
        <w:t>将有权扣除相应甚至全部履约保证金。</w:t>
      </w:r>
    </w:p>
    <w:p>
      <w:pPr>
        <w:spacing w:line="360" w:lineRule="auto"/>
        <w:ind w:firstLine="42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6、付款方式</w:t>
      </w:r>
    </w:p>
    <w:p>
      <w:pPr>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合同签订后支付合同价的 20 %作为预付款，完工验收合格后并提交相关资料后支付到合同价的80%，待竣工结算审计后以结算审计为准支付至审计价格的97.5%；同时按合同履约核实情况，结算并返回履约保证金（无息，如有违约并扣除违约款）；审计价2.5%作为质量保修金，保修期满二年后无质量问题返回1.5%质保金，</w:t>
      </w:r>
      <w:r>
        <w:rPr>
          <w:rFonts w:hint="eastAsia" w:ascii="宋体" w:hAnsi="宋体" w:cs="宋体"/>
          <w:color w:val="auto"/>
          <w:sz w:val="21"/>
          <w:szCs w:val="21"/>
          <w:highlight w:val="none"/>
          <w:lang w:eastAsia="zh-CN"/>
        </w:rPr>
        <w:t>剩余1%在保修期结束后全额返回</w:t>
      </w:r>
      <w:r>
        <w:rPr>
          <w:rFonts w:hint="eastAsia" w:ascii="宋体" w:hAnsi="宋体" w:cs="宋体"/>
          <w:color w:val="auto"/>
          <w:sz w:val="21"/>
          <w:szCs w:val="21"/>
          <w:highlight w:val="none"/>
        </w:rPr>
        <w:t>（均不计利息）。</w:t>
      </w:r>
    </w:p>
    <w:p>
      <w:pPr>
        <w:pStyle w:val="4"/>
        <w:rPr>
          <w:rFonts w:ascii="宋体" w:cs="宋体"/>
          <w:color w:val="auto"/>
          <w:sz w:val="21"/>
          <w:szCs w:val="21"/>
          <w:highlight w:val="none"/>
        </w:rPr>
      </w:pPr>
      <w:r>
        <w:rPr>
          <w:rFonts w:hint="eastAsia" w:ascii="宋体" w:hAnsi="宋体" w:cs="宋体"/>
          <w:color w:val="auto"/>
          <w:sz w:val="21"/>
          <w:szCs w:val="21"/>
          <w:highlight w:val="none"/>
        </w:rPr>
        <w:t>（二）规范要求</w:t>
      </w:r>
      <w:bookmarkEnd w:id="69"/>
      <w:bookmarkEnd w:id="70"/>
      <w:bookmarkEnd w:id="71"/>
      <w:bookmarkEnd w:id="73"/>
      <w:bookmarkEnd w:id="74"/>
    </w:p>
    <w:p>
      <w:pPr>
        <w:spacing w:line="360" w:lineRule="auto"/>
        <w:ind w:firstLine="42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、依据设计施工图纸和技术文件要求，本工程项目的材料、设备、施工必须达到以下现行中华人民共和国及省、市、行业的一切有关法规、规范的要求，如下述标准及规范要求有出入则以较严格者为准。</w:t>
      </w:r>
    </w:p>
    <w:p>
      <w:pPr>
        <w:pStyle w:val="9"/>
        <w:tabs>
          <w:tab w:val="left" w:pos="0"/>
        </w:tabs>
        <w:spacing w:before="120" w:after="120" w:line="360" w:lineRule="auto"/>
        <w:ind w:firstLine="420" w:firstLineChars="200"/>
        <w:rPr>
          <w:rFonts w:hAnsi="宋体" w:cs="宋体"/>
          <w:color w:val="auto"/>
          <w:sz w:val="21"/>
          <w:szCs w:val="21"/>
          <w:highlight w:val="none"/>
        </w:rPr>
      </w:pPr>
      <w:r>
        <w:rPr>
          <w:rFonts w:hAnsi="宋体" w:cs="宋体"/>
          <w:color w:val="auto"/>
          <w:sz w:val="21"/>
          <w:szCs w:val="21"/>
          <w:highlight w:val="none"/>
        </w:rPr>
        <w:t>1.1</w:t>
      </w:r>
      <w:r>
        <w:rPr>
          <w:rFonts w:hint="eastAsia" w:hAnsi="宋体" w:cs="宋体"/>
          <w:color w:val="auto"/>
          <w:sz w:val="21"/>
          <w:szCs w:val="21"/>
          <w:highlight w:val="none"/>
        </w:rPr>
        <w:t>、以及其它的相关规范。</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1.2</w:t>
      </w:r>
      <w:r>
        <w:rPr>
          <w:rFonts w:hint="eastAsia" w:ascii="宋体" w:hAnsi="宋体" w:cs="宋体"/>
          <w:color w:val="auto"/>
          <w:sz w:val="21"/>
          <w:szCs w:val="21"/>
          <w:highlight w:val="none"/>
        </w:rPr>
        <w:t>、以上技术规范由乙方自备，如有不足之处或未能达到国家最新标准时，乙方应使施工及选用的设备和材料符合最新版本的国家标准、规范。</w:t>
      </w:r>
    </w:p>
    <w:p>
      <w:pPr>
        <w:pStyle w:val="4"/>
        <w:rPr>
          <w:rFonts w:ascii="宋体" w:cs="宋体"/>
          <w:color w:val="auto"/>
          <w:sz w:val="21"/>
          <w:szCs w:val="21"/>
          <w:highlight w:val="none"/>
        </w:rPr>
      </w:pPr>
      <w:bookmarkStart w:id="75" w:name="_Toc7970_WPSOffice_Level2"/>
      <w:bookmarkStart w:id="76" w:name="_Toc229386804"/>
      <w:bookmarkStart w:id="77" w:name="_Toc442102513"/>
      <w:bookmarkStart w:id="78" w:name="_Toc5922_WPSOffice_Level2"/>
      <w:bookmarkStart w:id="79" w:name="_Toc519000562"/>
      <w:bookmarkStart w:id="80" w:name="_Toc420505110"/>
      <w:bookmarkStart w:id="81" w:name="_Toc66769195"/>
      <w:r>
        <w:rPr>
          <w:rFonts w:hint="eastAsia" w:ascii="宋体" w:hAnsi="宋体" w:cs="宋体"/>
          <w:color w:val="auto"/>
          <w:sz w:val="21"/>
          <w:szCs w:val="21"/>
          <w:highlight w:val="none"/>
        </w:rPr>
        <w:t>（三）施工要求</w:t>
      </w:r>
      <w:bookmarkEnd w:id="75"/>
      <w:bookmarkEnd w:id="76"/>
      <w:bookmarkEnd w:id="77"/>
      <w:bookmarkEnd w:id="78"/>
      <w:bookmarkEnd w:id="79"/>
      <w:bookmarkEnd w:id="80"/>
      <w:bookmarkEnd w:id="81"/>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1</w:t>
      </w:r>
      <w:r>
        <w:rPr>
          <w:rFonts w:hint="eastAsia" w:ascii="宋体" w:hAnsi="宋体" w:cs="宋体"/>
          <w:color w:val="auto"/>
          <w:sz w:val="21"/>
          <w:highlight w:val="none"/>
        </w:rPr>
        <w:t>、本工程施工严格按照规范要求进行施工，达到各项拟定的设计指标。</w:t>
      </w:r>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2</w:t>
      </w:r>
      <w:r>
        <w:rPr>
          <w:rFonts w:hint="eastAsia" w:ascii="宋体" w:hAnsi="宋体" w:cs="宋体"/>
          <w:color w:val="auto"/>
          <w:sz w:val="21"/>
          <w:highlight w:val="none"/>
        </w:rPr>
        <w:t>、本工程施工必须严格按照招标说明、工程技术要求及行业规范进行施工，并无条件地接受采购人全方位、全过程的监督管理。</w:t>
      </w:r>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3</w:t>
      </w:r>
      <w:r>
        <w:rPr>
          <w:rFonts w:hint="eastAsia" w:ascii="宋体" w:hAnsi="宋体" w:cs="宋体"/>
          <w:color w:val="auto"/>
          <w:sz w:val="21"/>
          <w:highlight w:val="none"/>
        </w:rPr>
        <w:t>、所有材料设备必须在检验合格经采购人同意后，方可用于本工程。</w:t>
      </w:r>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4</w:t>
      </w:r>
      <w:r>
        <w:rPr>
          <w:rFonts w:hint="eastAsia" w:ascii="宋体" w:hAnsi="宋体" w:cs="宋体"/>
          <w:color w:val="auto"/>
          <w:sz w:val="21"/>
          <w:highlight w:val="none"/>
        </w:rPr>
        <w:t>、隐蔽工程必须经采购人检查、验收后，方可进行下一道工序。</w:t>
      </w:r>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5</w:t>
      </w:r>
      <w:r>
        <w:rPr>
          <w:rFonts w:hint="eastAsia" w:ascii="宋体" w:hAnsi="宋体" w:cs="宋体"/>
          <w:color w:val="auto"/>
          <w:sz w:val="21"/>
          <w:highlight w:val="none"/>
        </w:rPr>
        <w:t>、在免费保修期内，中标人对有缺陷的部位必须无偿地给予修理与更换，并承担一切由此引起的对采购人或第三者的直接损失，除非该缺陷是由于人为破坏或合同规定的不可抗因素造成的损坏。</w:t>
      </w:r>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6</w:t>
      </w:r>
      <w:r>
        <w:rPr>
          <w:rFonts w:hint="eastAsia" w:ascii="宋体" w:hAnsi="宋体" w:cs="宋体"/>
          <w:color w:val="auto"/>
          <w:sz w:val="21"/>
          <w:highlight w:val="none"/>
        </w:rPr>
        <w:t>、中标人必须对所承包的工程的质量负全部责任，其责任不因其他材料生产商提供的保证书而减轻或更改。</w:t>
      </w:r>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7</w:t>
      </w:r>
      <w:r>
        <w:rPr>
          <w:rFonts w:hint="eastAsia" w:ascii="宋体" w:hAnsi="宋体" w:cs="宋体"/>
          <w:color w:val="auto"/>
          <w:sz w:val="21"/>
          <w:highlight w:val="none"/>
        </w:rPr>
        <w:t>、施工时注意做好必要的劳动保护工作。</w:t>
      </w:r>
    </w:p>
    <w:p>
      <w:pPr>
        <w:pStyle w:val="4"/>
        <w:ind w:firstLine="422"/>
        <w:rPr>
          <w:rFonts w:ascii="宋体" w:cs="宋体"/>
          <w:color w:val="auto"/>
          <w:sz w:val="21"/>
          <w:szCs w:val="21"/>
          <w:highlight w:val="none"/>
        </w:rPr>
      </w:pPr>
      <w:bookmarkStart w:id="82" w:name="_Toc229386805"/>
      <w:bookmarkStart w:id="83" w:name="_Toc10614_WPSOffice_Level2"/>
      <w:bookmarkStart w:id="84" w:name="_Toc442102514"/>
      <w:bookmarkStart w:id="85" w:name="_Toc519000563"/>
      <w:bookmarkStart w:id="86" w:name="_Toc420505111"/>
      <w:bookmarkStart w:id="87" w:name="_Toc29299_WPSOffice_Level2"/>
      <w:bookmarkStart w:id="88" w:name="_Toc66769196"/>
      <w:r>
        <w:rPr>
          <w:rFonts w:hint="eastAsia" w:ascii="宋体" w:hAnsi="宋体" w:cs="宋体"/>
          <w:color w:val="auto"/>
          <w:sz w:val="21"/>
          <w:szCs w:val="21"/>
          <w:highlight w:val="none"/>
        </w:rPr>
        <w:t>（四）材料质量要求</w:t>
      </w:r>
      <w:bookmarkEnd w:id="82"/>
      <w:bookmarkEnd w:id="83"/>
      <w:bookmarkEnd w:id="84"/>
      <w:bookmarkEnd w:id="85"/>
      <w:bookmarkEnd w:id="86"/>
      <w:bookmarkEnd w:id="87"/>
      <w:bookmarkEnd w:id="88"/>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1</w:t>
      </w:r>
      <w:r>
        <w:rPr>
          <w:rFonts w:hint="eastAsia" w:ascii="宋体" w:hAnsi="宋体" w:cs="宋体"/>
          <w:color w:val="auto"/>
          <w:sz w:val="21"/>
          <w:highlight w:val="none"/>
        </w:rPr>
        <w:t>、</w:t>
      </w:r>
      <w:bookmarkStart w:id="89" w:name="_Toc66769197"/>
      <w:r>
        <w:rPr>
          <w:rFonts w:hint="eastAsia" w:ascii="宋体" w:hAnsi="宋体" w:cs="宋体"/>
          <w:color w:val="auto"/>
          <w:sz w:val="21"/>
          <w:highlight w:val="none"/>
        </w:rPr>
        <w:t>材料选择</w:t>
      </w:r>
      <w:bookmarkEnd w:id="89"/>
    </w:p>
    <w:p>
      <w:pPr>
        <w:pStyle w:val="45"/>
        <w:numPr>
          <w:ilvl w:val="1"/>
          <w:numId w:val="0"/>
        </w:numPr>
        <w:tabs>
          <w:tab w:val="left" w:pos="780"/>
        </w:tabs>
        <w:spacing w:before="120" w:after="120" w:line="360" w:lineRule="auto"/>
        <w:ind w:firstLine="420" w:firstLineChars="200"/>
        <w:rPr>
          <w:rFonts w:ascii="宋体" w:cs="宋体"/>
          <w:color w:val="auto"/>
          <w:sz w:val="21"/>
          <w:highlight w:val="none"/>
        </w:rPr>
      </w:pPr>
      <w:r>
        <w:rPr>
          <w:rFonts w:hint="eastAsia" w:ascii="宋体" w:hAnsi="宋体" w:cs="宋体"/>
          <w:color w:val="auto"/>
          <w:sz w:val="21"/>
          <w:highlight w:val="none"/>
        </w:rPr>
        <w:t>本工程使用的原材料必须符合设计要求和施工规范的规定。</w:t>
      </w:r>
    </w:p>
    <w:p>
      <w:pPr>
        <w:pStyle w:val="45"/>
        <w:numPr>
          <w:ilvl w:val="1"/>
          <w:numId w:val="0"/>
        </w:numPr>
        <w:tabs>
          <w:tab w:val="left" w:pos="780"/>
        </w:tabs>
        <w:spacing w:before="120" w:after="120" w:line="360" w:lineRule="auto"/>
        <w:ind w:firstLine="420" w:firstLineChars="200"/>
        <w:rPr>
          <w:rFonts w:ascii="宋体" w:cs="宋体"/>
          <w:color w:val="auto"/>
          <w:sz w:val="21"/>
          <w:highlight w:val="none"/>
        </w:rPr>
      </w:pPr>
      <w:r>
        <w:rPr>
          <w:rFonts w:hint="eastAsia" w:ascii="宋体" w:hAnsi="宋体" w:cs="宋体"/>
          <w:color w:val="auto"/>
          <w:sz w:val="21"/>
          <w:highlight w:val="none"/>
        </w:rPr>
        <w:t>实际施工过程中，采购方将严格检查验收进场原材料的合格证及质保书，如发现实样与质保书不符，应立即取样进行复查，对不合格的材料严禁用于本工程。</w:t>
      </w:r>
    </w:p>
    <w:p>
      <w:pPr>
        <w:pStyle w:val="45"/>
        <w:spacing w:before="120" w:after="120" w:line="360" w:lineRule="auto"/>
        <w:ind w:firstLine="31680"/>
        <w:rPr>
          <w:rFonts w:ascii="宋体" w:cs="宋体"/>
          <w:color w:val="auto"/>
          <w:sz w:val="21"/>
          <w:highlight w:val="none"/>
        </w:rPr>
      </w:pPr>
      <w:r>
        <w:rPr>
          <w:rFonts w:hint="eastAsia" w:ascii="宋体" w:hAnsi="宋体" w:cs="宋体"/>
          <w:color w:val="auto"/>
          <w:sz w:val="21"/>
          <w:highlight w:val="none"/>
        </w:rPr>
        <w:t>本工程涉及的主要材料及零星材料，各磋商供应商须根据采购人要求及规范进行选材并报价，所有材料要求采用在行业内有一定知名度的品牌</w:t>
      </w:r>
      <w:r>
        <w:rPr>
          <w:rFonts w:ascii="宋体" w:hAnsi="宋体" w:cs="宋体"/>
          <w:color w:val="auto"/>
          <w:sz w:val="21"/>
          <w:highlight w:val="none"/>
        </w:rPr>
        <w:t>(</w:t>
      </w:r>
      <w:r>
        <w:rPr>
          <w:rFonts w:hint="eastAsia" w:ascii="宋体" w:hAnsi="宋体" w:cs="宋体"/>
          <w:color w:val="auto"/>
          <w:sz w:val="21"/>
          <w:highlight w:val="none"/>
        </w:rPr>
        <w:t>招标文件已定品牌的按招标文件</w:t>
      </w:r>
      <w:r>
        <w:rPr>
          <w:rFonts w:ascii="宋体" w:hAnsi="宋体" w:cs="宋体"/>
          <w:color w:val="auto"/>
          <w:sz w:val="21"/>
          <w:highlight w:val="none"/>
        </w:rPr>
        <w:t>)</w:t>
      </w:r>
      <w:r>
        <w:rPr>
          <w:rFonts w:hint="eastAsia" w:ascii="宋体" w:hAnsi="宋体" w:cs="宋体"/>
          <w:color w:val="auto"/>
          <w:sz w:val="21"/>
          <w:highlight w:val="none"/>
        </w:rPr>
        <w:t>，材料生产厂家必须通过</w:t>
      </w:r>
      <w:r>
        <w:rPr>
          <w:rFonts w:ascii="宋体" w:hAnsi="宋体" w:cs="宋体"/>
          <w:color w:val="auto"/>
          <w:sz w:val="21"/>
          <w:highlight w:val="none"/>
        </w:rPr>
        <w:t>ISO</w:t>
      </w:r>
      <w:r>
        <w:rPr>
          <w:rFonts w:hint="eastAsia" w:ascii="宋体" w:hAnsi="宋体" w:cs="宋体"/>
          <w:color w:val="auto"/>
          <w:sz w:val="21"/>
          <w:highlight w:val="none"/>
        </w:rPr>
        <w:t>质量认证，并符合环保要求，严禁选择不合设计要求的低档材料进行投标报价及组织施工实施。</w:t>
      </w:r>
    </w:p>
    <w:p>
      <w:pPr>
        <w:pStyle w:val="45"/>
        <w:spacing w:before="120" w:after="120" w:line="360" w:lineRule="auto"/>
        <w:ind w:firstLine="31680"/>
        <w:rPr>
          <w:rFonts w:ascii="宋体" w:cs="宋体"/>
          <w:b/>
          <w:color w:val="auto"/>
          <w:sz w:val="21"/>
          <w:highlight w:val="none"/>
        </w:rPr>
      </w:pPr>
      <w:r>
        <w:rPr>
          <w:rFonts w:ascii="宋体" w:hAnsi="宋体" w:cs="宋体"/>
          <w:b/>
          <w:color w:val="auto"/>
          <w:sz w:val="21"/>
          <w:highlight w:val="none"/>
        </w:rPr>
        <w:t>3</w:t>
      </w:r>
      <w:r>
        <w:rPr>
          <w:rFonts w:hint="eastAsia" w:ascii="宋体" w:hAnsi="宋体" w:cs="宋体"/>
          <w:b/>
          <w:color w:val="auto"/>
          <w:sz w:val="21"/>
          <w:highlight w:val="none"/>
        </w:rPr>
        <w:t>、磋商供应商应按“主要材料（设备）推荐品牌”要求投标报价，并在响应文件主要材料品牌表里明确品牌、规格、型号、单位等。如磋商供应商没有按招标文件要求进行选择，或没有明确注明，或所选材料设备的材质、规格、档次与招标文件要求的存在明显差别，或虽按招标文件推荐的材料品牌选择但该材料因某种原因停产或其他原因而不能供应的，或虽注明品牌未注明型号、规格的，则实际施工过程中采购人有权在招标文件推荐的材料品牌范围内自行确定品牌和规格，且投标价格不予调整。</w:t>
      </w:r>
    </w:p>
    <w:p>
      <w:pPr>
        <w:pStyle w:val="45"/>
        <w:spacing w:before="120" w:after="120" w:line="360" w:lineRule="auto"/>
        <w:ind w:firstLine="31680"/>
        <w:jc w:val="center"/>
        <w:rPr>
          <w:rFonts w:ascii="宋体" w:cs="宋体"/>
          <w:color w:val="auto"/>
          <w:sz w:val="21"/>
          <w:highlight w:val="none"/>
        </w:rPr>
      </w:pPr>
      <w:r>
        <w:rPr>
          <w:rFonts w:hint="eastAsia" w:ascii="宋体" w:hAnsi="宋体" w:cs="宋体"/>
          <w:b/>
          <w:color w:val="auto"/>
          <w:sz w:val="21"/>
          <w:highlight w:val="none"/>
        </w:rPr>
        <w:t>主要材料推荐品牌表</w:t>
      </w:r>
    </w:p>
    <w:tbl>
      <w:tblPr>
        <w:tblStyle w:val="19"/>
        <w:tblW w:w="8647"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80"/>
        <w:gridCol w:w="4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序号</w:t>
            </w:r>
          </w:p>
        </w:tc>
        <w:tc>
          <w:tcPr>
            <w:tcW w:w="2980" w:type="dxa"/>
          </w:tcPr>
          <w:p>
            <w:pPr>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主要材料</w:t>
            </w:r>
          </w:p>
        </w:tc>
        <w:tc>
          <w:tcPr>
            <w:tcW w:w="4958" w:type="dxa"/>
          </w:tcPr>
          <w:p>
            <w:pPr>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1</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泵送商品混凝土</w:t>
            </w:r>
          </w:p>
        </w:tc>
        <w:tc>
          <w:tcPr>
            <w:tcW w:w="4958" w:type="dxa"/>
            <w:vAlign w:val="center"/>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C25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2</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粗粒式沥青混凝土</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3</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中粒式沥青混凝土</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4</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乳化沥青</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5</w:t>
            </w:r>
          </w:p>
        </w:tc>
        <w:tc>
          <w:tcPr>
            <w:tcW w:w="2980" w:type="dxa"/>
            <w:vAlign w:val="center"/>
          </w:tcPr>
          <w:p>
            <w:pPr>
              <w:topLinePunct/>
              <w:spacing w:line="360" w:lineRule="auto"/>
              <w:jc w:val="center"/>
              <w:rPr>
                <w:rFonts w:ascii="宋体" w:cs="宋体"/>
                <w:color w:val="auto"/>
                <w:sz w:val="21"/>
                <w:szCs w:val="21"/>
                <w:highlight w:val="none"/>
              </w:rPr>
            </w:pPr>
            <w:r>
              <w:rPr>
                <w:rFonts w:hint="eastAsia" w:ascii="宋体" w:hAnsi="宋体" w:cs="宋体"/>
                <w:color w:val="auto"/>
                <w:sz w:val="21"/>
                <w:szCs w:val="21"/>
                <w:highlight w:val="none"/>
              </w:rPr>
              <w:t>石油沥青</w:t>
            </w: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6</w:t>
            </w:r>
          </w:p>
        </w:tc>
        <w:tc>
          <w:tcPr>
            <w:tcW w:w="2980" w:type="dxa"/>
            <w:vAlign w:val="center"/>
          </w:tcPr>
          <w:p>
            <w:pPr>
              <w:topLinePunct/>
              <w:spacing w:line="360" w:lineRule="auto"/>
              <w:jc w:val="center"/>
              <w:rPr>
                <w:rFonts w:ascii="宋体" w:cs="宋体"/>
                <w:color w:val="auto"/>
                <w:sz w:val="21"/>
                <w:szCs w:val="21"/>
                <w:highlight w:val="none"/>
              </w:rPr>
            </w:pPr>
          </w:p>
        </w:tc>
        <w:tc>
          <w:tcPr>
            <w:tcW w:w="4958" w:type="dxa"/>
            <w:vAlign w:val="center"/>
          </w:tcPr>
          <w:p>
            <w:pPr>
              <w:topLinePunct/>
              <w:spacing w:line="360" w:lineRule="auto"/>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7</w:t>
            </w:r>
          </w:p>
        </w:tc>
        <w:tc>
          <w:tcPr>
            <w:tcW w:w="2980" w:type="dxa"/>
          </w:tcPr>
          <w:p>
            <w:pPr>
              <w:autoSpaceDE w:val="0"/>
              <w:autoSpaceDN w:val="0"/>
              <w:adjustRightInd w:val="0"/>
              <w:spacing w:line="400" w:lineRule="exact"/>
              <w:rPr>
                <w:rFonts w:ascii="宋体" w:cs="宋体"/>
                <w:color w:val="auto"/>
                <w:sz w:val="21"/>
                <w:szCs w:val="21"/>
                <w:highlight w:val="none"/>
              </w:rPr>
            </w:pPr>
          </w:p>
        </w:tc>
        <w:tc>
          <w:tcPr>
            <w:tcW w:w="4958" w:type="dxa"/>
          </w:tcPr>
          <w:p>
            <w:pPr>
              <w:autoSpaceDE w:val="0"/>
              <w:autoSpaceDN w:val="0"/>
              <w:adjustRightInd w:val="0"/>
              <w:spacing w:line="400" w:lineRule="exact"/>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8</w:t>
            </w: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9</w:t>
            </w: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r>
              <w:rPr>
                <w:rFonts w:ascii="宋体" w:hAnsi="宋体" w:cs="宋体"/>
                <w:color w:val="auto"/>
                <w:sz w:val="21"/>
                <w:szCs w:val="21"/>
                <w:highlight w:val="none"/>
              </w:rPr>
              <w:t>10</w:t>
            </w: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topLinePunct/>
              <w:spacing w:line="360" w:lineRule="auto"/>
              <w:jc w:val="center"/>
              <w:rPr>
                <w:rFonts w:ascii="宋体" w:cs="宋体"/>
                <w:color w:val="auto"/>
                <w:sz w:val="21"/>
                <w:szCs w:val="21"/>
                <w:highlight w:val="none"/>
              </w:rPr>
            </w:pPr>
          </w:p>
        </w:tc>
        <w:tc>
          <w:tcPr>
            <w:tcW w:w="2980" w:type="dxa"/>
          </w:tcPr>
          <w:p>
            <w:pPr>
              <w:topLinePunct/>
              <w:spacing w:line="360" w:lineRule="auto"/>
              <w:rPr>
                <w:rFonts w:ascii="宋体" w:cs="宋体"/>
                <w:color w:val="auto"/>
                <w:sz w:val="21"/>
                <w:szCs w:val="21"/>
                <w:highlight w:val="none"/>
              </w:rPr>
            </w:pPr>
          </w:p>
        </w:tc>
        <w:tc>
          <w:tcPr>
            <w:tcW w:w="4958" w:type="dxa"/>
          </w:tcPr>
          <w:p>
            <w:pPr>
              <w:topLinePunct/>
              <w:spacing w:line="360" w:lineRule="auto"/>
              <w:rPr>
                <w:rFonts w:ascii="宋体" w:cs="宋体"/>
                <w:color w:val="auto"/>
                <w:sz w:val="21"/>
                <w:szCs w:val="21"/>
                <w:highlight w:val="none"/>
              </w:rPr>
            </w:pPr>
          </w:p>
        </w:tc>
      </w:tr>
    </w:tbl>
    <w:p>
      <w:pPr>
        <w:spacing w:line="320" w:lineRule="exact"/>
        <w:rPr>
          <w:rFonts w:ascii="宋体" w:cs="宋体"/>
          <w:b/>
          <w:bCs/>
          <w:color w:val="auto"/>
          <w:sz w:val="20"/>
          <w:szCs w:val="20"/>
          <w:highlight w:val="none"/>
          <w:u w:val="single"/>
        </w:rPr>
      </w:pPr>
      <w:bookmarkStart w:id="90" w:name="_Toc442102515"/>
      <w:bookmarkStart w:id="91" w:name="_Toc229386806"/>
      <w:bookmarkStart w:id="92" w:name="_Toc519000564"/>
      <w:bookmarkStart w:id="93" w:name="_Toc91422889"/>
      <w:bookmarkStart w:id="94" w:name="_Toc420505112"/>
      <w:r>
        <w:rPr>
          <w:rFonts w:hint="eastAsia" w:ascii="宋体" w:hAnsi="宋体" w:cs="宋体"/>
          <w:b/>
          <w:bCs/>
          <w:color w:val="auto"/>
          <w:sz w:val="20"/>
          <w:szCs w:val="20"/>
          <w:highlight w:val="none"/>
          <w:u w:val="single"/>
        </w:rPr>
        <w:t>关于推荐品牌：</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①招标文件中对主要材料设备品牌、厂家、规格、型号有推荐的，投标人应采用并选用其中高档产品，或选用与招标人推荐的品牌相当及以上的中高档产品，如投标人所选材料设备的材质、规格、颜色、档次与招标文件及施工图纸要求的存在明显差别，或虽按招标文件推荐的材料品牌选择但该材料因某种原因停产或其他原因而不能供应的，则实际施工过程中招标人有权在招标文件推荐的材料品牌中自行确定，且投标价格不予调整。</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②招标文件中对材料的品牌、规格、型号没有具体规定的，由投标人按招标文件及施工图的要求按中高档进行投标报价，并在“</w:t>
      </w:r>
      <w:r>
        <w:rPr>
          <w:rFonts w:ascii="宋体" w:hAnsi="宋体" w:cs="宋体"/>
          <w:b/>
          <w:bCs/>
          <w:color w:val="auto"/>
          <w:sz w:val="20"/>
          <w:szCs w:val="20"/>
          <w:highlight w:val="none"/>
          <w:u w:val="single"/>
        </w:rPr>
        <w:t xml:space="preserve"> </w:t>
      </w:r>
      <w:r>
        <w:rPr>
          <w:rFonts w:hint="eastAsia" w:ascii="宋体" w:hAnsi="宋体" w:cs="宋体"/>
          <w:b/>
          <w:bCs/>
          <w:color w:val="auto"/>
          <w:sz w:val="20"/>
          <w:szCs w:val="20"/>
          <w:highlight w:val="none"/>
          <w:u w:val="single"/>
        </w:rPr>
        <w:t>主要材料品牌一览表“的投标品牌一栏里注明所选材料设备的品牌、规格、型号，若投标人没有进行注明的，则招标人有权指定品牌，投标价格不调整。</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③发包人有权根据实际情况在发包人推荐的供应商（厂家）或品牌范围内进行调整，承包人须接受调整，并不得因此而要求调价。</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④若投标人未明确品牌，招标人将在此表</w:t>
      </w:r>
      <w:r>
        <w:rPr>
          <w:rFonts w:ascii="宋体" w:hAnsi="宋体" w:cs="宋体"/>
          <w:b/>
          <w:bCs/>
          <w:color w:val="auto"/>
          <w:sz w:val="20"/>
          <w:szCs w:val="20"/>
          <w:highlight w:val="none"/>
          <w:u w:val="single"/>
        </w:rPr>
        <w:t xml:space="preserve"> </w:t>
      </w:r>
      <w:r>
        <w:rPr>
          <w:rFonts w:hint="eastAsia" w:ascii="宋体" w:hAnsi="宋体" w:cs="宋体"/>
          <w:b/>
          <w:bCs/>
          <w:color w:val="auto"/>
          <w:sz w:val="20"/>
          <w:szCs w:val="20"/>
          <w:highlight w:val="none"/>
          <w:u w:val="single"/>
        </w:rPr>
        <w:t>“推荐品牌或厂家”中指定品牌及型号，投标报价不予调整。</w:t>
      </w:r>
    </w:p>
    <w:p>
      <w:pPr>
        <w:spacing w:line="320" w:lineRule="exact"/>
        <w:ind w:firstLine="402" w:firstLineChars="200"/>
        <w:rPr>
          <w:rFonts w:ascii="宋体" w:cs="宋体"/>
          <w:b/>
          <w:bCs/>
          <w:color w:val="auto"/>
          <w:sz w:val="20"/>
          <w:szCs w:val="20"/>
          <w:highlight w:val="none"/>
          <w:u w:val="single"/>
        </w:rPr>
      </w:pPr>
      <w:r>
        <w:rPr>
          <w:rFonts w:hint="eastAsia" w:ascii="宋体" w:hAnsi="宋体" w:cs="宋体"/>
          <w:b/>
          <w:bCs/>
          <w:color w:val="auto"/>
          <w:sz w:val="20"/>
          <w:szCs w:val="20"/>
          <w:highlight w:val="none"/>
          <w:u w:val="single"/>
        </w:rPr>
        <w:t>⑤如本表选型与设计说明及招标图有矛盾的，一律以本表为准；</w:t>
      </w:r>
    </w:p>
    <w:p>
      <w:pPr>
        <w:spacing w:line="320" w:lineRule="exact"/>
        <w:ind w:firstLine="402" w:firstLineChars="200"/>
        <w:rPr>
          <w:rFonts w:ascii="宋体" w:cs="宋体"/>
          <w:b/>
          <w:bCs/>
          <w:color w:val="auto"/>
          <w:sz w:val="32"/>
          <w:szCs w:val="32"/>
          <w:highlight w:val="none"/>
        </w:rPr>
      </w:pPr>
      <w:r>
        <w:rPr>
          <w:rFonts w:hint="eastAsia" w:ascii="宋体" w:hAnsi="宋体" w:cs="宋体"/>
          <w:b/>
          <w:bCs/>
          <w:color w:val="auto"/>
          <w:sz w:val="20"/>
          <w:szCs w:val="20"/>
          <w:highlight w:val="none"/>
          <w:u w:val="single"/>
        </w:rPr>
        <w:t>⑦投标人在投标文件中若提供了招标人推荐品牌外的产品，应同时提供相当于招标人推荐品牌产品的证明材料。评标时，评标专家应根据投标人的证明材料及专业水平进行谨慎评标，对推荐品牌外产品能否满足招标人要求作出明确说明，对于未提供相关证明材料或提供的证明材料依据不足时，评标专家在详细说明的情况下可认定技术参数不满足。</w:t>
      </w:r>
    </w:p>
    <w:p>
      <w:pPr>
        <w:tabs>
          <w:tab w:val="left" w:pos="300"/>
        </w:tabs>
        <w:spacing w:line="366" w:lineRule="exact"/>
        <w:rPr>
          <w:rFonts w:ascii="宋体" w:cs="宋体"/>
          <w:b/>
          <w:bCs/>
          <w:color w:val="auto"/>
          <w:sz w:val="32"/>
          <w:szCs w:val="32"/>
          <w:highlight w:val="none"/>
        </w:rPr>
      </w:pPr>
    </w:p>
    <w:p>
      <w:pPr>
        <w:pStyle w:val="4"/>
        <w:ind w:firstLine="422"/>
        <w:rPr>
          <w:rFonts w:ascii="宋体" w:cs="宋体"/>
          <w:color w:val="auto"/>
          <w:sz w:val="21"/>
          <w:szCs w:val="21"/>
          <w:highlight w:val="none"/>
        </w:rPr>
      </w:pPr>
      <w:bookmarkStart w:id="95" w:name="_Toc3986_WPSOffice_Level2"/>
      <w:bookmarkStart w:id="96" w:name="_Toc5425_WPSOffice_Level2"/>
      <w:r>
        <w:rPr>
          <w:rFonts w:hint="eastAsia" w:ascii="宋体" w:hAnsi="宋体" w:cs="宋体"/>
          <w:color w:val="auto"/>
          <w:sz w:val="21"/>
          <w:szCs w:val="21"/>
          <w:highlight w:val="none"/>
        </w:rPr>
        <w:t>（五）工程管理的要求</w:t>
      </w:r>
      <w:bookmarkEnd w:id="90"/>
      <w:bookmarkEnd w:id="91"/>
      <w:bookmarkEnd w:id="92"/>
      <w:bookmarkEnd w:id="93"/>
      <w:bookmarkEnd w:id="94"/>
      <w:bookmarkEnd w:id="95"/>
      <w:bookmarkEnd w:id="96"/>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1</w:t>
      </w:r>
      <w:r>
        <w:rPr>
          <w:rFonts w:hint="eastAsia" w:ascii="宋体" w:hAnsi="宋体" w:cs="宋体"/>
          <w:color w:val="auto"/>
          <w:sz w:val="21"/>
          <w:highlight w:val="none"/>
        </w:rPr>
        <w:t>、本工程发包范围内的工程项目，未经采购人同意一律不得分包。一经发现立即取消承包资格，作违约处理，并承担由此引起的一切经济损失。</w:t>
      </w:r>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2</w:t>
      </w:r>
      <w:r>
        <w:rPr>
          <w:rFonts w:hint="eastAsia" w:ascii="宋体" w:hAnsi="宋体" w:cs="宋体"/>
          <w:color w:val="auto"/>
          <w:sz w:val="21"/>
          <w:highlight w:val="none"/>
        </w:rPr>
        <w:t>、中标人应严格按已确认施工技术方案组织施工，并无条件地接受采购人代表对施工质量的监督和管理。</w:t>
      </w:r>
    </w:p>
    <w:p>
      <w:pPr>
        <w:pStyle w:val="45"/>
        <w:spacing w:before="120" w:after="120" w:line="360" w:lineRule="auto"/>
        <w:ind w:firstLine="31680"/>
        <w:rPr>
          <w:rFonts w:ascii="宋体" w:cs="宋体"/>
          <w:color w:val="auto"/>
          <w:sz w:val="21"/>
          <w:highlight w:val="none"/>
        </w:rPr>
      </w:pPr>
      <w:r>
        <w:rPr>
          <w:rFonts w:ascii="宋体" w:hAnsi="宋体" w:cs="宋体"/>
          <w:color w:val="auto"/>
          <w:sz w:val="21"/>
          <w:highlight w:val="none"/>
        </w:rPr>
        <w:t>3</w:t>
      </w:r>
      <w:r>
        <w:rPr>
          <w:rFonts w:hint="eastAsia" w:ascii="宋体" w:hAnsi="宋体" w:cs="宋体"/>
          <w:color w:val="auto"/>
          <w:sz w:val="21"/>
          <w:highlight w:val="none"/>
        </w:rPr>
        <w:t>、中标人在工程施工全过程中要认真做好产品保护。因失窃或失火造成的损失均由承包方负责，凡由此而损及采购人利益时，采购人将向中标施工单位索赔。</w:t>
      </w:r>
    </w:p>
    <w:p>
      <w:pPr>
        <w:pStyle w:val="4"/>
        <w:ind w:firstLine="422"/>
        <w:rPr>
          <w:rFonts w:ascii="宋体" w:cs="宋体"/>
          <w:color w:val="auto"/>
          <w:sz w:val="21"/>
          <w:szCs w:val="21"/>
          <w:highlight w:val="none"/>
        </w:rPr>
      </w:pPr>
      <w:bookmarkStart w:id="97" w:name="_Toc32648_WPSOffice_Level2"/>
      <w:bookmarkStart w:id="98" w:name="_Toc6004_WPSOffice_Level2"/>
      <w:r>
        <w:rPr>
          <w:rFonts w:hint="eastAsia" w:ascii="宋体" w:hAnsi="宋体" w:cs="宋体"/>
          <w:color w:val="auto"/>
          <w:sz w:val="21"/>
          <w:szCs w:val="21"/>
          <w:highlight w:val="none"/>
        </w:rPr>
        <w:t>（六）其它要求</w:t>
      </w:r>
      <w:bookmarkEnd w:id="97"/>
      <w:bookmarkEnd w:id="98"/>
    </w:p>
    <w:p>
      <w:pPr>
        <w:spacing w:line="360" w:lineRule="auto"/>
        <w:ind w:firstLine="422" w:firstLineChars="200"/>
        <w:rPr>
          <w:rFonts w:ascii="宋体" w:cs="宋体"/>
          <w:color w:val="auto"/>
          <w:sz w:val="21"/>
          <w:szCs w:val="21"/>
          <w:highlight w:val="none"/>
        </w:rPr>
      </w:pPr>
      <w:r>
        <w:rPr>
          <w:rFonts w:hint="eastAsia" w:ascii="宋体" w:hAnsi="宋体" w:cs="宋体"/>
          <w:b/>
          <w:bCs/>
          <w:color w:val="auto"/>
          <w:sz w:val="21"/>
          <w:szCs w:val="21"/>
          <w:highlight w:val="none"/>
          <w:u w:val="single"/>
        </w:rPr>
        <w:t>清单中计量单位为“项”的子目请投标单位自行踏勘现场综合报价，作为专业承包商</w:t>
      </w:r>
      <w:bookmarkStart w:id="99" w:name="page23"/>
      <w:bookmarkEnd w:id="99"/>
      <w:r>
        <w:rPr>
          <w:rFonts w:hint="eastAsia" w:ascii="宋体" w:hAnsi="宋体" w:cs="宋体"/>
          <w:b/>
          <w:bCs/>
          <w:color w:val="auto"/>
          <w:sz w:val="21"/>
          <w:szCs w:val="21"/>
          <w:highlight w:val="none"/>
          <w:u w:val="single"/>
        </w:rPr>
        <w:t>投标时有义务和责任认真踏勘施工现场，认真核对工程量清单中施工内容和工程量，对项目需求进行深化、细化、完善和调整，中标后任何因现场勘查不足、图纸、工程量清单等不足或深化后的方案而造成的额外工程量变更均不得调整中标金额。</w:t>
      </w:r>
    </w:p>
    <w:p>
      <w:pPr>
        <w:spacing w:line="360" w:lineRule="auto"/>
        <w:ind w:right="366"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、中标人施工前，要制定详细的施工方案和进度计划，经建设单位批准后方可开工。否则不允许开工，造成工期延误由施工方负责。</w:t>
      </w:r>
    </w:p>
    <w:p>
      <w:pPr>
        <w:spacing w:line="360" w:lineRule="auto"/>
        <w:ind w:right="346"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、施工过程做好隐蔽工程的验收，每个分项工程、检验批经建设单位验收合格后方可隐蔽。未经隐蔽工程验收就擅自隐蔽，建设单位有权进行剥露检查，发生费用由施工方负责。</w:t>
      </w:r>
    </w:p>
    <w:p>
      <w:pPr>
        <w:spacing w:line="360" w:lineRule="auto"/>
        <w:ind w:right="346"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、工程中使用材料必须是环保无污染材料，并进行防火处理。进场必须提供合格证和检测报告，按照验收规范要求进行材料复试的，由建设单位抽样进行复试，确保材料符合设计要求，达到防火、环保要求。</w:t>
      </w:r>
    </w:p>
    <w:p>
      <w:pPr>
        <w:spacing w:line="360" w:lineRule="auto"/>
        <w:ind w:right="346"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、工程中使用材料在施工前，必须向建设单位提供样品、做样板，经建设单位确认后方可施工。否则返工发生费用施工方自付。</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、工程使用材料、设备要建立档案，分部分项工程建立工程验收档案。工程完工后，向建设单位移交工程档案，档案资料不齐全、不符合要求，工程不予结算。</w:t>
      </w:r>
    </w:p>
    <w:p>
      <w:pPr>
        <w:spacing w:line="360" w:lineRule="auto"/>
        <w:ind w:right="6"/>
        <w:jc w:val="center"/>
        <w:rPr>
          <w:rFonts w:ascii="宋体" w:cs="宋体"/>
          <w:color w:val="auto"/>
          <w:sz w:val="21"/>
          <w:szCs w:val="21"/>
          <w:highlight w:val="none"/>
        </w:rPr>
        <w:sectPr>
          <w:pgSz w:w="11900" w:h="16838"/>
          <w:pgMar w:top="1440" w:right="1440" w:bottom="158" w:left="1440" w:header="567" w:footer="567" w:gutter="0"/>
          <w:cols w:equalWidth="0" w:num="1">
            <w:col w:w="9026"/>
          </w:cols>
        </w:sectPr>
      </w:pPr>
      <w:bookmarkStart w:id="100" w:name="page25"/>
      <w:bookmarkEnd w:id="100"/>
      <w:r>
        <w:rPr>
          <w:rFonts w:ascii="宋体" w:hAnsi="宋体" w:cs="宋体"/>
          <w:color w:val="auto"/>
          <w:sz w:val="21"/>
          <w:szCs w:val="21"/>
          <w:highlight w:val="none"/>
        </w:rPr>
        <w:t>6</w:t>
      </w:r>
      <w:r>
        <w:rPr>
          <w:rFonts w:hint="eastAsia" w:ascii="宋体" w:hAnsi="宋体" w:cs="宋体"/>
          <w:color w:val="auto"/>
          <w:sz w:val="21"/>
          <w:szCs w:val="21"/>
          <w:highlight w:val="none"/>
        </w:rPr>
        <w:t>、工程结束后施工方在自检合格基础上，报建设单位验收。建设单位组织设计、施工相关参与方进行验收，相关设备、仪器等功能检测要求进行现场试验和检测，验收合格方可投入使用。</w:t>
      </w:r>
    </w:p>
    <w:p>
      <w:pPr>
        <w:spacing w:line="360" w:lineRule="auto"/>
        <w:ind w:right="6"/>
        <w:jc w:val="center"/>
        <w:rPr>
          <w:rFonts w:ascii="宋体" w:cs="宋体"/>
          <w:color w:val="auto"/>
          <w:sz w:val="21"/>
          <w:szCs w:val="21"/>
          <w:highlight w:val="none"/>
        </w:rPr>
      </w:pPr>
      <w:bookmarkStart w:id="101" w:name="_Toc23745_WPSOffice_Level2"/>
      <w:bookmarkStart w:id="102" w:name="_Toc3801_WPSOffice_Level2"/>
      <w:r>
        <w:rPr>
          <w:rFonts w:hint="eastAsia" w:ascii="宋体" w:hAnsi="宋体" w:cs="宋体"/>
          <w:b/>
          <w:bCs/>
          <w:color w:val="auto"/>
          <w:sz w:val="32"/>
          <w:szCs w:val="32"/>
          <w:highlight w:val="none"/>
        </w:rPr>
        <w:t>工程量清单编制说明</w:t>
      </w:r>
      <w:bookmarkEnd w:id="72"/>
      <w:bookmarkEnd w:id="101"/>
      <w:bookmarkEnd w:id="102"/>
    </w:p>
    <w:p>
      <w:pPr>
        <w:spacing w:line="360" w:lineRule="auto"/>
        <w:ind w:firstLine="422" w:firstLineChars="200"/>
        <w:rPr>
          <w:rFonts w:ascii="宋体" w:cs="宋体"/>
          <w:b/>
          <w:bCs/>
          <w:color w:val="auto"/>
          <w:sz w:val="21"/>
          <w:szCs w:val="21"/>
          <w:highlight w:val="none"/>
        </w:rPr>
      </w:pPr>
      <w:bookmarkStart w:id="103" w:name="_Toc17902_WPSOffice_Level2"/>
      <w:bookmarkStart w:id="104" w:name="_Toc12566_WPSOffice_Level2"/>
      <w:r>
        <w:rPr>
          <w:rFonts w:hint="eastAsia" w:ascii="宋体" w:hAnsi="宋体" w:cs="宋体"/>
          <w:b/>
          <w:bCs/>
          <w:color w:val="auto"/>
          <w:sz w:val="21"/>
          <w:szCs w:val="21"/>
          <w:highlight w:val="none"/>
        </w:rPr>
        <w:t>一、工程概况</w:t>
      </w:r>
      <w:bookmarkEnd w:id="103"/>
      <w:bookmarkEnd w:id="104"/>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浙江农林大学浙江农林大学集贤东湖食堂周边道路工程位于浙江农林大学东湖校区，主要内容为集贤东湖食堂周边广场道路面层更换。</w:t>
      </w:r>
    </w:p>
    <w:p>
      <w:pPr>
        <w:spacing w:line="360" w:lineRule="auto"/>
        <w:ind w:firstLine="422" w:firstLineChars="200"/>
        <w:rPr>
          <w:rFonts w:ascii="宋体" w:cs="宋体"/>
          <w:b/>
          <w:bCs/>
          <w:color w:val="auto"/>
          <w:sz w:val="21"/>
          <w:szCs w:val="21"/>
          <w:highlight w:val="none"/>
        </w:rPr>
      </w:pPr>
      <w:bookmarkStart w:id="105" w:name="_Toc26685_WPSOffice_Level2"/>
      <w:bookmarkStart w:id="106" w:name="_Toc12117_WPSOffice_Level2"/>
      <w:r>
        <w:rPr>
          <w:rFonts w:hint="eastAsia" w:ascii="宋体" w:hAnsi="宋体" w:cs="宋体"/>
          <w:b/>
          <w:bCs/>
          <w:color w:val="auto"/>
          <w:sz w:val="21"/>
          <w:szCs w:val="21"/>
          <w:highlight w:val="none"/>
        </w:rPr>
        <w:t>二、编制范围</w:t>
      </w:r>
      <w:bookmarkEnd w:id="105"/>
      <w:bookmarkEnd w:id="106"/>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按施工图纸及委托单位明确的范围进行编制。</w:t>
      </w:r>
    </w:p>
    <w:p>
      <w:pPr>
        <w:spacing w:line="360" w:lineRule="auto"/>
        <w:ind w:firstLine="422" w:firstLineChars="200"/>
        <w:rPr>
          <w:rFonts w:ascii="宋体" w:cs="宋体"/>
          <w:b/>
          <w:bCs/>
          <w:color w:val="auto"/>
          <w:sz w:val="21"/>
          <w:szCs w:val="21"/>
          <w:highlight w:val="none"/>
        </w:rPr>
      </w:pPr>
      <w:bookmarkStart w:id="107" w:name="_Toc32226_WPSOffice_Level2"/>
      <w:bookmarkStart w:id="108" w:name="_Toc21449_WPSOffice_Level2"/>
      <w:r>
        <w:rPr>
          <w:rFonts w:hint="eastAsia" w:ascii="宋体" w:hAnsi="宋体" w:cs="宋体"/>
          <w:b/>
          <w:bCs/>
          <w:color w:val="auto"/>
          <w:sz w:val="21"/>
          <w:szCs w:val="21"/>
          <w:highlight w:val="none"/>
        </w:rPr>
        <w:t>三、编制依据</w:t>
      </w:r>
      <w:bookmarkEnd w:id="107"/>
      <w:bookmarkEnd w:id="108"/>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、建设单位提供的由浙江农林大学园林设计院有限公司设计的施工图及相关技术规范文件。</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、《市政工程工程量清单计价规范》（</w:t>
      </w:r>
      <w:r>
        <w:rPr>
          <w:rFonts w:ascii="宋体" w:hAnsi="宋体" w:cs="宋体"/>
          <w:color w:val="auto"/>
          <w:sz w:val="21"/>
          <w:szCs w:val="21"/>
          <w:highlight w:val="none"/>
        </w:rPr>
        <w:t>GB50587-2013</w:t>
      </w:r>
      <w:r>
        <w:rPr>
          <w:rFonts w:hint="eastAsia" w:ascii="宋体" w:hAnsi="宋体" w:cs="宋体"/>
          <w:color w:val="auto"/>
          <w:sz w:val="21"/>
          <w:szCs w:val="21"/>
          <w:highlight w:val="none"/>
        </w:rPr>
        <w:t>）及浙江省补充条款、《浙江省市政工程计价规则》</w:t>
      </w:r>
      <w:r>
        <w:rPr>
          <w:rFonts w:ascii="宋体" w:hAnsi="宋体" w:cs="宋体"/>
          <w:color w:val="auto"/>
          <w:sz w:val="21"/>
          <w:szCs w:val="21"/>
          <w:highlight w:val="none"/>
        </w:rPr>
        <w:t>2018</w:t>
      </w:r>
      <w:r>
        <w:rPr>
          <w:rFonts w:hint="eastAsia" w:ascii="宋体" w:hAnsi="宋体" w:cs="宋体"/>
          <w:color w:val="auto"/>
          <w:sz w:val="21"/>
          <w:szCs w:val="21"/>
          <w:highlight w:val="none"/>
        </w:rPr>
        <w:t>版、《浙江省市政工程工程量清单计价指引》。</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、《浙江省市政工程预算定额》、《浙江省市政工程施工费用定额》等</w:t>
      </w:r>
      <w:r>
        <w:rPr>
          <w:rFonts w:ascii="宋体" w:hAnsi="宋体" w:cs="宋体"/>
          <w:color w:val="auto"/>
          <w:sz w:val="21"/>
          <w:szCs w:val="21"/>
          <w:highlight w:val="none"/>
        </w:rPr>
        <w:t>2018</w:t>
      </w:r>
      <w:r>
        <w:rPr>
          <w:rFonts w:hint="eastAsia" w:ascii="宋体" w:hAnsi="宋体" w:cs="宋体"/>
          <w:color w:val="auto"/>
          <w:sz w:val="21"/>
          <w:szCs w:val="21"/>
          <w:highlight w:val="none"/>
        </w:rPr>
        <w:t>版计价依据及省、市相关计价管理规定。</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、省、市造价信息及市场询价信息。</w:t>
      </w:r>
    </w:p>
    <w:p>
      <w:pPr>
        <w:spacing w:line="360" w:lineRule="auto"/>
        <w:ind w:firstLine="422" w:firstLineChars="200"/>
        <w:rPr>
          <w:rFonts w:ascii="宋体" w:cs="宋体"/>
          <w:b/>
          <w:bCs/>
          <w:color w:val="auto"/>
          <w:sz w:val="21"/>
          <w:szCs w:val="21"/>
          <w:highlight w:val="none"/>
        </w:rPr>
      </w:pPr>
      <w:bookmarkStart w:id="109" w:name="_Toc3482_WPSOffice_Level2"/>
      <w:bookmarkStart w:id="110" w:name="_Toc5667_WPSOffice_Level2"/>
      <w:r>
        <w:rPr>
          <w:rFonts w:hint="eastAsia" w:ascii="宋体" w:hAnsi="宋体" w:cs="宋体"/>
          <w:b/>
          <w:bCs/>
          <w:color w:val="auto"/>
          <w:sz w:val="21"/>
          <w:szCs w:val="21"/>
          <w:highlight w:val="none"/>
        </w:rPr>
        <w:t>四、编制说明</w:t>
      </w:r>
      <w:bookmarkEnd w:id="109"/>
      <w:bookmarkEnd w:id="110"/>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、分部分项工程量清单数量根据《市政工程工程量清单计价规范（</w:t>
      </w:r>
      <w:r>
        <w:rPr>
          <w:rFonts w:ascii="宋体" w:hAnsi="宋体" w:cs="宋体"/>
          <w:color w:val="auto"/>
          <w:sz w:val="21"/>
          <w:szCs w:val="21"/>
          <w:highlight w:val="none"/>
        </w:rPr>
        <w:t>GB50587-2013</w:t>
      </w:r>
      <w:r>
        <w:rPr>
          <w:rFonts w:hint="eastAsia" w:ascii="宋体" w:hAnsi="宋体" w:cs="宋体"/>
          <w:color w:val="auto"/>
          <w:sz w:val="21"/>
          <w:szCs w:val="21"/>
          <w:highlight w:val="none"/>
        </w:rPr>
        <w:t>）计算规则计算确定。</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、预算书采用综合单价法计价，人工、材料、机械等消耗量按照</w:t>
      </w:r>
      <w:r>
        <w:rPr>
          <w:rFonts w:ascii="宋体" w:hAnsi="宋体" w:cs="宋体"/>
          <w:color w:val="auto"/>
          <w:sz w:val="21"/>
          <w:szCs w:val="21"/>
          <w:highlight w:val="none"/>
        </w:rPr>
        <w:t>2018</w:t>
      </w:r>
      <w:r>
        <w:rPr>
          <w:rFonts w:hint="eastAsia" w:ascii="宋体" w:hAnsi="宋体" w:cs="宋体"/>
          <w:color w:val="auto"/>
          <w:sz w:val="21"/>
          <w:szCs w:val="21"/>
          <w:highlight w:val="none"/>
        </w:rPr>
        <w:t>版计价依据确定，人工、材料价格及相关费率计取情况如下：</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）人工单价按照杭建造价投资办</w:t>
      </w:r>
      <w:r>
        <w:rPr>
          <w:rFonts w:ascii="宋体" w:hAnsi="宋体" w:cs="宋体"/>
          <w:color w:val="auto"/>
          <w:sz w:val="21"/>
          <w:szCs w:val="21"/>
          <w:highlight w:val="none"/>
        </w:rPr>
        <w:t>[2018]55</w:t>
      </w:r>
      <w:r>
        <w:rPr>
          <w:rFonts w:hint="eastAsia" w:ascii="宋体" w:hAnsi="宋体" w:cs="宋体"/>
          <w:color w:val="auto"/>
          <w:sz w:val="21"/>
          <w:szCs w:val="21"/>
          <w:highlight w:val="none"/>
        </w:rPr>
        <w:t>号文件规定及</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5</w:t>
      </w:r>
      <w:r>
        <w:rPr>
          <w:rFonts w:hint="eastAsia" w:ascii="宋体" w:hAnsi="宋体" w:cs="宋体"/>
          <w:color w:val="auto"/>
          <w:sz w:val="21"/>
          <w:szCs w:val="21"/>
          <w:highlight w:val="none"/>
        </w:rPr>
        <w:t>期信息价计取，人工信息价与定额差价部分只计取税金，人工价格信息详见主要工日表。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）材料单价按照浙江省第</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5</w:t>
      </w:r>
      <w:r>
        <w:rPr>
          <w:rFonts w:hint="eastAsia" w:ascii="宋体" w:hAnsi="宋体" w:cs="宋体"/>
          <w:color w:val="auto"/>
          <w:sz w:val="21"/>
          <w:szCs w:val="21"/>
          <w:highlight w:val="none"/>
        </w:rPr>
        <w:t>期造价信息，临安区或杭州市第</w:t>
      </w:r>
      <w:r>
        <w:rPr>
          <w:rFonts w:ascii="宋体" w:hAnsi="宋体" w:cs="宋体"/>
          <w:color w:val="auto"/>
          <w:sz w:val="21"/>
          <w:szCs w:val="21"/>
          <w:highlight w:val="none"/>
        </w:rPr>
        <w:t>2019</w:t>
      </w:r>
      <w:r>
        <w:rPr>
          <w:rFonts w:hint="eastAsia" w:ascii="宋体" w:hAnsi="宋体" w:cs="宋体"/>
          <w:color w:val="auto"/>
          <w:sz w:val="21"/>
          <w:szCs w:val="21"/>
          <w:highlight w:val="none"/>
        </w:rPr>
        <w:t>年</w:t>
      </w:r>
      <w:r>
        <w:rPr>
          <w:rFonts w:ascii="宋体" w:hAnsi="宋体" w:cs="宋体"/>
          <w:color w:val="auto"/>
          <w:sz w:val="21"/>
          <w:szCs w:val="21"/>
          <w:highlight w:val="none"/>
        </w:rPr>
        <w:t>5</w:t>
      </w:r>
      <w:r>
        <w:rPr>
          <w:rFonts w:hint="eastAsia" w:ascii="宋体" w:hAnsi="宋体" w:cs="宋体"/>
          <w:color w:val="auto"/>
          <w:sz w:val="21"/>
          <w:szCs w:val="21"/>
          <w:highlight w:val="none"/>
        </w:rPr>
        <w:t>期造价信息，无价材料参照省市信息副刊及市场询价信息计入，主要材料价格信息及材料暂定价情况详见主要材料表。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各项取费按《浙江省建设工程施工费用定额》（</w:t>
      </w:r>
      <w:r>
        <w:rPr>
          <w:rFonts w:ascii="宋体" w:hAnsi="宋体" w:cs="宋体"/>
          <w:color w:val="auto"/>
          <w:sz w:val="21"/>
          <w:szCs w:val="21"/>
          <w:highlight w:val="none"/>
        </w:rPr>
        <w:t>2018</w:t>
      </w:r>
      <w:r>
        <w:rPr>
          <w:rFonts w:hint="eastAsia" w:ascii="宋体" w:hAnsi="宋体" w:cs="宋体"/>
          <w:color w:val="auto"/>
          <w:sz w:val="21"/>
          <w:szCs w:val="21"/>
          <w:highlight w:val="none"/>
        </w:rPr>
        <w:t>版）道路工程中值计取，具体计取如下表：</w:t>
      </w:r>
    </w:p>
    <w:tbl>
      <w:tblPr>
        <w:tblStyle w:val="19"/>
        <w:tblW w:w="8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36"/>
        <w:gridCol w:w="489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序号</w:t>
            </w:r>
          </w:p>
        </w:tc>
        <w:tc>
          <w:tcPr>
            <w:tcW w:w="1936"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费用名称</w:t>
            </w:r>
          </w:p>
        </w:tc>
        <w:tc>
          <w:tcPr>
            <w:tcW w:w="4890"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计算基数</w:t>
            </w:r>
          </w:p>
        </w:tc>
        <w:tc>
          <w:tcPr>
            <w:tcW w:w="1083" w:type="dxa"/>
            <w:vAlign w:val="center"/>
          </w:tcPr>
          <w:p>
            <w:pPr>
              <w:snapToGrid w:val="0"/>
              <w:jc w:val="center"/>
              <w:rPr>
                <w:rFonts w:ascii="宋体" w:cs="宋体"/>
                <w:color w:val="auto"/>
                <w:sz w:val="21"/>
                <w:szCs w:val="21"/>
                <w:highlight w:val="none"/>
              </w:rPr>
            </w:pPr>
            <w:r>
              <w:rPr>
                <w:rFonts w:hint="eastAsia" w:ascii="宋体" w:hAnsi="宋体" w:cs="宋体"/>
                <w:color w:val="auto"/>
                <w:sz w:val="21"/>
                <w:szCs w:val="21"/>
                <w:highlight w:val="none"/>
              </w:rPr>
              <w:t>费率</w:t>
            </w:r>
            <w:r>
              <w:rPr>
                <w:rFonts w:ascii="宋体"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安全文明施工费</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2</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企业管理费</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3</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利润</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5</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规费</w:t>
            </w:r>
          </w:p>
        </w:tc>
        <w:tc>
          <w:tcPr>
            <w:tcW w:w="4890"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人工费</w:t>
            </w:r>
            <w:r>
              <w:rPr>
                <w:rFonts w:ascii="宋体" w:hAnsi="宋体" w:cs="宋体"/>
                <w:color w:val="auto"/>
                <w:sz w:val="21"/>
                <w:szCs w:val="21"/>
                <w:highlight w:val="none"/>
              </w:rPr>
              <w:t>+</w:t>
            </w:r>
            <w:r>
              <w:rPr>
                <w:rFonts w:hint="eastAsia" w:ascii="宋体" w:hAnsi="宋体" w:cs="宋体"/>
                <w:color w:val="auto"/>
                <w:sz w:val="21"/>
                <w:szCs w:val="21"/>
                <w:highlight w:val="none"/>
              </w:rPr>
              <w:t>机械费</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2"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6</w:t>
            </w:r>
          </w:p>
        </w:tc>
        <w:tc>
          <w:tcPr>
            <w:tcW w:w="1936" w:type="dxa"/>
            <w:vAlign w:val="center"/>
          </w:tcPr>
          <w:p>
            <w:pPr>
              <w:rPr>
                <w:rFonts w:ascii="宋体" w:cs="宋体"/>
                <w:color w:val="auto"/>
                <w:sz w:val="21"/>
                <w:szCs w:val="21"/>
                <w:highlight w:val="none"/>
              </w:rPr>
            </w:pPr>
            <w:r>
              <w:rPr>
                <w:rFonts w:hint="eastAsia" w:ascii="宋体" w:hAnsi="宋体" w:cs="宋体"/>
                <w:color w:val="auto"/>
                <w:sz w:val="21"/>
                <w:szCs w:val="21"/>
                <w:highlight w:val="none"/>
              </w:rPr>
              <w:t>税金</w:t>
            </w:r>
          </w:p>
        </w:tc>
        <w:tc>
          <w:tcPr>
            <w:tcW w:w="4890" w:type="dxa"/>
            <w:vAlign w:val="center"/>
          </w:tcPr>
          <w:p>
            <w:pPr>
              <w:snapToGrid w:val="0"/>
              <w:rPr>
                <w:rFonts w:ascii="宋体" w:cs="宋体"/>
                <w:color w:val="auto"/>
                <w:sz w:val="21"/>
                <w:szCs w:val="21"/>
                <w:highlight w:val="none"/>
              </w:rPr>
            </w:pPr>
            <w:r>
              <w:rPr>
                <w:rFonts w:hint="eastAsia" w:ascii="宋体" w:hAnsi="宋体" w:cs="宋体"/>
                <w:color w:val="auto"/>
                <w:sz w:val="21"/>
                <w:szCs w:val="21"/>
                <w:highlight w:val="none"/>
              </w:rPr>
              <w:t>直接费</w:t>
            </w:r>
            <w:r>
              <w:rPr>
                <w:rFonts w:ascii="宋体" w:hAnsi="宋体" w:cs="宋体"/>
                <w:color w:val="auto"/>
                <w:sz w:val="21"/>
                <w:szCs w:val="21"/>
                <w:highlight w:val="none"/>
              </w:rPr>
              <w:t>+</w:t>
            </w:r>
            <w:r>
              <w:rPr>
                <w:rFonts w:hint="eastAsia" w:ascii="宋体" w:hAnsi="宋体" w:cs="宋体"/>
                <w:color w:val="auto"/>
                <w:sz w:val="21"/>
                <w:szCs w:val="21"/>
                <w:highlight w:val="none"/>
              </w:rPr>
              <w:t>综合费用</w:t>
            </w:r>
            <w:r>
              <w:rPr>
                <w:rFonts w:ascii="宋体" w:hAnsi="宋体" w:cs="宋体"/>
                <w:color w:val="auto"/>
                <w:sz w:val="21"/>
                <w:szCs w:val="21"/>
                <w:highlight w:val="none"/>
              </w:rPr>
              <w:t>+</w:t>
            </w:r>
            <w:r>
              <w:rPr>
                <w:rFonts w:hint="eastAsia" w:ascii="宋体" w:hAnsi="宋体" w:cs="宋体"/>
                <w:color w:val="auto"/>
                <w:sz w:val="21"/>
                <w:szCs w:val="21"/>
                <w:highlight w:val="none"/>
              </w:rPr>
              <w:t>规费</w:t>
            </w:r>
            <w:r>
              <w:rPr>
                <w:rFonts w:ascii="宋体" w:hAnsi="宋体" w:cs="宋体"/>
                <w:color w:val="auto"/>
                <w:sz w:val="21"/>
                <w:szCs w:val="21"/>
                <w:highlight w:val="none"/>
              </w:rPr>
              <w:t>+</w:t>
            </w:r>
            <w:r>
              <w:rPr>
                <w:rFonts w:hint="eastAsia" w:ascii="宋体" w:hAnsi="宋体" w:cs="宋体"/>
                <w:color w:val="auto"/>
                <w:sz w:val="21"/>
                <w:szCs w:val="21"/>
                <w:highlight w:val="none"/>
              </w:rPr>
              <w:t>民工工伤保险</w:t>
            </w:r>
          </w:p>
        </w:tc>
        <w:tc>
          <w:tcPr>
            <w:tcW w:w="1083" w:type="dxa"/>
            <w:vAlign w:val="center"/>
          </w:tcPr>
          <w:p>
            <w:pPr>
              <w:snapToGrid w:val="0"/>
              <w:jc w:val="center"/>
              <w:rPr>
                <w:rFonts w:ascii="宋体" w:cs="宋体"/>
                <w:color w:val="auto"/>
                <w:sz w:val="21"/>
                <w:szCs w:val="21"/>
                <w:highlight w:val="none"/>
              </w:rPr>
            </w:pPr>
            <w:r>
              <w:rPr>
                <w:rFonts w:ascii="宋体" w:hAnsi="宋体" w:cs="宋体"/>
                <w:color w:val="auto"/>
                <w:sz w:val="21"/>
                <w:szCs w:val="21"/>
                <w:highlight w:val="none"/>
              </w:rPr>
              <w:t>9.00</w:t>
            </w:r>
          </w:p>
        </w:tc>
      </w:tr>
    </w:tbl>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、甲供材料情况：无。</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、本预算书含暂定费用情况：无。</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、施工图纸未明确部分，本预算书按以下内容计入：</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）根据文件规定本工程所有砂浆采用预拌砂浆，预算中已按预拌砂浆计入，强度等级参《浙江省建筑工程节能预算定额》第</w:t>
      </w:r>
      <w:r>
        <w:rPr>
          <w:rFonts w:ascii="宋体" w:hAnsi="宋体" w:cs="宋体"/>
          <w:color w:val="auto"/>
          <w:sz w:val="21"/>
          <w:szCs w:val="21"/>
          <w:highlight w:val="none"/>
        </w:rPr>
        <w:t>141</w:t>
      </w:r>
      <w:r>
        <w:rPr>
          <w:rFonts w:hint="eastAsia" w:ascii="宋体" w:hAnsi="宋体" w:cs="宋体"/>
          <w:color w:val="auto"/>
          <w:sz w:val="21"/>
          <w:szCs w:val="21"/>
          <w:highlight w:val="none"/>
        </w:rPr>
        <w:t>页</w:t>
      </w:r>
      <w:r>
        <w:rPr>
          <w:rFonts w:ascii="宋体" w:hAnsi="宋体" w:cs="宋体"/>
          <w:color w:val="auto"/>
          <w:sz w:val="21"/>
          <w:szCs w:val="21"/>
          <w:highlight w:val="none"/>
        </w:rPr>
        <w:t>"</w:t>
      </w:r>
      <w:r>
        <w:rPr>
          <w:rFonts w:hint="eastAsia" w:ascii="宋体" w:hAnsi="宋体" w:cs="宋体"/>
          <w:color w:val="auto"/>
          <w:sz w:val="21"/>
          <w:szCs w:val="21"/>
          <w:highlight w:val="none"/>
        </w:rPr>
        <w:t>预拌砂浆与传统砂浆分类对应参考表</w:t>
      </w:r>
      <w:r>
        <w:rPr>
          <w:rFonts w:ascii="宋体" w:hAnsi="宋体" w:cs="宋体"/>
          <w:color w:val="auto"/>
          <w:sz w:val="21"/>
          <w:szCs w:val="21"/>
          <w:highlight w:val="none"/>
        </w:rPr>
        <w:t>"</w:t>
      </w:r>
      <w:r>
        <w:rPr>
          <w:rFonts w:hint="eastAsia" w:ascii="宋体" w:hAnsi="宋体" w:cs="宋体"/>
          <w:color w:val="auto"/>
          <w:sz w:val="21"/>
          <w:szCs w:val="21"/>
          <w:highlight w:val="none"/>
        </w:rPr>
        <w:t>；</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）规费、税金及施工组织措施费均按相关文件规定计取；</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）垃圾外运运距暂按</w:t>
      </w:r>
      <w:r>
        <w:rPr>
          <w:rFonts w:ascii="宋体" w:hAnsi="宋体" w:cs="宋体"/>
          <w:color w:val="auto"/>
          <w:sz w:val="21"/>
          <w:szCs w:val="21"/>
          <w:highlight w:val="none"/>
        </w:rPr>
        <w:t>20km</w:t>
      </w:r>
      <w:r>
        <w:rPr>
          <w:rFonts w:hint="eastAsia" w:ascii="宋体" w:hAnsi="宋体" w:cs="宋体"/>
          <w:color w:val="auto"/>
          <w:sz w:val="21"/>
          <w:szCs w:val="21"/>
          <w:highlight w:val="none"/>
        </w:rPr>
        <w:t>计入，实际情况由投标单位自行考虑；</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）经设计确认，图纸中道路平石可按原现场平石重新铺设；</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）经业主确认，图纸中无明确的检查井、雨水井应按现场情况做相应升降处理，井盖应回收重新利用；</w:t>
      </w:r>
    </w:p>
    <w:p>
      <w:pPr>
        <w:pStyle w:val="2"/>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rPr>
        <w:t>）经业主确认，沥青混凝土面层应采用乳化沥青粘层。</w:t>
      </w:r>
    </w:p>
    <w:p>
      <w:pPr>
        <w:rPr>
          <w:rFonts w:ascii="宋体" w:cs="宋体"/>
          <w:color w:val="auto"/>
          <w:sz w:val="21"/>
          <w:szCs w:val="21"/>
          <w:highlight w:val="none"/>
        </w:rPr>
      </w:pPr>
    </w:p>
    <w:p>
      <w:pPr>
        <w:rPr>
          <w:rFonts w:ascii="宋体" w:cs="宋体"/>
          <w:b/>
          <w:bCs/>
          <w:color w:val="auto"/>
          <w:sz w:val="21"/>
          <w:szCs w:val="21"/>
          <w:highlight w:val="none"/>
        </w:rPr>
      </w:pPr>
      <w:bookmarkStart w:id="111" w:name="page100"/>
      <w:bookmarkEnd w:id="111"/>
      <w:bookmarkStart w:id="112" w:name="page97"/>
      <w:bookmarkEnd w:id="112"/>
      <w:bookmarkStart w:id="113" w:name="page95"/>
      <w:bookmarkEnd w:id="113"/>
      <w:bookmarkStart w:id="114" w:name="page101"/>
      <w:bookmarkEnd w:id="114"/>
      <w:bookmarkStart w:id="115" w:name="page102"/>
      <w:bookmarkEnd w:id="115"/>
      <w:bookmarkStart w:id="116" w:name="page96"/>
      <w:bookmarkEnd w:id="116"/>
      <w:bookmarkStart w:id="117" w:name="page98"/>
      <w:bookmarkEnd w:id="117"/>
      <w:bookmarkStart w:id="118" w:name="page99"/>
      <w:bookmarkEnd w:id="118"/>
      <w:r>
        <w:rPr>
          <w:rFonts w:hint="eastAsia" w:ascii="宋体" w:hAnsi="宋体" w:cs="宋体"/>
          <w:b/>
          <w:bCs/>
          <w:color w:val="auto"/>
          <w:sz w:val="21"/>
          <w:szCs w:val="21"/>
          <w:highlight w:val="none"/>
        </w:rPr>
        <w:t>注：图纸及工程量清单另附</w:t>
      </w:r>
    </w:p>
    <w:p>
      <w:pPr>
        <w:rPr>
          <w:color w:val="auto"/>
          <w:highlight w:val="none"/>
        </w:rPr>
      </w:pPr>
    </w:p>
    <w:p>
      <w:pPr>
        <w:spacing w:line="360" w:lineRule="auto"/>
        <w:ind w:firstLine="440" w:firstLineChars="200"/>
        <w:rPr>
          <w:rFonts w:ascii="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rPr>
          <w:rFonts w:ascii="宋体" w:cs="宋体"/>
          <w:color w:val="auto"/>
          <w:sz w:val="20"/>
          <w:szCs w:val="20"/>
          <w:highlight w:val="none"/>
        </w:rPr>
      </w:pPr>
      <w:bookmarkStart w:id="119" w:name="_Toc9896_WPSOffice_Level1"/>
      <w:bookmarkStart w:id="120" w:name="_Toc23564_WPSOffice_Level1"/>
      <w:bookmarkStart w:id="121" w:name="_Toc30910_WPSOffice_Level1"/>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合同条款</w:t>
      </w:r>
      <w:bookmarkEnd w:id="119"/>
      <w:bookmarkEnd w:id="120"/>
      <w:bookmarkEnd w:id="121"/>
    </w:p>
    <w:p>
      <w:pPr>
        <w:pStyle w:val="3"/>
        <w:ind w:left="0" w:leftChars="0" w:right="0" w:rightChars="0" w:firstLine="0" w:firstLineChars="0"/>
        <w:jc w:val="center"/>
        <w:rPr>
          <w:rFonts w:cs="宋体"/>
          <w:color w:val="auto"/>
          <w:sz w:val="32"/>
          <w:szCs w:val="32"/>
          <w:highlight w:val="none"/>
          <w:lang w:eastAsia="zh-CN"/>
        </w:rPr>
      </w:pPr>
      <w:bookmarkStart w:id="122" w:name="_Toc5281"/>
      <w:bookmarkStart w:id="123" w:name="_Toc5198_WPSOffice_Level2"/>
      <w:bookmarkStart w:id="124" w:name="_Toc359576784"/>
      <w:bookmarkStart w:id="125" w:name="_Toc359576785"/>
      <w:bookmarkStart w:id="126" w:name="_Toc534620501"/>
      <w:r>
        <w:rPr>
          <w:rFonts w:hint="eastAsia" w:cs="宋体"/>
          <w:color w:val="auto"/>
          <w:sz w:val="32"/>
          <w:szCs w:val="32"/>
          <w:highlight w:val="none"/>
        </w:rPr>
        <w:t>浙江农林大学</w:t>
      </w:r>
      <w:r>
        <w:rPr>
          <w:rFonts w:hint="eastAsia" w:cs="宋体"/>
          <w:color w:val="auto"/>
          <w:sz w:val="32"/>
          <w:szCs w:val="32"/>
          <w:highlight w:val="none"/>
          <w:lang w:eastAsia="zh-CN"/>
        </w:rPr>
        <w:t xml:space="preserve">                    项目政府采购</w:t>
      </w:r>
      <w:r>
        <w:rPr>
          <w:rFonts w:hint="eastAsia" w:cs="宋体"/>
          <w:color w:val="auto"/>
          <w:sz w:val="32"/>
          <w:szCs w:val="32"/>
          <w:highlight w:val="none"/>
        </w:rPr>
        <w:t>合同</w:t>
      </w:r>
      <w:bookmarkEnd w:id="122"/>
      <w:bookmarkEnd w:id="123"/>
    </w:p>
    <w:p>
      <w:pPr>
        <w:ind w:firstLine="458"/>
        <w:rPr>
          <w:rFonts w:ascii="宋体" w:hAnsi="宋体" w:cs="宋体"/>
          <w:color w:val="auto"/>
          <w:sz w:val="21"/>
          <w:szCs w:val="21"/>
          <w:highlight w:val="none"/>
        </w:rPr>
      </w:pPr>
      <w:r>
        <w:rPr>
          <w:rFonts w:hint="eastAsia" w:ascii="宋体" w:hAnsi="宋体" w:cs="宋体"/>
          <w:color w:val="auto"/>
          <w:sz w:val="21"/>
          <w:szCs w:val="21"/>
          <w:highlight w:val="none"/>
        </w:rPr>
        <w:t xml:space="preserve">项目编号：                           合同编号:  </w:t>
      </w:r>
    </w:p>
    <w:p>
      <w:pPr>
        <w:ind w:firstLine="458"/>
        <w:rPr>
          <w:rFonts w:ascii="宋体" w:hAnsi="宋体" w:cs="宋体"/>
          <w:color w:val="auto"/>
          <w:sz w:val="21"/>
          <w:szCs w:val="21"/>
          <w:highlight w:val="none"/>
        </w:rPr>
      </w:pPr>
      <w:r>
        <w:rPr>
          <w:rFonts w:hint="eastAsia" w:ascii="宋体" w:hAnsi="宋体" w:cs="宋体"/>
          <w:color w:val="auto"/>
          <w:sz w:val="21"/>
          <w:szCs w:val="21"/>
          <w:highlight w:val="none"/>
        </w:rPr>
        <w:t xml:space="preserve">确认书编号： </w:t>
      </w:r>
    </w:p>
    <w:p>
      <w:pPr>
        <w:ind w:firstLine="458"/>
        <w:rPr>
          <w:rFonts w:ascii="宋体" w:hAnsi="宋体" w:cs="宋体"/>
          <w:color w:val="auto"/>
          <w:sz w:val="21"/>
          <w:szCs w:val="21"/>
          <w:highlight w:val="none"/>
        </w:rPr>
      </w:pPr>
      <w:r>
        <w:rPr>
          <w:rFonts w:hint="eastAsia" w:ascii="宋体" w:hAnsi="宋体" w:cs="宋体"/>
          <w:color w:val="auto"/>
          <w:sz w:val="21"/>
          <w:szCs w:val="21"/>
          <w:highlight w:val="none"/>
        </w:rPr>
        <w:t>甲方（采购人）：浙江农林大学</w:t>
      </w:r>
    </w:p>
    <w:p>
      <w:pPr>
        <w:ind w:firstLine="458"/>
        <w:rPr>
          <w:rFonts w:ascii="宋体" w:hAnsi="宋体" w:cs="宋体"/>
          <w:color w:val="auto"/>
          <w:sz w:val="21"/>
          <w:szCs w:val="21"/>
          <w:highlight w:val="none"/>
        </w:rPr>
      </w:pPr>
      <w:r>
        <w:rPr>
          <w:rFonts w:hint="eastAsia" w:ascii="宋体" w:hAnsi="宋体" w:cs="宋体"/>
          <w:color w:val="auto"/>
          <w:sz w:val="21"/>
          <w:szCs w:val="21"/>
          <w:highlight w:val="none"/>
        </w:rPr>
        <w:t xml:space="preserve">乙方（中标人）：  </w:t>
      </w:r>
    </w:p>
    <w:p>
      <w:pPr>
        <w:ind w:firstLine="458"/>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鉴证方（采购代理机构）：  </w:t>
      </w:r>
    </w:p>
    <w:p>
      <w:pPr>
        <w:spacing w:line="42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    签约时间、地点： 年   月    日，浙江农林大学</w:t>
      </w:r>
    </w:p>
    <w:p>
      <w:pPr>
        <w:ind w:firstLine="458"/>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浙江 </w:t>
      </w:r>
      <w:r>
        <w:rPr>
          <w:rFonts w:hint="eastAsia" w:ascii="宋体" w:hAnsi="宋体" w:cs="宋体"/>
          <w:color w:val="auto"/>
          <w:kern w:val="0"/>
          <w:sz w:val="21"/>
          <w:szCs w:val="21"/>
          <w:highlight w:val="none"/>
          <w:u w:val="single"/>
        </w:rPr>
        <w:t xml:space="preserve">             </w:t>
      </w:r>
      <w:r>
        <w:rPr>
          <w:rFonts w:hint="eastAsia" w:ascii="宋体" w:hAnsi="宋体" w:cs="宋体"/>
          <w:color w:val="auto"/>
          <w:sz w:val="21"/>
          <w:szCs w:val="21"/>
          <w:highlight w:val="none"/>
        </w:rPr>
        <w:t>受浙江农林大学委托公开招标</w:t>
      </w:r>
      <w:r>
        <w:rPr>
          <w:rFonts w:hint="eastAsia" w:ascii="宋体" w:hAnsi="宋体" w:cs="宋体"/>
          <w:color w:val="auto"/>
          <w:kern w:val="0"/>
          <w:sz w:val="21"/>
          <w:szCs w:val="21"/>
          <w:highlight w:val="none"/>
          <w:u w:val="single"/>
        </w:rPr>
        <w:t xml:space="preserve">             </w:t>
      </w:r>
      <w:r>
        <w:rPr>
          <w:rFonts w:hint="eastAsia" w:ascii="宋体" w:hAnsi="宋体" w:cs="宋体"/>
          <w:color w:val="auto"/>
          <w:sz w:val="21"/>
          <w:szCs w:val="21"/>
          <w:highlight w:val="none"/>
        </w:rPr>
        <w:t>，经过招标，确定为</w:t>
      </w:r>
      <w:r>
        <w:rPr>
          <w:rFonts w:hint="eastAsia" w:ascii="宋体" w:hAnsi="宋体" w:cs="宋体"/>
          <w:color w:val="auto"/>
          <w:kern w:val="0"/>
          <w:sz w:val="21"/>
          <w:szCs w:val="21"/>
          <w:highlight w:val="none"/>
          <w:u w:val="single"/>
        </w:rPr>
        <w:t xml:space="preserve">                             </w:t>
      </w:r>
      <w:r>
        <w:rPr>
          <w:rFonts w:hint="eastAsia" w:ascii="宋体" w:hAnsi="宋体" w:cs="宋体"/>
          <w:color w:val="auto"/>
          <w:sz w:val="21"/>
          <w:szCs w:val="21"/>
          <w:highlight w:val="none"/>
        </w:rPr>
        <w:t>供货单位。经协商双方就本采购事项达成以下条款：</w:t>
      </w:r>
    </w:p>
    <w:p>
      <w:pPr>
        <w:spacing w:line="440" w:lineRule="exact"/>
        <w:jc w:val="center"/>
        <w:rPr>
          <w:rFonts w:ascii="宋体" w:cs="宋体"/>
          <w:color w:val="auto"/>
          <w:sz w:val="21"/>
          <w:szCs w:val="21"/>
          <w:highlight w:val="none"/>
        </w:rPr>
      </w:pPr>
      <w:bookmarkStart w:id="127" w:name="_Toc11422_WPSOffice_Level2"/>
      <w:r>
        <w:rPr>
          <w:rFonts w:hint="eastAsia" w:ascii="宋体" w:hAnsi="宋体"/>
          <w:color w:val="auto"/>
          <w:sz w:val="21"/>
          <w:szCs w:val="21"/>
          <w:highlight w:val="none"/>
        </w:rPr>
        <w:t>第一节</w:t>
      </w:r>
      <w:r>
        <w:rPr>
          <w:rFonts w:hint="eastAsia" w:ascii="宋体" w:hAnsi="宋体" w:cs="宋体"/>
          <w:color w:val="auto"/>
          <w:sz w:val="21"/>
          <w:szCs w:val="21"/>
          <w:highlight w:val="none"/>
        </w:rPr>
        <w:t>合同协议书</w:t>
      </w:r>
      <w:bookmarkEnd w:id="127"/>
    </w:p>
    <w:p>
      <w:pPr>
        <w:tabs>
          <w:tab w:val="left" w:pos="1134"/>
        </w:tabs>
        <w:spacing w:line="360" w:lineRule="auto"/>
        <w:ind w:firstLine="420"/>
        <w:rPr>
          <w:rFonts w:ascii="宋体" w:cs="宋体"/>
          <w:color w:val="auto"/>
          <w:kern w:val="0"/>
          <w:sz w:val="21"/>
          <w:szCs w:val="21"/>
          <w:highlight w:val="none"/>
        </w:rPr>
      </w:pPr>
      <w:r>
        <w:rPr>
          <w:rFonts w:hint="eastAsia" w:ascii="宋体" w:hAnsi="宋体" w:cs="宋体"/>
          <w:color w:val="auto"/>
          <w:kern w:val="0"/>
          <w:sz w:val="21"/>
          <w:szCs w:val="21"/>
          <w:highlight w:val="none"/>
          <w:u w:val="single"/>
        </w:rPr>
        <w:t>浙江农林大学</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以下简称“发包人”</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为实施</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，已接受</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rPr>
        <w:t xml:space="preserve"> </w:t>
      </w:r>
      <w:r>
        <w:rPr>
          <w:rFonts w:ascii="宋体" w:hAnsi="宋体" w:cs="宋体"/>
          <w:color w:val="auto"/>
          <w:kern w:val="0"/>
          <w:sz w:val="21"/>
          <w:szCs w:val="21"/>
          <w:highlight w:val="none"/>
          <w:u w:val="single"/>
        </w:rPr>
        <w:t xml:space="preserve">   </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以下简称“承包人”</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对该项目施工的投标。发包人和承包人共同达成如下协议。</w:t>
      </w:r>
    </w:p>
    <w:p>
      <w:pPr>
        <w:spacing w:line="360" w:lineRule="auto"/>
        <w:ind w:left="426"/>
        <w:rPr>
          <w:rFonts w:hint="eastAsia" w:ascii="宋体" w:hAnsi="宋体" w:cs="宋体"/>
          <w:color w:val="auto"/>
          <w:kern w:val="0"/>
          <w:sz w:val="21"/>
          <w:szCs w:val="21"/>
          <w:highlight w:val="none"/>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rPr>
        <w:t>工程概况：</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1.1工程名称： </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1.2资金来源： </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1.3工程地点： </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1.4承包范围： </w:t>
      </w:r>
    </w:p>
    <w:p>
      <w:pPr>
        <w:spacing w:line="360" w:lineRule="auto"/>
        <w:ind w:left="426"/>
        <w:rPr>
          <w:rFonts w:ascii="宋体" w:cs="宋体"/>
          <w:color w:val="auto"/>
          <w:kern w:val="0"/>
          <w:sz w:val="21"/>
          <w:szCs w:val="21"/>
          <w:highlight w:val="none"/>
        </w:rPr>
      </w:pPr>
      <w:r>
        <w:rPr>
          <w:rFonts w:hint="eastAsia" w:ascii="宋体" w:hAnsi="宋体" w:cs="宋体"/>
          <w:color w:val="auto"/>
          <w:kern w:val="0"/>
          <w:sz w:val="21"/>
          <w:szCs w:val="21"/>
          <w:highlight w:val="none"/>
        </w:rPr>
        <w:t xml:space="preserve">1.5承包方式： </w:t>
      </w:r>
    </w:p>
    <w:p>
      <w:pPr>
        <w:spacing w:line="360" w:lineRule="auto"/>
        <w:ind w:left="426"/>
        <w:rPr>
          <w:rFonts w:ascii="宋体" w:cs="宋体"/>
          <w:color w:val="auto"/>
          <w:kern w:val="0"/>
          <w:sz w:val="21"/>
          <w:szCs w:val="21"/>
          <w:highlight w:val="none"/>
        </w:rPr>
      </w:pPr>
      <w:r>
        <w:rPr>
          <w:rFonts w:hint="eastAsia" w:ascii="宋体" w:hAnsi="宋体" w:cs="宋体"/>
          <w:color w:val="auto"/>
          <w:kern w:val="0"/>
          <w:sz w:val="21"/>
          <w:szCs w:val="21"/>
          <w:highlight w:val="none"/>
        </w:rPr>
        <w:t>2</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签约合同价：人民币</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大写</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元</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pPr>
        <w:spacing w:line="360" w:lineRule="auto"/>
        <w:ind w:left="426"/>
        <w:rPr>
          <w:rFonts w:ascii="宋体" w:cs="宋体"/>
          <w:color w:val="auto"/>
          <w:kern w:val="0"/>
          <w:sz w:val="21"/>
          <w:szCs w:val="21"/>
          <w:highlight w:val="none"/>
        </w:rPr>
      </w:pPr>
      <w:r>
        <w:rPr>
          <w:rFonts w:hint="eastAsia" w:ascii="宋体" w:hAnsi="宋体" w:cs="宋体"/>
          <w:color w:val="auto"/>
          <w:kern w:val="0"/>
          <w:sz w:val="21"/>
          <w:szCs w:val="21"/>
          <w:highlight w:val="none"/>
        </w:rPr>
        <w:t>3</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 xml:space="preserve">承包人项目负责人： </w:t>
      </w:r>
    </w:p>
    <w:p>
      <w:pPr>
        <w:spacing w:line="360" w:lineRule="auto"/>
        <w:ind w:left="426"/>
        <w:rPr>
          <w:rFonts w:ascii="宋体" w:cs="宋体"/>
          <w:color w:val="auto"/>
          <w:kern w:val="0"/>
          <w:sz w:val="21"/>
          <w:szCs w:val="21"/>
          <w:highlight w:val="none"/>
        </w:rPr>
      </w:pPr>
      <w:r>
        <w:rPr>
          <w:rFonts w:hint="eastAsia" w:ascii="宋体" w:hAnsi="宋体" w:cs="宋体"/>
          <w:color w:val="auto"/>
          <w:kern w:val="0"/>
          <w:sz w:val="21"/>
          <w:szCs w:val="21"/>
          <w:highlight w:val="none"/>
        </w:rPr>
        <w:t>4</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工程质量符合</w:t>
      </w:r>
      <w:r>
        <w:rPr>
          <w:rFonts w:hint="eastAsia" w:ascii="宋体" w:hAnsi="宋体" w:cs="宋体"/>
          <w:color w:val="auto"/>
          <w:kern w:val="0"/>
          <w:sz w:val="21"/>
          <w:szCs w:val="21"/>
          <w:highlight w:val="none"/>
          <w:u w:val="single"/>
        </w:rPr>
        <w:t>合格</w:t>
      </w:r>
      <w:r>
        <w:rPr>
          <w:rFonts w:hint="eastAsia" w:ascii="宋体" w:hAnsi="宋体" w:cs="宋体"/>
          <w:color w:val="auto"/>
          <w:kern w:val="0"/>
          <w:sz w:val="21"/>
          <w:szCs w:val="21"/>
          <w:highlight w:val="none"/>
        </w:rPr>
        <w:t>标准。</w:t>
      </w:r>
    </w:p>
    <w:p>
      <w:pPr>
        <w:spacing w:line="360" w:lineRule="auto"/>
        <w:ind w:left="426"/>
        <w:rPr>
          <w:rFonts w:ascii="宋体" w:cs="宋体"/>
          <w:color w:val="auto"/>
          <w:kern w:val="0"/>
          <w:sz w:val="21"/>
          <w:szCs w:val="21"/>
          <w:highlight w:val="none"/>
        </w:rPr>
      </w:pPr>
      <w:r>
        <w:rPr>
          <w:rFonts w:hint="eastAsia" w:ascii="宋体" w:hAnsi="宋体" w:cs="宋体"/>
          <w:color w:val="auto"/>
          <w:kern w:val="0"/>
          <w:sz w:val="21"/>
          <w:szCs w:val="21"/>
          <w:highlight w:val="none"/>
        </w:rPr>
        <w:t>5</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承包人承诺按合同约定承担工程的实施、完成及缺陷修复。</w:t>
      </w:r>
    </w:p>
    <w:p>
      <w:pPr>
        <w:spacing w:line="360" w:lineRule="auto"/>
        <w:ind w:left="426"/>
        <w:rPr>
          <w:rFonts w:ascii="宋体" w:cs="宋体"/>
          <w:color w:val="auto"/>
          <w:kern w:val="0"/>
          <w:sz w:val="21"/>
          <w:szCs w:val="21"/>
          <w:highlight w:val="none"/>
        </w:rPr>
      </w:pPr>
      <w:r>
        <w:rPr>
          <w:rFonts w:hint="eastAsia" w:ascii="宋体" w:hAnsi="宋体" w:cs="宋体"/>
          <w:color w:val="auto"/>
          <w:kern w:val="0"/>
          <w:sz w:val="21"/>
          <w:szCs w:val="21"/>
          <w:highlight w:val="none"/>
        </w:rPr>
        <w:t>6</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发包人承诺按合同约定的条件、时间和方式向承包人支付合同价款。</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承包人应按照监理人指示开工，工期为</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日历天。</w:t>
      </w:r>
    </w:p>
    <w:p>
      <w:pPr>
        <w:spacing w:line="360" w:lineRule="auto"/>
        <w:ind w:left="426"/>
        <w:rPr>
          <w:rFonts w:hint="eastAsia" w:ascii="宋体" w:cs="宋体"/>
          <w:color w:val="auto"/>
          <w:kern w:val="0"/>
          <w:sz w:val="21"/>
          <w:szCs w:val="21"/>
          <w:highlight w:val="none"/>
        </w:rPr>
      </w:pPr>
      <w:r>
        <w:rPr>
          <w:rFonts w:hint="eastAsia" w:ascii="宋体" w:hAnsi="宋体" w:cs="宋体"/>
          <w:color w:val="auto"/>
          <w:kern w:val="0"/>
          <w:sz w:val="21"/>
          <w:szCs w:val="21"/>
          <w:highlight w:val="none"/>
        </w:rPr>
        <w:t>8.</w:t>
      </w:r>
      <w:r>
        <w:rPr>
          <w:rFonts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t>本协议书与下列文件一起构成合同文件</w:t>
      </w:r>
    </w:p>
    <w:p>
      <w:pPr>
        <w:spacing w:line="360" w:lineRule="auto"/>
        <w:ind w:left="426"/>
        <w:rPr>
          <w:rFonts w:hint="eastAsia" w:ascii="宋体" w:cs="宋体"/>
          <w:color w:val="auto"/>
          <w:kern w:val="0"/>
          <w:sz w:val="21"/>
          <w:szCs w:val="21"/>
          <w:highlight w:val="none"/>
        </w:rPr>
      </w:pPr>
      <w:r>
        <w:rPr>
          <w:rFonts w:hint="eastAsia" w:ascii="宋体" w:hAnsi="宋体" w:cs="宋体"/>
          <w:color w:val="auto"/>
          <w:kern w:val="0"/>
          <w:sz w:val="21"/>
          <w:szCs w:val="21"/>
          <w:highlight w:val="none"/>
        </w:rPr>
        <w:t>8.1中标通知书；</w:t>
      </w:r>
    </w:p>
    <w:p>
      <w:pPr>
        <w:tabs>
          <w:tab w:val="left" w:pos="1134"/>
        </w:tabs>
        <w:ind w:left="720"/>
        <w:rPr>
          <w:rFonts w:ascii="宋体" w:cs="宋体"/>
          <w:color w:val="auto"/>
          <w:kern w:val="0"/>
          <w:sz w:val="21"/>
          <w:szCs w:val="21"/>
          <w:highlight w:val="none"/>
        </w:rPr>
      </w:pPr>
      <w:r>
        <w:rPr>
          <w:rFonts w:hint="eastAsia" w:ascii="宋体" w:hAnsi="宋体" w:cs="宋体"/>
          <w:color w:val="auto"/>
          <w:kern w:val="0"/>
          <w:sz w:val="21"/>
          <w:szCs w:val="21"/>
          <w:highlight w:val="none"/>
        </w:rPr>
        <w:t>8.2采购文件及其补充文件；</w:t>
      </w:r>
    </w:p>
    <w:p>
      <w:pPr>
        <w:tabs>
          <w:tab w:val="left" w:pos="1134"/>
        </w:tabs>
        <w:rPr>
          <w:rFonts w:hint="eastAsia" w:ascii="宋体" w:cs="宋体"/>
          <w:color w:val="auto"/>
          <w:kern w:val="0"/>
          <w:sz w:val="21"/>
          <w:szCs w:val="21"/>
          <w:highlight w:val="none"/>
        </w:rPr>
      </w:pPr>
      <w:r>
        <w:rPr>
          <w:rFonts w:hint="eastAsia" w:ascii="宋体" w:hAnsi="宋体" w:cs="宋体"/>
          <w:color w:val="auto"/>
          <w:kern w:val="0"/>
          <w:sz w:val="21"/>
          <w:szCs w:val="21"/>
          <w:highlight w:val="none"/>
        </w:rPr>
        <w:t xml:space="preserve">       8.3投标函及投标函附录；</w:t>
      </w:r>
    </w:p>
    <w:p>
      <w:pPr>
        <w:tabs>
          <w:tab w:val="left" w:pos="1134"/>
        </w:tabs>
        <w:rPr>
          <w:rFonts w:ascii="宋体" w:cs="宋体"/>
          <w:color w:val="auto"/>
          <w:kern w:val="0"/>
          <w:sz w:val="21"/>
          <w:szCs w:val="21"/>
          <w:highlight w:val="none"/>
        </w:rPr>
      </w:pPr>
      <w:r>
        <w:rPr>
          <w:rFonts w:hint="eastAsia" w:ascii="宋体" w:cs="宋体"/>
          <w:color w:val="auto"/>
          <w:kern w:val="0"/>
          <w:sz w:val="21"/>
          <w:szCs w:val="21"/>
          <w:highlight w:val="none"/>
        </w:rPr>
        <w:t xml:space="preserve">       8.</w:t>
      </w:r>
      <w:r>
        <w:rPr>
          <w:rFonts w:hint="eastAsia" w:ascii="宋体" w:hAnsi="宋体" w:cs="宋体"/>
          <w:color w:val="auto"/>
          <w:kern w:val="0"/>
          <w:sz w:val="21"/>
          <w:szCs w:val="21"/>
          <w:highlight w:val="none"/>
        </w:rPr>
        <w:t>4专用合同条款；</w:t>
      </w:r>
    </w:p>
    <w:p>
      <w:pPr>
        <w:tabs>
          <w:tab w:val="left" w:pos="1134"/>
        </w:tabs>
        <w:rPr>
          <w:rFonts w:ascii="宋体" w:cs="宋体"/>
          <w:color w:val="auto"/>
          <w:kern w:val="0"/>
          <w:sz w:val="21"/>
          <w:szCs w:val="21"/>
          <w:highlight w:val="none"/>
        </w:rPr>
      </w:pPr>
      <w:r>
        <w:rPr>
          <w:rFonts w:hint="eastAsia" w:ascii="宋体" w:hAnsi="宋体" w:cs="宋体"/>
          <w:color w:val="auto"/>
          <w:kern w:val="0"/>
          <w:sz w:val="21"/>
          <w:szCs w:val="21"/>
          <w:highlight w:val="none"/>
        </w:rPr>
        <w:t xml:space="preserve">       8.5通用合同条款；</w:t>
      </w:r>
    </w:p>
    <w:p>
      <w:pPr>
        <w:tabs>
          <w:tab w:val="left" w:pos="1134"/>
        </w:tabs>
        <w:rPr>
          <w:rFonts w:hint="eastAsia" w:ascii="宋体" w:cs="宋体"/>
          <w:color w:val="auto"/>
          <w:kern w:val="0"/>
          <w:sz w:val="21"/>
          <w:szCs w:val="21"/>
          <w:highlight w:val="none"/>
        </w:rPr>
      </w:pPr>
      <w:r>
        <w:rPr>
          <w:rFonts w:hint="eastAsia" w:ascii="宋体" w:hAnsi="宋体" w:cs="宋体"/>
          <w:color w:val="auto"/>
          <w:kern w:val="0"/>
          <w:sz w:val="21"/>
          <w:szCs w:val="21"/>
          <w:highlight w:val="none"/>
        </w:rPr>
        <w:t xml:space="preserve">       8.6标准、规范及有关技术文件；</w:t>
      </w:r>
    </w:p>
    <w:p>
      <w:pPr>
        <w:tabs>
          <w:tab w:val="left" w:pos="1134"/>
        </w:tabs>
        <w:rPr>
          <w:rFonts w:hint="eastAsia" w:ascii="宋体" w:cs="宋体"/>
          <w:color w:val="auto"/>
          <w:kern w:val="0"/>
          <w:sz w:val="21"/>
          <w:szCs w:val="21"/>
          <w:highlight w:val="none"/>
        </w:rPr>
      </w:pPr>
      <w:r>
        <w:rPr>
          <w:rFonts w:hint="eastAsia" w:ascii="宋体" w:cs="宋体"/>
          <w:color w:val="auto"/>
          <w:kern w:val="0"/>
          <w:sz w:val="21"/>
          <w:szCs w:val="21"/>
          <w:highlight w:val="none"/>
        </w:rPr>
        <w:t xml:space="preserve">       </w:t>
      </w:r>
      <w:r>
        <w:rPr>
          <w:rFonts w:hint="eastAsia" w:ascii="宋体" w:hAnsi="宋体" w:cs="宋体"/>
          <w:color w:val="auto"/>
          <w:kern w:val="0"/>
          <w:sz w:val="21"/>
          <w:szCs w:val="21"/>
          <w:highlight w:val="none"/>
        </w:rPr>
        <w:t>8.7变更文件；</w:t>
      </w:r>
    </w:p>
    <w:p>
      <w:pPr>
        <w:tabs>
          <w:tab w:val="left" w:pos="1134"/>
        </w:tabs>
        <w:rPr>
          <w:rFonts w:hint="eastAsia" w:ascii="宋体" w:cs="宋体"/>
          <w:color w:val="auto"/>
          <w:kern w:val="0"/>
          <w:sz w:val="21"/>
          <w:szCs w:val="21"/>
          <w:highlight w:val="none"/>
        </w:rPr>
      </w:pPr>
      <w:r>
        <w:rPr>
          <w:rFonts w:hint="eastAsia" w:ascii="宋体" w:cs="宋体"/>
          <w:color w:val="auto"/>
          <w:kern w:val="0"/>
          <w:sz w:val="21"/>
          <w:szCs w:val="21"/>
          <w:highlight w:val="none"/>
        </w:rPr>
        <w:t xml:space="preserve">       </w:t>
      </w:r>
      <w:r>
        <w:rPr>
          <w:rFonts w:hint="eastAsia" w:ascii="宋体" w:hAnsi="宋体" w:cs="宋体"/>
          <w:color w:val="auto"/>
          <w:kern w:val="0"/>
          <w:sz w:val="21"/>
          <w:szCs w:val="21"/>
          <w:highlight w:val="none"/>
        </w:rPr>
        <w:t>8.8已标价工程量清单；</w:t>
      </w:r>
      <w:r>
        <w:rPr>
          <w:rFonts w:hint="eastAsia" w:ascii="宋体" w:cs="宋体"/>
          <w:color w:val="auto"/>
          <w:kern w:val="0"/>
          <w:sz w:val="21"/>
          <w:szCs w:val="21"/>
          <w:highlight w:val="none"/>
        </w:rPr>
        <w:t xml:space="preserve"> </w:t>
      </w:r>
    </w:p>
    <w:p>
      <w:pPr>
        <w:tabs>
          <w:tab w:val="left" w:pos="1134"/>
        </w:tabs>
        <w:rPr>
          <w:rFonts w:ascii="宋体" w:cs="宋体"/>
          <w:color w:val="auto"/>
          <w:kern w:val="0"/>
          <w:sz w:val="21"/>
          <w:szCs w:val="21"/>
          <w:highlight w:val="none"/>
        </w:rPr>
      </w:pPr>
      <w:r>
        <w:rPr>
          <w:rFonts w:hint="eastAsia" w:ascii="宋体" w:cs="宋体"/>
          <w:color w:val="auto"/>
          <w:kern w:val="0"/>
          <w:sz w:val="21"/>
          <w:szCs w:val="21"/>
          <w:highlight w:val="none"/>
        </w:rPr>
        <w:t xml:space="preserve">       </w:t>
      </w:r>
      <w:r>
        <w:rPr>
          <w:rFonts w:hint="eastAsia" w:ascii="宋体" w:hAnsi="宋体" w:cs="宋体"/>
          <w:color w:val="auto"/>
          <w:kern w:val="0"/>
          <w:sz w:val="21"/>
          <w:szCs w:val="21"/>
          <w:highlight w:val="none"/>
        </w:rPr>
        <w:t>8.9响应文件；</w:t>
      </w:r>
    </w:p>
    <w:p>
      <w:pPr>
        <w:tabs>
          <w:tab w:val="left" w:pos="1134"/>
        </w:tabs>
        <w:rPr>
          <w:rFonts w:ascii="宋体" w:cs="宋体"/>
          <w:color w:val="auto"/>
          <w:kern w:val="0"/>
          <w:sz w:val="21"/>
          <w:szCs w:val="21"/>
          <w:highlight w:val="none"/>
        </w:rPr>
      </w:pPr>
      <w:r>
        <w:rPr>
          <w:rFonts w:hint="eastAsia" w:ascii="宋体" w:hAnsi="宋体" w:cs="宋体"/>
          <w:color w:val="auto"/>
          <w:kern w:val="0"/>
          <w:sz w:val="21"/>
          <w:szCs w:val="21"/>
          <w:highlight w:val="none"/>
        </w:rPr>
        <w:t xml:space="preserve">       8.10其他合同文件。</w:t>
      </w:r>
    </w:p>
    <w:p>
      <w:pPr>
        <w:spacing w:line="360" w:lineRule="auto"/>
        <w:ind w:left="426"/>
        <w:rPr>
          <w:rFonts w:ascii="宋体" w:cs="宋体"/>
          <w:color w:val="auto"/>
          <w:kern w:val="0"/>
          <w:sz w:val="21"/>
          <w:szCs w:val="21"/>
          <w:highlight w:val="none"/>
        </w:rPr>
      </w:pPr>
      <w:r>
        <w:rPr>
          <w:rFonts w:hint="eastAsia" w:ascii="宋体" w:hAnsi="宋体" w:cs="宋体"/>
          <w:color w:val="auto"/>
          <w:kern w:val="0"/>
          <w:sz w:val="21"/>
          <w:szCs w:val="21"/>
          <w:highlight w:val="none"/>
        </w:rPr>
        <w:t>9</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 xml:space="preserve"> 上述文件互相补充和解释，如有不明确或不一致之处，以合同约定次序在先者为准。</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kern w:val="0"/>
          <w:sz w:val="21"/>
          <w:szCs w:val="21"/>
          <w:highlight w:val="none"/>
        </w:rPr>
        <w:t>10本协议书一</w:t>
      </w:r>
      <w:r>
        <w:rPr>
          <w:rFonts w:hint="eastAsia" w:ascii="宋体" w:hAnsi="宋体" w:cs="宋体"/>
          <w:color w:val="auto"/>
          <w:sz w:val="21"/>
          <w:szCs w:val="21"/>
          <w:highlight w:val="none"/>
          <w:u w:val="single"/>
        </w:rPr>
        <w:t>一式玖份，甲方柒份，乙方壹份，招标代理机构壹份。</w:t>
      </w:r>
    </w:p>
    <w:p>
      <w:pPr>
        <w:spacing w:line="360" w:lineRule="auto"/>
        <w:ind w:left="426"/>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w:t>
      </w:r>
      <w:r>
        <w:rPr>
          <w:rFonts w:ascii="宋体" w:hAnsi="宋体" w:cs="宋体"/>
          <w:color w:val="auto"/>
          <w:kern w:val="0"/>
          <w:sz w:val="21"/>
          <w:szCs w:val="21"/>
          <w:highlight w:val="none"/>
        </w:rPr>
        <w:t>.</w:t>
      </w:r>
      <w:r>
        <w:rPr>
          <w:rFonts w:hint="eastAsia" w:ascii="宋体" w:hAnsi="宋体" w:cs="宋体"/>
          <w:color w:val="auto"/>
          <w:kern w:val="0"/>
          <w:sz w:val="21"/>
          <w:szCs w:val="21"/>
          <w:highlight w:val="none"/>
        </w:rPr>
        <w:t>合同未尽事宜，双方另行签订补充协议。补充协议是合同的组成部分。</w:t>
      </w:r>
    </w:p>
    <w:p>
      <w:pPr>
        <w:spacing w:line="360" w:lineRule="auto"/>
        <w:ind w:left="426"/>
        <w:rPr>
          <w:rFonts w:hint="eastAsia" w:ascii="宋体" w:hAnsi="宋体" w:cs="宋体"/>
          <w:color w:val="auto"/>
          <w:kern w:val="0"/>
          <w:sz w:val="21"/>
          <w:szCs w:val="21"/>
          <w:highlight w:val="none"/>
        </w:rPr>
      </w:pPr>
    </w:p>
    <w:p>
      <w:pPr>
        <w:spacing w:line="360" w:lineRule="auto"/>
        <w:ind w:left="426"/>
        <w:rPr>
          <w:rFonts w:hint="eastAsia" w:ascii="宋体" w:hAnsi="宋体" w:cs="宋体"/>
          <w:color w:val="auto"/>
          <w:kern w:val="0"/>
          <w:sz w:val="21"/>
          <w:szCs w:val="21"/>
          <w:highlight w:val="none"/>
        </w:rPr>
      </w:pPr>
    </w:p>
    <w:p>
      <w:pPr>
        <w:spacing w:line="360" w:lineRule="auto"/>
        <w:ind w:left="426"/>
        <w:rPr>
          <w:rFonts w:ascii="宋体" w:cs="宋体"/>
          <w:color w:val="auto"/>
          <w:kern w:val="0"/>
          <w:sz w:val="21"/>
          <w:szCs w:val="21"/>
          <w:highlight w:val="none"/>
        </w:rPr>
      </w:pPr>
    </w:p>
    <w:tbl>
      <w:tblPr>
        <w:tblStyle w:val="19"/>
        <w:tblW w:w="9240" w:type="dxa"/>
        <w:tblInd w:w="288" w:type="dxa"/>
        <w:tblLayout w:type="fixed"/>
        <w:tblCellMar>
          <w:top w:w="0" w:type="dxa"/>
          <w:left w:w="108" w:type="dxa"/>
          <w:bottom w:w="0" w:type="dxa"/>
          <w:right w:w="108" w:type="dxa"/>
        </w:tblCellMar>
      </w:tblPr>
      <w:tblGrid>
        <w:gridCol w:w="4581"/>
        <w:gridCol w:w="4659"/>
      </w:tblGrid>
      <w:tr>
        <w:tblPrEx>
          <w:tblLayout w:type="fixed"/>
          <w:tblCellMar>
            <w:top w:w="0" w:type="dxa"/>
            <w:left w:w="108" w:type="dxa"/>
            <w:bottom w:w="0" w:type="dxa"/>
            <w:right w:w="108" w:type="dxa"/>
          </w:tblCellMar>
        </w:tblPrEx>
        <w:trPr>
          <w:trHeight w:val="513" w:hRule="atLeast"/>
        </w:trPr>
        <w:tc>
          <w:tcPr>
            <w:tcW w:w="4581" w:type="dxa"/>
            <w:noWrap w:val="0"/>
            <w:vAlign w:val="bottom"/>
          </w:tcPr>
          <w:p>
            <w:pPr>
              <w:pStyle w:val="49"/>
              <w:tabs>
                <w:tab w:val="left" w:pos="8100"/>
              </w:tabs>
              <w:ind w:left="0" w:right="77"/>
              <w:rPr>
                <w:rFonts w:ascii="宋体" w:cs="宋体"/>
                <w:color w:val="auto"/>
                <w:sz w:val="21"/>
                <w:szCs w:val="21"/>
                <w:highlight w:val="none"/>
              </w:rPr>
            </w:pPr>
            <w:r>
              <w:rPr>
                <w:rFonts w:hint="eastAsia" w:ascii="宋体" w:hAnsi="宋体" w:cs="宋体"/>
                <w:color w:val="auto"/>
                <w:sz w:val="21"/>
                <w:szCs w:val="21"/>
                <w:highlight w:val="none"/>
              </w:rPr>
              <w:t>发包人：</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盖章</w:t>
            </w:r>
            <w:r>
              <w:rPr>
                <w:rFonts w:ascii="宋体" w:hAnsi="宋体" w:cs="宋体"/>
                <w:color w:val="auto"/>
                <w:sz w:val="21"/>
                <w:szCs w:val="21"/>
                <w:highlight w:val="none"/>
                <w:u w:val="single"/>
              </w:rPr>
              <w:t>)</w:t>
            </w:r>
          </w:p>
        </w:tc>
        <w:tc>
          <w:tcPr>
            <w:tcW w:w="4659" w:type="dxa"/>
            <w:noWrap w:val="0"/>
            <w:vAlign w:val="bottom"/>
          </w:tcPr>
          <w:p>
            <w:pPr>
              <w:pStyle w:val="49"/>
              <w:tabs>
                <w:tab w:val="left" w:pos="8100"/>
              </w:tabs>
              <w:ind w:left="0" w:right="77"/>
              <w:rPr>
                <w:rFonts w:ascii="宋体" w:cs="宋体"/>
                <w:color w:val="auto"/>
                <w:sz w:val="21"/>
                <w:szCs w:val="21"/>
                <w:highlight w:val="none"/>
              </w:rPr>
            </w:pPr>
            <w:r>
              <w:rPr>
                <w:rFonts w:hint="eastAsia" w:ascii="宋体" w:hAnsi="宋体" w:cs="宋体"/>
                <w:color w:val="auto"/>
                <w:sz w:val="21"/>
                <w:szCs w:val="21"/>
                <w:highlight w:val="none"/>
              </w:rPr>
              <w:t>承包人：</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盖章</w:t>
            </w:r>
            <w:r>
              <w:rPr>
                <w:rFonts w:ascii="宋体" w:hAnsi="宋体" w:cs="宋体"/>
                <w:color w:val="auto"/>
                <w:sz w:val="21"/>
                <w:szCs w:val="21"/>
                <w:highlight w:val="none"/>
                <w:u w:val="single"/>
              </w:rPr>
              <w:t>)</w:t>
            </w:r>
          </w:p>
        </w:tc>
      </w:tr>
      <w:tr>
        <w:tblPrEx>
          <w:tblLayout w:type="fixed"/>
          <w:tblCellMar>
            <w:top w:w="0" w:type="dxa"/>
            <w:left w:w="108" w:type="dxa"/>
            <w:bottom w:w="0" w:type="dxa"/>
            <w:right w:w="108" w:type="dxa"/>
          </w:tblCellMar>
        </w:tblPrEx>
        <w:trPr>
          <w:trHeight w:val="513" w:hRule="atLeast"/>
        </w:trPr>
        <w:tc>
          <w:tcPr>
            <w:tcW w:w="4581" w:type="dxa"/>
            <w:noWrap w:val="0"/>
            <w:vAlign w:val="bottom"/>
          </w:tcPr>
          <w:p>
            <w:pPr>
              <w:pStyle w:val="49"/>
              <w:tabs>
                <w:tab w:val="left" w:pos="8100"/>
              </w:tabs>
              <w:ind w:left="0" w:right="77"/>
              <w:rPr>
                <w:rFonts w:asci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签字</w:t>
            </w:r>
            <w:r>
              <w:rPr>
                <w:rFonts w:ascii="宋体" w:hAnsi="宋体" w:cs="宋体"/>
                <w:color w:val="auto"/>
                <w:sz w:val="21"/>
                <w:szCs w:val="21"/>
                <w:highlight w:val="none"/>
                <w:u w:val="single"/>
              </w:rPr>
              <w:t>)</w:t>
            </w:r>
          </w:p>
        </w:tc>
        <w:tc>
          <w:tcPr>
            <w:tcW w:w="4659" w:type="dxa"/>
            <w:noWrap w:val="0"/>
            <w:vAlign w:val="bottom"/>
          </w:tcPr>
          <w:p>
            <w:pPr>
              <w:pStyle w:val="49"/>
              <w:tabs>
                <w:tab w:val="left" w:pos="8100"/>
              </w:tabs>
              <w:ind w:left="0" w:right="77"/>
              <w:rPr>
                <w:rFonts w:asci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签字</w:t>
            </w:r>
            <w:r>
              <w:rPr>
                <w:rFonts w:ascii="宋体" w:hAnsi="宋体" w:cs="宋体"/>
                <w:color w:val="auto"/>
                <w:sz w:val="21"/>
                <w:szCs w:val="21"/>
                <w:highlight w:val="none"/>
                <w:u w:val="single"/>
              </w:rPr>
              <w:t>)</w:t>
            </w:r>
          </w:p>
        </w:tc>
      </w:tr>
      <w:tr>
        <w:tblPrEx>
          <w:tblLayout w:type="fixed"/>
          <w:tblCellMar>
            <w:top w:w="0" w:type="dxa"/>
            <w:left w:w="108" w:type="dxa"/>
            <w:bottom w:w="0" w:type="dxa"/>
            <w:right w:w="108" w:type="dxa"/>
          </w:tblCellMar>
        </w:tblPrEx>
        <w:trPr>
          <w:trHeight w:val="513" w:hRule="atLeast"/>
        </w:trPr>
        <w:tc>
          <w:tcPr>
            <w:tcW w:w="4581" w:type="dxa"/>
            <w:noWrap w:val="0"/>
            <w:vAlign w:val="bottom"/>
          </w:tcPr>
          <w:p>
            <w:pPr>
              <w:pStyle w:val="49"/>
              <w:tabs>
                <w:tab w:val="left" w:pos="8100"/>
              </w:tabs>
              <w:ind w:left="0" w:right="77"/>
              <w:rPr>
                <w:rFonts w:ascii="宋体" w:cs="宋体"/>
                <w:color w:val="auto"/>
                <w:sz w:val="21"/>
                <w:szCs w:val="21"/>
                <w:highlight w:val="none"/>
              </w:rPr>
            </w:pPr>
            <w:r>
              <w:rPr>
                <w:rFonts w:hint="eastAsia" w:ascii="宋体" w:hAnsi="宋体" w:cs="宋体"/>
                <w:color w:val="auto"/>
                <w:sz w:val="21"/>
                <w:szCs w:val="21"/>
                <w:highlight w:val="none"/>
              </w:rPr>
              <w:t xml:space="preserve">                    年  月  日</w:t>
            </w:r>
          </w:p>
        </w:tc>
        <w:tc>
          <w:tcPr>
            <w:tcW w:w="4659" w:type="dxa"/>
            <w:noWrap w:val="0"/>
            <w:vAlign w:val="bottom"/>
          </w:tcPr>
          <w:p>
            <w:pPr>
              <w:pStyle w:val="49"/>
              <w:tabs>
                <w:tab w:val="left" w:pos="8100"/>
              </w:tabs>
              <w:ind w:left="0" w:right="77"/>
              <w:rPr>
                <w:rFonts w:ascii="宋体" w:cs="宋体"/>
                <w:color w:val="auto"/>
                <w:sz w:val="21"/>
                <w:szCs w:val="21"/>
                <w:highlight w:val="none"/>
              </w:rPr>
            </w:pPr>
            <w:r>
              <w:rPr>
                <w:rFonts w:hint="eastAsia" w:ascii="宋体" w:hAnsi="宋体" w:cs="宋体"/>
                <w:color w:val="auto"/>
                <w:sz w:val="21"/>
                <w:szCs w:val="21"/>
                <w:highlight w:val="none"/>
              </w:rPr>
              <w:t xml:space="preserve">                         年  月  日</w:t>
            </w:r>
          </w:p>
        </w:tc>
      </w:tr>
      <w:tr>
        <w:tblPrEx>
          <w:tblLayout w:type="fixed"/>
          <w:tblCellMar>
            <w:top w:w="0" w:type="dxa"/>
            <w:left w:w="108" w:type="dxa"/>
            <w:bottom w:w="0" w:type="dxa"/>
            <w:right w:w="108" w:type="dxa"/>
          </w:tblCellMar>
        </w:tblPrEx>
        <w:trPr>
          <w:gridAfter w:val="1"/>
          <w:wAfter w:w="4659" w:type="dxa"/>
          <w:trHeight w:val="658" w:hRule="atLeast"/>
        </w:trPr>
        <w:tc>
          <w:tcPr>
            <w:tcW w:w="4581" w:type="dxa"/>
            <w:noWrap w:val="0"/>
            <w:vAlign w:val="bottom"/>
          </w:tcPr>
          <w:p>
            <w:pPr>
              <w:pStyle w:val="49"/>
              <w:tabs>
                <w:tab w:val="left" w:pos="8100"/>
              </w:tabs>
              <w:ind w:left="0" w:right="77"/>
              <w:jc w:val="both"/>
              <w:rPr>
                <w:rFonts w:hint="eastAsia" w:ascii="宋体" w:hAnsi="宋体" w:cs="宋体"/>
                <w:color w:val="auto"/>
                <w:sz w:val="21"/>
                <w:szCs w:val="21"/>
                <w:highlight w:val="none"/>
              </w:rPr>
            </w:pPr>
          </w:p>
          <w:p>
            <w:pPr>
              <w:pStyle w:val="49"/>
              <w:tabs>
                <w:tab w:val="left" w:pos="8100"/>
              </w:tabs>
              <w:ind w:left="0" w:right="77"/>
              <w:jc w:val="both"/>
              <w:rPr>
                <w:rFonts w:hint="eastAsia" w:ascii="宋体" w:hAnsi="宋体" w:cs="宋体"/>
                <w:color w:val="auto"/>
                <w:sz w:val="21"/>
                <w:szCs w:val="21"/>
                <w:highlight w:val="none"/>
              </w:rPr>
            </w:pPr>
          </w:p>
          <w:p>
            <w:pPr>
              <w:pStyle w:val="49"/>
              <w:tabs>
                <w:tab w:val="left" w:pos="8100"/>
              </w:tabs>
              <w:ind w:left="0" w:right="77"/>
              <w:jc w:val="both"/>
              <w:rPr>
                <w:rFonts w:ascii="宋体" w:cs="宋体"/>
                <w:color w:val="auto"/>
                <w:sz w:val="21"/>
                <w:szCs w:val="21"/>
                <w:highlight w:val="none"/>
              </w:rPr>
            </w:pPr>
            <w:r>
              <w:rPr>
                <w:rFonts w:hint="eastAsia" w:ascii="宋体" w:hAnsi="宋体" w:cs="宋体"/>
                <w:color w:val="auto"/>
                <w:sz w:val="21"/>
                <w:szCs w:val="21"/>
                <w:highlight w:val="none"/>
              </w:rPr>
              <w:t xml:space="preserve">采购代理机构： </w:t>
            </w:r>
          </w:p>
        </w:tc>
      </w:tr>
      <w:tr>
        <w:tblPrEx>
          <w:tblLayout w:type="fixed"/>
          <w:tblCellMar>
            <w:top w:w="0" w:type="dxa"/>
            <w:left w:w="108" w:type="dxa"/>
            <w:bottom w:w="0" w:type="dxa"/>
            <w:right w:w="108" w:type="dxa"/>
          </w:tblCellMar>
        </w:tblPrEx>
        <w:trPr>
          <w:gridAfter w:val="1"/>
          <w:wAfter w:w="4659" w:type="dxa"/>
          <w:trHeight w:val="513" w:hRule="atLeast"/>
        </w:trPr>
        <w:tc>
          <w:tcPr>
            <w:tcW w:w="4581" w:type="dxa"/>
            <w:noWrap w:val="0"/>
            <w:vAlign w:val="bottom"/>
          </w:tcPr>
          <w:p>
            <w:pPr>
              <w:pStyle w:val="49"/>
              <w:tabs>
                <w:tab w:val="left" w:pos="8100"/>
              </w:tabs>
              <w:ind w:left="0" w:right="77"/>
              <w:rPr>
                <w:rFonts w:ascii="宋体" w:cs="宋体"/>
                <w:color w:val="auto"/>
                <w:sz w:val="21"/>
                <w:szCs w:val="21"/>
                <w:highlight w:val="none"/>
              </w:rPr>
            </w:pPr>
            <w:r>
              <w:rPr>
                <w:rFonts w:hint="eastAsia" w:ascii="宋体" w:hAnsi="宋体" w:cs="宋体"/>
                <w:color w:val="auto"/>
                <w:sz w:val="21"/>
                <w:szCs w:val="21"/>
                <w:highlight w:val="none"/>
              </w:rPr>
              <w:t>采购代理机构代表：</w:t>
            </w:r>
            <w:r>
              <w:rPr>
                <w:rFonts w:hint="eastAsia" w:ascii="宋体" w:hAnsi="宋体" w:cs="宋体"/>
                <w:color w:val="auto"/>
                <w:sz w:val="21"/>
                <w:szCs w:val="21"/>
                <w:highlight w:val="none"/>
                <w:u w:val="single"/>
              </w:rPr>
              <w:t>（签字）</w:t>
            </w:r>
          </w:p>
        </w:tc>
      </w:tr>
      <w:tr>
        <w:tblPrEx>
          <w:tblLayout w:type="fixed"/>
          <w:tblCellMar>
            <w:top w:w="0" w:type="dxa"/>
            <w:left w:w="108" w:type="dxa"/>
            <w:bottom w:w="0" w:type="dxa"/>
            <w:right w:w="108" w:type="dxa"/>
          </w:tblCellMar>
        </w:tblPrEx>
        <w:trPr>
          <w:gridAfter w:val="1"/>
          <w:wAfter w:w="4659" w:type="dxa"/>
          <w:trHeight w:val="513" w:hRule="atLeast"/>
        </w:trPr>
        <w:tc>
          <w:tcPr>
            <w:tcW w:w="4581" w:type="dxa"/>
            <w:noWrap w:val="0"/>
            <w:vAlign w:val="bottom"/>
          </w:tcPr>
          <w:p>
            <w:pPr>
              <w:pStyle w:val="49"/>
              <w:tabs>
                <w:tab w:val="left" w:pos="8100"/>
              </w:tabs>
              <w:ind w:left="0" w:right="77"/>
              <w:rPr>
                <w:rFonts w:ascii="宋体" w:cs="宋体"/>
                <w:color w:val="auto"/>
                <w:sz w:val="21"/>
                <w:szCs w:val="21"/>
                <w:highlight w:val="none"/>
              </w:rPr>
            </w:pPr>
            <w:r>
              <w:rPr>
                <w:rFonts w:hint="eastAsia" w:ascii="宋体" w:hAnsi="宋体" w:cs="宋体"/>
                <w:color w:val="auto"/>
                <w:sz w:val="21"/>
                <w:szCs w:val="21"/>
                <w:highlight w:val="none"/>
              </w:rPr>
              <w:t>·                  年    月   日</w:t>
            </w:r>
          </w:p>
        </w:tc>
      </w:tr>
    </w:tbl>
    <w:p>
      <w:pPr>
        <w:pStyle w:val="50"/>
        <w:jc w:val="center"/>
        <w:rPr>
          <w:rFonts w:hint="eastAsia" w:ascii="宋体" w:hAnsi="宋体"/>
          <w:color w:val="auto"/>
          <w:sz w:val="21"/>
          <w:szCs w:val="21"/>
          <w:highlight w:val="none"/>
          <w:lang w:eastAsia="zh-CN"/>
        </w:rPr>
      </w:pPr>
      <w:r>
        <w:rPr>
          <w:rFonts w:ascii="宋体"/>
          <w:color w:val="auto"/>
          <w:sz w:val="21"/>
          <w:szCs w:val="21"/>
          <w:highlight w:val="none"/>
          <w:lang w:eastAsia="zh-CN"/>
        </w:rPr>
        <w:br w:type="page"/>
      </w:r>
      <w:bookmarkStart w:id="128" w:name="_Toc23766_WPSOffice_Level2"/>
      <w:r>
        <w:rPr>
          <w:rFonts w:hint="eastAsia" w:ascii="宋体" w:hAnsi="宋体"/>
          <w:color w:val="auto"/>
          <w:sz w:val="21"/>
          <w:szCs w:val="21"/>
          <w:highlight w:val="none"/>
        </w:rPr>
        <w:t>第</w:t>
      </w:r>
      <w:r>
        <w:rPr>
          <w:rFonts w:hint="eastAsia" w:ascii="宋体" w:hAnsi="宋体"/>
          <w:color w:val="auto"/>
          <w:sz w:val="21"/>
          <w:szCs w:val="21"/>
          <w:highlight w:val="none"/>
          <w:lang w:eastAsia="zh-CN"/>
        </w:rPr>
        <w:t>二</w:t>
      </w:r>
      <w:r>
        <w:rPr>
          <w:rFonts w:hint="eastAsia" w:ascii="宋体" w:hAnsi="宋体"/>
          <w:color w:val="auto"/>
          <w:sz w:val="21"/>
          <w:szCs w:val="21"/>
          <w:highlight w:val="none"/>
        </w:rPr>
        <w:t>节通用合同条款</w:t>
      </w:r>
      <w:bookmarkEnd w:id="128"/>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一、词语定义及合同文件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1.词语定义</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下列词语除专用条款另有约定外，应具有本条所赋予的定义：</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1.1通用条款：是根据法律、行政法规规定及建设工程施工的需要订方，通用于建设工程施工的条款。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1.2专用条款：是发包人与承包人根据法律、行政法规规定，结合具体工程实际，经协商达成一致意见的条款，是对通用条款的具体化、补充或修改。</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1.3发包人：指在协议书中约定，具有工程发包主体资格和支付工程价款能力的当事人以及取得该当事人资格的合法继承人。</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1.4承包人：指在协议书中约定，被发包人接受的具有工程施工承包主体资格的当事人以及取得该当事人资格的合法继承人。</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1.5项目经理：指承包人在专用条款中指定的负责施工管理和合同履行的代表。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1.6设计单位：指发包人委托的负责本工程设计并取得相应工程设计资质等级证书的单位。</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1.7监理单位：指发包人委托的负责本工程监理并取得相应工程监理资质等级证书的单位。</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1.8工程师：指本工程监理单位委派的总监理工程师或发包人指定的履行本合同的代表，其具体身份和职权由发包人承包人在专用条款中约定。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1.9工程造价管理部门：指国务院有关部门、县级以上人民政府建设行政主管部门或其委托的工程造价管理机构。</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1.10工程：指发包人承包人在协议书中约定的承包范围内的工程。</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1.11合同价款：指发包人承包人在协议书中约定，发包人用以支付承包人按照合同约定完成承包范围内全部工程并承担质量保修责任的款项。</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1.12追加合同价款：指在合同履行中发生需要增加合同价款的情况，经发包人确认后按计算合同价款的方法增加的合同价款。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1.13费用：指不包含在合同价款之内的应当由发包人或承包人承担的经济支出。</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1.14工期；指发包人承包人在协议书中约定，按总日历天数（包括法定节假日）计算的承包天数。</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1.15开工日期：指发包人承包人在协议书中约定，承包人开始施工的绝对或相对的日期。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1.16竣工日期：指发包人承包人在协议书中约定，承包人完成承包范围内工程的绝对或相对的日期。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1.17图纸：指由发包人提供或由承包人提供并经发包人批准，满足承包人施工需要的所有图纸（包括配套说明和有关资料）。</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1.18施工场地：指由发包人提供的用于工程施工的场所以及发包人在图纸中具体指定的供施工使用的任何其他场所。</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1.19书面形式：指合同书、信件和数据电文（包括电报、电传、传真、电子数据交换和电子邮件）等可以有形地表现所载内容的形式。</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1.20违约责任：指合同一方不履行合同义务或履行合同义务不符合约定所应承担的责任。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1.21索赔：指在合同履行过程中，对于并非自己的过错，而是应由对方承担责任的情况造成的实际损失，向对方提出经济补偿和（或）工期顺延的要求。</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1.22不可抗力：指不能预见、不能避免并不能克服的客观情况。</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2.合同文件及解释顺序</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xml:space="preserve">    2.1合同文件应能相互解释，互为说明。除专用条款另有约定外，组成本合同的文件及优先解释顺序如下：</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（1）本合同协议书</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（2）中标通知书</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（3）投标书及其附件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（4）本合同专用条款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（5）本合同通用条款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（6）标准、规范及有关技术文件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（7）图纸</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（8）工程量清单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（9）工程报价单或预算书</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合同履行中，发包人承包人有关工程的洽商、变更等书面协议或文件视为本合同的组成部分。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2.2当合同文件内容含糊不清或不相一致时，在不影响工程正常进行的情况下，由发包人承包人协商解决。双方也可以提请负责监理的工程师作出解释。双方协商不成或不同意负责监理的工程师的解释时，按本通用条款条37条关于争议的约定处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3.语言文字和适用法律、标准及规范</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3.1语言文字</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本合同文件使用汉语语言文字书写、解释和说明。如专用条款约定使用两种以上（含两种）语言文字时，汉语应为解释和说明本合同的标准语言文字。</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在少数民族地区，双方可以约定使用少数民族语言文字书写和解释、说明本合同。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3.2适用法律和法规</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本合同文件适用国家的法律和行政法规。需要明示的法律、行政法规，由双方在专用条款中约定。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3.3适用标准、规范</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国内没有相应标准、规范的，由发包人按专用条款约定的时间向承包人提出施工技术要求，承包人按约定的时间和要求提出施工工艺，经发包人认可后执行。发包人要求使用国外标准、规范的，应负责提供中文译本。</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本条所发生的购买、翻译标准、规范或制定施工工艺的费用，由发包人承担。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4.图纸</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4.2承包人未经发包人同意，不得将本工程图纸转给第三人。工程质量保修期满后，除承包人存档需要的图纸外，应将全部图纸退还给发包人。</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4.3承包人应在施工现场保留一套完整图纸，供工程师及有关人员进行工程检查时使用。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二、双方一般权利和义务</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5.工程师</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5.1实行工程监理的，发包人应在实施监理前将委托的监理单位名称、监理内容及监理权限以书面形式通知承包人。</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5.4合同履行中，发生影响发包人承包人双方权利或义务的事件时，负责监理的工程师应依据合同在其职权范围内客观公正地进行处理。一方对工程师的处理有异议时，按本通用条款条37条关于争议的约定处理。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5.5除合同内有明确约定或经发包人同意外，负责监理的工程师无权解除本合同约定的承包人的任何权利与义务。</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5.6不实行工程监理的，本合同中工程师专指发包人派驻施工场地履行合同的代表，其具体职权由发包人在专用条款内写明。</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6.工程师的委派和指令</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除工程师或工程师代表外，发包人派驻工地的其他人员均无权向承包人发出任何指令。</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本款规定同样适用于由工程师代表发出的指令、通知。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6.3工程师应按合同约定，及时向承包人提供所需指令、批准并履行约定的其他义务。由于工程师未能按合同约定履行义务造成工期延误，发包人应承担延误造成的追加合同价款，并赔偿承包人有关损失，顺延延误的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6.4如需更换工程师，发包人应至少提前7天以书面形式通知承包人，后任继续行使合同文件约定的前任的职权，履行前任的义务。</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7.项目经理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7.1项目经理的姓名、职务在专用条款内写明。</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7.2承包人依据合同发出的通知，以书面形式由项目经理签字后送交工程师，工程师在回执上签署姓名和收到时间后生效。</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7.4承包人如需更换项目经理，应至少提前7天以书面形式通知发包人，并征得发包人同意。后任继续行使合同文件约定的前任的职权，履行前任的义务。</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7.5发包人可以与承包人协商，建议更换其认为不称职的项目经理。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8.发包人工作</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8.1发包人按专用条款约定的内容和时间完成以下工作：</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（1）办理土地征用、拆迁补偿、平整施工场地等工作，使施工场地具备施工条件，在开工后继续负责解决以上事项遗留问题；</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（2）将施工所需水、电、电讯线路从施工场地外部接至专用条款约定地点，保证施工期间的需要；</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（3）开通施工场地与城乡公共道路的通道，以及专用条款约定的施工场地内的主要道路，满足施工运输的需要，保证施工期间的畅通；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（4）向承包人提供施工场地的工程地质和地下管线资料，对资料的真实准确性负责；</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（5）办理施工许可证及其他施工所需证件、批件和临时用地、停水、停电、中断道路交通、爆破作业等的申请批准手续（证明承包人自身资质的证件除外）；</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xml:space="preserve">    （6）确定水准点与座标控制点，以书面形式交给承包人，进行现场交验；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（7）组织承包人和设计单位进行图纸会审和设计交底；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（8）协调处理施工场地周围地下管线和邻近建筑物、构筑物（包括文物保护建筑）、古树名木的保护工作，承担有关费用；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8.2发包人可以将8.1款部分工作委托承包人办理，双方在专用条款内约定，其费用由发包人承担。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8.3发包人未能履行8.1款各项义务，导致工期延误或给承包人造成损失的，发包人赔偿承包人有关损失，顺延延误的工期。</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（9）发包人应做的其他工作，双方在专用条款内约定。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9.承包人工作</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9.1承包人按专用条款约定的内容和时间完成以下工作：</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（1）根据发包人委托，在其设计资质等级和业务允许的范围内，完成施工图设计或与工程配套的设计，经工程师确认后使用，发包人承担由此发生的费用；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（2）向工程师提供年、季、月度工程进度计划及相应进度统计报表；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（3）根据工程需要，提供和维修非夜间施工使用的照明、围栏设施，并负责安全保卫；</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（4）按专用条款约定的数量和要求，向发包人提供施工场地办公和生活的房屋及设施，发包人承担由此发生的费用；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（5）遵守政府有关主管部门对施工场地交通、施工噪音以及环境保护和安全生产等的管理规定，按规定办理有关手续，并以书面形式通知发包人，发包人承担由此发生的费用，因承包人责任造成的罚款除外；</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（7）按专用条款约定做好施工场地地下管线和邻近建筑物、构筑物（包括文物保护建筑）、古树名木的保护工作；</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（8）保证施工场地清洁符合环境卫生管理的有关规定，交工前清理现场达到专用条款约定的要求，承担因自身原因违反有关规定造成的损失和罚款；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（9）承包人应做的其他工作，双方在专用条款内约定。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9.2承包人未能履行9.1款各项义务，造成发包人损失的，承包人赔偿发包人有关损失。</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三、施工组织设计和工期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10.进度计划</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10.1承包人应按专用条款约定的日期，将施工组织设计和工程进度计划提交工程师，工程师按专用条款约定的时间予以确认或提出修改意见，逾期不确认也不提出书面意见的，视为同意。</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10.2群体工程中单位工程分期进行施工的，承包人应按照发包人提供图纸及有关资料的时间，按单位工程编制进度计划，其具体内容双方在专用条款中约定。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11.开工及延期开工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11.2因发包人原因不能按照协议书约定的开工日期开工，工程师应以书面形式通知承包人，推迟开工日期。发包人赔偿承包人因延期开工造成的损失，并相应顺延工期。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12.暂停施工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r>
        <w:rPr>
          <w:rFonts w:ascii="宋体" w:hAnsi="宋体" w:cs="宋体"/>
          <w:color w:val="auto"/>
          <w:sz w:val="21"/>
          <w:szCs w:val="21"/>
          <w:highlight w:val="none"/>
        </w:rPr>
        <w:t xml:space="preserve"> </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13.工期延误</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13.1因以下原因造成工期延误，经工程师确认，工期相应顺延：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（1）发包人未能按专用条款的约定提供图纸及开工条件；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（2）发包人未能按约定日期支付工程预付款、进度款，致使施工不能正常进行；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（3）工程师未按合同约定提供所需指令、批准等，致使施工不能正常地行；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（4）设计变更和工程量增加；</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（5）一周内非承包人原因停水、停电、停气造成停工累计超过8小时；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（6）不可抗力；</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（7）专用条款中约定或工程师同意工期顺延的其他情况。</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13.2承包人在13.1款情况发生后14天内，就延误的工期以书面形式向工程师提出报告。工程师在收到报告后14天内予以确认，逾期不予确认也不提出修改意见，视为同意顺延工期。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14工程竣工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14.1承包人必须按照协议书约定的竣工日期或工程师同意顺延的工期竣工。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14.2因承包人原因不能按照协议书约定的竣工日期或工程师同意顺延的工期竣工的，承包人承担违约责任。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四、质量与检验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15.工程质量</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15.1工程质量应当达到协议书约定的质量标准，质量标准的评定以国家或行业的质量检验评定标准为依据。因承包人原因工程质量达不到约定的质量标准，承包人承担违约责任。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15.2双方对工程质量有争议，由双方同意的工程质量检测机构鉴定，所需费用及因此造成的损失，由责任方承担。双方均有责任，由双方根据其责任分别承担。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16.检查和返工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16.1承包人应认真按照标准、规范和设计图纸要求以及工程师依据合同发出的指令施工，随时接受工程师的检查检验，为检查检验提供便利条件。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16.3工程师的检查检验不应影响施工正常进行。如影响施工正常进行，检查检验不合格时，影响正常施工的费用由承包人承担。除此之外影响正常施工的追加合同价款由发包人承担，相应顺延工期。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16.4因工程师指令失误或其他非承包人原因发生的追加合同价款，由发包人承担。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17.隐蔽工程和中间验收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17.2工程师不能按时进行验收，应在验收前24小时以书面形式向承包人提出延期要求，延期不能超过48小时。工程师未能按以上时间提出延期要求，不进行验收，承包人可自行组织验收，工程师应承认验收记录。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17.3经工程师验收，工程质量符合标准、规范和设计图纸等要求，验收24小时后，工程师不在验收记录上签字，视为工程师已经认可验收记录，承包人可进行隐蔽或继续施工。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18.重新检验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19.工程试车</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xml:space="preserve">    19.1双方约定需要试车的，试车内容应与承包人承包的安装范围相一致。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19.3工程师不能按时参加试车，须在开始试车前24小时以书面形式向承包人提出延期要求，延期不能超过48小时。工程师未能按以上时间提出延期要求，不参加试车，应承认试车记录。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19.4设备安装工程具备无负荷联动试车条件，发包人组织试车，并在试车前48小时以书面形式通知承包人。通知包括试车内容、时间、地点和对承包人的要求，承包人按要求做好准备工作。试车合格，双方在试车记录上签字。</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19.5双方责任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（1）由于设计原因试车达不到验收要求，发包人应要求设计单位修改设计，承包人按修改后的设计重新安装。发包人承担修改设计、拆除及重新安装的全部费用和追加合同价款，工期相应顺延。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（3）由于承包人施工原因试车达不到验收要求，承包人按工程师要求重新安装和试车，并承担重新安装和试车的费用，工期不予顺延。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（4）试车费用除已包括在合同价款之内或专用条款另有约定外，均由发包人承担。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（5）工程师在试车合格后不在试车记录上签字，试车结束24小时后，视为工程师已经认可试车记录，承包人可继续施工或办理竣工手续。</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19.6投料试车应在工程竣工验收后由发包人负责，如发包人要求在工程竣工验收前进行或需要承包人配合时，应征得承包人同意，另行签订补充协议。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五、安全施工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20.安全施工与检查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20.2发包人应对其在施工场地的工作人员进行安全教育，并对他们的安全负责。发包人不得要求承包人违反安全管理的规定进行施工。因发包人原因导致的安全事故，由发包人承担相应责任及发生的费用。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21.安全防护</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21.1承包人在动力设备、输电线路、地下管道、密封防震车间、易燃易爆地段以及临街交通要道附近施工时，施工开始前应向工程师提出安全防护措施，经工程师认可后实施，防护措施费用由发包人承担。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22.事故处理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22.1发生重大伤亡及其他安全事故，承包人应按有关规定立即上报有关部门并通知工程师，同时按政府有关部门要求处理，由事故责任方承担发生的费用。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22.2发包人承包人对事故责任有争议时，应按政府有关部门的认定处理。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六、合同价款与支付</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23.合同价款及调整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23.1招标工程的合同价款由发包人承包人依据中标通知书中的中标价格在协议书内约定。非招标工程的合同价款由发包人承包人依据工程预算书在协议书内约定。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23.2合同价款在协议书内约定后，任何一方不得擅自改变。下列三种确定合同价款的方式，双方可在专用条款内约定采用其中一种：</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（1）固定价格合同。双方在专用条款内约定合同价款包含的风险范围和风险费用的计算方法，在约定的风险范围内合同价款不再调整。风险范围以外的合同价款调整方法，应当在专用条款内约定。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（2）可调价格合同。合同价款可根据双方的约定而调整，双方在专用条款内约定合同价款调整方法。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（3）成本加酬金合同。合同价款包括成本和酬金两部分，双方在专用条款内约定成本构成和酬金的计算方法。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23.3可调价格合同中合同价款的调整因素包括：</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（1）法律、行政法规和国家有关政策变化影响合同价款；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（2）工程造价管理部门公布的价格调整；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（3）一周内非承包人原因停水、停电、停气造成停工累计超过8时；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（4）双方约定的其他因素。</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24.工程预付款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25.工程量的确认</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25.1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25.2工程师收到承包人报告后７天内未进行计量，从第8天起，承包人报告中开列的工程量即视为被确认，作为工程价款支付的依据。工程师不按约定时间通知承包人，致使承包人未能参加计量，计量结果无效。</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25.3对承包人超出设计图纸范围和因承包人原因造成返工的工程量，工程师不予计量。</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26.工程款（进度款）支付</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26.1在确认计量结果后14天内，发包人应向承包人支付工程款（进度款）。按约定时间发包人应扣回的预付款，与工程款（进度款）同期结算。</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26.2本通用条款第23条确定调整的合同价款，第31条工程变更调整的合同价款及其他条款中约定的追加合同价款，应与工程款（进度款）同期调整支付。</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26.4发包人不按合同约定支付工程款（进度款），双方又未达成延期付款协议，导致施工无法进行，承包人可停止施工，由发包人承担违约责任。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七、材料设备供应</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27.发包人供应材料设备</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27.1实行发包人供应材料设备的，双方应当约定发包人供应材料设备的一览表，作为本合同附件（附件2）。一览表包括发包人供应材料设备的品种、规格、型号、数量、单价、质量等级、提供时间和地点。</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27.2发包人按一览表约定的内容提供材料设备，并向承包人提供产品合格证明，对其质量负责。发包人在所供材料设备到货前24小时，以书面形式通知承包人，由承包人派人与发包人共同清点。</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27.3发包人供应的材料设备，承包人派人参加清点后由承包人妥善保管，发包人支付相应保管费用。因承包人原因发生丢失损坏，由承包人负责赔偿。</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发包人未通知承包人清点，承包人不负责材料设备的保管，丢失损坏由发包人负责。</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27.4发包人供应的材料设备与一览表不符时，发包人承担有关责任。发包人应承担责任的具体内容，双方根据下列情况在专用条款内约定：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（1）材料设备单价与一览表不符，由发包人承担所有价差；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xml:space="preserve">    （2）材料设备的品种、规格、型号、质量等级与一览表不符，承包人可拒绝接收保管，由发包人运出施工场地并重新采购；</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（3）发包人供应的材料规格、型号与一览表不符，经发包人同意，承包人可代为调剂串换，由发包人承担相应费用；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（4）到货地点与一览表不符，由发包人负责运至一览表指定地点；</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（5）供应数量少于一览表约定的数量时，由发包人补齐，多于一览表约定数量时，发包人负责将多出部分运出施工场地；</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（6）到货时间早于一览表约定时间，由发包人承担因此发生的保管费用；到货时间迟于一览表约定的供应时间，发包人赔偿由此造成的承包人损失，造成工期延误的，相应顺延工期；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27.5发包人供应的材料设备使用前，由承包人负责检验或试验，不合格的不得使用，检验或试验费用由发包人承担。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27.6发包人供应材料设备的结算方法，双方在专用条款内约定。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28.承包人采购材料设备</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28.1承包人负责采购材料设备的，应按照专用条款约定及设计和有关标准要求采购，并提供产品合格证明，对材料设备质量负责。承包人在材料设备到货前24小时通知工程师清点。</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28.2承包人采购的材料设备与设计或标准要求不符时，承包人应按工程师要求的时间运出施工场地，重新采购符合要求的产品，承担由此发生的费用，由此延误的工期不予顺延。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28.3承包人采购的材料设备在使用前，承包人应按工程师的要求进行检验或试验，不合格的不得使用，检验或试验费用由承包人承担。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28.4工程师发现承包人采购并使用不符合设计和标准要求的材料设备时，应要求承包人负责修复、拆除或重新采购，由承包人承担发生的费用，由此延误的工期不予顺延。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28.5承包人需要使用代用材料时，应经工程师认可后才能使用，由此增减的合同价款双方以书面形式议定。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28.6由承包人采购的材料设备，发包人不得指定生产厂或供应商。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八、工程变更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29.工程设计变更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（1）更改工程有关部分的标高、基线、位置和尺寸；</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（2）增减合同中约定的工程量；</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（3）改变有关工程的施工时间和顺序；</w:t>
      </w:r>
      <w:r>
        <w:rPr>
          <w:rFonts w:ascii="宋体" w:hAnsi="宋体" w:cs="宋体"/>
          <w:color w:val="auto"/>
          <w:sz w:val="21"/>
          <w:szCs w:val="21"/>
          <w:highlight w:val="none"/>
        </w:rPr>
        <w:br w:type="textWrapping"/>
      </w:r>
      <w:r>
        <w:rPr>
          <w:rFonts w:ascii="宋体" w:hAnsi="宋体" w:cs="宋体"/>
          <w:color w:val="auto"/>
          <w:sz w:val="21"/>
          <w:szCs w:val="21"/>
          <w:highlight w:val="none"/>
        </w:rPr>
        <w:t>  </w:t>
      </w:r>
      <w:r>
        <w:rPr>
          <w:rFonts w:hint="eastAsia" w:ascii="宋体" w:hAnsi="宋体" w:cs="宋体"/>
          <w:color w:val="auto"/>
          <w:sz w:val="21"/>
          <w:szCs w:val="21"/>
          <w:highlight w:val="none"/>
        </w:rPr>
        <w:t>（4）其他有关工程变更需要的附加工作。</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因变更导致合同价款的增减及造成的承包人损失，由发包人承担，延误的工期相应顺延。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29.2施工中承包人不得对原工程设计进行变更。因承包人擅自变更设计发生的费用和由此导致发包人的直接损失，由承包人承担，延误的工期不予顺延。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工程师同意采用承包人合理化建议，所发生的费用和获得的收益，发包人承包人另行约定分担或分享。</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30.其他变更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合同履行中发包人要求变更工程质量标准及发生其他实质性变更，由双方协商解决。</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31.确定变更价款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31.1承包人在工程变更确定后14天内，提出变更工程价款的报告，经工程师确认后调整合同价款。变更合同价款按下列方法进行：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（1）合同中已有适用于变更工程的价格，按合同已有的价格变更合同价款；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（2）合同中只有类似于变更工程的价格，可以参照类似价格变更合同价款；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（3）合同中没有适用或类似于变更工程的价格，由承包人提出适当的变更价格，经工程师确认后执行。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31.2承包人在双方确定变更后14天内不向工程师提出变更工程价款报告时，视为该项变更不涉及合同价款的变更。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31.3工程师应在收到变更工程价款报告之日起14天内予以确认，工程师无正当理由不确认时，自变更工程价款报告送达之日起14天后视为变更工程价款报告已被确认。</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31.4工程师不同意承包人提出的变更价款，按本通用条款第37条关于争议的约定处理。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31.5工程师确认增加的工程变更价款作为追加合同价款，与工程款同期支付。</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31.6因承包人自身原因导致的工程变更，承包人无权要求追加合同价款。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九、竣工验收与结算</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32.竣工验收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32.1工程具备竣工验收条件，承包人按国家工程竣工验收有关规定，向发包人提供完整竣工资料及竣工验收报告。双方约定由承包人提供竣工图的，应当在专用条款内约定提供的日期和份数。</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32.2发包人收到竣工验收报告后28天内组织有关单位验收，并在验收后14天内给予认可或提出修改意见。承包人按要求修改，并承担由自身原因造成修改的费用。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32.3发包人收到承包人送交的竣工验收报告后28天内不组织验收，或验收后14天内不提出修改意见，视为竣工验收报告已被认可。</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xml:space="preserve">    32.4工程竣工验收通过，承包人送交竣工验收报告的日期为实际竣工日期。工程按发包人要求修改后通过竣工验收的，实际竣工日期为承包人修改后提请发包人验收的日期。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32.5发包人收到承包人竣工验收报告后28天内不组织验收，从第29天起承担工程保管及一切意外责任。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32.6中间交工工程的范围和竣工时间，双方在专用条款内约定，其验收程序按本通用条款32.1款至32.4款办理。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32.7因特殊原因，发包人要求部分单位工程或工程部位甩项竣工的，双方另行签订甩项竣工协议，明确双方责任和工程价款的支付方法。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32.8工程未经竣工验收或竣工验收未通过的，发包人不得使用。发包人强行使用时，由此发生的质量问题及其他问题，由发包人承担责任。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33.竣工结算</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33.1工程竣工验收报告经发包人认可后28天内，承包人向发包人递交竣工结算报告及完整的结算资料，双方按照协议书约定的合同价款及专用条款约定的合同价款调整内容，进行工程竣工结算。</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33.2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33.3发包人收到竣工结算报告及结算资料后28天内无正当理由不支付工程竣工结算价款，从第29天起按承包人同期向银行贷款利率支付拖欠工程价款的利息，并承担违约责任。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33.4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33.5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33.6发包人承包人对工程竣工结算价款发生争议时，按本通用条款第37条关于争议的约定处理。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34.质量保修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34.1承包人应按法律、行政法规或国家关于工程质量保修的有关规定，对交付发包人使用的工程在质量保修期内承担质量保修责任。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34.2质量保修工作的实施。承包人应在工程竣工验收之前，与发包人签订质量保修书，作为本合同附件（附件3）。</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34.3质量保修书的主要内容包括：</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（1）质量保修项目内容及范围；</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xml:space="preserve">    （2）质理保修期；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（3）质量保修责任；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（4）质量保修金的支付方法。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十、违约、索赔和争议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35.违约</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35.1发包人违约。当发生下列情况时：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（1）本通用条款第24条提到的发包人不按时支付工程预付款；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（2）本通用条款第26.4款提到的发包人不按合同约定支付工程款，导致施工无法进行；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（3）本通用条款第33.3款提到的发包人无正当理由不支付工程竣工结算价款；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（4）发包人不履行合同义务或不按合同约定履行义务的其他情况。</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发包人承担违约责任，赔偿因其违约给承包人造成的经济损失，顺延延误的工期。双方在专用条款内约定发包人赔偿承包人损失的计算方法或者发包人应当支付违约金的数额或计算方法。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35.2承包人违约。当发生下列情况时：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（1）本通用条款第14.2款提到的因承包人原因不能按照协议书约定的竣工日期或工程师同意顺延的工期竣工；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（2）本通用条款第15.1款提到的因承包人原因工程质量达不到协议书约定的质量标准；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（3）承包人不履行合同义务或不按合同约定履行义务的其他情况。</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承包人承担违约责任，赔偿因其违约给发包人造成的损失。双方在专用条款内约定承包人赔偿发包人损失的计算方法或者承包人应当支付违约金的数额或计算方法。</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35.3一方违约后，另一方要求违约方继续履行合同时，违约方承担上述违约责任后仍应继续履行合同。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36.索赔</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36.1当一方向另一方提出索赔时，要有正当索赔理由，且有索赔事件发生时的有效证据。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（1）索赔事件发生后28天内，向工程师发出索赔意向通知；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（2）发出索赔意向通知后28天内，向工程师提出延长工期和（或）补偿经济损失的索赔报告及有关资料；</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（3）工程师在收到承包人送交的索赔报告和有关资料后，于28天内给予答复，或要求承包人进一步补充索赔理由和证据；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（4）工程师在收到承包人送交的索赔报告和有关资料后28天内未予答复或未对承包人作进一步要求，视为该项索赔已经认可；</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（5）当该索赔事件持续进行时，承包人应当阶段性向工程师发出索赔意向，在索赔事件终了后28天内，向工程师送交索赔的有关资料和最终索赔报告。索赔答复程序与（3）、（4）规定相同。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36.3承包人未能按合同约定履行自己的各项义务或发生错误，给发包人造成经济损失，发包人可按36.2款确定的时限向承包人提出索赔。</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37.争议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37.1发包人承包人在履行合同时发生争议，可以和解或者要求有关主管部门调解。当事人不愿和解、调解或者和解、调解不成的，双方可以在专用条款内约定以下一种方式解决争议：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第一种解决方式：双方达成仲裁协议，向约定的仲裁委员会申请仲裁；</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第二种解决方式；向有管辖权的人民法院起诉。</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37.2发生争议后，除非出现下列情况的，双方都应继续履行合同，保持施工连续，保护好已完工程：</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（1）单方违约导致合同确已无法履行，双方协议停止施工；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（2）调解要求停止施工，且为双方接受；</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（3）仲裁机构要求停止施工；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（4）法院要求停止施工。</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十一、其他</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38.工程分包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38.1承包人按专用条款的约定分包所承包的部分工程，并与分包单位签订分包合同。非经发包人同意，承包人不得将承包工程的任何部分分包。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38.2承包人不得将其承包的全部工程转包给他人，也不得将其承包的全部工程肢解以后以分包的名义分别转包给他人。</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38.3工程分包不能解除承包人任何责任与义务。承包人应在分包场地派驻相应管理人员，保证本合同的履行。分包单位的任何违约行为或疏忽导致工程损害或给发包人造成其他损失，承包人承担连带责任。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38.4分包工程价款由承包人与分包单位结算。发包人未经承包人同意不得以任何形式向分包单位支付各种工程款项。</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39.不可抗力</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39.1不可抗力包括因战争、动乱、空中飞行物体坠落或其他非发包人承包人责任造成的爆炸、火灾，以及专用条款约定的风、雨、雪、洪、震等自然灾害。</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39.2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39.3因不可抗力事件导致的费用及延误的工期由双方按以下方法分别承担：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（1）工程本身的损害、因工程损害导致第三人人员伤亡和财产损失以及运至施工场地用于施工的材料和待安装的设备的损害，由发包人承担；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（2）发包人承包人人员伤亡由其所在单位负责，并承担相应费用；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（3）承包人机械设备损坏及停工损失，由承包人承担；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（4）停工期间，承包人应工程师要求留在施工场地的必要的管理人员及保卫人员的费用由发包人承担；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（5）工程所需清理、修复费用，由发包人承担；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（6）延误的工期相应顺延。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39.4因合同一方迟延履行合同后发生不可抗力的，不能免除迟延履行方的相应责任。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40.保险</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40.1工程开工前，发包人为建设工程和施工场地内的自有人员及第三人人员生命财产办理保险，支付保险费用。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40.2运至施工场地内用于工程的材料和待安装设备，由发包人办理保险，并支付保险费用。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40.3发包人可以将有关保险事项委托承包人办理，费用由发包人承担。</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40.4承包人必须为从事危险作业的职工办理意外伤害保险，并为施工场地内自有人员生命财产和施工机械设备办理保险，支付保险费用。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40.5保险事故发生时，发包人承包人有责任尽力采取必要的措施，防止或者减少损失。</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40.6具体投保内容和相关责任，发包人承包人在专用条款中约定。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41.担保</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41.1发包人承包人为了全面履行合同，应互相提供以下担保：</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（1）发包人向承包人提供履约担保，按合同约定支付工程价款及履行合同约定的其他义务。</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（2）承包人向发包人提供履约担保，按合同约定履行自己的各项义务。</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41.2一方违约后，另一方可要求提供担保的第三人承担相应责任。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41.3提供担保的内容、方式和相关责任，发包人承包人除在专用条款中约定外，被担保方与担保方还应签订担保合同，作为本合同附件。</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42.专利技术及特殊工艺</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42.1发包人要求使用专利技术或特殊工艺，应负责办理相应的申报手续，承担申报、试验、使用等费用；承包人提出使用专利技术或特殊工艺，应取得工程师认可，承包人负责办理申报手续并承担有关费用。</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42.2擅自使用专利技术侵犯他人专利权的，责任者依法承担相应责任。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43.文物和地下障碍物</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43.1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如发现后隐瞒不报，致使文物遭受破坏，责任者依法承担相应责任。</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43.2施工中发现影响施工的地下障碍物时，承包人应于8小时内以书面形式通知工程师，同时提出处置方案，工程师收到处置方案后24小时内予以认可或提出修正方案。发包人承担由此发生的费用，顺延延误的工期。</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所发现的地下障碍物有归属单位时，发包人应报请有关部门协同处置</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44.合同解除</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44.1发包人承包人协商一致，可以解除合同。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44.2发生本通用条款第26.4款情况，停止施工超过56天，发包人仍不支付工程款（进度款），承包人有权解除合同。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44.3发生本通用条款第38.2款禁止的情况，承包人将其承包的全部工程转包给他人或者肢解以后以分包的包义分别转包给他人，发包人有权解除合同。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44.4有下列情形之一的，发包人承包人可以解除合同：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（1）因不可抗力致使合同无法履行；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（2）因一方违约（包括因发包人原因造成工程停建或缓建）致使合同无法履行。</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44.5一方依据44.2、44.3、44.4款约定要求解除合同的，应以书面形式向对方发出解除合同的通知，并在发出通知前7天告知对方，通知到达对方时合同解除。对解除合同有争议的，按本通用条款第37条关于争议的约定处理。</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44.7合同解除后，不影响双方在合同中约定的结算和清理条款的效力。</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45.合同生效与终止</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45.1双方在协议书中约定合同生效方式。</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45.2除本通用条款第34条外，发包人承包人履行合同全部义务，竣工结算价款支付完毕，承包人向发包人交付竣工工程后，本合同即告终止。</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45.3合同的权利义务终止后，发包人承包人应当遵循诚实信用原则，履行通知、协助、保密等义务。</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46.合同份数</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46.1本合同正本两份，具有同等效力，由发包人承包人分别保存一份。</w:t>
      </w:r>
      <w:r>
        <w:rPr>
          <w:rFonts w:ascii="宋体" w:hAnsi="宋体" w:cs="宋体"/>
          <w:color w:val="auto"/>
          <w:sz w:val="21"/>
          <w:szCs w:val="21"/>
          <w:highlight w:val="none"/>
        </w:rPr>
        <w:br w:type="textWrapping"/>
      </w:r>
      <w:r>
        <w:rPr>
          <w:rFonts w:ascii="宋体" w:hAnsi="宋体" w:cs="宋体"/>
          <w:color w:val="auto"/>
          <w:sz w:val="21"/>
          <w:szCs w:val="21"/>
          <w:highlight w:val="none"/>
        </w:rPr>
        <w:t>　 </w:t>
      </w:r>
      <w:r>
        <w:rPr>
          <w:rFonts w:hint="eastAsia" w:ascii="宋体" w:hAnsi="宋体" w:cs="宋体"/>
          <w:color w:val="auto"/>
          <w:sz w:val="21"/>
          <w:szCs w:val="21"/>
          <w:highlight w:val="none"/>
        </w:rPr>
        <w:t>46.2本合同副本份数，由双方根据需要在专用条款内约定。</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47.补充条款。</w:t>
      </w:r>
      <w:r>
        <w:rPr>
          <w:rFonts w:ascii="宋体" w:hAnsi="宋体" w:cs="宋体"/>
          <w:color w:val="auto"/>
          <w:sz w:val="21"/>
          <w:szCs w:val="21"/>
          <w:highlight w:val="none"/>
        </w:rPr>
        <w:br w:type="textWrapping"/>
      </w:r>
      <w:r>
        <w:rPr>
          <w:rFonts w:hint="eastAsia" w:ascii="宋体" w:hAnsi="宋体" w:cs="宋体"/>
          <w:color w:val="auto"/>
          <w:sz w:val="21"/>
          <w:szCs w:val="21"/>
          <w:highlight w:val="none"/>
        </w:rPr>
        <w:t>　　双方根据有关法律、行政法规规定，结合工程实际，经协商一致后，可对本通用条款内容具体化、补充或修改，在专用条款内约定。</w:t>
      </w:r>
    </w:p>
    <w:p>
      <w:pPr>
        <w:pStyle w:val="50"/>
        <w:jc w:val="center"/>
        <w:rPr>
          <w:rFonts w:hint="eastAsia" w:ascii="宋体" w:hAnsi="宋体"/>
          <w:b/>
          <w:color w:val="auto"/>
          <w:sz w:val="21"/>
          <w:szCs w:val="21"/>
          <w:highlight w:val="none"/>
          <w:lang w:eastAsia="zh-CN"/>
        </w:rPr>
      </w:pPr>
      <w:r>
        <w:rPr>
          <w:rFonts w:ascii="宋体" w:hAnsi="宋体"/>
          <w:b/>
          <w:color w:val="auto"/>
          <w:sz w:val="21"/>
          <w:szCs w:val="21"/>
          <w:highlight w:val="none"/>
          <w:lang w:eastAsia="zh-CN"/>
        </w:rPr>
        <w:br w:type="page"/>
      </w:r>
    </w:p>
    <w:p>
      <w:pPr>
        <w:pStyle w:val="50"/>
        <w:jc w:val="center"/>
        <w:rPr>
          <w:rFonts w:ascii="宋体"/>
          <w:color w:val="auto"/>
          <w:sz w:val="21"/>
          <w:szCs w:val="21"/>
          <w:highlight w:val="none"/>
        </w:rPr>
      </w:pPr>
      <w:bookmarkStart w:id="129" w:name="_Toc18917_WPSOffice_Level2"/>
      <w:r>
        <w:rPr>
          <w:rFonts w:hint="eastAsia" w:ascii="宋体" w:hAnsi="宋体"/>
          <w:color w:val="auto"/>
          <w:sz w:val="21"/>
          <w:szCs w:val="21"/>
          <w:highlight w:val="none"/>
        </w:rPr>
        <w:t>第</w:t>
      </w:r>
      <w:r>
        <w:rPr>
          <w:rFonts w:hint="eastAsia" w:ascii="宋体" w:hAnsi="宋体"/>
          <w:color w:val="auto"/>
          <w:sz w:val="21"/>
          <w:szCs w:val="21"/>
          <w:highlight w:val="none"/>
          <w:lang w:eastAsia="zh-CN"/>
        </w:rPr>
        <w:t>三</w:t>
      </w:r>
      <w:r>
        <w:rPr>
          <w:rFonts w:hint="eastAsia" w:ascii="宋体" w:hAnsi="宋体"/>
          <w:color w:val="auto"/>
          <w:sz w:val="21"/>
          <w:szCs w:val="21"/>
          <w:highlight w:val="none"/>
        </w:rPr>
        <w:t>节专用合同条款</w:t>
      </w:r>
      <w:bookmarkEnd w:id="129"/>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一、词语定义及合同文件</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．合同文件及解释顺序</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合同文件组成及解释顺序：（</w:t>
      </w:r>
      <w:r>
        <w:rPr>
          <w:rFonts w:ascii="宋体" w:hAnsi="宋体" w:cs="宋体"/>
          <w:color w:val="auto"/>
          <w:sz w:val="21"/>
          <w:szCs w:val="21"/>
          <w:highlight w:val="none"/>
        </w:rPr>
        <w:t>1</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本合同协议书（</w:t>
      </w:r>
      <w:r>
        <w:rPr>
          <w:rFonts w:ascii="宋体" w:hAnsi="宋体" w:cs="宋体"/>
          <w:color w:val="auto"/>
          <w:sz w:val="21"/>
          <w:szCs w:val="21"/>
          <w:highlight w:val="none"/>
          <w:u w:val="single"/>
        </w:rPr>
        <w:t>2</w:t>
      </w:r>
      <w:r>
        <w:rPr>
          <w:rFonts w:hint="eastAsia" w:ascii="宋体" w:hAnsi="宋体" w:cs="宋体"/>
          <w:color w:val="auto"/>
          <w:sz w:val="21"/>
          <w:szCs w:val="21"/>
          <w:highlight w:val="none"/>
          <w:u w:val="single"/>
        </w:rPr>
        <w:t>）中标通知书（</w:t>
      </w:r>
      <w:r>
        <w:rPr>
          <w:rFonts w:ascii="宋体" w:hAnsi="宋体" w:cs="宋体"/>
          <w:color w:val="auto"/>
          <w:sz w:val="21"/>
          <w:szCs w:val="21"/>
          <w:highlight w:val="none"/>
          <w:u w:val="single"/>
        </w:rPr>
        <w:t>3</w:t>
      </w:r>
      <w:r>
        <w:rPr>
          <w:rFonts w:hint="eastAsia" w:ascii="宋体" w:hAnsi="宋体" w:cs="宋体"/>
          <w:color w:val="auto"/>
          <w:sz w:val="21"/>
          <w:szCs w:val="21"/>
          <w:highlight w:val="none"/>
          <w:u w:val="single"/>
        </w:rPr>
        <w:t>）本合同专用条款（</w:t>
      </w:r>
      <w:r>
        <w:rPr>
          <w:rFonts w:ascii="宋体" w:hAnsi="宋体" w:cs="宋体"/>
          <w:color w:val="auto"/>
          <w:sz w:val="21"/>
          <w:szCs w:val="21"/>
          <w:highlight w:val="none"/>
          <w:u w:val="single"/>
        </w:rPr>
        <w:t>4</w:t>
      </w:r>
      <w:r>
        <w:rPr>
          <w:rFonts w:hint="eastAsia" w:ascii="宋体" w:hAnsi="宋体" w:cs="宋体"/>
          <w:color w:val="auto"/>
          <w:sz w:val="21"/>
          <w:szCs w:val="21"/>
          <w:highlight w:val="none"/>
          <w:u w:val="single"/>
        </w:rPr>
        <w:t>）补充协议（</w:t>
      </w:r>
      <w:r>
        <w:rPr>
          <w:rFonts w:ascii="宋体" w:hAnsi="宋体" w:cs="宋体"/>
          <w:color w:val="auto"/>
          <w:sz w:val="21"/>
          <w:szCs w:val="21"/>
          <w:highlight w:val="none"/>
          <w:u w:val="single"/>
        </w:rPr>
        <w:t>5</w:t>
      </w:r>
      <w:r>
        <w:rPr>
          <w:rFonts w:hint="eastAsia" w:ascii="宋体" w:hAnsi="宋体" w:cs="宋体"/>
          <w:color w:val="auto"/>
          <w:sz w:val="21"/>
          <w:szCs w:val="21"/>
          <w:highlight w:val="none"/>
          <w:u w:val="single"/>
        </w:rPr>
        <w:t>）采购文件及附件（</w:t>
      </w:r>
      <w:r>
        <w:rPr>
          <w:rFonts w:ascii="宋体" w:hAnsi="宋体" w:cs="宋体"/>
          <w:color w:val="auto"/>
          <w:sz w:val="21"/>
          <w:szCs w:val="21"/>
          <w:highlight w:val="none"/>
          <w:u w:val="single"/>
        </w:rPr>
        <w:t>6</w:t>
      </w:r>
      <w:r>
        <w:rPr>
          <w:rFonts w:hint="eastAsia" w:ascii="宋体" w:hAnsi="宋体" w:cs="宋体"/>
          <w:color w:val="auto"/>
          <w:sz w:val="21"/>
          <w:szCs w:val="21"/>
          <w:highlight w:val="none"/>
          <w:u w:val="single"/>
        </w:rPr>
        <w:t>）响应文件及附件（</w:t>
      </w:r>
      <w:r>
        <w:rPr>
          <w:rFonts w:ascii="宋体" w:hAnsi="宋体" w:cs="宋体"/>
          <w:color w:val="auto"/>
          <w:sz w:val="21"/>
          <w:szCs w:val="21"/>
          <w:highlight w:val="none"/>
          <w:u w:val="single"/>
        </w:rPr>
        <w:t>7</w:t>
      </w:r>
      <w:r>
        <w:rPr>
          <w:rFonts w:hint="eastAsia" w:ascii="宋体" w:hAnsi="宋体" w:cs="宋体"/>
          <w:color w:val="auto"/>
          <w:sz w:val="21"/>
          <w:szCs w:val="21"/>
          <w:highlight w:val="none"/>
          <w:u w:val="single"/>
        </w:rPr>
        <w:t>）本合同通用条款（8）技术标准及规范等。</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语言文字和适用法律、标准及规范</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3.1 </w:t>
      </w:r>
      <w:r>
        <w:rPr>
          <w:rFonts w:hint="eastAsia" w:ascii="宋体" w:hAnsi="宋体" w:cs="宋体"/>
          <w:color w:val="auto"/>
          <w:sz w:val="21"/>
          <w:szCs w:val="21"/>
          <w:highlight w:val="none"/>
        </w:rPr>
        <w:t>本合同除使用汉语外，还使用</w:t>
      </w:r>
      <w:r>
        <w:rPr>
          <w:rFonts w:hint="eastAsia" w:ascii="宋体" w:hAnsi="宋体" w:cs="宋体"/>
          <w:color w:val="auto"/>
          <w:sz w:val="21"/>
          <w:szCs w:val="21"/>
          <w:highlight w:val="none"/>
          <w:u w:val="single"/>
        </w:rPr>
        <w:t>无</w:t>
      </w:r>
      <w:r>
        <w:rPr>
          <w:rFonts w:hint="eastAsia" w:ascii="宋体" w:hAnsi="宋体" w:cs="宋体"/>
          <w:color w:val="auto"/>
          <w:sz w:val="21"/>
          <w:szCs w:val="21"/>
          <w:highlight w:val="none"/>
        </w:rPr>
        <w:t>语言文字。</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适用法律和法规</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需要明示的法律、行政法规：</w:t>
      </w:r>
      <w:r>
        <w:rPr>
          <w:rFonts w:hint="eastAsia" w:ascii="宋体" w:hAnsi="宋体" w:cs="宋体"/>
          <w:color w:val="auto"/>
          <w:sz w:val="21"/>
          <w:szCs w:val="21"/>
          <w:highlight w:val="none"/>
          <w:u w:val="single"/>
        </w:rPr>
        <w:t>《中华人民共和国建筑法》、《中华人民共和国合同法》、《中华人民共和国招标投标法》、《中华人民共和国安全生产法》、《建筑工程质量管理条例》、《建设工程安全生产管理条例》及现行相关法律、法规。</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适用标准、规范</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适用标准、规范的名称：</w:t>
      </w:r>
      <w:r>
        <w:rPr>
          <w:rFonts w:hint="eastAsia" w:ascii="宋体" w:hAnsi="宋体" w:cs="宋体"/>
          <w:color w:val="auto"/>
          <w:sz w:val="21"/>
          <w:szCs w:val="21"/>
          <w:highlight w:val="none"/>
          <w:u w:val="single"/>
        </w:rPr>
        <w:t>现行的国家、地方和行业质量标准、规范、《建筑工程施工质量验收统一标准</w:t>
      </w:r>
      <w:r>
        <w:rPr>
          <w:rFonts w:ascii="宋体" w:hAnsi="宋体" w:cs="宋体"/>
          <w:color w:val="auto"/>
          <w:sz w:val="21"/>
          <w:szCs w:val="21"/>
          <w:highlight w:val="none"/>
          <w:u w:val="single"/>
        </w:rPr>
        <w:t>GB50300-2013</w:t>
      </w:r>
      <w:r>
        <w:rPr>
          <w:rFonts w:hint="eastAsia" w:ascii="宋体" w:hAnsi="宋体" w:cs="宋体"/>
          <w:color w:val="auto"/>
          <w:sz w:val="21"/>
          <w:szCs w:val="21"/>
          <w:highlight w:val="none"/>
          <w:u w:val="single"/>
        </w:rPr>
        <w:t>》。</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发包人提供标准、规范的时间：</w:t>
      </w:r>
      <w:r>
        <w:rPr>
          <w:rFonts w:hint="eastAsia" w:ascii="宋体" w:hAnsi="宋体" w:cs="宋体"/>
          <w:color w:val="auto"/>
          <w:sz w:val="21"/>
          <w:szCs w:val="21"/>
          <w:highlight w:val="none"/>
          <w:u w:val="single"/>
        </w:rPr>
        <w:t>本合同签订之日。</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国内没有相应标准、规范的约定：</w:t>
      </w:r>
      <w:r>
        <w:rPr>
          <w:rFonts w:hint="eastAsia" w:ascii="宋体" w:hAnsi="宋体" w:cs="宋体"/>
          <w:color w:val="auto"/>
          <w:sz w:val="21"/>
          <w:szCs w:val="21"/>
          <w:highlight w:val="none"/>
          <w:u w:val="single"/>
        </w:rPr>
        <w:t>按地方、行业协会及企业标准、规范、规定、经发包人、承包人双方确认后执行。</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．图纸</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4.1</w:t>
      </w:r>
      <w:r>
        <w:rPr>
          <w:rFonts w:hint="eastAsia" w:ascii="宋体" w:hAnsi="宋体" w:cs="宋体"/>
          <w:color w:val="auto"/>
          <w:sz w:val="21"/>
          <w:szCs w:val="21"/>
          <w:highlight w:val="none"/>
        </w:rPr>
        <w:t>发包人向承包人提供图纸日期和套数：</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开工前提供蓝图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发包人对图纸的保密要求：</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使用国外图纸的要求及费用承担：</w:t>
      </w:r>
      <w:r>
        <w:rPr>
          <w:rFonts w:ascii="宋体" w:hAnsi="宋体" w:cs="宋体"/>
          <w:color w:val="auto"/>
          <w:sz w:val="21"/>
          <w:szCs w:val="21"/>
          <w:highlight w:val="none"/>
        </w:rPr>
        <w:t>/</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二、双方一般权利和义务</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工程师</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5.2</w:t>
      </w:r>
      <w:r>
        <w:rPr>
          <w:rFonts w:hint="eastAsia" w:ascii="宋体" w:hAnsi="宋体" w:cs="宋体"/>
          <w:color w:val="auto"/>
          <w:sz w:val="21"/>
          <w:szCs w:val="21"/>
          <w:highlight w:val="none"/>
        </w:rPr>
        <w:t>监理单位委派的工程师</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姓名：         职务：</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发包人委托的职权：</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需要取得发包人批准才能行使的职权：</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5.3</w:t>
      </w:r>
      <w:r>
        <w:rPr>
          <w:rFonts w:hint="eastAsia" w:ascii="宋体" w:hAnsi="宋体" w:cs="宋体"/>
          <w:color w:val="auto"/>
          <w:sz w:val="21"/>
          <w:szCs w:val="21"/>
          <w:highlight w:val="none"/>
        </w:rPr>
        <w:t>发包人派驻的工程师</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 xml:space="preserve">姓名：            职务：  </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职权：</w:t>
      </w:r>
    </w:p>
    <w:p>
      <w:pPr>
        <w:spacing w:line="360" w:lineRule="auto"/>
        <w:ind w:firstLine="420" w:firstLineChars="200"/>
        <w:rPr>
          <w:rFonts w:hint="eastAsia" w:ascii="宋体" w:hAnsi="宋体" w:cs="宋体"/>
          <w:color w:val="auto"/>
          <w:sz w:val="21"/>
          <w:szCs w:val="21"/>
          <w:highlight w:val="none"/>
          <w:u w:val="single"/>
        </w:rPr>
      </w:pPr>
      <w:r>
        <w:rPr>
          <w:rFonts w:ascii="宋体" w:hAnsi="宋体" w:cs="宋体"/>
          <w:color w:val="auto"/>
          <w:sz w:val="21"/>
          <w:szCs w:val="21"/>
          <w:highlight w:val="none"/>
        </w:rPr>
        <w:t>5.6</w:t>
      </w:r>
      <w:r>
        <w:rPr>
          <w:rFonts w:hint="eastAsia" w:ascii="宋体" w:hAnsi="宋体" w:cs="宋体"/>
          <w:color w:val="auto"/>
          <w:sz w:val="21"/>
          <w:szCs w:val="21"/>
          <w:highlight w:val="none"/>
        </w:rPr>
        <w:t>工程师的职权：</w:t>
      </w:r>
      <w:r>
        <w:rPr>
          <w:rFonts w:hint="eastAsia" w:ascii="宋体" w:hAnsi="宋体" w:cs="宋体"/>
          <w:color w:val="auto"/>
          <w:sz w:val="21"/>
          <w:szCs w:val="21"/>
          <w:highlight w:val="none"/>
          <w:u w:val="single"/>
        </w:rPr>
        <w:t>督促本合同的实施，协调处理工程施工中出现的问题，签证并确认施工中变更联系单和相关费用，负责施工全过程质量监督和检验，签署工序验收单，隐蔽工程验收单，审核工程进度和竣工验收报告，按合同条款签付工程进度款，监督施工进度和督促资料的完成。</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 xml:space="preserve"> 7</w:t>
      </w:r>
      <w:r>
        <w:rPr>
          <w:rFonts w:hint="eastAsia" w:ascii="宋体" w:hAnsi="宋体" w:cs="宋体"/>
          <w:color w:val="auto"/>
          <w:sz w:val="21"/>
          <w:szCs w:val="21"/>
          <w:highlight w:val="none"/>
        </w:rPr>
        <w:t>．项目负责人</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职务：</w:t>
      </w:r>
      <w:r>
        <w:rPr>
          <w:rFonts w:hint="eastAsia" w:ascii="宋体" w:hAnsi="宋体" w:cs="宋体"/>
          <w:color w:val="auto"/>
          <w:sz w:val="21"/>
          <w:szCs w:val="21"/>
          <w:highlight w:val="none"/>
          <w:u w:val="single"/>
        </w:rPr>
        <w:t>项目负责人</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．发包人工作</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8.1</w:t>
      </w:r>
      <w:r>
        <w:rPr>
          <w:rFonts w:hint="eastAsia" w:ascii="宋体" w:hAnsi="宋体" w:cs="宋体"/>
          <w:color w:val="auto"/>
          <w:sz w:val="21"/>
          <w:szCs w:val="21"/>
          <w:highlight w:val="none"/>
        </w:rPr>
        <w:t>发包人应按约定的时间和要求完成以下工作：</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）施工场地具备施工条件的要求及完成的时间：</w:t>
      </w:r>
      <w:r>
        <w:rPr>
          <w:rFonts w:hint="eastAsia" w:ascii="宋体" w:hAnsi="宋体" w:cs="宋体"/>
          <w:color w:val="auto"/>
          <w:sz w:val="21"/>
          <w:szCs w:val="21"/>
          <w:highlight w:val="none"/>
          <w:u w:val="single"/>
        </w:rPr>
        <w:t>已具备。</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）将施工所需的水、电、电讯线路接至施工场地的时间、地点和供应要求：</w:t>
      </w:r>
      <w:r>
        <w:rPr>
          <w:rFonts w:hint="eastAsia" w:ascii="宋体" w:hAnsi="宋体" w:cs="宋体"/>
          <w:color w:val="auto"/>
          <w:sz w:val="21"/>
          <w:szCs w:val="21"/>
          <w:highlight w:val="none"/>
          <w:u w:val="single"/>
        </w:rPr>
        <w:t>发包人提供施工所需的水、电、电讯线路的接入口，承包人负责安装单独计量表接入，产生的水电等一切费用由承包人自行承担，并另行向发包人支付。如无法安装水电表，则按规定将从工程款中扣除水电费（按定额含量扣除）</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）施工场地与公共道路的通道开通时间和要求：</w:t>
      </w:r>
      <w:r>
        <w:rPr>
          <w:rFonts w:hint="eastAsia" w:ascii="宋体" w:hAnsi="宋体" w:cs="宋体"/>
          <w:color w:val="auto"/>
          <w:sz w:val="21"/>
          <w:szCs w:val="21"/>
          <w:highlight w:val="none"/>
          <w:u w:val="single"/>
        </w:rPr>
        <w:t>已开通。</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）工程地质和地下管线资料的提供时间：</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）由发包人办理的施工所需证件、批件的名称和完成时间：</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）水准点与座标控制点交验要求：</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）图纸会审和设计交底时间：</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）协调处理施工场地周围地下管线和邻近建筑物、构筑物（含文物保护建筑）、古树名木的保护工作.</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9</w:t>
      </w:r>
      <w:r>
        <w:rPr>
          <w:rFonts w:hint="eastAsia" w:ascii="宋体" w:hAnsi="宋体" w:cs="宋体"/>
          <w:color w:val="auto"/>
          <w:sz w:val="21"/>
          <w:szCs w:val="21"/>
          <w:highlight w:val="none"/>
        </w:rPr>
        <w:t>）双方约定发包工应做的其他工作：</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rPr>
        <w:t>8.2</w:t>
      </w:r>
      <w:r>
        <w:rPr>
          <w:rFonts w:hint="eastAsia" w:ascii="宋体" w:hAnsi="宋体" w:cs="宋体"/>
          <w:color w:val="auto"/>
          <w:sz w:val="21"/>
          <w:szCs w:val="21"/>
          <w:highlight w:val="none"/>
        </w:rPr>
        <w:t>发包人委托承包人办理的工作：</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9</w:t>
      </w:r>
      <w:r>
        <w:rPr>
          <w:rFonts w:hint="eastAsia" w:ascii="宋体" w:hAnsi="宋体" w:cs="宋体"/>
          <w:color w:val="auto"/>
          <w:sz w:val="21"/>
          <w:szCs w:val="21"/>
          <w:highlight w:val="none"/>
        </w:rPr>
        <w:t>．承包人工作</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9.1</w:t>
      </w:r>
      <w:r>
        <w:rPr>
          <w:rFonts w:hint="eastAsia" w:ascii="宋体" w:hAnsi="宋体" w:cs="宋体"/>
          <w:color w:val="auto"/>
          <w:sz w:val="21"/>
          <w:szCs w:val="21"/>
          <w:highlight w:val="none"/>
        </w:rPr>
        <w:t>承包人应按约定时间和要求，完成以下工作：</w:t>
      </w:r>
    </w:p>
    <w:p>
      <w:pPr>
        <w:spacing w:line="360" w:lineRule="auto"/>
        <w:ind w:left="125" w:leftChars="57" w:firstLine="333" w:firstLineChars="159"/>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）需由设计资质等级和业务范围允许的承包人完成的设计文件提交时间：</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）应提供计划、报表的名称及完成时间：</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）承担施工安全保卫工作及非夜间施工照明的责任和要求：</w:t>
      </w:r>
      <w:r>
        <w:rPr>
          <w:rFonts w:hint="eastAsia" w:ascii="宋体" w:hAnsi="宋体" w:cs="宋体"/>
          <w:color w:val="auto"/>
          <w:sz w:val="21"/>
          <w:szCs w:val="21"/>
          <w:highlight w:val="none"/>
          <w:u w:val="single"/>
        </w:rPr>
        <w:t>承包人施工过程中负责安全保卫，确保场内人员及过路行人的安全。</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）向发包人提供的办公和生活房屋及设施的要求：</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）需承包人办理的有关施工场地交通、环卫和施工噪音管理等手续：</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）已完工程成品保护的特殊要求及费用承担：</w:t>
      </w:r>
      <w:r>
        <w:rPr>
          <w:rFonts w:hint="eastAsia" w:ascii="宋体" w:hAnsi="宋体" w:cs="宋体"/>
          <w:color w:val="auto"/>
          <w:sz w:val="21"/>
          <w:szCs w:val="21"/>
          <w:highlight w:val="none"/>
          <w:u w:val="single"/>
        </w:rPr>
        <w:t>在未竣工验收交货前，成品保护及费用均由承包人承担。</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）施工场地周围地下管线和邻近建筑物、构筑物（含文物保护建筑）、古树名木的保护要求及费用承担：</w:t>
      </w:r>
      <w:r>
        <w:rPr>
          <w:rFonts w:hint="eastAsia" w:ascii="宋体" w:hAnsi="宋体" w:cs="宋体"/>
          <w:color w:val="auto"/>
          <w:sz w:val="21"/>
          <w:szCs w:val="21"/>
          <w:highlight w:val="none"/>
          <w:u w:val="single"/>
        </w:rPr>
        <w:t>由承包人负责保护并承担费用。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）施工场地清洁卫生的要求：</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u w:val="single"/>
        </w:rPr>
        <w:t>每天清扫一次，现场公共部位的清洁工作，工程完工后</w:t>
      </w:r>
      <w:r>
        <w:rPr>
          <w:rFonts w:ascii="宋体" w:hAnsi="宋体" w:cs="宋体"/>
          <w:color w:val="auto"/>
          <w:sz w:val="21"/>
          <w:szCs w:val="21"/>
          <w:highlight w:val="none"/>
          <w:u w:val="single"/>
        </w:rPr>
        <w:t>2</w:t>
      </w:r>
      <w:r>
        <w:rPr>
          <w:rFonts w:hint="eastAsia" w:ascii="宋体" w:hAnsi="宋体" w:cs="宋体"/>
          <w:color w:val="auto"/>
          <w:sz w:val="21"/>
          <w:szCs w:val="21"/>
          <w:highlight w:val="none"/>
          <w:u w:val="single"/>
        </w:rPr>
        <w:t>天内现场应清除所有不再需要的临时工程，承包人的设备和多余材料，全部建筑和生活垃圾。</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9</w:t>
      </w:r>
      <w:r>
        <w:rPr>
          <w:rFonts w:hint="eastAsia" w:ascii="宋体" w:hAnsi="宋体" w:cs="宋体"/>
          <w:color w:val="auto"/>
          <w:sz w:val="21"/>
          <w:szCs w:val="21"/>
          <w:highlight w:val="none"/>
        </w:rPr>
        <w:t>）双方约定承包人应做的其他工作：</w:t>
      </w:r>
    </w:p>
    <w:p>
      <w:pPr>
        <w:spacing w:line="360" w:lineRule="auto"/>
        <w:ind w:firstLine="420" w:firstLineChars="200"/>
        <w:rPr>
          <w:rFonts w:hint="eastAsia" w:ascii="宋体" w:cs="宋体"/>
          <w:color w:val="auto"/>
          <w:sz w:val="21"/>
          <w:szCs w:val="21"/>
          <w:highlight w:val="none"/>
          <w:u w:val="single"/>
        </w:rPr>
      </w:pPr>
      <w:r>
        <w:rPr>
          <w:rFonts w:hint="eastAsia" w:ascii="宋体" w:hAnsi="宋体" w:cs="宋体"/>
          <w:color w:val="auto"/>
          <w:sz w:val="21"/>
          <w:szCs w:val="21"/>
          <w:highlight w:val="none"/>
          <w:u w:val="single"/>
        </w:rPr>
        <w:t>施工期间，休息时段（早、中、晚）施工场地应不影响学校正常通行。</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三、施工组织设计和工期</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．进度计划</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10.1</w:t>
      </w:r>
      <w:r>
        <w:rPr>
          <w:rFonts w:hint="eastAsia" w:ascii="宋体" w:hAnsi="宋体" w:cs="宋体"/>
          <w:color w:val="auto"/>
          <w:sz w:val="21"/>
          <w:szCs w:val="21"/>
          <w:highlight w:val="none"/>
        </w:rPr>
        <w:t>承包人提供施工组织设计（施工方案）和进度计划的时间：</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u w:val="single"/>
        </w:rPr>
        <w:t>开工前              天提交施工组织设计，并同时提交进度计划。</w:t>
      </w:r>
    </w:p>
    <w:p>
      <w:pPr>
        <w:spacing w:line="360" w:lineRule="auto"/>
        <w:ind w:firstLine="420" w:firstLineChars="200"/>
        <w:rPr>
          <w:rFonts w:ascii="宋体" w:cs="宋体"/>
          <w:i/>
          <w:iCs/>
          <w:color w:val="auto"/>
          <w:sz w:val="21"/>
          <w:szCs w:val="21"/>
          <w:highlight w:val="none"/>
          <w:u w:val="single"/>
        </w:rPr>
      </w:pPr>
      <w:r>
        <w:rPr>
          <w:rFonts w:hint="eastAsia" w:ascii="宋体" w:hAnsi="宋体" w:cs="宋体"/>
          <w:color w:val="auto"/>
          <w:sz w:val="21"/>
          <w:szCs w:val="21"/>
          <w:highlight w:val="none"/>
        </w:rPr>
        <w:t>工程师确认的时间：</w:t>
      </w:r>
      <w:r>
        <w:rPr>
          <w:rFonts w:hint="eastAsia" w:ascii="宋体" w:hAnsi="宋体" w:cs="宋体"/>
          <w:color w:val="auto"/>
          <w:sz w:val="21"/>
          <w:szCs w:val="21"/>
          <w:highlight w:val="none"/>
          <w:u w:val="single"/>
        </w:rPr>
        <w:t>收到完整资料后一周。</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10.2</w:t>
      </w:r>
      <w:r>
        <w:rPr>
          <w:rFonts w:hint="eastAsia" w:ascii="宋体" w:hAnsi="宋体" w:cs="宋体"/>
          <w:color w:val="auto"/>
          <w:sz w:val="21"/>
          <w:szCs w:val="21"/>
          <w:highlight w:val="none"/>
        </w:rPr>
        <w:t>群体工程中有关进度计划的要求：</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13</w:t>
      </w:r>
      <w:r>
        <w:rPr>
          <w:rFonts w:hint="eastAsia" w:ascii="宋体" w:hAnsi="宋体" w:cs="宋体"/>
          <w:color w:val="auto"/>
          <w:sz w:val="21"/>
          <w:szCs w:val="21"/>
          <w:highlight w:val="none"/>
        </w:rPr>
        <w:t>．工期延误</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13.1</w:t>
      </w:r>
      <w:r>
        <w:rPr>
          <w:rFonts w:hint="eastAsia" w:ascii="宋体" w:hAnsi="宋体" w:cs="宋体"/>
          <w:color w:val="auto"/>
          <w:sz w:val="21"/>
          <w:szCs w:val="21"/>
          <w:highlight w:val="none"/>
        </w:rPr>
        <w:t>双方约定工期顺延的其他情况：</w:t>
      </w:r>
    </w:p>
    <w:p>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遇不可抗力情况，国家法规规定可顺延条件及发包人责任引起的工期延误，经承包人申报，发包人批准后，可顺延工期。设计变更或者甲方原因引起的延期。</w:t>
      </w:r>
    </w:p>
    <w:p>
      <w:pPr>
        <w:spacing w:line="360" w:lineRule="auto"/>
        <w:ind w:firstLine="420" w:firstLineChars="200"/>
        <w:rPr>
          <w:rFonts w:hint="eastAsia" w:ascii="宋体" w:cs="宋体"/>
          <w:color w:val="auto"/>
          <w:sz w:val="21"/>
          <w:szCs w:val="21"/>
          <w:highlight w:val="none"/>
        </w:rPr>
      </w:pPr>
      <w:r>
        <w:rPr>
          <w:rFonts w:hint="eastAsia" w:ascii="宋体" w:hAnsi="宋体" w:cs="宋体"/>
          <w:color w:val="auto"/>
          <w:sz w:val="21"/>
          <w:szCs w:val="21"/>
          <w:highlight w:val="none"/>
        </w:rPr>
        <w:t>非上述原因引起的工期延误，</w:t>
      </w:r>
      <w:r>
        <w:rPr>
          <w:rFonts w:ascii="宋体" w:hAnsi="宋体" w:cs="宋体"/>
          <w:color w:val="auto"/>
          <w:sz w:val="21"/>
          <w:szCs w:val="21"/>
          <w:highlight w:val="none"/>
        </w:rPr>
        <w:t>3</w:t>
      </w:r>
      <w:r>
        <w:rPr>
          <w:rFonts w:hint="eastAsia" w:ascii="宋体" w:hAnsi="宋体" w:cs="宋体"/>
          <w:color w:val="auto"/>
          <w:sz w:val="21"/>
          <w:szCs w:val="21"/>
          <w:highlight w:val="none"/>
        </w:rPr>
        <w:t>天以内的按</w:t>
      </w:r>
      <w:r>
        <w:rPr>
          <w:rFonts w:ascii="宋体" w:hAnsi="宋体" w:cs="宋体"/>
          <w:color w:val="auto"/>
          <w:sz w:val="21"/>
          <w:szCs w:val="21"/>
          <w:highlight w:val="none"/>
        </w:rPr>
        <w:t>3000</w:t>
      </w:r>
      <w:r>
        <w:rPr>
          <w:rFonts w:hint="eastAsia" w:ascii="宋体" w:hAnsi="宋体" w:cs="宋体"/>
          <w:color w:val="auto"/>
          <w:sz w:val="21"/>
          <w:szCs w:val="21"/>
          <w:highlight w:val="none"/>
        </w:rPr>
        <w:t>元人民币</w:t>
      </w:r>
      <w:r>
        <w:rPr>
          <w:rFonts w:ascii="宋体" w:hAnsi="宋体" w:cs="宋体"/>
          <w:color w:val="auto"/>
          <w:sz w:val="21"/>
          <w:szCs w:val="21"/>
          <w:highlight w:val="none"/>
        </w:rPr>
        <w:t>/</w:t>
      </w:r>
      <w:r>
        <w:rPr>
          <w:rFonts w:hint="eastAsia" w:ascii="宋体" w:hAnsi="宋体" w:cs="宋体"/>
          <w:color w:val="auto"/>
          <w:sz w:val="21"/>
          <w:szCs w:val="21"/>
          <w:highlight w:val="none"/>
        </w:rPr>
        <w:t>天扣除工期延误费，</w:t>
      </w:r>
      <w:r>
        <w:rPr>
          <w:rFonts w:ascii="宋体" w:hAnsi="宋体" w:cs="宋体"/>
          <w:color w:val="auto"/>
          <w:sz w:val="21"/>
          <w:szCs w:val="21"/>
          <w:highlight w:val="none"/>
        </w:rPr>
        <w:t>3</w:t>
      </w:r>
      <w:r>
        <w:rPr>
          <w:rFonts w:hint="eastAsia" w:ascii="宋体" w:hAnsi="宋体" w:cs="宋体"/>
          <w:color w:val="auto"/>
          <w:sz w:val="21"/>
          <w:szCs w:val="21"/>
          <w:highlight w:val="none"/>
        </w:rPr>
        <w:t>天以上的，则以上天数按</w:t>
      </w:r>
      <w:r>
        <w:rPr>
          <w:rFonts w:ascii="宋体" w:hAnsi="宋体" w:cs="宋体"/>
          <w:color w:val="auto"/>
          <w:sz w:val="21"/>
          <w:szCs w:val="21"/>
          <w:highlight w:val="none"/>
        </w:rPr>
        <w:t>5000</w:t>
      </w:r>
      <w:r>
        <w:rPr>
          <w:rFonts w:hint="eastAsia" w:ascii="宋体" w:hAnsi="宋体" w:cs="宋体"/>
          <w:color w:val="auto"/>
          <w:sz w:val="21"/>
          <w:szCs w:val="21"/>
          <w:highlight w:val="none"/>
        </w:rPr>
        <w:t>元人民币</w:t>
      </w:r>
      <w:r>
        <w:rPr>
          <w:rFonts w:ascii="宋体" w:hAnsi="宋体" w:cs="宋体"/>
          <w:color w:val="auto"/>
          <w:sz w:val="21"/>
          <w:szCs w:val="21"/>
          <w:highlight w:val="none"/>
        </w:rPr>
        <w:t>/</w:t>
      </w:r>
      <w:r>
        <w:rPr>
          <w:rFonts w:hint="eastAsia" w:ascii="宋体" w:hAnsi="宋体" w:cs="宋体"/>
          <w:color w:val="auto"/>
          <w:sz w:val="21"/>
          <w:szCs w:val="21"/>
          <w:highlight w:val="none"/>
        </w:rPr>
        <w:t>天计算。</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四、质量与验收</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17.</w:t>
      </w:r>
      <w:r>
        <w:rPr>
          <w:rFonts w:hint="eastAsia" w:ascii="宋体" w:hAnsi="宋体" w:cs="宋体"/>
          <w:color w:val="auto"/>
          <w:sz w:val="21"/>
          <w:szCs w:val="21"/>
          <w:highlight w:val="none"/>
        </w:rPr>
        <w:t>隐蔽工程和中间验收</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rPr>
        <w:t>17.1</w:t>
      </w:r>
      <w:r>
        <w:rPr>
          <w:rFonts w:hint="eastAsia" w:ascii="宋体" w:hAnsi="宋体" w:cs="宋体"/>
          <w:color w:val="auto"/>
          <w:sz w:val="21"/>
          <w:szCs w:val="21"/>
          <w:highlight w:val="none"/>
        </w:rPr>
        <w:t>双方约定中间验收部位：</w:t>
      </w:r>
      <w:r>
        <w:rPr>
          <w:rFonts w:hint="eastAsia" w:ascii="宋体" w:hAnsi="宋体" w:cs="宋体"/>
          <w:color w:val="auto"/>
          <w:sz w:val="21"/>
          <w:szCs w:val="21"/>
          <w:highlight w:val="none"/>
          <w:u w:val="single"/>
        </w:rPr>
        <w:t>由建设单位跟踪验收，总体工程质量符合《工程施工质量验收规范</w:t>
      </w:r>
      <w:r>
        <w:rPr>
          <w:rFonts w:ascii="宋体" w:hAnsi="宋体" w:cs="宋体"/>
          <w:color w:val="auto"/>
          <w:sz w:val="21"/>
          <w:szCs w:val="21"/>
          <w:highlight w:val="none"/>
          <w:u w:val="single"/>
        </w:rPr>
        <w:t>GB50300-2013</w:t>
      </w:r>
      <w:r>
        <w:rPr>
          <w:rFonts w:hint="eastAsia" w:ascii="宋体" w:hAnsi="宋体" w:cs="宋体"/>
          <w:color w:val="auto"/>
          <w:sz w:val="21"/>
          <w:szCs w:val="21"/>
          <w:highlight w:val="none"/>
          <w:u w:val="single"/>
        </w:rPr>
        <w:t>》标准。</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19</w:t>
      </w:r>
      <w:r>
        <w:rPr>
          <w:rFonts w:hint="eastAsia" w:ascii="宋体" w:hAnsi="宋体" w:cs="宋体"/>
          <w:color w:val="auto"/>
          <w:sz w:val="21"/>
          <w:szCs w:val="21"/>
          <w:highlight w:val="none"/>
        </w:rPr>
        <w:t>．工程试车</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rPr>
        <w:t>19.5</w:t>
      </w:r>
      <w:r>
        <w:rPr>
          <w:rFonts w:hint="eastAsia" w:ascii="宋体" w:hAnsi="宋体" w:cs="宋体"/>
          <w:color w:val="auto"/>
          <w:sz w:val="21"/>
          <w:szCs w:val="21"/>
          <w:highlight w:val="none"/>
        </w:rPr>
        <w:t>试车费用的承担：</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五、安全施工</w:t>
      </w:r>
    </w:p>
    <w:p>
      <w:pPr>
        <w:adjustRightInd w:val="0"/>
        <w:snapToGrid w:val="0"/>
        <w:spacing w:line="440" w:lineRule="exact"/>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u w:val="single"/>
        </w:rPr>
        <w:t>严格执行</w:t>
      </w:r>
      <w:r>
        <w:rPr>
          <w:rFonts w:ascii="宋体" w:hAnsi="宋体" w:cs="宋体"/>
          <w:color w:val="auto"/>
          <w:sz w:val="21"/>
          <w:szCs w:val="21"/>
          <w:highlight w:val="none"/>
          <w:u w:val="single"/>
        </w:rPr>
        <w:t>JG59-99</w:t>
      </w:r>
      <w:r>
        <w:rPr>
          <w:rFonts w:hint="eastAsia" w:ascii="宋体" w:hAnsi="宋体" w:cs="宋体"/>
          <w:color w:val="auto"/>
          <w:sz w:val="21"/>
          <w:szCs w:val="21"/>
          <w:highlight w:val="none"/>
          <w:u w:val="single"/>
        </w:rPr>
        <w:t>标准并参照通用条款第</w:t>
      </w:r>
      <w:r>
        <w:rPr>
          <w:rFonts w:ascii="宋体" w:hAnsi="宋体" w:cs="宋体"/>
          <w:color w:val="auto"/>
          <w:sz w:val="21"/>
          <w:szCs w:val="21"/>
          <w:highlight w:val="none"/>
          <w:u w:val="single"/>
        </w:rPr>
        <w:t>20</w:t>
      </w:r>
      <w:r>
        <w:rPr>
          <w:rFonts w:hint="eastAsia" w:ascii="宋体" w:hAnsi="宋体" w:cs="宋体"/>
          <w:color w:val="auto"/>
          <w:sz w:val="21"/>
          <w:szCs w:val="21"/>
          <w:highlight w:val="none"/>
          <w:u w:val="single"/>
        </w:rPr>
        <w:t>、</w:t>
      </w:r>
      <w:r>
        <w:rPr>
          <w:rFonts w:ascii="宋体" w:hAnsi="宋体" w:cs="宋体"/>
          <w:color w:val="auto"/>
          <w:sz w:val="21"/>
          <w:szCs w:val="21"/>
          <w:highlight w:val="none"/>
          <w:u w:val="single"/>
        </w:rPr>
        <w:t>21</w:t>
      </w:r>
      <w:r>
        <w:rPr>
          <w:rFonts w:hint="eastAsia" w:ascii="宋体" w:hAnsi="宋体" w:cs="宋体"/>
          <w:color w:val="auto"/>
          <w:sz w:val="21"/>
          <w:szCs w:val="21"/>
          <w:highlight w:val="none"/>
          <w:u w:val="single"/>
        </w:rPr>
        <w:t>、</w:t>
      </w:r>
      <w:r>
        <w:rPr>
          <w:rFonts w:ascii="宋体" w:hAnsi="宋体" w:cs="宋体"/>
          <w:color w:val="auto"/>
          <w:sz w:val="21"/>
          <w:szCs w:val="21"/>
          <w:highlight w:val="none"/>
          <w:u w:val="single"/>
        </w:rPr>
        <w:t>22</w:t>
      </w:r>
      <w:r>
        <w:rPr>
          <w:rFonts w:hint="eastAsia" w:ascii="宋体" w:hAnsi="宋体" w:cs="宋体"/>
          <w:color w:val="auto"/>
          <w:sz w:val="21"/>
          <w:szCs w:val="21"/>
          <w:highlight w:val="none"/>
          <w:u w:val="single"/>
        </w:rPr>
        <w:t>条及国家建设工程安全管理条例。（</w:t>
      </w:r>
      <w:r>
        <w:rPr>
          <w:rFonts w:ascii="宋体" w:hAnsi="宋体" w:cs="宋体"/>
          <w:color w:val="auto"/>
          <w:sz w:val="21"/>
          <w:szCs w:val="21"/>
          <w:highlight w:val="none"/>
          <w:u w:val="single"/>
        </w:rPr>
        <w:t>1</w:t>
      </w:r>
      <w:r>
        <w:rPr>
          <w:rFonts w:hint="eastAsia" w:ascii="宋体" w:hAnsi="宋体" w:cs="宋体"/>
          <w:color w:val="auto"/>
          <w:sz w:val="21"/>
          <w:szCs w:val="21"/>
          <w:highlight w:val="none"/>
          <w:u w:val="single"/>
        </w:rPr>
        <w:t>）承包人应对施工安全负全责，在施工过程中要实现“五无”、“两控制”目标，确保安全。“五无”即无职工死亡，无重大行车交通事故，无压力容器爆炸，无重大质量事故，无火灾事故。（</w:t>
      </w:r>
      <w:r>
        <w:rPr>
          <w:rFonts w:ascii="宋体" w:hAnsi="宋体" w:cs="宋体"/>
          <w:color w:val="auto"/>
          <w:sz w:val="21"/>
          <w:szCs w:val="21"/>
          <w:highlight w:val="none"/>
          <w:u w:val="single"/>
        </w:rPr>
        <w:t>2</w:t>
      </w:r>
      <w:r>
        <w:rPr>
          <w:rFonts w:hint="eastAsia" w:ascii="宋体" w:hAnsi="宋体" w:cs="宋体"/>
          <w:color w:val="auto"/>
          <w:sz w:val="21"/>
          <w:szCs w:val="21"/>
          <w:highlight w:val="none"/>
          <w:u w:val="single"/>
        </w:rPr>
        <w:t>）承包人应配备专职安全负责人，以确保生产安全。（</w:t>
      </w:r>
      <w:r>
        <w:rPr>
          <w:rFonts w:ascii="宋体" w:hAnsi="宋体" w:cs="宋体"/>
          <w:color w:val="auto"/>
          <w:sz w:val="21"/>
          <w:szCs w:val="21"/>
          <w:highlight w:val="none"/>
          <w:u w:val="single"/>
        </w:rPr>
        <w:t>3</w:t>
      </w:r>
      <w:r>
        <w:rPr>
          <w:rFonts w:hint="eastAsia" w:ascii="宋体" w:hAnsi="宋体" w:cs="宋体"/>
          <w:color w:val="auto"/>
          <w:sz w:val="21"/>
          <w:szCs w:val="21"/>
          <w:highlight w:val="none"/>
          <w:u w:val="single"/>
        </w:rPr>
        <w:t>）承包人应服从当地政府有关部门在社会治安、综合治理、计划生育、交通管理、环境保护等的管理规定，承包人应该专职人员负责条款的执行，发包人有权对此进行监督、检查。（</w:t>
      </w:r>
      <w:r>
        <w:rPr>
          <w:rFonts w:ascii="宋体" w:hAnsi="宋体" w:cs="宋体"/>
          <w:color w:val="auto"/>
          <w:sz w:val="21"/>
          <w:szCs w:val="21"/>
          <w:highlight w:val="none"/>
          <w:u w:val="single"/>
        </w:rPr>
        <w:t>4</w:t>
      </w:r>
      <w:r>
        <w:rPr>
          <w:rFonts w:hint="eastAsia" w:ascii="宋体" w:hAnsi="宋体" w:cs="宋体"/>
          <w:color w:val="auto"/>
          <w:sz w:val="21"/>
          <w:szCs w:val="21"/>
          <w:highlight w:val="none"/>
          <w:u w:val="single"/>
        </w:rPr>
        <w:t>）承包人在工程施工期间，必须配备专职用电管理员，全面负责施工用电的管理。</w:t>
      </w:r>
    </w:p>
    <w:p>
      <w:pPr>
        <w:adjustRightInd w:val="0"/>
        <w:snapToGrid w:val="0"/>
        <w:spacing w:line="44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六、合同价款与支付</w:t>
      </w:r>
    </w:p>
    <w:p>
      <w:pPr>
        <w:adjustRightInd w:val="0"/>
        <w:snapToGrid w:val="0"/>
        <w:spacing w:line="44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．合同价款及调整</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23.2</w:t>
      </w:r>
      <w:r>
        <w:rPr>
          <w:rFonts w:hint="eastAsia" w:ascii="宋体" w:hAnsi="宋体" w:cs="宋体"/>
          <w:bCs/>
          <w:color w:val="auto"/>
          <w:kern w:val="0"/>
          <w:sz w:val="21"/>
          <w:szCs w:val="21"/>
          <w:highlight w:val="none"/>
        </w:rPr>
        <w:t>本合同价款采用</w:t>
      </w:r>
      <w:r>
        <w:rPr>
          <w:rFonts w:ascii="宋体" w:hAnsi="宋体" w:cs="宋体"/>
          <w:bCs/>
          <w:color w:val="auto"/>
          <w:kern w:val="0"/>
          <w:sz w:val="21"/>
          <w:szCs w:val="21"/>
          <w:highlight w:val="none"/>
          <w:u w:val="single"/>
        </w:rPr>
        <w:t xml:space="preserve">     (1)     </w:t>
      </w:r>
      <w:r>
        <w:rPr>
          <w:rFonts w:hint="eastAsia" w:ascii="宋体" w:hAnsi="宋体" w:cs="宋体"/>
          <w:bCs/>
          <w:color w:val="auto"/>
          <w:kern w:val="0"/>
          <w:sz w:val="21"/>
          <w:szCs w:val="21"/>
          <w:highlight w:val="none"/>
        </w:rPr>
        <w:t>方式确定。本工程结算下浮率</w:t>
      </w:r>
      <w:r>
        <w:rPr>
          <w:rFonts w:hint="eastAsia" w:ascii="宋体" w:hAnsi="宋体" w:cs="宋体"/>
          <w:bCs/>
          <w:color w:val="auto"/>
          <w:kern w:val="0"/>
          <w:sz w:val="21"/>
          <w:szCs w:val="21"/>
          <w:highlight w:val="none"/>
          <w:u w:val="single"/>
        </w:rPr>
        <w:t xml:space="preserve">     %  </w:t>
      </w:r>
      <w:r>
        <w:rPr>
          <w:rFonts w:hint="eastAsia" w:ascii="宋体" w:hAnsi="宋体" w:cs="宋体"/>
          <w:bCs/>
          <w:color w:val="auto"/>
          <w:kern w:val="0"/>
          <w:sz w:val="21"/>
          <w:szCs w:val="21"/>
          <w:highlight w:val="none"/>
        </w:rPr>
        <w:t>。</w:t>
      </w:r>
      <w:r>
        <w:rPr>
          <w:rFonts w:ascii="宋体" w:cs="宋体"/>
          <w:color w:val="auto"/>
          <w:sz w:val="21"/>
          <w:szCs w:val="21"/>
          <w:highlight w:val="none"/>
        </w:rPr>
        <w:t xml:space="preserve"> </w:t>
      </w:r>
    </w:p>
    <w:p>
      <w:pPr>
        <w:autoSpaceDE w:val="0"/>
        <w:autoSpaceDN w:val="0"/>
        <w:adjustRightInd w:val="0"/>
        <w:spacing w:line="360" w:lineRule="auto"/>
        <w:ind w:firstLine="210" w:firstLineChars="100"/>
        <w:jc w:val="left"/>
        <w:rPr>
          <w:rFonts w:ascii="宋体" w:cs="宋体"/>
          <w:color w:val="auto"/>
          <w:kern w:val="0"/>
          <w:sz w:val="21"/>
          <w:szCs w:val="21"/>
          <w:highlight w:val="none"/>
          <w:u w:val="single"/>
        </w:rPr>
      </w:pPr>
      <w:r>
        <w:rPr>
          <w:rFonts w:ascii="宋体" w:hAnsi="宋体" w:cs="宋体"/>
          <w:color w:val="auto"/>
          <w:kern w:val="0"/>
          <w:sz w:val="21"/>
          <w:szCs w:val="21"/>
          <w:highlight w:val="none"/>
          <w:u w:val="single"/>
        </w:rPr>
        <w:t>(1)</w:t>
      </w:r>
      <w:r>
        <w:rPr>
          <w:rFonts w:hint="eastAsia" w:ascii="宋体" w:hAnsi="宋体" w:cs="宋体"/>
          <w:color w:val="auto"/>
          <w:kern w:val="0"/>
          <w:sz w:val="21"/>
          <w:szCs w:val="21"/>
          <w:highlight w:val="none"/>
          <w:u w:val="single"/>
        </w:rPr>
        <w:t>采用固定综合单价合同，合同价款中包括的风险范围</w:t>
      </w:r>
      <w:r>
        <w:rPr>
          <w:rFonts w:ascii="宋体" w:hAnsi="宋体" w:cs="宋体"/>
          <w:color w:val="auto"/>
          <w:kern w:val="0"/>
          <w:sz w:val="21"/>
          <w:szCs w:val="21"/>
          <w:highlight w:val="none"/>
          <w:u w:val="single"/>
        </w:rPr>
        <w:t xml:space="preserve">: 1 </w:t>
      </w:r>
      <w:r>
        <w:rPr>
          <w:rFonts w:hint="eastAsia" w:ascii="宋体" w:hAnsi="宋体" w:cs="宋体"/>
          <w:color w:val="auto"/>
          <w:kern w:val="0"/>
          <w:sz w:val="21"/>
          <w:szCs w:val="21"/>
          <w:highlight w:val="none"/>
          <w:u w:val="single"/>
        </w:rPr>
        <w:t>、合同履行期间物价上涨</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rPr>
        <w:t>另有约定除外</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w:t>
      </w:r>
      <w:r>
        <w:rPr>
          <w:rFonts w:ascii="宋体" w:hAnsi="宋体" w:cs="宋体"/>
          <w:color w:val="auto"/>
          <w:kern w:val="0"/>
          <w:sz w:val="21"/>
          <w:szCs w:val="21"/>
          <w:highlight w:val="none"/>
          <w:u w:val="single"/>
        </w:rPr>
        <w:t xml:space="preserve">2 </w:t>
      </w:r>
      <w:r>
        <w:rPr>
          <w:rFonts w:hint="eastAsia" w:ascii="宋体" w:hAnsi="宋体" w:cs="宋体"/>
          <w:color w:val="auto"/>
          <w:kern w:val="0"/>
          <w:sz w:val="21"/>
          <w:szCs w:val="21"/>
          <w:highlight w:val="none"/>
          <w:u w:val="single"/>
        </w:rPr>
        <w:t>、定额、标准及规范调整</w:t>
      </w:r>
      <w:r>
        <w:rPr>
          <w:rFonts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rPr>
        <w:t>国家政策变化以及一个有经验的承包人可以或应该预见的风险。</w:t>
      </w:r>
      <w:r>
        <w:rPr>
          <w:rFonts w:ascii="宋体" w:hAnsi="宋体" w:cs="宋体"/>
          <w:color w:val="auto"/>
          <w:kern w:val="0"/>
          <w:sz w:val="21"/>
          <w:szCs w:val="21"/>
          <w:highlight w:val="none"/>
          <w:u w:val="single"/>
        </w:rPr>
        <w:t>3</w:t>
      </w:r>
      <w:r>
        <w:rPr>
          <w:rFonts w:hint="eastAsia" w:ascii="宋体" w:hAnsi="宋体" w:cs="宋体"/>
          <w:color w:val="auto"/>
          <w:kern w:val="0"/>
          <w:sz w:val="21"/>
          <w:szCs w:val="21"/>
          <w:highlight w:val="none"/>
          <w:u w:val="single"/>
        </w:rPr>
        <w:t>、因临时停电、停水引起的费用增加。</w:t>
      </w:r>
    </w:p>
    <w:p>
      <w:pPr>
        <w:autoSpaceDE w:val="0"/>
        <w:autoSpaceDN w:val="0"/>
        <w:adjustRightInd w:val="0"/>
        <w:spacing w:line="360" w:lineRule="auto"/>
        <w:ind w:firstLine="420" w:firstLineChars="200"/>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u w:val="single"/>
        </w:rPr>
        <w:t>风险费用的计算方法</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以上风险费用已在投标报价时考虑，不再另行计取。如因此而造成停工、罢工的，除按工期有关条款外，还须没收全部履约保证金，罚没的保证金归甲方所有</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在工程款中扣除〉。</w:t>
      </w:r>
    </w:p>
    <w:p>
      <w:pPr>
        <w:autoSpaceDE w:val="0"/>
        <w:autoSpaceDN w:val="0"/>
        <w:adjustRightInd w:val="0"/>
        <w:spacing w:line="360" w:lineRule="auto"/>
        <w:ind w:firstLine="420" w:firstLineChars="200"/>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u w:val="single"/>
        </w:rPr>
        <w:t>风险范围以外合同价款调整方法</w:t>
      </w:r>
      <w:r>
        <w:rPr>
          <w:rFonts w:ascii="宋体" w:hAnsi="宋体" w:cs="宋体"/>
          <w:color w:val="auto"/>
          <w:kern w:val="0"/>
          <w:sz w:val="21"/>
          <w:szCs w:val="21"/>
          <w:highlight w:val="none"/>
          <w:u w:val="single"/>
        </w:rPr>
        <w:t>:</w:t>
      </w:r>
    </w:p>
    <w:p>
      <w:pPr>
        <w:autoSpaceDE w:val="0"/>
        <w:autoSpaceDN w:val="0"/>
        <w:adjustRightInd w:val="0"/>
        <w:spacing w:line="360" w:lineRule="auto"/>
        <w:ind w:firstLine="420" w:firstLineChars="200"/>
        <w:jc w:val="left"/>
        <w:rPr>
          <w:rFonts w:ascii="宋体" w:cs="宋体"/>
          <w:color w:val="auto"/>
          <w:kern w:val="0"/>
          <w:sz w:val="21"/>
          <w:szCs w:val="21"/>
          <w:highlight w:val="none"/>
          <w:u w:val="single"/>
        </w:rPr>
      </w:pPr>
      <w:r>
        <w:rPr>
          <w:rFonts w:ascii="宋体" w:hAnsi="宋体" w:cs="宋体"/>
          <w:color w:val="auto"/>
          <w:kern w:val="0"/>
          <w:sz w:val="21"/>
          <w:szCs w:val="21"/>
          <w:highlight w:val="none"/>
          <w:u w:val="single"/>
        </w:rPr>
        <w:t>1)</w:t>
      </w:r>
      <w:r>
        <w:rPr>
          <w:rFonts w:hint="eastAsia" w:ascii="宋体" w:hAnsi="宋体" w:cs="宋体"/>
          <w:color w:val="auto"/>
          <w:kern w:val="0"/>
          <w:sz w:val="21"/>
          <w:szCs w:val="21"/>
          <w:highlight w:val="none"/>
          <w:u w:val="single"/>
        </w:rPr>
        <w:t>因发包人提供的工程量清单有数量误差，或设计变更引起工程量清单项目工程数量的增减，按原有合同价格执行。</w:t>
      </w:r>
    </w:p>
    <w:p>
      <w:pPr>
        <w:autoSpaceDE w:val="0"/>
        <w:autoSpaceDN w:val="0"/>
        <w:adjustRightInd w:val="0"/>
        <w:spacing w:line="360" w:lineRule="auto"/>
        <w:ind w:firstLine="420" w:firstLineChars="200"/>
        <w:jc w:val="left"/>
        <w:rPr>
          <w:rFonts w:ascii="宋体" w:cs="宋体"/>
          <w:color w:val="auto"/>
          <w:kern w:val="0"/>
          <w:sz w:val="21"/>
          <w:szCs w:val="21"/>
          <w:highlight w:val="none"/>
          <w:u w:val="single"/>
        </w:rPr>
      </w:pPr>
      <w:r>
        <w:rPr>
          <w:rFonts w:ascii="宋体" w:hAnsi="宋体" w:cs="宋体"/>
          <w:color w:val="auto"/>
          <w:kern w:val="0"/>
          <w:sz w:val="21"/>
          <w:szCs w:val="21"/>
          <w:highlight w:val="none"/>
          <w:u w:val="single"/>
        </w:rPr>
        <w:t xml:space="preserve">2) </w:t>
      </w:r>
      <w:r>
        <w:rPr>
          <w:rFonts w:hint="eastAsia" w:ascii="宋体" w:hAnsi="宋体" w:cs="宋体"/>
          <w:color w:val="auto"/>
          <w:kern w:val="0"/>
          <w:sz w:val="21"/>
          <w:szCs w:val="21"/>
          <w:highlight w:val="none"/>
          <w:u w:val="single"/>
        </w:rPr>
        <w:t>因发包人提供的工程量清单项目漏项，或设计变更引起的新增工程项目，其相应单价的确定方法为</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合同中己有适用于变更工程的单价的，按合同已有单价计</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合同中有类似适用于变更工程的单价的，参照该单价确定</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合同无参考单价的，其综合单价按浙江省18版定额计算的直接工程费</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主材价格确定方法</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有信息价的按发生当月的浙江省、杭州市工程造价信息正刊的信息价计取</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当主材无信息价时按发包人确认的市场价格为准</w:t>
      </w:r>
      <w:r>
        <w:rPr>
          <w:rFonts w:ascii="宋体" w:hAnsi="宋体" w:cs="宋体"/>
          <w:color w:val="auto"/>
          <w:kern w:val="0"/>
          <w:sz w:val="21"/>
          <w:szCs w:val="21"/>
          <w:highlight w:val="none"/>
          <w:u w:val="single"/>
        </w:rPr>
        <w:t>) +</w:t>
      </w:r>
      <w:r>
        <w:rPr>
          <w:rFonts w:hint="eastAsia" w:ascii="宋体" w:hAnsi="宋体" w:cs="宋体"/>
          <w:color w:val="auto"/>
          <w:kern w:val="0"/>
          <w:sz w:val="21"/>
          <w:szCs w:val="21"/>
          <w:highlight w:val="none"/>
          <w:u w:val="single"/>
        </w:rPr>
        <w:t>综合费用</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按下限计取</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规费</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税金确定。当工程量清单编制明显错误或当响应方报价明显高于同期市场价格水平，并且增加工程量与清单同比超过</w:t>
      </w:r>
      <w:r>
        <w:rPr>
          <w:rFonts w:ascii="宋体" w:hAnsi="宋体" w:cs="宋体"/>
          <w:color w:val="auto"/>
          <w:kern w:val="0"/>
          <w:sz w:val="21"/>
          <w:szCs w:val="21"/>
          <w:highlight w:val="none"/>
          <w:u w:val="single"/>
        </w:rPr>
        <w:t>15 %</w:t>
      </w:r>
      <w:r>
        <w:rPr>
          <w:rFonts w:hint="eastAsia" w:ascii="宋体" w:hAnsi="宋体" w:cs="宋体"/>
          <w:color w:val="auto"/>
          <w:kern w:val="0"/>
          <w:sz w:val="21"/>
          <w:szCs w:val="21"/>
          <w:highlight w:val="none"/>
          <w:u w:val="single"/>
        </w:rPr>
        <w:t>的，采购人将保留重新估价的权力，单价确定的方法同前。</w:t>
      </w:r>
    </w:p>
    <w:p>
      <w:pPr>
        <w:autoSpaceDE w:val="0"/>
        <w:autoSpaceDN w:val="0"/>
        <w:adjustRightInd w:val="0"/>
        <w:spacing w:line="360" w:lineRule="auto"/>
        <w:ind w:firstLine="420" w:firstLineChars="200"/>
        <w:jc w:val="left"/>
        <w:rPr>
          <w:rFonts w:ascii="宋体" w:cs="宋体"/>
          <w:color w:val="auto"/>
          <w:kern w:val="0"/>
          <w:sz w:val="21"/>
          <w:szCs w:val="21"/>
          <w:highlight w:val="none"/>
          <w:u w:val="single"/>
        </w:rPr>
      </w:pPr>
      <w:r>
        <w:rPr>
          <w:rFonts w:ascii="宋体" w:hAnsi="宋体" w:cs="宋体"/>
          <w:color w:val="auto"/>
          <w:kern w:val="0"/>
          <w:sz w:val="21"/>
          <w:szCs w:val="21"/>
          <w:highlight w:val="none"/>
          <w:u w:val="single"/>
        </w:rPr>
        <w:t xml:space="preserve">3) </w:t>
      </w:r>
      <w:r>
        <w:rPr>
          <w:rFonts w:hint="eastAsia" w:ascii="宋体" w:hAnsi="宋体" w:cs="宋体"/>
          <w:color w:val="auto"/>
          <w:kern w:val="0"/>
          <w:sz w:val="21"/>
          <w:szCs w:val="21"/>
          <w:highlight w:val="none"/>
          <w:u w:val="single"/>
        </w:rPr>
        <w:t>发包人根据工程的需要可能对承包范围内的数量和内容进行调整，所涉及的费用按投标报价进行相应的调整。</w:t>
      </w:r>
    </w:p>
    <w:p>
      <w:pPr>
        <w:autoSpaceDE w:val="0"/>
        <w:autoSpaceDN w:val="0"/>
        <w:adjustRightInd w:val="0"/>
        <w:spacing w:line="360" w:lineRule="auto"/>
        <w:ind w:firstLine="420" w:firstLineChars="200"/>
        <w:jc w:val="left"/>
        <w:rPr>
          <w:rFonts w:ascii="宋体" w:cs="宋体"/>
          <w:color w:val="auto"/>
          <w:kern w:val="0"/>
          <w:sz w:val="21"/>
          <w:szCs w:val="21"/>
          <w:highlight w:val="none"/>
          <w:u w:val="single"/>
        </w:rPr>
      </w:pPr>
      <w:r>
        <w:rPr>
          <w:rFonts w:ascii="宋体" w:hAnsi="宋体" w:cs="宋体"/>
          <w:color w:val="auto"/>
          <w:kern w:val="0"/>
          <w:sz w:val="21"/>
          <w:szCs w:val="21"/>
          <w:highlight w:val="none"/>
          <w:u w:val="single"/>
        </w:rPr>
        <w:t xml:space="preserve">4) </w:t>
      </w:r>
      <w:r>
        <w:rPr>
          <w:rFonts w:hint="eastAsia" w:ascii="宋体" w:hAnsi="宋体" w:cs="宋体"/>
          <w:color w:val="auto"/>
          <w:kern w:val="0"/>
          <w:sz w:val="21"/>
          <w:szCs w:val="21"/>
          <w:highlight w:val="none"/>
          <w:u w:val="single"/>
        </w:rPr>
        <w:t>发包人签证认可的其他增减。</w:t>
      </w:r>
    </w:p>
    <w:p>
      <w:pPr>
        <w:autoSpaceDE w:val="0"/>
        <w:autoSpaceDN w:val="0"/>
        <w:adjustRightInd w:val="0"/>
        <w:spacing w:line="360" w:lineRule="auto"/>
        <w:ind w:firstLine="420" w:firstLineChars="200"/>
        <w:jc w:val="left"/>
        <w:rPr>
          <w:rFonts w:ascii="宋体" w:cs="宋体"/>
          <w:color w:val="auto"/>
          <w:kern w:val="0"/>
          <w:sz w:val="21"/>
          <w:szCs w:val="21"/>
          <w:highlight w:val="none"/>
          <w:u w:val="single"/>
        </w:rPr>
      </w:pPr>
      <w:r>
        <w:rPr>
          <w:rFonts w:ascii="宋体" w:hAnsi="宋体" w:cs="宋体"/>
          <w:color w:val="auto"/>
          <w:kern w:val="0"/>
          <w:sz w:val="21"/>
          <w:szCs w:val="21"/>
          <w:highlight w:val="none"/>
          <w:u w:val="single"/>
        </w:rPr>
        <w:t xml:space="preserve">5) </w:t>
      </w:r>
      <w:r>
        <w:rPr>
          <w:rFonts w:hint="eastAsia" w:ascii="宋体" w:hAnsi="宋体" w:cs="宋体"/>
          <w:color w:val="auto"/>
          <w:kern w:val="0"/>
          <w:sz w:val="21"/>
          <w:szCs w:val="21"/>
          <w:highlight w:val="none"/>
          <w:u w:val="single"/>
        </w:rPr>
        <w:t>经发包人签证同意的材料变更、价格调整，仅调整差价及差价的税金；</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）采用可调价格合同，合同价款调整方法：</w:t>
      </w:r>
    </w:p>
    <w:p>
      <w:pPr>
        <w:spacing w:line="44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）采用成本加酬金合同，有关成本和酬金的约定：</w:t>
      </w:r>
    </w:p>
    <w:p>
      <w:pPr>
        <w:spacing w:line="440" w:lineRule="exact"/>
        <w:ind w:firstLine="420" w:firstLineChars="200"/>
        <w:rPr>
          <w:rFonts w:ascii="宋体" w:cs="宋体"/>
          <w:color w:val="auto"/>
          <w:sz w:val="21"/>
          <w:szCs w:val="21"/>
          <w:highlight w:val="none"/>
          <w:u w:val="single"/>
        </w:rPr>
      </w:pPr>
      <w:r>
        <w:rPr>
          <w:rFonts w:ascii="宋体" w:hAnsi="宋体" w:cs="宋体"/>
          <w:color w:val="auto"/>
          <w:sz w:val="21"/>
          <w:szCs w:val="21"/>
          <w:highlight w:val="none"/>
        </w:rPr>
        <w:t>23.3</w:t>
      </w:r>
      <w:r>
        <w:rPr>
          <w:rFonts w:hint="eastAsia" w:ascii="宋体" w:hAnsi="宋体" w:cs="宋体"/>
          <w:color w:val="auto"/>
          <w:sz w:val="21"/>
          <w:szCs w:val="21"/>
          <w:highlight w:val="none"/>
        </w:rPr>
        <w:t>双方约定合同价款的其他调整因素：</w:t>
      </w:r>
      <w:r>
        <w:rPr>
          <w:rFonts w:hint="eastAsia" w:ascii="宋体" w:hAnsi="宋体" w:cs="宋体"/>
          <w:color w:val="auto"/>
          <w:sz w:val="21"/>
          <w:szCs w:val="21"/>
          <w:highlight w:val="none"/>
          <w:u w:val="single"/>
        </w:rPr>
        <w:t>①发包人同意的设计变更②发包人要求增加的施工图范围外的内容（施工单位投标时漏报甲方要求做的内容，不作为调整决算内容。）③当结算子项实际数量变化超过工程量清单内数量</w:t>
      </w:r>
      <w:r>
        <w:rPr>
          <w:rFonts w:ascii="宋体" w:hAnsi="宋体" w:cs="宋体"/>
          <w:color w:val="auto"/>
          <w:sz w:val="21"/>
          <w:szCs w:val="21"/>
          <w:highlight w:val="none"/>
          <w:u w:val="single"/>
        </w:rPr>
        <w:t>10%</w:t>
      </w:r>
      <w:r>
        <w:rPr>
          <w:rFonts w:hint="eastAsia" w:ascii="宋体" w:hAnsi="宋体" w:cs="宋体"/>
          <w:color w:val="auto"/>
          <w:sz w:val="21"/>
          <w:szCs w:val="21"/>
          <w:highlight w:val="none"/>
          <w:u w:val="single"/>
        </w:rPr>
        <w:t>以上且满足以下条件之一时</w:t>
      </w:r>
      <w:r>
        <w:rPr>
          <w:rFonts w:ascii="宋体" w:cs="宋体"/>
          <w:color w:val="auto"/>
          <w:sz w:val="21"/>
          <w:szCs w:val="21"/>
          <w:highlight w:val="none"/>
          <w:u w:val="single"/>
        </w:rPr>
        <w:t>,</w:t>
      </w:r>
      <w:r>
        <w:rPr>
          <w:rFonts w:hint="eastAsia" w:ascii="宋体" w:hAnsi="宋体" w:cs="宋体"/>
          <w:color w:val="auto"/>
          <w:sz w:val="21"/>
          <w:szCs w:val="21"/>
          <w:highlight w:val="none"/>
          <w:u w:val="single"/>
        </w:rPr>
        <w:t>业主有权调整工程量增减部分的综合单价：</w:t>
      </w:r>
      <w:r>
        <w:rPr>
          <w:rFonts w:ascii="宋体" w:hAnsi="宋体" w:cs="宋体"/>
          <w:color w:val="auto"/>
          <w:sz w:val="21"/>
          <w:szCs w:val="21"/>
          <w:highlight w:val="none"/>
          <w:u w:val="single"/>
        </w:rPr>
        <w:t>A</w:t>
      </w:r>
      <w:r>
        <w:rPr>
          <w:rFonts w:hint="eastAsia" w:ascii="宋体" w:hAnsi="宋体" w:cs="宋体"/>
          <w:color w:val="auto"/>
          <w:sz w:val="21"/>
          <w:szCs w:val="21"/>
          <w:highlight w:val="none"/>
          <w:u w:val="single"/>
        </w:rPr>
        <w:t>、结算子项综合单价超过正常水平的±</w:t>
      </w:r>
      <w:r>
        <w:rPr>
          <w:rFonts w:ascii="宋体" w:hAnsi="宋体" w:cs="宋体"/>
          <w:color w:val="auto"/>
          <w:sz w:val="21"/>
          <w:szCs w:val="21"/>
          <w:highlight w:val="none"/>
          <w:u w:val="single"/>
        </w:rPr>
        <w:t>20%</w:t>
      </w:r>
      <w:r>
        <w:rPr>
          <w:rFonts w:hint="eastAsia" w:ascii="宋体" w:hAnsi="宋体" w:cs="宋体"/>
          <w:color w:val="auto"/>
          <w:sz w:val="21"/>
          <w:szCs w:val="21"/>
          <w:highlight w:val="none"/>
          <w:u w:val="single"/>
        </w:rPr>
        <w:t>以上，</w:t>
      </w:r>
      <w:r>
        <w:rPr>
          <w:rFonts w:ascii="宋体" w:hAnsi="宋体" w:cs="宋体"/>
          <w:color w:val="auto"/>
          <w:sz w:val="21"/>
          <w:szCs w:val="21"/>
          <w:highlight w:val="none"/>
          <w:u w:val="single"/>
        </w:rPr>
        <w:t>B</w:t>
      </w:r>
      <w:r>
        <w:rPr>
          <w:rFonts w:hint="eastAsia" w:ascii="宋体" w:hAnsi="宋体" w:cs="宋体"/>
          <w:color w:val="auto"/>
          <w:sz w:val="21"/>
          <w:szCs w:val="21"/>
          <w:highlight w:val="none"/>
          <w:u w:val="single"/>
        </w:rPr>
        <w:t>：结算子项实际变化金额超过合同金额±</w:t>
      </w:r>
      <w:r>
        <w:rPr>
          <w:rFonts w:ascii="宋体" w:hAnsi="宋体" w:cs="宋体"/>
          <w:color w:val="auto"/>
          <w:sz w:val="21"/>
          <w:szCs w:val="21"/>
          <w:highlight w:val="none"/>
          <w:u w:val="single"/>
        </w:rPr>
        <w:t>0.1%</w:t>
      </w:r>
      <w:r>
        <w:rPr>
          <w:rFonts w:hint="eastAsia" w:ascii="宋体" w:hAnsi="宋体" w:cs="宋体"/>
          <w:color w:val="auto"/>
          <w:sz w:val="21"/>
          <w:szCs w:val="21"/>
          <w:highlight w:val="none"/>
          <w:u w:val="single"/>
        </w:rPr>
        <w:t>以上。</w:t>
      </w:r>
    </w:p>
    <w:p>
      <w:pPr>
        <w:spacing w:line="44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24</w:t>
      </w:r>
      <w:r>
        <w:rPr>
          <w:rFonts w:hint="eastAsia" w:ascii="宋体" w:hAnsi="宋体" w:cs="宋体"/>
          <w:color w:val="auto"/>
          <w:sz w:val="21"/>
          <w:szCs w:val="21"/>
          <w:highlight w:val="none"/>
        </w:rPr>
        <w:t>．工程预付款</w:t>
      </w:r>
    </w:p>
    <w:p>
      <w:pPr>
        <w:spacing w:line="440" w:lineRule="exact"/>
        <w:ind w:firstLine="420" w:firstLineChars="200"/>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合同价的 </w:t>
      </w:r>
      <w:r>
        <w:rPr>
          <w:rFonts w:hint="eastAsia" w:ascii="宋体" w:hAnsi="宋体" w:cs="宋体"/>
          <w:color w:val="auto"/>
          <w:sz w:val="21"/>
          <w:szCs w:val="21"/>
          <w:highlight w:val="none"/>
          <w:u w:val="single"/>
          <w:lang w:val="en-US" w:eastAsia="zh-CN"/>
        </w:rPr>
        <w:t xml:space="preserve"> 20</w:t>
      </w:r>
      <w:r>
        <w:rPr>
          <w:rFonts w:hint="eastAsia" w:ascii="宋体" w:hAnsi="宋体" w:cs="宋体"/>
          <w:color w:val="auto"/>
          <w:sz w:val="21"/>
          <w:szCs w:val="21"/>
          <w:highlight w:val="none"/>
          <w:u w:val="single"/>
        </w:rPr>
        <w:t xml:space="preserve">  %。</w:t>
      </w:r>
    </w:p>
    <w:p>
      <w:pPr>
        <w:spacing w:line="44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25</w:t>
      </w:r>
      <w:r>
        <w:rPr>
          <w:rFonts w:hint="eastAsia" w:ascii="宋体" w:hAnsi="宋体" w:cs="宋体"/>
          <w:color w:val="auto"/>
          <w:sz w:val="21"/>
          <w:szCs w:val="21"/>
          <w:highlight w:val="none"/>
        </w:rPr>
        <w:t>．工程量确认</w:t>
      </w:r>
    </w:p>
    <w:p>
      <w:pPr>
        <w:spacing w:line="440" w:lineRule="exact"/>
        <w:ind w:firstLine="420" w:firstLineChars="200"/>
        <w:rPr>
          <w:rFonts w:ascii="宋体" w:cs="宋体"/>
          <w:color w:val="auto"/>
          <w:sz w:val="21"/>
          <w:szCs w:val="21"/>
          <w:highlight w:val="none"/>
          <w:u w:val="single"/>
        </w:rPr>
      </w:pPr>
      <w:r>
        <w:rPr>
          <w:rFonts w:ascii="宋体" w:hAnsi="宋体" w:cs="宋体"/>
          <w:color w:val="auto"/>
          <w:sz w:val="21"/>
          <w:szCs w:val="21"/>
          <w:highlight w:val="none"/>
        </w:rPr>
        <w:t>25.1</w:t>
      </w:r>
      <w:r>
        <w:rPr>
          <w:rFonts w:hint="eastAsia" w:ascii="宋体" w:hAnsi="宋体" w:cs="宋体"/>
          <w:color w:val="auto"/>
          <w:sz w:val="21"/>
          <w:szCs w:val="21"/>
          <w:highlight w:val="none"/>
        </w:rPr>
        <w:t>承包人向工程师提交已完工程量报告的时间：</w:t>
      </w:r>
      <w:r>
        <w:rPr>
          <w:rFonts w:hint="eastAsia" w:ascii="宋体" w:hAnsi="宋体" w:cs="宋体"/>
          <w:color w:val="auto"/>
          <w:sz w:val="21"/>
          <w:szCs w:val="21"/>
          <w:highlight w:val="none"/>
          <w:u w:val="single"/>
        </w:rPr>
        <w:t>每月</w:t>
      </w:r>
      <w:r>
        <w:rPr>
          <w:rFonts w:ascii="宋体" w:hAnsi="宋体" w:cs="宋体"/>
          <w:color w:val="auto"/>
          <w:sz w:val="21"/>
          <w:szCs w:val="21"/>
          <w:highlight w:val="none"/>
          <w:u w:val="single"/>
        </w:rPr>
        <w:t>25</w:t>
      </w:r>
      <w:r>
        <w:rPr>
          <w:rFonts w:hint="eastAsia" w:ascii="宋体" w:hAnsi="宋体" w:cs="宋体"/>
          <w:color w:val="auto"/>
          <w:sz w:val="21"/>
          <w:szCs w:val="21"/>
          <w:highlight w:val="none"/>
          <w:u w:val="single"/>
        </w:rPr>
        <w:t>日前承包方向发包方提交已完成工程量报告。</w:t>
      </w:r>
    </w:p>
    <w:p>
      <w:pPr>
        <w:spacing w:line="44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26</w:t>
      </w:r>
      <w:r>
        <w:rPr>
          <w:rFonts w:hint="eastAsia" w:ascii="宋体" w:hAnsi="宋体" w:cs="宋体"/>
          <w:color w:val="auto"/>
          <w:sz w:val="21"/>
          <w:szCs w:val="21"/>
          <w:highlight w:val="none"/>
        </w:rPr>
        <w:t>．工程款（进度款）支付</w:t>
      </w:r>
    </w:p>
    <w:p>
      <w:pPr>
        <w:spacing w:line="44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双方约定的工程款（进度款）支付的方式和时间：</w:t>
      </w:r>
    </w:p>
    <w:p>
      <w:pPr>
        <w:spacing w:line="440" w:lineRule="exact"/>
        <w:ind w:firstLine="420" w:firstLineChars="200"/>
        <w:rPr>
          <w:rFonts w:hint="eastAsia" w:ascii="宋体" w:cs="宋体"/>
          <w:color w:val="auto"/>
          <w:sz w:val="21"/>
          <w:szCs w:val="21"/>
          <w:highlight w:val="none"/>
          <w:u w:val="single"/>
        </w:rPr>
      </w:pPr>
      <w:r>
        <w:rPr>
          <w:rFonts w:hint="eastAsia" w:ascii="宋体" w:cs="宋体"/>
          <w:color w:val="auto"/>
          <w:sz w:val="21"/>
          <w:szCs w:val="21"/>
          <w:highlight w:val="none"/>
          <w:u w:val="single"/>
        </w:rPr>
        <w:t xml:space="preserve">合同签订后支付合同价的 </w:t>
      </w:r>
      <w:r>
        <w:rPr>
          <w:rFonts w:hint="eastAsia" w:ascii="宋体" w:cs="宋体"/>
          <w:color w:val="auto"/>
          <w:sz w:val="21"/>
          <w:szCs w:val="21"/>
          <w:highlight w:val="none"/>
          <w:u w:val="single"/>
          <w:lang w:val="en-US" w:eastAsia="zh-CN"/>
        </w:rPr>
        <w:t>20</w:t>
      </w:r>
      <w:r>
        <w:rPr>
          <w:rFonts w:hint="eastAsia" w:ascii="宋体" w:cs="宋体"/>
          <w:color w:val="auto"/>
          <w:sz w:val="21"/>
          <w:szCs w:val="21"/>
          <w:highlight w:val="none"/>
          <w:u w:val="single"/>
        </w:rPr>
        <w:t xml:space="preserve">  %作为预付款，完工验收合格后并提交相关资料后支付到合同价的</w:t>
      </w:r>
      <w:r>
        <w:rPr>
          <w:rFonts w:hint="eastAsia" w:ascii="宋体" w:cs="宋体"/>
          <w:color w:val="auto"/>
          <w:sz w:val="21"/>
          <w:szCs w:val="21"/>
          <w:highlight w:val="none"/>
          <w:u w:val="single"/>
          <w:lang w:val="en-US" w:eastAsia="zh-CN"/>
        </w:rPr>
        <w:t>8</w:t>
      </w:r>
      <w:r>
        <w:rPr>
          <w:rFonts w:hint="eastAsia" w:ascii="宋体" w:cs="宋体"/>
          <w:color w:val="auto"/>
          <w:sz w:val="21"/>
          <w:szCs w:val="21"/>
          <w:highlight w:val="none"/>
          <w:u w:val="single"/>
        </w:rPr>
        <w:t>0%，待竣工结算审计后以结算审计为准支付至审计价格的</w:t>
      </w:r>
      <w:r>
        <w:rPr>
          <w:rFonts w:hint="eastAsia" w:ascii="宋体" w:cs="宋体"/>
          <w:color w:val="auto"/>
          <w:sz w:val="21"/>
          <w:szCs w:val="21"/>
          <w:highlight w:val="none"/>
          <w:u w:val="single"/>
          <w:lang w:val="en-US" w:eastAsia="zh-CN"/>
        </w:rPr>
        <w:t>97.5</w:t>
      </w:r>
      <w:r>
        <w:rPr>
          <w:rFonts w:hint="eastAsia" w:ascii="宋体" w:cs="宋体"/>
          <w:color w:val="auto"/>
          <w:sz w:val="21"/>
          <w:szCs w:val="21"/>
          <w:highlight w:val="none"/>
          <w:u w:val="single"/>
        </w:rPr>
        <w:t>%；同时按合同履约核实情况，结算并返回履约保证金（无息，如有违约并扣除违约款）；审计价2.5%作为质量保修金，保修期满二年后无质量问题返回1.5%质保金，</w:t>
      </w:r>
      <w:r>
        <w:rPr>
          <w:rFonts w:hint="eastAsia" w:ascii="宋体" w:cs="宋体"/>
          <w:color w:val="auto"/>
          <w:sz w:val="21"/>
          <w:szCs w:val="21"/>
          <w:highlight w:val="none"/>
          <w:u w:val="single"/>
          <w:lang w:eastAsia="zh-CN"/>
        </w:rPr>
        <w:t>剩余1%在保修期结束后全额返回</w:t>
      </w:r>
      <w:r>
        <w:rPr>
          <w:rFonts w:hint="eastAsia" w:ascii="宋体" w:cs="宋体"/>
          <w:color w:val="auto"/>
          <w:sz w:val="21"/>
          <w:szCs w:val="21"/>
          <w:highlight w:val="none"/>
          <w:u w:val="single"/>
        </w:rPr>
        <w:t>（均不计利息）。</w:t>
      </w:r>
    </w:p>
    <w:p>
      <w:pPr>
        <w:spacing w:line="44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七、材料设备供应</w:t>
      </w:r>
    </w:p>
    <w:p>
      <w:pPr>
        <w:spacing w:line="44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27</w:t>
      </w:r>
      <w:r>
        <w:rPr>
          <w:rFonts w:hint="eastAsia" w:ascii="宋体" w:hAnsi="宋体" w:cs="宋体"/>
          <w:color w:val="auto"/>
          <w:sz w:val="21"/>
          <w:szCs w:val="21"/>
          <w:highlight w:val="none"/>
        </w:rPr>
        <w:t>．发包人供应材料设计</w:t>
      </w:r>
    </w:p>
    <w:p>
      <w:pPr>
        <w:spacing w:line="44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27.4</w:t>
      </w:r>
      <w:r>
        <w:rPr>
          <w:rFonts w:hint="eastAsia" w:ascii="宋体" w:hAnsi="宋体" w:cs="宋体"/>
          <w:color w:val="auto"/>
          <w:sz w:val="21"/>
          <w:szCs w:val="21"/>
          <w:highlight w:val="none"/>
        </w:rPr>
        <w:t>发包人供应的材料设备与一览表不符时，双方约定发包人承担责任如下：</w:t>
      </w:r>
    </w:p>
    <w:p>
      <w:pPr>
        <w:spacing w:line="440" w:lineRule="exact"/>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）材料设备单价与一览表不符：</w:t>
      </w:r>
      <w:r>
        <w:rPr>
          <w:rFonts w:ascii="宋体" w:hAnsi="宋体" w:cs="宋体"/>
          <w:color w:val="auto"/>
          <w:sz w:val="21"/>
          <w:szCs w:val="21"/>
          <w:highlight w:val="none"/>
          <w:u w:val="single"/>
        </w:rPr>
        <w:t xml:space="preserve">  / </w:t>
      </w:r>
    </w:p>
    <w:p>
      <w:pPr>
        <w:spacing w:line="44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）材料设备的品种、规格、型号、质量等级与一览表不符：</w:t>
      </w:r>
      <w:r>
        <w:rPr>
          <w:rFonts w:ascii="宋体" w:hAnsi="宋体" w:cs="宋体"/>
          <w:color w:val="auto"/>
          <w:sz w:val="21"/>
          <w:szCs w:val="21"/>
          <w:highlight w:val="none"/>
          <w:u w:val="single"/>
        </w:rPr>
        <w:t xml:space="preserve">  / </w:t>
      </w:r>
    </w:p>
    <w:p>
      <w:pPr>
        <w:spacing w:line="44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）承包人可代为调剂串换的材料：</w:t>
      </w:r>
      <w:r>
        <w:rPr>
          <w:rFonts w:ascii="宋体" w:hAnsi="宋体" w:cs="宋体"/>
          <w:color w:val="auto"/>
          <w:sz w:val="21"/>
          <w:szCs w:val="21"/>
          <w:highlight w:val="none"/>
          <w:u w:val="single"/>
        </w:rPr>
        <w:t xml:space="preserve">  / </w:t>
      </w:r>
    </w:p>
    <w:p>
      <w:pPr>
        <w:spacing w:line="44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）到货地点与一览表不符：</w:t>
      </w:r>
      <w:r>
        <w:rPr>
          <w:rFonts w:ascii="宋体" w:hAnsi="宋体" w:cs="宋体"/>
          <w:color w:val="auto"/>
          <w:sz w:val="21"/>
          <w:szCs w:val="21"/>
          <w:highlight w:val="none"/>
          <w:u w:val="single"/>
        </w:rPr>
        <w:t xml:space="preserve">  / </w:t>
      </w:r>
    </w:p>
    <w:p>
      <w:pPr>
        <w:spacing w:line="44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）供应数量与一览表不符：</w:t>
      </w:r>
      <w:r>
        <w:rPr>
          <w:rFonts w:ascii="宋体" w:hAnsi="宋体" w:cs="宋体"/>
          <w:color w:val="auto"/>
          <w:sz w:val="21"/>
          <w:szCs w:val="21"/>
          <w:highlight w:val="none"/>
          <w:u w:val="single"/>
        </w:rPr>
        <w:t xml:space="preserve">  / </w:t>
      </w:r>
    </w:p>
    <w:p>
      <w:pPr>
        <w:spacing w:line="440" w:lineRule="exact"/>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）到货时间与一览表不符：</w:t>
      </w:r>
      <w:r>
        <w:rPr>
          <w:rFonts w:ascii="宋体" w:hAnsi="宋体" w:cs="宋体"/>
          <w:color w:val="auto"/>
          <w:sz w:val="21"/>
          <w:szCs w:val="21"/>
          <w:highlight w:val="none"/>
          <w:u w:val="single"/>
        </w:rPr>
        <w:t xml:space="preserve">  / </w:t>
      </w:r>
    </w:p>
    <w:p>
      <w:pPr>
        <w:spacing w:line="44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27.6</w:t>
      </w:r>
      <w:r>
        <w:rPr>
          <w:rFonts w:hint="eastAsia" w:ascii="宋体" w:hAnsi="宋体" w:cs="宋体"/>
          <w:color w:val="auto"/>
          <w:sz w:val="21"/>
          <w:szCs w:val="21"/>
          <w:highlight w:val="none"/>
        </w:rPr>
        <w:t>发包人供应材料设备的结算方法：</w:t>
      </w:r>
      <w:r>
        <w:rPr>
          <w:rFonts w:ascii="宋体" w:hAnsi="宋体" w:cs="宋体"/>
          <w:color w:val="auto"/>
          <w:sz w:val="21"/>
          <w:szCs w:val="21"/>
          <w:highlight w:val="none"/>
          <w:u w:val="single"/>
        </w:rPr>
        <w:t xml:space="preserve">  / </w:t>
      </w:r>
    </w:p>
    <w:p>
      <w:pPr>
        <w:spacing w:line="44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28</w:t>
      </w:r>
      <w:r>
        <w:rPr>
          <w:rFonts w:hint="eastAsia" w:ascii="宋体" w:hAnsi="宋体" w:cs="宋体"/>
          <w:color w:val="auto"/>
          <w:sz w:val="21"/>
          <w:szCs w:val="21"/>
          <w:highlight w:val="none"/>
        </w:rPr>
        <w:t>．承包人采购材料设备</w:t>
      </w:r>
    </w:p>
    <w:p>
      <w:pPr>
        <w:spacing w:line="440" w:lineRule="exact"/>
        <w:ind w:firstLine="420" w:firstLineChars="200"/>
        <w:rPr>
          <w:rFonts w:ascii="宋体" w:cs="宋体"/>
          <w:color w:val="auto"/>
          <w:sz w:val="21"/>
          <w:szCs w:val="21"/>
          <w:highlight w:val="none"/>
        </w:rPr>
      </w:pPr>
      <w:r>
        <w:rPr>
          <w:rFonts w:ascii="宋体" w:hAnsi="宋体" w:cs="宋体"/>
          <w:color w:val="auto"/>
          <w:sz w:val="21"/>
          <w:szCs w:val="21"/>
          <w:highlight w:val="none"/>
        </w:rPr>
        <w:t>28.1</w:t>
      </w:r>
      <w:r>
        <w:rPr>
          <w:rFonts w:hint="eastAsia" w:ascii="宋体" w:hAnsi="宋体" w:cs="宋体"/>
          <w:color w:val="auto"/>
          <w:sz w:val="21"/>
          <w:szCs w:val="21"/>
          <w:highlight w:val="none"/>
        </w:rPr>
        <w:t>承包人采购材料设备的约定：</w:t>
      </w:r>
    </w:p>
    <w:p>
      <w:pPr>
        <w:spacing w:line="440" w:lineRule="exact"/>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u w:val="single"/>
        </w:rPr>
        <w:t>由承包人自行采购，所有材料均应有合格证和质保书，并符合国家规定的技术标准和设计要求。施工前须经发包方验收。承包人使用不合格产品无条件返工，并承担发包人由此造成的损失。</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八、工程变更</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u w:val="single"/>
        </w:rPr>
        <w:t>设计变更必须经设计单位确认；因工程变更而产生的新增减工程量，经发包人工程联系单盖章签复意见后，方可作为决算依据。</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九、竣工验收与结算</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u w:val="single"/>
        </w:rPr>
        <w:t>工程具备竣工验收条件，承包人按国家工程验收有关规定，向发包人提供完整竣工资料及竣工验收报告；工程价款结算最终以审计部门审定结果为支付依据。在竣工验收后一个月内提交完整的结算资料送交发包人审计。</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．竣工验收</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32.1</w:t>
      </w:r>
      <w:r>
        <w:rPr>
          <w:rFonts w:hint="eastAsia" w:ascii="宋体" w:hAnsi="宋体" w:cs="宋体"/>
          <w:color w:val="auto"/>
          <w:sz w:val="21"/>
          <w:szCs w:val="21"/>
          <w:highlight w:val="none"/>
        </w:rPr>
        <w:t>承包人提供竣工图的约定：</w:t>
      </w:r>
      <w:r>
        <w:rPr>
          <w:rFonts w:hint="eastAsia" w:ascii="宋体" w:hAnsi="宋体" w:cs="宋体"/>
          <w:color w:val="auto"/>
          <w:sz w:val="21"/>
          <w:szCs w:val="21"/>
          <w:highlight w:val="none"/>
          <w:u w:val="single"/>
        </w:rPr>
        <w:t>工程竣工验收一个月内提交发包方完整的竣工图伍套、技术资料伍套及全套电子文档一份。</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32.6</w:t>
      </w:r>
      <w:r>
        <w:rPr>
          <w:rFonts w:hint="eastAsia" w:ascii="宋体" w:hAnsi="宋体" w:cs="宋体"/>
          <w:color w:val="auto"/>
          <w:sz w:val="21"/>
          <w:szCs w:val="21"/>
          <w:highlight w:val="none"/>
        </w:rPr>
        <w:t>中间交工工程的范围和竣工时间：</w:t>
      </w:r>
      <w:r>
        <w:rPr>
          <w:rFonts w:hint="eastAsia" w:ascii="宋体" w:hAnsi="宋体" w:cs="宋体"/>
          <w:color w:val="auto"/>
          <w:sz w:val="21"/>
          <w:szCs w:val="21"/>
          <w:highlight w:val="none"/>
          <w:u w:val="single"/>
        </w:rPr>
        <w:t>按签订工程合同为准。</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十、违约、索赔和争议</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35</w:t>
      </w:r>
      <w:r>
        <w:rPr>
          <w:rFonts w:hint="eastAsia" w:ascii="宋体" w:hAnsi="宋体" w:cs="宋体"/>
          <w:color w:val="auto"/>
          <w:sz w:val="21"/>
          <w:szCs w:val="21"/>
          <w:highlight w:val="none"/>
        </w:rPr>
        <w:t>．违约</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35.1</w:t>
      </w:r>
      <w:r>
        <w:rPr>
          <w:rFonts w:hint="eastAsia" w:ascii="宋体" w:hAnsi="宋体" w:cs="宋体"/>
          <w:color w:val="auto"/>
          <w:sz w:val="21"/>
          <w:szCs w:val="21"/>
          <w:highlight w:val="none"/>
        </w:rPr>
        <w:t>本合同中关于发包人违约的具体责任如下：</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本合同通用条款第</w:t>
      </w:r>
      <w:r>
        <w:rPr>
          <w:rFonts w:ascii="宋体" w:hAnsi="宋体" w:cs="宋体"/>
          <w:color w:val="auto"/>
          <w:sz w:val="21"/>
          <w:szCs w:val="21"/>
          <w:highlight w:val="none"/>
        </w:rPr>
        <w:t>24</w:t>
      </w:r>
      <w:r>
        <w:rPr>
          <w:rFonts w:hint="eastAsia" w:ascii="宋体" w:hAnsi="宋体" w:cs="宋体"/>
          <w:color w:val="auto"/>
          <w:sz w:val="21"/>
          <w:szCs w:val="21"/>
          <w:highlight w:val="none"/>
        </w:rPr>
        <w:t>条约定发包人违约应承担的违约责任：</w:t>
      </w:r>
      <w:r>
        <w:rPr>
          <w:rFonts w:hint="eastAsia" w:ascii="宋体" w:hAnsi="宋体" w:cs="宋体"/>
          <w:color w:val="auto"/>
          <w:sz w:val="21"/>
          <w:szCs w:val="21"/>
          <w:highlight w:val="none"/>
          <w:u w:val="single"/>
        </w:rPr>
        <w:t>无</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本合同通用条款第</w:t>
      </w:r>
      <w:r>
        <w:rPr>
          <w:rFonts w:ascii="宋体" w:hAnsi="宋体" w:cs="宋体"/>
          <w:color w:val="auto"/>
          <w:sz w:val="21"/>
          <w:szCs w:val="21"/>
          <w:highlight w:val="none"/>
        </w:rPr>
        <w:t xml:space="preserve">26.4 </w:t>
      </w:r>
      <w:r>
        <w:rPr>
          <w:rFonts w:hint="eastAsia" w:ascii="宋体" w:hAnsi="宋体" w:cs="宋体"/>
          <w:color w:val="auto"/>
          <w:sz w:val="21"/>
          <w:szCs w:val="21"/>
          <w:highlight w:val="none"/>
        </w:rPr>
        <w:t>款约定发包人违约应承担的违约责任：</w:t>
      </w:r>
      <w:r>
        <w:rPr>
          <w:rFonts w:hint="eastAsia" w:ascii="宋体" w:hAnsi="宋体" w:cs="宋体"/>
          <w:color w:val="auto"/>
          <w:sz w:val="21"/>
          <w:szCs w:val="21"/>
          <w:highlight w:val="none"/>
          <w:u w:val="single"/>
        </w:rPr>
        <w:t>无</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本合同通用条款第</w:t>
      </w:r>
      <w:r>
        <w:rPr>
          <w:rFonts w:ascii="宋体" w:hAnsi="宋体" w:cs="宋体"/>
          <w:color w:val="auto"/>
          <w:sz w:val="21"/>
          <w:szCs w:val="21"/>
          <w:highlight w:val="none"/>
        </w:rPr>
        <w:t xml:space="preserve">33.3 </w:t>
      </w:r>
      <w:r>
        <w:rPr>
          <w:rFonts w:hint="eastAsia" w:ascii="宋体" w:hAnsi="宋体" w:cs="宋体"/>
          <w:color w:val="auto"/>
          <w:sz w:val="21"/>
          <w:szCs w:val="21"/>
          <w:highlight w:val="none"/>
        </w:rPr>
        <w:t>款约定发包人违约应承担的违约责任：</w:t>
      </w:r>
      <w:r>
        <w:rPr>
          <w:rFonts w:hint="eastAsia" w:ascii="宋体" w:hAnsi="宋体" w:cs="宋体"/>
          <w:color w:val="auto"/>
          <w:sz w:val="21"/>
          <w:szCs w:val="21"/>
          <w:highlight w:val="none"/>
          <w:u w:val="single"/>
        </w:rPr>
        <w:t>无</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双方约定的发包人其他违约责任：</w:t>
      </w:r>
      <w:r>
        <w:rPr>
          <w:rFonts w:hint="eastAsia" w:ascii="宋体" w:hAnsi="宋体" w:cs="宋体"/>
          <w:color w:val="auto"/>
          <w:sz w:val="21"/>
          <w:szCs w:val="21"/>
          <w:highlight w:val="none"/>
          <w:u w:val="single"/>
        </w:rPr>
        <w:t>由于发包人的原因造成的工期延误，工期顺延天数由现场监理及发包签证确定。</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35.2</w:t>
      </w:r>
      <w:r>
        <w:rPr>
          <w:rFonts w:hint="eastAsia" w:ascii="宋体" w:hAnsi="宋体" w:cs="宋体"/>
          <w:color w:val="auto"/>
          <w:sz w:val="21"/>
          <w:szCs w:val="21"/>
          <w:highlight w:val="none"/>
        </w:rPr>
        <w:t>本合同中关于承包人违约的具体责任如下：</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u w:val="single"/>
        </w:rPr>
        <w:t>因承包人原因造成工程质量问题，由承包人负责整改工作及相关费用，直至达到合格标准。因此造成的工期延误和损失，由承包人承担一切后果。承包人不修复或无法修复的</w:t>
      </w:r>
      <w:r>
        <w:rPr>
          <w:rFonts w:ascii="宋体" w:cs="宋体"/>
          <w:color w:val="auto"/>
          <w:sz w:val="21"/>
          <w:szCs w:val="21"/>
          <w:highlight w:val="none"/>
          <w:u w:val="single"/>
        </w:rPr>
        <w:t>,</w:t>
      </w:r>
      <w:r>
        <w:rPr>
          <w:rFonts w:hint="eastAsia" w:ascii="宋体" w:hAnsi="宋体" w:cs="宋体"/>
          <w:color w:val="auto"/>
          <w:sz w:val="21"/>
          <w:szCs w:val="21"/>
          <w:highlight w:val="none"/>
          <w:u w:val="single"/>
        </w:rPr>
        <w:t>发包人有权自行委托有资质单位修复</w:t>
      </w:r>
      <w:r>
        <w:rPr>
          <w:rFonts w:ascii="宋体" w:cs="宋体"/>
          <w:color w:val="auto"/>
          <w:sz w:val="21"/>
          <w:szCs w:val="21"/>
          <w:highlight w:val="none"/>
          <w:u w:val="single"/>
        </w:rPr>
        <w:t>,</w:t>
      </w:r>
      <w:r>
        <w:rPr>
          <w:rFonts w:hint="eastAsia" w:ascii="宋体" w:hAnsi="宋体" w:cs="宋体"/>
          <w:color w:val="auto"/>
          <w:sz w:val="21"/>
          <w:szCs w:val="21"/>
          <w:highlight w:val="none"/>
          <w:u w:val="single"/>
        </w:rPr>
        <w:t>修复费用及造成的损失由承包人承担。</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双方约定的承包人其他违约责任：</w:t>
      </w:r>
      <w:r>
        <w:rPr>
          <w:rFonts w:hint="eastAsia" w:ascii="宋体" w:hAnsi="宋体" w:cs="宋体"/>
          <w:color w:val="auto"/>
          <w:sz w:val="21"/>
          <w:szCs w:val="21"/>
          <w:highlight w:val="none"/>
          <w:u w:val="single"/>
        </w:rPr>
        <w:t>以签订合同为准。</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37</w:t>
      </w:r>
      <w:r>
        <w:rPr>
          <w:rFonts w:hint="eastAsia" w:ascii="宋体" w:hAnsi="宋体" w:cs="宋体"/>
          <w:color w:val="auto"/>
          <w:sz w:val="21"/>
          <w:szCs w:val="21"/>
          <w:highlight w:val="none"/>
        </w:rPr>
        <w:t>．争议</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37.1</w:t>
      </w:r>
      <w:r>
        <w:rPr>
          <w:rFonts w:hint="eastAsia" w:ascii="宋体" w:hAnsi="宋体" w:cs="宋体"/>
          <w:color w:val="auto"/>
          <w:sz w:val="21"/>
          <w:szCs w:val="21"/>
          <w:highlight w:val="none"/>
        </w:rPr>
        <w:t>本合同在履行过程中发生的争议，由双方当事人协商解决，协商不成的，按下列第</w:t>
      </w:r>
      <w:r>
        <w:rPr>
          <w:rFonts w:hint="eastAsia" w:ascii="宋体" w:hAnsi="宋体" w:cs="宋体"/>
          <w:color w:val="auto"/>
          <w:sz w:val="21"/>
          <w:szCs w:val="21"/>
          <w:highlight w:val="none"/>
          <w:u w:val="single"/>
        </w:rPr>
        <w:t>（</w:t>
      </w:r>
      <w:r>
        <w:rPr>
          <w:rFonts w:ascii="宋体" w:hAnsi="宋体" w:cs="宋体"/>
          <w:color w:val="auto"/>
          <w:sz w:val="21"/>
          <w:szCs w:val="21"/>
          <w:highlight w:val="none"/>
          <w:u w:val="single"/>
        </w:rPr>
        <w:t>2</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rPr>
        <w:t>种方式解决：</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）提交</w:t>
      </w:r>
      <w:r>
        <w:rPr>
          <w:rFonts w:ascii="宋体" w:hAnsi="宋体" w:cs="宋体"/>
          <w:color w:val="auto"/>
          <w:sz w:val="21"/>
          <w:szCs w:val="21"/>
          <w:highlight w:val="none"/>
          <w:u w:val="single"/>
        </w:rPr>
        <w:t xml:space="preserve">      /     </w:t>
      </w:r>
      <w:r>
        <w:rPr>
          <w:rFonts w:hint="eastAsia" w:ascii="宋体" w:hAnsi="宋体" w:cs="宋体"/>
          <w:color w:val="auto"/>
          <w:sz w:val="21"/>
          <w:szCs w:val="21"/>
          <w:highlight w:val="none"/>
        </w:rPr>
        <w:t>种裁委员会仲裁；</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）依法向</w:t>
      </w:r>
      <w:r>
        <w:rPr>
          <w:rFonts w:hint="eastAsia" w:ascii="宋体" w:hAnsi="宋体" w:cs="宋体"/>
          <w:color w:val="auto"/>
          <w:sz w:val="21"/>
          <w:szCs w:val="21"/>
          <w:highlight w:val="none"/>
          <w:u w:val="single"/>
        </w:rPr>
        <w:t>杭州市</w:t>
      </w:r>
      <w:r>
        <w:rPr>
          <w:rFonts w:hint="eastAsia" w:ascii="宋体" w:hAnsi="宋体" w:cs="宋体"/>
          <w:color w:val="auto"/>
          <w:sz w:val="21"/>
          <w:szCs w:val="21"/>
          <w:highlight w:val="none"/>
        </w:rPr>
        <w:t>仲裁委员会提请仲裁或向</w:t>
      </w:r>
      <w:r>
        <w:rPr>
          <w:rFonts w:hint="eastAsia" w:ascii="宋体" w:hAnsi="宋体" w:cs="宋体"/>
          <w:color w:val="auto"/>
          <w:sz w:val="21"/>
          <w:szCs w:val="21"/>
          <w:highlight w:val="none"/>
          <w:u w:val="single"/>
        </w:rPr>
        <w:t>杭州市</w:t>
      </w:r>
      <w:r>
        <w:rPr>
          <w:rFonts w:hint="eastAsia" w:ascii="宋体" w:hAnsi="宋体" w:cs="宋体"/>
          <w:color w:val="auto"/>
          <w:sz w:val="21"/>
          <w:szCs w:val="21"/>
          <w:highlight w:val="none"/>
        </w:rPr>
        <w:t>人民法院提起诉讼。</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十一、其他</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38</w:t>
      </w:r>
      <w:r>
        <w:rPr>
          <w:rFonts w:hint="eastAsia" w:ascii="宋体" w:hAnsi="宋体" w:cs="宋体"/>
          <w:color w:val="auto"/>
          <w:sz w:val="21"/>
          <w:szCs w:val="21"/>
          <w:highlight w:val="none"/>
        </w:rPr>
        <w:t>．工程分包</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rPr>
        <w:t>38.1</w:t>
      </w:r>
      <w:r>
        <w:rPr>
          <w:rFonts w:hint="eastAsia" w:ascii="宋体" w:hAnsi="宋体" w:cs="宋体"/>
          <w:color w:val="auto"/>
          <w:sz w:val="21"/>
          <w:szCs w:val="21"/>
          <w:highlight w:val="none"/>
        </w:rPr>
        <w:t>本工程发包人同意承包人分包的工程：</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分包施工单位为：</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39</w:t>
      </w:r>
      <w:r>
        <w:rPr>
          <w:rFonts w:hint="eastAsia" w:ascii="宋体" w:hAnsi="宋体" w:cs="宋体"/>
          <w:color w:val="auto"/>
          <w:sz w:val="21"/>
          <w:szCs w:val="21"/>
          <w:highlight w:val="none"/>
        </w:rPr>
        <w:t>．不可抗力</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39.1</w:t>
      </w:r>
      <w:r>
        <w:rPr>
          <w:rFonts w:hint="eastAsia" w:ascii="宋体" w:hAnsi="宋体" w:cs="宋体"/>
          <w:color w:val="auto"/>
          <w:sz w:val="21"/>
          <w:szCs w:val="21"/>
          <w:highlight w:val="none"/>
        </w:rPr>
        <w:t>双方关于不可抗力的约定：</w:t>
      </w:r>
      <w:r>
        <w:rPr>
          <w:rFonts w:hint="eastAsia" w:ascii="宋体" w:hAnsi="宋体" w:cs="宋体"/>
          <w:color w:val="auto"/>
          <w:sz w:val="21"/>
          <w:szCs w:val="21"/>
          <w:highlight w:val="none"/>
          <w:u w:val="single"/>
        </w:rPr>
        <w:t>按通用条款的相应条款执行</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40</w:t>
      </w:r>
      <w:r>
        <w:rPr>
          <w:rFonts w:hint="eastAsia" w:ascii="宋体" w:hAnsi="宋体" w:cs="宋体"/>
          <w:color w:val="auto"/>
          <w:sz w:val="21"/>
          <w:szCs w:val="21"/>
          <w:highlight w:val="none"/>
        </w:rPr>
        <w:t>．保险</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40.6</w:t>
      </w:r>
      <w:r>
        <w:rPr>
          <w:rFonts w:hint="eastAsia" w:ascii="宋体" w:hAnsi="宋体" w:cs="宋体"/>
          <w:color w:val="auto"/>
          <w:sz w:val="21"/>
          <w:szCs w:val="21"/>
          <w:highlight w:val="none"/>
        </w:rPr>
        <w:t>本工程双方约定投保内容如下：</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）发包人投保内容：</w:t>
      </w:r>
      <w:r>
        <w:rPr>
          <w:rFonts w:hint="eastAsia" w:ascii="宋体" w:hAnsi="宋体" w:cs="宋体"/>
          <w:color w:val="auto"/>
          <w:sz w:val="21"/>
          <w:szCs w:val="21"/>
          <w:highlight w:val="none"/>
          <w:u w:val="single"/>
        </w:rPr>
        <w:t>发包人工地自身人员和第三者人身意外伤害保险。</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发包人委托承包人办理的保险事项：</w:t>
      </w:r>
      <w:r>
        <w:rPr>
          <w:rFonts w:hint="eastAsia" w:ascii="宋体" w:hAnsi="宋体" w:cs="宋体"/>
          <w:color w:val="auto"/>
          <w:sz w:val="21"/>
          <w:szCs w:val="21"/>
          <w:highlight w:val="none"/>
          <w:u w:val="single"/>
        </w:rPr>
        <w:t>按通用条款办理。</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）承包人保内容：</w:t>
      </w:r>
      <w:r>
        <w:rPr>
          <w:rFonts w:hint="eastAsia" w:ascii="宋体" w:hAnsi="宋体" w:cs="宋体"/>
          <w:color w:val="auto"/>
          <w:sz w:val="21"/>
          <w:szCs w:val="21"/>
          <w:highlight w:val="none"/>
          <w:u w:val="single"/>
        </w:rPr>
        <w:t>承包人必须为施工场地内自有人员办理意外伤害保险，并为施工机械设备办理保险，支付相关保险费用。</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41</w:t>
      </w:r>
      <w:r>
        <w:rPr>
          <w:rFonts w:hint="eastAsia" w:ascii="宋体" w:hAnsi="宋体" w:cs="宋体"/>
          <w:color w:val="auto"/>
          <w:sz w:val="21"/>
          <w:szCs w:val="21"/>
          <w:highlight w:val="none"/>
        </w:rPr>
        <w:t>．担保</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41.3</w:t>
      </w:r>
      <w:r>
        <w:rPr>
          <w:rFonts w:hint="eastAsia" w:ascii="宋体" w:hAnsi="宋体" w:cs="宋体"/>
          <w:color w:val="auto"/>
          <w:sz w:val="21"/>
          <w:szCs w:val="21"/>
          <w:highlight w:val="none"/>
        </w:rPr>
        <w:t>本工程双方约定担保事项如下：</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）发包人向承包人提供履约担保，担保方式为：</w:t>
      </w:r>
      <w:r>
        <w:rPr>
          <w:rFonts w:ascii="宋体" w:hAnsi="宋体" w:cs="宋体"/>
          <w:color w:val="auto"/>
          <w:sz w:val="21"/>
          <w:szCs w:val="21"/>
          <w:highlight w:val="none"/>
          <w:u w:val="single"/>
        </w:rPr>
        <w:t xml:space="preserve"> / </w:t>
      </w:r>
      <w:r>
        <w:rPr>
          <w:rFonts w:hint="eastAsia" w:ascii="宋体" w:hAnsi="宋体" w:cs="宋体"/>
          <w:color w:val="auto"/>
          <w:sz w:val="21"/>
          <w:szCs w:val="21"/>
          <w:highlight w:val="none"/>
        </w:rPr>
        <w:t>。</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）承包人向发包人提供履约担保，担保方式为</w:t>
      </w:r>
      <w:r>
        <w:rPr>
          <w:rFonts w:hint="eastAsia" w:ascii="宋体" w:hAnsi="宋体" w:cs="宋体"/>
          <w:color w:val="auto"/>
          <w:sz w:val="21"/>
          <w:szCs w:val="21"/>
          <w:highlight w:val="none"/>
          <w:u w:val="single"/>
        </w:rPr>
        <w:t>合同总价2.5</w:t>
      </w:r>
      <w:r>
        <w:rPr>
          <w:rFonts w:ascii="宋体" w:hAnsi="宋体" w:cs="宋体"/>
          <w:color w:val="auto"/>
          <w:sz w:val="21"/>
          <w:szCs w:val="21"/>
          <w:highlight w:val="none"/>
          <w:u w:val="single"/>
        </w:rPr>
        <w:t>%</w:t>
      </w:r>
      <w:r>
        <w:rPr>
          <w:rFonts w:hint="eastAsia" w:ascii="宋体" w:hAnsi="宋体" w:cs="宋体"/>
          <w:color w:val="auto"/>
          <w:sz w:val="21"/>
          <w:szCs w:val="21"/>
          <w:highlight w:val="none"/>
          <w:u w:val="single"/>
        </w:rPr>
        <w:t>的银行汇票或转帐支票或现金支票，</w:t>
      </w:r>
      <w:r>
        <w:rPr>
          <w:rFonts w:hint="eastAsia" w:ascii="宋体" w:hAnsi="宋体" w:cs="宋体"/>
          <w:color w:val="auto"/>
          <w:sz w:val="21"/>
          <w:szCs w:val="21"/>
          <w:highlight w:val="none"/>
        </w:rPr>
        <w:t>担保合同作为本合同附件。</w:t>
      </w:r>
    </w:p>
    <w:p>
      <w:pPr>
        <w:spacing w:line="360" w:lineRule="auto"/>
        <w:ind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）双方约定的其他担保事项：</w:t>
      </w:r>
      <w:r>
        <w:rPr>
          <w:rFonts w:ascii="宋体" w:hAnsi="宋体" w:cs="宋体"/>
          <w:color w:val="auto"/>
          <w:sz w:val="21"/>
          <w:szCs w:val="21"/>
          <w:highlight w:val="none"/>
          <w:u w:val="single"/>
        </w:rPr>
        <w:t xml:space="preserve">         /                 </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46</w:t>
      </w:r>
      <w:r>
        <w:rPr>
          <w:rFonts w:hint="eastAsia" w:ascii="宋体" w:hAnsi="宋体" w:cs="宋体"/>
          <w:color w:val="auto"/>
          <w:sz w:val="21"/>
          <w:szCs w:val="21"/>
          <w:highlight w:val="none"/>
        </w:rPr>
        <w:t>．合同份数</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rPr>
        <w:t>46.1</w:t>
      </w:r>
      <w:r>
        <w:rPr>
          <w:rFonts w:hint="eastAsia" w:ascii="宋体" w:hAnsi="宋体" w:cs="宋体"/>
          <w:color w:val="auto"/>
          <w:sz w:val="21"/>
          <w:szCs w:val="21"/>
          <w:highlight w:val="none"/>
        </w:rPr>
        <w:t>双方约定合同副本份数：</w:t>
      </w:r>
      <w:r>
        <w:rPr>
          <w:rFonts w:hint="eastAsia" w:ascii="宋体" w:hAnsi="宋体" w:cs="宋体"/>
          <w:color w:val="auto"/>
          <w:sz w:val="21"/>
          <w:szCs w:val="21"/>
          <w:highlight w:val="none"/>
          <w:u w:val="single"/>
        </w:rPr>
        <w:t>一式玖份，甲方柒份，乙方壹份，招标代理机构壹份。</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47</w:t>
      </w:r>
      <w:r>
        <w:rPr>
          <w:rFonts w:hint="eastAsia" w:ascii="宋体" w:hAnsi="宋体" w:cs="宋体"/>
          <w:color w:val="auto"/>
          <w:sz w:val="21"/>
          <w:szCs w:val="21"/>
          <w:highlight w:val="none"/>
        </w:rPr>
        <w:t>．补充条款</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u w:val="single"/>
        </w:rPr>
        <w:t xml:space="preserve"> 47.1</w:t>
      </w:r>
      <w:r>
        <w:rPr>
          <w:rFonts w:hint="eastAsia" w:ascii="宋体" w:hAnsi="宋体" w:cs="宋体"/>
          <w:color w:val="auto"/>
          <w:sz w:val="21"/>
          <w:szCs w:val="21"/>
          <w:highlight w:val="none"/>
          <w:u w:val="single"/>
        </w:rPr>
        <w:t>合同双方确认，本合同及本合同约定的其它文件组成部分中的各项约定都是通过法定招标过程形成的合法成果，不存在与采购文件和中标人响应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u w:val="single"/>
        </w:rPr>
        <w:t>47.2</w:t>
      </w:r>
      <w:r>
        <w:rPr>
          <w:rFonts w:hint="eastAsia" w:ascii="宋体" w:hAnsi="宋体" w:cs="宋体"/>
          <w:color w:val="auto"/>
          <w:sz w:val="21"/>
          <w:szCs w:val="21"/>
          <w:highlight w:val="none"/>
          <w:u w:val="single"/>
        </w:rPr>
        <w:t>承包人必须按期如实支付工人的劳动工资，发包人有权监督承包人对工人工资的发放。如若发生因承包人拖欠民工工资导致民工到发包人处闹事，造成阻挠施工进度、扰乱发包人正常的工作秩序及校园环境，每发生一次，发包人有权扣罚承包人2.5</w:t>
      </w:r>
      <w:r>
        <w:rPr>
          <w:rFonts w:ascii="宋体" w:hAnsi="宋体" w:cs="宋体"/>
          <w:color w:val="auto"/>
          <w:sz w:val="21"/>
          <w:szCs w:val="21"/>
          <w:highlight w:val="none"/>
          <w:u w:val="single"/>
        </w:rPr>
        <w:t>%</w:t>
      </w:r>
      <w:r>
        <w:rPr>
          <w:rFonts w:hint="eastAsia" w:ascii="宋体" w:hAnsi="宋体" w:cs="宋体"/>
          <w:color w:val="auto"/>
          <w:sz w:val="21"/>
          <w:szCs w:val="21"/>
          <w:highlight w:val="none"/>
          <w:u w:val="single"/>
        </w:rPr>
        <w:t>的履约保证金。并且由承包人承担由此造成的损失和责任，由此导致的工期拖延，发包人不顺延工期。</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u w:val="single"/>
        </w:rPr>
        <w:t>47.3</w:t>
      </w:r>
      <w:r>
        <w:rPr>
          <w:rFonts w:hint="eastAsia" w:ascii="宋体" w:hAnsi="宋体" w:cs="宋体"/>
          <w:color w:val="auto"/>
          <w:sz w:val="21"/>
          <w:szCs w:val="21"/>
          <w:highlight w:val="none"/>
          <w:u w:val="single"/>
        </w:rPr>
        <w:t>履约保证金分为三部分，其中履约担保金中</w:t>
      </w:r>
      <w:r>
        <w:rPr>
          <w:rFonts w:ascii="宋体" w:hAnsi="宋体" w:cs="宋体"/>
          <w:color w:val="auto"/>
          <w:sz w:val="21"/>
          <w:szCs w:val="21"/>
          <w:highlight w:val="none"/>
          <w:u w:val="single"/>
        </w:rPr>
        <w:t>40%</w:t>
      </w:r>
      <w:r>
        <w:rPr>
          <w:rFonts w:hint="eastAsia" w:ascii="宋体" w:hAnsi="宋体" w:cs="宋体"/>
          <w:color w:val="auto"/>
          <w:sz w:val="21"/>
          <w:szCs w:val="21"/>
          <w:highlight w:val="none"/>
          <w:u w:val="single"/>
        </w:rPr>
        <w:t>作为质量担保，</w:t>
      </w:r>
      <w:r>
        <w:rPr>
          <w:rFonts w:ascii="宋体" w:hAnsi="宋体" w:cs="宋体"/>
          <w:color w:val="auto"/>
          <w:sz w:val="21"/>
          <w:szCs w:val="21"/>
          <w:highlight w:val="none"/>
          <w:u w:val="single"/>
        </w:rPr>
        <w:t>30%</w:t>
      </w:r>
      <w:r>
        <w:rPr>
          <w:rFonts w:hint="eastAsia" w:ascii="宋体" w:hAnsi="宋体" w:cs="宋体"/>
          <w:color w:val="auto"/>
          <w:sz w:val="21"/>
          <w:szCs w:val="21"/>
          <w:highlight w:val="none"/>
          <w:u w:val="single"/>
        </w:rPr>
        <w:t>作为工期进度担保，剩余</w:t>
      </w:r>
      <w:r>
        <w:rPr>
          <w:rFonts w:ascii="宋体" w:hAnsi="宋体" w:cs="宋体"/>
          <w:color w:val="auto"/>
          <w:sz w:val="21"/>
          <w:szCs w:val="21"/>
          <w:highlight w:val="none"/>
          <w:u w:val="single"/>
        </w:rPr>
        <w:t>30%</w:t>
      </w:r>
      <w:r>
        <w:rPr>
          <w:rFonts w:hint="eastAsia" w:ascii="宋体" w:hAnsi="宋体" w:cs="宋体"/>
          <w:color w:val="auto"/>
          <w:sz w:val="21"/>
          <w:szCs w:val="21"/>
          <w:highlight w:val="none"/>
          <w:u w:val="single"/>
        </w:rPr>
        <w:t>作为文明施工担保。</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u w:val="single"/>
        </w:rPr>
        <w:t xml:space="preserve">47.4 </w:t>
      </w:r>
      <w:r>
        <w:rPr>
          <w:rFonts w:hint="eastAsia" w:ascii="宋体" w:hAnsi="宋体" w:cs="宋体"/>
          <w:color w:val="auto"/>
          <w:sz w:val="21"/>
          <w:szCs w:val="21"/>
          <w:highlight w:val="none"/>
          <w:u w:val="single"/>
        </w:rPr>
        <w:t>主材的相关要求：乙方提供的施工材料必须全部符合绿色环保规定要求，不得使用任何三无产品。施工时，必须按照响应文件中确定的材料进行，未经甲方同意不得更换已确定的装修材料。</w:t>
      </w:r>
    </w:p>
    <w:p>
      <w:pPr>
        <w:spacing w:line="360" w:lineRule="auto"/>
        <w:ind w:firstLine="420" w:firstLineChars="200"/>
        <w:rPr>
          <w:rFonts w:ascii="宋体" w:cs="宋体"/>
          <w:color w:val="auto"/>
          <w:sz w:val="21"/>
          <w:szCs w:val="21"/>
          <w:highlight w:val="none"/>
          <w:u w:val="single"/>
        </w:rPr>
      </w:pPr>
      <w:r>
        <w:rPr>
          <w:rFonts w:ascii="宋体" w:hAnsi="宋体" w:cs="宋体"/>
          <w:color w:val="auto"/>
          <w:sz w:val="21"/>
          <w:szCs w:val="21"/>
          <w:highlight w:val="none"/>
          <w:u w:val="single"/>
        </w:rPr>
        <w:t>47.5</w:t>
      </w:r>
      <w:r>
        <w:rPr>
          <w:rFonts w:hint="eastAsia" w:ascii="宋体" w:hAnsi="宋体" w:cs="宋体"/>
          <w:color w:val="auto"/>
          <w:sz w:val="21"/>
          <w:szCs w:val="21"/>
          <w:highlight w:val="none"/>
          <w:u w:val="single"/>
        </w:rPr>
        <w:t>结算审核费用由发包人、承包人按“浙价服（</w:t>
      </w:r>
      <w:r>
        <w:rPr>
          <w:rFonts w:ascii="宋体" w:hAnsi="宋体" w:cs="宋体"/>
          <w:color w:val="auto"/>
          <w:sz w:val="21"/>
          <w:szCs w:val="21"/>
          <w:highlight w:val="none"/>
          <w:u w:val="single"/>
        </w:rPr>
        <w:t>2009</w:t>
      </w:r>
      <w:r>
        <w:rPr>
          <w:rFonts w:hint="eastAsia" w:ascii="宋体" w:hAnsi="宋体" w:cs="宋体"/>
          <w:color w:val="auto"/>
          <w:sz w:val="21"/>
          <w:szCs w:val="21"/>
          <w:highlight w:val="none"/>
          <w:u w:val="single"/>
        </w:rPr>
        <w:t>）</w:t>
      </w:r>
      <w:r>
        <w:rPr>
          <w:rFonts w:ascii="宋体" w:hAnsi="宋体" w:cs="宋体"/>
          <w:color w:val="auto"/>
          <w:sz w:val="21"/>
          <w:szCs w:val="21"/>
          <w:highlight w:val="none"/>
          <w:u w:val="single"/>
        </w:rPr>
        <w:t>84</w:t>
      </w:r>
      <w:r>
        <w:rPr>
          <w:rFonts w:hint="eastAsia" w:ascii="宋体" w:hAnsi="宋体" w:cs="宋体"/>
          <w:color w:val="auto"/>
          <w:sz w:val="21"/>
          <w:szCs w:val="21"/>
          <w:highlight w:val="none"/>
          <w:u w:val="single"/>
        </w:rPr>
        <w:t>号”文件计取，其中核增额、超过</w:t>
      </w:r>
      <w:r>
        <w:rPr>
          <w:rFonts w:ascii="宋体" w:hAnsi="宋体" w:cs="宋体"/>
          <w:color w:val="auto"/>
          <w:sz w:val="21"/>
          <w:szCs w:val="21"/>
          <w:highlight w:val="none"/>
          <w:u w:val="single"/>
        </w:rPr>
        <w:t>5%</w:t>
      </w:r>
      <w:r>
        <w:rPr>
          <w:rFonts w:hint="eastAsia" w:ascii="宋体" w:hAnsi="宋体" w:cs="宋体"/>
          <w:color w:val="auto"/>
          <w:sz w:val="21"/>
          <w:szCs w:val="21"/>
          <w:highlight w:val="none"/>
          <w:u w:val="single"/>
        </w:rPr>
        <w:t>以上的核减额产生的追加费用由承包人支付。审计机构对承包人提交的竣工结算报告进行审核时，承包人须根据发包人及审计机构的要求履行配合义务，因承包人不配合导致审计机构无法及时完成造价审核的，责任由承包人承担，承包人不得要求发包人承担逾期付款违约责任。</w:t>
      </w:r>
    </w:p>
    <w:p>
      <w:pPr>
        <w:pStyle w:val="50"/>
        <w:jc w:val="center"/>
        <w:rPr>
          <w:rFonts w:ascii="宋体"/>
          <w:color w:val="auto"/>
          <w:sz w:val="21"/>
          <w:szCs w:val="21"/>
          <w:highlight w:val="none"/>
        </w:rPr>
      </w:pPr>
    </w:p>
    <w:p>
      <w:pPr>
        <w:pStyle w:val="50"/>
        <w:jc w:val="center"/>
        <w:rPr>
          <w:rFonts w:ascii="宋体"/>
          <w:color w:val="auto"/>
          <w:sz w:val="21"/>
          <w:szCs w:val="21"/>
          <w:highlight w:val="none"/>
          <w:lang w:eastAsia="zh-CN"/>
        </w:rPr>
      </w:pPr>
      <w:r>
        <w:rPr>
          <w:rFonts w:ascii="宋体"/>
          <w:color w:val="auto"/>
          <w:sz w:val="21"/>
          <w:szCs w:val="21"/>
          <w:highlight w:val="none"/>
        </w:rPr>
        <w:br w:type="page"/>
      </w:r>
      <w:bookmarkStart w:id="130" w:name="_Toc3589_WPSOffice_Level2"/>
      <w:r>
        <w:rPr>
          <w:rFonts w:hint="eastAsia" w:ascii="宋体" w:hAnsi="宋体"/>
          <w:color w:val="auto"/>
          <w:sz w:val="21"/>
          <w:szCs w:val="21"/>
          <w:highlight w:val="none"/>
        </w:rPr>
        <w:t>第</w:t>
      </w:r>
      <w:r>
        <w:rPr>
          <w:rFonts w:hint="eastAsia" w:ascii="宋体" w:hAnsi="宋体"/>
          <w:color w:val="auto"/>
          <w:sz w:val="21"/>
          <w:szCs w:val="21"/>
          <w:highlight w:val="none"/>
          <w:lang w:eastAsia="zh-CN"/>
        </w:rPr>
        <w:t>四</w:t>
      </w:r>
      <w:r>
        <w:rPr>
          <w:rFonts w:hint="eastAsia" w:ascii="宋体" w:hAnsi="宋体"/>
          <w:color w:val="auto"/>
          <w:sz w:val="21"/>
          <w:szCs w:val="21"/>
          <w:highlight w:val="none"/>
        </w:rPr>
        <w:t>节合同附件</w:t>
      </w:r>
      <w:bookmarkEnd w:id="124"/>
      <w:bookmarkEnd w:id="125"/>
      <w:bookmarkEnd w:id="126"/>
      <w:bookmarkEnd w:id="130"/>
      <w:r>
        <w:rPr>
          <w:rFonts w:hint="eastAsia" w:ascii="宋体" w:hAnsi="宋体"/>
          <w:color w:val="auto"/>
          <w:sz w:val="21"/>
          <w:szCs w:val="21"/>
          <w:highlight w:val="none"/>
          <w:lang w:eastAsia="zh-CN"/>
        </w:rPr>
        <w:t xml:space="preserve"> </w:t>
      </w:r>
    </w:p>
    <w:p>
      <w:pPr>
        <w:pStyle w:val="49"/>
        <w:tabs>
          <w:tab w:val="left" w:pos="8100"/>
        </w:tabs>
        <w:ind w:left="0" w:right="77"/>
        <w:outlineLvl w:val="2"/>
        <w:rPr>
          <w:rFonts w:ascii="宋体" w:cs="宋体"/>
          <w:snapToGrid w:val="0"/>
          <w:color w:val="auto"/>
          <w:sz w:val="21"/>
          <w:szCs w:val="21"/>
          <w:highlight w:val="none"/>
        </w:rPr>
      </w:pPr>
      <w:bookmarkStart w:id="131" w:name="_Toc534620509"/>
      <w:bookmarkStart w:id="132" w:name="_Toc21100_WPSOffice_Level2"/>
      <w:bookmarkStart w:id="133" w:name="_Toc249091536"/>
      <w:r>
        <w:rPr>
          <w:rFonts w:hint="eastAsia" w:ascii="宋体" w:hAnsi="宋体" w:cs="宋体"/>
          <w:snapToGrid w:val="0"/>
          <w:color w:val="auto"/>
          <w:sz w:val="21"/>
          <w:szCs w:val="21"/>
          <w:highlight w:val="none"/>
        </w:rPr>
        <w:t>附件一：质量保修书</w:t>
      </w:r>
      <w:bookmarkEnd w:id="131"/>
      <w:bookmarkEnd w:id="132"/>
      <w:bookmarkEnd w:id="133"/>
      <w:r>
        <w:rPr>
          <w:rFonts w:hint="eastAsia" w:ascii="宋体" w:hAnsi="宋体" w:cs="宋体"/>
          <w:snapToGrid w:val="0"/>
          <w:color w:val="auto"/>
          <w:sz w:val="21"/>
          <w:szCs w:val="21"/>
          <w:highlight w:val="none"/>
        </w:rPr>
        <w:t xml:space="preserve"> </w:t>
      </w:r>
    </w:p>
    <w:p>
      <w:pPr>
        <w:spacing w:line="440" w:lineRule="exact"/>
        <w:jc w:val="center"/>
        <w:rPr>
          <w:rFonts w:ascii="宋体" w:cs="宋体"/>
          <w:color w:val="auto"/>
          <w:sz w:val="21"/>
          <w:szCs w:val="21"/>
          <w:highlight w:val="none"/>
        </w:rPr>
      </w:pPr>
      <w:r>
        <w:rPr>
          <w:rFonts w:hint="eastAsia" w:ascii="宋体" w:hAnsi="宋体" w:cs="宋体"/>
          <w:color w:val="auto"/>
          <w:sz w:val="21"/>
          <w:szCs w:val="21"/>
          <w:highlight w:val="none"/>
        </w:rPr>
        <w:t>房屋建筑工程质量保修书</w:t>
      </w:r>
    </w:p>
    <w:p>
      <w:pPr>
        <w:pStyle w:val="49"/>
        <w:tabs>
          <w:tab w:val="left" w:pos="7920"/>
          <w:tab w:val="left" w:pos="8640"/>
        </w:tabs>
        <w:ind w:left="0" w:right="720"/>
        <w:rPr>
          <w:rFonts w:ascii="宋体" w:cs="宋体"/>
          <w:color w:val="auto"/>
          <w:sz w:val="21"/>
          <w:szCs w:val="21"/>
          <w:highlight w:val="none"/>
        </w:rPr>
      </w:pPr>
      <w:r>
        <w:rPr>
          <w:rFonts w:hint="eastAsia" w:ascii="宋体" w:hAnsi="宋体" w:cs="宋体"/>
          <w:color w:val="auto"/>
          <w:sz w:val="21"/>
          <w:szCs w:val="21"/>
          <w:highlight w:val="none"/>
        </w:rPr>
        <w:t>发包人（全称）：</w:t>
      </w:r>
      <w:r>
        <w:rPr>
          <w:rFonts w:ascii="宋体" w:hAnsi="宋体" w:cs="宋体"/>
          <w:color w:val="auto"/>
          <w:sz w:val="21"/>
          <w:szCs w:val="21"/>
          <w:highlight w:val="none"/>
          <w:u w:val="single"/>
        </w:rPr>
        <w:t>___浙江农林大学_____</w:t>
      </w:r>
    </w:p>
    <w:p>
      <w:pPr>
        <w:pStyle w:val="49"/>
        <w:tabs>
          <w:tab w:val="left" w:pos="7920"/>
          <w:tab w:val="left" w:pos="8640"/>
        </w:tabs>
        <w:ind w:left="0" w:right="720"/>
        <w:rPr>
          <w:rFonts w:ascii="宋体" w:cs="宋体"/>
          <w:color w:val="auto"/>
          <w:sz w:val="21"/>
          <w:szCs w:val="21"/>
          <w:highlight w:val="none"/>
        </w:rPr>
      </w:pPr>
      <w:r>
        <w:rPr>
          <w:rFonts w:hint="eastAsia" w:ascii="宋体" w:hAnsi="宋体" w:cs="宋体"/>
          <w:color w:val="auto"/>
          <w:sz w:val="21"/>
          <w:szCs w:val="21"/>
          <w:highlight w:val="none"/>
        </w:rPr>
        <w:t>承包人（全称）：</w:t>
      </w:r>
      <w:r>
        <w:rPr>
          <w:rFonts w:ascii="宋体" w:hAnsi="宋体" w:cs="宋体"/>
          <w:color w:val="auto"/>
          <w:sz w:val="21"/>
          <w:szCs w:val="21"/>
          <w:highlight w:val="none"/>
          <w:u w:val="single"/>
        </w:rPr>
        <w:t>__</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___</w:t>
      </w:r>
      <w:r>
        <w:rPr>
          <w:rFonts w:ascii="宋体" w:hAnsi="宋体" w:cs="宋体"/>
          <w:color w:val="auto"/>
          <w:sz w:val="21"/>
          <w:szCs w:val="21"/>
          <w:highlight w:val="none"/>
        </w:rPr>
        <w:t>_</w:t>
      </w:r>
    </w:p>
    <w:p>
      <w:pPr>
        <w:pStyle w:val="49"/>
        <w:tabs>
          <w:tab w:val="left" w:pos="7920"/>
          <w:tab w:val="left" w:pos="8640"/>
        </w:tabs>
        <w:spacing w:before="0" w:after="0" w:line="480" w:lineRule="auto"/>
        <w:ind w:left="0" w:right="77"/>
        <w:rPr>
          <w:rFonts w:ascii="宋体" w:cs="宋体"/>
          <w:color w:val="auto"/>
          <w:sz w:val="21"/>
          <w:szCs w:val="21"/>
          <w:highlight w:val="none"/>
        </w:rPr>
      </w:pPr>
      <w:r>
        <w:rPr>
          <w:rFonts w:hint="eastAsia" w:ascii="宋体" w:hAnsi="宋体" w:cs="宋体"/>
          <w:color w:val="auto"/>
          <w:sz w:val="21"/>
          <w:szCs w:val="21"/>
          <w:highlight w:val="none"/>
        </w:rPr>
        <w:t>　　发包人、承包人根据《中华人民共和国建筑法》、《建设工程质量管理条例》和《房屋建筑工程质量保修办法》，经协商一致，对</w:t>
      </w:r>
      <w:r>
        <w:rPr>
          <w:rFonts w:ascii="宋体" w:hAnsi="宋体" w:cs="宋体"/>
          <w:color w:val="auto"/>
          <w:sz w:val="21"/>
          <w:szCs w:val="21"/>
          <w:highlight w:val="none"/>
          <w:u w:val="single"/>
        </w:rPr>
        <w:t>_</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__</w:t>
      </w:r>
      <w:r>
        <w:rPr>
          <w:rFonts w:hint="eastAsia" w:ascii="宋体" w:hAnsi="宋体" w:cs="宋体"/>
          <w:color w:val="auto"/>
          <w:sz w:val="21"/>
          <w:szCs w:val="21"/>
          <w:highlight w:val="none"/>
        </w:rPr>
        <w:t>（工程全称）签定工程质量保修书。</w:t>
      </w:r>
    </w:p>
    <w:p>
      <w:pPr>
        <w:pStyle w:val="49"/>
        <w:tabs>
          <w:tab w:val="left" w:pos="7920"/>
          <w:tab w:val="left" w:pos="8640"/>
        </w:tabs>
        <w:spacing w:before="0" w:after="0" w:line="480" w:lineRule="auto"/>
        <w:ind w:left="0" w:right="720"/>
        <w:rPr>
          <w:rFonts w:ascii="宋体" w:cs="宋体"/>
          <w:color w:val="auto"/>
          <w:sz w:val="21"/>
          <w:szCs w:val="21"/>
          <w:highlight w:val="none"/>
        </w:rPr>
      </w:pPr>
      <w:r>
        <w:rPr>
          <w:rFonts w:hint="eastAsia" w:ascii="宋体" w:hAnsi="宋体" w:cs="宋体"/>
          <w:color w:val="auto"/>
          <w:sz w:val="21"/>
          <w:szCs w:val="21"/>
          <w:highlight w:val="none"/>
        </w:rPr>
        <w:t>　　一、工程质量保修范围和内容</w:t>
      </w:r>
    </w:p>
    <w:p>
      <w:pPr>
        <w:pStyle w:val="49"/>
        <w:tabs>
          <w:tab w:val="left" w:pos="7920"/>
          <w:tab w:val="left" w:pos="8640"/>
        </w:tabs>
        <w:spacing w:before="0" w:after="0" w:line="480" w:lineRule="auto"/>
        <w:ind w:left="0" w:right="77" w:firstLine="420"/>
        <w:rPr>
          <w:rFonts w:ascii="宋体" w:cs="宋体"/>
          <w:color w:val="auto"/>
          <w:sz w:val="21"/>
          <w:szCs w:val="21"/>
          <w:highlight w:val="none"/>
        </w:rPr>
      </w:pPr>
      <w:r>
        <w:rPr>
          <w:rFonts w:hint="eastAsia" w:ascii="宋体" w:hAnsi="宋体" w:cs="宋体"/>
          <w:color w:val="auto"/>
          <w:sz w:val="21"/>
          <w:szCs w:val="21"/>
          <w:highlight w:val="none"/>
        </w:rPr>
        <w:t>承包人在质量保修期内，按照有关法律、法规、规章的管理规定和双方约定，承担本工程质量保修责任。</w:t>
      </w:r>
    </w:p>
    <w:p>
      <w:pPr>
        <w:pStyle w:val="49"/>
        <w:tabs>
          <w:tab w:val="left" w:pos="7920"/>
          <w:tab w:val="left" w:pos="8640"/>
        </w:tabs>
        <w:spacing w:before="0" w:after="0" w:line="480" w:lineRule="auto"/>
        <w:ind w:left="0" w:right="720" w:firstLine="420" w:firstLineChars="200"/>
        <w:rPr>
          <w:rFonts w:ascii="宋体" w:cs="宋体"/>
          <w:color w:val="auto"/>
          <w:sz w:val="21"/>
          <w:szCs w:val="21"/>
          <w:highlight w:val="none"/>
          <w:u w:val="single"/>
        </w:rPr>
      </w:pPr>
      <w:r>
        <w:rPr>
          <w:rFonts w:hint="eastAsia" w:ascii="宋体" w:hAnsi="宋体" w:cs="宋体"/>
          <w:color w:val="auto"/>
          <w:sz w:val="21"/>
          <w:szCs w:val="21"/>
          <w:highlight w:val="none"/>
          <w:u w:val="single"/>
        </w:rPr>
        <w:t>保修范围为承包人所承包项目的全部内容。</w:t>
      </w:r>
    </w:p>
    <w:p>
      <w:pPr>
        <w:pStyle w:val="49"/>
        <w:tabs>
          <w:tab w:val="left" w:pos="7920"/>
          <w:tab w:val="left" w:pos="8640"/>
        </w:tabs>
        <w:spacing w:before="0" w:after="0" w:line="480" w:lineRule="auto"/>
        <w:ind w:left="0" w:right="720" w:firstLine="420"/>
        <w:rPr>
          <w:rFonts w:ascii="宋体" w:cs="宋体"/>
          <w:color w:val="auto"/>
          <w:sz w:val="21"/>
          <w:szCs w:val="21"/>
          <w:highlight w:val="none"/>
        </w:rPr>
      </w:pPr>
      <w:r>
        <w:rPr>
          <w:rFonts w:hint="eastAsia" w:ascii="宋体" w:hAnsi="宋体" w:cs="宋体"/>
          <w:color w:val="auto"/>
          <w:sz w:val="21"/>
          <w:szCs w:val="21"/>
          <w:highlight w:val="none"/>
        </w:rPr>
        <w:t>二、保修期</w:t>
      </w:r>
    </w:p>
    <w:p>
      <w:pPr>
        <w:pStyle w:val="49"/>
        <w:tabs>
          <w:tab w:val="left" w:pos="7920"/>
          <w:tab w:val="left" w:pos="8640"/>
        </w:tabs>
        <w:spacing w:before="0" w:after="0" w:line="480" w:lineRule="auto"/>
        <w:ind w:left="0" w:right="720"/>
        <w:rPr>
          <w:rFonts w:ascii="宋体" w:cs="宋体"/>
          <w:color w:val="auto"/>
          <w:sz w:val="21"/>
          <w:szCs w:val="21"/>
          <w:highlight w:val="none"/>
        </w:rPr>
      </w:pPr>
      <w:r>
        <w:rPr>
          <w:rFonts w:hint="eastAsia" w:ascii="宋体" w:hAnsi="宋体" w:cs="宋体"/>
          <w:color w:val="auto"/>
          <w:sz w:val="21"/>
          <w:szCs w:val="21"/>
          <w:highlight w:val="none"/>
        </w:rPr>
        <w:t>　　双方根据《建设工程质量管理条例》及有关规定，约定本工程的质量保修期如下：</w:t>
      </w:r>
    </w:p>
    <w:p>
      <w:pPr>
        <w:pStyle w:val="49"/>
        <w:tabs>
          <w:tab w:val="left" w:pos="7920"/>
          <w:tab w:val="left" w:pos="8640"/>
        </w:tabs>
        <w:spacing w:before="0" w:after="0" w:line="480" w:lineRule="auto"/>
        <w:ind w:left="0" w:right="720"/>
        <w:rPr>
          <w:rFonts w:ascii="宋体" w:cs="宋体"/>
          <w:color w:val="auto"/>
          <w:sz w:val="21"/>
          <w:szCs w:val="21"/>
          <w:highlight w:val="none"/>
        </w:rPr>
      </w:pPr>
      <w:r>
        <w:rPr>
          <w:rFonts w:hint="eastAsia" w:ascii="宋体" w:hAnsi="宋体" w:cs="宋体"/>
          <w:color w:val="auto"/>
          <w:sz w:val="21"/>
          <w:szCs w:val="21"/>
          <w:highlight w:val="none"/>
        </w:rPr>
        <w:t>　　</w:t>
      </w:r>
      <w:r>
        <w:rPr>
          <w:rFonts w:ascii="宋体" w:hAnsi="宋体" w:cs="宋体"/>
          <w:color w:val="auto"/>
          <w:sz w:val="21"/>
          <w:szCs w:val="21"/>
          <w:highlight w:val="none"/>
        </w:rPr>
        <w:t>1.</w:t>
      </w:r>
      <w:r>
        <w:rPr>
          <w:rFonts w:hint="eastAsia" w:ascii="宋体" w:hAnsi="宋体" w:cs="宋体"/>
          <w:color w:val="auto"/>
          <w:sz w:val="21"/>
          <w:szCs w:val="21"/>
          <w:highlight w:val="none"/>
        </w:rPr>
        <w:t>屋面防水工程、房间和外墙面的防渗漏为</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49"/>
        <w:tabs>
          <w:tab w:val="left" w:pos="7920"/>
          <w:tab w:val="left" w:pos="8640"/>
        </w:tabs>
        <w:spacing w:before="0" w:after="0" w:line="480" w:lineRule="auto"/>
        <w:ind w:left="0" w:right="720" w:firstLine="420"/>
        <w:rPr>
          <w:rFonts w:ascii="宋体" w:cs="宋体"/>
          <w:color w:val="auto"/>
          <w:sz w:val="21"/>
          <w:szCs w:val="21"/>
          <w:highlight w:val="none"/>
          <w:u w:val="single"/>
        </w:rPr>
      </w:pPr>
      <w:r>
        <w:rPr>
          <w:rFonts w:ascii="宋体" w:hAnsi="宋体" w:cs="宋体"/>
          <w:color w:val="auto"/>
          <w:sz w:val="21"/>
          <w:szCs w:val="21"/>
          <w:highlight w:val="none"/>
        </w:rPr>
        <w:t>2.</w:t>
      </w:r>
      <w:r>
        <w:rPr>
          <w:rFonts w:hint="eastAsia" w:ascii="宋体" w:hAnsi="宋体" w:cs="宋体"/>
          <w:color w:val="auto"/>
          <w:sz w:val="21"/>
          <w:szCs w:val="21"/>
          <w:highlight w:val="none"/>
        </w:rPr>
        <w:t>其他项目保修期限约定如下：</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rPr>
        <w:t xml:space="preserve"> </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49"/>
        <w:tabs>
          <w:tab w:val="left" w:pos="7768"/>
          <w:tab w:val="left" w:pos="7920"/>
          <w:tab w:val="left" w:pos="8640"/>
        </w:tabs>
        <w:snapToGrid w:val="0"/>
        <w:spacing w:before="0" w:after="0" w:line="480" w:lineRule="auto"/>
        <w:ind w:left="0" w:right="0" w:firstLine="420" w:firstLineChars="200"/>
        <w:rPr>
          <w:rFonts w:ascii="宋体" w:cs="宋体"/>
          <w:color w:val="auto"/>
          <w:kern w:val="2"/>
          <w:sz w:val="21"/>
          <w:szCs w:val="21"/>
          <w:highlight w:val="none"/>
        </w:rPr>
      </w:pPr>
      <w:r>
        <w:rPr>
          <w:rFonts w:hint="eastAsia" w:ascii="宋体" w:hAnsi="宋体" w:cs="宋体"/>
          <w:color w:val="auto"/>
          <w:kern w:val="2"/>
          <w:sz w:val="21"/>
          <w:szCs w:val="21"/>
          <w:highlight w:val="none"/>
        </w:rPr>
        <w:t>质量保修期自工程竣工验收合格之日起计算。</w:t>
      </w:r>
    </w:p>
    <w:p>
      <w:pPr>
        <w:pStyle w:val="49"/>
        <w:tabs>
          <w:tab w:val="left" w:pos="7920"/>
          <w:tab w:val="left" w:pos="8640"/>
        </w:tabs>
        <w:spacing w:before="0" w:after="0" w:line="480" w:lineRule="auto"/>
        <w:ind w:left="0" w:right="720"/>
        <w:rPr>
          <w:rFonts w:ascii="宋体" w:cs="宋体"/>
          <w:color w:val="auto"/>
          <w:sz w:val="21"/>
          <w:szCs w:val="21"/>
          <w:highlight w:val="none"/>
        </w:rPr>
      </w:pPr>
      <w:r>
        <w:rPr>
          <w:rFonts w:hint="eastAsia" w:ascii="宋体" w:hAnsi="宋体" w:cs="宋体"/>
          <w:color w:val="auto"/>
          <w:sz w:val="21"/>
          <w:szCs w:val="21"/>
          <w:highlight w:val="none"/>
        </w:rPr>
        <w:t>　　三、质量保修责任</w:t>
      </w:r>
    </w:p>
    <w:p>
      <w:pPr>
        <w:pStyle w:val="49"/>
        <w:tabs>
          <w:tab w:val="left" w:pos="7920"/>
          <w:tab w:val="left" w:pos="8640"/>
        </w:tabs>
        <w:spacing w:before="0" w:after="0" w:line="480" w:lineRule="auto"/>
        <w:ind w:left="0" w:right="77" w:firstLine="420"/>
        <w:rPr>
          <w:rFonts w:ascii="宋体" w:cs="宋体"/>
          <w:color w:val="auto"/>
          <w:sz w:val="21"/>
          <w:szCs w:val="21"/>
          <w:highlight w:val="none"/>
        </w:rPr>
      </w:pPr>
      <w:r>
        <w:rPr>
          <w:rFonts w:hint="eastAsia" w:ascii="宋体" w:hAnsi="宋体" w:cs="宋体"/>
          <w:color w:val="auto"/>
          <w:sz w:val="21"/>
          <w:szCs w:val="21"/>
          <w:highlight w:val="none"/>
        </w:rPr>
        <w:t>⒈属于保修范围、内容的项目，承包人应当在接到保修通知之日起</w:t>
      </w:r>
      <w:r>
        <w:rPr>
          <w:rFonts w:ascii="宋体" w:hAnsi="宋体" w:cs="宋体"/>
          <w:color w:val="auto"/>
          <w:sz w:val="21"/>
          <w:szCs w:val="21"/>
          <w:highlight w:val="none"/>
        </w:rPr>
        <w:t>2</w:t>
      </w:r>
      <w:r>
        <w:rPr>
          <w:rFonts w:hint="eastAsia" w:ascii="宋体" w:hAnsi="宋体" w:cs="宋体"/>
          <w:color w:val="auto"/>
          <w:sz w:val="21"/>
          <w:szCs w:val="21"/>
          <w:highlight w:val="none"/>
        </w:rPr>
        <w:t>天内派人保修。承包人不在约定期限内派人保修的，发包人可以委托他人修理，费用可直接从质保金中扣除。如质量保修金金额不足以支付工程保修及赔偿等费用，承包人应在接到发包人通知后15天内将差额补齐。</w:t>
      </w:r>
    </w:p>
    <w:p>
      <w:pPr>
        <w:pStyle w:val="49"/>
        <w:tabs>
          <w:tab w:val="left" w:pos="7920"/>
          <w:tab w:val="left" w:pos="8640"/>
        </w:tabs>
        <w:spacing w:before="0" w:after="0" w:line="480" w:lineRule="auto"/>
        <w:ind w:left="0" w:right="77" w:firstLine="420"/>
        <w:rPr>
          <w:rFonts w:ascii="宋体" w:cs="宋体"/>
          <w:color w:val="auto"/>
          <w:sz w:val="21"/>
          <w:szCs w:val="21"/>
          <w:highlight w:val="none"/>
        </w:rPr>
      </w:pPr>
      <w:r>
        <w:rPr>
          <w:rFonts w:hint="eastAsia" w:ascii="宋体" w:hAnsi="宋体" w:cs="宋体"/>
          <w:color w:val="auto"/>
          <w:sz w:val="21"/>
          <w:szCs w:val="21"/>
          <w:highlight w:val="none"/>
        </w:rPr>
        <w:t>⒉发生紧急抢修事故的，承包人在接到事故通知后，应当立即到达事故现场抢修。</w:t>
      </w:r>
    </w:p>
    <w:p>
      <w:pPr>
        <w:pStyle w:val="49"/>
        <w:tabs>
          <w:tab w:val="left" w:pos="7920"/>
          <w:tab w:val="left" w:pos="8640"/>
        </w:tabs>
        <w:spacing w:before="0" w:after="0" w:line="480" w:lineRule="auto"/>
        <w:ind w:left="0" w:right="77" w:firstLine="420"/>
        <w:rPr>
          <w:rFonts w:ascii="宋体" w:cs="宋体"/>
          <w:color w:val="auto"/>
          <w:sz w:val="21"/>
          <w:szCs w:val="21"/>
          <w:highlight w:val="none"/>
        </w:rPr>
      </w:pPr>
      <w:r>
        <w:rPr>
          <w:rFonts w:hint="eastAsia" w:ascii="宋体" w:hAnsi="宋体" w:cs="宋体"/>
          <w:color w:val="auto"/>
          <w:sz w:val="21"/>
          <w:szCs w:val="21"/>
          <w:highlight w:val="none"/>
        </w:rPr>
        <w:t>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49"/>
        <w:tabs>
          <w:tab w:val="left" w:pos="7920"/>
          <w:tab w:val="left" w:pos="8640"/>
        </w:tabs>
        <w:spacing w:before="0" w:after="0" w:line="480" w:lineRule="auto"/>
        <w:ind w:left="0" w:right="77" w:firstLine="420"/>
        <w:rPr>
          <w:rFonts w:ascii="宋体" w:cs="宋体"/>
          <w:color w:val="auto"/>
          <w:sz w:val="21"/>
          <w:szCs w:val="21"/>
          <w:highlight w:val="none"/>
        </w:rPr>
      </w:pPr>
      <w:r>
        <w:rPr>
          <w:rFonts w:hint="eastAsia" w:ascii="宋体" w:hAnsi="宋体" w:cs="宋体"/>
          <w:color w:val="auto"/>
          <w:sz w:val="21"/>
          <w:szCs w:val="21"/>
          <w:highlight w:val="none"/>
        </w:rPr>
        <w:t>⒋质量保修完成后，由发包人组织验收。</w:t>
      </w:r>
    </w:p>
    <w:p>
      <w:pPr>
        <w:pStyle w:val="49"/>
        <w:tabs>
          <w:tab w:val="left" w:pos="7920"/>
          <w:tab w:val="left" w:pos="8640"/>
        </w:tabs>
        <w:spacing w:before="0" w:after="0" w:line="480" w:lineRule="auto"/>
        <w:ind w:left="0" w:right="720"/>
        <w:rPr>
          <w:rFonts w:ascii="宋体" w:cs="宋体"/>
          <w:color w:val="auto"/>
          <w:sz w:val="21"/>
          <w:szCs w:val="21"/>
          <w:highlight w:val="none"/>
        </w:rPr>
      </w:pPr>
      <w:r>
        <w:rPr>
          <w:rFonts w:hint="eastAsia" w:ascii="宋体" w:hAnsi="宋体" w:cs="宋体"/>
          <w:color w:val="auto"/>
          <w:sz w:val="21"/>
          <w:szCs w:val="21"/>
          <w:highlight w:val="none"/>
        </w:rPr>
        <w:t>　　四、保修费用</w:t>
      </w:r>
    </w:p>
    <w:p>
      <w:pPr>
        <w:pStyle w:val="49"/>
        <w:tabs>
          <w:tab w:val="left" w:pos="7920"/>
          <w:tab w:val="left" w:pos="8640"/>
        </w:tabs>
        <w:spacing w:before="0" w:after="0" w:line="480" w:lineRule="auto"/>
        <w:ind w:left="0" w:right="720"/>
        <w:rPr>
          <w:rFonts w:ascii="宋体" w:cs="宋体"/>
          <w:color w:val="auto"/>
          <w:sz w:val="21"/>
          <w:szCs w:val="21"/>
          <w:highlight w:val="none"/>
        </w:rPr>
      </w:pPr>
      <w:r>
        <w:rPr>
          <w:rFonts w:hint="eastAsia" w:ascii="宋体" w:hAnsi="宋体" w:cs="宋体"/>
          <w:color w:val="auto"/>
          <w:sz w:val="21"/>
          <w:szCs w:val="21"/>
          <w:highlight w:val="none"/>
        </w:rPr>
        <w:t>　　保修费用由造成质量缺陷的责任方承担。</w:t>
      </w:r>
    </w:p>
    <w:p>
      <w:pPr>
        <w:pStyle w:val="49"/>
        <w:tabs>
          <w:tab w:val="left" w:pos="7920"/>
          <w:tab w:val="left" w:pos="8640"/>
        </w:tabs>
        <w:spacing w:before="0" w:after="0" w:line="480" w:lineRule="auto"/>
        <w:ind w:left="0" w:right="720"/>
        <w:rPr>
          <w:rFonts w:ascii="宋体" w:cs="宋体"/>
          <w:color w:val="auto"/>
          <w:sz w:val="21"/>
          <w:szCs w:val="21"/>
          <w:highlight w:val="none"/>
        </w:rPr>
      </w:pPr>
      <w:r>
        <w:rPr>
          <w:rFonts w:hint="eastAsia" w:ascii="宋体" w:hAnsi="宋体" w:cs="宋体"/>
          <w:color w:val="auto"/>
          <w:sz w:val="21"/>
          <w:szCs w:val="21"/>
          <w:highlight w:val="none"/>
        </w:rPr>
        <w:t>　　五、其他</w:t>
      </w:r>
    </w:p>
    <w:p>
      <w:pPr>
        <w:pStyle w:val="49"/>
        <w:tabs>
          <w:tab w:val="left" w:pos="7920"/>
          <w:tab w:val="left" w:pos="8640"/>
        </w:tabs>
        <w:spacing w:before="0" w:after="0" w:line="480" w:lineRule="auto"/>
        <w:ind w:left="0" w:right="720" w:firstLine="420"/>
        <w:rPr>
          <w:rFonts w:ascii="宋体" w:cs="宋体"/>
          <w:color w:val="auto"/>
          <w:sz w:val="21"/>
          <w:szCs w:val="21"/>
          <w:highlight w:val="none"/>
          <w:u w:val="single"/>
        </w:rPr>
      </w:pPr>
      <w:r>
        <w:rPr>
          <w:rFonts w:hint="eastAsia" w:ascii="宋体" w:hAnsi="宋体" w:cs="宋体"/>
          <w:color w:val="auto"/>
          <w:sz w:val="21"/>
          <w:szCs w:val="21"/>
          <w:highlight w:val="none"/>
        </w:rPr>
        <w:t>双方约定的其他工程质量保修事项：</w:t>
      </w:r>
    </w:p>
    <w:p>
      <w:pPr>
        <w:pStyle w:val="49"/>
        <w:tabs>
          <w:tab w:val="left" w:pos="7920"/>
          <w:tab w:val="left" w:pos="8640"/>
        </w:tabs>
        <w:spacing w:before="0" w:after="0" w:line="480" w:lineRule="auto"/>
        <w:ind w:left="0" w:right="77" w:firstLine="420"/>
        <w:rPr>
          <w:rFonts w:ascii="宋体" w:cs="宋体"/>
          <w:color w:val="auto"/>
          <w:sz w:val="21"/>
          <w:szCs w:val="21"/>
          <w:highlight w:val="none"/>
        </w:rPr>
      </w:pPr>
      <w:r>
        <w:rPr>
          <w:rFonts w:hint="eastAsia" w:ascii="宋体" w:hAnsi="宋体" w:cs="宋体"/>
          <w:color w:val="auto"/>
          <w:sz w:val="21"/>
          <w:szCs w:val="21"/>
          <w:highlight w:val="none"/>
        </w:rPr>
        <w:t>本工程质量保修书，由施工合同发包人、承包人双方在竣工验收前共同签署，作为施工合同附件，其有效期限至保修期满。</w:t>
      </w:r>
    </w:p>
    <w:p>
      <w:pPr>
        <w:pStyle w:val="49"/>
        <w:tabs>
          <w:tab w:val="left" w:pos="8100"/>
        </w:tabs>
        <w:ind w:left="0" w:right="77"/>
        <w:rPr>
          <w:rFonts w:ascii="宋体" w:cs="宋体"/>
          <w:color w:val="auto"/>
          <w:sz w:val="21"/>
          <w:szCs w:val="21"/>
          <w:highlight w:val="none"/>
        </w:rPr>
      </w:pPr>
      <w:r>
        <w:rPr>
          <w:rFonts w:hint="eastAsia" w:ascii="宋体" w:hAnsi="宋体" w:cs="宋体"/>
          <w:color w:val="auto"/>
          <w:sz w:val="21"/>
          <w:szCs w:val="21"/>
          <w:highlight w:val="none"/>
        </w:rPr>
        <w:t>发　包　人（公章）：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承　包　人（公章）：</w:t>
      </w:r>
    </w:p>
    <w:p>
      <w:pPr>
        <w:pStyle w:val="49"/>
        <w:ind w:left="0" w:right="720"/>
        <w:rPr>
          <w:rFonts w:ascii="宋体" w:cs="宋体"/>
          <w:color w:val="auto"/>
          <w:sz w:val="21"/>
          <w:szCs w:val="21"/>
          <w:highlight w:val="none"/>
        </w:rPr>
      </w:pPr>
      <w:r>
        <w:rPr>
          <w:rFonts w:hint="eastAsia" w:ascii="宋体" w:hAnsi="宋体" w:cs="宋体"/>
          <w:color w:val="auto"/>
          <w:sz w:val="21"/>
          <w:szCs w:val="21"/>
          <w:highlight w:val="none"/>
        </w:rPr>
        <w:t>法定地址：浙江农林大学东湖校区             法定地址：</w:t>
      </w:r>
    </w:p>
    <w:p>
      <w:pPr>
        <w:pStyle w:val="49"/>
        <w:ind w:left="0" w:right="77"/>
        <w:rPr>
          <w:rFonts w:ascii="宋体" w:cs="宋体"/>
          <w:color w:val="auto"/>
          <w:sz w:val="21"/>
          <w:szCs w:val="21"/>
          <w:highlight w:val="none"/>
          <w:u w:val="singl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（签字或盖章）   </w:t>
      </w: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（签字或盖章）</w:t>
      </w:r>
    </w:p>
    <w:p>
      <w:pPr>
        <w:pStyle w:val="49"/>
        <w:ind w:left="0" w:right="77"/>
        <w:rPr>
          <w:rFonts w:ascii="宋体" w:cs="宋体"/>
          <w:color w:val="auto"/>
          <w:sz w:val="21"/>
          <w:szCs w:val="21"/>
          <w:highlight w:val="none"/>
          <w:u w:val="single"/>
        </w:rPr>
      </w:pPr>
      <w:r>
        <w:rPr>
          <w:rFonts w:hint="eastAsia" w:ascii="宋体" w:hAnsi="宋体" w:cs="宋体"/>
          <w:color w:val="auto"/>
          <w:sz w:val="21"/>
          <w:szCs w:val="21"/>
          <w:highlight w:val="none"/>
        </w:rPr>
        <w:t xml:space="preserve">电话： </w:t>
      </w:r>
      <w:r>
        <w:rPr>
          <w:rFonts w:ascii="宋体" w:hAnsi="宋体" w:cs="宋体"/>
          <w:color w:val="auto"/>
          <w:sz w:val="21"/>
          <w:szCs w:val="21"/>
          <w:highlight w:val="none"/>
        </w:rPr>
        <w:t>0571-63740768</w:t>
      </w:r>
      <w:r>
        <w:rPr>
          <w:rFonts w:hint="eastAsia" w:ascii="宋体" w:hAnsi="宋体" w:cs="宋体"/>
          <w:color w:val="auto"/>
          <w:sz w:val="21"/>
          <w:szCs w:val="21"/>
          <w:highlight w:val="none"/>
        </w:rPr>
        <w:t xml:space="preserve">                       电话：</w:t>
      </w:r>
    </w:p>
    <w:p>
      <w:pPr>
        <w:pStyle w:val="49"/>
        <w:ind w:left="0" w:right="77"/>
        <w:rPr>
          <w:rFonts w:ascii="宋体" w:cs="宋体"/>
          <w:color w:val="auto"/>
          <w:sz w:val="21"/>
          <w:szCs w:val="21"/>
          <w:highlight w:val="none"/>
        </w:rPr>
      </w:pPr>
      <w:r>
        <w:rPr>
          <w:rFonts w:hint="eastAsia" w:ascii="宋体" w:hAnsi="宋体" w:cs="宋体"/>
          <w:color w:val="auto"/>
          <w:sz w:val="21"/>
          <w:szCs w:val="21"/>
          <w:highlight w:val="none"/>
        </w:rPr>
        <w:t>传真：                                     传真：</w:t>
      </w:r>
    </w:p>
    <w:p>
      <w:pPr>
        <w:pStyle w:val="49"/>
        <w:ind w:left="0" w:right="77"/>
        <w:rPr>
          <w:rFonts w:ascii="宋体" w:cs="宋体"/>
          <w:color w:val="auto"/>
          <w:sz w:val="21"/>
          <w:szCs w:val="21"/>
          <w:highlight w:val="none"/>
          <w:u w:val="single"/>
        </w:rPr>
      </w:pPr>
      <w:r>
        <w:rPr>
          <w:rFonts w:hint="eastAsia" w:ascii="宋体" w:hAnsi="宋体" w:cs="宋体"/>
          <w:color w:val="auto"/>
          <w:sz w:val="21"/>
          <w:szCs w:val="21"/>
          <w:highlight w:val="none"/>
        </w:rPr>
        <w:t>电子邮箱：                                 电子邮箱：</w:t>
      </w:r>
    </w:p>
    <w:p>
      <w:pPr>
        <w:pStyle w:val="49"/>
        <w:ind w:left="0" w:right="77"/>
        <w:rPr>
          <w:rFonts w:ascii="宋体" w:cs="宋体"/>
          <w:color w:val="auto"/>
          <w:sz w:val="21"/>
          <w:szCs w:val="21"/>
          <w:highlight w:val="none"/>
        </w:rPr>
      </w:pPr>
      <w:r>
        <w:rPr>
          <w:rFonts w:hint="eastAsia" w:ascii="宋体" w:hAnsi="宋体" w:cs="宋体"/>
          <w:color w:val="auto"/>
          <w:sz w:val="21"/>
          <w:szCs w:val="21"/>
          <w:highlight w:val="none"/>
        </w:rPr>
        <w:t>开户银行：建行临安市支行营业部             开户银行：</w:t>
      </w:r>
    </w:p>
    <w:p>
      <w:pPr>
        <w:pStyle w:val="49"/>
        <w:ind w:left="0" w:right="77"/>
        <w:rPr>
          <w:rFonts w:ascii="宋体" w:cs="宋体"/>
          <w:color w:val="auto"/>
          <w:sz w:val="21"/>
          <w:szCs w:val="21"/>
          <w:highlight w:val="none"/>
        </w:rPr>
      </w:pPr>
      <w:r>
        <w:rPr>
          <w:rFonts w:hint="eastAsia" w:ascii="宋体" w:hAnsi="宋体" w:cs="宋体"/>
          <w:color w:val="auto"/>
          <w:sz w:val="21"/>
          <w:szCs w:val="21"/>
          <w:highlight w:val="none"/>
        </w:rPr>
        <w:t>帐号：</w:t>
      </w:r>
      <w:r>
        <w:rPr>
          <w:rFonts w:ascii="宋体" w:hAnsi="宋体" w:cs="宋体"/>
          <w:color w:val="auto"/>
          <w:sz w:val="21"/>
          <w:szCs w:val="21"/>
          <w:highlight w:val="none"/>
        </w:rPr>
        <w:t>3300 1617 3350 5001 8761</w:t>
      </w:r>
      <w:r>
        <w:rPr>
          <w:rFonts w:hint="eastAsia" w:ascii="宋体" w:hAnsi="宋体" w:cs="宋体"/>
          <w:color w:val="auto"/>
          <w:sz w:val="21"/>
          <w:szCs w:val="21"/>
          <w:highlight w:val="none"/>
        </w:rPr>
        <w:t xml:space="preserve">             帐号：</w:t>
      </w:r>
    </w:p>
    <w:p>
      <w:pPr>
        <w:pStyle w:val="49"/>
        <w:ind w:left="0" w:right="720"/>
        <w:rPr>
          <w:rFonts w:ascii="宋体" w:cs="宋体"/>
          <w:color w:val="auto"/>
          <w:sz w:val="21"/>
          <w:szCs w:val="21"/>
          <w:highlight w:val="none"/>
        </w:rPr>
      </w:pPr>
      <w:r>
        <w:rPr>
          <w:rFonts w:hint="eastAsia" w:ascii="宋体" w:hAnsi="宋体" w:cs="宋体"/>
          <w:color w:val="auto"/>
          <w:sz w:val="21"/>
          <w:szCs w:val="21"/>
          <w:highlight w:val="none"/>
        </w:rPr>
        <w:t>邮政编码：</w:t>
      </w:r>
      <w:r>
        <w:rPr>
          <w:rFonts w:ascii="宋体" w:hAnsi="宋体" w:cs="宋体"/>
          <w:color w:val="auto"/>
          <w:sz w:val="21"/>
          <w:szCs w:val="21"/>
          <w:highlight w:val="none"/>
        </w:rPr>
        <w:t xml:space="preserve">311300  </w:t>
      </w:r>
      <w:r>
        <w:rPr>
          <w:rFonts w:hint="eastAsia" w:ascii="宋体" w:hAnsi="宋体" w:cs="宋体"/>
          <w:color w:val="auto"/>
          <w:sz w:val="21"/>
          <w:szCs w:val="21"/>
          <w:highlight w:val="none"/>
        </w:rPr>
        <w:t xml:space="preserve">                         邮政编码：</w:t>
      </w:r>
    </w:p>
    <w:p>
      <w:pPr>
        <w:pStyle w:val="49"/>
        <w:ind w:left="0" w:right="720"/>
        <w:rPr>
          <w:rFonts w:ascii="宋体" w:cs="宋体"/>
          <w:color w:val="auto"/>
          <w:sz w:val="21"/>
          <w:szCs w:val="21"/>
          <w:highlight w:val="none"/>
        </w:rPr>
      </w:pPr>
      <w:r>
        <w:rPr>
          <w:rFonts w:hint="eastAsia" w:ascii="宋体" w:hAnsi="宋体" w:cs="宋体"/>
          <w:color w:val="auto"/>
          <w:sz w:val="21"/>
          <w:szCs w:val="21"/>
          <w:highlight w:val="none"/>
        </w:rPr>
        <w:t>　　　年　月　日　　　　　　　　　　                            　年　月　日</w:t>
      </w:r>
    </w:p>
    <w:p>
      <w:pPr>
        <w:pStyle w:val="51"/>
        <w:numPr>
          <w:ilvl w:val="0"/>
          <w:numId w:val="0"/>
        </w:numPr>
        <w:rPr>
          <w:rFonts w:ascii="宋体" w:hAnsi="宋体" w:eastAsia="宋体"/>
          <w:b w:val="0"/>
          <w:snapToGrid w:val="0"/>
          <w:color w:val="auto"/>
          <w:kern w:val="0"/>
          <w:sz w:val="21"/>
          <w:szCs w:val="21"/>
          <w:highlight w:val="none"/>
        </w:rPr>
      </w:pPr>
      <w:r>
        <w:rPr>
          <w:rFonts w:ascii="宋体" w:hAnsi="宋体" w:eastAsia="宋体"/>
          <w:color w:val="auto"/>
          <w:sz w:val="21"/>
          <w:szCs w:val="21"/>
          <w:highlight w:val="none"/>
        </w:rPr>
        <w:br w:type="page"/>
      </w:r>
      <w:bookmarkStart w:id="134" w:name="_Toc31436_WPSOffice_Level2"/>
      <w:r>
        <w:rPr>
          <w:rFonts w:hint="eastAsia" w:ascii="宋体" w:hAnsi="宋体" w:eastAsia="宋体"/>
          <w:b w:val="0"/>
          <w:snapToGrid w:val="0"/>
          <w:color w:val="auto"/>
          <w:kern w:val="0"/>
          <w:sz w:val="21"/>
          <w:szCs w:val="21"/>
          <w:highlight w:val="none"/>
        </w:rPr>
        <w:t>附件</w:t>
      </w:r>
      <w:r>
        <w:rPr>
          <w:rFonts w:hint="eastAsia" w:ascii="宋体" w:hAnsi="宋体" w:eastAsia="宋体"/>
          <w:b w:val="0"/>
          <w:snapToGrid w:val="0"/>
          <w:color w:val="auto"/>
          <w:kern w:val="0"/>
          <w:sz w:val="21"/>
          <w:szCs w:val="21"/>
          <w:highlight w:val="none"/>
          <w:lang w:eastAsia="zh-CN"/>
        </w:rPr>
        <w:t>二</w:t>
      </w:r>
      <w:r>
        <w:rPr>
          <w:rFonts w:hint="eastAsia" w:ascii="宋体" w:hAnsi="宋体" w:eastAsia="宋体"/>
          <w:b w:val="0"/>
          <w:snapToGrid w:val="0"/>
          <w:color w:val="auto"/>
          <w:kern w:val="0"/>
          <w:sz w:val="21"/>
          <w:szCs w:val="21"/>
          <w:highlight w:val="none"/>
        </w:rPr>
        <w:t>：廉政协议书</w:t>
      </w:r>
      <w:bookmarkEnd w:id="134"/>
    </w:p>
    <w:p>
      <w:pPr>
        <w:spacing w:line="440" w:lineRule="exact"/>
        <w:jc w:val="center"/>
        <w:rPr>
          <w:rFonts w:ascii="宋体" w:cs="宋体"/>
          <w:color w:val="auto"/>
          <w:kern w:val="0"/>
          <w:sz w:val="21"/>
          <w:szCs w:val="21"/>
          <w:highlight w:val="none"/>
        </w:rPr>
      </w:pPr>
      <w:r>
        <w:rPr>
          <w:rFonts w:hint="eastAsia" w:ascii="宋体" w:hAnsi="宋体" w:cs="宋体"/>
          <w:color w:val="auto"/>
          <w:kern w:val="0"/>
          <w:sz w:val="21"/>
          <w:szCs w:val="21"/>
          <w:highlight w:val="none"/>
        </w:rPr>
        <w:t>廉政协议书</w:t>
      </w:r>
    </w:p>
    <w:p>
      <w:pPr>
        <w:rPr>
          <w:rFonts w:ascii="宋体" w:cs="宋体"/>
          <w:color w:val="auto"/>
          <w:sz w:val="21"/>
          <w:szCs w:val="21"/>
          <w:highlight w:val="none"/>
        </w:rPr>
      </w:pPr>
    </w:p>
    <w:p>
      <w:pPr>
        <w:rPr>
          <w:rFonts w:hint="eastAsia" w:ascii="宋体" w:cs="宋体"/>
          <w:color w:val="auto"/>
          <w:kern w:val="0"/>
          <w:sz w:val="21"/>
          <w:szCs w:val="21"/>
          <w:highlight w:val="none"/>
          <w:u w:val="single"/>
        </w:rPr>
      </w:pPr>
      <w:r>
        <w:rPr>
          <w:rFonts w:hint="eastAsia" w:ascii="宋体" w:hAnsi="宋体" w:cs="宋体"/>
          <w:color w:val="auto"/>
          <w:kern w:val="0"/>
          <w:sz w:val="21"/>
          <w:szCs w:val="21"/>
          <w:highlight w:val="none"/>
        </w:rPr>
        <w:t>建设单位（甲方）：</w:t>
      </w:r>
      <w:r>
        <w:rPr>
          <w:rFonts w:hint="eastAsia" w:ascii="宋体" w:hAnsi="宋体" w:cs="宋体"/>
          <w:color w:val="auto"/>
          <w:kern w:val="0"/>
          <w:sz w:val="21"/>
          <w:szCs w:val="21"/>
          <w:highlight w:val="none"/>
          <w:u w:val="single"/>
        </w:rPr>
        <w:t>浙江农林大学</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 xml:space="preserve">施工单位（乙方）： </w:t>
      </w:r>
    </w:p>
    <w:p>
      <w:pPr>
        <w:ind w:firstLine="420" w:firstLineChars="200"/>
        <w:rPr>
          <w:rFonts w:ascii="宋体" w:cs="宋体"/>
          <w:color w:val="auto"/>
          <w:kern w:val="0"/>
          <w:sz w:val="21"/>
          <w:szCs w:val="21"/>
          <w:highlight w:val="none"/>
        </w:rPr>
      </w:pPr>
    </w:p>
    <w:p>
      <w:pPr>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为加强工程建设中的廉政建设，规范工程建设项目甲乙双方的各项活动，防止发生各种谋取不正当利益的违法违纪行为，保护国家、集体和当事人的合法权益，根据国家有关工程建设的法律法规和廉政建设责任制规定，特订立本廉政协议书。</w:t>
      </w:r>
    </w:p>
    <w:p>
      <w:pP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第一条　甲乙双方的责任</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（一）应严格遵守国家关于市场准入、项目招标投标、工程建设、施工安装和市场活动等有关法律、法规，相关政策，以及廉政建设的各项规定。</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（二）严格执行建设工程项目施工合同文件，自觉履行合同的约定。</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（三）工程建设的业务活动必须坚持公平、公正、公开、诚信、透明的原则（除法律法规另有规定者外），不得为获取不正当的利益而损害国家、集体和对方利益；不得违反工程建设管理、施工安装的规章制度。</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（四）发现对方在工程建设业务活动中有违规、违纪、违法行为的，应及时纠正对方，情节严重的，应向其上级主管部门或院校纪检监察、司法等有关机关举报。</w:t>
      </w:r>
    </w:p>
    <w:p>
      <w:pP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第二条　甲方的责任</w:t>
      </w:r>
    </w:p>
    <w:p>
      <w:pPr>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甲方的领导和从事该工程建设项目的管理部门及工作人员，在工程建设业务活动的事前、事中、事后应遵守以下规定：</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（一）不准向乙方和相关单位索要或接受回扣、礼金、有价证券、贵重物品和好处费、感谢费等。</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（二）不准在乙方和相关单位报销任何应由甲方或个人支付的费用。</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（三）不准要求、暗示和接受乙方和相关单位为个人装修住房、婚丧嫁娶、配偶子女的工作安排以及出国（境）、旅游等提供方便。</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（四）不准参加有可能影响公正执行公务的乙方和相关单位的宴请和健身、娱乐等活动。</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五）不准向乙方推介或为配偶、子女、亲属参与同甲方项目工程施工合同有关的设备、材料、工程分包、劳务等经济活动。不得以任何理由向乙方和相关单位推荐分包单位和要求乙方购买项目工程施工合同规定以外的材料、设备等。</w:t>
      </w:r>
    </w:p>
    <w:p>
      <w:pP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第三条　乙方的责任</w:t>
      </w:r>
    </w:p>
    <w:p>
      <w:pPr>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应与甲方保持正常的业务交往，按照有关法律法规和程序开展业务工作，严格执行工程建设的有关方针、政策，尤其是有关建筑施工安装的强制性标准和规范，并遵守以下规定：</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（一）不准以任何理由向甲方、相关单位及其工作人员赠送礼金、有价证券、贵重物品和回扣、好处费、感谢费等。</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（二）不准以任何理由为甲方和相关单位报销应由对方或个人支付的费用。</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（三）不准接受或暗示为甲方、相关单位或个人装修住房、婚丧嫁娶、配偶子女的工作安排以及出国（境）、旅游等提供方便。</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（四）不准以任何理由为甲方、相关单位或个人组织有可能影响公正执行公务的宴请、健身、娱乐等活动。</w:t>
      </w:r>
    </w:p>
    <w:p>
      <w:pP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第四条　违约责任</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（一）甲方及其工作人员有违反本协议书第一、二条责任行为的，按照管理权限，依据有关法律法规和规定，给予党纪、政纪处分或组织处理；涉嫌犯罪的，移交司法机关追究刑事责任。</w:t>
      </w:r>
    </w:p>
    <w:p>
      <w:pPr>
        <w:rPr>
          <w:rFonts w:ascii="宋体" w:cs="宋体"/>
          <w:color w:val="auto"/>
          <w:kern w:val="0"/>
          <w:sz w:val="21"/>
          <w:szCs w:val="21"/>
          <w:highlight w:val="none"/>
        </w:rPr>
      </w:pPr>
      <w:r>
        <w:rPr>
          <w:rFonts w:hint="eastAsia" w:ascii="宋体" w:hAnsi="宋体" w:cs="宋体"/>
          <w:color w:val="auto"/>
          <w:kern w:val="0"/>
          <w:sz w:val="21"/>
          <w:szCs w:val="21"/>
          <w:highlight w:val="none"/>
        </w:rPr>
        <w:t>（二）乙方及其工作人员有违反本协议书第一、三条责任行为的，按照管理权限，依据有关法律法规和规定，给予党纪、政纪处分或组织处理；涉嫌犯罪的，移交司法机关追究刑事责任。</w:t>
      </w:r>
    </w:p>
    <w:p>
      <w:pP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第五条　本协议书作为工程建设施工合同的附件，与工程建设施工合同具有同等法律效力。经双方签署后立即生效。</w:t>
      </w:r>
    </w:p>
    <w:p>
      <w:pP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第六条　本协议书的有效期为双方签署之日起至该工程项目竣工验收合格时止。</w:t>
      </w:r>
    </w:p>
    <w:p>
      <w:pPr>
        <w:rPr>
          <w:rFonts w:ascii="宋体" w:cs="宋体"/>
          <w:b/>
          <w:bCs/>
          <w:color w:val="auto"/>
          <w:kern w:val="0"/>
          <w:sz w:val="21"/>
          <w:szCs w:val="21"/>
          <w:highlight w:val="none"/>
        </w:rPr>
      </w:pPr>
      <w:r>
        <w:rPr>
          <w:rFonts w:hint="eastAsia" w:ascii="宋体" w:hAnsi="宋体" w:cs="宋体"/>
          <w:b/>
          <w:bCs/>
          <w:color w:val="auto"/>
          <w:kern w:val="0"/>
          <w:sz w:val="21"/>
          <w:szCs w:val="21"/>
          <w:highlight w:val="none"/>
        </w:rPr>
        <w:t>第七条　本协议书一式四份，由甲乙双方各执一份，送交双方监督单位各一份。</w:t>
      </w:r>
    </w:p>
    <w:p>
      <w:pPr>
        <w:rPr>
          <w:rFonts w:ascii="宋体" w:cs="宋体"/>
          <w:b/>
          <w:bCs/>
          <w:color w:val="auto"/>
          <w:kern w:val="0"/>
          <w:sz w:val="21"/>
          <w:szCs w:val="21"/>
          <w:highlight w:val="none"/>
        </w:rPr>
      </w:pPr>
    </w:p>
    <w:p>
      <w:pPr>
        <w:rPr>
          <w:rFonts w:ascii="宋体" w:cs="宋体"/>
          <w:color w:val="auto"/>
          <w:kern w:val="0"/>
          <w:sz w:val="21"/>
          <w:szCs w:val="21"/>
          <w:highlight w:val="none"/>
        </w:rPr>
      </w:pPr>
    </w:p>
    <w:p>
      <w:pPr>
        <w:rPr>
          <w:rFonts w:ascii="宋体" w:cs="宋体"/>
          <w:color w:val="auto"/>
          <w:kern w:val="0"/>
          <w:sz w:val="21"/>
          <w:szCs w:val="21"/>
          <w:highlight w:val="none"/>
        </w:rPr>
      </w:pPr>
    </w:p>
    <w:p>
      <w:pPr>
        <w:rPr>
          <w:rFonts w:ascii="宋体" w:cs="宋体"/>
          <w:color w:val="auto"/>
          <w:kern w:val="0"/>
          <w:sz w:val="21"/>
          <w:szCs w:val="21"/>
          <w:highlight w:val="none"/>
        </w:rPr>
      </w:pPr>
      <w:r>
        <w:rPr>
          <w:rFonts w:hint="eastAsia" w:ascii="宋体" w:hAnsi="宋体" w:cs="宋体"/>
          <w:color w:val="auto"/>
          <w:kern w:val="0"/>
          <w:sz w:val="21"/>
          <w:szCs w:val="21"/>
          <w:highlight w:val="none"/>
        </w:rPr>
        <w:t>甲方单位：（盖章）                               乙方单位：（盖章）</w:t>
      </w:r>
    </w:p>
    <w:p>
      <w:pPr>
        <w:rPr>
          <w:rFonts w:ascii="宋体" w:cs="宋体"/>
          <w:color w:val="auto"/>
          <w:kern w:val="0"/>
          <w:sz w:val="21"/>
          <w:szCs w:val="21"/>
          <w:highlight w:val="none"/>
        </w:rPr>
      </w:pPr>
    </w:p>
    <w:p>
      <w:pPr>
        <w:rPr>
          <w:rFonts w:ascii="宋体" w:cs="宋体"/>
          <w:color w:val="auto"/>
          <w:kern w:val="0"/>
          <w:sz w:val="21"/>
          <w:szCs w:val="21"/>
          <w:highlight w:val="none"/>
        </w:rPr>
      </w:pPr>
    </w:p>
    <w:p>
      <w:pPr>
        <w:rPr>
          <w:rFonts w:ascii="宋体" w:cs="宋体"/>
          <w:color w:val="auto"/>
          <w:kern w:val="0"/>
          <w:sz w:val="21"/>
          <w:szCs w:val="21"/>
          <w:highlight w:val="none"/>
        </w:rPr>
      </w:pPr>
    </w:p>
    <w:p>
      <w:pPr>
        <w:rPr>
          <w:rFonts w:ascii="宋体" w:cs="宋体"/>
          <w:color w:val="auto"/>
          <w:kern w:val="0"/>
          <w:sz w:val="21"/>
          <w:szCs w:val="21"/>
          <w:highlight w:val="none"/>
        </w:rPr>
      </w:pPr>
    </w:p>
    <w:p>
      <w:pPr>
        <w:rPr>
          <w:rFonts w:ascii="宋体" w:cs="宋体"/>
          <w:color w:val="auto"/>
          <w:kern w:val="0"/>
          <w:sz w:val="21"/>
          <w:szCs w:val="21"/>
          <w:highlight w:val="none"/>
        </w:rPr>
      </w:pPr>
      <w:r>
        <w:rPr>
          <w:rFonts w:hint="eastAsia" w:ascii="宋体" w:hAnsi="宋体" w:cs="宋体"/>
          <w:color w:val="auto"/>
          <w:kern w:val="0"/>
          <w:sz w:val="21"/>
          <w:szCs w:val="21"/>
          <w:highlight w:val="none"/>
        </w:rPr>
        <w:t>法定代表人或其委托代理人：                        法定代表人或其委托代理人：</w:t>
      </w:r>
    </w:p>
    <w:p>
      <w:pPr>
        <w:rPr>
          <w:rFonts w:ascii="宋体" w:cs="宋体"/>
          <w:color w:val="auto"/>
          <w:kern w:val="0"/>
          <w:sz w:val="21"/>
          <w:szCs w:val="21"/>
          <w:highlight w:val="none"/>
        </w:rPr>
      </w:pPr>
    </w:p>
    <w:p>
      <w:pPr>
        <w:rPr>
          <w:rFonts w:ascii="宋体" w:cs="宋体"/>
          <w:color w:val="auto"/>
          <w:kern w:val="0"/>
          <w:sz w:val="21"/>
          <w:szCs w:val="21"/>
          <w:highlight w:val="none"/>
        </w:rPr>
      </w:pPr>
    </w:p>
    <w:p>
      <w:pPr>
        <w:widowControl/>
        <w:spacing w:line="288" w:lineRule="auto"/>
        <w:jc w:val="left"/>
        <w:rPr>
          <w:rFonts w:hint="eastAsia" w:ascii="宋体" w:hAnsi="宋体" w:cs="宋体"/>
          <w:color w:val="auto"/>
          <w:kern w:val="0"/>
          <w:sz w:val="21"/>
          <w:szCs w:val="21"/>
          <w:highlight w:val="none"/>
        </w:rPr>
        <w:sectPr>
          <w:footerReference r:id="rId8" w:type="default"/>
          <w:pgSz w:w="11900" w:h="16838"/>
          <w:pgMar w:top="1440" w:right="1440" w:bottom="158" w:left="1440" w:header="567" w:footer="567" w:gutter="0"/>
          <w:cols w:equalWidth="0" w:num="1">
            <w:col w:w="9026"/>
          </w:cols>
        </w:sectPr>
      </w:pPr>
      <w:r>
        <w:rPr>
          <w:rFonts w:hint="eastAsia" w:ascii="宋体" w:hAnsi="宋体" w:cs="宋体"/>
          <w:color w:val="auto"/>
          <w:kern w:val="0"/>
          <w:sz w:val="21"/>
          <w:szCs w:val="21"/>
          <w:highlight w:val="none"/>
        </w:rPr>
        <w:t>年　月　日                                             年　月　日</w:t>
      </w:r>
    </w:p>
    <w:p>
      <w:pPr>
        <w:tabs>
          <w:tab w:val="left" w:pos="300"/>
        </w:tabs>
        <w:spacing w:line="366" w:lineRule="exact"/>
        <w:jc w:val="center"/>
        <w:rPr>
          <w:rFonts w:ascii="宋体" w:cs="宋体"/>
          <w:b/>
          <w:bCs/>
          <w:color w:val="auto"/>
          <w:sz w:val="32"/>
          <w:szCs w:val="32"/>
          <w:highlight w:val="none"/>
        </w:rPr>
      </w:pPr>
      <w:bookmarkStart w:id="135" w:name="_Toc15965_WPSOffice_Level1"/>
      <w:bookmarkStart w:id="136" w:name="_Toc12050_WPSOffice_Level1"/>
      <w:bookmarkStart w:id="137" w:name="_Toc26912_WPSOffice_Level1"/>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响应文件格式</w:t>
      </w:r>
      <w:bookmarkEnd w:id="135"/>
      <w:bookmarkEnd w:id="136"/>
      <w:bookmarkEnd w:id="137"/>
    </w:p>
    <w:p>
      <w:pPr>
        <w:spacing w:line="256" w:lineRule="exact"/>
        <w:rPr>
          <w:rFonts w:ascii="宋体" w:cs="宋体"/>
          <w:color w:val="auto"/>
          <w:sz w:val="20"/>
          <w:szCs w:val="20"/>
          <w:highlight w:val="none"/>
        </w:rPr>
      </w:pPr>
    </w:p>
    <w:p>
      <w:pPr>
        <w:spacing w:line="240" w:lineRule="exact"/>
        <w:ind w:right="-13"/>
        <w:jc w:val="center"/>
        <w:rPr>
          <w:rFonts w:ascii="宋体" w:cs="宋体"/>
          <w:color w:val="auto"/>
          <w:sz w:val="20"/>
          <w:szCs w:val="20"/>
          <w:highlight w:val="none"/>
        </w:rPr>
      </w:pPr>
      <w:bookmarkStart w:id="138" w:name="_Toc23816_WPSOffice_Level2"/>
      <w:bookmarkStart w:id="139" w:name="_Toc20282_WPSOffice_Level2"/>
      <w:r>
        <w:rPr>
          <w:rFonts w:hint="eastAsia" w:ascii="宋体" w:hAnsi="宋体" w:cs="宋体"/>
          <w:color w:val="auto"/>
          <w:sz w:val="21"/>
          <w:szCs w:val="21"/>
          <w:highlight w:val="none"/>
        </w:rPr>
        <w:t>（未提供格式的由供应商自拟）</w:t>
      </w:r>
      <w:bookmarkEnd w:id="138"/>
      <w:bookmarkEnd w:id="139"/>
    </w:p>
    <w:p>
      <w:pPr>
        <w:tabs>
          <w:tab w:val="left" w:pos="300"/>
        </w:tabs>
        <w:spacing w:line="366" w:lineRule="exact"/>
        <w:jc w:val="center"/>
        <w:rPr>
          <w:rFonts w:ascii="宋体" w:cs="宋体"/>
          <w:b/>
          <w:bCs/>
          <w:color w:val="auto"/>
          <w:sz w:val="32"/>
          <w:szCs w:val="32"/>
          <w:highlight w:val="none"/>
        </w:rPr>
      </w:pPr>
    </w:p>
    <w:p>
      <w:pPr>
        <w:pStyle w:val="7"/>
        <w:rPr>
          <w:rFonts w:ascii="宋体" w:hAnsi="宋体" w:cs="宋体"/>
          <w:color w:val="auto"/>
          <w:highlight w:val="none"/>
        </w:rPr>
      </w:pPr>
    </w:p>
    <w:p>
      <w:pPr>
        <w:spacing w:line="320" w:lineRule="exact"/>
        <w:ind w:left="360"/>
        <w:rPr>
          <w:rFonts w:ascii="宋体" w:cs="宋体"/>
          <w:color w:val="auto"/>
          <w:sz w:val="20"/>
          <w:szCs w:val="20"/>
          <w:highlight w:val="none"/>
        </w:rPr>
      </w:pPr>
      <w:bookmarkStart w:id="140" w:name="_Toc22347_WPSOffice_Level2"/>
      <w:r>
        <w:rPr>
          <w:rFonts w:hint="eastAsia" w:ascii="宋体" w:hAnsi="宋体" w:cs="宋体"/>
          <w:color w:val="auto"/>
          <w:sz w:val="28"/>
          <w:szCs w:val="28"/>
          <w:highlight w:val="none"/>
        </w:rPr>
        <w:t>外包装封面</w:t>
      </w:r>
      <w:bookmarkEnd w:id="140"/>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308" w:lineRule="exact"/>
        <w:rPr>
          <w:rFonts w:ascii="宋体" w:cs="宋体"/>
          <w:color w:val="auto"/>
          <w:sz w:val="20"/>
          <w:szCs w:val="20"/>
          <w:highlight w:val="none"/>
        </w:rPr>
      </w:pPr>
    </w:p>
    <w:p>
      <w:pPr>
        <w:spacing w:line="320" w:lineRule="exact"/>
        <w:ind w:left="1340"/>
        <w:rPr>
          <w:rFonts w:ascii="宋体" w:cs="宋体"/>
          <w:color w:val="auto"/>
          <w:sz w:val="20"/>
          <w:szCs w:val="20"/>
          <w:highlight w:val="none"/>
        </w:rPr>
      </w:pPr>
      <w:bookmarkStart w:id="141" w:name="_Toc10074_WPSOffice_Level2"/>
      <w:r>
        <w:rPr>
          <w:rFonts w:hint="eastAsia" w:ascii="宋体" w:hAnsi="宋体" w:cs="宋体"/>
          <w:color w:val="auto"/>
          <w:sz w:val="28"/>
          <w:szCs w:val="28"/>
          <w:highlight w:val="none"/>
        </w:rPr>
        <w:t>项目名称：</w:t>
      </w:r>
      <w:bookmarkEnd w:id="141"/>
    </w:p>
    <w:p>
      <w:pPr>
        <w:spacing w:line="20" w:lineRule="exact"/>
        <w:rPr>
          <w:rFonts w:ascii="宋体" w:cs="宋体"/>
          <w:color w:val="auto"/>
          <w:sz w:val="20"/>
          <w:szCs w:val="20"/>
          <w:highlight w:val="none"/>
        </w:rPr>
      </w:pPr>
      <w:r>
        <w:rPr>
          <w:color w:val="auto"/>
          <w:highlight w:val="none"/>
        </w:rPr>
        <w:pict>
          <v:line id="_x0000_s1035" o:spid="_x0000_s1035" o:spt="20" style="position:absolute;left:0pt;margin-left:136.95pt;margin-top:0.05pt;height:0pt;width:287.1pt;z-index:-251650048;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88" w:lineRule="exact"/>
        <w:rPr>
          <w:rFonts w:ascii="宋体" w:cs="宋体"/>
          <w:color w:val="auto"/>
          <w:sz w:val="20"/>
          <w:szCs w:val="20"/>
          <w:highlight w:val="none"/>
        </w:rPr>
      </w:pPr>
    </w:p>
    <w:p>
      <w:pPr>
        <w:spacing w:line="320" w:lineRule="exact"/>
        <w:ind w:left="1340"/>
        <w:rPr>
          <w:rFonts w:ascii="宋体" w:cs="宋体"/>
          <w:color w:val="auto"/>
          <w:sz w:val="20"/>
          <w:szCs w:val="20"/>
          <w:highlight w:val="none"/>
        </w:rPr>
      </w:pPr>
      <w:bookmarkStart w:id="142" w:name="_Toc27691_WPSOffice_Level2"/>
      <w:r>
        <w:rPr>
          <w:rFonts w:hint="eastAsia" w:ascii="宋体" w:hAnsi="宋体" w:cs="宋体"/>
          <w:color w:val="auto"/>
          <w:sz w:val="28"/>
          <w:szCs w:val="28"/>
          <w:highlight w:val="none"/>
        </w:rPr>
        <w:t>项目编号：</w:t>
      </w:r>
      <w:bookmarkEnd w:id="142"/>
    </w:p>
    <w:p>
      <w:pPr>
        <w:spacing w:line="20" w:lineRule="exact"/>
        <w:rPr>
          <w:rFonts w:ascii="宋体" w:cs="宋体"/>
          <w:color w:val="auto"/>
          <w:sz w:val="20"/>
          <w:szCs w:val="20"/>
          <w:highlight w:val="none"/>
        </w:rPr>
      </w:pPr>
      <w:r>
        <w:rPr>
          <w:color w:val="auto"/>
          <w:highlight w:val="none"/>
        </w:rPr>
        <w:pict>
          <v:line id="_x0000_s1036" o:spid="_x0000_s1036" o:spt="20" style="position:absolute;left:0pt;margin-left:136.95pt;margin-top:0.05pt;height:0pt;width:287.1pt;z-index:-251649024;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25" w:lineRule="exact"/>
        <w:rPr>
          <w:rFonts w:ascii="宋体" w:cs="宋体"/>
          <w:color w:val="auto"/>
          <w:sz w:val="20"/>
          <w:szCs w:val="20"/>
          <w:highlight w:val="none"/>
        </w:rPr>
      </w:pPr>
    </w:p>
    <w:p>
      <w:pPr>
        <w:spacing w:line="822" w:lineRule="exact"/>
        <w:ind w:right="-33"/>
        <w:jc w:val="center"/>
        <w:rPr>
          <w:rFonts w:ascii="宋体" w:cs="宋体"/>
          <w:color w:val="auto"/>
          <w:sz w:val="20"/>
          <w:szCs w:val="20"/>
          <w:highlight w:val="none"/>
        </w:rPr>
      </w:pPr>
      <w:r>
        <w:rPr>
          <w:rFonts w:hint="eastAsia" w:ascii="宋体" w:hAnsi="宋体" w:cs="宋体"/>
          <w:color w:val="auto"/>
          <w:sz w:val="72"/>
          <w:szCs w:val="72"/>
          <w:highlight w:val="none"/>
        </w:rPr>
        <w:t>投</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件</w:t>
      </w:r>
    </w:p>
    <w:p>
      <w:pPr>
        <w:spacing w:line="200" w:lineRule="exact"/>
        <w:rPr>
          <w:rFonts w:ascii="宋体" w:cs="宋体"/>
          <w:color w:val="auto"/>
          <w:sz w:val="20"/>
          <w:szCs w:val="20"/>
          <w:highlight w:val="none"/>
        </w:rPr>
      </w:pPr>
    </w:p>
    <w:p>
      <w:pPr>
        <w:spacing w:line="381" w:lineRule="exact"/>
        <w:rPr>
          <w:rFonts w:ascii="宋体" w:cs="宋体"/>
          <w:color w:val="auto"/>
          <w:sz w:val="20"/>
          <w:szCs w:val="20"/>
          <w:highlight w:val="none"/>
        </w:rPr>
      </w:pPr>
    </w:p>
    <w:p>
      <w:pPr>
        <w:spacing w:line="822" w:lineRule="exact"/>
        <w:ind w:right="-33"/>
        <w:jc w:val="center"/>
        <w:rPr>
          <w:rFonts w:ascii="宋体" w:cs="宋体"/>
          <w:color w:val="auto"/>
          <w:sz w:val="20"/>
          <w:szCs w:val="20"/>
          <w:highlight w:val="none"/>
        </w:rPr>
      </w:pPr>
      <w:r>
        <w:rPr>
          <w:rFonts w:hint="eastAsia" w:ascii="宋体" w:hAnsi="宋体" w:cs="宋体"/>
          <w:color w:val="auto"/>
          <w:sz w:val="72"/>
          <w:szCs w:val="72"/>
          <w:highlight w:val="none"/>
        </w:rPr>
        <w:t>（报价、商务技术文件）</w: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67" w:lineRule="exact"/>
        <w:rPr>
          <w:rFonts w:ascii="宋体" w:cs="宋体"/>
          <w:color w:val="auto"/>
          <w:sz w:val="20"/>
          <w:szCs w:val="20"/>
          <w:highlight w:val="none"/>
        </w:rPr>
      </w:pPr>
    </w:p>
    <w:p>
      <w:pPr>
        <w:tabs>
          <w:tab w:val="left" w:pos="5880"/>
        </w:tabs>
        <w:spacing w:line="320" w:lineRule="exact"/>
        <w:ind w:left="1140"/>
        <w:jc w:val="both"/>
        <w:rPr>
          <w:rFonts w:ascii="宋体" w:cs="宋体"/>
          <w:color w:val="auto"/>
          <w:sz w:val="20"/>
          <w:szCs w:val="20"/>
          <w:highlight w:val="none"/>
        </w:rPr>
      </w:pPr>
      <w:bookmarkStart w:id="143" w:name="_Toc15720_WPSOffice_Level2"/>
      <w:r>
        <w:rPr>
          <w:rFonts w:hint="eastAsia" w:ascii="宋体" w:hAnsi="宋体" w:cs="宋体"/>
          <w:color w:val="auto"/>
          <w:sz w:val="28"/>
          <w:szCs w:val="28"/>
          <w:highlight w:val="none"/>
        </w:rPr>
        <w:t>供应商：</w:t>
      </w:r>
      <w:r>
        <w:rPr>
          <w:rFonts w:ascii="宋体" w:cs="宋体"/>
          <w:color w:val="auto"/>
          <w:sz w:val="20"/>
          <w:szCs w:val="20"/>
          <w:highlight w:val="none"/>
        </w:rPr>
        <w:tab/>
      </w:r>
      <w:r>
        <w:rPr>
          <w:rFonts w:hint="eastAsia" w:ascii="宋体" w:hAnsi="宋体" w:cs="宋体"/>
          <w:color w:val="auto"/>
          <w:sz w:val="28"/>
          <w:szCs w:val="28"/>
          <w:highlight w:val="none"/>
        </w:rPr>
        <w:t>（盖单位公章）</w:t>
      </w:r>
      <w:bookmarkEnd w:id="143"/>
    </w:p>
    <w:p>
      <w:pPr>
        <w:spacing w:line="20" w:lineRule="exact"/>
        <w:rPr>
          <w:rFonts w:ascii="宋体" w:cs="宋体"/>
          <w:color w:val="auto"/>
          <w:sz w:val="20"/>
          <w:szCs w:val="20"/>
          <w:highlight w:val="none"/>
        </w:rPr>
      </w:pPr>
      <w:r>
        <w:rPr>
          <w:color w:val="auto"/>
          <w:highlight w:val="none"/>
        </w:rPr>
        <w:pict>
          <v:line id="_x0000_s1037" o:spid="_x0000_s1037" o:spt="20" style="position:absolute;left:0pt;margin-left:112.6pt;margin-top:0.05pt;height:0pt;width:182.05pt;z-index:-251648000;mso-width-relative:page;mso-height-relative:page;" filled="t" coordsize="21600,21600" o:allowincell="f">
            <v:path arrowok="t"/>
            <v:fill on="t" focussize="0,0"/>
            <v:stroke weight="1.08pt" joinstyle="miter"/>
            <v:imagedata o:title=""/>
            <o:lock v:ext="edit"/>
          </v:line>
        </w:pict>
      </w:r>
    </w:p>
    <w:p>
      <w:pPr>
        <w:spacing w:line="205" w:lineRule="exact"/>
        <w:rPr>
          <w:rFonts w:ascii="宋体" w:cs="宋体"/>
          <w:color w:val="auto"/>
          <w:sz w:val="20"/>
          <w:szCs w:val="20"/>
          <w:highlight w:val="none"/>
        </w:rPr>
      </w:pPr>
    </w:p>
    <w:p>
      <w:pPr>
        <w:tabs>
          <w:tab w:val="left" w:pos="5460"/>
        </w:tabs>
        <w:spacing w:line="320" w:lineRule="exact"/>
        <w:ind w:left="1140"/>
        <w:rPr>
          <w:rFonts w:ascii="宋体" w:cs="宋体"/>
          <w:color w:val="auto"/>
          <w:sz w:val="20"/>
          <w:szCs w:val="20"/>
          <w:highlight w:val="none"/>
        </w:rPr>
      </w:pPr>
      <w:bookmarkStart w:id="144" w:name="_Toc28306_WPSOffice_Level2"/>
      <w:r>
        <w:rPr>
          <w:rFonts w:hint="eastAsia" w:ascii="宋体" w:hAnsi="宋体" w:cs="宋体"/>
          <w:color w:val="auto"/>
          <w:sz w:val="28"/>
          <w:szCs w:val="28"/>
          <w:highlight w:val="none"/>
        </w:rPr>
        <w:t>响应文件签署人：</w:t>
      </w:r>
      <w:r>
        <w:rPr>
          <w:rFonts w:ascii="宋体" w:cs="宋体"/>
          <w:color w:val="auto"/>
          <w:sz w:val="20"/>
          <w:szCs w:val="20"/>
          <w:highlight w:val="none"/>
        </w:rPr>
        <w:tab/>
      </w:r>
      <w:r>
        <w:rPr>
          <w:rFonts w:hint="eastAsia" w:ascii="宋体" w:hAnsi="宋体" w:cs="宋体"/>
          <w:color w:val="auto"/>
          <w:sz w:val="28"/>
          <w:szCs w:val="28"/>
          <w:highlight w:val="none"/>
        </w:rPr>
        <w:t>（签字或盖章）</w:t>
      </w:r>
      <w:bookmarkEnd w:id="144"/>
    </w:p>
    <w:p>
      <w:pPr>
        <w:spacing w:line="20" w:lineRule="exact"/>
        <w:rPr>
          <w:rFonts w:ascii="宋体" w:cs="宋体"/>
          <w:color w:val="auto"/>
          <w:sz w:val="20"/>
          <w:szCs w:val="20"/>
          <w:highlight w:val="none"/>
        </w:rPr>
      </w:pPr>
      <w:r>
        <w:rPr>
          <w:color w:val="auto"/>
          <w:highlight w:val="none"/>
        </w:rPr>
        <w:pict>
          <v:line id="_x0000_s1038" o:spid="_x0000_s1038" o:spt="20" style="position:absolute;left:0pt;margin-left:168.65pt;margin-top:0.05pt;height:0pt;width:105pt;z-index:-251646976;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88" w:lineRule="exact"/>
        <w:rPr>
          <w:rFonts w:ascii="宋体" w:cs="宋体"/>
          <w:color w:val="auto"/>
          <w:sz w:val="20"/>
          <w:szCs w:val="20"/>
          <w:highlight w:val="none"/>
        </w:rPr>
      </w:pPr>
    </w:p>
    <w:p>
      <w:pPr>
        <w:tabs>
          <w:tab w:val="left" w:pos="4600"/>
          <w:tab w:val="left" w:pos="5300"/>
        </w:tabs>
        <w:spacing w:line="320" w:lineRule="exact"/>
        <w:ind w:left="3920"/>
        <w:rPr>
          <w:rFonts w:ascii="宋体" w:cs="宋体"/>
          <w:color w:val="auto"/>
          <w:sz w:val="20"/>
          <w:szCs w:val="20"/>
          <w:highlight w:val="none"/>
        </w:rPr>
      </w:pPr>
      <w:bookmarkStart w:id="145" w:name="_Toc8356_WPSOffice_Level2"/>
      <w:r>
        <w:rPr>
          <w:rFonts w:hint="eastAsia" w:ascii="宋体" w:hAnsi="宋体" w:cs="宋体"/>
          <w:color w:val="auto"/>
          <w:sz w:val="28"/>
          <w:szCs w:val="28"/>
          <w:highlight w:val="none"/>
        </w:rPr>
        <w:t>年</w:t>
      </w:r>
      <w:r>
        <w:rPr>
          <w:rFonts w:ascii="宋体" w:cs="宋体"/>
          <w:color w:val="auto"/>
          <w:sz w:val="28"/>
          <w:szCs w:val="28"/>
          <w:highlight w:val="none"/>
        </w:rPr>
        <w:tab/>
      </w:r>
      <w:r>
        <w:rPr>
          <w:rFonts w:hint="eastAsia" w:ascii="宋体" w:hAnsi="宋体" w:cs="宋体"/>
          <w:color w:val="auto"/>
          <w:sz w:val="28"/>
          <w:szCs w:val="28"/>
          <w:highlight w:val="none"/>
        </w:rPr>
        <w:t>月</w:t>
      </w:r>
      <w:r>
        <w:rPr>
          <w:rFonts w:ascii="宋体" w:cs="宋体"/>
          <w:color w:val="auto"/>
          <w:sz w:val="28"/>
          <w:szCs w:val="28"/>
          <w:highlight w:val="none"/>
        </w:rPr>
        <w:tab/>
      </w:r>
      <w:r>
        <w:rPr>
          <w:rFonts w:hint="eastAsia" w:ascii="宋体" w:hAnsi="宋体" w:cs="宋体"/>
          <w:color w:val="auto"/>
          <w:sz w:val="28"/>
          <w:szCs w:val="28"/>
          <w:highlight w:val="none"/>
        </w:rPr>
        <w:t>日</w:t>
      </w:r>
      <w:bookmarkEnd w:id="145"/>
    </w:p>
    <w:p>
      <w:pPr>
        <w:rPr>
          <w:rFonts w:ascii="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rPr>
          <w:rFonts w:ascii="宋体" w:cs="宋体"/>
          <w:b/>
          <w:bCs/>
          <w:color w:val="auto"/>
          <w:sz w:val="32"/>
          <w:szCs w:val="32"/>
          <w:highlight w:val="none"/>
        </w:rPr>
      </w:pPr>
    </w:p>
    <w:p>
      <w:pPr>
        <w:spacing w:line="168" w:lineRule="exact"/>
        <w:rPr>
          <w:rFonts w:ascii="宋体" w:cs="宋体"/>
          <w:color w:val="auto"/>
          <w:sz w:val="20"/>
          <w:szCs w:val="20"/>
          <w:highlight w:val="none"/>
        </w:rPr>
      </w:pPr>
    </w:p>
    <w:p>
      <w:pPr>
        <w:spacing w:line="320" w:lineRule="exact"/>
        <w:ind w:left="360"/>
        <w:rPr>
          <w:rFonts w:ascii="宋体" w:cs="宋体"/>
          <w:color w:val="auto"/>
          <w:sz w:val="20"/>
          <w:szCs w:val="20"/>
          <w:highlight w:val="none"/>
        </w:rPr>
      </w:pPr>
      <w:bookmarkStart w:id="146" w:name="_Toc23848_WPSOffice_Level2"/>
      <w:r>
        <w:rPr>
          <w:rFonts w:hint="eastAsia" w:ascii="宋体" w:hAnsi="宋体" w:cs="宋体"/>
          <w:color w:val="auto"/>
          <w:sz w:val="28"/>
          <w:szCs w:val="28"/>
          <w:highlight w:val="none"/>
        </w:rPr>
        <w:t>报价文件封面</w:t>
      </w:r>
      <w:bookmarkEnd w:id="146"/>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308" w:lineRule="exact"/>
        <w:rPr>
          <w:rFonts w:ascii="宋体" w:cs="宋体"/>
          <w:color w:val="auto"/>
          <w:sz w:val="20"/>
          <w:szCs w:val="20"/>
          <w:highlight w:val="none"/>
        </w:rPr>
      </w:pPr>
    </w:p>
    <w:p>
      <w:pPr>
        <w:spacing w:line="320" w:lineRule="exact"/>
        <w:ind w:left="1340"/>
        <w:rPr>
          <w:rFonts w:ascii="宋体" w:cs="宋体"/>
          <w:color w:val="auto"/>
          <w:sz w:val="20"/>
          <w:szCs w:val="20"/>
          <w:highlight w:val="none"/>
        </w:rPr>
      </w:pPr>
      <w:bookmarkStart w:id="147" w:name="_Toc1313_WPSOffice_Level2"/>
      <w:r>
        <w:rPr>
          <w:rFonts w:hint="eastAsia" w:ascii="宋体" w:hAnsi="宋体" w:cs="宋体"/>
          <w:color w:val="auto"/>
          <w:sz w:val="28"/>
          <w:szCs w:val="28"/>
          <w:highlight w:val="none"/>
        </w:rPr>
        <w:t>项目名称：</w:t>
      </w:r>
      <w:bookmarkEnd w:id="147"/>
    </w:p>
    <w:p>
      <w:pPr>
        <w:spacing w:line="20" w:lineRule="exact"/>
        <w:rPr>
          <w:rFonts w:ascii="宋体" w:cs="宋体"/>
          <w:color w:val="auto"/>
          <w:sz w:val="20"/>
          <w:szCs w:val="20"/>
          <w:highlight w:val="none"/>
        </w:rPr>
      </w:pPr>
      <w:r>
        <w:rPr>
          <w:color w:val="auto"/>
          <w:highlight w:val="none"/>
        </w:rPr>
        <w:pict>
          <v:line id="Shape 215" o:spid="_x0000_s1039" o:spt="20" style="position:absolute;left:0pt;margin-left:136.95pt;margin-top:0.05pt;height:0pt;width:287.1pt;z-index:-251669504;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88" w:lineRule="exact"/>
        <w:rPr>
          <w:rFonts w:ascii="宋体" w:cs="宋体"/>
          <w:color w:val="auto"/>
          <w:sz w:val="20"/>
          <w:szCs w:val="20"/>
          <w:highlight w:val="none"/>
        </w:rPr>
      </w:pPr>
    </w:p>
    <w:p>
      <w:pPr>
        <w:spacing w:line="320" w:lineRule="exact"/>
        <w:ind w:left="1340"/>
        <w:rPr>
          <w:rFonts w:ascii="宋体" w:cs="宋体"/>
          <w:color w:val="auto"/>
          <w:sz w:val="20"/>
          <w:szCs w:val="20"/>
          <w:highlight w:val="none"/>
        </w:rPr>
      </w:pPr>
      <w:bookmarkStart w:id="148" w:name="_Toc13212_WPSOffice_Level2"/>
      <w:r>
        <w:rPr>
          <w:rFonts w:hint="eastAsia" w:ascii="宋体" w:hAnsi="宋体" w:cs="宋体"/>
          <w:color w:val="auto"/>
          <w:sz w:val="28"/>
          <w:szCs w:val="28"/>
          <w:highlight w:val="none"/>
        </w:rPr>
        <w:t>项目编号：</w:t>
      </w:r>
      <w:bookmarkEnd w:id="148"/>
    </w:p>
    <w:p>
      <w:pPr>
        <w:spacing w:line="20" w:lineRule="exact"/>
        <w:rPr>
          <w:rFonts w:ascii="宋体" w:cs="宋体"/>
          <w:color w:val="auto"/>
          <w:sz w:val="20"/>
          <w:szCs w:val="20"/>
          <w:highlight w:val="none"/>
        </w:rPr>
      </w:pPr>
      <w:r>
        <w:rPr>
          <w:color w:val="auto"/>
          <w:highlight w:val="none"/>
        </w:rPr>
        <w:pict>
          <v:line id="Shape 216" o:spid="_x0000_s1040" o:spt="20" style="position:absolute;left:0pt;margin-left:136.95pt;margin-top:0.05pt;height:0pt;width:287.1pt;z-index:-251668480;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24" w:lineRule="exact"/>
        <w:rPr>
          <w:rFonts w:ascii="宋体" w:cs="宋体"/>
          <w:color w:val="auto"/>
          <w:sz w:val="20"/>
          <w:szCs w:val="20"/>
          <w:highlight w:val="none"/>
        </w:rPr>
      </w:pPr>
    </w:p>
    <w:p>
      <w:pPr>
        <w:spacing w:line="822" w:lineRule="exact"/>
        <w:ind w:right="-33"/>
        <w:jc w:val="center"/>
        <w:rPr>
          <w:rFonts w:ascii="宋体" w:cs="宋体"/>
          <w:color w:val="auto"/>
          <w:sz w:val="20"/>
          <w:szCs w:val="20"/>
          <w:highlight w:val="none"/>
        </w:rPr>
      </w:pPr>
      <w:r>
        <w:rPr>
          <w:rFonts w:hint="eastAsia" w:ascii="宋体" w:hAnsi="宋体" w:cs="宋体"/>
          <w:color w:val="auto"/>
          <w:sz w:val="72"/>
          <w:szCs w:val="72"/>
          <w:highlight w:val="none"/>
        </w:rPr>
        <w:t>投</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件</w:t>
      </w:r>
    </w:p>
    <w:p>
      <w:pPr>
        <w:spacing w:line="200" w:lineRule="exact"/>
        <w:rPr>
          <w:rFonts w:ascii="宋体" w:cs="宋体"/>
          <w:color w:val="auto"/>
          <w:sz w:val="20"/>
          <w:szCs w:val="20"/>
          <w:highlight w:val="none"/>
        </w:rPr>
      </w:pPr>
    </w:p>
    <w:p>
      <w:pPr>
        <w:spacing w:line="380" w:lineRule="exact"/>
        <w:rPr>
          <w:rFonts w:ascii="宋体" w:cs="宋体"/>
          <w:color w:val="auto"/>
          <w:sz w:val="20"/>
          <w:szCs w:val="20"/>
          <w:highlight w:val="none"/>
        </w:rPr>
      </w:pPr>
    </w:p>
    <w:p>
      <w:pPr>
        <w:spacing w:line="822" w:lineRule="exact"/>
        <w:ind w:right="-33"/>
        <w:jc w:val="center"/>
        <w:rPr>
          <w:rFonts w:ascii="宋体" w:cs="宋体"/>
          <w:color w:val="auto"/>
          <w:sz w:val="20"/>
          <w:szCs w:val="20"/>
          <w:highlight w:val="none"/>
        </w:rPr>
      </w:pPr>
      <w:r>
        <w:rPr>
          <w:rFonts w:hint="eastAsia" w:ascii="宋体" w:hAnsi="宋体" w:cs="宋体"/>
          <w:color w:val="auto"/>
          <w:sz w:val="72"/>
          <w:szCs w:val="72"/>
          <w:highlight w:val="none"/>
        </w:rPr>
        <w:t>（报价文件）</w: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322" w:lineRule="exact"/>
        <w:rPr>
          <w:rFonts w:ascii="宋体" w:cs="宋体"/>
          <w:color w:val="auto"/>
          <w:sz w:val="20"/>
          <w:szCs w:val="20"/>
          <w:highlight w:val="none"/>
        </w:rPr>
      </w:pPr>
    </w:p>
    <w:p>
      <w:pPr>
        <w:tabs>
          <w:tab w:val="left" w:pos="5880"/>
        </w:tabs>
        <w:spacing w:line="320" w:lineRule="exact"/>
        <w:ind w:left="1140"/>
        <w:jc w:val="both"/>
        <w:rPr>
          <w:rFonts w:ascii="宋体" w:cs="宋体"/>
          <w:color w:val="auto"/>
          <w:sz w:val="20"/>
          <w:szCs w:val="20"/>
          <w:highlight w:val="none"/>
        </w:rPr>
      </w:pPr>
      <w:bookmarkStart w:id="149" w:name="_Toc14375_WPSOffice_Level2"/>
      <w:r>
        <w:rPr>
          <w:rFonts w:hint="eastAsia" w:ascii="宋体" w:hAnsi="宋体" w:cs="宋体"/>
          <w:color w:val="auto"/>
          <w:sz w:val="28"/>
          <w:szCs w:val="28"/>
          <w:highlight w:val="none"/>
        </w:rPr>
        <w:t>供应商：</w:t>
      </w:r>
      <w:r>
        <w:rPr>
          <w:rFonts w:ascii="宋体" w:cs="宋体"/>
          <w:color w:val="auto"/>
          <w:sz w:val="20"/>
          <w:szCs w:val="20"/>
          <w:highlight w:val="none"/>
        </w:rPr>
        <w:tab/>
      </w:r>
      <w:r>
        <w:rPr>
          <w:rFonts w:hint="eastAsia" w:ascii="宋体" w:hAnsi="宋体" w:cs="宋体"/>
          <w:color w:val="auto"/>
          <w:sz w:val="28"/>
          <w:szCs w:val="28"/>
          <w:highlight w:val="none"/>
        </w:rPr>
        <w:t>（盖单位公章）</w:t>
      </w:r>
      <w:bookmarkEnd w:id="149"/>
    </w:p>
    <w:p>
      <w:pPr>
        <w:spacing w:line="20" w:lineRule="exact"/>
        <w:rPr>
          <w:rFonts w:ascii="宋体" w:cs="宋体"/>
          <w:color w:val="auto"/>
          <w:sz w:val="20"/>
          <w:szCs w:val="20"/>
          <w:highlight w:val="none"/>
        </w:rPr>
      </w:pPr>
      <w:r>
        <w:rPr>
          <w:color w:val="auto"/>
          <w:highlight w:val="none"/>
        </w:rPr>
        <w:pict>
          <v:line id="Shape 217" o:spid="_x0000_s1041" o:spt="20" style="position:absolute;left:0pt;margin-left:112.6pt;margin-top:0.05pt;height:0pt;width:182.05pt;z-index:-251667456;mso-width-relative:page;mso-height-relative:page;" filled="t" coordsize="21600,21600" o:allowincell="f">
            <v:path arrowok="t"/>
            <v:fill on="t" focussize="0,0"/>
            <v:stroke weight="1.08pt" joinstyle="miter"/>
            <v:imagedata o:title=""/>
            <o:lock v:ext="edit"/>
          </v:line>
        </w:pict>
      </w:r>
    </w:p>
    <w:p>
      <w:pPr>
        <w:spacing w:line="205" w:lineRule="exact"/>
        <w:rPr>
          <w:rFonts w:ascii="宋体" w:cs="宋体"/>
          <w:color w:val="auto"/>
          <w:sz w:val="20"/>
          <w:szCs w:val="20"/>
          <w:highlight w:val="none"/>
        </w:rPr>
      </w:pPr>
    </w:p>
    <w:p>
      <w:pPr>
        <w:tabs>
          <w:tab w:val="left" w:pos="5460"/>
        </w:tabs>
        <w:spacing w:line="320" w:lineRule="exact"/>
        <w:ind w:left="1140"/>
        <w:rPr>
          <w:rFonts w:ascii="宋体" w:cs="宋体"/>
          <w:color w:val="auto"/>
          <w:sz w:val="20"/>
          <w:szCs w:val="20"/>
          <w:highlight w:val="none"/>
        </w:rPr>
      </w:pPr>
      <w:bookmarkStart w:id="150" w:name="_Toc12549_WPSOffice_Level2"/>
      <w:r>
        <w:rPr>
          <w:rFonts w:hint="eastAsia" w:ascii="宋体" w:hAnsi="宋体" w:cs="宋体"/>
          <w:color w:val="auto"/>
          <w:sz w:val="28"/>
          <w:szCs w:val="28"/>
          <w:highlight w:val="none"/>
        </w:rPr>
        <w:t>响应文件签署人：</w:t>
      </w:r>
      <w:r>
        <w:rPr>
          <w:rFonts w:ascii="宋体" w:cs="宋体"/>
          <w:color w:val="auto"/>
          <w:sz w:val="20"/>
          <w:szCs w:val="20"/>
          <w:highlight w:val="none"/>
        </w:rPr>
        <w:tab/>
      </w:r>
      <w:r>
        <w:rPr>
          <w:rFonts w:hint="eastAsia" w:ascii="宋体" w:hAnsi="宋体" w:cs="宋体"/>
          <w:color w:val="auto"/>
          <w:sz w:val="28"/>
          <w:szCs w:val="28"/>
          <w:highlight w:val="none"/>
        </w:rPr>
        <w:t>（签字或盖章）</w:t>
      </w:r>
      <w:bookmarkEnd w:id="150"/>
    </w:p>
    <w:p>
      <w:pPr>
        <w:spacing w:line="20" w:lineRule="exact"/>
        <w:rPr>
          <w:rFonts w:ascii="宋体" w:cs="宋体"/>
          <w:color w:val="auto"/>
          <w:sz w:val="20"/>
          <w:szCs w:val="20"/>
          <w:highlight w:val="none"/>
        </w:rPr>
      </w:pPr>
      <w:r>
        <w:rPr>
          <w:color w:val="auto"/>
          <w:highlight w:val="none"/>
        </w:rPr>
        <w:pict>
          <v:line id="Shape 218" o:spid="_x0000_s1042" o:spt="20" style="position:absolute;left:0pt;margin-left:168.65pt;margin-top:0.05pt;height:0pt;width:105pt;z-index:-251666432;mso-width-relative:page;mso-height-relative:page;" filled="t" coordsize="21600,21600" o:allowincell="f">
            <v:path arrowok="t"/>
            <v:fill on="t" focussize="0,0"/>
            <v:stroke weight="1.07992125984252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88" w:lineRule="exact"/>
        <w:rPr>
          <w:rFonts w:ascii="宋体" w:cs="宋体"/>
          <w:color w:val="auto"/>
          <w:sz w:val="20"/>
          <w:szCs w:val="20"/>
          <w:highlight w:val="none"/>
        </w:rPr>
      </w:pPr>
    </w:p>
    <w:p>
      <w:pPr>
        <w:tabs>
          <w:tab w:val="left" w:pos="4600"/>
          <w:tab w:val="left" w:pos="5300"/>
        </w:tabs>
        <w:spacing w:line="320" w:lineRule="exact"/>
        <w:ind w:left="3920"/>
        <w:rPr>
          <w:rFonts w:ascii="宋体" w:cs="宋体"/>
          <w:color w:val="auto"/>
          <w:sz w:val="20"/>
          <w:szCs w:val="20"/>
          <w:highlight w:val="none"/>
        </w:rPr>
      </w:pPr>
      <w:bookmarkStart w:id="151" w:name="_Toc20379_WPSOffice_Level2"/>
      <w:r>
        <w:rPr>
          <w:rFonts w:hint="eastAsia" w:ascii="宋体" w:hAnsi="宋体" w:cs="宋体"/>
          <w:color w:val="auto"/>
          <w:sz w:val="28"/>
          <w:szCs w:val="28"/>
          <w:highlight w:val="none"/>
        </w:rPr>
        <w:t>年</w:t>
      </w:r>
      <w:r>
        <w:rPr>
          <w:rFonts w:ascii="宋体" w:cs="宋体"/>
          <w:color w:val="auto"/>
          <w:sz w:val="28"/>
          <w:szCs w:val="28"/>
          <w:highlight w:val="none"/>
        </w:rPr>
        <w:tab/>
      </w:r>
      <w:r>
        <w:rPr>
          <w:rFonts w:hint="eastAsia" w:ascii="宋体" w:hAnsi="宋体" w:cs="宋体"/>
          <w:color w:val="auto"/>
          <w:sz w:val="28"/>
          <w:szCs w:val="28"/>
          <w:highlight w:val="none"/>
        </w:rPr>
        <w:t>月</w:t>
      </w:r>
      <w:r>
        <w:rPr>
          <w:rFonts w:ascii="宋体" w:cs="宋体"/>
          <w:color w:val="auto"/>
          <w:sz w:val="28"/>
          <w:szCs w:val="28"/>
          <w:highlight w:val="none"/>
        </w:rPr>
        <w:tab/>
      </w:r>
      <w:r>
        <w:rPr>
          <w:rFonts w:hint="eastAsia" w:ascii="宋体" w:hAnsi="宋体" w:cs="宋体"/>
          <w:color w:val="auto"/>
          <w:sz w:val="28"/>
          <w:szCs w:val="28"/>
          <w:highlight w:val="none"/>
        </w:rPr>
        <w:t>日</w:t>
      </w:r>
      <w:bookmarkEnd w:id="151"/>
    </w:p>
    <w:p>
      <w:pPr>
        <w:spacing w:line="20" w:lineRule="exact"/>
        <w:rPr>
          <w:rFonts w:ascii="宋体" w:cs="宋体"/>
          <w:color w:val="auto"/>
          <w:sz w:val="20"/>
          <w:szCs w:val="20"/>
          <w:highlight w:val="none"/>
        </w:rPr>
      </w:pPr>
      <w:r>
        <w:rPr>
          <w:color w:val="auto"/>
          <w:highlight w:val="none"/>
        </w:rPr>
        <w:pict>
          <v:line id="Shape 219" o:spid="_x0000_s1043" o:spt="20" style="position:absolute;left:0pt;margin-left:153.85pt;margin-top:0.05pt;height:0pt;width:42.15pt;z-index:-251665408;mso-width-relative:page;mso-height-relative:page;" filled="t" coordsize="21600,21600" o:allowincell="f">
            <v:path arrowok="t"/>
            <v:fill on="t" focussize="0,0"/>
            <v:stroke weight="1.08pt" joinstyle="miter"/>
            <v:imagedata o:title=""/>
            <o:lock v:ext="edit"/>
          </v:line>
        </w:pict>
      </w:r>
      <w:r>
        <w:rPr>
          <w:color w:val="auto"/>
          <w:highlight w:val="none"/>
        </w:rPr>
        <w:pict>
          <v:line id="Shape 220" o:spid="_x0000_s1044" o:spt="20" style="position:absolute;left:0pt;margin-left:209.9pt;margin-top:0.05pt;height:0pt;width:21.05pt;z-index:-251664384;mso-width-relative:page;mso-height-relative:page;" filled="t" coordsize="21600,21600" o:allowincell="f">
            <v:path arrowok="t"/>
            <v:fill on="t" focussize="0,0"/>
            <v:stroke weight="1.08pt" joinstyle="miter"/>
            <v:imagedata o:title=""/>
            <o:lock v:ext="edit"/>
          </v:line>
        </w:pict>
      </w:r>
      <w:r>
        <w:rPr>
          <w:color w:val="auto"/>
          <w:highlight w:val="none"/>
        </w:rPr>
        <w:pict>
          <v:line id="Shape 221" o:spid="_x0000_s1045" o:spt="20" style="position:absolute;left:0pt;margin-left:244.95pt;margin-top:0.05pt;height:0pt;width:20.9pt;z-index:-251663360;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rPr>
          <w:rFonts w:ascii="宋体" w:cs="宋体"/>
          <w:color w:val="auto"/>
          <w:highlight w:val="none"/>
        </w:rPr>
        <w:sectPr>
          <w:pgSz w:w="11900" w:h="16838"/>
          <w:pgMar w:top="1440" w:right="1440" w:bottom="401" w:left="1440" w:header="567" w:footer="567" w:gutter="0"/>
          <w:cols w:equalWidth="0" w:num="1">
            <w:col w:w="9026"/>
          </w:cols>
        </w:sectPr>
      </w:pPr>
    </w:p>
    <w:p>
      <w:pPr>
        <w:spacing w:line="360" w:lineRule="auto"/>
        <w:ind w:left="782"/>
        <w:rPr>
          <w:rFonts w:ascii="宋体" w:cs="宋体"/>
          <w:b/>
          <w:bCs/>
          <w:color w:val="auto"/>
          <w:sz w:val="30"/>
          <w:szCs w:val="30"/>
          <w:highlight w:val="none"/>
        </w:rPr>
      </w:pPr>
      <w:bookmarkStart w:id="152" w:name="page49"/>
      <w:bookmarkEnd w:id="152"/>
      <w:r>
        <w:rPr>
          <w:rFonts w:hint="eastAsia" w:ascii="宋体" w:hAnsi="宋体" w:cs="宋体"/>
          <w:b/>
          <w:bCs/>
          <w:color w:val="auto"/>
          <w:sz w:val="30"/>
          <w:szCs w:val="30"/>
          <w:highlight w:val="none"/>
        </w:rPr>
        <w:t>报价文件</w:t>
      </w:r>
    </w:p>
    <w:p>
      <w:pPr>
        <w:spacing w:line="169" w:lineRule="exact"/>
        <w:rPr>
          <w:rFonts w:ascii="宋体" w:cs="宋体"/>
          <w:color w:val="auto"/>
          <w:sz w:val="20"/>
          <w:szCs w:val="20"/>
          <w:highlight w:val="none"/>
        </w:rPr>
      </w:pPr>
    </w:p>
    <w:p>
      <w:pPr>
        <w:spacing w:line="366" w:lineRule="exact"/>
        <w:ind w:right="6"/>
        <w:jc w:val="center"/>
        <w:rPr>
          <w:rFonts w:ascii="宋体" w:cs="宋体"/>
          <w:color w:val="auto"/>
          <w:sz w:val="28"/>
          <w:szCs w:val="28"/>
          <w:highlight w:val="none"/>
        </w:rPr>
      </w:pPr>
      <w:r>
        <w:rPr>
          <w:rFonts w:hint="eastAsia" w:ascii="宋体" w:hAnsi="宋体" w:cs="宋体"/>
          <w:b/>
          <w:bCs/>
          <w:color w:val="auto"/>
          <w:sz w:val="28"/>
          <w:szCs w:val="28"/>
          <w:highlight w:val="none"/>
        </w:rPr>
        <w:t>一、报价函</w:t>
      </w:r>
    </w:p>
    <w:p>
      <w:pPr>
        <w:spacing w:line="258" w:lineRule="exact"/>
        <w:rPr>
          <w:rFonts w:ascii="宋体" w:cs="宋体"/>
          <w:color w:val="auto"/>
          <w:sz w:val="20"/>
          <w:szCs w:val="20"/>
          <w:highlight w:val="none"/>
        </w:rPr>
      </w:pPr>
    </w:p>
    <w:p>
      <w:pPr>
        <w:spacing w:line="240" w:lineRule="exact"/>
        <w:ind w:left="360"/>
        <w:rPr>
          <w:rFonts w:ascii="宋体" w:cs="宋体"/>
          <w:color w:val="auto"/>
          <w:sz w:val="20"/>
          <w:szCs w:val="20"/>
          <w:highlight w:val="none"/>
        </w:rPr>
      </w:pPr>
      <w:r>
        <w:rPr>
          <w:rFonts w:hint="eastAsia" w:ascii="宋体" w:hAnsi="宋体" w:cs="宋体"/>
          <w:color w:val="auto"/>
          <w:sz w:val="21"/>
          <w:szCs w:val="21"/>
          <w:highlight w:val="none"/>
        </w:rPr>
        <w:t>（采购人单位名称）：</w:t>
      </w:r>
    </w:p>
    <w:p>
      <w:pPr>
        <w:spacing w:line="20" w:lineRule="exact"/>
        <w:rPr>
          <w:rFonts w:ascii="宋体" w:cs="宋体"/>
          <w:color w:val="auto"/>
          <w:sz w:val="20"/>
          <w:szCs w:val="20"/>
          <w:highlight w:val="none"/>
        </w:rPr>
      </w:pPr>
      <w:r>
        <w:rPr>
          <w:color w:val="auto"/>
          <w:highlight w:val="none"/>
        </w:rPr>
        <w:pict>
          <v:line id="Shape 223" o:spid="_x0000_s1046" o:spt="20" style="position:absolute;left:0pt;margin-left:17.9pt;margin-top:0.3pt;height:0pt;width:89.25pt;z-index:-251662336;mso-width-relative:page;mso-height-relative:page;" filled="t" coordsize="21600,21600" o:allowincell="f">
            <v:path arrowok="t"/>
            <v:fill on="t" focussize="0,0"/>
            <v:stroke weight="0.59992125984252pt" joinstyle="miter"/>
            <v:imagedata o:title=""/>
            <o:lock v:ext="edit"/>
          </v:line>
        </w:pict>
      </w:r>
    </w:p>
    <w:p>
      <w:pPr>
        <w:spacing w:line="148" w:lineRule="exact"/>
        <w:rPr>
          <w:rFonts w:ascii="宋体" w:cs="宋体"/>
          <w:color w:val="auto"/>
          <w:sz w:val="20"/>
          <w:szCs w:val="20"/>
          <w:highlight w:val="none"/>
        </w:rPr>
      </w:pPr>
    </w:p>
    <w:p>
      <w:pPr>
        <w:spacing w:line="240" w:lineRule="exact"/>
        <w:ind w:left="360"/>
        <w:rPr>
          <w:rFonts w:ascii="宋体" w:cs="宋体"/>
          <w:color w:val="auto"/>
          <w:sz w:val="20"/>
          <w:szCs w:val="20"/>
          <w:highlight w:val="none"/>
        </w:rPr>
      </w:pPr>
      <w:r>
        <w:rPr>
          <w:rFonts w:hint="eastAsia" w:ascii="宋体" w:hAnsi="宋体" w:cs="宋体"/>
          <w:color w:val="auto"/>
          <w:sz w:val="21"/>
          <w:szCs w:val="21"/>
          <w:highlight w:val="none"/>
          <w:u w:val="single"/>
        </w:rPr>
        <w:t>浙江五石工程咨询有限公司</w:t>
      </w:r>
      <w:r>
        <w:rPr>
          <w:rFonts w:hint="eastAsia" w:ascii="宋体" w:hAnsi="宋体" w:cs="宋体"/>
          <w:color w:val="auto"/>
          <w:sz w:val="21"/>
          <w:szCs w:val="21"/>
          <w:highlight w:val="none"/>
        </w:rPr>
        <w:t>：</w:t>
      </w:r>
    </w:p>
    <w:p>
      <w:pPr>
        <w:spacing w:line="168" w:lineRule="exact"/>
        <w:rPr>
          <w:rFonts w:ascii="宋体" w:cs="宋体"/>
          <w:color w:val="auto"/>
          <w:sz w:val="20"/>
          <w:szCs w:val="20"/>
          <w:highlight w:val="none"/>
        </w:rPr>
      </w:pPr>
    </w:p>
    <w:p>
      <w:pPr>
        <w:tabs>
          <w:tab w:val="left" w:pos="7300"/>
        </w:tabs>
        <w:spacing w:line="240" w:lineRule="exact"/>
        <w:ind w:left="2560"/>
        <w:rPr>
          <w:rFonts w:ascii="宋体" w:cs="宋体"/>
          <w:color w:val="auto"/>
          <w:sz w:val="20"/>
          <w:szCs w:val="20"/>
          <w:highlight w:val="none"/>
        </w:rPr>
      </w:pPr>
      <w:r>
        <w:rPr>
          <w:rFonts w:hint="eastAsia" w:ascii="宋体" w:hAnsi="宋体" w:cs="宋体"/>
          <w:color w:val="auto"/>
          <w:sz w:val="21"/>
          <w:szCs w:val="21"/>
          <w:highlight w:val="none"/>
        </w:rPr>
        <w:t>（供应商全称）参加贵方组织的</w:t>
      </w:r>
      <w:r>
        <w:rPr>
          <w:rFonts w:ascii="宋体" w:cs="宋体"/>
          <w:color w:val="auto"/>
          <w:sz w:val="20"/>
          <w:szCs w:val="20"/>
          <w:highlight w:val="none"/>
        </w:rPr>
        <w:tab/>
      </w:r>
      <w:r>
        <w:rPr>
          <w:rFonts w:hint="eastAsia" w:ascii="宋体" w:hAnsi="宋体" w:cs="宋体"/>
          <w:color w:val="auto"/>
          <w:sz w:val="21"/>
          <w:szCs w:val="21"/>
          <w:highlight w:val="none"/>
        </w:rPr>
        <w:t>（项目名称）</w:t>
      </w:r>
    </w:p>
    <w:p>
      <w:pPr>
        <w:spacing w:line="20" w:lineRule="exact"/>
        <w:rPr>
          <w:rFonts w:ascii="宋体" w:cs="宋体"/>
          <w:color w:val="auto"/>
          <w:sz w:val="20"/>
          <w:szCs w:val="20"/>
          <w:highlight w:val="none"/>
        </w:rPr>
      </w:pPr>
      <w:r>
        <w:rPr>
          <w:color w:val="auto"/>
          <w:highlight w:val="none"/>
        </w:rPr>
        <w:pict>
          <v:line id="Shape 224" o:spid="_x0000_s1047" o:spt="20" style="position:absolute;left:0pt;margin-left:38.5pt;margin-top:0pt;height:0pt;width:89.2pt;z-index:-251661312;mso-width-relative:page;mso-height-relative:page;" filled="t" coordsize="21600,21600" o:allowincell="f">
            <v:path arrowok="t"/>
            <v:fill on="t" focussize="0,0"/>
            <v:stroke weight="0.71992125984252pt" joinstyle="miter"/>
            <v:imagedata o:title=""/>
            <o:lock v:ext="edit"/>
          </v:line>
        </w:pict>
      </w:r>
      <w:r>
        <w:rPr>
          <w:color w:val="auto"/>
          <w:highlight w:val="none"/>
        </w:rPr>
        <w:pict>
          <v:line id="Shape 225" o:spid="_x0000_s1048" o:spt="20" style="position:absolute;left:0pt;margin-left:286.95pt;margin-top:0pt;height:0pt;width:79.5pt;z-index:-251660288;mso-width-relative:page;mso-height-relative:page;" filled="t" coordsize="21600,21600" o:allowincell="f">
            <v:path arrowok="t"/>
            <v:fill on="t" focussize="0,0"/>
            <v:stroke weight="0.71992125984252pt" joinstyle="miter"/>
            <v:imagedata o:title=""/>
            <o:lock v:ext="edit"/>
          </v:line>
        </w:pict>
      </w:r>
    </w:p>
    <w:p>
      <w:pPr>
        <w:spacing w:line="148" w:lineRule="exact"/>
        <w:rPr>
          <w:rFonts w:ascii="宋体" w:cs="宋体"/>
          <w:color w:val="auto"/>
          <w:sz w:val="20"/>
          <w:szCs w:val="20"/>
          <w:highlight w:val="none"/>
        </w:rPr>
      </w:pPr>
    </w:p>
    <w:p>
      <w:pPr>
        <w:tabs>
          <w:tab w:val="left" w:pos="5420"/>
          <w:tab w:val="left" w:pos="7820"/>
        </w:tabs>
        <w:spacing w:line="240" w:lineRule="exact"/>
        <w:ind w:left="360"/>
        <w:rPr>
          <w:rFonts w:ascii="宋体" w:cs="宋体"/>
          <w:color w:val="auto"/>
          <w:sz w:val="20"/>
          <w:szCs w:val="20"/>
          <w:highlight w:val="none"/>
        </w:rPr>
      </w:pPr>
      <w:r>
        <w:rPr>
          <w:rFonts w:hint="eastAsia" w:ascii="宋体" w:hAnsi="宋体" w:cs="宋体"/>
          <w:color w:val="auto"/>
          <w:sz w:val="21"/>
          <w:szCs w:val="21"/>
          <w:highlight w:val="none"/>
        </w:rPr>
        <w:t>（项目编号）磋商的有关活动，并对</w:t>
      </w:r>
      <w:r>
        <w:rPr>
          <w:rFonts w:ascii="宋体" w:cs="宋体"/>
          <w:color w:val="auto"/>
          <w:sz w:val="20"/>
          <w:szCs w:val="20"/>
          <w:highlight w:val="none"/>
        </w:rPr>
        <w:tab/>
      </w:r>
      <w:r>
        <w:rPr>
          <w:rFonts w:hint="eastAsia" w:ascii="宋体" w:hAnsi="宋体" w:cs="宋体"/>
          <w:color w:val="auto"/>
          <w:sz w:val="21"/>
          <w:szCs w:val="21"/>
          <w:highlight w:val="none"/>
        </w:rPr>
        <w:t>（项目名称）的</w:t>
      </w:r>
      <w:r>
        <w:rPr>
          <w:rFonts w:ascii="宋体" w:cs="宋体"/>
          <w:color w:val="auto"/>
          <w:sz w:val="20"/>
          <w:szCs w:val="20"/>
          <w:highlight w:val="none"/>
        </w:rPr>
        <w:tab/>
      </w:r>
      <w:r>
        <w:rPr>
          <w:rFonts w:hint="eastAsia" w:ascii="宋体" w:hAnsi="宋体" w:cs="宋体"/>
          <w:color w:val="auto"/>
          <w:sz w:val="20"/>
          <w:szCs w:val="20"/>
          <w:highlight w:val="none"/>
        </w:rPr>
        <w:t>（标项内</w:t>
      </w:r>
    </w:p>
    <w:p>
      <w:pPr>
        <w:spacing w:line="20" w:lineRule="exact"/>
        <w:rPr>
          <w:rFonts w:ascii="宋体" w:cs="宋体"/>
          <w:color w:val="auto"/>
          <w:sz w:val="20"/>
          <w:szCs w:val="20"/>
          <w:highlight w:val="none"/>
        </w:rPr>
      </w:pPr>
      <w:r>
        <w:rPr>
          <w:color w:val="auto"/>
          <w:highlight w:val="none"/>
        </w:rPr>
        <w:pict>
          <v:line id="Shape 226" o:spid="_x0000_s1049" o:spt="20" style="position:absolute;left:0pt;margin-left:184.25pt;margin-top:0pt;height:0pt;width:89.05pt;z-index:-251659264;mso-width-relative:page;mso-height-relative:page;" filled="t" coordsize="21600,21600" o:allowincell="f">
            <v:path arrowok="t"/>
            <v:fill on="t" focussize="0,0"/>
            <v:stroke weight="0.72pt" joinstyle="miter"/>
            <v:imagedata o:title=""/>
            <o:lock v:ext="edit"/>
          </v:line>
        </w:pict>
      </w:r>
      <w:r>
        <w:rPr>
          <w:color w:val="auto"/>
          <w:highlight w:val="none"/>
        </w:rPr>
        <w:pict>
          <v:line id="Shape 227" o:spid="_x0000_s1050" o:spt="20" style="position:absolute;left:0pt;margin-left:345.3pt;margin-top:0pt;height:0pt;width:47.05pt;z-index:-251658240;mso-width-relative:page;mso-height-relative:page;" filled="t" coordsize="21600,21600" o:allowincell="f">
            <v:path arrowok="t"/>
            <v:fill on="t" focussize="0,0"/>
            <v:stroke weight="0.72pt" joinstyle="miter"/>
            <v:imagedata o:title=""/>
            <o:lock v:ext="edit"/>
          </v:line>
        </w:pict>
      </w:r>
    </w:p>
    <w:p>
      <w:pPr>
        <w:spacing w:line="148" w:lineRule="exact"/>
        <w:rPr>
          <w:rFonts w:ascii="宋体" w:cs="宋体"/>
          <w:color w:val="auto"/>
          <w:sz w:val="20"/>
          <w:szCs w:val="20"/>
          <w:highlight w:val="none"/>
        </w:rPr>
      </w:pPr>
    </w:p>
    <w:p>
      <w:pPr>
        <w:spacing w:line="240" w:lineRule="exact"/>
        <w:ind w:left="360"/>
        <w:rPr>
          <w:rFonts w:ascii="宋体" w:cs="宋体"/>
          <w:color w:val="auto"/>
          <w:sz w:val="20"/>
          <w:szCs w:val="20"/>
          <w:highlight w:val="none"/>
        </w:rPr>
      </w:pPr>
      <w:r>
        <w:rPr>
          <w:rFonts w:hint="eastAsia" w:ascii="宋体" w:hAnsi="宋体" w:cs="宋体"/>
          <w:color w:val="auto"/>
          <w:sz w:val="21"/>
          <w:szCs w:val="21"/>
          <w:highlight w:val="none"/>
        </w:rPr>
        <w:t>容）进行磋商。为此我方：</w:t>
      </w:r>
    </w:p>
    <w:p>
      <w:pPr>
        <w:spacing w:line="172"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、承诺在供应商须知规定的投标截止日起遵守本响应文件中的承诺，且在投标有效期</w:t>
      </w:r>
    </w:p>
    <w:p>
      <w:pPr>
        <w:spacing w:line="152" w:lineRule="exact"/>
        <w:rPr>
          <w:rFonts w:ascii="宋体" w:cs="宋体"/>
          <w:color w:val="auto"/>
          <w:sz w:val="20"/>
          <w:szCs w:val="20"/>
          <w:highlight w:val="none"/>
        </w:rPr>
      </w:pPr>
    </w:p>
    <w:p>
      <w:pPr>
        <w:spacing w:line="240" w:lineRule="exact"/>
        <w:ind w:left="360"/>
        <w:rPr>
          <w:rFonts w:ascii="宋体" w:cs="宋体"/>
          <w:color w:val="auto"/>
          <w:sz w:val="20"/>
          <w:szCs w:val="20"/>
          <w:highlight w:val="none"/>
        </w:rPr>
      </w:pPr>
      <w:r>
        <w:rPr>
          <w:rFonts w:hint="eastAsia" w:ascii="宋体" w:hAnsi="宋体" w:cs="宋体"/>
          <w:color w:val="auto"/>
          <w:sz w:val="21"/>
          <w:szCs w:val="21"/>
          <w:highlight w:val="none"/>
        </w:rPr>
        <w:t>满之前均具有约束力。</w:t>
      </w:r>
    </w:p>
    <w:p>
      <w:pPr>
        <w:spacing w:line="169"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、承诺已经具备《中华人民共和国政府采购法》中规定的参加政府采购活动的供应商</w:t>
      </w:r>
    </w:p>
    <w:p>
      <w:pPr>
        <w:spacing w:line="152" w:lineRule="exact"/>
        <w:rPr>
          <w:rFonts w:ascii="宋体" w:cs="宋体"/>
          <w:color w:val="auto"/>
          <w:sz w:val="20"/>
          <w:szCs w:val="20"/>
          <w:highlight w:val="none"/>
        </w:rPr>
      </w:pPr>
    </w:p>
    <w:p>
      <w:pPr>
        <w:spacing w:line="240" w:lineRule="exact"/>
        <w:ind w:left="360"/>
        <w:rPr>
          <w:rFonts w:ascii="宋体" w:cs="宋体"/>
          <w:color w:val="auto"/>
          <w:sz w:val="20"/>
          <w:szCs w:val="20"/>
          <w:highlight w:val="none"/>
        </w:rPr>
      </w:pPr>
      <w:r>
        <w:rPr>
          <w:rFonts w:hint="eastAsia" w:ascii="宋体" w:hAnsi="宋体" w:cs="宋体"/>
          <w:color w:val="auto"/>
          <w:sz w:val="21"/>
          <w:szCs w:val="21"/>
          <w:highlight w:val="none"/>
        </w:rPr>
        <w:t>应当具备的条件及采购人规定的特定条件。</w:t>
      </w:r>
    </w:p>
    <w:p>
      <w:pPr>
        <w:spacing w:line="184" w:lineRule="exact"/>
        <w:rPr>
          <w:rFonts w:ascii="宋体" w:cs="宋体"/>
          <w:color w:val="auto"/>
          <w:sz w:val="20"/>
          <w:szCs w:val="20"/>
          <w:highlight w:val="none"/>
        </w:rPr>
      </w:pPr>
    </w:p>
    <w:p>
      <w:pPr>
        <w:spacing w:line="243" w:lineRule="exact"/>
        <w:ind w:left="780"/>
        <w:rPr>
          <w:rFonts w:ascii="宋体" w:cs="宋体"/>
          <w:color w:val="auto"/>
          <w:sz w:val="20"/>
          <w:szCs w:val="20"/>
          <w:highlight w:val="none"/>
        </w:rPr>
      </w:pPr>
      <w:r>
        <w:rPr>
          <w:rFonts w:ascii="宋体" w:hAnsi="宋体" w:cs="宋体"/>
          <w:color w:val="auto"/>
          <w:sz w:val="20"/>
          <w:szCs w:val="20"/>
          <w:highlight w:val="none"/>
        </w:rPr>
        <w:t>3</w:t>
      </w:r>
      <w:r>
        <w:rPr>
          <w:rFonts w:hint="eastAsia" w:ascii="宋体" w:hAnsi="宋体" w:cs="宋体"/>
          <w:color w:val="auto"/>
          <w:sz w:val="20"/>
          <w:szCs w:val="20"/>
          <w:highlight w:val="none"/>
        </w:rPr>
        <w:t>、</w:t>
      </w:r>
      <w:r>
        <w:rPr>
          <w:rFonts w:hint="eastAsia" w:ascii="宋体" w:hAnsi="宋体" w:cs="宋体"/>
          <w:color w:val="auto"/>
          <w:sz w:val="21"/>
          <w:szCs w:val="21"/>
          <w:highlight w:val="none"/>
        </w:rPr>
        <w:t>已详细审核全部竞争性磋商文件，包括竞争性磋商文件补充（如果有）、参考资料及</w:t>
      </w:r>
    </w:p>
    <w:p>
      <w:pPr>
        <w:spacing w:line="152" w:lineRule="exact"/>
        <w:rPr>
          <w:rFonts w:ascii="宋体" w:cs="宋体"/>
          <w:color w:val="auto"/>
          <w:sz w:val="20"/>
          <w:szCs w:val="20"/>
          <w:highlight w:val="none"/>
        </w:rPr>
      </w:pPr>
    </w:p>
    <w:p>
      <w:pPr>
        <w:spacing w:line="240" w:lineRule="exact"/>
        <w:ind w:left="360"/>
        <w:rPr>
          <w:rFonts w:ascii="宋体" w:cs="宋体"/>
          <w:color w:val="auto"/>
          <w:sz w:val="20"/>
          <w:szCs w:val="20"/>
          <w:highlight w:val="none"/>
        </w:rPr>
      </w:pPr>
      <w:r>
        <w:rPr>
          <w:rFonts w:hint="eastAsia" w:ascii="宋体" w:hAnsi="宋体" w:cs="宋体"/>
          <w:color w:val="auto"/>
          <w:sz w:val="21"/>
          <w:szCs w:val="21"/>
          <w:highlight w:val="none"/>
        </w:rPr>
        <w:t>有关附件，确认无误。</w:t>
      </w:r>
    </w:p>
    <w:p>
      <w:pPr>
        <w:spacing w:line="169"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、提供供应商须知规定的全部响应文件，包括响应文件</w:t>
      </w:r>
      <w:r>
        <w:rPr>
          <w:rFonts w:hint="eastAsia" w:ascii="宋体" w:hAnsi="宋体" w:cs="宋体"/>
          <w:color w:val="auto"/>
          <w:sz w:val="21"/>
          <w:szCs w:val="21"/>
          <w:highlight w:val="none"/>
          <w:u w:val="single"/>
        </w:rPr>
        <w:t>正本</w:t>
      </w:r>
      <w:r>
        <w:rPr>
          <w:rFonts w:ascii="宋体" w:hAnsi="宋体" w:cs="宋体"/>
          <w:color w:val="auto"/>
          <w:sz w:val="21"/>
          <w:szCs w:val="21"/>
          <w:highlight w:val="none"/>
        </w:rPr>
        <w:t xml:space="preserve"> </w:t>
      </w:r>
      <w:r>
        <w:rPr>
          <w:rFonts w:ascii="宋体" w:hAnsi="宋体" w:cs="宋体"/>
          <w:color w:val="auto"/>
          <w:sz w:val="21"/>
          <w:szCs w:val="21"/>
          <w:highlight w:val="none"/>
          <w:u w:val="single"/>
        </w:rPr>
        <w:t>1</w:t>
      </w:r>
      <w:r>
        <w:rPr>
          <w:rFonts w:ascii="宋体" w:hAnsi="宋体" w:cs="宋体"/>
          <w:color w:val="auto"/>
          <w:sz w:val="21"/>
          <w:szCs w:val="21"/>
          <w:highlight w:val="none"/>
        </w:rPr>
        <w:t xml:space="preserve"> </w:t>
      </w:r>
      <w:r>
        <w:rPr>
          <w:rFonts w:hint="eastAsia" w:ascii="宋体" w:hAnsi="宋体" w:cs="宋体"/>
          <w:color w:val="auto"/>
          <w:sz w:val="21"/>
          <w:szCs w:val="21"/>
          <w:highlight w:val="none"/>
          <w:u w:val="single"/>
        </w:rPr>
        <w:t>份，副本</w:t>
      </w:r>
      <w:r>
        <w:rPr>
          <w:rFonts w:ascii="宋体" w:hAnsi="宋体" w:cs="宋体"/>
          <w:color w:val="auto"/>
          <w:sz w:val="21"/>
          <w:szCs w:val="21"/>
          <w:highlight w:val="none"/>
        </w:rPr>
        <w:t xml:space="preserve"> </w:t>
      </w:r>
      <w:r>
        <w:rPr>
          <w:rFonts w:ascii="宋体" w:hAnsi="宋体" w:cs="宋体"/>
          <w:color w:val="auto"/>
          <w:sz w:val="21"/>
          <w:szCs w:val="21"/>
          <w:highlight w:val="none"/>
          <w:u w:val="singl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u w:val="single"/>
        </w:rPr>
        <w:t>份</w:t>
      </w:r>
      <w:r>
        <w:rPr>
          <w:rFonts w:hint="eastAsia" w:ascii="宋体" w:hAnsi="宋体" w:cs="宋体"/>
          <w:color w:val="auto"/>
          <w:sz w:val="21"/>
          <w:szCs w:val="21"/>
          <w:highlight w:val="none"/>
        </w:rPr>
        <w:t>。</w:t>
      </w:r>
    </w:p>
    <w:p>
      <w:pPr>
        <w:spacing w:line="153"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、投标报价详见《初次报价一览表》。</w:t>
      </w:r>
    </w:p>
    <w:p>
      <w:pPr>
        <w:spacing w:line="154"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6</w:t>
      </w:r>
      <w:r>
        <w:rPr>
          <w:rFonts w:hint="eastAsia" w:ascii="宋体" w:hAnsi="宋体" w:cs="宋体"/>
          <w:color w:val="auto"/>
          <w:sz w:val="21"/>
          <w:szCs w:val="21"/>
          <w:highlight w:val="none"/>
        </w:rPr>
        <w:t>、保证遵守竞争性磋商文件中的其他有关规定。</w:t>
      </w:r>
    </w:p>
    <w:p>
      <w:pPr>
        <w:spacing w:line="156"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7</w:t>
      </w:r>
      <w:r>
        <w:rPr>
          <w:rFonts w:hint="eastAsia" w:ascii="宋体" w:hAnsi="宋体" w:cs="宋体"/>
          <w:color w:val="auto"/>
          <w:sz w:val="21"/>
          <w:szCs w:val="21"/>
          <w:highlight w:val="none"/>
        </w:rPr>
        <w:t>、完全理解不一定接受最低价中标。</w:t>
      </w:r>
    </w:p>
    <w:p>
      <w:pPr>
        <w:spacing w:line="153"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8</w:t>
      </w:r>
      <w:r>
        <w:rPr>
          <w:rFonts w:hint="eastAsia" w:ascii="宋体" w:hAnsi="宋体" w:cs="宋体"/>
          <w:color w:val="auto"/>
          <w:sz w:val="21"/>
          <w:szCs w:val="21"/>
          <w:highlight w:val="none"/>
        </w:rPr>
        <w:t>、愿意向贵方提供任何与该项目投标有关的数据、情况和技术资料。若贵方需要，愿</w:t>
      </w:r>
    </w:p>
    <w:p>
      <w:pPr>
        <w:spacing w:line="152" w:lineRule="exact"/>
        <w:rPr>
          <w:rFonts w:ascii="宋体" w:cs="宋体"/>
          <w:color w:val="auto"/>
          <w:sz w:val="20"/>
          <w:szCs w:val="20"/>
          <w:highlight w:val="none"/>
        </w:rPr>
      </w:pPr>
    </w:p>
    <w:p>
      <w:pPr>
        <w:spacing w:line="240" w:lineRule="exact"/>
        <w:ind w:left="360"/>
        <w:rPr>
          <w:rFonts w:ascii="宋体" w:cs="宋体"/>
          <w:color w:val="auto"/>
          <w:sz w:val="20"/>
          <w:szCs w:val="20"/>
          <w:highlight w:val="none"/>
        </w:rPr>
      </w:pPr>
      <w:r>
        <w:rPr>
          <w:rFonts w:hint="eastAsia" w:ascii="宋体" w:hAnsi="宋体" w:cs="宋体"/>
          <w:color w:val="auto"/>
          <w:sz w:val="21"/>
          <w:szCs w:val="21"/>
          <w:highlight w:val="none"/>
        </w:rPr>
        <w:t>意提供我方做出的一切承诺的证明材料。</w:t>
      </w:r>
    </w:p>
    <w:p>
      <w:pPr>
        <w:spacing w:line="169"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9</w:t>
      </w:r>
      <w:r>
        <w:rPr>
          <w:rFonts w:hint="eastAsia" w:ascii="宋体" w:hAnsi="宋体" w:cs="宋体"/>
          <w:color w:val="auto"/>
          <w:sz w:val="21"/>
          <w:szCs w:val="21"/>
          <w:highlight w:val="none"/>
        </w:rPr>
        <w:t>、保证忠实地执行双方所签订的合同，并承担合同规定的责任和义务。</w:t>
      </w:r>
    </w:p>
    <w:p>
      <w:pPr>
        <w:spacing w:line="153"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10</w:t>
      </w:r>
      <w:r>
        <w:rPr>
          <w:rFonts w:hint="eastAsia" w:ascii="宋体" w:hAnsi="宋体" w:cs="宋体"/>
          <w:color w:val="auto"/>
          <w:sz w:val="21"/>
          <w:szCs w:val="21"/>
          <w:highlight w:val="none"/>
        </w:rPr>
        <w:t>、将严格遵守《中华人民共和国政府采购法》第七十七条规定，供应商有下列情形</w:t>
      </w:r>
    </w:p>
    <w:p>
      <w:pPr>
        <w:spacing w:line="156" w:lineRule="exact"/>
        <w:rPr>
          <w:rFonts w:ascii="宋体" w:cs="宋体"/>
          <w:color w:val="auto"/>
          <w:sz w:val="20"/>
          <w:szCs w:val="20"/>
          <w:highlight w:val="none"/>
        </w:rPr>
      </w:pPr>
    </w:p>
    <w:p>
      <w:pPr>
        <w:spacing w:line="255" w:lineRule="exact"/>
        <w:ind w:left="360"/>
        <w:rPr>
          <w:rFonts w:ascii="宋体" w:cs="宋体"/>
          <w:color w:val="auto"/>
          <w:sz w:val="20"/>
          <w:szCs w:val="20"/>
          <w:highlight w:val="none"/>
        </w:rPr>
      </w:pPr>
      <w:r>
        <w:rPr>
          <w:rFonts w:hint="eastAsia" w:ascii="宋体" w:hAnsi="宋体" w:cs="宋体"/>
          <w:color w:val="auto"/>
          <w:sz w:val="21"/>
          <w:szCs w:val="21"/>
          <w:highlight w:val="none"/>
        </w:rPr>
        <w:t>之一的，处以采购金额</w:t>
      </w:r>
      <w:r>
        <w:rPr>
          <w:rFonts w:ascii="宋体" w:hAnsi="宋体" w:cs="宋体"/>
          <w:color w:val="auto"/>
          <w:sz w:val="21"/>
          <w:szCs w:val="21"/>
          <w:highlight w:val="none"/>
        </w:rPr>
        <w:t xml:space="preserve"> 5</w:t>
      </w:r>
      <w:r>
        <w:rPr>
          <w:rFonts w:hint="eastAsia" w:ascii="宋体" w:hAnsi="宋体" w:cs="宋体"/>
          <w:color w:val="auto"/>
          <w:sz w:val="21"/>
          <w:szCs w:val="21"/>
          <w:highlight w:val="none"/>
        </w:rPr>
        <w:t>‰以上</w:t>
      </w:r>
      <w:r>
        <w:rPr>
          <w:rFonts w:ascii="宋体" w:hAnsi="宋体" w:cs="宋体"/>
          <w:color w:val="auto"/>
          <w:sz w:val="21"/>
          <w:szCs w:val="21"/>
          <w:highlight w:val="none"/>
        </w:rPr>
        <w:t xml:space="preserve"> 10</w:t>
      </w:r>
      <w:r>
        <w:rPr>
          <w:rFonts w:hint="eastAsia" w:ascii="宋体" w:hAnsi="宋体" w:cs="宋体"/>
          <w:color w:val="auto"/>
          <w:sz w:val="21"/>
          <w:szCs w:val="21"/>
          <w:highlight w:val="none"/>
        </w:rPr>
        <w:t>‰以下的罚款，列入不良行为记录名单，在一至三年内</w:t>
      </w:r>
    </w:p>
    <w:p>
      <w:pPr>
        <w:spacing w:line="164" w:lineRule="exact"/>
        <w:rPr>
          <w:rFonts w:ascii="宋体" w:cs="宋体"/>
          <w:color w:val="auto"/>
          <w:sz w:val="20"/>
          <w:szCs w:val="20"/>
          <w:highlight w:val="none"/>
        </w:rPr>
      </w:pPr>
    </w:p>
    <w:p>
      <w:pPr>
        <w:spacing w:line="229" w:lineRule="exact"/>
        <w:ind w:left="360"/>
        <w:rPr>
          <w:rFonts w:ascii="宋体" w:cs="宋体"/>
          <w:color w:val="auto"/>
          <w:sz w:val="21"/>
          <w:szCs w:val="21"/>
          <w:highlight w:val="none"/>
        </w:rPr>
      </w:pPr>
      <w:r>
        <w:rPr>
          <w:rFonts w:hint="eastAsia" w:ascii="宋体" w:hAnsi="宋体" w:cs="宋体"/>
          <w:color w:val="auto"/>
          <w:sz w:val="21"/>
          <w:szCs w:val="21"/>
          <w:highlight w:val="none"/>
        </w:rPr>
        <w:t>禁止参加政府采购活动；有违法所得的，并处没收违法所得；情节严重的，由工商行政管理</w:t>
      </w:r>
    </w:p>
    <w:p>
      <w:pPr>
        <w:spacing w:line="169" w:lineRule="exact"/>
        <w:rPr>
          <w:rFonts w:ascii="宋体" w:cs="宋体"/>
          <w:color w:val="auto"/>
          <w:sz w:val="20"/>
          <w:szCs w:val="20"/>
          <w:highlight w:val="none"/>
        </w:rPr>
      </w:pPr>
    </w:p>
    <w:p>
      <w:pPr>
        <w:spacing w:line="240" w:lineRule="exact"/>
        <w:ind w:left="360"/>
        <w:rPr>
          <w:rFonts w:ascii="宋体" w:cs="宋体"/>
          <w:color w:val="auto"/>
          <w:sz w:val="20"/>
          <w:szCs w:val="20"/>
          <w:highlight w:val="none"/>
        </w:rPr>
      </w:pPr>
      <w:r>
        <w:rPr>
          <w:rFonts w:hint="eastAsia" w:ascii="宋体" w:hAnsi="宋体" w:cs="宋体"/>
          <w:color w:val="auto"/>
          <w:sz w:val="21"/>
          <w:szCs w:val="21"/>
          <w:highlight w:val="none"/>
        </w:rPr>
        <w:t>机关吊销营业执照；构成犯罪的，依法追究刑事责任：</w:t>
      </w:r>
    </w:p>
    <w:p>
      <w:pPr>
        <w:spacing w:line="169"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bookmarkStart w:id="153" w:name="_Toc16949_WPSOffice_Level2"/>
      <w:r>
        <w:rPr>
          <w:rFonts w:ascii="宋体" w:hAnsi="宋体" w:cs="宋体"/>
          <w:color w:val="auto"/>
          <w:sz w:val="21"/>
          <w:szCs w:val="21"/>
          <w:highlight w:val="none"/>
        </w:rPr>
        <w:t>a</w:t>
      </w:r>
      <w:r>
        <w:rPr>
          <w:rFonts w:hint="eastAsia" w:ascii="宋体" w:hAnsi="宋体" w:cs="宋体"/>
          <w:color w:val="auto"/>
          <w:sz w:val="21"/>
          <w:szCs w:val="21"/>
          <w:highlight w:val="none"/>
        </w:rPr>
        <w:t>）提供虚假材料谋取中标、成交的；</w:t>
      </w:r>
      <w:bookmarkEnd w:id="153"/>
    </w:p>
    <w:p>
      <w:pPr>
        <w:spacing w:line="156"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bookmarkStart w:id="154" w:name="_Toc389_WPSOffice_Level2"/>
      <w:r>
        <w:rPr>
          <w:rFonts w:ascii="宋体" w:hAnsi="宋体" w:cs="宋体"/>
          <w:color w:val="auto"/>
          <w:sz w:val="21"/>
          <w:szCs w:val="21"/>
          <w:highlight w:val="none"/>
        </w:rPr>
        <w:t>b</w:t>
      </w:r>
      <w:r>
        <w:rPr>
          <w:rFonts w:hint="eastAsia" w:ascii="宋体" w:hAnsi="宋体" w:cs="宋体"/>
          <w:color w:val="auto"/>
          <w:sz w:val="21"/>
          <w:szCs w:val="21"/>
          <w:highlight w:val="none"/>
        </w:rPr>
        <w:t>）采取不正当手段诋毁、排挤其他供应商的；</w:t>
      </w:r>
      <w:bookmarkEnd w:id="154"/>
    </w:p>
    <w:p>
      <w:pPr>
        <w:spacing w:line="153"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bookmarkStart w:id="155" w:name="_Toc14247_WPSOffice_Level2"/>
      <w:r>
        <w:rPr>
          <w:rFonts w:ascii="宋体" w:hAnsi="宋体" w:cs="宋体"/>
          <w:color w:val="auto"/>
          <w:sz w:val="21"/>
          <w:szCs w:val="21"/>
          <w:highlight w:val="none"/>
        </w:rPr>
        <w:t>c</w:t>
      </w:r>
      <w:r>
        <w:rPr>
          <w:rFonts w:hint="eastAsia" w:ascii="宋体" w:hAnsi="宋体" w:cs="宋体"/>
          <w:color w:val="auto"/>
          <w:sz w:val="21"/>
          <w:szCs w:val="21"/>
          <w:highlight w:val="none"/>
        </w:rPr>
        <w:t>）与采购人、其它供应商或者采购代理机构恶意串通的；</w:t>
      </w:r>
      <w:bookmarkEnd w:id="155"/>
    </w:p>
    <w:p>
      <w:pPr>
        <w:spacing w:line="153"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bookmarkStart w:id="156" w:name="_Toc19645_WPSOffice_Level2"/>
      <w:r>
        <w:rPr>
          <w:rFonts w:ascii="宋体" w:hAnsi="宋体" w:cs="宋体"/>
          <w:color w:val="auto"/>
          <w:sz w:val="21"/>
          <w:szCs w:val="21"/>
          <w:highlight w:val="none"/>
        </w:rPr>
        <w:t>d</w:t>
      </w:r>
      <w:r>
        <w:rPr>
          <w:rFonts w:hint="eastAsia" w:ascii="宋体" w:hAnsi="宋体" w:cs="宋体"/>
          <w:color w:val="auto"/>
          <w:sz w:val="21"/>
          <w:szCs w:val="21"/>
          <w:highlight w:val="none"/>
        </w:rPr>
        <w:t>）向采购人、采购代理机构行贿或者提供其他不正当利益的；</w:t>
      </w:r>
      <w:bookmarkEnd w:id="156"/>
    </w:p>
    <w:p>
      <w:pPr>
        <w:spacing w:line="153"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bookmarkStart w:id="157" w:name="_Toc27639_WPSOffice_Level2"/>
      <w:r>
        <w:rPr>
          <w:rFonts w:ascii="宋体" w:hAnsi="宋体" w:cs="宋体"/>
          <w:color w:val="auto"/>
          <w:sz w:val="21"/>
          <w:szCs w:val="21"/>
          <w:highlight w:val="none"/>
        </w:rPr>
        <w:t>e</w:t>
      </w:r>
      <w:r>
        <w:rPr>
          <w:rFonts w:hint="eastAsia" w:ascii="宋体" w:hAnsi="宋体" w:cs="宋体"/>
          <w:color w:val="auto"/>
          <w:sz w:val="21"/>
          <w:szCs w:val="21"/>
          <w:highlight w:val="none"/>
        </w:rPr>
        <w:t>）在招标采购过程中与采购人进行协商谈判的；</w:t>
      </w:r>
      <w:bookmarkEnd w:id="157"/>
    </w:p>
    <w:p>
      <w:pPr>
        <w:spacing w:line="153"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bookmarkStart w:id="158" w:name="_Toc9224_WPSOffice_Level2"/>
      <w:r>
        <w:rPr>
          <w:rFonts w:ascii="宋体" w:hAnsi="宋体" w:cs="宋体"/>
          <w:color w:val="auto"/>
          <w:sz w:val="21"/>
          <w:szCs w:val="21"/>
          <w:highlight w:val="none"/>
        </w:rPr>
        <w:t>f</w:t>
      </w:r>
      <w:r>
        <w:rPr>
          <w:rFonts w:hint="eastAsia" w:ascii="宋体" w:hAnsi="宋体" w:cs="宋体"/>
          <w:color w:val="auto"/>
          <w:sz w:val="21"/>
          <w:szCs w:val="21"/>
          <w:highlight w:val="none"/>
        </w:rPr>
        <w:t>）拒绝有关部门监督检查或提供虚假情况的。</w:t>
      </w:r>
      <w:bookmarkEnd w:id="158"/>
    </w:p>
    <w:p>
      <w:pPr>
        <w:spacing w:line="156"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hint="eastAsia" w:ascii="宋体" w:hAnsi="宋体" w:cs="宋体"/>
          <w:color w:val="auto"/>
          <w:sz w:val="21"/>
          <w:szCs w:val="21"/>
          <w:highlight w:val="none"/>
        </w:rPr>
        <w:t>供应商有前款第</w:t>
      </w:r>
      <w:r>
        <w:rPr>
          <w:rFonts w:ascii="宋体" w:hAnsi="宋体" w:cs="宋体"/>
          <w:color w:val="auto"/>
          <w:sz w:val="21"/>
          <w:szCs w:val="21"/>
          <w:highlight w:val="none"/>
        </w:rPr>
        <w:t xml:space="preserve"> a</w:t>
      </w:r>
      <w:r>
        <w:rPr>
          <w:rFonts w:hint="eastAsia" w:ascii="宋体" w:hAnsi="宋体" w:cs="宋体"/>
          <w:color w:val="auto"/>
          <w:sz w:val="21"/>
          <w:szCs w:val="21"/>
          <w:highlight w:val="none"/>
        </w:rPr>
        <w:t>）至</w:t>
      </w:r>
      <w:r>
        <w:rPr>
          <w:rFonts w:ascii="宋体" w:hAnsi="宋体" w:cs="宋体"/>
          <w:color w:val="auto"/>
          <w:sz w:val="21"/>
          <w:szCs w:val="21"/>
          <w:highlight w:val="none"/>
        </w:rPr>
        <w:t xml:space="preserve"> f</w:t>
      </w:r>
      <w:r>
        <w:rPr>
          <w:rFonts w:hint="eastAsia" w:ascii="宋体" w:hAnsi="宋体" w:cs="宋体"/>
          <w:color w:val="auto"/>
          <w:sz w:val="21"/>
          <w:szCs w:val="21"/>
          <w:highlight w:val="none"/>
        </w:rPr>
        <w:t>）项情形之一的，中标、成交无效。</w:t>
      </w:r>
    </w:p>
    <w:p>
      <w:pPr>
        <w:spacing w:line="154" w:lineRule="exact"/>
        <w:rPr>
          <w:rFonts w:ascii="宋体" w:cs="宋体"/>
          <w:color w:val="auto"/>
          <w:sz w:val="20"/>
          <w:szCs w:val="20"/>
          <w:highlight w:val="none"/>
        </w:rPr>
      </w:pPr>
    </w:p>
    <w:p>
      <w:pPr>
        <w:spacing w:line="255" w:lineRule="exact"/>
        <w:ind w:left="780"/>
        <w:rPr>
          <w:rFonts w:ascii="宋体" w:cs="宋体"/>
          <w:color w:val="auto"/>
          <w:sz w:val="20"/>
          <w:szCs w:val="20"/>
          <w:highlight w:val="none"/>
        </w:rPr>
      </w:pPr>
      <w:r>
        <w:rPr>
          <w:rFonts w:ascii="宋体" w:hAnsi="宋体" w:cs="宋体"/>
          <w:color w:val="auto"/>
          <w:sz w:val="21"/>
          <w:szCs w:val="21"/>
          <w:highlight w:val="none"/>
        </w:rPr>
        <w:t>11</w:t>
      </w:r>
      <w:r>
        <w:rPr>
          <w:rFonts w:hint="eastAsia" w:ascii="宋体" w:hAnsi="宋体" w:cs="宋体"/>
          <w:color w:val="auto"/>
          <w:sz w:val="21"/>
          <w:szCs w:val="21"/>
          <w:highlight w:val="none"/>
        </w:rPr>
        <w:t>、本响应文件的有效期为自投标截止时间起</w:t>
      </w:r>
      <w:r>
        <w:rPr>
          <w:rFonts w:ascii="宋体" w:hAnsi="宋体" w:cs="宋体"/>
          <w:color w:val="auto"/>
          <w:sz w:val="21"/>
          <w:szCs w:val="21"/>
          <w:highlight w:val="none"/>
        </w:rPr>
        <w:t xml:space="preserve"> 120 </w:t>
      </w:r>
      <w:r>
        <w:rPr>
          <w:rFonts w:hint="eastAsia" w:ascii="宋体" w:hAnsi="宋体" w:cs="宋体"/>
          <w:color w:val="auto"/>
          <w:sz w:val="21"/>
          <w:szCs w:val="21"/>
          <w:highlight w:val="none"/>
        </w:rPr>
        <w:t>天。</w:t>
      </w:r>
    </w:p>
    <w:p>
      <w:pPr>
        <w:spacing w:line="200" w:lineRule="exact"/>
        <w:rPr>
          <w:rFonts w:ascii="宋体" w:cs="宋体"/>
          <w:color w:val="auto"/>
          <w:sz w:val="20"/>
          <w:szCs w:val="20"/>
          <w:highlight w:val="none"/>
        </w:rPr>
      </w:pPr>
    </w:p>
    <w:p>
      <w:pPr>
        <w:spacing w:line="315" w:lineRule="exact"/>
        <w:rPr>
          <w:rFonts w:ascii="宋体" w:cs="宋体"/>
          <w:color w:val="auto"/>
          <w:sz w:val="20"/>
          <w:szCs w:val="20"/>
          <w:highlight w:val="none"/>
        </w:rPr>
      </w:pPr>
    </w:p>
    <w:p>
      <w:pPr>
        <w:spacing w:line="240" w:lineRule="exact"/>
        <w:ind w:left="840"/>
        <w:rPr>
          <w:rFonts w:ascii="宋体" w:cs="宋体"/>
          <w:color w:val="auto"/>
          <w:sz w:val="21"/>
          <w:szCs w:val="21"/>
          <w:highlight w:val="none"/>
        </w:rPr>
      </w:pPr>
    </w:p>
    <w:p>
      <w:pPr>
        <w:spacing w:line="240" w:lineRule="exact"/>
        <w:ind w:left="840"/>
        <w:rPr>
          <w:rFonts w:ascii="宋体" w:cs="宋体"/>
          <w:color w:val="auto"/>
          <w:sz w:val="21"/>
          <w:szCs w:val="21"/>
          <w:highlight w:val="none"/>
        </w:rPr>
      </w:pPr>
    </w:p>
    <w:p>
      <w:pPr>
        <w:spacing w:line="240" w:lineRule="exact"/>
        <w:ind w:left="840"/>
        <w:rPr>
          <w:rFonts w:ascii="宋体" w:cs="宋体"/>
          <w:color w:val="auto"/>
          <w:sz w:val="21"/>
          <w:szCs w:val="21"/>
          <w:highlight w:val="none"/>
        </w:rPr>
      </w:pPr>
    </w:p>
    <w:p>
      <w:pPr>
        <w:spacing w:line="240" w:lineRule="exact"/>
        <w:ind w:left="840"/>
        <w:rPr>
          <w:rFonts w:ascii="宋体" w:cs="宋体"/>
          <w:color w:val="auto"/>
          <w:sz w:val="21"/>
          <w:szCs w:val="21"/>
          <w:highlight w:val="none"/>
        </w:rPr>
      </w:pPr>
    </w:p>
    <w:p>
      <w:pPr>
        <w:spacing w:line="360" w:lineRule="auto"/>
        <w:ind w:left="840"/>
        <w:rPr>
          <w:rFonts w:ascii="宋体" w:cs="宋体"/>
          <w:color w:val="auto"/>
          <w:sz w:val="20"/>
          <w:szCs w:val="20"/>
          <w:highlight w:val="none"/>
        </w:rPr>
      </w:pPr>
      <w:r>
        <w:rPr>
          <w:rFonts w:hint="eastAsia" w:ascii="宋体" w:hAnsi="宋体" w:cs="宋体"/>
          <w:color w:val="auto"/>
          <w:sz w:val="21"/>
          <w:szCs w:val="21"/>
          <w:highlight w:val="none"/>
        </w:rPr>
        <w:t>供应商全称（盖单位公章）：</w:t>
      </w:r>
    </w:p>
    <w:p>
      <w:pPr>
        <w:spacing w:line="360" w:lineRule="auto"/>
        <w:ind w:left="840"/>
        <w:rPr>
          <w:rFonts w:ascii="宋体" w:cs="宋体"/>
          <w:color w:val="auto"/>
          <w:sz w:val="20"/>
          <w:szCs w:val="20"/>
          <w:highlight w:val="none"/>
        </w:rPr>
      </w:pPr>
      <w:bookmarkStart w:id="159" w:name="page50"/>
      <w:bookmarkEnd w:id="159"/>
      <w:r>
        <w:rPr>
          <w:rFonts w:hint="eastAsia" w:ascii="宋体" w:hAnsi="宋体" w:cs="宋体"/>
          <w:color w:val="auto"/>
          <w:sz w:val="21"/>
          <w:szCs w:val="21"/>
          <w:highlight w:val="none"/>
        </w:rPr>
        <w:t>响应文件签署人（签字或盖章）：</w:t>
      </w:r>
    </w:p>
    <w:p>
      <w:pPr>
        <w:spacing w:line="360" w:lineRule="auto"/>
        <w:ind w:left="840"/>
        <w:rPr>
          <w:rFonts w:ascii="宋体" w:cs="宋体"/>
          <w:color w:val="auto"/>
          <w:sz w:val="20"/>
          <w:szCs w:val="20"/>
          <w:highlight w:val="none"/>
        </w:rPr>
      </w:pPr>
      <w:r>
        <w:rPr>
          <w:rFonts w:hint="eastAsia" w:ascii="宋体" w:hAnsi="宋体" w:cs="宋体"/>
          <w:color w:val="auto"/>
          <w:sz w:val="21"/>
          <w:szCs w:val="21"/>
          <w:highlight w:val="none"/>
        </w:rPr>
        <w:t>日期：</w:t>
      </w:r>
    </w:p>
    <w:p>
      <w:pPr>
        <w:spacing w:line="360" w:lineRule="auto"/>
        <w:ind w:left="840"/>
        <w:rPr>
          <w:rFonts w:ascii="宋体" w:cs="宋体"/>
          <w:color w:val="auto"/>
          <w:sz w:val="20"/>
          <w:szCs w:val="20"/>
          <w:highlight w:val="none"/>
        </w:rPr>
      </w:pPr>
      <w:r>
        <w:rPr>
          <w:rFonts w:hint="eastAsia" w:ascii="宋体" w:hAnsi="宋体" w:cs="宋体"/>
          <w:color w:val="auto"/>
          <w:sz w:val="21"/>
          <w:szCs w:val="21"/>
          <w:highlight w:val="none"/>
        </w:rPr>
        <w:t>单位地址：</w:t>
      </w:r>
    </w:p>
    <w:p>
      <w:pPr>
        <w:tabs>
          <w:tab w:val="left" w:pos="2700"/>
          <w:tab w:val="left" w:pos="4380"/>
        </w:tabs>
        <w:spacing w:line="360" w:lineRule="auto"/>
        <w:ind w:left="840"/>
        <w:rPr>
          <w:rFonts w:ascii="宋体" w:cs="宋体"/>
          <w:color w:val="auto"/>
          <w:sz w:val="20"/>
          <w:szCs w:val="20"/>
          <w:highlight w:val="none"/>
        </w:rPr>
      </w:pPr>
      <w:r>
        <w:rPr>
          <w:rFonts w:hint="eastAsia" w:ascii="宋体" w:hAnsi="宋体" w:cs="宋体"/>
          <w:color w:val="auto"/>
          <w:sz w:val="21"/>
          <w:szCs w:val="21"/>
          <w:highlight w:val="none"/>
        </w:rPr>
        <w:t>邮编：</w:t>
      </w:r>
      <w:r>
        <w:rPr>
          <w:rFonts w:ascii="宋体" w:cs="宋体"/>
          <w:color w:val="auto"/>
          <w:sz w:val="20"/>
          <w:szCs w:val="20"/>
          <w:highlight w:val="none"/>
        </w:rPr>
        <w:tab/>
      </w:r>
      <w:r>
        <w:rPr>
          <w:rFonts w:hint="eastAsia" w:ascii="宋体" w:hAnsi="宋体" w:cs="宋体"/>
          <w:color w:val="auto"/>
          <w:sz w:val="21"/>
          <w:szCs w:val="21"/>
          <w:highlight w:val="none"/>
        </w:rPr>
        <w:t>电话：</w:t>
      </w:r>
      <w:r>
        <w:rPr>
          <w:rFonts w:ascii="宋体" w:cs="宋体"/>
          <w:color w:val="auto"/>
          <w:sz w:val="20"/>
          <w:szCs w:val="20"/>
          <w:highlight w:val="none"/>
        </w:rPr>
        <w:tab/>
      </w:r>
      <w:r>
        <w:rPr>
          <w:rFonts w:hint="eastAsia" w:ascii="宋体" w:hAnsi="宋体" w:cs="宋体"/>
          <w:color w:val="auto"/>
          <w:sz w:val="21"/>
          <w:szCs w:val="21"/>
          <w:highlight w:val="none"/>
        </w:rPr>
        <w:t>传真：</w:t>
      </w:r>
    </w:p>
    <w:p>
      <w:pPr>
        <w:rPr>
          <w:rFonts w:ascii="宋体" w:cs="宋体"/>
          <w:color w:val="auto"/>
          <w:highlight w:val="none"/>
        </w:rPr>
        <w:sectPr>
          <w:pgSz w:w="11900" w:h="16838"/>
          <w:pgMar w:top="1440" w:right="1440" w:bottom="401" w:left="1440" w:header="567" w:footer="567" w:gutter="0"/>
          <w:cols w:equalWidth="0" w:num="1">
            <w:col w:w="9026"/>
          </w:cols>
        </w:sectPr>
      </w:pPr>
    </w:p>
    <w:p>
      <w:pPr>
        <w:spacing w:line="366" w:lineRule="exact"/>
        <w:ind w:right="6"/>
        <w:jc w:val="center"/>
        <w:rPr>
          <w:rFonts w:ascii="宋体" w:cs="宋体"/>
          <w:color w:val="auto"/>
          <w:sz w:val="28"/>
          <w:szCs w:val="28"/>
          <w:highlight w:val="none"/>
        </w:rPr>
      </w:pPr>
      <w:bookmarkStart w:id="160" w:name="page51"/>
      <w:bookmarkEnd w:id="160"/>
      <w:r>
        <w:rPr>
          <w:rFonts w:hint="eastAsia" w:ascii="宋体" w:hAnsi="宋体" w:cs="宋体"/>
          <w:b/>
          <w:bCs/>
          <w:color w:val="auto"/>
          <w:sz w:val="28"/>
          <w:szCs w:val="28"/>
          <w:highlight w:val="none"/>
        </w:rPr>
        <w:t>二、初次报价一览表</w:t>
      </w:r>
    </w:p>
    <w:p>
      <w:pPr>
        <w:spacing w:line="252" w:lineRule="exact"/>
        <w:rPr>
          <w:rFonts w:ascii="宋体" w:cs="宋体"/>
          <w:color w:val="auto"/>
          <w:sz w:val="20"/>
          <w:szCs w:val="20"/>
          <w:highlight w:val="none"/>
        </w:rPr>
      </w:pPr>
    </w:p>
    <w:tbl>
      <w:tblPr>
        <w:tblStyle w:val="19"/>
        <w:tblW w:w="8960" w:type="dxa"/>
        <w:tblInd w:w="50" w:type="dxa"/>
        <w:tblLayout w:type="fixed"/>
        <w:tblCellMar>
          <w:top w:w="0" w:type="dxa"/>
          <w:left w:w="0" w:type="dxa"/>
          <w:bottom w:w="0" w:type="dxa"/>
          <w:right w:w="0" w:type="dxa"/>
        </w:tblCellMar>
      </w:tblPr>
      <w:tblGrid>
        <w:gridCol w:w="1480"/>
        <w:gridCol w:w="520"/>
        <w:gridCol w:w="1460"/>
        <w:gridCol w:w="540"/>
        <w:gridCol w:w="1700"/>
        <w:gridCol w:w="1800"/>
        <w:gridCol w:w="1460"/>
      </w:tblGrid>
      <w:tr>
        <w:tblPrEx>
          <w:tblLayout w:type="fixed"/>
          <w:tblCellMar>
            <w:top w:w="0" w:type="dxa"/>
            <w:left w:w="0" w:type="dxa"/>
            <w:bottom w:w="0" w:type="dxa"/>
            <w:right w:w="0" w:type="dxa"/>
          </w:tblCellMar>
        </w:tblPrEx>
        <w:trPr>
          <w:trHeight w:val="240" w:hRule="atLeast"/>
        </w:trPr>
        <w:tc>
          <w:tcPr>
            <w:tcW w:w="1480" w:type="dxa"/>
            <w:vAlign w:val="bottom"/>
          </w:tcPr>
          <w:p>
            <w:pPr>
              <w:spacing w:line="360" w:lineRule="auto"/>
              <w:ind w:left="320"/>
              <w:rPr>
                <w:rFonts w:ascii="宋体" w:cs="宋体"/>
                <w:color w:val="auto"/>
                <w:sz w:val="20"/>
                <w:szCs w:val="20"/>
                <w:highlight w:val="none"/>
              </w:rPr>
            </w:pPr>
            <w:r>
              <w:rPr>
                <w:rFonts w:hint="eastAsia" w:ascii="宋体" w:hAnsi="宋体" w:cs="宋体"/>
                <w:color w:val="auto"/>
                <w:sz w:val="21"/>
                <w:szCs w:val="21"/>
                <w:highlight w:val="none"/>
              </w:rPr>
              <w:t>项目名称：</w:t>
            </w:r>
          </w:p>
        </w:tc>
        <w:tc>
          <w:tcPr>
            <w:tcW w:w="520" w:type="dxa"/>
            <w:tcBorders>
              <w:bottom w:val="single" w:color="auto" w:sz="8" w:space="0"/>
            </w:tcBorders>
            <w:vAlign w:val="bottom"/>
          </w:tcPr>
          <w:p>
            <w:pPr>
              <w:spacing w:line="360" w:lineRule="auto"/>
              <w:rPr>
                <w:rFonts w:ascii="宋体" w:cs="宋体"/>
                <w:color w:val="auto"/>
                <w:sz w:val="20"/>
                <w:szCs w:val="20"/>
                <w:highlight w:val="none"/>
              </w:rPr>
            </w:pPr>
          </w:p>
        </w:tc>
        <w:tc>
          <w:tcPr>
            <w:tcW w:w="1460" w:type="dxa"/>
            <w:tcBorders>
              <w:bottom w:val="single" w:color="auto" w:sz="8" w:space="0"/>
            </w:tcBorders>
            <w:vAlign w:val="bottom"/>
          </w:tcPr>
          <w:p>
            <w:pPr>
              <w:spacing w:line="360" w:lineRule="auto"/>
              <w:rPr>
                <w:rFonts w:ascii="宋体" w:cs="宋体"/>
                <w:color w:val="auto"/>
                <w:sz w:val="20"/>
                <w:szCs w:val="20"/>
                <w:highlight w:val="none"/>
              </w:rPr>
            </w:pPr>
          </w:p>
        </w:tc>
        <w:tc>
          <w:tcPr>
            <w:tcW w:w="540" w:type="dxa"/>
            <w:vAlign w:val="bottom"/>
          </w:tcPr>
          <w:p>
            <w:pPr>
              <w:spacing w:line="360" w:lineRule="auto"/>
              <w:rPr>
                <w:rFonts w:ascii="宋体" w:cs="宋体"/>
                <w:color w:val="auto"/>
                <w:sz w:val="20"/>
                <w:szCs w:val="20"/>
                <w:highlight w:val="none"/>
              </w:rPr>
            </w:pPr>
          </w:p>
        </w:tc>
        <w:tc>
          <w:tcPr>
            <w:tcW w:w="1700" w:type="dxa"/>
            <w:vAlign w:val="bottom"/>
          </w:tcPr>
          <w:p>
            <w:pPr>
              <w:spacing w:line="360" w:lineRule="auto"/>
              <w:rPr>
                <w:rFonts w:ascii="宋体" w:cs="宋体"/>
                <w:color w:val="auto"/>
                <w:sz w:val="20"/>
                <w:szCs w:val="20"/>
                <w:highlight w:val="none"/>
              </w:rPr>
            </w:pPr>
          </w:p>
        </w:tc>
        <w:tc>
          <w:tcPr>
            <w:tcW w:w="1800" w:type="dxa"/>
            <w:vAlign w:val="bottom"/>
          </w:tcPr>
          <w:p>
            <w:pPr>
              <w:spacing w:line="360" w:lineRule="auto"/>
              <w:rPr>
                <w:rFonts w:ascii="宋体" w:cs="宋体"/>
                <w:color w:val="auto"/>
                <w:sz w:val="20"/>
                <w:szCs w:val="20"/>
                <w:highlight w:val="none"/>
              </w:rPr>
            </w:pPr>
          </w:p>
        </w:tc>
        <w:tc>
          <w:tcPr>
            <w:tcW w:w="1460" w:type="dxa"/>
            <w:vAlign w:val="bottom"/>
          </w:tcPr>
          <w:p>
            <w:pPr>
              <w:spacing w:line="360" w:lineRule="auto"/>
              <w:rPr>
                <w:rFonts w:ascii="宋体" w:cs="宋体"/>
                <w:color w:val="auto"/>
                <w:sz w:val="20"/>
                <w:szCs w:val="20"/>
                <w:highlight w:val="none"/>
              </w:rPr>
            </w:pPr>
          </w:p>
        </w:tc>
      </w:tr>
      <w:tr>
        <w:tblPrEx>
          <w:tblLayout w:type="fixed"/>
          <w:tblCellMar>
            <w:top w:w="0" w:type="dxa"/>
            <w:left w:w="0" w:type="dxa"/>
            <w:bottom w:w="0" w:type="dxa"/>
            <w:right w:w="0" w:type="dxa"/>
          </w:tblCellMar>
        </w:tblPrEx>
        <w:trPr>
          <w:trHeight w:val="388" w:hRule="atLeast"/>
        </w:trPr>
        <w:tc>
          <w:tcPr>
            <w:tcW w:w="1480" w:type="dxa"/>
            <w:vAlign w:val="bottom"/>
          </w:tcPr>
          <w:p>
            <w:pPr>
              <w:spacing w:line="360" w:lineRule="auto"/>
              <w:ind w:left="320"/>
              <w:rPr>
                <w:rFonts w:ascii="宋体" w:cs="宋体"/>
                <w:color w:val="auto"/>
                <w:sz w:val="20"/>
                <w:szCs w:val="20"/>
                <w:highlight w:val="none"/>
              </w:rPr>
            </w:pPr>
            <w:r>
              <w:rPr>
                <w:rFonts w:hint="eastAsia" w:ascii="宋体" w:hAnsi="宋体" w:cs="宋体"/>
                <w:color w:val="auto"/>
                <w:sz w:val="21"/>
                <w:szCs w:val="21"/>
                <w:highlight w:val="none"/>
              </w:rPr>
              <w:t>项目编号：</w:t>
            </w:r>
          </w:p>
        </w:tc>
        <w:tc>
          <w:tcPr>
            <w:tcW w:w="520" w:type="dxa"/>
            <w:tcBorders>
              <w:bottom w:val="single" w:color="auto" w:sz="8" w:space="0"/>
            </w:tcBorders>
            <w:vAlign w:val="bottom"/>
          </w:tcPr>
          <w:p>
            <w:pPr>
              <w:spacing w:line="360" w:lineRule="auto"/>
              <w:rPr>
                <w:rFonts w:ascii="宋体" w:cs="宋体"/>
                <w:color w:val="auto"/>
                <w:sz w:val="24"/>
                <w:szCs w:val="24"/>
                <w:highlight w:val="none"/>
              </w:rPr>
            </w:pPr>
          </w:p>
        </w:tc>
        <w:tc>
          <w:tcPr>
            <w:tcW w:w="1460" w:type="dxa"/>
            <w:tcBorders>
              <w:bottom w:val="single" w:color="auto" w:sz="8" w:space="0"/>
            </w:tcBorders>
            <w:vAlign w:val="bottom"/>
          </w:tcPr>
          <w:p>
            <w:pPr>
              <w:spacing w:line="360" w:lineRule="auto"/>
              <w:rPr>
                <w:rFonts w:ascii="宋体" w:cs="宋体"/>
                <w:color w:val="auto"/>
                <w:sz w:val="24"/>
                <w:szCs w:val="24"/>
                <w:highlight w:val="none"/>
              </w:rPr>
            </w:pPr>
          </w:p>
        </w:tc>
        <w:tc>
          <w:tcPr>
            <w:tcW w:w="540" w:type="dxa"/>
            <w:vAlign w:val="bottom"/>
          </w:tcPr>
          <w:p>
            <w:pPr>
              <w:spacing w:line="360" w:lineRule="auto"/>
              <w:rPr>
                <w:rFonts w:ascii="宋体" w:cs="宋体"/>
                <w:color w:val="auto"/>
                <w:sz w:val="24"/>
                <w:szCs w:val="24"/>
                <w:highlight w:val="none"/>
              </w:rPr>
            </w:pPr>
          </w:p>
        </w:tc>
        <w:tc>
          <w:tcPr>
            <w:tcW w:w="1700" w:type="dxa"/>
            <w:vAlign w:val="bottom"/>
          </w:tcPr>
          <w:p>
            <w:pPr>
              <w:spacing w:line="360" w:lineRule="auto"/>
              <w:rPr>
                <w:rFonts w:ascii="宋体" w:cs="宋体"/>
                <w:color w:val="auto"/>
                <w:sz w:val="24"/>
                <w:szCs w:val="24"/>
                <w:highlight w:val="none"/>
              </w:rPr>
            </w:pPr>
          </w:p>
        </w:tc>
        <w:tc>
          <w:tcPr>
            <w:tcW w:w="3260" w:type="dxa"/>
            <w:gridSpan w:val="2"/>
            <w:vAlign w:val="bottom"/>
          </w:tcPr>
          <w:p>
            <w:pPr>
              <w:spacing w:line="360" w:lineRule="auto"/>
              <w:ind w:left="500"/>
              <w:rPr>
                <w:rFonts w:ascii="宋体" w:cs="宋体"/>
                <w:color w:val="auto"/>
                <w:sz w:val="20"/>
                <w:szCs w:val="20"/>
                <w:highlight w:val="none"/>
              </w:rPr>
            </w:pPr>
            <w:r>
              <w:rPr>
                <w:rFonts w:hint="eastAsia" w:ascii="宋体" w:hAnsi="宋体" w:cs="宋体"/>
                <w:color w:val="auto"/>
                <w:sz w:val="21"/>
                <w:szCs w:val="21"/>
                <w:highlight w:val="none"/>
              </w:rPr>
              <w:t>（价格单位：元人民币）</w:t>
            </w:r>
          </w:p>
        </w:tc>
      </w:tr>
      <w:tr>
        <w:tblPrEx>
          <w:tblLayout w:type="fixed"/>
          <w:tblCellMar>
            <w:top w:w="0" w:type="dxa"/>
            <w:left w:w="0" w:type="dxa"/>
            <w:bottom w:w="0" w:type="dxa"/>
            <w:right w:w="0" w:type="dxa"/>
          </w:tblCellMar>
        </w:tblPrEx>
        <w:trPr>
          <w:trHeight w:val="155" w:hRule="atLeast"/>
        </w:trPr>
        <w:tc>
          <w:tcPr>
            <w:tcW w:w="1480" w:type="dxa"/>
            <w:tcBorders>
              <w:bottom w:val="single" w:color="auto" w:sz="8" w:space="0"/>
            </w:tcBorders>
            <w:vAlign w:val="bottom"/>
          </w:tcPr>
          <w:p>
            <w:pPr>
              <w:spacing w:line="360" w:lineRule="auto"/>
              <w:rPr>
                <w:rFonts w:ascii="宋体" w:cs="宋体"/>
                <w:color w:val="auto"/>
                <w:sz w:val="13"/>
                <w:szCs w:val="13"/>
                <w:highlight w:val="none"/>
              </w:rPr>
            </w:pPr>
          </w:p>
        </w:tc>
        <w:tc>
          <w:tcPr>
            <w:tcW w:w="520" w:type="dxa"/>
            <w:tcBorders>
              <w:bottom w:val="single" w:color="auto" w:sz="8" w:space="0"/>
            </w:tcBorders>
            <w:vAlign w:val="bottom"/>
          </w:tcPr>
          <w:p>
            <w:pPr>
              <w:spacing w:line="360" w:lineRule="auto"/>
              <w:rPr>
                <w:rFonts w:ascii="宋体" w:cs="宋体"/>
                <w:color w:val="auto"/>
                <w:sz w:val="13"/>
                <w:szCs w:val="13"/>
                <w:highlight w:val="none"/>
              </w:rPr>
            </w:pPr>
          </w:p>
        </w:tc>
        <w:tc>
          <w:tcPr>
            <w:tcW w:w="2000" w:type="dxa"/>
            <w:gridSpan w:val="2"/>
            <w:tcBorders>
              <w:bottom w:val="single" w:color="auto" w:sz="8" w:space="0"/>
            </w:tcBorders>
            <w:vAlign w:val="bottom"/>
          </w:tcPr>
          <w:p>
            <w:pPr>
              <w:spacing w:line="360" w:lineRule="auto"/>
              <w:rPr>
                <w:rFonts w:ascii="宋体" w:cs="宋体"/>
                <w:color w:val="auto"/>
                <w:sz w:val="13"/>
                <w:szCs w:val="13"/>
                <w:highlight w:val="none"/>
              </w:rPr>
            </w:pPr>
          </w:p>
        </w:tc>
        <w:tc>
          <w:tcPr>
            <w:tcW w:w="1700" w:type="dxa"/>
            <w:tcBorders>
              <w:bottom w:val="single" w:color="auto" w:sz="8" w:space="0"/>
            </w:tcBorders>
            <w:vAlign w:val="bottom"/>
          </w:tcPr>
          <w:p>
            <w:pPr>
              <w:spacing w:line="360" w:lineRule="auto"/>
              <w:rPr>
                <w:rFonts w:ascii="宋体" w:cs="宋体"/>
                <w:color w:val="auto"/>
                <w:sz w:val="13"/>
                <w:szCs w:val="13"/>
                <w:highlight w:val="none"/>
              </w:rPr>
            </w:pPr>
          </w:p>
        </w:tc>
        <w:tc>
          <w:tcPr>
            <w:tcW w:w="1800" w:type="dxa"/>
            <w:tcBorders>
              <w:bottom w:val="single" w:color="auto" w:sz="8" w:space="0"/>
            </w:tcBorders>
            <w:vAlign w:val="bottom"/>
          </w:tcPr>
          <w:p>
            <w:pPr>
              <w:spacing w:line="360" w:lineRule="auto"/>
              <w:rPr>
                <w:rFonts w:ascii="宋体" w:cs="宋体"/>
                <w:color w:val="auto"/>
                <w:sz w:val="13"/>
                <w:szCs w:val="13"/>
                <w:highlight w:val="none"/>
              </w:rPr>
            </w:pPr>
          </w:p>
        </w:tc>
        <w:tc>
          <w:tcPr>
            <w:tcW w:w="1460" w:type="dxa"/>
            <w:tcBorders>
              <w:bottom w:val="single" w:color="auto" w:sz="8" w:space="0"/>
            </w:tcBorders>
            <w:vAlign w:val="bottom"/>
          </w:tcPr>
          <w:p>
            <w:pPr>
              <w:spacing w:line="360" w:lineRule="auto"/>
              <w:rPr>
                <w:rFonts w:ascii="宋体" w:cs="宋体"/>
                <w:color w:val="auto"/>
                <w:sz w:val="13"/>
                <w:szCs w:val="13"/>
                <w:highlight w:val="none"/>
              </w:rPr>
            </w:pPr>
          </w:p>
        </w:tc>
      </w:tr>
      <w:tr>
        <w:tblPrEx>
          <w:tblLayout w:type="fixed"/>
          <w:tblCellMar>
            <w:top w:w="0" w:type="dxa"/>
            <w:left w:w="0" w:type="dxa"/>
            <w:bottom w:w="0" w:type="dxa"/>
            <w:right w:w="0" w:type="dxa"/>
          </w:tblCellMar>
        </w:tblPrEx>
        <w:trPr>
          <w:trHeight w:val="428" w:hRule="atLeast"/>
        </w:trPr>
        <w:tc>
          <w:tcPr>
            <w:tcW w:w="1480" w:type="dxa"/>
            <w:tcBorders>
              <w:left w:val="single" w:color="auto" w:sz="8" w:space="0"/>
            </w:tcBorders>
            <w:vAlign w:val="bottom"/>
          </w:tcPr>
          <w:p>
            <w:pPr>
              <w:spacing w:line="360" w:lineRule="auto"/>
              <w:ind w:left="580"/>
              <w:rPr>
                <w:rFonts w:ascii="宋体" w:cs="宋体"/>
                <w:color w:val="auto"/>
                <w:sz w:val="20"/>
                <w:szCs w:val="20"/>
                <w:highlight w:val="none"/>
              </w:rPr>
            </w:pPr>
            <w:r>
              <w:rPr>
                <w:rFonts w:hint="eastAsia" w:ascii="宋体" w:hAnsi="宋体" w:cs="宋体"/>
                <w:color w:val="auto"/>
                <w:sz w:val="21"/>
                <w:szCs w:val="21"/>
                <w:highlight w:val="none"/>
              </w:rPr>
              <w:t>项目名称</w:t>
            </w:r>
          </w:p>
        </w:tc>
        <w:tc>
          <w:tcPr>
            <w:tcW w:w="520" w:type="dxa"/>
            <w:tcBorders>
              <w:right w:val="single" w:color="auto" w:sz="8" w:space="0"/>
            </w:tcBorders>
            <w:vAlign w:val="bottom"/>
          </w:tcPr>
          <w:p>
            <w:pPr>
              <w:spacing w:line="360" w:lineRule="auto"/>
              <w:rPr>
                <w:rFonts w:ascii="宋体" w:cs="宋体"/>
                <w:color w:val="auto"/>
                <w:sz w:val="24"/>
                <w:szCs w:val="24"/>
                <w:highlight w:val="none"/>
              </w:rPr>
            </w:pPr>
          </w:p>
        </w:tc>
        <w:tc>
          <w:tcPr>
            <w:tcW w:w="2000" w:type="dxa"/>
            <w:gridSpan w:val="2"/>
            <w:tcBorders>
              <w:right w:val="single" w:color="auto" w:sz="8" w:space="0"/>
            </w:tcBorders>
            <w:vAlign w:val="bottom"/>
          </w:tcPr>
          <w:p>
            <w:pPr>
              <w:spacing w:line="360" w:lineRule="auto"/>
              <w:ind w:left="240"/>
              <w:rPr>
                <w:rFonts w:ascii="宋体" w:cs="宋体"/>
                <w:color w:val="auto"/>
                <w:sz w:val="20"/>
                <w:szCs w:val="20"/>
                <w:highlight w:val="none"/>
              </w:rPr>
            </w:pPr>
            <w:r>
              <w:rPr>
                <w:rFonts w:hint="eastAsia" w:ascii="宋体" w:hAnsi="宋体" w:cs="宋体"/>
                <w:color w:val="auto"/>
                <w:sz w:val="21"/>
                <w:szCs w:val="21"/>
                <w:highlight w:val="none"/>
              </w:rPr>
              <w:t>投标报价（元）</w:t>
            </w:r>
          </w:p>
        </w:tc>
        <w:tc>
          <w:tcPr>
            <w:tcW w:w="1700" w:type="dxa"/>
            <w:tcBorders>
              <w:right w:val="single" w:color="auto" w:sz="8" w:space="0"/>
            </w:tcBorders>
            <w:vAlign w:val="bottom"/>
          </w:tcPr>
          <w:p>
            <w:pPr>
              <w:spacing w:line="360" w:lineRule="auto"/>
              <w:ind w:left="100"/>
              <w:rPr>
                <w:rFonts w:ascii="宋体" w:cs="宋体"/>
                <w:color w:val="auto"/>
                <w:sz w:val="20"/>
                <w:szCs w:val="20"/>
                <w:highlight w:val="none"/>
              </w:rPr>
            </w:pPr>
            <w:r>
              <w:rPr>
                <w:rFonts w:hint="eastAsia" w:ascii="宋体" w:hAnsi="宋体" w:cs="宋体"/>
                <w:color w:val="auto"/>
                <w:sz w:val="21"/>
                <w:szCs w:val="21"/>
                <w:highlight w:val="none"/>
              </w:rPr>
              <w:t>工期（日历天）</w:t>
            </w:r>
          </w:p>
        </w:tc>
        <w:tc>
          <w:tcPr>
            <w:tcW w:w="1800" w:type="dxa"/>
            <w:tcBorders>
              <w:right w:val="single" w:color="auto" w:sz="8" w:space="0"/>
            </w:tcBorders>
            <w:vAlign w:val="bottom"/>
          </w:tcPr>
          <w:p>
            <w:pPr>
              <w:spacing w:line="360" w:lineRule="auto"/>
              <w:ind w:left="460"/>
              <w:rPr>
                <w:rFonts w:ascii="宋体" w:cs="宋体"/>
                <w:color w:val="auto"/>
                <w:sz w:val="20"/>
                <w:szCs w:val="20"/>
                <w:highlight w:val="none"/>
              </w:rPr>
            </w:pPr>
            <w:r>
              <w:rPr>
                <w:rFonts w:hint="eastAsia" w:ascii="宋体" w:hAnsi="宋体" w:cs="宋体"/>
                <w:color w:val="auto"/>
                <w:sz w:val="21"/>
                <w:szCs w:val="21"/>
                <w:highlight w:val="none"/>
              </w:rPr>
              <w:t>项目经理</w:t>
            </w:r>
          </w:p>
        </w:tc>
        <w:tc>
          <w:tcPr>
            <w:tcW w:w="1460" w:type="dxa"/>
            <w:tcBorders>
              <w:right w:val="single" w:color="auto" w:sz="8" w:space="0"/>
            </w:tcBorders>
            <w:vAlign w:val="bottom"/>
          </w:tcPr>
          <w:p>
            <w:pPr>
              <w:spacing w:line="360" w:lineRule="auto"/>
              <w:ind w:left="300"/>
              <w:rPr>
                <w:rFonts w:ascii="宋体" w:cs="宋体"/>
                <w:color w:val="auto"/>
                <w:sz w:val="20"/>
                <w:szCs w:val="20"/>
                <w:highlight w:val="none"/>
              </w:rPr>
            </w:pPr>
            <w:r>
              <w:rPr>
                <w:rFonts w:hint="eastAsia" w:ascii="宋体" w:hAnsi="宋体" w:cs="宋体"/>
                <w:color w:val="auto"/>
                <w:sz w:val="21"/>
                <w:szCs w:val="21"/>
                <w:highlight w:val="none"/>
              </w:rPr>
              <w:t>质量标准</w:t>
            </w:r>
          </w:p>
        </w:tc>
      </w:tr>
      <w:tr>
        <w:tblPrEx>
          <w:tblLayout w:type="fixed"/>
          <w:tblCellMar>
            <w:top w:w="0" w:type="dxa"/>
            <w:left w:w="0" w:type="dxa"/>
            <w:bottom w:w="0" w:type="dxa"/>
            <w:right w:w="0" w:type="dxa"/>
          </w:tblCellMar>
        </w:tblPrEx>
        <w:trPr>
          <w:trHeight w:val="116" w:hRule="atLeast"/>
        </w:trPr>
        <w:tc>
          <w:tcPr>
            <w:tcW w:w="1480" w:type="dxa"/>
            <w:tcBorders>
              <w:left w:val="single" w:color="auto" w:sz="8" w:space="0"/>
              <w:bottom w:val="single" w:color="auto" w:sz="8" w:space="0"/>
            </w:tcBorders>
            <w:vAlign w:val="bottom"/>
          </w:tcPr>
          <w:p>
            <w:pPr>
              <w:spacing w:line="360" w:lineRule="auto"/>
              <w:rPr>
                <w:rFonts w:ascii="宋体" w:cs="宋体"/>
                <w:color w:val="auto"/>
                <w:sz w:val="10"/>
                <w:szCs w:val="10"/>
                <w:highlight w:val="none"/>
              </w:rPr>
            </w:pPr>
          </w:p>
        </w:tc>
        <w:tc>
          <w:tcPr>
            <w:tcW w:w="520" w:type="dxa"/>
            <w:tcBorders>
              <w:bottom w:val="single" w:color="auto" w:sz="8" w:space="0"/>
              <w:right w:val="single" w:color="auto" w:sz="8" w:space="0"/>
            </w:tcBorders>
            <w:vAlign w:val="bottom"/>
          </w:tcPr>
          <w:p>
            <w:pPr>
              <w:spacing w:line="360" w:lineRule="auto"/>
              <w:rPr>
                <w:rFonts w:ascii="宋体" w:cs="宋体"/>
                <w:color w:val="auto"/>
                <w:sz w:val="10"/>
                <w:szCs w:val="10"/>
                <w:highlight w:val="none"/>
              </w:rPr>
            </w:pPr>
          </w:p>
        </w:tc>
        <w:tc>
          <w:tcPr>
            <w:tcW w:w="1460" w:type="dxa"/>
            <w:tcBorders>
              <w:bottom w:val="single" w:color="auto" w:sz="8" w:space="0"/>
            </w:tcBorders>
            <w:vAlign w:val="bottom"/>
          </w:tcPr>
          <w:p>
            <w:pPr>
              <w:spacing w:line="360" w:lineRule="auto"/>
              <w:rPr>
                <w:rFonts w:ascii="宋体" w:cs="宋体"/>
                <w:color w:val="auto"/>
                <w:sz w:val="10"/>
                <w:szCs w:val="10"/>
                <w:highlight w:val="none"/>
              </w:rPr>
            </w:pPr>
          </w:p>
        </w:tc>
        <w:tc>
          <w:tcPr>
            <w:tcW w:w="540" w:type="dxa"/>
            <w:tcBorders>
              <w:bottom w:val="single" w:color="auto" w:sz="8" w:space="0"/>
              <w:right w:val="single" w:color="auto" w:sz="8" w:space="0"/>
            </w:tcBorders>
            <w:vAlign w:val="bottom"/>
          </w:tcPr>
          <w:p>
            <w:pPr>
              <w:spacing w:line="360" w:lineRule="auto"/>
              <w:rPr>
                <w:rFonts w:ascii="宋体" w:cs="宋体"/>
                <w:color w:val="auto"/>
                <w:sz w:val="10"/>
                <w:szCs w:val="10"/>
                <w:highlight w:val="none"/>
              </w:rPr>
            </w:pPr>
          </w:p>
        </w:tc>
        <w:tc>
          <w:tcPr>
            <w:tcW w:w="1700" w:type="dxa"/>
            <w:tcBorders>
              <w:bottom w:val="single" w:color="auto" w:sz="8" w:space="0"/>
              <w:right w:val="single" w:color="auto" w:sz="8" w:space="0"/>
            </w:tcBorders>
            <w:vAlign w:val="bottom"/>
          </w:tcPr>
          <w:p>
            <w:pPr>
              <w:spacing w:line="360" w:lineRule="auto"/>
              <w:rPr>
                <w:rFonts w:ascii="宋体" w:cs="宋体"/>
                <w:color w:val="auto"/>
                <w:sz w:val="10"/>
                <w:szCs w:val="10"/>
                <w:highlight w:val="none"/>
              </w:rPr>
            </w:pPr>
          </w:p>
        </w:tc>
        <w:tc>
          <w:tcPr>
            <w:tcW w:w="1800" w:type="dxa"/>
            <w:tcBorders>
              <w:bottom w:val="single" w:color="auto" w:sz="8" w:space="0"/>
              <w:right w:val="single" w:color="auto" w:sz="8" w:space="0"/>
            </w:tcBorders>
            <w:vAlign w:val="bottom"/>
          </w:tcPr>
          <w:p>
            <w:pPr>
              <w:spacing w:line="360" w:lineRule="auto"/>
              <w:rPr>
                <w:rFonts w:ascii="宋体" w:cs="宋体"/>
                <w:color w:val="auto"/>
                <w:sz w:val="10"/>
                <w:szCs w:val="10"/>
                <w:highlight w:val="none"/>
              </w:rPr>
            </w:pPr>
          </w:p>
        </w:tc>
        <w:tc>
          <w:tcPr>
            <w:tcW w:w="1460" w:type="dxa"/>
            <w:tcBorders>
              <w:bottom w:val="single" w:color="auto" w:sz="8" w:space="0"/>
              <w:right w:val="single" w:color="auto" w:sz="8" w:space="0"/>
            </w:tcBorders>
            <w:vAlign w:val="bottom"/>
          </w:tcPr>
          <w:p>
            <w:pPr>
              <w:spacing w:line="360" w:lineRule="auto"/>
              <w:rPr>
                <w:rFonts w:ascii="宋体" w:cs="宋体"/>
                <w:color w:val="auto"/>
                <w:sz w:val="10"/>
                <w:szCs w:val="10"/>
                <w:highlight w:val="none"/>
              </w:rPr>
            </w:pPr>
          </w:p>
        </w:tc>
      </w:tr>
      <w:tr>
        <w:tblPrEx>
          <w:tblLayout w:type="fixed"/>
          <w:tblCellMar>
            <w:top w:w="0" w:type="dxa"/>
            <w:left w:w="0" w:type="dxa"/>
            <w:bottom w:w="0" w:type="dxa"/>
            <w:right w:w="0" w:type="dxa"/>
          </w:tblCellMar>
        </w:tblPrEx>
        <w:trPr>
          <w:trHeight w:val="647" w:hRule="atLeast"/>
        </w:trPr>
        <w:tc>
          <w:tcPr>
            <w:tcW w:w="1480" w:type="dxa"/>
            <w:tcBorders>
              <w:left w:val="single" w:color="auto" w:sz="8" w:space="0"/>
              <w:bottom w:val="single" w:color="auto" w:sz="8" w:space="0"/>
            </w:tcBorders>
            <w:vAlign w:val="bottom"/>
          </w:tcPr>
          <w:p>
            <w:pPr>
              <w:spacing w:line="360" w:lineRule="auto"/>
              <w:rPr>
                <w:rFonts w:ascii="宋体" w:cs="宋体"/>
                <w:color w:val="auto"/>
                <w:sz w:val="24"/>
                <w:szCs w:val="24"/>
                <w:highlight w:val="none"/>
              </w:rPr>
            </w:pPr>
          </w:p>
        </w:tc>
        <w:tc>
          <w:tcPr>
            <w:tcW w:w="520" w:type="dxa"/>
            <w:tcBorders>
              <w:bottom w:val="single" w:color="auto" w:sz="8" w:space="0"/>
              <w:right w:val="single" w:color="auto" w:sz="8" w:space="0"/>
            </w:tcBorders>
            <w:vAlign w:val="bottom"/>
          </w:tcPr>
          <w:p>
            <w:pPr>
              <w:spacing w:line="360" w:lineRule="auto"/>
              <w:rPr>
                <w:rFonts w:ascii="宋体" w:cs="宋体"/>
                <w:color w:val="auto"/>
                <w:sz w:val="24"/>
                <w:szCs w:val="24"/>
                <w:highlight w:val="none"/>
              </w:rPr>
            </w:pPr>
          </w:p>
        </w:tc>
        <w:tc>
          <w:tcPr>
            <w:tcW w:w="1460" w:type="dxa"/>
            <w:tcBorders>
              <w:bottom w:val="single" w:color="auto" w:sz="8" w:space="0"/>
            </w:tcBorders>
            <w:vAlign w:val="bottom"/>
          </w:tcPr>
          <w:p>
            <w:pPr>
              <w:spacing w:line="360" w:lineRule="auto"/>
              <w:rPr>
                <w:rFonts w:ascii="宋体" w:cs="宋体"/>
                <w:color w:val="auto"/>
                <w:sz w:val="24"/>
                <w:szCs w:val="24"/>
                <w:highlight w:val="none"/>
              </w:rPr>
            </w:pPr>
          </w:p>
        </w:tc>
        <w:tc>
          <w:tcPr>
            <w:tcW w:w="540" w:type="dxa"/>
            <w:tcBorders>
              <w:bottom w:val="single" w:color="auto" w:sz="8" w:space="0"/>
              <w:right w:val="single" w:color="auto" w:sz="8" w:space="0"/>
            </w:tcBorders>
            <w:vAlign w:val="bottom"/>
          </w:tcPr>
          <w:p>
            <w:pPr>
              <w:spacing w:line="360" w:lineRule="auto"/>
              <w:rPr>
                <w:rFonts w:ascii="宋体" w:cs="宋体"/>
                <w:color w:val="auto"/>
                <w:sz w:val="24"/>
                <w:szCs w:val="24"/>
                <w:highlight w:val="none"/>
              </w:rPr>
            </w:pPr>
          </w:p>
        </w:tc>
        <w:tc>
          <w:tcPr>
            <w:tcW w:w="1700" w:type="dxa"/>
            <w:tcBorders>
              <w:bottom w:val="single" w:color="auto" w:sz="8" w:space="0"/>
              <w:right w:val="single" w:color="auto" w:sz="8" w:space="0"/>
            </w:tcBorders>
            <w:vAlign w:val="bottom"/>
          </w:tcPr>
          <w:p>
            <w:pPr>
              <w:spacing w:line="360" w:lineRule="auto"/>
              <w:rPr>
                <w:rFonts w:ascii="宋体" w:cs="宋体"/>
                <w:color w:val="auto"/>
                <w:sz w:val="24"/>
                <w:szCs w:val="24"/>
                <w:highlight w:val="none"/>
              </w:rPr>
            </w:pPr>
          </w:p>
        </w:tc>
        <w:tc>
          <w:tcPr>
            <w:tcW w:w="1800" w:type="dxa"/>
            <w:tcBorders>
              <w:bottom w:val="single" w:color="auto" w:sz="8" w:space="0"/>
              <w:right w:val="single" w:color="auto" w:sz="8" w:space="0"/>
            </w:tcBorders>
            <w:vAlign w:val="bottom"/>
          </w:tcPr>
          <w:p>
            <w:pPr>
              <w:spacing w:line="360" w:lineRule="auto"/>
              <w:rPr>
                <w:rFonts w:ascii="宋体" w:cs="宋体"/>
                <w:color w:val="auto"/>
                <w:sz w:val="24"/>
                <w:szCs w:val="24"/>
                <w:highlight w:val="none"/>
              </w:rPr>
            </w:pPr>
          </w:p>
        </w:tc>
        <w:tc>
          <w:tcPr>
            <w:tcW w:w="1460" w:type="dxa"/>
            <w:tcBorders>
              <w:bottom w:val="single" w:color="auto" w:sz="8" w:space="0"/>
              <w:right w:val="single" w:color="auto" w:sz="8" w:space="0"/>
            </w:tcBorders>
            <w:vAlign w:val="bottom"/>
          </w:tcPr>
          <w:p>
            <w:pPr>
              <w:spacing w:line="360" w:lineRule="auto"/>
              <w:rPr>
                <w:rFonts w:ascii="宋体" w:cs="宋体"/>
                <w:color w:val="auto"/>
                <w:sz w:val="24"/>
                <w:szCs w:val="24"/>
                <w:highlight w:val="none"/>
              </w:rPr>
            </w:pPr>
          </w:p>
        </w:tc>
      </w:tr>
    </w:tbl>
    <w:p>
      <w:pPr>
        <w:spacing w:line="360" w:lineRule="auto"/>
        <w:ind w:left="460"/>
        <w:rPr>
          <w:rFonts w:ascii="宋体" w:cs="宋体"/>
          <w:color w:val="auto"/>
          <w:sz w:val="21"/>
          <w:szCs w:val="21"/>
          <w:highlight w:val="none"/>
        </w:rPr>
      </w:pPr>
    </w:p>
    <w:p>
      <w:pPr>
        <w:spacing w:line="360" w:lineRule="auto"/>
        <w:ind w:left="460"/>
        <w:rPr>
          <w:rFonts w:ascii="宋体" w:cs="宋体"/>
          <w:color w:val="auto"/>
          <w:sz w:val="20"/>
          <w:szCs w:val="20"/>
          <w:highlight w:val="none"/>
        </w:rPr>
      </w:pPr>
      <w:r>
        <w:rPr>
          <w:rFonts w:hint="eastAsia" w:ascii="宋体" w:hAnsi="宋体" w:cs="宋体"/>
          <w:color w:val="auto"/>
          <w:sz w:val="21"/>
          <w:szCs w:val="21"/>
          <w:highlight w:val="none"/>
        </w:rPr>
        <w:t>注：大写金额与小写金额不一致时，以大写金额为准。</w:t>
      </w:r>
    </w:p>
    <w:p>
      <w:pPr>
        <w:spacing w:line="360" w:lineRule="auto"/>
        <w:rPr>
          <w:rFonts w:ascii="宋体" w:cs="宋体"/>
          <w:color w:val="auto"/>
          <w:sz w:val="20"/>
          <w:szCs w:val="20"/>
          <w:highlight w:val="none"/>
        </w:rPr>
      </w:pPr>
    </w:p>
    <w:p>
      <w:pPr>
        <w:spacing w:line="360" w:lineRule="auto"/>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18" w:lineRule="exact"/>
        <w:rPr>
          <w:rFonts w:ascii="宋体" w:cs="宋体"/>
          <w:color w:val="auto"/>
          <w:sz w:val="20"/>
          <w:szCs w:val="20"/>
          <w:highlight w:val="none"/>
        </w:rPr>
      </w:pPr>
    </w:p>
    <w:p>
      <w:pPr>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供应商全称（盖单位公章）：</w:t>
      </w:r>
    </w:p>
    <w:p>
      <w:pPr>
        <w:spacing w:line="168" w:lineRule="exact"/>
        <w:rPr>
          <w:rFonts w:ascii="宋体" w:cs="宋体"/>
          <w:color w:val="auto"/>
          <w:sz w:val="20"/>
          <w:szCs w:val="20"/>
          <w:highlight w:val="none"/>
        </w:rPr>
      </w:pPr>
    </w:p>
    <w:p>
      <w:pPr>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响应文件签署人（签字或盖章）：</w:t>
      </w:r>
    </w:p>
    <w:p>
      <w:pPr>
        <w:spacing w:line="168" w:lineRule="exact"/>
        <w:rPr>
          <w:rFonts w:ascii="宋体" w:cs="宋体"/>
          <w:color w:val="auto"/>
          <w:sz w:val="20"/>
          <w:szCs w:val="20"/>
          <w:highlight w:val="none"/>
        </w:rPr>
      </w:pPr>
    </w:p>
    <w:p>
      <w:pPr>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日期：</w:t>
      </w:r>
    </w:p>
    <w:p>
      <w:pPr>
        <w:spacing w:line="200" w:lineRule="exact"/>
        <w:rPr>
          <w:rFonts w:ascii="宋体" w:cs="宋体"/>
          <w:color w:val="auto"/>
          <w:sz w:val="20"/>
          <w:szCs w:val="20"/>
          <w:highlight w:val="none"/>
        </w:rPr>
      </w:pPr>
    </w:p>
    <w:p>
      <w:pPr>
        <w:rPr>
          <w:rFonts w:ascii="宋体" w:cs="宋体"/>
          <w:color w:val="auto"/>
          <w:highlight w:val="none"/>
        </w:rPr>
        <w:sectPr>
          <w:pgSz w:w="11900" w:h="16838"/>
          <w:pgMar w:top="1440" w:right="1440" w:bottom="401" w:left="1440" w:header="567" w:footer="567" w:gutter="0"/>
          <w:cols w:equalWidth="0" w:num="1">
            <w:col w:w="9026"/>
          </w:cols>
        </w:sectPr>
      </w:pPr>
    </w:p>
    <w:p>
      <w:pPr>
        <w:spacing w:line="360" w:lineRule="auto"/>
        <w:jc w:val="center"/>
        <w:rPr>
          <w:rFonts w:ascii="宋体" w:cs="宋体"/>
          <w:color w:val="auto"/>
          <w:sz w:val="28"/>
          <w:szCs w:val="28"/>
          <w:highlight w:val="none"/>
        </w:rPr>
      </w:pPr>
      <w:bookmarkStart w:id="161" w:name="page52"/>
      <w:bookmarkEnd w:id="161"/>
      <w:r>
        <w:rPr>
          <w:rFonts w:hint="eastAsia" w:ascii="宋体" w:hAnsi="宋体" w:cs="宋体"/>
          <w:b/>
          <w:bCs/>
          <w:color w:val="auto"/>
          <w:sz w:val="28"/>
          <w:szCs w:val="28"/>
          <w:highlight w:val="none"/>
        </w:rPr>
        <w:t>三、</w:t>
      </w:r>
      <w:r>
        <w:rPr>
          <w:rFonts w:hint="eastAsia" w:ascii="宋体" w:hAnsi="宋体" w:cs="宋体"/>
          <w:b/>
          <w:color w:val="auto"/>
          <w:sz w:val="28"/>
          <w:szCs w:val="28"/>
          <w:highlight w:val="none"/>
        </w:rPr>
        <w:t>已标价工程量清单报价表格式</w:t>
      </w:r>
    </w:p>
    <w:p>
      <w:pPr>
        <w:spacing w:line="150" w:lineRule="exact"/>
        <w:rPr>
          <w:rFonts w:ascii="宋体" w:cs="宋体"/>
          <w:color w:val="auto"/>
          <w:sz w:val="20"/>
          <w:szCs w:val="20"/>
          <w:highlight w:val="none"/>
        </w:rPr>
      </w:pPr>
    </w:p>
    <w:p>
      <w:pPr>
        <w:spacing w:line="240" w:lineRule="exact"/>
        <w:ind w:left="4160"/>
        <w:rPr>
          <w:rFonts w:ascii="宋体" w:cs="宋体"/>
          <w:b/>
          <w:bCs/>
          <w:color w:val="auto"/>
          <w:sz w:val="21"/>
          <w:szCs w:val="21"/>
          <w:highlight w:val="none"/>
        </w:rPr>
      </w:pPr>
    </w:p>
    <w:p>
      <w:pPr>
        <w:spacing w:line="360" w:lineRule="auto"/>
        <w:jc w:val="center"/>
        <w:rPr>
          <w:rFonts w:ascii="宋体" w:cs="宋体"/>
          <w:b/>
          <w:bCs/>
          <w:color w:val="auto"/>
          <w:sz w:val="28"/>
          <w:szCs w:val="28"/>
          <w:highlight w:val="none"/>
        </w:rPr>
      </w:pPr>
      <w:bookmarkStart w:id="162" w:name="_Toc26372_WPSOffice_Level2"/>
      <w:r>
        <w:rPr>
          <w:rFonts w:hint="eastAsia" w:ascii="宋体" w:hAnsi="宋体" w:cs="宋体"/>
          <w:b/>
          <w:bCs/>
          <w:color w:val="auto"/>
          <w:sz w:val="28"/>
          <w:szCs w:val="28"/>
          <w:highlight w:val="none"/>
        </w:rPr>
        <w:t>（具体请按照《浙江省建设工程计价规则》（</w:t>
      </w:r>
      <w:r>
        <w:rPr>
          <w:rFonts w:ascii="宋体" w:hAnsi="宋体" w:cs="宋体"/>
          <w:b/>
          <w:bCs/>
          <w:color w:val="auto"/>
          <w:sz w:val="28"/>
          <w:szCs w:val="28"/>
          <w:highlight w:val="none"/>
        </w:rPr>
        <w:t>2018</w:t>
      </w:r>
      <w:r>
        <w:rPr>
          <w:rFonts w:hint="eastAsia" w:ascii="宋体" w:hAnsi="宋体" w:cs="宋体"/>
          <w:b/>
          <w:bCs/>
          <w:color w:val="auto"/>
          <w:sz w:val="28"/>
          <w:szCs w:val="28"/>
          <w:highlight w:val="none"/>
        </w:rPr>
        <w:t>版）投标报价格式编制）</w:t>
      </w:r>
      <w:bookmarkEnd w:id="162"/>
    </w:p>
    <w:p>
      <w:pPr>
        <w:spacing w:line="200" w:lineRule="exact"/>
        <w:rPr>
          <w:rFonts w:ascii="宋体" w:cs="宋体"/>
          <w:color w:val="auto"/>
          <w:sz w:val="20"/>
          <w:szCs w:val="20"/>
          <w:highlight w:val="none"/>
        </w:rPr>
      </w:pPr>
    </w:p>
    <w:p>
      <w:pPr>
        <w:snapToGrid w:val="0"/>
        <w:spacing w:line="300" w:lineRule="exact"/>
        <w:rPr>
          <w:rFonts w:ascii="宋体" w:cs="宋体"/>
          <w:bCs/>
          <w:color w:val="auto"/>
          <w:kern w:val="10"/>
          <w:sz w:val="21"/>
          <w:szCs w:val="21"/>
          <w:highlight w:val="none"/>
          <w:u w:val="single"/>
        </w:rPr>
      </w:pPr>
      <w:r>
        <w:rPr>
          <w:rFonts w:hint="eastAsia" w:ascii="宋体" w:hAnsi="宋体" w:cs="宋体"/>
          <w:b/>
          <w:bCs/>
          <w:color w:val="auto"/>
          <w:sz w:val="21"/>
          <w:szCs w:val="21"/>
          <w:highlight w:val="none"/>
        </w:rPr>
        <w:t>▲</w:t>
      </w:r>
      <w:r>
        <w:rPr>
          <w:rFonts w:hint="eastAsia" w:ascii="宋体" w:hAnsi="宋体" w:cs="宋体"/>
          <w:b/>
          <w:color w:val="auto"/>
          <w:sz w:val="21"/>
          <w:szCs w:val="21"/>
          <w:highlight w:val="none"/>
        </w:rPr>
        <w:t>造价人员签字及盖章要求：</w:t>
      </w:r>
      <w:r>
        <w:rPr>
          <w:rFonts w:hint="eastAsia" w:ascii="宋体" w:hAnsi="宋体" w:cs="宋体"/>
          <w:bCs/>
          <w:color w:val="auto"/>
          <w:kern w:val="10"/>
          <w:sz w:val="21"/>
          <w:szCs w:val="21"/>
          <w:highlight w:val="none"/>
          <w:u w:val="single"/>
        </w:rPr>
        <w:t>根据国家住建部、省级造价主管部门对造价从业人员执业管理的相关法律法规规定以及国标计价规范的规定，报价的编制必须遵守以下规定：</w:t>
      </w:r>
    </w:p>
    <w:p>
      <w:pPr>
        <w:snapToGrid w:val="0"/>
        <w:spacing w:line="300" w:lineRule="exact"/>
        <w:rPr>
          <w:rFonts w:ascii="宋体" w:cs="宋体"/>
          <w:bCs/>
          <w:color w:val="auto"/>
          <w:kern w:val="10"/>
          <w:sz w:val="21"/>
          <w:szCs w:val="21"/>
          <w:highlight w:val="none"/>
          <w:u w:val="single"/>
        </w:rPr>
      </w:pPr>
      <w:r>
        <w:rPr>
          <w:rFonts w:hint="eastAsia" w:ascii="宋体" w:hAnsi="宋体" w:cs="宋体"/>
          <w:bCs/>
          <w:color w:val="auto"/>
          <w:kern w:val="10"/>
          <w:sz w:val="21"/>
          <w:szCs w:val="21"/>
          <w:highlight w:val="none"/>
          <w:u w:val="single"/>
        </w:rPr>
        <w:t>（</w:t>
      </w:r>
      <w:r>
        <w:rPr>
          <w:rFonts w:ascii="宋体" w:hAnsi="宋体" w:cs="宋体"/>
          <w:bCs/>
          <w:color w:val="auto"/>
          <w:kern w:val="10"/>
          <w:sz w:val="21"/>
          <w:szCs w:val="21"/>
          <w:highlight w:val="none"/>
          <w:u w:val="single"/>
        </w:rPr>
        <w:t>1</w:t>
      </w:r>
      <w:r>
        <w:rPr>
          <w:rFonts w:hint="eastAsia" w:ascii="宋体" w:hAnsi="宋体" w:cs="宋体"/>
          <w:bCs/>
          <w:color w:val="auto"/>
          <w:kern w:val="10"/>
          <w:sz w:val="21"/>
          <w:szCs w:val="21"/>
          <w:highlight w:val="none"/>
          <w:u w:val="single"/>
        </w:rPr>
        <w:t>）报价应由供应商或受其委托具有相应资质的工程造价咨询人编制。供应商委托具有相应资质的工程造价咨询人编制报价书的，响应文件中应附情况说明、委托编制报价的咨询合同书及工程造价咨询人的咨询资质等级证书等。</w:t>
      </w:r>
    </w:p>
    <w:p>
      <w:pPr>
        <w:snapToGrid w:val="0"/>
        <w:spacing w:line="300" w:lineRule="exact"/>
        <w:rPr>
          <w:rFonts w:ascii="宋体" w:cs="宋体"/>
          <w:bCs/>
          <w:color w:val="auto"/>
          <w:kern w:val="10"/>
          <w:sz w:val="21"/>
          <w:szCs w:val="21"/>
          <w:highlight w:val="none"/>
          <w:u w:val="single"/>
        </w:rPr>
      </w:pPr>
      <w:r>
        <w:rPr>
          <w:rFonts w:hint="eastAsia" w:ascii="宋体" w:hAnsi="宋体" w:cs="宋体"/>
          <w:bCs/>
          <w:color w:val="auto"/>
          <w:kern w:val="10"/>
          <w:sz w:val="21"/>
          <w:szCs w:val="21"/>
          <w:highlight w:val="none"/>
          <w:u w:val="single"/>
        </w:rPr>
        <w:t>（</w:t>
      </w:r>
      <w:r>
        <w:rPr>
          <w:rFonts w:ascii="宋体" w:hAnsi="宋体" w:cs="宋体"/>
          <w:bCs/>
          <w:color w:val="auto"/>
          <w:kern w:val="10"/>
          <w:sz w:val="21"/>
          <w:szCs w:val="21"/>
          <w:highlight w:val="none"/>
          <w:u w:val="single"/>
        </w:rPr>
        <w:t>2</w:t>
      </w:r>
      <w:r>
        <w:rPr>
          <w:rFonts w:hint="eastAsia" w:ascii="宋体" w:hAnsi="宋体" w:cs="宋体"/>
          <w:bCs/>
          <w:color w:val="auto"/>
          <w:kern w:val="10"/>
          <w:sz w:val="21"/>
          <w:szCs w:val="21"/>
          <w:highlight w:val="none"/>
          <w:u w:val="single"/>
        </w:rPr>
        <w:t>）如报价由供应商编制，编制人员必须是在编制单位注册的造价工程师，并由其签字并盖执业专用章；</w:t>
      </w:r>
    </w:p>
    <w:p>
      <w:pPr>
        <w:snapToGrid w:val="0"/>
        <w:spacing w:line="300" w:lineRule="exact"/>
        <w:rPr>
          <w:rFonts w:ascii="宋体" w:cs="宋体"/>
          <w:bCs/>
          <w:color w:val="auto"/>
          <w:kern w:val="10"/>
          <w:sz w:val="21"/>
          <w:szCs w:val="21"/>
          <w:highlight w:val="none"/>
          <w:u w:val="single"/>
        </w:rPr>
      </w:pPr>
      <w:r>
        <w:rPr>
          <w:rFonts w:hint="eastAsia" w:ascii="宋体" w:hAnsi="宋体" w:cs="宋体"/>
          <w:bCs/>
          <w:color w:val="auto"/>
          <w:kern w:val="10"/>
          <w:sz w:val="21"/>
          <w:szCs w:val="21"/>
          <w:highlight w:val="none"/>
          <w:u w:val="single"/>
        </w:rPr>
        <w:t>（</w:t>
      </w:r>
      <w:r>
        <w:rPr>
          <w:rFonts w:ascii="宋体" w:hAnsi="宋体" w:cs="宋体"/>
          <w:bCs/>
          <w:color w:val="auto"/>
          <w:kern w:val="10"/>
          <w:sz w:val="21"/>
          <w:szCs w:val="21"/>
          <w:highlight w:val="none"/>
          <w:u w:val="single"/>
        </w:rPr>
        <w:t>3</w:t>
      </w:r>
      <w:r>
        <w:rPr>
          <w:rFonts w:hint="eastAsia" w:ascii="宋体" w:hAnsi="宋体" w:cs="宋体"/>
          <w:bCs/>
          <w:color w:val="auto"/>
          <w:kern w:val="10"/>
          <w:sz w:val="21"/>
          <w:szCs w:val="21"/>
          <w:highlight w:val="none"/>
          <w:u w:val="single"/>
        </w:rPr>
        <w:t>）如报价由供应商委托具有相应资质的工程造价咨询人编制的，编制人员必须是在编制单位注册的造价工程师，并由编制人员签字和盖执业专用章，且由本单位其他注册造价工程师复核，在成果文件相应位置签字并盖执业专用章；</w:t>
      </w:r>
    </w:p>
    <w:p>
      <w:pPr>
        <w:snapToGrid w:val="0"/>
        <w:spacing w:line="300" w:lineRule="exact"/>
        <w:rPr>
          <w:rFonts w:ascii="宋体" w:cs="宋体"/>
          <w:bCs/>
          <w:color w:val="auto"/>
          <w:kern w:val="10"/>
          <w:sz w:val="21"/>
          <w:szCs w:val="21"/>
          <w:highlight w:val="none"/>
          <w:u w:val="single"/>
        </w:rPr>
      </w:pPr>
      <w:r>
        <w:rPr>
          <w:rFonts w:hint="eastAsia" w:ascii="宋体" w:hAnsi="宋体" w:cs="宋体"/>
          <w:bCs/>
          <w:color w:val="auto"/>
          <w:kern w:val="10"/>
          <w:sz w:val="21"/>
          <w:szCs w:val="21"/>
          <w:highlight w:val="none"/>
          <w:u w:val="single"/>
        </w:rPr>
        <w:t>（</w:t>
      </w:r>
      <w:r>
        <w:rPr>
          <w:rFonts w:ascii="宋体" w:hAnsi="宋体" w:cs="宋体"/>
          <w:bCs/>
          <w:color w:val="auto"/>
          <w:kern w:val="10"/>
          <w:sz w:val="21"/>
          <w:szCs w:val="21"/>
          <w:highlight w:val="none"/>
          <w:u w:val="single"/>
        </w:rPr>
        <w:t>4</w:t>
      </w:r>
      <w:r>
        <w:rPr>
          <w:rFonts w:hint="eastAsia" w:ascii="宋体" w:hAnsi="宋体" w:cs="宋体"/>
          <w:bCs/>
          <w:color w:val="auto"/>
          <w:kern w:val="10"/>
          <w:sz w:val="21"/>
          <w:szCs w:val="21"/>
          <w:highlight w:val="none"/>
          <w:u w:val="single"/>
        </w:rPr>
        <w:t>）报价文件不得由供应商的造价人员和受委托的咨询公司的造价人员混合编审，报价文件封面所盖的造价工程师只能是同一单位人员；</w:t>
      </w:r>
    </w:p>
    <w:p>
      <w:pPr>
        <w:spacing w:line="296" w:lineRule="exact"/>
        <w:rPr>
          <w:rFonts w:ascii="宋体" w:cs="宋体"/>
          <w:color w:val="auto"/>
          <w:sz w:val="20"/>
          <w:szCs w:val="20"/>
          <w:highlight w:val="none"/>
          <w:u w:val="single"/>
        </w:rPr>
      </w:pPr>
      <w:r>
        <w:rPr>
          <w:rFonts w:hint="eastAsia" w:ascii="宋体" w:hAnsi="宋体" w:cs="宋体"/>
          <w:bCs/>
          <w:color w:val="auto"/>
          <w:kern w:val="10"/>
          <w:sz w:val="21"/>
          <w:szCs w:val="21"/>
          <w:highlight w:val="none"/>
          <w:u w:val="single"/>
        </w:rPr>
        <w:t>工程造价咨询人不得同时接受采购人和供应商对同一工程的控制价和报价的编制。</w:t>
      </w:r>
    </w:p>
    <w:p>
      <w:pPr>
        <w:spacing w:line="366" w:lineRule="exact"/>
        <w:jc w:val="center"/>
        <w:rPr>
          <w:rFonts w:ascii="宋体" w:cs="宋体"/>
          <w:b/>
          <w:bCs/>
          <w:color w:val="auto"/>
          <w:sz w:val="28"/>
          <w:szCs w:val="28"/>
          <w:highlight w:val="none"/>
        </w:rPr>
      </w:pPr>
      <w:bookmarkStart w:id="163" w:name="page73"/>
      <w:bookmarkEnd w:id="163"/>
    </w:p>
    <w:p>
      <w:pPr>
        <w:spacing w:line="366" w:lineRule="exact"/>
        <w:jc w:val="center"/>
        <w:rPr>
          <w:rFonts w:ascii="宋体" w:cs="宋体"/>
          <w:b/>
          <w:bCs/>
          <w:color w:val="auto"/>
          <w:sz w:val="28"/>
          <w:szCs w:val="28"/>
          <w:highlight w:val="none"/>
        </w:rPr>
      </w:pPr>
    </w:p>
    <w:p>
      <w:pPr>
        <w:spacing w:line="366" w:lineRule="exact"/>
        <w:jc w:val="center"/>
        <w:rPr>
          <w:rFonts w:ascii="宋体" w:cs="宋体"/>
          <w:b/>
          <w:bCs/>
          <w:color w:val="auto"/>
          <w:sz w:val="28"/>
          <w:szCs w:val="28"/>
          <w:highlight w:val="none"/>
        </w:rPr>
      </w:pPr>
    </w:p>
    <w:p>
      <w:pPr>
        <w:spacing w:line="366" w:lineRule="exact"/>
        <w:jc w:val="center"/>
        <w:rPr>
          <w:rFonts w:asci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四、中小企业（小型、微型）、监狱企业、残疾人福利性单位声明函及其相关的充分的证明材料</w:t>
      </w:r>
    </w:p>
    <w:p>
      <w:pPr>
        <w:spacing w:line="169" w:lineRule="exact"/>
        <w:rPr>
          <w:rFonts w:ascii="宋体" w:cs="宋体"/>
          <w:color w:val="auto"/>
          <w:sz w:val="20"/>
          <w:szCs w:val="20"/>
          <w:highlight w:val="none"/>
        </w:rPr>
      </w:pPr>
    </w:p>
    <w:p>
      <w:pPr>
        <w:spacing w:line="366" w:lineRule="exact"/>
        <w:jc w:val="center"/>
        <w:rPr>
          <w:rFonts w:ascii="宋体" w:cs="宋体"/>
          <w:b/>
          <w:bCs/>
          <w:color w:val="auto"/>
          <w:sz w:val="24"/>
          <w:szCs w:val="24"/>
          <w:highlight w:val="none"/>
        </w:rPr>
      </w:pPr>
      <w:r>
        <w:rPr>
          <w:rFonts w:hint="eastAsia" w:ascii="宋体" w:hAnsi="宋体" w:cs="宋体"/>
          <w:b/>
          <w:bCs/>
          <w:color w:val="auto"/>
          <w:sz w:val="24"/>
          <w:szCs w:val="24"/>
          <w:highlight w:val="none"/>
        </w:rPr>
        <w:t>中小企业声明函</w:t>
      </w:r>
    </w:p>
    <w:p>
      <w:pPr>
        <w:spacing w:line="259" w:lineRule="exact"/>
        <w:rPr>
          <w:rFonts w:ascii="宋体" w:cs="宋体"/>
          <w:color w:val="auto"/>
          <w:sz w:val="24"/>
          <w:szCs w:val="24"/>
          <w:highlight w:val="none"/>
        </w:rPr>
      </w:pPr>
    </w:p>
    <w:p>
      <w:pPr>
        <w:spacing w:line="366" w:lineRule="exact"/>
        <w:jc w:val="center"/>
        <w:rPr>
          <w:rFonts w:ascii="宋体" w:cs="宋体"/>
          <w:b/>
          <w:bCs/>
          <w:color w:val="auto"/>
          <w:sz w:val="28"/>
          <w:szCs w:val="28"/>
          <w:highlight w:val="none"/>
        </w:rPr>
      </w:pPr>
      <w:r>
        <w:rPr>
          <w:rFonts w:hint="eastAsia" w:ascii="宋体" w:hAnsi="宋体" w:cs="宋体"/>
          <w:b/>
          <w:bCs/>
          <w:color w:val="auto"/>
          <w:sz w:val="24"/>
          <w:szCs w:val="24"/>
          <w:highlight w:val="none"/>
        </w:rPr>
        <w:t>（非小微企业不用提供）</w:t>
      </w:r>
    </w:p>
    <w:p>
      <w:pPr>
        <w:spacing w:line="288" w:lineRule="exact"/>
        <w:rPr>
          <w:rFonts w:ascii="宋体" w:cs="宋体"/>
          <w:color w:val="auto"/>
          <w:sz w:val="20"/>
          <w:szCs w:val="20"/>
          <w:highlight w:val="none"/>
        </w:rPr>
      </w:pPr>
    </w:p>
    <w:p>
      <w:pPr>
        <w:spacing w:line="342" w:lineRule="exact"/>
        <w:ind w:left="360" w:right="306" w:firstLine="420"/>
        <w:jc w:val="both"/>
        <w:rPr>
          <w:rFonts w:ascii="宋体" w:cs="宋体"/>
          <w:color w:val="auto"/>
          <w:sz w:val="20"/>
          <w:szCs w:val="20"/>
          <w:highlight w:val="none"/>
        </w:rPr>
      </w:pPr>
      <w:r>
        <w:rPr>
          <w:rFonts w:hint="eastAsia" w:ascii="宋体" w:hAnsi="宋体" w:cs="宋体"/>
          <w:color w:val="auto"/>
          <w:sz w:val="21"/>
          <w:szCs w:val="21"/>
          <w:highlight w:val="none"/>
        </w:rPr>
        <w:t>本企业郑重声明，根据《政府采购促进中小企业发展暂行办法》（财库</w:t>
      </w:r>
      <w:r>
        <w:rPr>
          <w:rFonts w:ascii="宋体" w:hAnsi="宋体" w:cs="宋体"/>
          <w:color w:val="auto"/>
          <w:sz w:val="21"/>
          <w:szCs w:val="21"/>
          <w:highlight w:val="none"/>
        </w:rPr>
        <w:t xml:space="preserve">[2011]181 </w:t>
      </w:r>
      <w:r>
        <w:rPr>
          <w:rFonts w:hint="eastAsia" w:ascii="宋体" w:hAnsi="宋体" w:cs="宋体"/>
          <w:color w:val="auto"/>
          <w:sz w:val="21"/>
          <w:szCs w:val="21"/>
          <w:highlight w:val="none"/>
        </w:rPr>
        <w:t>号）的规定，本企业为（填写行业）（请填写：小型、微型）企业。即，本企业同时满足以下条件：</w:t>
      </w:r>
    </w:p>
    <w:p>
      <w:pPr>
        <w:spacing w:line="203" w:lineRule="exact"/>
        <w:rPr>
          <w:rFonts w:ascii="宋体" w:cs="宋体"/>
          <w:color w:val="auto"/>
          <w:sz w:val="20"/>
          <w:szCs w:val="20"/>
          <w:highlight w:val="none"/>
        </w:rPr>
      </w:pPr>
    </w:p>
    <w:p>
      <w:pPr>
        <w:spacing w:line="341" w:lineRule="exact"/>
        <w:ind w:left="360" w:right="346" w:firstLine="420"/>
        <w:jc w:val="both"/>
        <w:rPr>
          <w:rFonts w:ascii="宋体" w:cs="宋体"/>
          <w:color w:val="auto"/>
          <w:sz w:val="20"/>
          <w:szCs w:val="20"/>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根据《工业和信息化部、国家统计局、国家发展和改革委员会、财政部关于印发中小企业划型标准规定的通知》（工信部联企业</w:t>
      </w:r>
      <w:r>
        <w:rPr>
          <w:rFonts w:ascii="宋体" w:hAnsi="宋体" w:cs="宋体"/>
          <w:color w:val="auto"/>
          <w:sz w:val="21"/>
          <w:szCs w:val="21"/>
          <w:highlight w:val="none"/>
        </w:rPr>
        <w:t xml:space="preserve">[2011]300 </w:t>
      </w:r>
      <w:r>
        <w:rPr>
          <w:rFonts w:hint="eastAsia" w:ascii="宋体" w:hAnsi="宋体" w:cs="宋体"/>
          <w:color w:val="auto"/>
          <w:sz w:val="21"/>
          <w:szCs w:val="21"/>
          <w:highlight w:val="none"/>
        </w:rPr>
        <w:t>号）规定的划分标准，本企业为</w:t>
      </w:r>
      <w:r>
        <w:rPr>
          <w:rFonts w:ascii="宋体" w:hAnsi="宋体" w:cs="宋体"/>
          <w:color w:val="auto"/>
          <w:sz w:val="21"/>
          <w:szCs w:val="21"/>
          <w:highlight w:val="none"/>
        </w:rPr>
        <w:t>______</w:t>
      </w:r>
      <w:r>
        <w:rPr>
          <w:rFonts w:hint="eastAsia" w:ascii="宋体" w:hAnsi="宋体" w:cs="宋体"/>
          <w:color w:val="auto"/>
          <w:sz w:val="21"/>
          <w:szCs w:val="21"/>
          <w:highlight w:val="none"/>
        </w:rPr>
        <w:t>（请填写：小型、微型）企业。</w:t>
      </w:r>
    </w:p>
    <w:p>
      <w:pPr>
        <w:spacing w:line="203" w:lineRule="exact"/>
        <w:rPr>
          <w:rFonts w:ascii="宋体" w:cs="宋体"/>
          <w:color w:val="auto"/>
          <w:sz w:val="20"/>
          <w:szCs w:val="20"/>
          <w:highlight w:val="none"/>
        </w:rPr>
      </w:pPr>
    </w:p>
    <w:p>
      <w:pPr>
        <w:spacing w:line="359" w:lineRule="exact"/>
        <w:ind w:left="360" w:right="266" w:firstLine="420"/>
        <w:jc w:val="both"/>
        <w:rPr>
          <w:rFonts w:ascii="宋体" w:cs="宋体"/>
          <w:color w:val="auto"/>
          <w:sz w:val="20"/>
          <w:szCs w:val="20"/>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本企业参加</w:t>
      </w:r>
      <w:r>
        <w:rPr>
          <w:rFonts w:ascii="宋体" w:hAnsi="宋体" w:cs="宋体"/>
          <w:color w:val="auto"/>
          <w:sz w:val="21"/>
          <w:szCs w:val="21"/>
          <w:highlight w:val="none"/>
        </w:rPr>
        <w:t>______</w:t>
      </w:r>
      <w:r>
        <w:rPr>
          <w:rFonts w:hint="eastAsia" w:ascii="宋体" w:hAnsi="宋体" w:cs="宋体"/>
          <w:color w:val="auto"/>
          <w:sz w:val="21"/>
          <w:szCs w:val="21"/>
          <w:highlight w:val="none"/>
        </w:rPr>
        <w:t>（采购人）的</w:t>
      </w:r>
      <w:r>
        <w:rPr>
          <w:rFonts w:ascii="宋体" w:hAnsi="宋体" w:cs="宋体"/>
          <w:color w:val="auto"/>
          <w:sz w:val="21"/>
          <w:szCs w:val="21"/>
          <w:highlight w:val="none"/>
        </w:rPr>
        <w:t>______</w:t>
      </w:r>
      <w:r>
        <w:rPr>
          <w:rFonts w:hint="eastAsia" w:ascii="宋体" w:hAnsi="宋体" w:cs="宋体"/>
          <w:color w:val="auto"/>
          <w:sz w:val="21"/>
          <w:szCs w:val="21"/>
          <w:highlight w:val="none"/>
        </w:rPr>
        <w:t>（项目名称）</w:t>
      </w:r>
      <w:r>
        <w:rPr>
          <w:rFonts w:ascii="宋体" w:hAnsi="宋体" w:cs="宋体"/>
          <w:color w:val="auto"/>
          <w:sz w:val="21"/>
          <w:szCs w:val="21"/>
          <w:highlight w:val="none"/>
        </w:rPr>
        <w:t>______</w:t>
      </w:r>
      <w:r>
        <w:rPr>
          <w:rFonts w:hint="eastAsia" w:ascii="宋体" w:hAnsi="宋体" w:cs="宋体"/>
          <w:color w:val="auto"/>
          <w:sz w:val="21"/>
          <w:szCs w:val="21"/>
          <w:highlight w:val="none"/>
        </w:rPr>
        <w:t>（标项名称）采购活动，所提供的货物为本企业制造的货物，或者由其他</w:t>
      </w:r>
      <w:r>
        <w:rPr>
          <w:rFonts w:ascii="宋体" w:hAnsi="宋体" w:cs="宋体"/>
          <w:color w:val="auto"/>
          <w:sz w:val="21"/>
          <w:szCs w:val="21"/>
          <w:highlight w:val="none"/>
        </w:rPr>
        <w:t>______</w:t>
      </w:r>
      <w:r>
        <w:rPr>
          <w:rFonts w:hint="eastAsia" w:ascii="宋体" w:hAnsi="宋体" w:cs="宋体"/>
          <w:color w:val="auto"/>
          <w:sz w:val="21"/>
          <w:szCs w:val="21"/>
          <w:highlight w:val="none"/>
        </w:rPr>
        <w:t>（请填写：小型、微型）企业制造（制造商的中小企业声明函另附）。本项所称货物不包括使用大型企业注册商标的货物及进口货物。</w:t>
      </w:r>
    </w:p>
    <w:p>
      <w:pPr>
        <w:spacing w:line="169" w:lineRule="exact"/>
        <w:rPr>
          <w:rFonts w:ascii="宋体" w:cs="宋体"/>
          <w:color w:val="auto"/>
          <w:sz w:val="20"/>
          <w:szCs w:val="20"/>
          <w:highlight w:val="none"/>
        </w:rPr>
      </w:pPr>
    </w:p>
    <w:p>
      <w:pPr>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本企业对上述声明的真实性负责。如有虚假，将依法承担相应责任。</w:t>
      </w:r>
    </w:p>
    <w:p>
      <w:pPr>
        <w:spacing w:line="200" w:lineRule="exact"/>
        <w:rPr>
          <w:rFonts w:ascii="宋体" w:cs="宋体"/>
          <w:color w:val="auto"/>
          <w:sz w:val="20"/>
          <w:szCs w:val="20"/>
          <w:highlight w:val="none"/>
        </w:rPr>
      </w:pPr>
    </w:p>
    <w:p>
      <w:pPr>
        <w:spacing w:line="379" w:lineRule="exact"/>
        <w:rPr>
          <w:rFonts w:ascii="宋体" w:cs="宋体"/>
          <w:color w:val="auto"/>
          <w:sz w:val="20"/>
          <w:szCs w:val="20"/>
          <w:highlight w:val="none"/>
        </w:rPr>
      </w:pPr>
    </w:p>
    <w:p>
      <w:pPr>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供应商全称（盖章）：</w:t>
      </w:r>
    </w:p>
    <w:p>
      <w:pPr>
        <w:spacing w:line="168" w:lineRule="exact"/>
        <w:rPr>
          <w:rFonts w:ascii="宋体" w:cs="宋体"/>
          <w:color w:val="auto"/>
          <w:sz w:val="20"/>
          <w:szCs w:val="20"/>
          <w:highlight w:val="none"/>
        </w:rPr>
      </w:pPr>
    </w:p>
    <w:p>
      <w:pPr>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日期：年月日</w:t>
      </w:r>
    </w:p>
    <w:p>
      <w:pPr>
        <w:spacing w:line="200" w:lineRule="exact"/>
        <w:rPr>
          <w:rFonts w:ascii="宋体" w:cs="宋体"/>
          <w:color w:val="auto"/>
          <w:sz w:val="20"/>
          <w:szCs w:val="20"/>
          <w:highlight w:val="none"/>
        </w:rPr>
      </w:pPr>
    </w:p>
    <w:p>
      <w:pPr>
        <w:spacing w:line="376" w:lineRule="exact"/>
        <w:rPr>
          <w:rFonts w:ascii="宋体" w:cs="宋体"/>
          <w:color w:val="auto"/>
          <w:sz w:val="20"/>
          <w:szCs w:val="20"/>
          <w:highlight w:val="none"/>
        </w:rPr>
      </w:pPr>
    </w:p>
    <w:p>
      <w:pPr>
        <w:ind w:left="840"/>
        <w:rPr>
          <w:rFonts w:ascii="宋体" w:cs="宋体"/>
          <w:color w:val="auto"/>
          <w:sz w:val="20"/>
          <w:szCs w:val="20"/>
          <w:highlight w:val="none"/>
        </w:rPr>
      </w:pPr>
      <w:r>
        <w:rPr>
          <w:rFonts w:hint="eastAsia" w:ascii="宋体" w:hAnsi="宋体" w:cs="宋体"/>
          <w:color w:val="auto"/>
          <w:sz w:val="21"/>
          <w:szCs w:val="21"/>
          <w:highlight w:val="none"/>
        </w:rPr>
        <w:t>说明：</w:t>
      </w:r>
    </w:p>
    <w:p>
      <w:pPr>
        <w:rPr>
          <w:rFonts w:ascii="宋体" w:cs="宋体"/>
          <w:color w:val="auto"/>
          <w:sz w:val="20"/>
          <w:szCs w:val="20"/>
          <w:highlight w:val="none"/>
        </w:rPr>
      </w:pPr>
    </w:p>
    <w:p>
      <w:pPr>
        <w:ind w:left="360"/>
        <w:rPr>
          <w:rFonts w:ascii="宋体" w:cs="宋体"/>
          <w:color w:val="auto"/>
          <w:sz w:val="20"/>
          <w:szCs w:val="20"/>
          <w:highlight w:val="none"/>
          <w:u w:val="single"/>
        </w:rPr>
      </w:pPr>
      <w:r>
        <w:rPr>
          <w:rFonts w:ascii="宋体" w:hAnsi="宋体" w:cs="宋体"/>
          <w:color w:val="auto"/>
          <w:sz w:val="21"/>
          <w:szCs w:val="21"/>
          <w:highlight w:val="none"/>
          <w:u w:val="single"/>
        </w:rPr>
        <w:t>1</w:t>
      </w:r>
      <w:r>
        <w:rPr>
          <w:rFonts w:hint="eastAsia" w:ascii="宋体" w:hAnsi="宋体" w:cs="宋体"/>
          <w:color w:val="auto"/>
          <w:sz w:val="21"/>
          <w:szCs w:val="21"/>
          <w:highlight w:val="none"/>
          <w:u w:val="single"/>
        </w:rPr>
        <w:t>）投标人为小型、微型企业的提供此函。</w:t>
      </w:r>
    </w:p>
    <w:p>
      <w:pPr>
        <w:ind w:left="360" w:right="346"/>
        <w:jc w:val="both"/>
        <w:rPr>
          <w:rFonts w:ascii="宋体" w:cs="宋体"/>
          <w:color w:val="auto"/>
          <w:sz w:val="20"/>
          <w:szCs w:val="20"/>
          <w:highlight w:val="none"/>
          <w:u w:val="single"/>
        </w:rPr>
      </w:pPr>
      <w:r>
        <w:rPr>
          <w:rFonts w:ascii="宋体" w:hAnsi="宋体" w:cs="宋体"/>
          <w:color w:val="auto"/>
          <w:sz w:val="21"/>
          <w:szCs w:val="21"/>
          <w:highlight w:val="none"/>
          <w:u w:val="single"/>
        </w:rPr>
        <w:t>2</w:t>
      </w:r>
      <w:r>
        <w:rPr>
          <w:rFonts w:hint="eastAsia" w:ascii="宋体" w:hAnsi="宋体" w:cs="宋体"/>
          <w:color w:val="auto"/>
          <w:sz w:val="21"/>
          <w:szCs w:val="21"/>
          <w:highlight w:val="none"/>
          <w:u w:val="single"/>
        </w:rPr>
        <w:t>）所投标项内的产品如由多个企业制造的，在填写企业类型时，按产品生产企业中规模最大的企业类型填写。</w:t>
      </w:r>
    </w:p>
    <w:p>
      <w:pPr>
        <w:ind w:left="360" w:right="346"/>
        <w:jc w:val="both"/>
        <w:rPr>
          <w:rFonts w:ascii="宋体" w:cs="宋体"/>
          <w:color w:val="auto"/>
          <w:sz w:val="20"/>
          <w:szCs w:val="20"/>
          <w:highlight w:val="none"/>
          <w:u w:val="single"/>
        </w:rPr>
      </w:pPr>
      <w:r>
        <w:rPr>
          <w:rFonts w:ascii="宋体" w:hAnsi="宋体" w:cs="宋体"/>
          <w:color w:val="auto"/>
          <w:sz w:val="21"/>
          <w:szCs w:val="21"/>
          <w:highlight w:val="none"/>
          <w:u w:val="single"/>
        </w:rPr>
        <w:t>3</w:t>
      </w:r>
      <w:r>
        <w:rPr>
          <w:rFonts w:hint="eastAsia" w:ascii="宋体" w:hAnsi="宋体" w:cs="宋体"/>
          <w:color w:val="auto"/>
          <w:sz w:val="21"/>
          <w:szCs w:val="21"/>
          <w:highlight w:val="none"/>
          <w:u w:val="single"/>
        </w:rPr>
        <w:t>）代理商投标，提供投标人及产品制造商出具的《中小企业声明函》及其相关的充分的证明材料。</w:t>
      </w:r>
    </w:p>
    <w:p>
      <w:pPr>
        <w:ind w:left="360" w:right="346"/>
        <w:jc w:val="both"/>
        <w:rPr>
          <w:rFonts w:ascii="宋体" w:cs="宋体"/>
          <w:color w:val="auto"/>
          <w:sz w:val="20"/>
          <w:szCs w:val="20"/>
          <w:highlight w:val="none"/>
          <w:u w:val="single"/>
        </w:rPr>
      </w:pPr>
      <w:r>
        <w:rPr>
          <w:rFonts w:ascii="宋体" w:hAnsi="宋体" w:cs="宋体"/>
          <w:color w:val="auto"/>
          <w:sz w:val="21"/>
          <w:szCs w:val="21"/>
          <w:highlight w:val="none"/>
          <w:u w:val="single"/>
        </w:rPr>
        <w:t>4</w:t>
      </w:r>
      <w:r>
        <w:rPr>
          <w:rFonts w:hint="eastAsia" w:ascii="宋体" w:hAnsi="宋体" w:cs="宋体"/>
          <w:color w:val="auto"/>
          <w:sz w:val="21"/>
          <w:szCs w:val="21"/>
          <w:highlight w:val="none"/>
          <w:u w:val="single"/>
        </w:rPr>
        <w:t>）投标产品制造商投标，提供投标人出具的《中小企业声明函》及其相关的充分的证明材料。</w:t>
      </w:r>
    </w:p>
    <w:p>
      <w:pPr>
        <w:ind w:left="360"/>
        <w:rPr>
          <w:rFonts w:ascii="宋体" w:cs="宋体"/>
          <w:color w:val="auto"/>
          <w:sz w:val="20"/>
          <w:szCs w:val="20"/>
          <w:highlight w:val="none"/>
          <w:u w:val="single"/>
        </w:rPr>
      </w:pPr>
      <w:r>
        <w:rPr>
          <w:rFonts w:ascii="宋体" w:hAnsi="宋体" w:cs="宋体"/>
          <w:color w:val="auto"/>
          <w:sz w:val="21"/>
          <w:szCs w:val="21"/>
          <w:highlight w:val="none"/>
          <w:u w:val="single"/>
        </w:rPr>
        <w:t>5</w:t>
      </w:r>
      <w:r>
        <w:rPr>
          <w:rFonts w:hint="eastAsia" w:ascii="宋体" w:hAnsi="宋体" w:cs="宋体"/>
          <w:color w:val="auto"/>
          <w:sz w:val="21"/>
          <w:szCs w:val="21"/>
          <w:highlight w:val="none"/>
          <w:u w:val="single"/>
        </w:rPr>
        <w:t>）为浙江省政府采购网正式入库供应商的证明材料。</w:t>
      </w:r>
    </w:p>
    <w:p>
      <w:pPr>
        <w:ind w:left="360" w:right="346"/>
        <w:jc w:val="both"/>
        <w:rPr>
          <w:rFonts w:ascii="宋体" w:cs="宋体"/>
          <w:color w:val="auto"/>
          <w:sz w:val="20"/>
          <w:szCs w:val="20"/>
          <w:highlight w:val="none"/>
        </w:rPr>
      </w:pPr>
      <w:r>
        <w:rPr>
          <w:rFonts w:ascii="宋体" w:hAnsi="宋体" w:cs="宋体"/>
          <w:color w:val="auto"/>
          <w:sz w:val="21"/>
          <w:szCs w:val="21"/>
          <w:highlight w:val="none"/>
          <w:u w:val="single"/>
        </w:rPr>
        <w:t>6</w:t>
      </w:r>
      <w:r>
        <w:rPr>
          <w:rFonts w:hint="eastAsia" w:ascii="宋体" w:hAnsi="宋体" w:cs="宋体"/>
          <w:color w:val="auto"/>
          <w:sz w:val="21"/>
          <w:szCs w:val="21"/>
          <w:highlight w:val="none"/>
          <w:u w:val="single"/>
        </w:rPr>
        <w:t>）证明材料为企业在职员工人数（提供社保部门出具并盖章的最近一个月的单位在职员工社保缴纳凭证）、营业收入及资产总额（提供上一年度资产负债表、损益表、现金流量表或财务状况变动表）。也可提供浙江政府采购网中审核通过后显示的小型或微型企业类型信息截图代替。</w: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328" w:lineRule="exact"/>
        <w:rPr>
          <w:rFonts w:ascii="宋体" w:cs="宋体"/>
          <w:color w:val="auto"/>
          <w:sz w:val="20"/>
          <w:szCs w:val="20"/>
          <w:highlight w:val="none"/>
        </w:rPr>
      </w:pPr>
    </w:p>
    <w:p>
      <w:pPr>
        <w:rPr>
          <w:rFonts w:ascii="宋体" w:cs="宋体"/>
          <w:color w:val="auto"/>
          <w:highlight w:val="none"/>
        </w:rPr>
        <w:sectPr>
          <w:pgSz w:w="11900" w:h="16838"/>
          <w:pgMar w:top="1440" w:right="1440" w:bottom="158" w:left="1440" w:header="567" w:footer="567" w:gutter="0"/>
          <w:cols w:equalWidth="0" w:num="1">
            <w:col w:w="9026"/>
          </w:cols>
        </w:sectPr>
      </w:pPr>
    </w:p>
    <w:p>
      <w:pPr>
        <w:spacing w:line="1" w:lineRule="exact"/>
        <w:rPr>
          <w:rFonts w:ascii="宋体" w:cs="宋体"/>
          <w:color w:val="auto"/>
          <w:sz w:val="20"/>
          <w:szCs w:val="20"/>
          <w:highlight w:val="none"/>
        </w:rPr>
      </w:pPr>
      <w:bookmarkStart w:id="164" w:name="page74"/>
      <w:bookmarkEnd w:id="164"/>
    </w:p>
    <w:p>
      <w:pPr>
        <w:spacing w:line="366" w:lineRule="exact"/>
        <w:ind w:right="-13"/>
        <w:jc w:val="center"/>
        <w:rPr>
          <w:rFonts w:ascii="宋体" w:cs="宋体"/>
          <w:color w:val="auto"/>
          <w:sz w:val="24"/>
          <w:szCs w:val="24"/>
          <w:highlight w:val="none"/>
        </w:rPr>
      </w:pPr>
      <w:r>
        <w:rPr>
          <w:rFonts w:hint="eastAsia" w:ascii="宋体" w:hAnsi="宋体" w:cs="宋体"/>
          <w:b/>
          <w:bCs/>
          <w:color w:val="auto"/>
          <w:sz w:val="24"/>
          <w:szCs w:val="24"/>
          <w:highlight w:val="none"/>
        </w:rPr>
        <w:t>监狱企业声明函</w:t>
      </w:r>
    </w:p>
    <w:p>
      <w:pPr>
        <w:spacing w:line="256" w:lineRule="exact"/>
        <w:rPr>
          <w:rFonts w:ascii="宋体" w:cs="宋体"/>
          <w:color w:val="auto"/>
          <w:sz w:val="20"/>
          <w:szCs w:val="20"/>
          <w:highlight w:val="none"/>
        </w:rPr>
      </w:pPr>
    </w:p>
    <w:p>
      <w:pPr>
        <w:spacing w:line="240" w:lineRule="exact"/>
        <w:ind w:right="-13"/>
        <w:jc w:val="center"/>
        <w:rPr>
          <w:rFonts w:ascii="宋体" w:cs="宋体"/>
          <w:color w:val="auto"/>
          <w:sz w:val="20"/>
          <w:szCs w:val="20"/>
          <w:highlight w:val="none"/>
        </w:rPr>
      </w:pPr>
      <w:r>
        <w:rPr>
          <w:rFonts w:hint="eastAsia" w:ascii="宋体" w:hAnsi="宋体" w:cs="宋体"/>
          <w:b/>
          <w:bCs/>
          <w:color w:val="auto"/>
          <w:sz w:val="21"/>
          <w:szCs w:val="21"/>
          <w:highlight w:val="none"/>
          <w:u w:val="single"/>
        </w:rPr>
        <w:t>【不属于监狱企业的无需填写、递交】</w:t>
      </w:r>
    </w:p>
    <w:p>
      <w:pPr>
        <w:spacing w:line="200" w:lineRule="exact"/>
        <w:rPr>
          <w:rFonts w:ascii="宋体" w:cs="宋体"/>
          <w:color w:val="auto"/>
          <w:sz w:val="20"/>
          <w:szCs w:val="20"/>
          <w:highlight w:val="none"/>
        </w:rPr>
      </w:pPr>
    </w:p>
    <w:p>
      <w:pPr>
        <w:spacing w:line="333" w:lineRule="exact"/>
        <w:rPr>
          <w:rFonts w:ascii="宋体" w:cs="宋体"/>
          <w:color w:val="auto"/>
          <w:sz w:val="20"/>
          <w:szCs w:val="20"/>
          <w:highlight w:val="none"/>
        </w:rPr>
      </w:pPr>
    </w:p>
    <w:p>
      <w:pPr>
        <w:spacing w:line="240" w:lineRule="exact"/>
        <w:ind w:right="6"/>
        <w:jc w:val="center"/>
        <w:rPr>
          <w:rFonts w:ascii="宋体" w:cs="宋体"/>
          <w:color w:val="auto"/>
          <w:sz w:val="20"/>
          <w:szCs w:val="20"/>
          <w:highlight w:val="none"/>
        </w:rPr>
      </w:pPr>
      <w:bookmarkStart w:id="165" w:name="_Toc4951_WPSOffice_Level2"/>
      <w:bookmarkStart w:id="166" w:name="_Toc17834_WPSOffice_Level2"/>
      <w:r>
        <w:rPr>
          <w:rFonts w:hint="eastAsia" w:ascii="宋体" w:hAnsi="宋体" w:cs="宋体"/>
          <w:color w:val="auto"/>
          <w:sz w:val="21"/>
          <w:szCs w:val="21"/>
          <w:highlight w:val="none"/>
        </w:rPr>
        <w:t>本企业郑重声明，根据《关于政府采购支持监狱企业发展有关问题的通知》（财库</w:t>
      </w:r>
      <w:bookmarkEnd w:id="165"/>
      <w:bookmarkEnd w:id="166"/>
    </w:p>
    <w:p>
      <w:pPr>
        <w:spacing w:line="168" w:lineRule="exact"/>
        <w:rPr>
          <w:rFonts w:ascii="宋体" w:cs="宋体"/>
          <w:color w:val="auto"/>
          <w:sz w:val="20"/>
          <w:szCs w:val="20"/>
          <w:highlight w:val="none"/>
        </w:rPr>
      </w:pPr>
    </w:p>
    <w:tbl>
      <w:tblPr>
        <w:tblStyle w:val="19"/>
        <w:tblW w:w="8320" w:type="dxa"/>
        <w:tblInd w:w="360" w:type="dxa"/>
        <w:tblLayout w:type="fixed"/>
        <w:tblCellMar>
          <w:top w:w="0" w:type="dxa"/>
          <w:left w:w="0" w:type="dxa"/>
          <w:bottom w:w="0" w:type="dxa"/>
          <w:right w:w="0" w:type="dxa"/>
        </w:tblCellMar>
      </w:tblPr>
      <w:tblGrid>
        <w:gridCol w:w="3000"/>
        <w:gridCol w:w="780"/>
        <w:gridCol w:w="1060"/>
        <w:gridCol w:w="320"/>
        <w:gridCol w:w="840"/>
        <w:gridCol w:w="100"/>
        <w:gridCol w:w="2220"/>
      </w:tblGrid>
      <w:tr>
        <w:tblPrEx>
          <w:tblLayout w:type="fixed"/>
          <w:tblCellMar>
            <w:top w:w="0" w:type="dxa"/>
            <w:left w:w="0" w:type="dxa"/>
            <w:bottom w:w="0" w:type="dxa"/>
            <w:right w:w="0" w:type="dxa"/>
          </w:tblCellMar>
        </w:tblPrEx>
        <w:trPr>
          <w:trHeight w:val="240" w:hRule="atLeast"/>
        </w:trPr>
        <w:tc>
          <w:tcPr>
            <w:tcW w:w="6000" w:type="dxa"/>
            <w:gridSpan w:val="5"/>
            <w:vAlign w:val="bottom"/>
          </w:tcPr>
          <w:p>
            <w:pPr>
              <w:spacing w:line="240" w:lineRule="exact"/>
              <w:rPr>
                <w:rFonts w:ascii="宋体" w:cs="宋体"/>
                <w:color w:val="auto"/>
                <w:sz w:val="20"/>
                <w:szCs w:val="20"/>
                <w:highlight w:val="none"/>
              </w:rPr>
            </w:pPr>
            <w:r>
              <w:rPr>
                <w:rFonts w:ascii="宋体" w:hAnsi="宋体" w:cs="宋体"/>
                <w:color w:val="auto"/>
                <w:sz w:val="21"/>
                <w:szCs w:val="21"/>
                <w:highlight w:val="none"/>
              </w:rPr>
              <w:t xml:space="preserve">[2014]68 </w:t>
            </w:r>
            <w:r>
              <w:rPr>
                <w:rFonts w:hint="eastAsia" w:ascii="宋体" w:hAnsi="宋体" w:cs="宋体"/>
                <w:color w:val="auto"/>
                <w:sz w:val="21"/>
                <w:szCs w:val="21"/>
                <w:highlight w:val="none"/>
              </w:rPr>
              <w:t>号）的规定，本企业为监狱企业。</w:t>
            </w:r>
          </w:p>
        </w:tc>
        <w:tc>
          <w:tcPr>
            <w:tcW w:w="100" w:type="dxa"/>
            <w:vAlign w:val="bottom"/>
          </w:tcPr>
          <w:p>
            <w:pPr>
              <w:rPr>
                <w:rFonts w:ascii="宋体" w:cs="宋体"/>
                <w:color w:val="auto"/>
                <w:sz w:val="20"/>
                <w:szCs w:val="20"/>
                <w:highlight w:val="none"/>
              </w:rPr>
            </w:pPr>
          </w:p>
        </w:tc>
        <w:tc>
          <w:tcPr>
            <w:tcW w:w="2220" w:type="dxa"/>
            <w:vAlign w:val="bottom"/>
          </w:tcPr>
          <w:p>
            <w:pPr>
              <w:rPr>
                <w:rFonts w:ascii="宋体" w:cs="宋体"/>
                <w:color w:val="auto"/>
                <w:sz w:val="20"/>
                <w:szCs w:val="20"/>
                <w:highlight w:val="none"/>
              </w:rPr>
            </w:pPr>
          </w:p>
        </w:tc>
      </w:tr>
      <w:tr>
        <w:tblPrEx>
          <w:tblLayout w:type="fixed"/>
          <w:tblCellMar>
            <w:top w:w="0" w:type="dxa"/>
            <w:left w:w="0" w:type="dxa"/>
            <w:bottom w:w="0" w:type="dxa"/>
            <w:right w:w="0" w:type="dxa"/>
          </w:tblCellMar>
        </w:tblPrEx>
        <w:trPr>
          <w:trHeight w:val="20" w:hRule="atLeast"/>
        </w:trPr>
        <w:tc>
          <w:tcPr>
            <w:tcW w:w="3000" w:type="dxa"/>
            <w:vAlign w:val="bottom"/>
          </w:tcPr>
          <w:p>
            <w:pPr>
              <w:spacing w:line="20" w:lineRule="exact"/>
              <w:rPr>
                <w:rFonts w:ascii="宋体" w:cs="宋体"/>
                <w:color w:val="auto"/>
                <w:sz w:val="2"/>
                <w:szCs w:val="2"/>
                <w:highlight w:val="none"/>
              </w:rPr>
            </w:pPr>
          </w:p>
        </w:tc>
        <w:tc>
          <w:tcPr>
            <w:tcW w:w="780" w:type="dxa"/>
            <w:shd w:val="clear" w:color="auto" w:fill="000000"/>
            <w:vAlign w:val="bottom"/>
          </w:tcPr>
          <w:p>
            <w:pPr>
              <w:spacing w:line="20" w:lineRule="exact"/>
              <w:rPr>
                <w:rFonts w:ascii="宋体" w:cs="宋体"/>
                <w:color w:val="auto"/>
                <w:sz w:val="2"/>
                <w:szCs w:val="2"/>
                <w:highlight w:val="none"/>
              </w:rPr>
            </w:pPr>
          </w:p>
        </w:tc>
        <w:tc>
          <w:tcPr>
            <w:tcW w:w="1060" w:type="dxa"/>
            <w:tcBorders>
              <w:left w:val="single" w:color="auto" w:sz="8" w:space="0"/>
            </w:tcBorders>
            <w:vAlign w:val="bottom"/>
          </w:tcPr>
          <w:p>
            <w:pPr>
              <w:spacing w:line="20" w:lineRule="exact"/>
              <w:rPr>
                <w:rFonts w:ascii="宋体" w:cs="宋体"/>
                <w:color w:val="auto"/>
                <w:sz w:val="2"/>
                <w:szCs w:val="2"/>
                <w:highlight w:val="none"/>
              </w:rPr>
            </w:pPr>
          </w:p>
        </w:tc>
        <w:tc>
          <w:tcPr>
            <w:tcW w:w="320" w:type="dxa"/>
            <w:vAlign w:val="bottom"/>
          </w:tcPr>
          <w:p>
            <w:pPr>
              <w:spacing w:line="20" w:lineRule="exact"/>
              <w:rPr>
                <w:rFonts w:ascii="宋体" w:cs="宋体"/>
                <w:color w:val="auto"/>
                <w:sz w:val="2"/>
                <w:szCs w:val="2"/>
                <w:highlight w:val="none"/>
              </w:rPr>
            </w:pPr>
          </w:p>
        </w:tc>
        <w:tc>
          <w:tcPr>
            <w:tcW w:w="840" w:type="dxa"/>
            <w:vAlign w:val="bottom"/>
          </w:tcPr>
          <w:p>
            <w:pPr>
              <w:spacing w:line="20" w:lineRule="exact"/>
              <w:rPr>
                <w:rFonts w:ascii="宋体" w:cs="宋体"/>
                <w:color w:val="auto"/>
                <w:sz w:val="2"/>
                <w:szCs w:val="2"/>
                <w:highlight w:val="none"/>
              </w:rPr>
            </w:pPr>
          </w:p>
        </w:tc>
        <w:tc>
          <w:tcPr>
            <w:tcW w:w="100" w:type="dxa"/>
            <w:vAlign w:val="bottom"/>
          </w:tcPr>
          <w:p>
            <w:pPr>
              <w:spacing w:line="20" w:lineRule="exact"/>
              <w:rPr>
                <w:rFonts w:ascii="宋体" w:cs="宋体"/>
                <w:color w:val="auto"/>
                <w:sz w:val="2"/>
                <w:szCs w:val="2"/>
                <w:highlight w:val="none"/>
              </w:rPr>
            </w:pPr>
          </w:p>
        </w:tc>
        <w:tc>
          <w:tcPr>
            <w:tcW w:w="2220" w:type="dxa"/>
            <w:vAlign w:val="bottom"/>
          </w:tcPr>
          <w:p>
            <w:pPr>
              <w:spacing w:line="20" w:lineRule="exact"/>
              <w:rPr>
                <w:rFonts w:ascii="宋体" w:cs="宋体"/>
                <w:color w:val="auto"/>
                <w:sz w:val="2"/>
                <w:szCs w:val="2"/>
                <w:highlight w:val="none"/>
              </w:rPr>
            </w:pPr>
          </w:p>
        </w:tc>
      </w:tr>
      <w:tr>
        <w:tblPrEx>
          <w:tblLayout w:type="fixed"/>
          <w:tblCellMar>
            <w:top w:w="0" w:type="dxa"/>
            <w:left w:w="0" w:type="dxa"/>
            <w:bottom w:w="0" w:type="dxa"/>
            <w:right w:w="0" w:type="dxa"/>
          </w:tblCellMar>
        </w:tblPrEx>
        <w:trPr>
          <w:trHeight w:val="388" w:hRule="atLeast"/>
        </w:trPr>
        <w:tc>
          <w:tcPr>
            <w:tcW w:w="6000" w:type="dxa"/>
            <w:gridSpan w:val="5"/>
            <w:vAlign w:val="bottom"/>
          </w:tcPr>
          <w:p>
            <w:pPr>
              <w:spacing w:line="240" w:lineRule="exact"/>
              <w:ind w:left="420"/>
              <w:rPr>
                <w:rFonts w:ascii="宋体" w:cs="宋体"/>
                <w:color w:val="auto"/>
                <w:sz w:val="20"/>
                <w:szCs w:val="20"/>
                <w:highlight w:val="none"/>
              </w:rPr>
            </w:pPr>
            <w:r>
              <w:rPr>
                <w:rFonts w:hint="eastAsia" w:ascii="宋体" w:hAnsi="宋体" w:cs="宋体"/>
                <w:color w:val="auto"/>
                <w:sz w:val="21"/>
                <w:szCs w:val="21"/>
                <w:highlight w:val="none"/>
              </w:rPr>
              <w:t>根据上述标准，我企业属于监狱企业的理由为：</w:t>
            </w:r>
          </w:p>
        </w:tc>
        <w:tc>
          <w:tcPr>
            <w:tcW w:w="100" w:type="dxa"/>
            <w:vAlign w:val="bottom"/>
          </w:tcPr>
          <w:p>
            <w:pPr>
              <w:rPr>
                <w:rFonts w:ascii="宋体" w:cs="宋体"/>
                <w:color w:val="auto"/>
                <w:sz w:val="24"/>
                <w:szCs w:val="24"/>
                <w:highlight w:val="none"/>
              </w:rPr>
            </w:pPr>
          </w:p>
        </w:tc>
        <w:tc>
          <w:tcPr>
            <w:tcW w:w="2220" w:type="dxa"/>
            <w:vAlign w:val="bottom"/>
          </w:tcPr>
          <w:p>
            <w:pPr>
              <w:spacing w:line="240" w:lineRule="exact"/>
              <w:rPr>
                <w:rFonts w:ascii="宋体" w:cs="宋体"/>
                <w:color w:val="auto"/>
                <w:sz w:val="20"/>
                <w:szCs w:val="20"/>
                <w:highlight w:val="none"/>
              </w:rPr>
            </w:pPr>
            <w:r>
              <w:rPr>
                <w:rFonts w:hint="eastAsia" w:ascii="宋体" w:hAnsi="宋体" w:cs="宋体"/>
                <w:color w:val="auto"/>
                <w:sz w:val="21"/>
                <w:szCs w:val="21"/>
                <w:highlight w:val="none"/>
              </w:rPr>
              <w:t>。</w:t>
            </w:r>
          </w:p>
        </w:tc>
      </w:tr>
      <w:tr>
        <w:tblPrEx>
          <w:tblLayout w:type="fixed"/>
          <w:tblCellMar>
            <w:top w:w="0" w:type="dxa"/>
            <w:left w:w="0" w:type="dxa"/>
            <w:bottom w:w="0" w:type="dxa"/>
            <w:right w:w="0" w:type="dxa"/>
          </w:tblCellMar>
        </w:tblPrEx>
        <w:trPr>
          <w:trHeight w:val="20" w:hRule="atLeast"/>
        </w:trPr>
        <w:tc>
          <w:tcPr>
            <w:tcW w:w="3000" w:type="dxa"/>
            <w:tcBorders>
              <w:right w:val="single" w:color="auto" w:sz="8" w:space="0"/>
            </w:tcBorders>
            <w:vAlign w:val="bottom"/>
          </w:tcPr>
          <w:p>
            <w:pPr>
              <w:spacing w:line="20" w:lineRule="exact"/>
              <w:rPr>
                <w:rFonts w:ascii="宋体" w:cs="宋体"/>
                <w:color w:val="auto"/>
                <w:sz w:val="2"/>
                <w:szCs w:val="2"/>
                <w:highlight w:val="none"/>
              </w:rPr>
            </w:pPr>
          </w:p>
        </w:tc>
        <w:tc>
          <w:tcPr>
            <w:tcW w:w="780" w:type="dxa"/>
            <w:shd w:val="clear" w:color="auto" w:fill="000000"/>
            <w:vAlign w:val="bottom"/>
          </w:tcPr>
          <w:p>
            <w:pPr>
              <w:spacing w:line="20" w:lineRule="exact"/>
              <w:rPr>
                <w:rFonts w:ascii="宋体" w:cs="宋体"/>
                <w:color w:val="auto"/>
                <w:sz w:val="2"/>
                <w:szCs w:val="2"/>
                <w:highlight w:val="none"/>
              </w:rPr>
            </w:pPr>
          </w:p>
        </w:tc>
        <w:tc>
          <w:tcPr>
            <w:tcW w:w="1060" w:type="dxa"/>
            <w:vAlign w:val="bottom"/>
          </w:tcPr>
          <w:p>
            <w:pPr>
              <w:spacing w:line="20" w:lineRule="exact"/>
              <w:rPr>
                <w:rFonts w:ascii="宋体" w:cs="宋体"/>
                <w:color w:val="auto"/>
                <w:sz w:val="2"/>
                <w:szCs w:val="2"/>
                <w:highlight w:val="none"/>
              </w:rPr>
            </w:pPr>
          </w:p>
        </w:tc>
        <w:tc>
          <w:tcPr>
            <w:tcW w:w="320" w:type="dxa"/>
            <w:shd w:val="clear" w:color="auto" w:fill="000000"/>
            <w:vAlign w:val="bottom"/>
          </w:tcPr>
          <w:p>
            <w:pPr>
              <w:spacing w:line="20" w:lineRule="exact"/>
              <w:rPr>
                <w:rFonts w:ascii="宋体" w:cs="宋体"/>
                <w:color w:val="auto"/>
                <w:sz w:val="2"/>
                <w:szCs w:val="2"/>
                <w:highlight w:val="none"/>
              </w:rPr>
            </w:pPr>
          </w:p>
        </w:tc>
        <w:tc>
          <w:tcPr>
            <w:tcW w:w="840" w:type="dxa"/>
            <w:shd w:val="clear" w:color="auto" w:fill="000000"/>
            <w:vAlign w:val="bottom"/>
          </w:tcPr>
          <w:p>
            <w:pPr>
              <w:spacing w:line="20" w:lineRule="exact"/>
              <w:rPr>
                <w:rFonts w:ascii="宋体" w:cs="宋体"/>
                <w:color w:val="auto"/>
                <w:sz w:val="2"/>
                <w:szCs w:val="2"/>
                <w:highlight w:val="none"/>
              </w:rPr>
            </w:pPr>
          </w:p>
        </w:tc>
        <w:tc>
          <w:tcPr>
            <w:tcW w:w="100" w:type="dxa"/>
            <w:shd w:val="clear" w:color="auto" w:fill="000000"/>
            <w:vAlign w:val="bottom"/>
          </w:tcPr>
          <w:p>
            <w:pPr>
              <w:spacing w:line="20" w:lineRule="exact"/>
              <w:rPr>
                <w:rFonts w:ascii="宋体" w:cs="宋体"/>
                <w:color w:val="auto"/>
                <w:sz w:val="2"/>
                <w:szCs w:val="2"/>
                <w:highlight w:val="none"/>
              </w:rPr>
            </w:pPr>
          </w:p>
        </w:tc>
        <w:tc>
          <w:tcPr>
            <w:tcW w:w="2220" w:type="dxa"/>
            <w:vAlign w:val="bottom"/>
          </w:tcPr>
          <w:p>
            <w:pPr>
              <w:spacing w:line="20" w:lineRule="exact"/>
              <w:rPr>
                <w:rFonts w:ascii="宋体" w:cs="宋体"/>
                <w:color w:val="auto"/>
                <w:sz w:val="2"/>
                <w:szCs w:val="2"/>
                <w:highlight w:val="none"/>
              </w:rPr>
            </w:pP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ind w:left="420"/>
              <w:rPr>
                <w:rFonts w:ascii="宋体" w:cs="宋体"/>
                <w:color w:val="auto"/>
                <w:sz w:val="20"/>
                <w:szCs w:val="20"/>
                <w:highlight w:val="none"/>
              </w:rPr>
            </w:pPr>
            <w:r>
              <w:rPr>
                <w:rFonts w:hint="eastAsia" w:ascii="宋体" w:hAnsi="宋体" w:cs="宋体"/>
                <w:color w:val="auto"/>
                <w:sz w:val="21"/>
                <w:szCs w:val="21"/>
                <w:highlight w:val="none"/>
              </w:rPr>
              <w:t>本企业为参加（项目名称：</w:t>
            </w:r>
          </w:p>
        </w:tc>
        <w:tc>
          <w:tcPr>
            <w:tcW w:w="780" w:type="dxa"/>
            <w:tcBorders>
              <w:bottom w:val="single" w:color="auto" w:sz="8" w:space="0"/>
            </w:tcBorders>
            <w:vAlign w:val="bottom"/>
          </w:tcPr>
          <w:p>
            <w:pPr>
              <w:rPr>
                <w:rFonts w:ascii="宋体" w:cs="宋体"/>
                <w:color w:val="auto"/>
                <w:sz w:val="24"/>
                <w:szCs w:val="24"/>
                <w:highlight w:val="none"/>
              </w:rPr>
            </w:pPr>
          </w:p>
        </w:tc>
        <w:tc>
          <w:tcPr>
            <w:tcW w:w="1380" w:type="dxa"/>
            <w:gridSpan w:val="2"/>
            <w:vAlign w:val="bottom"/>
          </w:tcPr>
          <w:p>
            <w:pPr>
              <w:spacing w:line="240" w:lineRule="exact"/>
              <w:rPr>
                <w:rFonts w:ascii="宋体" w:cs="宋体"/>
                <w:color w:val="auto"/>
                <w:sz w:val="20"/>
                <w:szCs w:val="20"/>
                <w:highlight w:val="none"/>
              </w:rPr>
            </w:pPr>
            <w:r>
              <w:rPr>
                <w:rFonts w:hint="eastAsia" w:ascii="宋体" w:hAnsi="宋体" w:cs="宋体"/>
                <w:color w:val="auto"/>
                <w:w w:val="92"/>
                <w:sz w:val="21"/>
                <w:szCs w:val="21"/>
                <w:highlight w:val="none"/>
              </w:rPr>
              <w:t>）（项目编号：</w:t>
            </w:r>
          </w:p>
        </w:tc>
        <w:tc>
          <w:tcPr>
            <w:tcW w:w="840" w:type="dxa"/>
            <w:tcBorders>
              <w:bottom w:val="single" w:color="auto" w:sz="8" w:space="0"/>
            </w:tcBorders>
            <w:vAlign w:val="bottom"/>
          </w:tcPr>
          <w:p>
            <w:pPr>
              <w:rPr>
                <w:rFonts w:ascii="宋体" w:cs="宋体"/>
                <w:color w:val="auto"/>
                <w:sz w:val="24"/>
                <w:szCs w:val="24"/>
                <w:highlight w:val="none"/>
              </w:rPr>
            </w:pPr>
          </w:p>
        </w:tc>
        <w:tc>
          <w:tcPr>
            <w:tcW w:w="2320" w:type="dxa"/>
            <w:gridSpan w:val="2"/>
            <w:vAlign w:val="bottom"/>
          </w:tcPr>
          <w:p>
            <w:pPr>
              <w:spacing w:line="240" w:lineRule="exact"/>
              <w:rPr>
                <w:rFonts w:ascii="宋体" w:cs="宋体"/>
                <w:color w:val="auto"/>
                <w:sz w:val="20"/>
                <w:szCs w:val="20"/>
                <w:highlight w:val="none"/>
              </w:rPr>
            </w:pPr>
            <w:r>
              <w:rPr>
                <w:rFonts w:hint="eastAsia" w:ascii="宋体" w:hAnsi="宋体" w:cs="宋体"/>
                <w:color w:val="auto"/>
                <w:w w:val="99"/>
                <w:sz w:val="21"/>
                <w:szCs w:val="21"/>
                <w:highlight w:val="none"/>
              </w:rPr>
              <w:t>）采购活动提供本企业的</w:t>
            </w:r>
          </w:p>
        </w:tc>
      </w:tr>
      <w:tr>
        <w:tblPrEx>
          <w:tblLayout w:type="fixed"/>
          <w:tblCellMar>
            <w:top w:w="0" w:type="dxa"/>
            <w:left w:w="0" w:type="dxa"/>
            <w:bottom w:w="0" w:type="dxa"/>
            <w:right w:w="0" w:type="dxa"/>
          </w:tblCellMar>
        </w:tblPrEx>
        <w:trPr>
          <w:trHeight w:val="388" w:hRule="atLeast"/>
        </w:trPr>
        <w:tc>
          <w:tcPr>
            <w:tcW w:w="3000" w:type="dxa"/>
            <w:vAlign w:val="bottom"/>
          </w:tcPr>
          <w:p>
            <w:pPr>
              <w:spacing w:line="240" w:lineRule="exact"/>
              <w:rPr>
                <w:rFonts w:ascii="宋体" w:cs="宋体"/>
                <w:color w:val="auto"/>
                <w:sz w:val="20"/>
                <w:szCs w:val="20"/>
                <w:highlight w:val="none"/>
              </w:rPr>
            </w:pPr>
            <w:r>
              <w:rPr>
                <w:rFonts w:hint="eastAsia" w:ascii="宋体" w:hAnsi="宋体" w:cs="宋体"/>
                <w:color w:val="auto"/>
                <w:sz w:val="21"/>
                <w:szCs w:val="21"/>
                <w:highlight w:val="none"/>
              </w:rPr>
              <w:t>产品。</w:t>
            </w:r>
          </w:p>
        </w:tc>
        <w:tc>
          <w:tcPr>
            <w:tcW w:w="780" w:type="dxa"/>
            <w:vAlign w:val="bottom"/>
          </w:tcPr>
          <w:p>
            <w:pPr>
              <w:rPr>
                <w:rFonts w:ascii="宋体" w:cs="宋体"/>
                <w:color w:val="auto"/>
                <w:sz w:val="24"/>
                <w:szCs w:val="24"/>
                <w:highlight w:val="none"/>
              </w:rPr>
            </w:pPr>
          </w:p>
        </w:tc>
        <w:tc>
          <w:tcPr>
            <w:tcW w:w="1060" w:type="dxa"/>
            <w:vAlign w:val="bottom"/>
          </w:tcPr>
          <w:p>
            <w:pPr>
              <w:rPr>
                <w:rFonts w:ascii="宋体" w:cs="宋体"/>
                <w:color w:val="auto"/>
                <w:sz w:val="24"/>
                <w:szCs w:val="24"/>
                <w:highlight w:val="none"/>
              </w:rPr>
            </w:pPr>
          </w:p>
        </w:tc>
        <w:tc>
          <w:tcPr>
            <w:tcW w:w="320" w:type="dxa"/>
            <w:vAlign w:val="bottom"/>
          </w:tcPr>
          <w:p>
            <w:pPr>
              <w:rPr>
                <w:rFonts w:ascii="宋体" w:cs="宋体"/>
                <w:color w:val="auto"/>
                <w:sz w:val="24"/>
                <w:szCs w:val="24"/>
                <w:highlight w:val="none"/>
              </w:rPr>
            </w:pPr>
          </w:p>
        </w:tc>
        <w:tc>
          <w:tcPr>
            <w:tcW w:w="840" w:type="dxa"/>
            <w:vAlign w:val="bottom"/>
          </w:tcPr>
          <w:p>
            <w:pPr>
              <w:rPr>
                <w:rFonts w:ascii="宋体" w:cs="宋体"/>
                <w:color w:val="auto"/>
                <w:sz w:val="24"/>
                <w:szCs w:val="24"/>
                <w:highlight w:val="none"/>
              </w:rPr>
            </w:pPr>
          </w:p>
        </w:tc>
        <w:tc>
          <w:tcPr>
            <w:tcW w:w="100" w:type="dxa"/>
            <w:vAlign w:val="bottom"/>
          </w:tcPr>
          <w:p>
            <w:pPr>
              <w:rPr>
                <w:rFonts w:ascii="宋体" w:cs="宋体"/>
                <w:color w:val="auto"/>
                <w:sz w:val="24"/>
                <w:szCs w:val="24"/>
                <w:highlight w:val="none"/>
              </w:rPr>
            </w:pPr>
          </w:p>
        </w:tc>
        <w:tc>
          <w:tcPr>
            <w:tcW w:w="2220" w:type="dxa"/>
            <w:vAlign w:val="bottom"/>
          </w:tcPr>
          <w:p>
            <w:pPr>
              <w:rPr>
                <w:rFonts w:ascii="宋体" w:cs="宋体"/>
                <w:color w:val="auto"/>
                <w:sz w:val="24"/>
                <w:szCs w:val="24"/>
                <w:highlight w:val="none"/>
              </w:rPr>
            </w:pPr>
          </w:p>
        </w:tc>
      </w:tr>
    </w:tbl>
    <w:p>
      <w:pPr>
        <w:spacing w:line="171" w:lineRule="exact"/>
        <w:rPr>
          <w:rFonts w:ascii="宋体" w:cs="宋体"/>
          <w:color w:val="auto"/>
          <w:sz w:val="20"/>
          <w:szCs w:val="20"/>
          <w:highlight w:val="none"/>
        </w:rPr>
      </w:pPr>
    </w:p>
    <w:p>
      <w:pPr>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本企业对上述声明的真实性负责。如有虚假，将依法承担相应责任。</w:t>
      </w:r>
    </w:p>
    <w:p>
      <w:pPr>
        <w:spacing w:line="200" w:lineRule="exact"/>
        <w:rPr>
          <w:rFonts w:ascii="宋体" w:cs="宋体"/>
          <w:color w:val="auto"/>
          <w:sz w:val="20"/>
          <w:szCs w:val="20"/>
          <w:highlight w:val="none"/>
        </w:rPr>
      </w:pPr>
    </w:p>
    <w:p>
      <w:pPr>
        <w:spacing w:line="376" w:lineRule="exact"/>
        <w:rPr>
          <w:rFonts w:ascii="宋体" w:cs="宋体"/>
          <w:color w:val="auto"/>
          <w:sz w:val="20"/>
          <w:szCs w:val="20"/>
          <w:highlight w:val="none"/>
        </w:rPr>
      </w:pPr>
    </w:p>
    <w:p>
      <w:pPr>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供应商全称（盖章）：</w:t>
      </w:r>
    </w:p>
    <w:p>
      <w:pPr>
        <w:spacing w:line="168" w:lineRule="exact"/>
        <w:rPr>
          <w:rFonts w:ascii="宋体" w:cs="宋体"/>
          <w:color w:val="auto"/>
          <w:sz w:val="20"/>
          <w:szCs w:val="20"/>
          <w:highlight w:val="none"/>
        </w:rPr>
      </w:pPr>
    </w:p>
    <w:p>
      <w:pPr>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日期：年月日</w:t>
      </w:r>
    </w:p>
    <w:p>
      <w:pPr>
        <w:spacing w:line="200" w:lineRule="exact"/>
        <w:rPr>
          <w:rFonts w:ascii="宋体" w:cs="宋体"/>
          <w:color w:val="auto"/>
          <w:sz w:val="20"/>
          <w:szCs w:val="20"/>
          <w:highlight w:val="none"/>
        </w:rPr>
      </w:pPr>
    </w:p>
    <w:p>
      <w:pPr>
        <w:spacing w:line="360" w:lineRule="auto"/>
        <w:ind w:left="360" w:right="346" w:firstLine="420"/>
        <w:rPr>
          <w:rFonts w:ascii="宋体" w:cs="宋体"/>
          <w:color w:val="auto"/>
          <w:sz w:val="21"/>
          <w:szCs w:val="21"/>
          <w:highlight w:val="none"/>
        </w:rPr>
      </w:pPr>
    </w:p>
    <w:p>
      <w:pPr>
        <w:spacing w:line="360" w:lineRule="auto"/>
        <w:ind w:left="360" w:right="346" w:firstLine="420"/>
        <w:rPr>
          <w:rFonts w:ascii="宋体" w:cs="宋体"/>
          <w:color w:val="auto"/>
          <w:sz w:val="21"/>
          <w:szCs w:val="21"/>
          <w:highlight w:val="none"/>
          <w:u w:val="single"/>
        </w:rPr>
      </w:pPr>
      <w:r>
        <w:rPr>
          <w:rFonts w:hint="eastAsia" w:ascii="宋体" w:hAnsi="宋体" w:cs="宋体"/>
          <w:color w:val="auto"/>
          <w:sz w:val="21"/>
          <w:szCs w:val="21"/>
          <w:highlight w:val="none"/>
          <w:u w:val="single"/>
        </w:rPr>
        <w:t>监狱企业参加政府采购活动时，应当提供由省级以上监狱管理局、戒毒管理局（含新疆生产建设兵团）出具的属于监狱企业的证明文件。</w:t>
      </w:r>
    </w:p>
    <w:p>
      <w:pPr>
        <w:spacing w:line="360" w:lineRule="auto"/>
        <w:ind w:left="360" w:right="266" w:firstLine="210" w:firstLineChars="100"/>
        <w:jc w:val="both"/>
        <w:rPr>
          <w:rFonts w:ascii="宋体" w:cs="宋体"/>
          <w:color w:val="auto"/>
          <w:sz w:val="20"/>
          <w:szCs w:val="20"/>
          <w:highlight w:val="none"/>
        </w:rPr>
      </w:pPr>
      <w:r>
        <w:rPr>
          <w:rFonts w:hint="eastAsia" w:ascii="宋体" w:hAnsi="宋体" w:cs="宋体"/>
          <w:color w:val="auto"/>
          <w:sz w:val="21"/>
          <w:szCs w:val="21"/>
          <w:highlight w:val="none"/>
          <w:u w:val="singl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366" w:lineRule="exact"/>
        <w:ind w:right="-13"/>
        <w:jc w:val="center"/>
        <w:rPr>
          <w:rFonts w:ascii="宋体" w:cs="宋体"/>
          <w:b/>
          <w:bCs/>
          <w:color w:val="auto"/>
          <w:sz w:val="24"/>
          <w:szCs w:val="24"/>
          <w:highlight w:val="none"/>
        </w:rPr>
      </w:pPr>
      <w:r>
        <w:rPr>
          <w:rFonts w:hint="eastAsia" w:ascii="宋体" w:hAnsi="宋体" w:cs="宋体"/>
          <w:b/>
          <w:bCs/>
          <w:color w:val="auto"/>
          <w:sz w:val="24"/>
          <w:szCs w:val="24"/>
          <w:highlight w:val="none"/>
        </w:rPr>
        <w:t>残疾人福利性单位声明函</w:t>
      </w:r>
    </w:p>
    <w:p>
      <w:pPr>
        <w:spacing w:line="203" w:lineRule="exact"/>
        <w:rPr>
          <w:rFonts w:ascii="宋体" w:cs="宋体"/>
          <w:color w:val="auto"/>
          <w:sz w:val="20"/>
          <w:szCs w:val="20"/>
          <w:highlight w:val="none"/>
        </w:rPr>
      </w:pPr>
    </w:p>
    <w:p>
      <w:pPr>
        <w:spacing w:line="240" w:lineRule="exact"/>
        <w:ind w:right="-413"/>
        <w:jc w:val="center"/>
        <w:rPr>
          <w:rFonts w:ascii="宋体" w:cs="宋体"/>
          <w:color w:val="auto"/>
          <w:sz w:val="20"/>
          <w:szCs w:val="20"/>
          <w:highlight w:val="none"/>
        </w:rPr>
      </w:pPr>
      <w:bookmarkStart w:id="167" w:name="_Toc1708_WPSOffice_Level2"/>
      <w:bookmarkStart w:id="168" w:name="_Toc20230_WPSOffice_Level2"/>
      <w:r>
        <w:rPr>
          <w:rFonts w:hint="eastAsia" w:ascii="宋体" w:hAnsi="宋体" w:cs="宋体"/>
          <w:color w:val="auto"/>
          <w:sz w:val="21"/>
          <w:szCs w:val="21"/>
          <w:highlight w:val="none"/>
        </w:rPr>
        <w:t>【不属于残疾人福利性单位的无需填写、递交】</w:t>
      </w:r>
      <w:bookmarkEnd w:id="167"/>
      <w:bookmarkEnd w:id="168"/>
    </w:p>
    <w:p>
      <w:pPr>
        <w:spacing w:line="360" w:lineRule="auto"/>
        <w:rPr>
          <w:rFonts w:ascii="宋体" w:cs="宋体"/>
          <w:color w:val="auto"/>
          <w:sz w:val="20"/>
          <w:szCs w:val="20"/>
          <w:highlight w:val="none"/>
        </w:rPr>
      </w:pPr>
    </w:p>
    <w:p>
      <w:pPr>
        <w:spacing w:line="360" w:lineRule="auto"/>
        <w:ind w:right="366" w:firstLine="420" w:firstLineChars="200"/>
        <w:rPr>
          <w:rFonts w:ascii="宋体" w:cs="宋体"/>
          <w:color w:val="auto"/>
          <w:sz w:val="20"/>
          <w:szCs w:val="20"/>
          <w:highlight w:val="none"/>
        </w:rPr>
      </w:pPr>
      <w:r>
        <w:rPr>
          <w:rFonts w:hint="eastAsia" w:ascii="宋体" w:hAnsi="宋体" w:cs="宋体"/>
          <w:color w:val="auto"/>
          <w:sz w:val="21"/>
          <w:szCs w:val="21"/>
          <w:highlight w:val="none"/>
        </w:rPr>
        <w:t>本单位郑重声明，根据《财政部</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民政部</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中国残疾人联合会关于促进残疾人就业政府采购政策的通知》（财库〔</w:t>
      </w:r>
      <w:r>
        <w:rPr>
          <w:rFonts w:ascii="宋体" w:hAnsi="宋体" w:cs="宋体"/>
          <w:color w:val="auto"/>
          <w:sz w:val="21"/>
          <w:szCs w:val="21"/>
          <w:highlight w:val="none"/>
        </w:rPr>
        <w:t>2017</w:t>
      </w:r>
      <w:r>
        <w:rPr>
          <w:rFonts w:hint="eastAsia" w:ascii="宋体" w:hAnsi="宋体" w:cs="宋体"/>
          <w:color w:val="auto"/>
          <w:sz w:val="21"/>
          <w:szCs w:val="21"/>
          <w:highlight w:val="none"/>
        </w:rPr>
        <w:t>〕</w:t>
      </w:r>
      <w:r>
        <w:rPr>
          <w:rFonts w:ascii="宋体" w:hAnsi="宋体" w:cs="宋体"/>
          <w:color w:val="auto"/>
          <w:sz w:val="21"/>
          <w:szCs w:val="21"/>
          <w:highlight w:val="none"/>
        </w:rPr>
        <w:t xml:space="preserve">141 </w:t>
      </w:r>
      <w:r>
        <w:rPr>
          <w:rFonts w:hint="eastAsia" w:ascii="宋体" w:hAnsi="宋体" w:cs="宋体"/>
          <w:color w:val="auto"/>
          <w:sz w:val="21"/>
          <w:szCs w:val="21"/>
          <w:highlight w:val="none"/>
        </w:rPr>
        <w:t>号）的规定，本单位为符合条件的残疾人福利性单位，且本单位参加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（采购人名称）</w:t>
      </w:r>
      <w:r>
        <w:rPr>
          <w:rFonts w:ascii="宋体" w:cs="宋体"/>
          <w:color w:val="auto"/>
          <w:sz w:val="21"/>
          <w:szCs w:val="21"/>
          <w:highlight w:val="none"/>
        </w:rPr>
        <w:tab/>
      </w:r>
      <w:r>
        <w:rPr>
          <w:rFonts w:hint="eastAsia" w:ascii="宋体" w:hAnsi="宋体" w:cs="宋体"/>
          <w:color w:val="auto"/>
          <w:sz w:val="21"/>
          <w:szCs w:val="21"/>
          <w:highlight w:val="none"/>
        </w:rPr>
        <w:t>单位的</w:t>
      </w:r>
      <w:r>
        <w:rPr>
          <w:rFonts w:ascii="宋体" w:cs="宋体"/>
          <w:color w:val="auto"/>
          <w:sz w:val="20"/>
          <w:szCs w:val="20"/>
          <w:highlight w:val="none"/>
        </w:rPr>
        <w:tab/>
      </w:r>
      <w:r>
        <w:rPr>
          <w:rFonts w:hint="eastAsia" w:ascii="宋体" w:hAnsi="宋体" w:cs="宋体"/>
          <w:color w:val="auto"/>
          <w:sz w:val="21"/>
          <w:szCs w:val="21"/>
          <w:highlight w:val="none"/>
        </w:rPr>
        <w:t>（项目名称）</w:t>
      </w:r>
      <w:r>
        <w:rPr>
          <w:rFonts w:ascii="宋体" w:cs="宋体"/>
          <w:color w:val="auto"/>
          <w:sz w:val="20"/>
          <w:szCs w:val="20"/>
          <w:highlight w:val="none"/>
        </w:rPr>
        <w:tab/>
      </w:r>
      <w:r>
        <w:rPr>
          <w:rFonts w:hint="eastAsia" w:ascii="宋体" w:hAnsi="宋体" w:cs="宋体"/>
          <w:color w:val="auto"/>
          <w:sz w:val="21"/>
          <w:szCs w:val="21"/>
          <w:highlight w:val="none"/>
        </w:rPr>
        <w:t>项目采购活动提供本单位制造的货物（由本单位承担工程</w:t>
      </w:r>
      <w:r>
        <w:rPr>
          <w:rFonts w:ascii="宋体" w:hAnsi="宋体" w:cs="宋体"/>
          <w:color w:val="auto"/>
          <w:sz w:val="21"/>
          <w:szCs w:val="21"/>
          <w:highlight w:val="none"/>
        </w:rPr>
        <w:t>/</w:t>
      </w:r>
      <w:r>
        <w:rPr>
          <w:rFonts w:hint="eastAsia" w:ascii="宋体" w:hAnsi="宋体" w:cs="宋体"/>
          <w:color w:val="auto"/>
          <w:sz w:val="21"/>
          <w:szCs w:val="21"/>
          <w:highlight w:val="none"/>
        </w:rPr>
        <w:t>提供服务），或者提供其他残疾人福利性单位制造的货物（不包括使用非残疾人福利性单位注册商标的货物）。</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本单位对上述声明的真实性负责。如有虚假，将依法承担相应责任。</w:t>
      </w:r>
    </w:p>
    <w:p>
      <w:pPr>
        <w:spacing w:line="360" w:lineRule="auto"/>
        <w:rPr>
          <w:rFonts w:ascii="宋体" w:cs="宋体"/>
          <w:color w:val="auto"/>
          <w:sz w:val="20"/>
          <w:szCs w:val="20"/>
          <w:highlight w:val="none"/>
        </w:rPr>
      </w:pPr>
    </w:p>
    <w:p>
      <w:pPr>
        <w:spacing w:line="360" w:lineRule="auto"/>
        <w:ind w:left="780"/>
        <w:rPr>
          <w:rFonts w:ascii="宋体" w:cs="宋体"/>
          <w:color w:val="auto"/>
          <w:sz w:val="20"/>
          <w:szCs w:val="20"/>
          <w:highlight w:val="none"/>
        </w:rPr>
      </w:pPr>
      <w:r>
        <w:rPr>
          <w:rFonts w:hint="eastAsia" w:ascii="宋体" w:hAnsi="宋体" w:cs="宋体"/>
          <w:color w:val="auto"/>
          <w:sz w:val="21"/>
          <w:szCs w:val="21"/>
          <w:highlight w:val="none"/>
        </w:rPr>
        <w:t>供应商名称（盖章）：</w:t>
      </w:r>
    </w:p>
    <w:p>
      <w:pPr>
        <w:spacing w:line="79" w:lineRule="exact"/>
        <w:rPr>
          <w:rFonts w:ascii="宋体" w:cs="宋体"/>
          <w:color w:val="auto"/>
          <w:sz w:val="20"/>
          <w:szCs w:val="20"/>
          <w:highlight w:val="none"/>
        </w:rPr>
      </w:pPr>
    </w:p>
    <w:p>
      <w:pPr>
        <w:tabs>
          <w:tab w:val="left" w:pos="1700"/>
          <w:tab w:val="left" w:pos="2120"/>
          <w:tab w:val="left" w:pos="2540"/>
        </w:tabs>
        <w:spacing w:line="240" w:lineRule="exact"/>
        <w:ind w:left="780"/>
        <w:rPr>
          <w:rFonts w:ascii="宋体" w:cs="宋体"/>
          <w:color w:val="auto"/>
          <w:sz w:val="20"/>
          <w:szCs w:val="20"/>
          <w:highlight w:val="none"/>
        </w:rPr>
      </w:pPr>
      <w:r>
        <w:rPr>
          <w:rFonts w:hint="eastAsia" w:ascii="宋体" w:hAnsi="宋体" w:cs="宋体"/>
          <w:color w:val="auto"/>
          <w:sz w:val="21"/>
          <w:szCs w:val="21"/>
          <w:highlight w:val="none"/>
        </w:rPr>
        <w:t>日期：</w:t>
      </w:r>
      <w:r>
        <w:rPr>
          <w:rFonts w:ascii="宋体" w:cs="宋体"/>
          <w:color w:val="auto"/>
          <w:sz w:val="21"/>
          <w:szCs w:val="21"/>
          <w:highlight w:val="none"/>
        </w:rPr>
        <w:tab/>
      </w:r>
      <w:r>
        <w:rPr>
          <w:rFonts w:hint="eastAsia" w:ascii="宋体" w:hAnsi="宋体" w:cs="宋体"/>
          <w:color w:val="auto"/>
          <w:sz w:val="21"/>
          <w:szCs w:val="21"/>
          <w:highlight w:val="none"/>
        </w:rPr>
        <w:t>年</w:t>
      </w:r>
      <w:r>
        <w:rPr>
          <w:rFonts w:ascii="宋体" w:cs="宋体"/>
          <w:color w:val="auto"/>
          <w:sz w:val="21"/>
          <w:szCs w:val="21"/>
          <w:highlight w:val="none"/>
        </w:rPr>
        <w:tab/>
      </w:r>
      <w:r>
        <w:rPr>
          <w:rFonts w:hint="eastAsia" w:ascii="宋体" w:hAnsi="宋体" w:cs="宋体"/>
          <w:color w:val="auto"/>
          <w:sz w:val="21"/>
          <w:szCs w:val="21"/>
          <w:highlight w:val="none"/>
        </w:rPr>
        <w:t>月</w:t>
      </w:r>
      <w:r>
        <w:rPr>
          <w:rFonts w:ascii="宋体" w:cs="宋体"/>
          <w:color w:val="auto"/>
          <w:sz w:val="21"/>
          <w:szCs w:val="21"/>
          <w:highlight w:val="none"/>
        </w:rPr>
        <w:tab/>
      </w:r>
      <w:r>
        <w:rPr>
          <w:rFonts w:hint="eastAsia" w:ascii="宋体" w:hAnsi="宋体" w:cs="宋体"/>
          <w:color w:val="auto"/>
          <w:sz w:val="21"/>
          <w:szCs w:val="21"/>
          <w:highlight w:val="none"/>
        </w:rPr>
        <w:t>日</w: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320" w:lineRule="exact"/>
        <w:ind w:left="360"/>
        <w:rPr>
          <w:rFonts w:ascii="宋体" w:cs="宋体"/>
          <w:color w:val="auto"/>
          <w:sz w:val="21"/>
          <w:szCs w:val="21"/>
          <w:highlight w:val="none"/>
          <w:u w:val="single"/>
        </w:rPr>
      </w:pPr>
      <w:bookmarkStart w:id="169" w:name="page75"/>
      <w:bookmarkEnd w:id="169"/>
      <w:r>
        <w:rPr>
          <w:rFonts w:hint="eastAsia" w:ascii="宋体" w:hAnsi="宋体" w:cs="宋体"/>
          <w:color w:val="auto"/>
          <w:sz w:val="21"/>
          <w:szCs w:val="21"/>
          <w:highlight w:val="none"/>
          <w:u w:val="single"/>
        </w:rPr>
        <w:t>说明：</w:t>
      </w:r>
    </w:p>
    <w:p>
      <w:pPr>
        <w:spacing w:line="320" w:lineRule="exact"/>
        <w:ind w:left="360"/>
        <w:rPr>
          <w:rFonts w:ascii="宋体" w:cs="宋体"/>
          <w:color w:val="auto"/>
          <w:sz w:val="21"/>
          <w:szCs w:val="21"/>
          <w:highlight w:val="none"/>
          <w:u w:val="single"/>
        </w:rPr>
      </w:pPr>
      <w:r>
        <w:rPr>
          <w:rFonts w:ascii="宋体" w:hAnsi="宋体" w:cs="宋体"/>
          <w:color w:val="auto"/>
          <w:sz w:val="21"/>
          <w:szCs w:val="21"/>
          <w:highlight w:val="none"/>
          <w:u w:val="single"/>
        </w:rPr>
        <w:t>1.</w:t>
      </w:r>
      <w:r>
        <w:rPr>
          <w:rFonts w:hint="eastAsia" w:ascii="宋体" w:hAnsi="宋体" w:cs="宋体"/>
          <w:color w:val="auto"/>
          <w:sz w:val="21"/>
          <w:szCs w:val="21"/>
          <w:highlight w:val="none"/>
          <w:u w:val="single"/>
        </w:rPr>
        <w:t>若投标人同时满足以下条件，则属于依法享受政府采购支持政策的残疾人福利性单位，可提供《残疾人福利性单位声明函》，并对声明的真实性负责：</w:t>
      </w:r>
    </w:p>
    <w:p>
      <w:pPr>
        <w:spacing w:line="320" w:lineRule="exact"/>
        <w:ind w:left="360"/>
        <w:rPr>
          <w:rFonts w:ascii="宋体" w:cs="宋体"/>
          <w:color w:val="auto"/>
          <w:sz w:val="21"/>
          <w:szCs w:val="21"/>
          <w:highlight w:val="none"/>
          <w:u w:val="single"/>
        </w:rPr>
      </w:pPr>
      <w:r>
        <w:rPr>
          <w:rFonts w:hint="eastAsia" w:ascii="宋体" w:hAnsi="宋体" w:cs="宋体"/>
          <w:color w:val="auto"/>
          <w:sz w:val="21"/>
          <w:szCs w:val="21"/>
          <w:highlight w:val="none"/>
          <w:u w:val="single"/>
        </w:rPr>
        <w:t>（一）安置的残疾人占本单位在职职工人数的比例不低于</w:t>
      </w:r>
      <w:r>
        <w:rPr>
          <w:rFonts w:ascii="宋体" w:hAnsi="宋体" w:cs="宋体"/>
          <w:color w:val="auto"/>
          <w:sz w:val="21"/>
          <w:szCs w:val="21"/>
          <w:highlight w:val="none"/>
          <w:u w:val="single"/>
        </w:rPr>
        <w:t>25%</w:t>
      </w:r>
      <w:r>
        <w:rPr>
          <w:rFonts w:hint="eastAsia" w:ascii="宋体" w:hAnsi="宋体" w:cs="宋体"/>
          <w:color w:val="auto"/>
          <w:sz w:val="21"/>
          <w:szCs w:val="21"/>
          <w:highlight w:val="none"/>
          <w:u w:val="single"/>
        </w:rPr>
        <w:t>（含</w:t>
      </w:r>
      <w:r>
        <w:rPr>
          <w:rFonts w:ascii="宋体" w:hAnsi="宋体" w:cs="宋体"/>
          <w:color w:val="auto"/>
          <w:sz w:val="21"/>
          <w:szCs w:val="21"/>
          <w:highlight w:val="none"/>
          <w:u w:val="single"/>
        </w:rPr>
        <w:t>25%</w:t>
      </w:r>
      <w:r>
        <w:rPr>
          <w:rFonts w:hint="eastAsia" w:ascii="宋体" w:hAnsi="宋体" w:cs="宋体"/>
          <w:color w:val="auto"/>
          <w:sz w:val="21"/>
          <w:szCs w:val="21"/>
          <w:highlight w:val="none"/>
          <w:u w:val="single"/>
        </w:rPr>
        <w:t>），并且安置的残疾人人数不少于</w:t>
      </w:r>
      <w:r>
        <w:rPr>
          <w:rFonts w:ascii="宋体" w:hAnsi="宋体" w:cs="宋体"/>
          <w:color w:val="auto"/>
          <w:sz w:val="21"/>
          <w:szCs w:val="21"/>
          <w:highlight w:val="none"/>
          <w:u w:val="single"/>
        </w:rPr>
        <w:t>10</w:t>
      </w:r>
      <w:r>
        <w:rPr>
          <w:rFonts w:hint="eastAsia" w:ascii="宋体" w:hAnsi="宋体" w:cs="宋体"/>
          <w:color w:val="auto"/>
          <w:sz w:val="21"/>
          <w:szCs w:val="21"/>
          <w:highlight w:val="none"/>
          <w:u w:val="single"/>
        </w:rPr>
        <w:t>人（含</w:t>
      </w:r>
      <w:r>
        <w:rPr>
          <w:rFonts w:ascii="宋体" w:hAnsi="宋体" w:cs="宋体"/>
          <w:color w:val="auto"/>
          <w:sz w:val="21"/>
          <w:szCs w:val="21"/>
          <w:highlight w:val="none"/>
          <w:u w:val="single"/>
        </w:rPr>
        <w:t>10</w:t>
      </w:r>
      <w:r>
        <w:rPr>
          <w:rFonts w:hint="eastAsia" w:ascii="宋体" w:hAnsi="宋体" w:cs="宋体"/>
          <w:color w:val="auto"/>
          <w:sz w:val="21"/>
          <w:szCs w:val="21"/>
          <w:highlight w:val="none"/>
          <w:u w:val="single"/>
        </w:rPr>
        <w:t>人）；</w:t>
      </w:r>
    </w:p>
    <w:p>
      <w:pPr>
        <w:spacing w:line="320" w:lineRule="exact"/>
        <w:ind w:left="360"/>
        <w:rPr>
          <w:rFonts w:ascii="宋体" w:cs="宋体"/>
          <w:color w:val="auto"/>
          <w:sz w:val="21"/>
          <w:szCs w:val="21"/>
          <w:highlight w:val="none"/>
          <w:u w:val="single"/>
        </w:rPr>
      </w:pPr>
      <w:r>
        <w:rPr>
          <w:rFonts w:hint="eastAsia" w:ascii="宋体" w:hAnsi="宋体" w:cs="宋体"/>
          <w:color w:val="auto"/>
          <w:sz w:val="21"/>
          <w:szCs w:val="21"/>
          <w:highlight w:val="none"/>
          <w:u w:val="single"/>
        </w:rPr>
        <w:t>（二）依法与安置的每位残疾人签订了一年以上（含一年）的劳动合同或服务协议；</w:t>
      </w:r>
    </w:p>
    <w:p>
      <w:pPr>
        <w:spacing w:line="320" w:lineRule="exact"/>
        <w:ind w:left="360"/>
        <w:rPr>
          <w:rFonts w:ascii="宋体" w:cs="宋体"/>
          <w:color w:val="auto"/>
          <w:sz w:val="21"/>
          <w:szCs w:val="21"/>
          <w:highlight w:val="none"/>
          <w:u w:val="single"/>
        </w:rPr>
      </w:pPr>
      <w:r>
        <w:rPr>
          <w:rFonts w:hint="eastAsia" w:ascii="宋体" w:hAnsi="宋体" w:cs="宋体"/>
          <w:color w:val="auto"/>
          <w:sz w:val="21"/>
          <w:szCs w:val="21"/>
          <w:highlight w:val="none"/>
          <w:u w:val="single"/>
        </w:rPr>
        <w:t>（三）为安置的每位残疾人按月足额缴纳了基本养老保险、基本医疗保险、失业保险、工伤保险和生育保险等社会保险费；</w:t>
      </w:r>
    </w:p>
    <w:p>
      <w:pPr>
        <w:spacing w:line="320" w:lineRule="exact"/>
        <w:ind w:left="360"/>
        <w:rPr>
          <w:rFonts w:ascii="宋体" w:cs="宋体"/>
          <w:color w:val="auto"/>
          <w:sz w:val="21"/>
          <w:szCs w:val="21"/>
          <w:highlight w:val="none"/>
          <w:u w:val="single"/>
        </w:rPr>
      </w:pPr>
      <w:r>
        <w:rPr>
          <w:rFonts w:hint="eastAsia" w:ascii="宋体" w:hAnsi="宋体" w:cs="宋体"/>
          <w:color w:val="auto"/>
          <w:sz w:val="21"/>
          <w:szCs w:val="21"/>
          <w:highlight w:val="none"/>
          <w:u w:val="single"/>
        </w:rPr>
        <w:t>（四）通过银行等金融机构向安置的每位残疾人，按月支付了不低于单位所在区县适用的经省级人民政府批准的月最低工资标准的工资；</w:t>
      </w:r>
    </w:p>
    <w:p>
      <w:pPr>
        <w:spacing w:line="320" w:lineRule="exact"/>
        <w:ind w:left="360"/>
        <w:rPr>
          <w:rFonts w:ascii="宋体" w:cs="宋体"/>
          <w:color w:val="auto"/>
          <w:sz w:val="21"/>
          <w:szCs w:val="21"/>
          <w:highlight w:val="none"/>
          <w:u w:val="single"/>
        </w:rPr>
      </w:pPr>
      <w:r>
        <w:rPr>
          <w:rFonts w:hint="eastAsia" w:ascii="宋体" w:hAnsi="宋体" w:cs="宋体"/>
          <w:color w:val="auto"/>
          <w:sz w:val="21"/>
          <w:szCs w:val="21"/>
          <w:highlight w:val="none"/>
          <w:u w:val="single"/>
        </w:rPr>
        <w:t>（五）提供本单位制造的货物、承担的工程或者服务（以下简称产品），或者提供其他残疾人福利性单位制造的货物（不包括使用非残疾人福利性单位注册商标的货物）。</w:t>
      </w:r>
    </w:p>
    <w:p>
      <w:pPr>
        <w:spacing w:line="320" w:lineRule="exact"/>
        <w:ind w:left="360"/>
        <w:rPr>
          <w:rFonts w:ascii="宋体" w:cs="宋体"/>
          <w:color w:val="auto"/>
          <w:sz w:val="21"/>
          <w:szCs w:val="21"/>
          <w:highlight w:val="none"/>
          <w:u w:val="single"/>
        </w:rPr>
      </w:pPr>
      <w:r>
        <w:rPr>
          <w:rFonts w:hint="eastAsia" w:ascii="宋体" w:hAnsi="宋体" w:cs="宋体"/>
          <w:color w:val="auto"/>
          <w:sz w:val="21"/>
          <w:szCs w:val="21"/>
          <w:highlight w:val="none"/>
          <w:u w:val="single"/>
        </w:rPr>
        <w:t>前款所称残疾人是指法定劳动年龄内，持有《中华人民共和国残疾人证》或者《中华人民共和国残疾军人证（</w:t>
      </w:r>
      <w:r>
        <w:rPr>
          <w:rFonts w:ascii="宋体" w:hAnsi="宋体" w:cs="宋体"/>
          <w:color w:val="auto"/>
          <w:sz w:val="21"/>
          <w:szCs w:val="21"/>
          <w:highlight w:val="none"/>
          <w:u w:val="single"/>
        </w:rPr>
        <w:t>1</w:t>
      </w:r>
      <w:r>
        <w:rPr>
          <w:rFonts w:hint="eastAsia" w:ascii="宋体" w:hAnsi="宋体" w:cs="宋体"/>
          <w:color w:val="auto"/>
          <w:sz w:val="21"/>
          <w:szCs w:val="21"/>
          <w:highlight w:val="none"/>
          <w:u w:val="single"/>
        </w:rPr>
        <w:t>至</w:t>
      </w:r>
      <w:r>
        <w:rPr>
          <w:rFonts w:ascii="宋体" w:hAnsi="宋体" w:cs="宋体"/>
          <w:color w:val="auto"/>
          <w:sz w:val="21"/>
          <w:szCs w:val="21"/>
          <w:highlight w:val="none"/>
          <w:u w:val="single"/>
        </w:rPr>
        <w:t>8</w:t>
      </w:r>
      <w:r>
        <w:rPr>
          <w:rFonts w:hint="eastAsia" w:ascii="宋体" w:hAnsi="宋体" w:cs="宋体"/>
          <w:color w:val="auto"/>
          <w:sz w:val="21"/>
          <w:szCs w:val="21"/>
          <w:highlight w:val="none"/>
          <w:u w:val="single"/>
        </w:rPr>
        <w:t>级）》的自然人，包括具有劳动条件和劳动意愿的精神残疾人。在职职工人数是指与残疾人福利性单位建立劳动关系并依法签订劳动合同或者服务协议的雇员人数。</w:t>
      </w:r>
    </w:p>
    <w:p>
      <w:pPr>
        <w:spacing w:line="320" w:lineRule="exact"/>
        <w:ind w:left="360"/>
        <w:rPr>
          <w:rFonts w:ascii="宋体" w:cs="宋体"/>
          <w:color w:val="auto"/>
          <w:sz w:val="28"/>
          <w:szCs w:val="28"/>
          <w:highlight w:val="none"/>
        </w:rPr>
      </w:pPr>
      <w:r>
        <w:rPr>
          <w:rFonts w:ascii="宋体" w:hAnsi="宋体" w:cs="宋体"/>
          <w:color w:val="auto"/>
          <w:sz w:val="21"/>
          <w:szCs w:val="21"/>
          <w:highlight w:val="none"/>
          <w:u w:val="single"/>
        </w:rPr>
        <w:t>2.</w:t>
      </w:r>
      <w:r>
        <w:rPr>
          <w:rFonts w:hint="eastAsia" w:ascii="宋体" w:hAnsi="宋体" w:cs="宋体"/>
          <w:color w:val="auto"/>
          <w:sz w:val="21"/>
          <w:szCs w:val="21"/>
          <w:highlight w:val="none"/>
          <w:u w:val="single"/>
        </w:rPr>
        <w:t>中标人为残疾人福利性单位的，《残疾人福利性单位声明函》随中标结果同时公告，接受社会监督。</w:t>
      </w: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pPr>
    </w:p>
    <w:p>
      <w:pPr>
        <w:spacing w:line="320" w:lineRule="exact"/>
        <w:ind w:left="360"/>
        <w:rPr>
          <w:rFonts w:ascii="宋体" w:cs="宋体"/>
          <w:color w:val="auto"/>
          <w:sz w:val="28"/>
          <w:szCs w:val="28"/>
          <w:highlight w:val="none"/>
        </w:rPr>
        <w:sectPr>
          <w:pgSz w:w="11900" w:h="16838"/>
          <w:pgMar w:top="1440" w:right="1440" w:bottom="158" w:left="1440" w:header="567" w:footer="567" w:gutter="0"/>
          <w:cols w:equalWidth="0" w:num="1">
            <w:col w:w="9026"/>
          </w:cols>
        </w:sectPr>
      </w:pPr>
      <w:bookmarkStart w:id="170" w:name="_Toc5942_WPSOffice_Level2"/>
    </w:p>
    <w:p>
      <w:pPr>
        <w:spacing w:line="320" w:lineRule="exact"/>
        <w:ind w:left="360"/>
        <w:rPr>
          <w:rFonts w:ascii="宋体" w:cs="宋体"/>
          <w:color w:val="auto"/>
          <w:sz w:val="20"/>
          <w:szCs w:val="20"/>
          <w:highlight w:val="none"/>
        </w:rPr>
      </w:pPr>
      <w:r>
        <w:rPr>
          <w:rFonts w:hint="eastAsia" w:ascii="宋体" w:hAnsi="宋体" w:cs="宋体"/>
          <w:color w:val="auto"/>
          <w:sz w:val="28"/>
          <w:szCs w:val="28"/>
          <w:highlight w:val="none"/>
        </w:rPr>
        <w:t>商务技术文件封面</w:t>
      </w:r>
      <w:bookmarkEnd w:id="170"/>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308" w:lineRule="exact"/>
        <w:rPr>
          <w:rFonts w:ascii="宋体" w:cs="宋体"/>
          <w:color w:val="auto"/>
          <w:sz w:val="20"/>
          <w:szCs w:val="20"/>
          <w:highlight w:val="none"/>
        </w:rPr>
      </w:pPr>
    </w:p>
    <w:p>
      <w:pPr>
        <w:spacing w:line="320" w:lineRule="exact"/>
        <w:ind w:left="1340"/>
        <w:rPr>
          <w:rFonts w:ascii="宋体" w:cs="宋体"/>
          <w:color w:val="auto"/>
          <w:sz w:val="20"/>
          <w:szCs w:val="20"/>
          <w:highlight w:val="none"/>
        </w:rPr>
      </w:pPr>
      <w:bookmarkStart w:id="171" w:name="_Toc11046_WPSOffice_Level2"/>
      <w:r>
        <w:rPr>
          <w:rFonts w:hint="eastAsia" w:ascii="宋体" w:hAnsi="宋体" w:cs="宋体"/>
          <w:color w:val="auto"/>
          <w:sz w:val="28"/>
          <w:szCs w:val="28"/>
          <w:highlight w:val="none"/>
        </w:rPr>
        <w:t>项目名称：</w:t>
      </w:r>
      <w:bookmarkEnd w:id="171"/>
    </w:p>
    <w:p>
      <w:pPr>
        <w:spacing w:line="20" w:lineRule="exact"/>
        <w:rPr>
          <w:rFonts w:ascii="宋体" w:cs="宋体"/>
          <w:color w:val="auto"/>
          <w:sz w:val="20"/>
          <w:szCs w:val="20"/>
          <w:highlight w:val="none"/>
        </w:rPr>
      </w:pPr>
      <w:r>
        <w:rPr>
          <w:color w:val="auto"/>
          <w:highlight w:val="none"/>
        </w:rPr>
        <w:pict>
          <v:line id="Shape 316" o:spid="_x0000_s1051" o:spt="20" style="position:absolute;left:0pt;margin-left:136.95pt;margin-top:0.05pt;height:0pt;width:287.1pt;z-index:-251657216;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88" w:lineRule="exact"/>
        <w:rPr>
          <w:rFonts w:ascii="宋体" w:cs="宋体"/>
          <w:color w:val="auto"/>
          <w:sz w:val="20"/>
          <w:szCs w:val="20"/>
          <w:highlight w:val="none"/>
        </w:rPr>
      </w:pPr>
    </w:p>
    <w:p>
      <w:pPr>
        <w:spacing w:line="320" w:lineRule="exact"/>
        <w:ind w:left="1340"/>
        <w:rPr>
          <w:rFonts w:ascii="宋体" w:cs="宋体"/>
          <w:color w:val="auto"/>
          <w:sz w:val="20"/>
          <w:szCs w:val="20"/>
          <w:highlight w:val="none"/>
        </w:rPr>
      </w:pPr>
      <w:bookmarkStart w:id="172" w:name="_Toc4594_WPSOffice_Level2"/>
      <w:r>
        <w:rPr>
          <w:rFonts w:hint="eastAsia" w:ascii="宋体" w:hAnsi="宋体" w:cs="宋体"/>
          <w:color w:val="auto"/>
          <w:sz w:val="28"/>
          <w:szCs w:val="28"/>
          <w:highlight w:val="none"/>
        </w:rPr>
        <w:t>项目编号：</w:t>
      </w:r>
      <w:bookmarkEnd w:id="172"/>
    </w:p>
    <w:p>
      <w:pPr>
        <w:spacing w:line="20" w:lineRule="exact"/>
        <w:rPr>
          <w:rFonts w:ascii="宋体" w:cs="宋体"/>
          <w:color w:val="auto"/>
          <w:sz w:val="20"/>
          <w:szCs w:val="20"/>
          <w:highlight w:val="none"/>
        </w:rPr>
      </w:pPr>
      <w:r>
        <w:rPr>
          <w:color w:val="auto"/>
          <w:highlight w:val="none"/>
        </w:rPr>
        <w:pict>
          <v:line id="Shape 317" o:spid="_x0000_s1052" o:spt="20" style="position:absolute;left:0pt;margin-left:136.95pt;margin-top:0.05pt;height:0pt;width:287.1pt;z-index:-251656192;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25" w:lineRule="exact"/>
        <w:rPr>
          <w:rFonts w:ascii="宋体" w:cs="宋体"/>
          <w:color w:val="auto"/>
          <w:sz w:val="20"/>
          <w:szCs w:val="20"/>
          <w:highlight w:val="none"/>
        </w:rPr>
      </w:pPr>
    </w:p>
    <w:p>
      <w:pPr>
        <w:spacing w:line="822" w:lineRule="exact"/>
        <w:ind w:right="-33"/>
        <w:jc w:val="center"/>
        <w:rPr>
          <w:rFonts w:ascii="宋体" w:cs="宋体"/>
          <w:color w:val="auto"/>
          <w:sz w:val="20"/>
          <w:szCs w:val="20"/>
          <w:highlight w:val="none"/>
        </w:rPr>
      </w:pPr>
      <w:r>
        <w:rPr>
          <w:rFonts w:hint="eastAsia" w:ascii="宋体" w:hAnsi="宋体" w:cs="宋体"/>
          <w:color w:val="auto"/>
          <w:sz w:val="72"/>
          <w:szCs w:val="72"/>
          <w:highlight w:val="none"/>
        </w:rPr>
        <w:t>投</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文</w:t>
      </w:r>
      <w:r>
        <w:rPr>
          <w:rFonts w:ascii="宋体" w:hAnsi="宋体" w:cs="宋体"/>
          <w:color w:val="auto"/>
          <w:sz w:val="72"/>
          <w:szCs w:val="72"/>
          <w:highlight w:val="none"/>
        </w:rPr>
        <w:t xml:space="preserve"> </w:t>
      </w:r>
      <w:r>
        <w:rPr>
          <w:rFonts w:hint="eastAsia" w:ascii="宋体" w:hAnsi="宋体" w:cs="宋体"/>
          <w:color w:val="auto"/>
          <w:sz w:val="72"/>
          <w:szCs w:val="72"/>
          <w:highlight w:val="none"/>
        </w:rPr>
        <w:t>件</w:t>
      </w:r>
    </w:p>
    <w:p>
      <w:pPr>
        <w:spacing w:line="200" w:lineRule="exact"/>
        <w:rPr>
          <w:rFonts w:ascii="宋体" w:cs="宋体"/>
          <w:color w:val="auto"/>
          <w:sz w:val="20"/>
          <w:szCs w:val="20"/>
          <w:highlight w:val="none"/>
        </w:rPr>
      </w:pPr>
    </w:p>
    <w:p>
      <w:pPr>
        <w:spacing w:line="381" w:lineRule="exact"/>
        <w:rPr>
          <w:rFonts w:ascii="宋体" w:cs="宋体"/>
          <w:color w:val="auto"/>
          <w:sz w:val="20"/>
          <w:szCs w:val="20"/>
          <w:highlight w:val="none"/>
        </w:rPr>
      </w:pPr>
    </w:p>
    <w:p>
      <w:pPr>
        <w:spacing w:line="822" w:lineRule="exact"/>
        <w:ind w:right="-33"/>
        <w:jc w:val="center"/>
        <w:rPr>
          <w:rFonts w:ascii="宋体" w:cs="宋体"/>
          <w:color w:val="auto"/>
          <w:sz w:val="20"/>
          <w:szCs w:val="20"/>
          <w:highlight w:val="none"/>
        </w:rPr>
      </w:pPr>
      <w:r>
        <w:rPr>
          <w:rFonts w:hint="eastAsia" w:ascii="宋体" w:hAnsi="宋体" w:cs="宋体"/>
          <w:color w:val="auto"/>
          <w:sz w:val="72"/>
          <w:szCs w:val="72"/>
          <w:highlight w:val="none"/>
        </w:rPr>
        <w:t>（商务技术文件）</w: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67" w:lineRule="exact"/>
        <w:rPr>
          <w:rFonts w:ascii="宋体" w:cs="宋体"/>
          <w:color w:val="auto"/>
          <w:sz w:val="20"/>
          <w:szCs w:val="20"/>
          <w:highlight w:val="none"/>
        </w:rPr>
      </w:pPr>
    </w:p>
    <w:p>
      <w:pPr>
        <w:tabs>
          <w:tab w:val="left" w:pos="5880"/>
        </w:tabs>
        <w:spacing w:line="320" w:lineRule="exact"/>
        <w:ind w:left="1140"/>
        <w:jc w:val="both"/>
        <w:rPr>
          <w:rFonts w:ascii="宋体" w:cs="宋体"/>
          <w:color w:val="auto"/>
          <w:sz w:val="20"/>
          <w:szCs w:val="20"/>
          <w:highlight w:val="none"/>
        </w:rPr>
      </w:pPr>
      <w:bookmarkStart w:id="173" w:name="_Toc1319_WPSOffice_Level2"/>
      <w:r>
        <w:rPr>
          <w:rFonts w:hint="eastAsia" w:ascii="宋体" w:hAnsi="宋体" w:cs="宋体"/>
          <w:color w:val="auto"/>
          <w:sz w:val="28"/>
          <w:szCs w:val="28"/>
          <w:highlight w:val="none"/>
        </w:rPr>
        <w:t>供应商：</w:t>
      </w:r>
      <w:r>
        <w:rPr>
          <w:rFonts w:ascii="宋体" w:cs="宋体"/>
          <w:color w:val="auto"/>
          <w:sz w:val="20"/>
          <w:szCs w:val="20"/>
          <w:highlight w:val="none"/>
        </w:rPr>
        <w:tab/>
      </w:r>
      <w:r>
        <w:rPr>
          <w:rFonts w:hint="eastAsia" w:ascii="宋体" w:hAnsi="宋体" w:cs="宋体"/>
          <w:color w:val="auto"/>
          <w:sz w:val="28"/>
          <w:szCs w:val="28"/>
          <w:highlight w:val="none"/>
        </w:rPr>
        <w:t>（盖单位公章）</w:t>
      </w:r>
      <w:bookmarkEnd w:id="173"/>
    </w:p>
    <w:p>
      <w:pPr>
        <w:spacing w:line="20" w:lineRule="exact"/>
        <w:rPr>
          <w:rFonts w:ascii="宋体" w:cs="宋体"/>
          <w:color w:val="auto"/>
          <w:sz w:val="20"/>
          <w:szCs w:val="20"/>
          <w:highlight w:val="none"/>
        </w:rPr>
      </w:pPr>
      <w:r>
        <w:rPr>
          <w:color w:val="auto"/>
          <w:highlight w:val="none"/>
        </w:rPr>
        <w:pict>
          <v:line id="Shape 318" o:spid="_x0000_s1053" o:spt="20" style="position:absolute;left:0pt;margin-left:112.6pt;margin-top:0.05pt;height:0pt;width:182.05pt;z-index:-251655168;mso-width-relative:page;mso-height-relative:page;" filled="t" coordsize="21600,21600" o:allowincell="f">
            <v:path arrowok="t"/>
            <v:fill on="t" focussize="0,0"/>
            <v:stroke weight="1.08pt" joinstyle="miter"/>
            <v:imagedata o:title=""/>
            <o:lock v:ext="edit"/>
          </v:line>
        </w:pict>
      </w:r>
    </w:p>
    <w:p>
      <w:pPr>
        <w:spacing w:line="205" w:lineRule="exact"/>
        <w:rPr>
          <w:rFonts w:ascii="宋体" w:cs="宋体"/>
          <w:color w:val="auto"/>
          <w:sz w:val="20"/>
          <w:szCs w:val="20"/>
          <w:highlight w:val="none"/>
        </w:rPr>
      </w:pPr>
    </w:p>
    <w:p>
      <w:pPr>
        <w:tabs>
          <w:tab w:val="left" w:pos="5460"/>
        </w:tabs>
        <w:spacing w:line="320" w:lineRule="exact"/>
        <w:ind w:left="1140"/>
        <w:rPr>
          <w:rFonts w:ascii="宋体" w:cs="宋体"/>
          <w:color w:val="auto"/>
          <w:sz w:val="20"/>
          <w:szCs w:val="20"/>
          <w:highlight w:val="none"/>
        </w:rPr>
      </w:pPr>
      <w:bookmarkStart w:id="174" w:name="_Toc18029_WPSOffice_Level2"/>
      <w:r>
        <w:rPr>
          <w:rFonts w:hint="eastAsia" w:ascii="宋体" w:hAnsi="宋体" w:cs="宋体"/>
          <w:color w:val="auto"/>
          <w:sz w:val="28"/>
          <w:szCs w:val="28"/>
          <w:highlight w:val="none"/>
        </w:rPr>
        <w:t>响应文件签署人：</w:t>
      </w:r>
      <w:r>
        <w:rPr>
          <w:rFonts w:ascii="宋体" w:cs="宋体"/>
          <w:color w:val="auto"/>
          <w:sz w:val="20"/>
          <w:szCs w:val="20"/>
          <w:highlight w:val="none"/>
        </w:rPr>
        <w:tab/>
      </w:r>
      <w:r>
        <w:rPr>
          <w:rFonts w:hint="eastAsia" w:ascii="宋体" w:hAnsi="宋体" w:cs="宋体"/>
          <w:color w:val="auto"/>
          <w:sz w:val="28"/>
          <w:szCs w:val="28"/>
          <w:highlight w:val="none"/>
        </w:rPr>
        <w:t>（签字或盖章）</w:t>
      </w:r>
      <w:bookmarkEnd w:id="174"/>
    </w:p>
    <w:p>
      <w:pPr>
        <w:spacing w:line="20" w:lineRule="exact"/>
        <w:rPr>
          <w:rFonts w:ascii="宋体" w:cs="宋体"/>
          <w:color w:val="auto"/>
          <w:sz w:val="20"/>
          <w:szCs w:val="20"/>
          <w:highlight w:val="none"/>
        </w:rPr>
      </w:pPr>
      <w:r>
        <w:rPr>
          <w:color w:val="auto"/>
          <w:highlight w:val="none"/>
        </w:rPr>
        <w:pict>
          <v:line id="Shape 319" o:spid="_x0000_s1054" o:spt="20" style="position:absolute;left:0pt;margin-left:168.65pt;margin-top:0.05pt;height:0pt;width:105pt;z-index:-251654144;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88" w:lineRule="exact"/>
        <w:rPr>
          <w:rFonts w:ascii="宋体" w:cs="宋体"/>
          <w:color w:val="auto"/>
          <w:sz w:val="20"/>
          <w:szCs w:val="20"/>
          <w:highlight w:val="none"/>
        </w:rPr>
      </w:pPr>
    </w:p>
    <w:p>
      <w:pPr>
        <w:tabs>
          <w:tab w:val="left" w:pos="4600"/>
          <w:tab w:val="left" w:pos="5300"/>
        </w:tabs>
        <w:spacing w:line="320" w:lineRule="exact"/>
        <w:ind w:left="3920"/>
        <w:rPr>
          <w:rFonts w:ascii="宋体" w:cs="宋体"/>
          <w:color w:val="auto"/>
          <w:sz w:val="20"/>
          <w:szCs w:val="20"/>
          <w:highlight w:val="none"/>
        </w:rPr>
      </w:pPr>
      <w:bookmarkStart w:id="175" w:name="_Toc15576_WPSOffice_Level2"/>
      <w:r>
        <w:rPr>
          <w:rFonts w:hint="eastAsia" w:ascii="宋体" w:hAnsi="宋体" w:cs="宋体"/>
          <w:color w:val="auto"/>
          <w:sz w:val="28"/>
          <w:szCs w:val="28"/>
          <w:highlight w:val="none"/>
        </w:rPr>
        <w:t>年</w:t>
      </w:r>
      <w:r>
        <w:rPr>
          <w:rFonts w:ascii="宋体" w:cs="宋体"/>
          <w:color w:val="auto"/>
          <w:sz w:val="28"/>
          <w:szCs w:val="28"/>
          <w:highlight w:val="none"/>
        </w:rPr>
        <w:tab/>
      </w:r>
      <w:r>
        <w:rPr>
          <w:rFonts w:hint="eastAsia" w:ascii="宋体" w:hAnsi="宋体" w:cs="宋体"/>
          <w:color w:val="auto"/>
          <w:sz w:val="28"/>
          <w:szCs w:val="28"/>
          <w:highlight w:val="none"/>
        </w:rPr>
        <w:t>月</w:t>
      </w:r>
      <w:r>
        <w:rPr>
          <w:rFonts w:ascii="宋体" w:cs="宋体"/>
          <w:color w:val="auto"/>
          <w:sz w:val="28"/>
          <w:szCs w:val="28"/>
          <w:highlight w:val="none"/>
        </w:rPr>
        <w:tab/>
      </w:r>
      <w:r>
        <w:rPr>
          <w:rFonts w:hint="eastAsia" w:ascii="宋体" w:hAnsi="宋体" w:cs="宋体"/>
          <w:color w:val="auto"/>
          <w:sz w:val="28"/>
          <w:szCs w:val="28"/>
          <w:highlight w:val="none"/>
        </w:rPr>
        <w:t>日</w:t>
      </w:r>
      <w:bookmarkEnd w:id="175"/>
    </w:p>
    <w:p>
      <w:pPr>
        <w:spacing w:line="20" w:lineRule="exact"/>
        <w:rPr>
          <w:rFonts w:ascii="宋体" w:cs="宋体"/>
          <w:color w:val="auto"/>
          <w:sz w:val="20"/>
          <w:szCs w:val="20"/>
          <w:highlight w:val="none"/>
        </w:rPr>
      </w:pPr>
      <w:r>
        <w:rPr>
          <w:color w:val="auto"/>
          <w:highlight w:val="none"/>
        </w:rPr>
        <w:pict>
          <v:line id="Shape 320" o:spid="_x0000_s1055" o:spt="20" style="position:absolute;left:0pt;margin-left:153.85pt;margin-top:0.05pt;height:0pt;width:42.15pt;z-index:-251653120;mso-width-relative:page;mso-height-relative:page;" filled="t" coordsize="21600,21600" o:allowincell="f">
            <v:path arrowok="t"/>
            <v:fill on="t" focussize="0,0"/>
            <v:stroke weight="1.08pt" joinstyle="miter"/>
            <v:imagedata o:title=""/>
            <o:lock v:ext="edit"/>
          </v:line>
        </w:pict>
      </w:r>
      <w:r>
        <w:rPr>
          <w:color w:val="auto"/>
          <w:highlight w:val="none"/>
        </w:rPr>
        <w:pict>
          <v:line id="Shape 321" o:spid="_x0000_s1056" o:spt="20" style="position:absolute;left:0pt;margin-left:209.9pt;margin-top:0.05pt;height:0pt;width:21.05pt;z-index:-251652096;mso-width-relative:page;mso-height-relative:page;" filled="t" coordsize="21600,21600" o:allowincell="f">
            <v:path arrowok="t"/>
            <v:fill on="t" focussize="0,0"/>
            <v:stroke weight="1.08pt" joinstyle="miter"/>
            <v:imagedata o:title=""/>
            <o:lock v:ext="edit"/>
          </v:line>
        </w:pict>
      </w:r>
      <w:r>
        <w:rPr>
          <w:color w:val="auto"/>
          <w:highlight w:val="none"/>
        </w:rPr>
        <w:pict>
          <v:line id="Shape 322" o:spid="_x0000_s1057" o:spt="20" style="position:absolute;left:0pt;margin-left:244.95pt;margin-top:0.05pt;height:0pt;width:20.9pt;z-index:-251651072;mso-width-relative:page;mso-height-relative:page;" filled="t" coordsize="21600,21600" o:allowincell="f">
            <v:path arrowok="t"/>
            <v:fill on="t" focussize="0,0"/>
            <v:stroke weight="1.08pt" joinstyle="miter"/>
            <v:imagedata o:title=""/>
            <o:lock v:ext="edit"/>
          </v:line>
        </w:pic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jc w:val="center"/>
        <w:rPr>
          <w:rFonts w:ascii="宋体" w:cs="宋体"/>
          <w:b/>
          <w:bCs/>
          <w:color w:val="auto"/>
          <w:sz w:val="28"/>
          <w:szCs w:val="28"/>
          <w:highlight w:val="none"/>
        </w:rPr>
      </w:pPr>
      <w:bookmarkStart w:id="176" w:name="_Toc18958_WPSOffice_Level2"/>
      <w:r>
        <w:rPr>
          <w:rFonts w:hint="eastAsia" w:ascii="宋体" w:hAnsi="宋体" w:cs="宋体"/>
          <w:b/>
          <w:bCs/>
          <w:color w:val="auto"/>
          <w:sz w:val="28"/>
          <w:szCs w:val="28"/>
          <w:highlight w:val="none"/>
        </w:rPr>
        <w:t>索</w:t>
      </w:r>
      <w:r>
        <w:rPr>
          <w:rFonts w:ascii="宋体" w:hAnsi="宋体" w:cs="宋体"/>
          <w:b/>
          <w:bCs/>
          <w:color w:val="auto"/>
          <w:sz w:val="28"/>
          <w:szCs w:val="28"/>
          <w:highlight w:val="none"/>
        </w:rPr>
        <w:t xml:space="preserve">   </w:t>
      </w:r>
      <w:r>
        <w:rPr>
          <w:rFonts w:hint="eastAsia" w:ascii="宋体" w:hAnsi="宋体" w:cs="宋体"/>
          <w:b/>
          <w:bCs/>
          <w:color w:val="auto"/>
          <w:sz w:val="28"/>
          <w:szCs w:val="28"/>
          <w:highlight w:val="none"/>
        </w:rPr>
        <w:t>引</w:t>
      </w:r>
      <w:bookmarkEnd w:id="176"/>
    </w:p>
    <w:p>
      <w:pPr>
        <w:jc w:val="center"/>
        <w:rPr>
          <w:rFonts w:ascii="宋体" w:cs="宋体"/>
          <w:b/>
          <w:bCs/>
          <w:color w:val="auto"/>
          <w:sz w:val="28"/>
          <w:szCs w:val="28"/>
          <w:highlight w:val="none"/>
        </w:rPr>
      </w:pPr>
    </w:p>
    <w:p>
      <w:pPr>
        <w:jc w:val="center"/>
        <w:rPr>
          <w:rFonts w:ascii="宋体" w:cs="宋体"/>
          <w:b/>
          <w:bCs/>
          <w:color w:val="auto"/>
          <w:sz w:val="28"/>
          <w:szCs w:val="28"/>
          <w:highlight w:val="none"/>
        </w:rPr>
      </w:pPr>
      <w:bookmarkStart w:id="177" w:name="_Toc13178_WPSOffice_Level2"/>
      <w:r>
        <w:rPr>
          <w:rFonts w:hint="eastAsia" w:ascii="宋体" w:hAnsi="宋体" w:cs="宋体"/>
          <w:b/>
          <w:bCs/>
          <w:color w:val="auto"/>
          <w:sz w:val="28"/>
          <w:szCs w:val="28"/>
          <w:highlight w:val="none"/>
        </w:rPr>
        <w:t>（请磋商响应供应商自行在评分表基础上自拟）</w:t>
      </w:r>
      <w:bookmarkEnd w:id="177"/>
    </w:p>
    <w:p>
      <w:pPr>
        <w:spacing w:line="251" w:lineRule="exact"/>
        <w:rPr>
          <w:rFonts w:ascii="宋体" w:cs="宋体"/>
          <w:color w:val="auto"/>
          <w:sz w:val="20"/>
          <w:szCs w:val="20"/>
          <w:highlight w:val="none"/>
        </w:rPr>
      </w:pPr>
    </w:p>
    <w:p>
      <w:pPr>
        <w:rPr>
          <w:color w:val="auto"/>
          <w:highlight w:val="none"/>
        </w:rPr>
      </w:pPr>
      <w:bookmarkStart w:id="178" w:name="page76"/>
      <w:bookmarkEnd w:id="178"/>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6" w:lineRule="exact"/>
        <w:rPr>
          <w:rFonts w:ascii="宋体" w:cs="宋体"/>
          <w:b/>
          <w:bCs/>
          <w:color w:val="auto"/>
          <w:sz w:val="28"/>
          <w:szCs w:val="28"/>
          <w:highlight w:val="none"/>
        </w:rPr>
      </w:pPr>
    </w:p>
    <w:p>
      <w:pPr>
        <w:spacing w:line="366" w:lineRule="exact"/>
        <w:rPr>
          <w:rFonts w:asci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rPr>
          <w:rFonts w:ascii="宋体" w:cs="宋体"/>
          <w:b/>
          <w:bCs/>
          <w:color w:val="auto"/>
          <w:sz w:val="28"/>
          <w:szCs w:val="28"/>
          <w:highlight w:val="none"/>
        </w:rPr>
      </w:pPr>
      <w:r>
        <w:rPr>
          <w:rFonts w:hint="eastAsia" w:ascii="宋体" w:hAnsi="宋体" w:cs="宋体"/>
          <w:b/>
          <w:bCs/>
          <w:color w:val="auto"/>
          <w:sz w:val="28"/>
          <w:szCs w:val="28"/>
          <w:highlight w:val="none"/>
        </w:rPr>
        <w:t>商务文件</w:t>
      </w:r>
    </w:p>
    <w:p>
      <w:pPr>
        <w:spacing w:line="366"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一、法定代表人资格证明书</w:t>
      </w:r>
    </w:p>
    <w:p>
      <w:pPr>
        <w:pStyle w:val="9"/>
        <w:adjustRightInd w:val="0"/>
        <w:spacing w:before="120" w:after="120" w:line="360" w:lineRule="auto"/>
        <w:ind w:firstLine="480" w:firstLineChars="229"/>
        <w:rPr>
          <w:rFonts w:hAnsi="宋体" w:cs="宋体"/>
          <w:color w:val="auto"/>
          <w:sz w:val="21"/>
          <w:szCs w:val="21"/>
          <w:highlight w:val="none"/>
          <w:u w:val="single"/>
        </w:rPr>
      </w:pPr>
      <w:r>
        <w:rPr>
          <w:rFonts w:hint="eastAsia" w:hAnsi="宋体" w:cs="宋体"/>
          <w:color w:val="auto"/>
          <w:sz w:val="21"/>
          <w:szCs w:val="21"/>
          <w:highlight w:val="none"/>
          <w:u w:val="single"/>
        </w:rPr>
        <w:t>（采购人单位名称）：</w:t>
      </w:r>
      <w:r>
        <w:rPr>
          <w:rFonts w:hAnsi="宋体" w:cs="宋体"/>
          <w:color w:val="auto"/>
          <w:sz w:val="21"/>
          <w:szCs w:val="21"/>
          <w:highlight w:val="none"/>
          <w:u w:val="single"/>
        </w:rPr>
        <w:t xml:space="preserve">         </w:t>
      </w:r>
    </w:p>
    <w:p>
      <w:pPr>
        <w:pStyle w:val="9"/>
        <w:adjustRightInd w:val="0"/>
        <w:spacing w:before="120" w:after="120" w:line="360" w:lineRule="auto"/>
        <w:ind w:firstLine="482"/>
        <w:rPr>
          <w:rFonts w:hAnsi="宋体" w:cs="宋体"/>
          <w:color w:val="auto"/>
          <w:sz w:val="21"/>
          <w:szCs w:val="21"/>
          <w:highlight w:val="none"/>
        </w:rPr>
      </w:pPr>
      <w:r>
        <w:rPr>
          <w:rFonts w:hint="eastAsia" w:hAnsi="宋体" w:cs="宋体"/>
          <w:color w:val="auto"/>
          <w:sz w:val="21"/>
          <w:szCs w:val="21"/>
          <w:highlight w:val="none"/>
          <w:u w:val="single"/>
        </w:rPr>
        <w:t>浙江五石工程咨询有限公司：</w:t>
      </w:r>
    </w:p>
    <w:p>
      <w:pPr>
        <w:pStyle w:val="8"/>
        <w:adjustRightInd w:val="0"/>
        <w:spacing w:line="360" w:lineRule="auto"/>
        <w:ind w:firstLine="420" w:firstLineChars="200"/>
        <w:rPr>
          <w:rFonts w:ascii="宋体" w:hAnsi="宋体" w:eastAsia="宋体" w:cs="宋体"/>
          <w:snapToGrid w:val="0"/>
          <w:color w:val="auto"/>
          <w:sz w:val="21"/>
          <w:szCs w:val="21"/>
          <w:highlight w:val="none"/>
        </w:rPr>
      </w:pPr>
      <w:r>
        <w:rPr>
          <w:rFonts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（姓名）</w:t>
      </w:r>
      <w:r>
        <w:rPr>
          <w:rFonts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系</w:t>
      </w:r>
      <w:r>
        <w:rPr>
          <w:rFonts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（单位名称）</w:t>
      </w:r>
      <w:r>
        <w:rPr>
          <w:rFonts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的法定代表人，</w:t>
      </w:r>
      <w:r>
        <w:rPr>
          <w:rFonts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u w:val="single"/>
        </w:rPr>
        <w:t>（身份证号）</w:t>
      </w:r>
      <w:r>
        <w:rPr>
          <w:rFonts w:ascii="宋体" w:hAnsi="宋体" w:eastAsia="宋体" w:cs="宋体"/>
          <w:snapToGrid w:val="0"/>
          <w:color w:val="auto"/>
          <w:sz w:val="21"/>
          <w:szCs w:val="21"/>
          <w:highlight w:val="none"/>
          <w:u w:val="single"/>
        </w:rPr>
        <w:t xml:space="preserve">     </w:t>
      </w:r>
      <w:r>
        <w:rPr>
          <w:rFonts w:hint="eastAsia" w:ascii="宋体" w:hAnsi="宋体" w:eastAsia="宋体" w:cs="宋体"/>
          <w:snapToGrid w:val="0"/>
          <w:color w:val="auto"/>
          <w:sz w:val="21"/>
          <w:szCs w:val="21"/>
          <w:highlight w:val="none"/>
        </w:rPr>
        <w:t>。</w:t>
      </w:r>
    </w:p>
    <w:p>
      <w:pPr>
        <w:pStyle w:val="8"/>
        <w:adjustRightInd w:val="0"/>
        <w:spacing w:line="360" w:lineRule="auto"/>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特此证明。</w:t>
      </w:r>
    </w:p>
    <w:p>
      <w:pPr>
        <w:pStyle w:val="8"/>
        <w:adjustRightInd w:val="0"/>
        <w:spacing w:line="360" w:lineRule="auto"/>
        <w:ind w:firstLine="420" w:firstLineChars="200"/>
        <w:rPr>
          <w:rFonts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投标人：（盖单位公章）</w:t>
      </w:r>
    </w:p>
    <w:p>
      <w:pPr>
        <w:adjustRightInd w:val="0"/>
        <w:snapToGrid w:val="0"/>
        <w:spacing w:line="360" w:lineRule="auto"/>
        <w:ind w:firstLine="420" w:firstLineChars="200"/>
        <w:rPr>
          <w:rFonts w:ascii="宋体" w:cs="宋体"/>
          <w:snapToGrid w:val="0"/>
          <w:color w:val="auto"/>
          <w:sz w:val="21"/>
          <w:szCs w:val="21"/>
          <w:highlight w:val="none"/>
        </w:rPr>
      </w:pPr>
      <w:r>
        <w:rPr>
          <w:rFonts w:hint="eastAsia" w:ascii="宋体" w:hAnsi="宋体" w:cs="宋体"/>
          <w:snapToGrid w:val="0"/>
          <w:color w:val="auto"/>
          <w:sz w:val="21"/>
          <w:szCs w:val="21"/>
          <w:highlight w:val="none"/>
        </w:rPr>
        <w:t>日期：</w:t>
      </w:r>
      <w:r>
        <w:rPr>
          <w:rFonts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年</w:t>
      </w:r>
      <w:r>
        <w:rPr>
          <w:rFonts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月</w:t>
      </w:r>
      <w:r>
        <w:rPr>
          <w:rFonts w:ascii="宋体" w:hAnsi="宋体" w:cs="宋体"/>
          <w:snapToGrid w:val="0"/>
          <w:color w:val="auto"/>
          <w:sz w:val="21"/>
          <w:szCs w:val="21"/>
          <w:highlight w:val="none"/>
          <w:u w:val="single"/>
        </w:rPr>
        <w:t xml:space="preserve">     </w:t>
      </w:r>
      <w:r>
        <w:rPr>
          <w:rFonts w:hint="eastAsia" w:ascii="宋体" w:hAnsi="宋体" w:cs="宋体"/>
          <w:snapToGrid w:val="0"/>
          <w:color w:val="auto"/>
          <w:sz w:val="21"/>
          <w:szCs w:val="21"/>
          <w:highlight w:val="none"/>
        </w:rPr>
        <w:t>日</w:t>
      </w:r>
    </w:p>
    <w:p>
      <w:pPr>
        <w:adjustRightInd w:val="0"/>
        <w:snapToGrid w:val="0"/>
        <w:spacing w:line="360" w:lineRule="auto"/>
        <w:ind w:firstLine="420" w:firstLineChars="200"/>
        <w:rPr>
          <w:rFonts w:ascii="宋体" w:cs="宋体"/>
          <w:snapToGrid w:val="0"/>
          <w:color w:val="auto"/>
          <w:sz w:val="21"/>
          <w:szCs w:val="21"/>
          <w:highlight w:val="none"/>
        </w:rPr>
      </w:pPr>
      <w:r>
        <w:rPr>
          <w:rFonts w:hint="eastAsia" w:ascii="宋体" w:hAnsi="宋体" w:cs="宋体"/>
          <w:snapToGrid w:val="0"/>
          <w:color w:val="auto"/>
          <w:sz w:val="21"/>
          <w:szCs w:val="21"/>
          <w:highlight w:val="none"/>
        </w:rPr>
        <w:t>附：</w:t>
      </w:r>
    </w:p>
    <w:p>
      <w:pPr>
        <w:adjustRightInd w:val="0"/>
        <w:snapToGrid w:val="0"/>
        <w:spacing w:line="360" w:lineRule="auto"/>
        <w:ind w:firstLine="420" w:firstLineChars="200"/>
        <w:rPr>
          <w:rFonts w:ascii="宋体" w:cs="宋体"/>
          <w:snapToGrid w:val="0"/>
          <w:color w:val="auto"/>
          <w:sz w:val="21"/>
          <w:szCs w:val="21"/>
          <w:highlight w:val="none"/>
        </w:rPr>
      </w:pPr>
      <w:r>
        <w:rPr>
          <w:rFonts w:hint="eastAsia" w:ascii="宋体" w:hAnsi="宋体" w:cs="宋体"/>
          <w:snapToGrid w:val="0"/>
          <w:color w:val="auto"/>
          <w:sz w:val="21"/>
          <w:szCs w:val="21"/>
          <w:highlight w:val="none"/>
        </w:rPr>
        <w:t>法定代表人联系方式及身份证复印件</w:t>
      </w:r>
    </w:p>
    <w:p>
      <w:pPr>
        <w:adjustRightInd w:val="0"/>
        <w:snapToGrid w:val="0"/>
        <w:spacing w:line="360" w:lineRule="auto"/>
        <w:ind w:firstLine="422" w:firstLineChars="200"/>
        <w:rPr>
          <w:rFonts w:ascii="宋体" w:cs="宋体"/>
          <w:b/>
          <w:bCs/>
          <w:color w:val="auto"/>
          <w:sz w:val="21"/>
          <w:szCs w:val="21"/>
          <w:highlight w:val="none"/>
        </w:rPr>
      </w:pPr>
      <w:r>
        <w:rPr>
          <w:rFonts w:hint="eastAsia" w:ascii="宋体" w:hAnsi="宋体" w:cs="宋体"/>
          <w:b/>
          <w:snapToGrid w:val="0"/>
          <w:color w:val="auto"/>
          <w:sz w:val="21"/>
          <w:szCs w:val="21"/>
          <w:highlight w:val="none"/>
        </w:rPr>
        <w:t>注：法定代表人直接签署投标文件并参加投标的，在投标文件中出具此资格证明书及身份证复印件。</w:t>
      </w:r>
    </w:p>
    <w:p>
      <w:pPr>
        <w:spacing w:line="366" w:lineRule="exact"/>
        <w:jc w:val="center"/>
        <w:rPr>
          <w:rFonts w:ascii="宋体" w:cs="宋体"/>
          <w:b/>
          <w:bCs/>
          <w:color w:val="auto"/>
          <w:sz w:val="28"/>
          <w:szCs w:val="28"/>
          <w:highlight w:val="none"/>
        </w:rPr>
      </w:pPr>
      <w:bookmarkStart w:id="179" w:name="_Toc23739_WPSOffice_Level2"/>
      <w:r>
        <w:rPr>
          <w:rFonts w:hint="eastAsia" w:ascii="宋体" w:hAnsi="宋体" w:cs="宋体"/>
          <w:b/>
          <w:bCs/>
          <w:color w:val="auto"/>
          <w:sz w:val="28"/>
          <w:szCs w:val="28"/>
          <w:highlight w:val="none"/>
        </w:rPr>
        <w:t>法定代表人授权委托书</w:t>
      </w:r>
      <w:bookmarkEnd w:id="179"/>
    </w:p>
    <w:p>
      <w:pPr>
        <w:pStyle w:val="9"/>
        <w:adjustRightInd w:val="0"/>
        <w:spacing w:before="120" w:after="120"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u w:val="single"/>
        </w:rPr>
        <w:t>（采购人单位名称）：</w:t>
      </w:r>
    </w:p>
    <w:p>
      <w:pPr>
        <w:pStyle w:val="9"/>
        <w:adjustRightInd w:val="0"/>
        <w:spacing w:before="120" w:after="120"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u w:val="single"/>
        </w:rPr>
        <w:t>浙江五石工程咨询有限公司：</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我以</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（投标人全称）</w:t>
      </w:r>
      <w:r>
        <w:rPr>
          <w:rFonts w:hAnsi="宋体" w:cs="宋体"/>
          <w:color w:val="auto"/>
          <w:sz w:val="21"/>
          <w:szCs w:val="21"/>
          <w:highlight w:val="none"/>
          <w:u w:val="single"/>
        </w:rPr>
        <w:t xml:space="preserve">    </w:t>
      </w:r>
      <w:r>
        <w:rPr>
          <w:rFonts w:hint="eastAsia" w:hAnsi="宋体" w:cs="宋体"/>
          <w:color w:val="auto"/>
          <w:sz w:val="21"/>
          <w:szCs w:val="21"/>
          <w:highlight w:val="none"/>
        </w:rPr>
        <w:t>法定代表人的身份授权</w:t>
      </w:r>
      <w:r>
        <w:rPr>
          <w:rFonts w:hint="eastAsia" w:hAnsi="宋体" w:cs="宋体"/>
          <w:color w:val="auto"/>
          <w:sz w:val="21"/>
          <w:szCs w:val="21"/>
          <w:highlight w:val="none"/>
          <w:u w:val="single"/>
        </w:rPr>
        <w:t>（全权代表姓名）</w:t>
      </w:r>
      <w:r>
        <w:rPr>
          <w:rFonts w:hint="eastAsia" w:hAnsi="宋体" w:cs="宋体"/>
          <w:color w:val="auto"/>
          <w:sz w:val="21"/>
          <w:szCs w:val="21"/>
          <w:highlight w:val="none"/>
        </w:rPr>
        <w:t>、</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（身份证号</w:t>
      </w:r>
      <w:r>
        <w:rPr>
          <w:rFonts w:hAnsi="宋体" w:cs="宋体"/>
          <w:color w:val="auto"/>
          <w:sz w:val="21"/>
          <w:szCs w:val="21"/>
          <w:highlight w:val="none"/>
          <w:u w:val="single"/>
        </w:rPr>
        <w:tab/>
      </w:r>
      <w:r>
        <w:rPr>
          <w:rFonts w:hAnsi="宋体" w:cs="宋体"/>
          <w:color w:val="auto"/>
          <w:sz w:val="21"/>
          <w:szCs w:val="21"/>
          <w:highlight w:val="none"/>
          <w:u w:val="single"/>
        </w:rPr>
        <w:tab/>
      </w:r>
      <w:r>
        <w:rPr>
          <w:rFonts w:hint="eastAsia" w:hAnsi="宋体" w:cs="宋体"/>
          <w:color w:val="auto"/>
          <w:sz w:val="21"/>
          <w:szCs w:val="21"/>
          <w:highlight w:val="none"/>
          <w:u w:val="single"/>
        </w:rPr>
        <w:t>）</w:t>
      </w:r>
      <w:r>
        <w:rPr>
          <w:rFonts w:hAnsi="宋体" w:cs="宋体"/>
          <w:color w:val="auto"/>
          <w:sz w:val="21"/>
          <w:szCs w:val="21"/>
          <w:highlight w:val="none"/>
          <w:u w:val="single"/>
        </w:rPr>
        <w:t xml:space="preserve">   </w:t>
      </w:r>
      <w:r>
        <w:rPr>
          <w:rFonts w:hint="eastAsia" w:hAnsi="宋体" w:cs="宋体"/>
          <w:color w:val="auto"/>
          <w:sz w:val="21"/>
          <w:szCs w:val="21"/>
          <w:highlight w:val="none"/>
        </w:rPr>
        <w:t>，为我单位的全权代表，参加贵处组织的</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（项目名称）</w:t>
      </w:r>
      <w:r>
        <w:rPr>
          <w:rFonts w:hAnsi="宋体" w:cs="宋体"/>
          <w:color w:val="auto"/>
          <w:sz w:val="21"/>
          <w:szCs w:val="21"/>
          <w:highlight w:val="none"/>
          <w:u w:val="single"/>
        </w:rPr>
        <w:t xml:space="preserve"> </w:t>
      </w:r>
      <w:r>
        <w:rPr>
          <w:rFonts w:hint="eastAsia" w:hAnsi="宋体" w:cs="宋体"/>
          <w:color w:val="auto"/>
          <w:sz w:val="21"/>
          <w:szCs w:val="21"/>
          <w:highlight w:val="none"/>
        </w:rPr>
        <w:t>（</w:t>
      </w:r>
      <w:r>
        <w:rPr>
          <w:rFonts w:hint="eastAsia" w:hAnsi="宋体" w:cs="宋体"/>
          <w:color w:val="auto"/>
          <w:sz w:val="21"/>
          <w:szCs w:val="21"/>
          <w:highlight w:val="none"/>
          <w:u w:val="single"/>
        </w:rPr>
        <w:t>招标项目编号</w:t>
      </w:r>
      <w:r>
        <w:rPr>
          <w:rFonts w:hint="eastAsia" w:hAnsi="宋体" w:cs="宋体"/>
          <w:color w:val="auto"/>
          <w:sz w:val="21"/>
          <w:szCs w:val="21"/>
          <w:highlight w:val="none"/>
        </w:rPr>
        <w:t>）</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（标项内容）</w:t>
      </w:r>
      <w:r>
        <w:rPr>
          <w:rFonts w:hint="eastAsia" w:hAnsi="宋体" w:cs="宋体"/>
          <w:color w:val="auto"/>
          <w:sz w:val="21"/>
          <w:szCs w:val="21"/>
          <w:highlight w:val="none"/>
        </w:rPr>
        <w:t>的招标，签署本项目相关投标文件并全权处理投标活动中的一切事宜。我单位承认全权代表做出的与本项目招投标活动有关的全部行为。</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投标人全称（盖单位公章）：</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法定代表人（签字或盖章）：</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电话：</w:t>
      </w:r>
    </w:p>
    <w:p>
      <w:pPr>
        <w:pStyle w:val="9"/>
        <w:spacing w:before="120" w:after="120"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日期：</w:t>
      </w:r>
    </w:p>
    <w:p>
      <w:pPr>
        <w:pStyle w:val="9"/>
        <w:spacing w:before="120" w:after="120" w:line="360" w:lineRule="auto"/>
        <w:ind w:firstLine="480"/>
        <w:rPr>
          <w:rFonts w:hAnsi="宋体" w:cs="宋体"/>
          <w:color w:val="auto"/>
          <w:sz w:val="21"/>
          <w:szCs w:val="21"/>
          <w:highlight w:val="none"/>
        </w:rPr>
      </w:pPr>
      <w:r>
        <w:rPr>
          <w:rFonts w:hint="eastAsia" w:hAnsi="宋体" w:cs="宋体"/>
          <w:color w:val="auto"/>
          <w:sz w:val="21"/>
          <w:szCs w:val="21"/>
          <w:highlight w:val="none"/>
        </w:rPr>
        <w:t>附：</w:t>
      </w:r>
    </w:p>
    <w:p>
      <w:pPr>
        <w:pStyle w:val="9"/>
        <w:spacing w:before="120" w:after="120" w:line="360" w:lineRule="auto"/>
        <w:ind w:firstLine="480"/>
        <w:rPr>
          <w:rFonts w:hAnsi="宋体" w:cs="宋体"/>
          <w:color w:val="auto"/>
          <w:sz w:val="21"/>
          <w:szCs w:val="21"/>
          <w:highlight w:val="none"/>
        </w:rPr>
      </w:pPr>
      <w:r>
        <w:rPr>
          <w:rFonts w:hint="eastAsia" w:hAnsi="宋体" w:cs="宋体"/>
          <w:color w:val="auto"/>
          <w:sz w:val="21"/>
          <w:szCs w:val="21"/>
          <w:highlight w:val="none"/>
        </w:rPr>
        <w:t>全权代表姓名：</w:t>
      </w:r>
      <w:r>
        <w:rPr>
          <w:rFonts w:hAnsi="宋体" w:cs="宋体"/>
          <w:color w:val="auto"/>
          <w:sz w:val="21"/>
          <w:szCs w:val="21"/>
          <w:highlight w:val="none"/>
        </w:rPr>
        <w:t xml:space="preserve">     </w:t>
      </w:r>
      <w:r>
        <w:rPr>
          <w:rFonts w:hint="eastAsia" w:hAnsi="宋体" w:cs="宋体"/>
          <w:color w:val="auto"/>
          <w:sz w:val="21"/>
          <w:szCs w:val="21"/>
          <w:highlight w:val="none"/>
        </w:rPr>
        <w:t>身份证号码：</w:t>
      </w:r>
      <w:r>
        <w:rPr>
          <w:rFonts w:hAnsi="宋体" w:cs="宋体"/>
          <w:color w:val="auto"/>
          <w:sz w:val="21"/>
          <w:szCs w:val="21"/>
          <w:highlight w:val="none"/>
        </w:rPr>
        <w:t xml:space="preserve">      </w:t>
      </w:r>
      <w:r>
        <w:rPr>
          <w:rFonts w:hint="eastAsia" w:hAnsi="宋体" w:cs="宋体"/>
          <w:color w:val="auto"/>
          <w:sz w:val="21"/>
          <w:szCs w:val="21"/>
          <w:highlight w:val="none"/>
        </w:rPr>
        <w:t>职</w:t>
      </w:r>
      <w:r>
        <w:rPr>
          <w:rFonts w:hAnsi="宋体" w:cs="宋体"/>
          <w:color w:val="auto"/>
          <w:sz w:val="21"/>
          <w:szCs w:val="21"/>
          <w:highlight w:val="none"/>
        </w:rPr>
        <w:t xml:space="preserve">  </w:t>
      </w:r>
      <w:r>
        <w:rPr>
          <w:rFonts w:hint="eastAsia" w:hAnsi="宋体" w:cs="宋体"/>
          <w:color w:val="auto"/>
          <w:sz w:val="21"/>
          <w:szCs w:val="21"/>
          <w:highlight w:val="none"/>
        </w:rPr>
        <w:t>务：</w:t>
      </w:r>
      <w:r>
        <w:rPr>
          <w:rFonts w:hAnsi="宋体" w:cs="宋体"/>
          <w:color w:val="auto"/>
          <w:sz w:val="21"/>
          <w:szCs w:val="21"/>
          <w:highlight w:val="none"/>
        </w:rPr>
        <w:t xml:space="preserve">         </w:t>
      </w:r>
      <w:r>
        <w:rPr>
          <w:rFonts w:hint="eastAsia" w:hAnsi="宋体" w:cs="宋体"/>
          <w:color w:val="auto"/>
          <w:sz w:val="21"/>
          <w:szCs w:val="21"/>
          <w:highlight w:val="none"/>
        </w:rPr>
        <w:t>电</w:t>
      </w:r>
      <w:r>
        <w:rPr>
          <w:rFonts w:hAnsi="宋体" w:cs="宋体"/>
          <w:color w:val="auto"/>
          <w:sz w:val="21"/>
          <w:szCs w:val="21"/>
          <w:highlight w:val="none"/>
        </w:rPr>
        <w:t xml:space="preserve">  </w:t>
      </w:r>
      <w:r>
        <w:rPr>
          <w:rFonts w:hint="eastAsia" w:hAnsi="宋体" w:cs="宋体"/>
          <w:color w:val="auto"/>
          <w:sz w:val="21"/>
          <w:szCs w:val="21"/>
          <w:highlight w:val="none"/>
        </w:rPr>
        <w:t>话：</w:t>
      </w:r>
    </w:p>
    <w:p>
      <w:pPr>
        <w:spacing w:line="360" w:lineRule="auto"/>
        <w:ind w:firstLine="422" w:firstLineChars="200"/>
        <w:rPr>
          <w:rFonts w:ascii="宋体" w:cs="宋体"/>
          <w:b/>
          <w:color w:val="auto"/>
          <w:sz w:val="21"/>
          <w:szCs w:val="21"/>
          <w:highlight w:val="none"/>
        </w:rPr>
      </w:pPr>
      <w:r>
        <w:rPr>
          <w:rFonts w:hint="eastAsia" w:ascii="宋体" w:hAnsi="宋体" w:cs="宋体"/>
          <w:b/>
          <w:color w:val="auto"/>
          <w:sz w:val="21"/>
          <w:szCs w:val="21"/>
          <w:highlight w:val="none"/>
        </w:rPr>
        <w:t>全权代表身份证复印件：</w:t>
      </w:r>
    </w:p>
    <w:p>
      <w:pPr>
        <w:ind w:firstLine="422" w:firstLineChars="200"/>
        <w:rPr>
          <w:rFonts w:ascii="宋体" w:cs="宋体"/>
          <w:b/>
          <w:color w:val="auto"/>
          <w:sz w:val="21"/>
          <w:szCs w:val="21"/>
          <w:highlight w:val="none"/>
        </w:rPr>
      </w:pPr>
      <w:r>
        <w:rPr>
          <w:rFonts w:hint="eastAsia" w:ascii="宋体" w:hAnsi="宋体" w:cs="宋体"/>
          <w:b/>
          <w:color w:val="auto"/>
          <w:sz w:val="21"/>
          <w:szCs w:val="21"/>
          <w:highlight w:val="none"/>
        </w:rPr>
        <w:t>注：法定代表人授权其公司员工签署及参加投标的，在投标文件中同时出具法定代表人资格证明书及此授权书，并附身份证复印件。</w:t>
      </w:r>
    </w:p>
    <w:p>
      <w:pPr>
        <w:ind w:firstLine="422" w:firstLineChars="200"/>
        <w:rPr>
          <w:rFonts w:ascii="宋体" w:cs="宋体"/>
          <w:b/>
          <w:color w:val="auto"/>
          <w:sz w:val="21"/>
          <w:szCs w:val="21"/>
          <w:highlight w:val="none"/>
        </w:rPr>
      </w:pPr>
      <w:r>
        <w:rPr>
          <w:rFonts w:hint="eastAsia" w:ascii="宋体" w:hAnsi="宋体" w:cs="宋体"/>
          <w:b/>
          <w:color w:val="auto"/>
          <w:sz w:val="21"/>
          <w:szCs w:val="21"/>
          <w:highlight w:val="none"/>
        </w:rPr>
        <w:t>投标文件格式中所提到的投标文件签署人是指以上两文件确定的签署人员。</w:t>
      </w:r>
    </w:p>
    <w:p>
      <w:pPr>
        <w:ind w:firstLine="422" w:firstLineChars="200"/>
        <w:rPr>
          <w:rFonts w:ascii="宋体" w:cs="宋体"/>
          <w:color w:val="auto"/>
          <w:sz w:val="20"/>
          <w:szCs w:val="20"/>
          <w:highlight w:val="none"/>
        </w:rPr>
      </w:pPr>
      <w:r>
        <w:rPr>
          <w:rFonts w:hint="eastAsia" w:ascii="宋体" w:hAnsi="宋体" w:cs="宋体"/>
          <w:b/>
          <w:color w:val="auto"/>
          <w:sz w:val="21"/>
          <w:szCs w:val="21"/>
          <w:highlight w:val="none"/>
        </w:rPr>
        <w:t>如参加开标并在开评标过程中签署文件的人员与投标文件签署人不一致，须另行提供授权书。</w:t>
      </w:r>
      <w:bookmarkStart w:id="180" w:name="page77"/>
      <w:bookmarkEnd w:id="180"/>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tabs>
          <w:tab w:val="left" w:pos="3899"/>
        </w:tabs>
        <w:rPr>
          <w:rFonts w:ascii="宋体" w:cs="宋体"/>
          <w:color w:val="auto"/>
          <w:highlight w:val="none"/>
        </w:rPr>
        <w:sectPr>
          <w:pgSz w:w="11900" w:h="16838"/>
          <w:pgMar w:top="1440" w:right="1440" w:bottom="158" w:left="1440" w:header="567" w:footer="567" w:gutter="0"/>
          <w:cols w:equalWidth="0" w:num="1">
            <w:col w:w="9026"/>
          </w:cols>
        </w:sectPr>
      </w:pPr>
    </w:p>
    <w:p>
      <w:pPr>
        <w:spacing w:line="366" w:lineRule="exact"/>
        <w:jc w:val="center"/>
        <w:rPr>
          <w:rFonts w:ascii="宋体" w:cs="宋体"/>
          <w:b/>
          <w:bCs/>
          <w:color w:val="auto"/>
          <w:sz w:val="28"/>
          <w:szCs w:val="28"/>
          <w:highlight w:val="none"/>
        </w:rPr>
      </w:pPr>
      <w:bookmarkStart w:id="181" w:name="page78"/>
      <w:bookmarkEnd w:id="181"/>
      <w:bookmarkStart w:id="182" w:name="_Toc9817_WPSOffice_Level2"/>
      <w:r>
        <w:rPr>
          <w:rFonts w:hint="eastAsia" w:ascii="宋体" w:hAnsi="宋体" w:cs="宋体"/>
          <w:b/>
          <w:bCs/>
          <w:color w:val="auto"/>
          <w:sz w:val="28"/>
          <w:szCs w:val="28"/>
          <w:highlight w:val="none"/>
        </w:rPr>
        <w:t>二、资格审查资料</w:t>
      </w:r>
      <w:bookmarkEnd w:id="182"/>
    </w:p>
    <w:p>
      <w:pPr>
        <w:spacing w:line="33" w:lineRule="exact"/>
        <w:rPr>
          <w:rFonts w:ascii="宋体" w:cs="宋体"/>
          <w:color w:val="auto"/>
          <w:sz w:val="20"/>
          <w:szCs w:val="20"/>
          <w:highlight w:val="none"/>
        </w:rPr>
      </w:pPr>
    </w:p>
    <w:p>
      <w:pPr>
        <w:spacing w:line="258" w:lineRule="exact"/>
        <w:rPr>
          <w:rFonts w:ascii="宋体" w:cs="宋体"/>
          <w:color w:val="auto"/>
          <w:sz w:val="20"/>
          <w:szCs w:val="20"/>
          <w:highlight w:val="none"/>
        </w:rPr>
      </w:pPr>
    </w:p>
    <w:p>
      <w:pPr>
        <w:spacing w:line="360" w:lineRule="auto"/>
        <w:ind w:left="780"/>
        <w:rPr>
          <w:rFonts w:ascii="宋体" w:cs="宋体"/>
          <w:b/>
          <w:bCs/>
          <w:color w:val="auto"/>
          <w:sz w:val="20"/>
          <w:szCs w:val="20"/>
          <w:highlight w:val="none"/>
        </w:rPr>
      </w:pPr>
      <w:r>
        <w:rPr>
          <w:rFonts w:hint="eastAsia" w:ascii="宋体" w:hAnsi="宋体" w:cs="宋体"/>
          <w:b/>
          <w:bCs/>
          <w:color w:val="auto"/>
          <w:sz w:val="21"/>
          <w:szCs w:val="21"/>
          <w:highlight w:val="none"/>
        </w:rPr>
        <w:t>（一）资格审查须知</w:t>
      </w:r>
    </w:p>
    <w:p>
      <w:pPr>
        <w:spacing w:line="360" w:lineRule="auto"/>
        <w:ind w:left="780"/>
        <w:rPr>
          <w:rFonts w:ascii="宋体" w:cs="宋体"/>
          <w:color w:val="auto"/>
          <w:sz w:val="20"/>
          <w:szCs w:val="20"/>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、供应商必须认真填写竞争性磋商文件规定的所有表格，并对其真实性负责，招标人</w:t>
      </w:r>
    </w:p>
    <w:p>
      <w:pPr>
        <w:spacing w:line="360" w:lineRule="auto"/>
        <w:ind w:left="360"/>
        <w:rPr>
          <w:rFonts w:ascii="宋体" w:cs="宋体"/>
          <w:color w:val="auto"/>
          <w:sz w:val="20"/>
          <w:szCs w:val="20"/>
          <w:highlight w:val="none"/>
        </w:rPr>
      </w:pPr>
      <w:r>
        <w:rPr>
          <w:rFonts w:hint="eastAsia" w:ascii="宋体" w:hAnsi="宋体" w:cs="宋体"/>
          <w:color w:val="auto"/>
          <w:sz w:val="21"/>
          <w:szCs w:val="21"/>
          <w:highlight w:val="none"/>
        </w:rPr>
        <w:t>有权对其进行调查核实和要求澄清。</w:t>
      </w:r>
    </w:p>
    <w:p>
      <w:pPr>
        <w:spacing w:line="360" w:lineRule="auto"/>
        <w:ind w:left="780"/>
        <w:rPr>
          <w:rFonts w:ascii="宋体" w:cs="宋体"/>
          <w:color w:val="auto"/>
          <w:sz w:val="20"/>
          <w:szCs w:val="20"/>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、资格审查按通过和不通过两种方式进行评定，供应商的资格等方面的要求作为资格</w:t>
      </w:r>
    </w:p>
    <w:p>
      <w:pPr>
        <w:spacing w:line="360" w:lineRule="auto"/>
        <w:ind w:left="360"/>
        <w:rPr>
          <w:rFonts w:ascii="宋体" w:cs="宋体"/>
          <w:color w:val="auto"/>
          <w:sz w:val="21"/>
          <w:szCs w:val="21"/>
          <w:highlight w:val="none"/>
        </w:rPr>
      </w:pPr>
      <w:r>
        <w:rPr>
          <w:rFonts w:hint="eastAsia" w:ascii="宋体" w:hAnsi="宋体" w:cs="宋体"/>
          <w:color w:val="auto"/>
          <w:sz w:val="21"/>
          <w:szCs w:val="21"/>
          <w:highlight w:val="none"/>
        </w:rPr>
        <w:t>审查通过的强制性资格条件，经核实有一项不符合要求，则供应商的资格为不通过，不通过</w:t>
      </w:r>
    </w:p>
    <w:p>
      <w:pPr>
        <w:spacing w:line="360" w:lineRule="auto"/>
        <w:ind w:left="360"/>
        <w:rPr>
          <w:rFonts w:ascii="宋体" w:cs="宋体"/>
          <w:color w:val="auto"/>
          <w:sz w:val="20"/>
          <w:szCs w:val="20"/>
          <w:highlight w:val="none"/>
        </w:rPr>
      </w:pPr>
      <w:r>
        <w:rPr>
          <w:rFonts w:hint="eastAsia" w:ascii="宋体" w:hAnsi="宋体" w:cs="宋体"/>
          <w:color w:val="auto"/>
          <w:sz w:val="21"/>
          <w:szCs w:val="21"/>
          <w:highlight w:val="none"/>
        </w:rPr>
        <w:t>的供应商对其响应文件不进行后续评审。</w:t>
      </w:r>
    </w:p>
    <w:p>
      <w:pPr>
        <w:spacing w:line="360" w:lineRule="auto"/>
        <w:ind w:left="780"/>
        <w:rPr>
          <w:rFonts w:ascii="宋体" w:cs="宋体"/>
          <w:b/>
          <w:bCs/>
          <w:color w:val="auto"/>
          <w:sz w:val="20"/>
          <w:szCs w:val="20"/>
          <w:highlight w:val="none"/>
        </w:rPr>
      </w:pPr>
      <w:r>
        <w:rPr>
          <w:rFonts w:hint="eastAsia" w:ascii="宋体" w:hAnsi="宋体" w:cs="宋体"/>
          <w:b/>
          <w:bCs/>
          <w:color w:val="auto"/>
          <w:sz w:val="21"/>
          <w:szCs w:val="21"/>
          <w:highlight w:val="none"/>
        </w:rPr>
        <w:t>（二）资格审查资料格式</w:t>
      </w:r>
    </w:p>
    <w:p>
      <w:pPr>
        <w:spacing w:line="360" w:lineRule="auto"/>
        <w:ind w:left="780"/>
        <w:rPr>
          <w:rFonts w:ascii="宋体" w:cs="宋体"/>
          <w:color w:val="auto"/>
          <w:sz w:val="20"/>
          <w:szCs w:val="20"/>
          <w:highlight w:val="none"/>
        </w:rPr>
      </w:pPr>
      <w:bookmarkStart w:id="183" w:name="_Toc30302_WPSOffice_Level2"/>
      <w:bookmarkStart w:id="184" w:name="_Toc17625_WPSOffice_Level2"/>
      <w:r>
        <w:rPr>
          <w:rFonts w:hint="eastAsia" w:ascii="宋体" w:hAnsi="宋体" w:cs="宋体"/>
          <w:color w:val="auto"/>
          <w:sz w:val="21"/>
          <w:szCs w:val="21"/>
          <w:highlight w:val="none"/>
        </w:rPr>
        <w:t>附件一</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强制性资格条件</w:t>
      </w:r>
      <w:bookmarkEnd w:id="183"/>
      <w:bookmarkEnd w:id="184"/>
    </w:p>
    <w:p>
      <w:pPr>
        <w:spacing w:line="360" w:lineRule="auto"/>
        <w:ind w:left="780"/>
        <w:rPr>
          <w:rFonts w:ascii="宋体" w:cs="宋体"/>
          <w:color w:val="auto"/>
          <w:sz w:val="20"/>
          <w:szCs w:val="20"/>
          <w:highlight w:val="none"/>
        </w:rPr>
      </w:pPr>
      <w:bookmarkStart w:id="185" w:name="_Toc20100_WPSOffice_Level2"/>
      <w:bookmarkStart w:id="186" w:name="_Toc31807_WPSOffice_Level2"/>
      <w:r>
        <w:rPr>
          <w:rFonts w:hint="eastAsia" w:ascii="宋体" w:hAnsi="宋体" w:cs="宋体"/>
          <w:color w:val="auto"/>
          <w:sz w:val="21"/>
          <w:szCs w:val="21"/>
          <w:highlight w:val="none"/>
        </w:rPr>
        <w:t>附件二</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基本资格条件审查资料</w:t>
      </w:r>
      <w:bookmarkEnd w:id="185"/>
      <w:bookmarkEnd w:id="186"/>
    </w:p>
    <w:p>
      <w:pPr>
        <w:spacing w:line="264" w:lineRule="exact"/>
        <w:rPr>
          <w:rFonts w:ascii="宋体" w:cs="宋体"/>
          <w:color w:val="auto"/>
          <w:sz w:val="20"/>
          <w:szCs w:val="20"/>
          <w:highlight w:val="none"/>
        </w:rPr>
      </w:pPr>
    </w:p>
    <w:p>
      <w:pPr>
        <w:rPr>
          <w:rFonts w:ascii="宋体" w:cs="宋体"/>
          <w:color w:val="auto"/>
          <w:highlight w:val="none"/>
        </w:rPr>
        <w:sectPr>
          <w:pgSz w:w="11900" w:h="16838"/>
          <w:pgMar w:top="1440" w:right="1440" w:bottom="158" w:left="1440" w:header="567" w:footer="567" w:gutter="0"/>
          <w:cols w:equalWidth="0" w:num="1">
            <w:col w:w="9026"/>
          </w:cols>
        </w:sectPr>
      </w:pPr>
    </w:p>
    <w:p>
      <w:pPr>
        <w:spacing w:line="240" w:lineRule="exact"/>
        <w:ind w:left="900"/>
        <w:rPr>
          <w:rFonts w:ascii="宋体" w:cs="宋体"/>
          <w:b/>
          <w:bCs/>
          <w:color w:val="auto"/>
          <w:sz w:val="20"/>
          <w:szCs w:val="20"/>
          <w:highlight w:val="none"/>
        </w:rPr>
      </w:pPr>
      <w:bookmarkStart w:id="187" w:name="page79"/>
      <w:bookmarkEnd w:id="187"/>
      <w:bookmarkStart w:id="188" w:name="_Toc21048_WPSOffice_Level2"/>
      <w:bookmarkStart w:id="189" w:name="_Toc4344_WPSOffice_Level2"/>
      <w:r>
        <w:rPr>
          <w:rFonts w:hint="eastAsia" w:ascii="宋体" w:hAnsi="宋体" w:cs="宋体"/>
          <w:b/>
          <w:bCs/>
          <w:color w:val="auto"/>
          <w:sz w:val="21"/>
          <w:szCs w:val="21"/>
          <w:highlight w:val="none"/>
        </w:rPr>
        <w:t>附件一：强制性资格条件</w:t>
      </w:r>
      <w:bookmarkEnd w:id="188"/>
      <w:bookmarkEnd w:id="189"/>
    </w:p>
    <w:p>
      <w:pPr>
        <w:spacing w:line="149" w:lineRule="exact"/>
        <w:rPr>
          <w:rFonts w:ascii="宋体" w:cs="宋体"/>
          <w:color w:val="auto"/>
          <w:sz w:val="20"/>
          <w:szCs w:val="20"/>
          <w:highlight w:val="none"/>
        </w:rPr>
      </w:pPr>
    </w:p>
    <w:tbl>
      <w:tblPr>
        <w:tblStyle w:val="19"/>
        <w:tblW w:w="10280" w:type="dxa"/>
        <w:tblInd w:w="0" w:type="dxa"/>
        <w:tblLayout w:type="fixed"/>
        <w:tblCellMar>
          <w:top w:w="0" w:type="dxa"/>
          <w:left w:w="0" w:type="dxa"/>
          <w:bottom w:w="0" w:type="dxa"/>
          <w:right w:w="0" w:type="dxa"/>
        </w:tblCellMar>
      </w:tblPr>
      <w:tblGrid>
        <w:gridCol w:w="650"/>
        <w:gridCol w:w="4300"/>
        <w:gridCol w:w="2690"/>
        <w:gridCol w:w="2280"/>
        <w:gridCol w:w="360"/>
      </w:tblGrid>
      <w:tr>
        <w:tblPrEx>
          <w:tblLayout w:type="fixed"/>
          <w:tblCellMar>
            <w:top w:w="0" w:type="dxa"/>
            <w:left w:w="0" w:type="dxa"/>
            <w:bottom w:w="0" w:type="dxa"/>
            <w:right w:w="0" w:type="dxa"/>
          </w:tblCellMar>
        </w:tblPrEx>
        <w:trPr>
          <w:trHeight w:val="249" w:hRule="atLeast"/>
        </w:trPr>
        <w:tc>
          <w:tcPr>
            <w:tcW w:w="650" w:type="dxa"/>
            <w:tcBorders>
              <w:top w:val="single" w:color="auto" w:sz="8" w:space="0"/>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top w:val="single" w:color="auto" w:sz="8" w:space="0"/>
              <w:right w:val="single" w:color="auto" w:sz="8" w:space="0"/>
            </w:tcBorders>
            <w:vAlign w:val="center"/>
          </w:tcPr>
          <w:p>
            <w:pPr>
              <w:jc w:val="center"/>
              <w:rPr>
                <w:rFonts w:ascii="宋体" w:cs="宋体"/>
                <w:color w:val="auto"/>
                <w:sz w:val="21"/>
                <w:szCs w:val="21"/>
                <w:highlight w:val="none"/>
              </w:rPr>
            </w:pPr>
          </w:p>
        </w:tc>
        <w:tc>
          <w:tcPr>
            <w:tcW w:w="2690" w:type="dxa"/>
            <w:tcBorders>
              <w:top w:val="single" w:color="auto" w:sz="8" w:space="0"/>
              <w:right w:val="single" w:color="auto" w:sz="8" w:space="0"/>
            </w:tcBorders>
            <w:vAlign w:val="center"/>
          </w:tcPr>
          <w:p>
            <w:pPr>
              <w:jc w:val="center"/>
              <w:rPr>
                <w:rFonts w:ascii="宋体" w:cs="宋体"/>
                <w:color w:val="auto"/>
                <w:sz w:val="21"/>
                <w:szCs w:val="21"/>
                <w:highlight w:val="none"/>
              </w:rPr>
            </w:pPr>
            <w:r>
              <w:rPr>
                <w:rFonts w:hint="eastAsia" w:ascii="宋体" w:hAnsi="宋体" w:cs="宋体"/>
                <w:color w:val="auto"/>
                <w:w w:val="99"/>
                <w:sz w:val="21"/>
                <w:szCs w:val="21"/>
                <w:highlight w:val="none"/>
              </w:rPr>
              <w:t>供应商对能达到</w:t>
            </w:r>
          </w:p>
        </w:tc>
        <w:tc>
          <w:tcPr>
            <w:tcW w:w="2280" w:type="dxa"/>
            <w:vMerge w:val="restart"/>
            <w:tcBorders>
              <w:top w:val="single" w:color="auto" w:sz="8" w:space="0"/>
              <w:right w:val="single" w:color="auto" w:sz="8" w:space="0"/>
            </w:tcBorders>
            <w:vAlign w:val="center"/>
          </w:tcPr>
          <w:p>
            <w:pPr>
              <w:jc w:val="center"/>
              <w:rPr>
                <w:rFonts w:ascii="宋体" w:cs="宋体"/>
                <w:color w:val="auto"/>
                <w:sz w:val="21"/>
                <w:szCs w:val="21"/>
                <w:highlight w:val="none"/>
              </w:rPr>
            </w:pPr>
            <w:r>
              <w:rPr>
                <w:rFonts w:hint="eastAsia" w:ascii="宋体" w:hAnsi="宋体" w:cs="宋体"/>
                <w:color w:val="auto"/>
                <w:w w:val="99"/>
                <w:sz w:val="21"/>
                <w:szCs w:val="21"/>
                <w:highlight w:val="none"/>
              </w:rPr>
              <w:t>证明资料附后</w:t>
            </w: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37" w:hRule="atLeast"/>
        </w:trPr>
        <w:tc>
          <w:tcPr>
            <w:tcW w:w="650" w:type="dxa"/>
            <w:vMerge w:val="restart"/>
            <w:tcBorders>
              <w:left w:val="single" w:color="auto" w:sz="8" w:space="0"/>
              <w:right w:val="single" w:color="auto" w:sz="8" w:space="0"/>
            </w:tcBorders>
            <w:vAlign w:val="center"/>
          </w:tcPr>
          <w:p>
            <w:pPr>
              <w:jc w:val="center"/>
              <w:rPr>
                <w:rFonts w:ascii="宋体" w:cs="宋体"/>
                <w:color w:val="auto"/>
                <w:sz w:val="21"/>
                <w:szCs w:val="21"/>
                <w:highlight w:val="none"/>
              </w:rPr>
            </w:pPr>
            <w:r>
              <w:rPr>
                <w:rFonts w:hint="eastAsia" w:ascii="宋体" w:hAnsi="宋体" w:cs="宋体"/>
                <w:color w:val="auto"/>
                <w:w w:val="99"/>
                <w:sz w:val="21"/>
                <w:szCs w:val="21"/>
                <w:highlight w:val="none"/>
              </w:rPr>
              <w:t>序号</w:t>
            </w:r>
          </w:p>
        </w:tc>
        <w:tc>
          <w:tcPr>
            <w:tcW w:w="4300" w:type="dxa"/>
            <w:vMerge w:val="restart"/>
            <w:tcBorders>
              <w:right w:val="single" w:color="auto" w:sz="8" w:space="0"/>
            </w:tcBorders>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强制性资格条件</w:t>
            </w:r>
          </w:p>
        </w:tc>
        <w:tc>
          <w:tcPr>
            <w:tcW w:w="2690" w:type="dxa"/>
            <w:vMerge w:val="restart"/>
            <w:tcBorders>
              <w:right w:val="single" w:color="auto" w:sz="8" w:space="0"/>
            </w:tcBorders>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程度的简述</w:t>
            </w:r>
          </w:p>
        </w:tc>
        <w:tc>
          <w:tcPr>
            <w:tcW w:w="2280" w:type="dxa"/>
            <w:vMerge w:val="continue"/>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37" w:hRule="atLeast"/>
        </w:trPr>
        <w:tc>
          <w:tcPr>
            <w:tcW w:w="650" w:type="dxa"/>
            <w:vMerge w:val="continue"/>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vMerge w:val="continue"/>
            <w:tcBorders>
              <w:right w:val="single" w:color="auto" w:sz="8" w:space="0"/>
            </w:tcBorders>
            <w:vAlign w:val="center"/>
          </w:tcPr>
          <w:p>
            <w:pPr>
              <w:jc w:val="center"/>
              <w:rPr>
                <w:rFonts w:ascii="宋体" w:cs="宋体"/>
                <w:color w:val="auto"/>
                <w:sz w:val="21"/>
                <w:szCs w:val="21"/>
                <w:highlight w:val="none"/>
              </w:rPr>
            </w:pPr>
          </w:p>
        </w:tc>
        <w:tc>
          <w:tcPr>
            <w:tcW w:w="2690" w:type="dxa"/>
            <w:vMerge w:val="continue"/>
            <w:tcBorders>
              <w:right w:val="single" w:color="auto" w:sz="8" w:space="0"/>
            </w:tcBorders>
            <w:vAlign w:val="center"/>
          </w:tcPr>
          <w:p>
            <w:pPr>
              <w:jc w:val="center"/>
              <w:rPr>
                <w:rFonts w:ascii="宋体" w:cs="宋体"/>
                <w:color w:val="auto"/>
                <w:sz w:val="21"/>
                <w:szCs w:val="21"/>
                <w:highlight w:val="none"/>
              </w:rPr>
            </w:pPr>
          </w:p>
        </w:tc>
        <w:tc>
          <w:tcPr>
            <w:tcW w:w="2280" w:type="dxa"/>
            <w:vMerge w:val="restart"/>
            <w:tcBorders>
              <w:right w:val="single" w:color="auto" w:sz="8" w:space="0"/>
            </w:tcBorders>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（复印件加盖公章）</w:t>
            </w: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37" w:hRule="atLeast"/>
        </w:trPr>
        <w:tc>
          <w:tcPr>
            <w:tcW w:w="650" w:type="dxa"/>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right w:val="single" w:color="auto" w:sz="8" w:space="0"/>
            </w:tcBorders>
            <w:vAlign w:val="center"/>
          </w:tcPr>
          <w:p>
            <w:pPr>
              <w:jc w:val="center"/>
              <w:rPr>
                <w:rFonts w:ascii="宋体" w:cs="宋体"/>
                <w:color w:val="auto"/>
                <w:sz w:val="21"/>
                <w:szCs w:val="21"/>
                <w:highlight w:val="none"/>
              </w:rPr>
            </w:pPr>
          </w:p>
        </w:tc>
        <w:tc>
          <w:tcPr>
            <w:tcW w:w="2690" w:type="dxa"/>
            <w:vMerge w:val="restart"/>
            <w:tcBorders>
              <w:right w:val="single" w:color="auto" w:sz="8" w:space="0"/>
            </w:tcBorders>
            <w:vAlign w:val="center"/>
          </w:tcPr>
          <w:p>
            <w:pPr>
              <w:jc w:val="center"/>
              <w:rPr>
                <w:rFonts w:ascii="宋体" w:cs="宋体"/>
                <w:color w:val="auto"/>
                <w:sz w:val="21"/>
                <w:szCs w:val="21"/>
                <w:highlight w:val="none"/>
              </w:rPr>
            </w:pPr>
            <w:r>
              <w:rPr>
                <w:rFonts w:hint="eastAsia" w:ascii="宋体" w:hAnsi="宋体" w:cs="宋体"/>
                <w:color w:val="auto"/>
                <w:w w:val="99"/>
                <w:sz w:val="21"/>
                <w:szCs w:val="21"/>
                <w:highlight w:val="none"/>
              </w:rPr>
              <w:t>（供应商填写）</w:t>
            </w:r>
          </w:p>
        </w:tc>
        <w:tc>
          <w:tcPr>
            <w:tcW w:w="2280" w:type="dxa"/>
            <w:vMerge w:val="continue"/>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34" w:hRule="atLeast"/>
        </w:trPr>
        <w:tc>
          <w:tcPr>
            <w:tcW w:w="650" w:type="dxa"/>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right w:val="single" w:color="auto" w:sz="8" w:space="0"/>
            </w:tcBorders>
            <w:vAlign w:val="center"/>
          </w:tcPr>
          <w:p>
            <w:pPr>
              <w:jc w:val="center"/>
              <w:rPr>
                <w:rFonts w:ascii="宋体" w:cs="宋体"/>
                <w:color w:val="auto"/>
                <w:sz w:val="21"/>
                <w:szCs w:val="21"/>
                <w:highlight w:val="none"/>
              </w:rPr>
            </w:pPr>
          </w:p>
        </w:tc>
        <w:tc>
          <w:tcPr>
            <w:tcW w:w="2690" w:type="dxa"/>
            <w:vMerge w:val="continue"/>
            <w:tcBorders>
              <w:right w:val="single" w:color="auto" w:sz="8" w:space="0"/>
            </w:tcBorders>
            <w:vAlign w:val="center"/>
          </w:tcPr>
          <w:p>
            <w:pPr>
              <w:jc w:val="center"/>
              <w:rPr>
                <w:rFonts w:ascii="宋体" w:cs="宋体"/>
                <w:color w:val="auto"/>
                <w:sz w:val="21"/>
                <w:szCs w:val="21"/>
                <w:highlight w:val="none"/>
              </w:rPr>
            </w:pPr>
          </w:p>
        </w:tc>
        <w:tc>
          <w:tcPr>
            <w:tcW w:w="2280" w:type="dxa"/>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69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28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294" w:hRule="atLeast"/>
        </w:trPr>
        <w:tc>
          <w:tcPr>
            <w:tcW w:w="650" w:type="dxa"/>
            <w:tcBorders>
              <w:left w:val="single" w:color="auto" w:sz="8" w:space="0"/>
              <w:right w:val="single" w:color="auto" w:sz="8" w:space="0"/>
            </w:tcBorders>
            <w:vAlign w:val="center"/>
          </w:tcPr>
          <w:p>
            <w:pPr>
              <w:jc w:val="center"/>
              <w:rPr>
                <w:rFonts w:ascii="宋体" w:cs="宋体"/>
                <w:b/>
                <w:bCs/>
                <w:color w:val="auto"/>
                <w:sz w:val="21"/>
                <w:szCs w:val="21"/>
                <w:highlight w:val="none"/>
              </w:rPr>
            </w:pPr>
          </w:p>
          <w:p>
            <w:pPr>
              <w:jc w:val="center"/>
              <w:rPr>
                <w:rFonts w:ascii="宋体" w:cs="宋体"/>
                <w:color w:val="auto"/>
                <w:sz w:val="21"/>
                <w:szCs w:val="21"/>
                <w:highlight w:val="none"/>
              </w:rPr>
            </w:pPr>
            <w:r>
              <w:rPr>
                <w:rFonts w:hint="eastAsia" w:ascii="宋体" w:hAnsi="宋体" w:cs="宋体"/>
                <w:b/>
                <w:bCs/>
                <w:color w:val="auto"/>
                <w:sz w:val="21"/>
                <w:szCs w:val="21"/>
                <w:highlight w:val="none"/>
              </w:rPr>
              <w:t>一</w:t>
            </w:r>
          </w:p>
        </w:tc>
        <w:tc>
          <w:tcPr>
            <w:tcW w:w="4300" w:type="dxa"/>
            <w:tcBorders>
              <w:right w:val="single" w:color="auto" w:sz="8" w:space="0"/>
            </w:tcBorders>
            <w:vAlign w:val="center"/>
          </w:tcPr>
          <w:p>
            <w:pPr>
              <w:ind w:left="100"/>
              <w:jc w:val="center"/>
              <w:rPr>
                <w:rFonts w:ascii="宋体" w:cs="宋体"/>
                <w:b/>
                <w:bCs/>
                <w:color w:val="auto"/>
                <w:sz w:val="21"/>
                <w:szCs w:val="21"/>
                <w:highlight w:val="none"/>
              </w:rPr>
            </w:pPr>
          </w:p>
          <w:p>
            <w:pPr>
              <w:ind w:left="100"/>
              <w:jc w:val="center"/>
              <w:rPr>
                <w:rFonts w:ascii="宋体" w:cs="宋体"/>
                <w:color w:val="auto"/>
                <w:sz w:val="21"/>
                <w:szCs w:val="21"/>
                <w:highlight w:val="none"/>
              </w:rPr>
            </w:pPr>
            <w:r>
              <w:rPr>
                <w:rFonts w:hint="eastAsia" w:ascii="宋体" w:hAnsi="宋体" w:cs="宋体"/>
                <w:b/>
                <w:bCs/>
                <w:color w:val="auto"/>
                <w:sz w:val="21"/>
                <w:szCs w:val="21"/>
                <w:highlight w:val="none"/>
              </w:rPr>
              <w:t>企业资质要求</w:t>
            </w: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97" w:hRule="atLeast"/>
        </w:trPr>
        <w:tc>
          <w:tcPr>
            <w:tcW w:w="650" w:type="dxa"/>
            <w:tcBorders>
              <w:left w:val="single" w:color="auto" w:sz="8" w:space="0"/>
              <w:bottom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69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28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393" w:hRule="atLeast"/>
        </w:trPr>
        <w:tc>
          <w:tcPr>
            <w:tcW w:w="650" w:type="dxa"/>
            <w:tcBorders>
              <w:left w:val="single" w:color="auto" w:sz="8" w:space="0"/>
              <w:right w:val="single" w:color="auto" w:sz="8" w:space="0"/>
            </w:tcBorders>
            <w:vAlign w:val="center"/>
          </w:tcPr>
          <w:p>
            <w:pPr>
              <w:jc w:val="center"/>
              <w:rPr>
                <w:rFonts w:ascii="宋体" w:cs="宋体"/>
                <w:color w:val="auto"/>
                <w:sz w:val="21"/>
                <w:szCs w:val="21"/>
                <w:highlight w:val="none"/>
              </w:rPr>
            </w:pPr>
            <w:r>
              <w:rPr>
                <w:rFonts w:ascii="宋体" w:hAnsi="宋体" w:cs="宋体"/>
                <w:color w:val="auto"/>
                <w:sz w:val="21"/>
                <w:szCs w:val="21"/>
                <w:highlight w:val="none"/>
              </w:rPr>
              <w:t>1</w:t>
            </w:r>
          </w:p>
        </w:tc>
        <w:tc>
          <w:tcPr>
            <w:tcW w:w="4300" w:type="dxa"/>
            <w:tcBorders>
              <w:right w:val="single" w:color="auto" w:sz="8" w:space="0"/>
            </w:tcBorders>
            <w:vAlign w:val="center"/>
          </w:tcPr>
          <w:p>
            <w:pPr>
              <w:ind w:left="100"/>
              <w:jc w:val="center"/>
              <w:rPr>
                <w:rFonts w:ascii="宋体" w:cs="宋体"/>
                <w:color w:val="auto"/>
                <w:sz w:val="21"/>
                <w:szCs w:val="21"/>
                <w:highlight w:val="none"/>
              </w:rPr>
            </w:pPr>
          </w:p>
          <w:p>
            <w:pPr>
              <w:ind w:left="100"/>
              <w:jc w:val="both"/>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具有建设行政主管部门核定的建筑机电安装工程专业承包或机电工程施工总承包或电力工程施工总承包三级或以上资质；</w:t>
            </w:r>
          </w:p>
          <w:p>
            <w:pPr>
              <w:ind w:left="100"/>
              <w:jc w:val="both"/>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具备有效的安全生产许可证；</w:t>
            </w: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tcBorders>
              <w:right w:val="single" w:color="auto" w:sz="8" w:space="0"/>
            </w:tcBorders>
            <w:vAlign w:val="center"/>
          </w:tcPr>
          <w:p>
            <w:pPr>
              <w:ind w:left="100"/>
              <w:jc w:val="center"/>
              <w:rPr>
                <w:rFonts w:ascii="宋体" w:cs="宋体"/>
                <w:color w:val="auto"/>
                <w:sz w:val="21"/>
                <w:szCs w:val="21"/>
                <w:highlight w:val="none"/>
              </w:rPr>
            </w:pPr>
            <w:r>
              <w:rPr>
                <w:rFonts w:hint="eastAsia" w:ascii="宋体" w:hAnsi="宋体" w:cs="宋体"/>
                <w:color w:val="auto"/>
                <w:sz w:val="21"/>
                <w:szCs w:val="21"/>
                <w:highlight w:val="none"/>
              </w:rPr>
              <w:t>证书</w:t>
            </w: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69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28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305" w:hRule="atLeast"/>
        </w:trPr>
        <w:tc>
          <w:tcPr>
            <w:tcW w:w="650" w:type="dxa"/>
            <w:tcBorders>
              <w:left w:val="single" w:color="auto" w:sz="8" w:space="0"/>
              <w:right w:val="single" w:color="auto" w:sz="8" w:space="0"/>
            </w:tcBorders>
            <w:vAlign w:val="center"/>
          </w:tcPr>
          <w:p>
            <w:pPr>
              <w:jc w:val="center"/>
              <w:rPr>
                <w:rFonts w:ascii="宋体" w:cs="宋体"/>
                <w:color w:val="auto"/>
                <w:w w:val="85"/>
                <w:sz w:val="21"/>
                <w:szCs w:val="21"/>
                <w:highlight w:val="none"/>
              </w:rPr>
            </w:pPr>
          </w:p>
          <w:p>
            <w:pPr>
              <w:jc w:val="center"/>
              <w:rPr>
                <w:rFonts w:ascii="宋体" w:cs="宋体"/>
                <w:color w:val="auto"/>
                <w:sz w:val="21"/>
                <w:szCs w:val="21"/>
                <w:highlight w:val="none"/>
              </w:rPr>
            </w:pPr>
            <w:r>
              <w:rPr>
                <w:rFonts w:ascii="宋体" w:hAnsi="宋体" w:cs="宋体"/>
                <w:color w:val="auto"/>
                <w:w w:val="85"/>
                <w:sz w:val="21"/>
                <w:szCs w:val="21"/>
                <w:highlight w:val="none"/>
              </w:rPr>
              <w:t>2</w:t>
            </w:r>
          </w:p>
        </w:tc>
        <w:tc>
          <w:tcPr>
            <w:tcW w:w="4300" w:type="dxa"/>
            <w:tcBorders>
              <w:right w:val="single" w:color="auto" w:sz="8" w:space="0"/>
            </w:tcBorders>
            <w:vAlign w:val="center"/>
          </w:tcPr>
          <w:p>
            <w:pPr>
              <w:ind w:left="100"/>
              <w:jc w:val="center"/>
              <w:rPr>
                <w:rFonts w:ascii="宋体" w:cs="宋体"/>
                <w:color w:val="auto"/>
                <w:sz w:val="21"/>
                <w:szCs w:val="21"/>
                <w:highlight w:val="none"/>
              </w:rPr>
            </w:pPr>
          </w:p>
          <w:p>
            <w:pPr>
              <w:ind w:left="100"/>
              <w:jc w:val="both"/>
              <w:rPr>
                <w:rFonts w:ascii="宋体" w:cs="宋体"/>
                <w:color w:val="auto"/>
                <w:sz w:val="21"/>
                <w:szCs w:val="21"/>
                <w:highlight w:val="none"/>
              </w:rPr>
            </w:pPr>
            <w:r>
              <w:rPr>
                <w:rFonts w:hint="eastAsia" w:ascii="宋体" w:hAnsi="宋体" w:cs="宋体"/>
                <w:color w:val="auto"/>
                <w:sz w:val="21"/>
                <w:szCs w:val="21"/>
                <w:highlight w:val="none"/>
              </w:rPr>
              <w:t>拟派项目经理具有机电安装工程二级及以上建造师注册证书；</w:t>
            </w:r>
          </w:p>
          <w:p>
            <w:pPr>
              <w:ind w:left="100"/>
              <w:jc w:val="center"/>
              <w:rPr>
                <w:rFonts w:ascii="宋体" w:cs="宋体"/>
                <w:color w:val="auto"/>
                <w:sz w:val="21"/>
                <w:szCs w:val="21"/>
                <w:highlight w:val="none"/>
              </w:rPr>
            </w:pP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tcBorders>
              <w:right w:val="single" w:color="auto" w:sz="8" w:space="0"/>
            </w:tcBorders>
            <w:vAlign w:val="center"/>
          </w:tcPr>
          <w:p>
            <w:pPr>
              <w:jc w:val="center"/>
              <w:rPr>
                <w:rFonts w:ascii="宋体" w:cs="宋体"/>
                <w:color w:val="auto"/>
                <w:sz w:val="21"/>
                <w:szCs w:val="21"/>
                <w:highlight w:val="none"/>
              </w:rPr>
            </w:pPr>
          </w:p>
          <w:p>
            <w:pPr>
              <w:jc w:val="center"/>
              <w:rPr>
                <w:rFonts w:ascii="宋体" w:cs="宋体"/>
                <w:color w:val="auto"/>
                <w:sz w:val="21"/>
                <w:szCs w:val="21"/>
                <w:highlight w:val="none"/>
              </w:rPr>
            </w:pPr>
            <w:r>
              <w:rPr>
                <w:rFonts w:hint="eastAsia" w:ascii="宋体" w:hAnsi="宋体" w:cs="宋体"/>
                <w:color w:val="auto"/>
                <w:sz w:val="21"/>
                <w:szCs w:val="21"/>
                <w:highlight w:val="none"/>
              </w:rPr>
              <w:t>建造师执业注册证书</w:t>
            </w: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86" w:hRule="atLeast"/>
        </w:trPr>
        <w:tc>
          <w:tcPr>
            <w:tcW w:w="650" w:type="dxa"/>
            <w:tcBorders>
              <w:left w:val="single" w:color="auto" w:sz="8" w:space="0"/>
              <w:bottom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69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28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772" w:hRule="atLeast"/>
        </w:trPr>
        <w:tc>
          <w:tcPr>
            <w:tcW w:w="650" w:type="dxa"/>
            <w:vMerge w:val="restart"/>
            <w:tcBorders>
              <w:left w:val="single" w:color="auto" w:sz="8" w:space="0"/>
              <w:right w:val="single" w:color="auto" w:sz="8" w:space="0"/>
            </w:tcBorders>
            <w:vAlign w:val="center"/>
          </w:tcPr>
          <w:p>
            <w:pPr>
              <w:jc w:val="center"/>
              <w:rPr>
                <w:rFonts w:ascii="宋体" w:cs="宋体"/>
                <w:color w:val="auto"/>
                <w:w w:val="85"/>
                <w:sz w:val="21"/>
                <w:szCs w:val="21"/>
                <w:highlight w:val="none"/>
              </w:rPr>
            </w:pPr>
          </w:p>
          <w:p>
            <w:pPr>
              <w:jc w:val="center"/>
              <w:rPr>
                <w:rFonts w:ascii="宋体" w:cs="宋体"/>
                <w:color w:val="auto"/>
                <w:w w:val="85"/>
                <w:sz w:val="21"/>
                <w:szCs w:val="21"/>
                <w:highlight w:val="none"/>
              </w:rPr>
            </w:pPr>
          </w:p>
          <w:p>
            <w:pPr>
              <w:jc w:val="center"/>
              <w:rPr>
                <w:rFonts w:ascii="宋体" w:cs="宋体"/>
                <w:color w:val="auto"/>
                <w:sz w:val="21"/>
                <w:szCs w:val="21"/>
                <w:highlight w:val="none"/>
              </w:rPr>
            </w:pPr>
            <w:r>
              <w:rPr>
                <w:rFonts w:ascii="宋体" w:hAnsi="宋体" w:cs="宋体"/>
                <w:color w:val="auto"/>
                <w:w w:val="85"/>
                <w:sz w:val="21"/>
                <w:szCs w:val="21"/>
                <w:highlight w:val="none"/>
              </w:rPr>
              <w:t>3</w:t>
            </w:r>
          </w:p>
        </w:tc>
        <w:tc>
          <w:tcPr>
            <w:tcW w:w="4300" w:type="dxa"/>
            <w:tcBorders>
              <w:right w:val="single" w:color="auto" w:sz="8" w:space="0"/>
            </w:tcBorders>
            <w:vAlign w:val="center"/>
          </w:tcPr>
          <w:p>
            <w:pPr>
              <w:ind w:left="100"/>
              <w:jc w:val="center"/>
              <w:rPr>
                <w:rFonts w:ascii="宋体" w:cs="宋体"/>
                <w:color w:val="auto"/>
                <w:sz w:val="21"/>
                <w:szCs w:val="21"/>
                <w:highlight w:val="none"/>
              </w:rPr>
            </w:pPr>
            <w:r>
              <w:rPr>
                <w:rFonts w:hint="eastAsia" w:ascii="宋体" w:hAnsi="宋体" w:cs="宋体"/>
                <w:color w:val="auto"/>
                <w:sz w:val="21"/>
                <w:szCs w:val="21"/>
                <w:highlight w:val="none"/>
              </w:rPr>
              <w:t>符合《中华人民共和国政府采购法》第二十二条的规定；</w:t>
            </w: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vMerge w:val="restart"/>
            <w:tcBorders>
              <w:right w:val="single" w:color="auto" w:sz="8" w:space="0"/>
            </w:tcBorders>
            <w:vAlign w:val="center"/>
          </w:tcPr>
          <w:p>
            <w:pPr>
              <w:jc w:val="center"/>
              <w:rPr>
                <w:rFonts w:ascii="宋体" w:cs="宋体"/>
                <w:color w:val="auto"/>
                <w:w w:val="99"/>
                <w:sz w:val="21"/>
                <w:szCs w:val="21"/>
                <w:highlight w:val="none"/>
              </w:rPr>
            </w:pPr>
          </w:p>
          <w:p>
            <w:pPr>
              <w:jc w:val="center"/>
              <w:rPr>
                <w:rFonts w:ascii="宋体" w:cs="宋体"/>
                <w:color w:val="auto"/>
                <w:sz w:val="21"/>
                <w:szCs w:val="21"/>
                <w:highlight w:val="none"/>
              </w:rPr>
            </w:pPr>
            <w:r>
              <w:rPr>
                <w:rFonts w:hint="eastAsia" w:ascii="宋体" w:hAnsi="宋体" w:cs="宋体"/>
                <w:color w:val="auto"/>
                <w:w w:val="99"/>
                <w:sz w:val="21"/>
                <w:szCs w:val="21"/>
                <w:highlight w:val="none"/>
              </w:rPr>
              <w:t>见附件二</w:t>
            </w: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61" w:hRule="atLeast"/>
        </w:trPr>
        <w:tc>
          <w:tcPr>
            <w:tcW w:w="650" w:type="dxa"/>
            <w:vMerge w:val="continue"/>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vMerge w:val="restart"/>
            <w:tcBorders>
              <w:right w:val="single" w:color="auto" w:sz="8" w:space="0"/>
            </w:tcBorders>
            <w:vAlign w:val="center"/>
          </w:tcPr>
          <w:p>
            <w:pPr>
              <w:jc w:val="center"/>
              <w:rPr>
                <w:rFonts w:ascii="宋体" w:cs="宋体"/>
                <w:color w:val="auto"/>
                <w:sz w:val="21"/>
                <w:szCs w:val="21"/>
                <w:highlight w:val="none"/>
              </w:rPr>
            </w:pP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vMerge w:val="continue"/>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vMerge w:val="continue"/>
            <w:tcBorders>
              <w:right w:val="single" w:color="auto" w:sz="8" w:space="0"/>
            </w:tcBorders>
            <w:vAlign w:val="center"/>
          </w:tcPr>
          <w:p>
            <w:pPr>
              <w:jc w:val="center"/>
              <w:rPr>
                <w:rFonts w:ascii="宋体" w:cs="宋体"/>
                <w:color w:val="auto"/>
                <w:sz w:val="21"/>
                <w:szCs w:val="21"/>
                <w:highlight w:val="none"/>
              </w:rPr>
            </w:pPr>
          </w:p>
        </w:tc>
        <w:tc>
          <w:tcPr>
            <w:tcW w:w="2690" w:type="dxa"/>
            <w:tcBorders>
              <w:right w:val="single" w:color="auto" w:sz="8" w:space="0"/>
            </w:tcBorders>
            <w:vAlign w:val="center"/>
          </w:tcPr>
          <w:p>
            <w:pPr>
              <w:jc w:val="both"/>
              <w:rPr>
                <w:rFonts w:ascii="宋体" w:cs="宋体"/>
                <w:color w:val="auto"/>
                <w:sz w:val="21"/>
                <w:szCs w:val="21"/>
                <w:highlight w:val="none"/>
              </w:rPr>
            </w:pPr>
          </w:p>
        </w:tc>
        <w:tc>
          <w:tcPr>
            <w:tcW w:w="2280" w:type="dxa"/>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90" w:hRule="atLeast"/>
        </w:trPr>
        <w:tc>
          <w:tcPr>
            <w:tcW w:w="650" w:type="dxa"/>
            <w:tcBorders>
              <w:left w:val="single" w:color="auto" w:sz="8" w:space="0"/>
              <w:bottom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bottom w:val="single" w:color="auto" w:sz="8" w:space="0"/>
              <w:right w:val="single" w:color="auto" w:sz="8" w:space="0"/>
            </w:tcBorders>
            <w:vAlign w:val="center"/>
          </w:tcPr>
          <w:p>
            <w:pPr>
              <w:jc w:val="both"/>
              <w:rPr>
                <w:rFonts w:ascii="宋体" w:cs="宋体"/>
                <w:color w:val="auto"/>
                <w:sz w:val="21"/>
                <w:szCs w:val="21"/>
                <w:highlight w:val="none"/>
              </w:rPr>
            </w:pPr>
          </w:p>
        </w:tc>
        <w:tc>
          <w:tcPr>
            <w:tcW w:w="269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280" w:type="dxa"/>
            <w:tcBorders>
              <w:bottom w:val="single" w:color="auto" w:sz="8" w:space="0"/>
              <w:right w:val="single" w:color="auto" w:sz="8" w:space="0"/>
            </w:tcBorders>
            <w:vAlign w:val="center"/>
          </w:tcPr>
          <w:p>
            <w:pPr>
              <w:jc w:val="both"/>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231" w:hRule="atLeast"/>
        </w:trPr>
        <w:tc>
          <w:tcPr>
            <w:tcW w:w="650" w:type="dxa"/>
            <w:vMerge w:val="restart"/>
            <w:tcBorders>
              <w:left w:val="single" w:color="auto" w:sz="8" w:space="0"/>
              <w:right w:val="single" w:color="auto" w:sz="8" w:space="0"/>
            </w:tcBorders>
            <w:vAlign w:val="center"/>
          </w:tcPr>
          <w:p>
            <w:pPr>
              <w:jc w:val="center"/>
              <w:rPr>
                <w:rFonts w:ascii="宋体" w:cs="宋体"/>
                <w:color w:val="auto"/>
                <w:w w:val="85"/>
                <w:sz w:val="21"/>
                <w:szCs w:val="21"/>
                <w:highlight w:val="none"/>
              </w:rPr>
            </w:pPr>
          </w:p>
          <w:p>
            <w:pPr>
              <w:jc w:val="center"/>
              <w:rPr>
                <w:rFonts w:ascii="宋体" w:cs="宋体"/>
                <w:color w:val="auto"/>
                <w:sz w:val="21"/>
                <w:szCs w:val="21"/>
                <w:highlight w:val="none"/>
              </w:rPr>
            </w:pPr>
            <w:r>
              <w:rPr>
                <w:rFonts w:ascii="宋体" w:hAnsi="宋体" w:cs="宋体"/>
                <w:color w:val="auto"/>
                <w:w w:val="85"/>
                <w:sz w:val="21"/>
                <w:szCs w:val="21"/>
                <w:highlight w:val="none"/>
              </w:rPr>
              <w:t>4</w:t>
            </w:r>
          </w:p>
        </w:tc>
        <w:tc>
          <w:tcPr>
            <w:tcW w:w="4300" w:type="dxa"/>
            <w:tcBorders>
              <w:right w:val="single" w:color="auto" w:sz="8" w:space="0"/>
            </w:tcBorders>
            <w:vAlign w:val="center"/>
          </w:tcPr>
          <w:p>
            <w:pPr>
              <w:ind w:left="100"/>
              <w:jc w:val="center"/>
              <w:rPr>
                <w:rFonts w:ascii="宋体" w:cs="宋体"/>
                <w:color w:val="auto"/>
                <w:sz w:val="21"/>
                <w:szCs w:val="21"/>
                <w:highlight w:val="none"/>
              </w:rPr>
            </w:pPr>
          </w:p>
          <w:p>
            <w:pPr>
              <w:ind w:left="100"/>
              <w:jc w:val="center"/>
              <w:rPr>
                <w:rFonts w:ascii="宋体" w:cs="宋体"/>
                <w:color w:val="auto"/>
                <w:sz w:val="21"/>
                <w:szCs w:val="21"/>
                <w:highlight w:val="none"/>
              </w:rPr>
            </w:pPr>
            <w:r>
              <w:rPr>
                <w:rFonts w:hint="eastAsia" w:ascii="宋体" w:hAnsi="宋体" w:cs="宋体"/>
                <w:color w:val="auto"/>
                <w:sz w:val="21"/>
                <w:szCs w:val="21"/>
                <w:highlight w:val="none"/>
              </w:rPr>
              <w:t>参加采购活动前三年内，在经营活动中没有重大违法</w:t>
            </w: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vMerge w:val="restart"/>
            <w:tcBorders>
              <w:right w:val="single" w:color="auto" w:sz="8" w:space="0"/>
            </w:tcBorders>
            <w:vAlign w:val="center"/>
          </w:tcPr>
          <w:p>
            <w:pPr>
              <w:jc w:val="center"/>
              <w:rPr>
                <w:rFonts w:ascii="宋体" w:cs="宋体"/>
                <w:color w:val="auto"/>
                <w:w w:val="99"/>
                <w:sz w:val="21"/>
                <w:szCs w:val="21"/>
                <w:highlight w:val="none"/>
              </w:rPr>
            </w:pPr>
          </w:p>
          <w:p>
            <w:pPr>
              <w:jc w:val="center"/>
              <w:rPr>
                <w:rFonts w:ascii="宋体" w:cs="宋体"/>
                <w:color w:val="auto"/>
                <w:sz w:val="21"/>
                <w:szCs w:val="21"/>
                <w:highlight w:val="none"/>
              </w:rPr>
            </w:pPr>
            <w:r>
              <w:rPr>
                <w:rFonts w:hint="eastAsia" w:ascii="宋体" w:hAnsi="宋体" w:cs="宋体"/>
                <w:color w:val="auto"/>
                <w:w w:val="99"/>
                <w:sz w:val="21"/>
                <w:szCs w:val="21"/>
                <w:highlight w:val="none"/>
              </w:rPr>
              <w:t>内容见承诺书</w:t>
            </w: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vMerge w:val="restart"/>
            <w:tcBorders>
              <w:right w:val="single" w:color="auto" w:sz="8" w:space="0"/>
            </w:tcBorders>
            <w:vAlign w:val="center"/>
          </w:tcPr>
          <w:p>
            <w:pPr>
              <w:ind w:left="100"/>
              <w:jc w:val="center"/>
              <w:rPr>
                <w:rFonts w:ascii="宋体" w:cs="宋体"/>
                <w:color w:val="auto"/>
                <w:sz w:val="21"/>
                <w:szCs w:val="21"/>
                <w:highlight w:val="none"/>
              </w:rPr>
            </w:pPr>
            <w:r>
              <w:rPr>
                <w:rFonts w:hint="eastAsia" w:ascii="宋体" w:hAnsi="宋体" w:cs="宋体"/>
                <w:color w:val="auto"/>
                <w:sz w:val="21"/>
                <w:szCs w:val="21"/>
                <w:highlight w:val="none"/>
              </w:rPr>
              <w:t>记录</w:t>
            </w: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vMerge w:val="continue"/>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23" w:hRule="atLeast"/>
        </w:trPr>
        <w:tc>
          <w:tcPr>
            <w:tcW w:w="650" w:type="dxa"/>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vMerge w:val="continue"/>
            <w:tcBorders>
              <w:right w:val="single" w:color="auto" w:sz="8" w:space="0"/>
            </w:tcBorders>
            <w:vAlign w:val="center"/>
          </w:tcPr>
          <w:p>
            <w:pPr>
              <w:jc w:val="center"/>
              <w:rPr>
                <w:rFonts w:ascii="宋体" w:cs="宋体"/>
                <w:color w:val="auto"/>
                <w:sz w:val="21"/>
                <w:szCs w:val="21"/>
                <w:highlight w:val="none"/>
              </w:rPr>
            </w:pP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34" w:hRule="atLeast"/>
        </w:trPr>
        <w:tc>
          <w:tcPr>
            <w:tcW w:w="650" w:type="dxa"/>
            <w:tcBorders>
              <w:left w:val="single" w:color="auto" w:sz="8" w:space="0"/>
              <w:bottom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69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28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229" w:hRule="atLeast"/>
        </w:trPr>
        <w:tc>
          <w:tcPr>
            <w:tcW w:w="650" w:type="dxa"/>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right w:val="single" w:color="auto" w:sz="8" w:space="0"/>
            </w:tcBorders>
            <w:vAlign w:val="center"/>
          </w:tcPr>
          <w:p>
            <w:pPr>
              <w:ind w:left="100"/>
              <w:jc w:val="center"/>
              <w:rPr>
                <w:rFonts w:ascii="宋体" w:cs="宋体"/>
                <w:color w:val="auto"/>
                <w:sz w:val="21"/>
                <w:szCs w:val="21"/>
                <w:highlight w:val="none"/>
              </w:rPr>
            </w:pPr>
            <w:r>
              <w:rPr>
                <w:rFonts w:hint="eastAsia" w:ascii="宋体" w:hAnsi="宋体" w:cs="宋体"/>
                <w:color w:val="auto"/>
                <w:sz w:val="21"/>
                <w:szCs w:val="21"/>
                <w:highlight w:val="none"/>
              </w:rPr>
              <w:t>供应商未被列入失信被执行人名单、重大税收违法案</w:t>
            </w: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271" w:hRule="atLeast"/>
        </w:trPr>
        <w:tc>
          <w:tcPr>
            <w:tcW w:w="650" w:type="dxa"/>
            <w:vMerge w:val="restart"/>
            <w:tcBorders>
              <w:left w:val="single" w:color="auto" w:sz="8" w:space="0"/>
              <w:right w:val="single" w:color="auto" w:sz="8" w:space="0"/>
            </w:tcBorders>
            <w:vAlign w:val="center"/>
          </w:tcPr>
          <w:p>
            <w:pPr>
              <w:jc w:val="center"/>
              <w:rPr>
                <w:rFonts w:ascii="宋体" w:cs="宋体"/>
                <w:color w:val="auto"/>
                <w:w w:val="85"/>
                <w:sz w:val="21"/>
                <w:szCs w:val="21"/>
                <w:highlight w:val="none"/>
              </w:rPr>
            </w:pPr>
          </w:p>
          <w:p>
            <w:pPr>
              <w:jc w:val="center"/>
              <w:rPr>
                <w:rFonts w:ascii="宋体" w:cs="宋体"/>
                <w:color w:val="auto"/>
                <w:sz w:val="21"/>
                <w:szCs w:val="21"/>
                <w:highlight w:val="none"/>
              </w:rPr>
            </w:pPr>
            <w:r>
              <w:rPr>
                <w:rFonts w:ascii="宋体" w:hAnsi="宋体" w:cs="宋体"/>
                <w:color w:val="auto"/>
                <w:w w:val="85"/>
                <w:sz w:val="21"/>
                <w:szCs w:val="21"/>
                <w:highlight w:val="none"/>
              </w:rPr>
              <w:t>5</w:t>
            </w:r>
          </w:p>
        </w:tc>
        <w:tc>
          <w:tcPr>
            <w:tcW w:w="4300" w:type="dxa"/>
            <w:tcBorders>
              <w:right w:val="single" w:color="auto" w:sz="8" w:space="0"/>
            </w:tcBorders>
            <w:vAlign w:val="center"/>
          </w:tcPr>
          <w:p>
            <w:pPr>
              <w:ind w:left="100"/>
              <w:jc w:val="center"/>
              <w:rPr>
                <w:rFonts w:ascii="宋体" w:cs="宋体"/>
                <w:color w:val="auto"/>
                <w:sz w:val="21"/>
                <w:szCs w:val="21"/>
                <w:highlight w:val="none"/>
              </w:rPr>
            </w:pPr>
            <w:r>
              <w:rPr>
                <w:rFonts w:hint="eastAsia" w:ascii="宋体" w:hAnsi="宋体" w:cs="宋体"/>
                <w:color w:val="auto"/>
                <w:w w:val="97"/>
                <w:sz w:val="21"/>
                <w:szCs w:val="21"/>
                <w:highlight w:val="none"/>
              </w:rPr>
              <w:t>件当事人名单、政府采购严重违法失信行为记录名单，</w:t>
            </w: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tcBorders>
              <w:right w:val="single" w:color="auto" w:sz="8" w:space="0"/>
            </w:tcBorders>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以采购代理机构开标</w:t>
            </w: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48" w:hRule="atLeast"/>
        </w:trPr>
        <w:tc>
          <w:tcPr>
            <w:tcW w:w="650" w:type="dxa"/>
            <w:vMerge w:val="continue"/>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vMerge w:val="restart"/>
            <w:tcBorders>
              <w:right w:val="single" w:color="auto" w:sz="8" w:space="0"/>
            </w:tcBorders>
            <w:vAlign w:val="center"/>
          </w:tcPr>
          <w:p>
            <w:pPr>
              <w:ind w:left="100"/>
              <w:jc w:val="center"/>
              <w:rPr>
                <w:rFonts w:ascii="宋体" w:cs="宋体"/>
                <w:color w:val="auto"/>
                <w:sz w:val="21"/>
                <w:szCs w:val="21"/>
                <w:highlight w:val="none"/>
              </w:rPr>
            </w:pPr>
            <w:r>
              <w:rPr>
                <w:rFonts w:hint="eastAsia" w:ascii="宋体" w:hAnsi="宋体" w:cs="宋体"/>
                <w:color w:val="auto"/>
                <w:w w:val="95"/>
                <w:sz w:val="21"/>
                <w:szCs w:val="21"/>
                <w:highlight w:val="none"/>
              </w:rPr>
              <w:t>信用信息以信用中国网站（</w:t>
            </w:r>
            <w:r>
              <w:rPr>
                <w:rFonts w:ascii="宋体" w:hAnsi="宋体" w:cs="宋体"/>
                <w:color w:val="auto"/>
                <w:w w:val="95"/>
                <w:sz w:val="21"/>
                <w:szCs w:val="21"/>
                <w:highlight w:val="none"/>
              </w:rPr>
              <w:t>www.creditchina.gov.cn</w:t>
            </w:r>
            <w:r>
              <w:rPr>
                <w:rFonts w:hint="eastAsia" w:ascii="宋体" w:hAnsi="宋体" w:cs="宋体"/>
                <w:color w:val="auto"/>
                <w:w w:val="95"/>
                <w:sz w:val="21"/>
                <w:szCs w:val="21"/>
                <w:highlight w:val="none"/>
              </w:rPr>
              <w:t>）、</w:t>
            </w: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vMerge w:val="restart"/>
            <w:tcBorders>
              <w:right w:val="single" w:color="auto" w:sz="8" w:space="0"/>
            </w:tcBorders>
            <w:vAlign w:val="center"/>
          </w:tcPr>
          <w:p>
            <w:pPr>
              <w:jc w:val="center"/>
              <w:rPr>
                <w:rFonts w:ascii="宋体" w:cs="宋体"/>
                <w:color w:val="auto"/>
                <w:sz w:val="21"/>
                <w:szCs w:val="21"/>
                <w:highlight w:val="none"/>
              </w:rPr>
            </w:pPr>
            <w:r>
              <w:rPr>
                <w:rFonts w:hint="eastAsia" w:ascii="宋体" w:hAnsi="宋体" w:cs="宋体"/>
                <w:color w:val="auto"/>
                <w:w w:val="99"/>
                <w:sz w:val="21"/>
                <w:szCs w:val="21"/>
                <w:highlight w:val="none"/>
              </w:rPr>
              <w:t>前网页查询为准</w:t>
            </w: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142" w:hRule="atLeast"/>
        </w:trPr>
        <w:tc>
          <w:tcPr>
            <w:tcW w:w="650" w:type="dxa"/>
            <w:tcBorders>
              <w:left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vMerge w:val="continue"/>
            <w:tcBorders>
              <w:right w:val="single" w:color="auto" w:sz="8" w:space="0"/>
            </w:tcBorders>
            <w:vAlign w:val="center"/>
          </w:tcPr>
          <w:p>
            <w:pPr>
              <w:jc w:val="center"/>
              <w:rPr>
                <w:rFonts w:ascii="宋体" w:cs="宋体"/>
                <w:color w:val="auto"/>
                <w:sz w:val="21"/>
                <w:szCs w:val="21"/>
                <w:highlight w:val="none"/>
              </w:rPr>
            </w:pPr>
          </w:p>
        </w:tc>
        <w:tc>
          <w:tcPr>
            <w:tcW w:w="2690" w:type="dxa"/>
            <w:tcBorders>
              <w:right w:val="single" w:color="auto" w:sz="8" w:space="0"/>
            </w:tcBorders>
            <w:vAlign w:val="center"/>
          </w:tcPr>
          <w:p>
            <w:pPr>
              <w:jc w:val="center"/>
              <w:rPr>
                <w:rFonts w:ascii="宋体" w:cs="宋体"/>
                <w:color w:val="auto"/>
                <w:sz w:val="21"/>
                <w:szCs w:val="21"/>
                <w:highlight w:val="none"/>
              </w:rPr>
            </w:pPr>
          </w:p>
        </w:tc>
        <w:tc>
          <w:tcPr>
            <w:tcW w:w="2280" w:type="dxa"/>
            <w:vMerge w:val="continue"/>
            <w:tcBorders>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r>
        <w:tblPrEx>
          <w:tblLayout w:type="fixed"/>
          <w:tblCellMar>
            <w:top w:w="0" w:type="dxa"/>
            <w:left w:w="0" w:type="dxa"/>
            <w:bottom w:w="0" w:type="dxa"/>
            <w:right w:w="0" w:type="dxa"/>
          </w:tblCellMar>
        </w:tblPrEx>
        <w:trPr>
          <w:trHeight w:val="280" w:hRule="atLeast"/>
        </w:trPr>
        <w:tc>
          <w:tcPr>
            <w:tcW w:w="650" w:type="dxa"/>
            <w:tcBorders>
              <w:left w:val="single" w:color="auto" w:sz="8" w:space="0"/>
              <w:bottom w:val="single" w:color="auto" w:sz="8" w:space="0"/>
              <w:right w:val="single" w:color="auto" w:sz="8" w:space="0"/>
            </w:tcBorders>
            <w:vAlign w:val="center"/>
          </w:tcPr>
          <w:p>
            <w:pPr>
              <w:jc w:val="center"/>
              <w:rPr>
                <w:rFonts w:ascii="宋体" w:cs="宋体"/>
                <w:color w:val="auto"/>
                <w:sz w:val="21"/>
                <w:szCs w:val="21"/>
                <w:highlight w:val="none"/>
              </w:rPr>
            </w:pPr>
          </w:p>
        </w:tc>
        <w:tc>
          <w:tcPr>
            <w:tcW w:w="4300" w:type="dxa"/>
            <w:tcBorders>
              <w:bottom w:val="single" w:color="auto" w:sz="8" w:space="0"/>
              <w:right w:val="single" w:color="auto" w:sz="8" w:space="0"/>
            </w:tcBorders>
            <w:vAlign w:val="center"/>
          </w:tcPr>
          <w:p>
            <w:pPr>
              <w:ind w:left="100"/>
              <w:jc w:val="center"/>
              <w:rPr>
                <w:rFonts w:ascii="宋体" w:cs="宋体"/>
                <w:color w:val="auto"/>
                <w:sz w:val="21"/>
                <w:szCs w:val="21"/>
                <w:highlight w:val="none"/>
              </w:rPr>
            </w:pPr>
            <w:r>
              <w:rPr>
                <w:rFonts w:hint="eastAsia" w:ascii="宋体" w:hAnsi="宋体" w:cs="宋体"/>
                <w:color w:val="auto"/>
                <w:sz w:val="21"/>
                <w:szCs w:val="21"/>
                <w:highlight w:val="none"/>
              </w:rPr>
              <w:t>中国政府采购网（</w:t>
            </w:r>
            <w:r>
              <w:rPr>
                <w:rFonts w:ascii="宋体" w:hAnsi="宋体" w:cs="宋体"/>
                <w:color w:val="auto"/>
                <w:sz w:val="21"/>
                <w:szCs w:val="21"/>
                <w:highlight w:val="none"/>
              </w:rPr>
              <w:t>www.ccgp.gov.cn</w:t>
            </w:r>
            <w:r>
              <w:rPr>
                <w:rFonts w:hint="eastAsia" w:ascii="宋体" w:hAnsi="宋体" w:cs="宋体"/>
                <w:color w:val="auto"/>
                <w:sz w:val="21"/>
                <w:szCs w:val="21"/>
                <w:highlight w:val="none"/>
              </w:rPr>
              <w:t>）公布为准；</w:t>
            </w:r>
          </w:p>
        </w:tc>
        <w:tc>
          <w:tcPr>
            <w:tcW w:w="269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2280" w:type="dxa"/>
            <w:tcBorders>
              <w:bottom w:val="single" w:color="auto" w:sz="8" w:space="0"/>
              <w:right w:val="single" w:color="auto" w:sz="8" w:space="0"/>
            </w:tcBorders>
            <w:vAlign w:val="center"/>
          </w:tcPr>
          <w:p>
            <w:pPr>
              <w:jc w:val="center"/>
              <w:rPr>
                <w:rFonts w:ascii="宋体" w:cs="宋体"/>
                <w:color w:val="auto"/>
                <w:sz w:val="21"/>
                <w:szCs w:val="21"/>
                <w:highlight w:val="none"/>
              </w:rPr>
            </w:pPr>
          </w:p>
        </w:tc>
        <w:tc>
          <w:tcPr>
            <w:tcW w:w="360" w:type="dxa"/>
            <w:vAlign w:val="center"/>
          </w:tcPr>
          <w:p>
            <w:pPr>
              <w:jc w:val="center"/>
              <w:rPr>
                <w:rFonts w:ascii="宋体" w:cs="宋体"/>
                <w:color w:val="auto"/>
                <w:sz w:val="21"/>
                <w:szCs w:val="21"/>
                <w:highlight w:val="none"/>
              </w:rPr>
            </w:pPr>
          </w:p>
        </w:tc>
      </w:tr>
    </w:tbl>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3" w:lineRule="exact"/>
        <w:rPr>
          <w:rFonts w:ascii="宋体" w:cs="宋体"/>
          <w:color w:val="auto"/>
          <w:sz w:val="20"/>
          <w:szCs w:val="20"/>
          <w:highlight w:val="none"/>
        </w:rPr>
      </w:pPr>
    </w:p>
    <w:p>
      <w:pPr>
        <w:spacing w:line="255" w:lineRule="exact"/>
        <w:ind w:left="1320"/>
        <w:rPr>
          <w:rFonts w:ascii="宋体" w:cs="宋体"/>
          <w:color w:val="auto"/>
          <w:sz w:val="20"/>
          <w:szCs w:val="20"/>
          <w:highlight w:val="none"/>
        </w:rPr>
      </w:pPr>
      <w:r>
        <w:rPr>
          <w:rFonts w:hint="eastAsia" w:ascii="宋体" w:hAnsi="宋体" w:cs="宋体"/>
          <w:b/>
          <w:bCs/>
          <w:color w:val="auto"/>
          <w:sz w:val="21"/>
          <w:szCs w:val="21"/>
          <w:highlight w:val="none"/>
        </w:rPr>
        <w:t>注：</w:t>
      </w:r>
      <w:r>
        <w:rPr>
          <w:rFonts w:ascii="宋体" w:hAnsi="宋体" w:cs="宋体"/>
          <w:b/>
          <w:bCs/>
          <w:color w:val="auto"/>
          <w:sz w:val="21"/>
          <w:szCs w:val="21"/>
          <w:highlight w:val="none"/>
        </w:rPr>
        <w:t>1</w:t>
      </w:r>
      <w:r>
        <w:rPr>
          <w:rFonts w:hint="eastAsia" w:ascii="宋体" w:hAnsi="宋体" w:cs="宋体"/>
          <w:b/>
          <w:bCs/>
          <w:color w:val="auto"/>
          <w:sz w:val="21"/>
          <w:szCs w:val="21"/>
          <w:highlight w:val="none"/>
        </w:rPr>
        <w:t>、证明材料复印件需齐全，不得缺页，否则证明无效，加盖公章。</w:t>
      </w:r>
    </w:p>
    <w:p>
      <w:pPr>
        <w:spacing w:line="156" w:lineRule="exact"/>
        <w:rPr>
          <w:rFonts w:ascii="宋体" w:cs="宋体"/>
          <w:color w:val="auto"/>
          <w:sz w:val="20"/>
          <w:szCs w:val="20"/>
          <w:highlight w:val="none"/>
        </w:rPr>
      </w:pPr>
    </w:p>
    <w:p>
      <w:pPr>
        <w:spacing w:line="255" w:lineRule="exact"/>
        <w:ind w:left="1320"/>
        <w:rPr>
          <w:rFonts w:ascii="宋体" w:cs="宋体"/>
          <w:color w:val="auto"/>
          <w:sz w:val="20"/>
          <w:szCs w:val="20"/>
          <w:highlight w:val="none"/>
        </w:rPr>
      </w:pPr>
      <w:r>
        <w:rPr>
          <w:rFonts w:ascii="宋体" w:hAnsi="宋体" w:cs="宋体"/>
          <w:b/>
          <w:bCs/>
          <w:color w:val="auto"/>
          <w:sz w:val="21"/>
          <w:szCs w:val="21"/>
          <w:highlight w:val="none"/>
        </w:rPr>
        <w:t>2</w:t>
      </w:r>
      <w:r>
        <w:rPr>
          <w:rFonts w:hint="eastAsia" w:ascii="宋体" w:hAnsi="宋体" w:cs="宋体"/>
          <w:b/>
          <w:bCs/>
          <w:color w:val="auto"/>
          <w:sz w:val="21"/>
          <w:szCs w:val="21"/>
          <w:highlight w:val="none"/>
        </w:rPr>
        <w:t>、证明材料因具备充分性，与要求相对应，否则由此产生的责任和风险投标人承担。</w:t>
      </w:r>
    </w:p>
    <w:p>
      <w:pPr>
        <w:spacing w:line="200" w:lineRule="exact"/>
        <w:rPr>
          <w:rFonts w:ascii="宋体" w:cs="宋体"/>
          <w:color w:val="auto"/>
          <w:sz w:val="20"/>
          <w:szCs w:val="20"/>
          <w:highlight w:val="none"/>
        </w:rPr>
      </w:pPr>
    </w:p>
    <w:p>
      <w:pPr>
        <w:spacing w:line="315" w:lineRule="exact"/>
        <w:rPr>
          <w:rFonts w:ascii="宋体" w:cs="宋体"/>
          <w:color w:val="auto"/>
          <w:sz w:val="20"/>
          <w:szCs w:val="20"/>
          <w:highlight w:val="none"/>
        </w:rPr>
      </w:pPr>
    </w:p>
    <w:p>
      <w:pPr>
        <w:spacing w:line="240" w:lineRule="exact"/>
        <w:ind w:left="900"/>
        <w:rPr>
          <w:rFonts w:ascii="宋体" w:cs="宋体"/>
          <w:color w:val="auto"/>
          <w:sz w:val="20"/>
          <w:szCs w:val="20"/>
          <w:highlight w:val="none"/>
        </w:rPr>
      </w:pPr>
      <w:r>
        <w:rPr>
          <w:rFonts w:hint="eastAsia" w:ascii="宋体" w:hAnsi="宋体" w:cs="宋体"/>
          <w:color w:val="auto"/>
          <w:sz w:val="21"/>
          <w:szCs w:val="21"/>
          <w:highlight w:val="none"/>
        </w:rPr>
        <w:t>供应商全称（盖单位公章）：</w:t>
      </w:r>
    </w:p>
    <w:p>
      <w:pPr>
        <w:spacing w:line="168" w:lineRule="exact"/>
        <w:rPr>
          <w:rFonts w:ascii="宋体" w:cs="宋体"/>
          <w:color w:val="auto"/>
          <w:sz w:val="20"/>
          <w:szCs w:val="20"/>
          <w:highlight w:val="none"/>
        </w:rPr>
      </w:pPr>
    </w:p>
    <w:p>
      <w:pPr>
        <w:spacing w:line="240" w:lineRule="exact"/>
        <w:ind w:left="900"/>
        <w:rPr>
          <w:rFonts w:ascii="宋体" w:cs="宋体"/>
          <w:color w:val="auto"/>
          <w:sz w:val="20"/>
          <w:szCs w:val="20"/>
          <w:highlight w:val="none"/>
        </w:rPr>
      </w:pPr>
      <w:r>
        <w:rPr>
          <w:rFonts w:hint="eastAsia" w:ascii="宋体" w:hAnsi="宋体" w:cs="宋体"/>
          <w:color w:val="auto"/>
          <w:sz w:val="21"/>
          <w:szCs w:val="21"/>
          <w:highlight w:val="none"/>
        </w:rPr>
        <w:t>响应文件签署人（签字或盖章）：</w:t>
      </w:r>
    </w:p>
    <w:p>
      <w:pPr>
        <w:spacing w:line="168" w:lineRule="exact"/>
        <w:rPr>
          <w:rFonts w:ascii="宋体" w:cs="宋体"/>
          <w:color w:val="auto"/>
          <w:sz w:val="20"/>
          <w:szCs w:val="20"/>
          <w:highlight w:val="none"/>
        </w:rPr>
      </w:pPr>
    </w:p>
    <w:p>
      <w:pPr>
        <w:spacing w:line="240" w:lineRule="exact"/>
        <w:ind w:left="900"/>
        <w:rPr>
          <w:rFonts w:ascii="宋体" w:cs="宋体"/>
          <w:color w:val="auto"/>
          <w:sz w:val="20"/>
          <w:szCs w:val="20"/>
          <w:highlight w:val="none"/>
        </w:rPr>
      </w:pPr>
      <w:r>
        <w:rPr>
          <w:rFonts w:hint="eastAsia" w:ascii="宋体" w:hAnsi="宋体" w:cs="宋体"/>
          <w:color w:val="auto"/>
          <w:sz w:val="21"/>
          <w:szCs w:val="21"/>
          <w:highlight w:val="none"/>
        </w:rPr>
        <w:t>日期：</w:t>
      </w:r>
    </w:p>
    <w:p>
      <w:pPr>
        <w:rPr>
          <w:rFonts w:ascii="宋体" w:cs="宋体"/>
          <w:color w:val="auto"/>
          <w:highlight w:val="none"/>
        </w:rPr>
        <w:sectPr>
          <w:pgSz w:w="11900" w:h="16838"/>
          <w:pgMar w:top="1440" w:right="1106" w:bottom="158" w:left="900" w:header="567" w:footer="567" w:gutter="0"/>
          <w:cols w:equalWidth="0" w:num="1">
            <w:col w:w="9900"/>
          </w:cols>
        </w:sectPr>
      </w:pPr>
    </w:p>
    <w:p>
      <w:pPr>
        <w:spacing w:line="240" w:lineRule="exact"/>
        <w:rPr>
          <w:rFonts w:ascii="宋体" w:cs="宋体"/>
          <w:b/>
          <w:bCs/>
          <w:color w:val="auto"/>
          <w:sz w:val="20"/>
          <w:szCs w:val="20"/>
          <w:highlight w:val="none"/>
        </w:rPr>
      </w:pPr>
      <w:bookmarkStart w:id="190" w:name="page80"/>
      <w:bookmarkEnd w:id="190"/>
      <w:bookmarkStart w:id="191" w:name="_Toc12285_WPSOffice_Level2"/>
      <w:bookmarkStart w:id="192" w:name="_Toc32408_WPSOffice_Level2"/>
      <w:r>
        <w:rPr>
          <w:rFonts w:hint="eastAsia" w:ascii="宋体" w:hAnsi="宋体" w:cs="宋体"/>
          <w:b/>
          <w:bCs/>
          <w:color w:val="auto"/>
          <w:sz w:val="21"/>
          <w:szCs w:val="21"/>
          <w:highlight w:val="none"/>
        </w:rPr>
        <w:t>附件二：基本资格条件审查资料</w:t>
      </w:r>
      <w:bookmarkEnd w:id="191"/>
      <w:bookmarkEnd w:id="192"/>
    </w:p>
    <w:p>
      <w:pPr>
        <w:spacing w:line="200" w:lineRule="exact"/>
        <w:rPr>
          <w:rFonts w:ascii="宋体" w:cs="宋体"/>
          <w:color w:val="auto"/>
          <w:sz w:val="20"/>
          <w:szCs w:val="20"/>
          <w:highlight w:val="none"/>
        </w:rPr>
      </w:pPr>
    </w:p>
    <w:p>
      <w:pPr>
        <w:pStyle w:val="8"/>
        <w:spacing w:line="360"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rPr>
        <w:t>）有效的法人或者其他组织的营业执照等证明文件（复印件加盖公章），自然人的身份证明；</w:t>
      </w:r>
    </w:p>
    <w:p>
      <w:pPr>
        <w:pStyle w:val="8"/>
        <w:spacing w:line="360"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rPr>
        <w:t>）最近六个月任意一月依法缴纳税收的证明材料；（依法免税的磋商响应供应商，应提供相应文件证明其依法免税）</w:t>
      </w:r>
    </w:p>
    <w:p>
      <w:pPr>
        <w:pStyle w:val="8"/>
        <w:spacing w:line="360" w:lineRule="auto"/>
        <w:ind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w:t>
      </w: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rPr>
        <w:t>）最近六个月任意一月依法缴社会保障资金的证明材料；（依法不需要缴纳社会保障资金的磋商响应供应商，应提供相应文件证明其依法不需要缴纳社会保障资金）</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）具有履行合同所必需的设备和专业技术能力的承诺函；</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）参加政府采购活动前</w:t>
      </w:r>
      <w:r>
        <w:rPr>
          <w:rFonts w:ascii="宋体" w:hAnsi="宋体" w:cs="宋体"/>
          <w:color w:val="auto"/>
          <w:sz w:val="21"/>
          <w:szCs w:val="21"/>
          <w:highlight w:val="none"/>
        </w:rPr>
        <w:t xml:space="preserve"> 3 </w:t>
      </w:r>
      <w:r>
        <w:rPr>
          <w:rFonts w:hint="eastAsia" w:ascii="宋体" w:hAnsi="宋体" w:cs="宋体"/>
          <w:color w:val="auto"/>
          <w:sz w:val="21"/>
          <w:szCs w:val="21"/>
          <w:highlight w:val="none"/>
        </w:rPr>
        <w:t>年内在经营活动中没有重大违法记录的声明函；</w:t>
      </w:r>
    </w:p>
    <w:p>
      <w:pPr>
        <w:spacing w:line="360" w:lineRule="auto"/>
        <w:rPr>
          <w:rFonts w:ascii="宋体" w:cs="宋体"/>
          <w:color w:val="auto"/>
          <w:sz w:val="20"/>
          <w:szCs w:val="20"/>
          <w:highlight w:val="none"/>
        </w:rPr>
      </w:pPr>
    </w:p>
    <w:p>
      <w:pPr>
        <w:spacing w:line="360" w:lineRule="auto"/>
        <w:ind w:left="360"/>
        <w:jc w:val="center"/>
        <w:rPr>
          <w:rFonts w:ascii="宋体" w:cs="宋体"/>
          <w:b/>
          <w:bCs/>
          <w:color w:val="auto"/>
          <w:sz w:val="28"/>
          <w:szCs w:val="28"/>
          <w:highlight w:val="none"/>
        </w:rPr>
      </w:pPr>
    </w:p>
    <w:p>
      <w:pPr>
        <w:spacing w:line="360" w:lineRule="auto"/>
        <w:ind w:left="360"/>
        <w:jc w:val="center"/>
        <w:rPr>
          <w:rFonts w:ascii="宋体" w:cs="宋体"/>
          <w:b/>
          <w:bCs/>
          <w:color w:val="auto"/>
          <w:sz w:val="28"/>
          <w:szCs w:val="28"/>
          <w:highlight w:val="none"/>
        </w:rPr>
      </w:pPr>
      <w:bookmarkStart w:id="193" w:name="_Toc22411_WPSOffice_Level2"/>
      <w:r>
        <w:rPr>
          <w:rFonts w:hint="eastAsia" w:ascii="宋体" w:hAnsi="宋体" w:cs="宋体"/>
          <w:b/>
          <w:bCs/>
          <w:color w:val="auto"/>
          <w:sz w:val="28"/>
          <w:szCs w:val="28"/>
          <w:highlight w:val="none"/>
        </w:rPr>
        <w:t>具有履行合同所必需的设备和专业技术能力的承诺函</w:t>
      </w:r>
      <w:bookmarkEnd w:id="193"/>
    </w:p>
    <w:p>
      <w:pPr>
        <w:spacing w:line="360" w:lineRule="auto"/>
        <w:rPr>
          <w:rFonts w:ascii="宋体" w:cs="宋体"/>
          <w:color w:val="auto"/>
          <w:sz w:val="20"/>
          <w:szCs w:val="20"/>
          <w:highlight w:val="none"/>
        </w:rPr>
      </w:pPr>
    </w:p>
    <w:p>
      <w:pPr>
        <w:spacing w:line="360" w:lineRule="auto"/>
        <w:ind w:left="360"/>
        <w:rPr>
          <w:rFonts w:ascii="宋体" w:cs="宋体"/>
          <w:color w:val="auto"/>
          <w:sz w:val="20"/>
          <w:szCs w:val="20"/>
          <w:highlight w:val="none"/>
        </w:rPr>
      </w:pPr>
      <w:r>
        <w:rPr>
          <w:rFonts w:hint="eastAsia" w:ascii="宋体" w:hAnsi="宋体" w:cs="宋体"/>
          <w:color w:val="auto"/>
          <w:sz w:val="21"/>
          <w:szCs w:val="21"/>
          <w:highlight w:val="none"/>
          <w:u w:val="single"/>
        </w:rPr>
        <w:t>（采购人）</w:t>
      </w:r>
      <w:r>
        <w:rPr>
          <w:rFonts w:hint="eastAsia" w:ascii="宋体" w:hAnsi="宋体" w:cs="宋体"/>
          <w:color w:val="auto"/>
          <w:sz w:val="21"/>
          <w:szCs w:val="21"/>
          <w:highlight w:val="none"/>
        </w:rPr>
        <w:t>：</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我方</w:t>
      </w:r>
      <w:r>
        <w:rPr>
          <w:rFonts w:ascii="宋体" w:hAnsi="宋体" w:cs="宋体"/>
          <w:color w:val="auto"/>
          <w:sz w:val="21"/>
          <w:szCs w:val="21"/>
          <w:highlight w:val="none"/>
          <w:u w:val="single"/>
        </w:rPr>
        <w:t xml:space="preserve">            </w:t>
      </w:r>
      <w:r>
        <w:rPr>
          <w:rFonts w:hint="eastAsia" w:ascii="宋体" w:hAnsi="宋体" w:cs="宋体"/>
          <w:color w:val="auto"/>
          <w:sz w:val="21"/>
          <w:szCs w:val="21"/>
          <w:highlight w:val="none"/>
        </w:rPr>
        <w:t>承诺具有履行合同所必需的设备和专业技术能力。如有虚假，采购人可取消我方任何资格（投标</w:t>
      </w:r>
      <w:r>
        <w:rPr>
          <w:rFonts w:ascii="宋体" w:hAnsi="宋体" w:cs="宋体"/>
          <w:color w:val="auto"/>
          <w:sz w:val="21"/>
          <w:szCs w:val="21"/>
          <w:highlight w:val="none"/>
        </w:rPr>
        <w:t>/</w:t>
      </w:r>
      <w:r>
        <w:rPr>
          <w:rFonts w:hint="eastAsia" w:ascii="宋体" w:hAnsi="宋体" w:cs="宋体"/>
          <w:color w:val="auto"/>
          <w:sz w:val="21"/>
          <w:szCs w:val="21"/>
          <w:highlight w:val="none"/>
        </w:rPr>
        <w:t>中标</w:t>
      </w:r>
      <w:r>
        <w:rPr>
          <w:rFonts w:ascii="宋体" w:hAnsi="宋体" w:cs="宋体"/>
          <w:color w:val="auto"/>
          <w:sz w:val="21"/>
          <w:szCs w:val="21"/>
          <w:highlight w:val="none"/>
        </w:rPr>
        <w:t>/</w:t>
      </w:r>
      <w:r>
        <w:rPr>
          <w:rFonts w:hint="eastAsia" w:ascii="宋体" w:hAnsi="宋体" w:cs="宋体"/>
          <w:color w:val="auto"/>
          <w:sz w:val="21"/>
          <w:szCs w:val="21"/>
          <w:highlight w:val="none"/>
        </w:rPr>
        <w:t>签订合同），我方对此无任何异议。</w:t>
      </w:r>
    </w:p>
    <w:p>
      <w:pPr>
        <w:spacing w:line="360" w:lineRule="auto"/>
        <w:rPr>
          <w:rFonts w:ascii="宋体" w:cs="宋体"/>
          <w:color w:val="auto"/>
          <w:sz w:val="20"/>
          <w:szCs w:val="20"/>
          <w:highlight w:val="none"/>
        </w:rPr>
      </w:pPr>
    </w:p>
    <w:p>
      <w:pPr>
        <w:spacing w:line="360" w:lineRule="auto"/>
        <w:ind w:left="780"/>
        <w:rPr>
          <w:rFonts w:ascii="宋体" w:cs="宋体"/>
          <w:color w:val="auto"/>
          <w:sz w:val="20"/>
          <w:szCs w:val="20"/>
          <w:highlight w:val="none"/>
        </w:rPr>
      </w:pPr>
      <w:r>
        <w:rPr>
          <w:rFonts w:hint="eastAsia" w:ascii="宋体" w:hAnsi="宋体" w:cs="宋体"/>
          <w:color w:val="auto"/>
          <w:sz w:val="21"/>
          <w:szCs w:val="21"/>
          <w:highlight w:val="none"/>
        </w:rPr>
        <w:t>特此承诺！</w:t>
      </w:r>
    </w:p>
    <w:p>
      <w:pPr>
        <w:spacing w:line="360" w:lineRule="auto"/>
        <w:ind w:left="780"/>
        <w:rPr>
          <w:rFonts w:ascii="宋体" w:cs="宋体"/>
          <w:color w:val="auto"/>
          <w:sz w:val="20"/>
          <w:szCs w:val="20"/>
          <w:highlight w:val="none"/>
        </w:rPr>
      </w:pPr>
      <w:r>
        <w:rPr>
          <w:rFonts w:hint="eastAsia" w:ascii="宋体" w:hAnsi="宋体" w:cs="宋体"/>
          <w:color w:val="auto"/>
          <w:sz w:val="21"/>
          <w:szCs w:val="21"/>
          <w:highlight w:val="none"/>
        </w:rPr>
        <w:t>供应商名称（盖章）</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w:t>
      </w:r>
    </w:p>
    <w:p>
      <w:pPr>
        <w:spacing w:line="360" w:lineRule="auto"/>
        <w:ind w:left="780"/>
        <w:rPr>
          <w:rFonts w:ascii="宋体" w:cs="宋体"/>
          <w:color w:val="auto"/>
          <w:sz w:val="20"/>
          <w:szCs w:val="20"/>
          <w:highlight w:val="none"/>
        </w:rPr>
      </w:pPr>
      <w:r>
        <w:rPr>
          <w:rFonts w:hint="eastAsia" w:ascii="宋体" w:hAnsi="宋体" w:cs="宋体"/>
          <w:color w:val="auto"/>
          <w:sz w:val="21"/>
          <w:szCs w:val="21"/>
          <w:highlight w:val="none"/>
        </w:rPr>
        <w:t>法定代表人或其授权代表（签字或盖章）：</w:t>
      </w:r>
    </w:p>
    <w:p>
      <w:pPr>
        <w:tabs>
          <w:tab w:val="left" w:pos="1920"/>
          <w:tab w:val="left" w:pos="2340"/>
          <w:tab w:val="left" w:pos="2760"/>
        </w:tabs>
        <w:spacing w:line="360" w:lineRule="auto"/>
        <w:ind w:left="780"/>
        <w:rPr>
          <w:rFonts w:ascii="宋体" w:cs="宋体"/>
          <w:color w:val="auto"/>
          <w:sz w:val="20"/>
          <w:szCs w:val="20"/>
          <w:highlight w:val="none"/>
        </w:rPr>
      </w:pPr>
      <w:r>
        <w:rPr>
          <w:rFonts w:hint="eastAsia" w:ascii="宋体" w:hAnsi="宋体" w:cs="宋体"/>
          <w:color w:val="auto"/>
          <w:sz w:val="21"/>
          <w:szCs w:val="21"/>
          <w:highlight w:val="none"/>
        </w:rPr>
        <w:t>日期：</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年</w:t>
      </w:r>
      <w:r>
        <w:rPr>
          <w:rFonts w:ascii="宋体" w:hAnsi="宋体" w:cs="宋体"/>
          <w:color w:val="auto"/>
          <w:sz w:val="21"/>
          <w:szCs w:val="21"/>
          <w:highlight w:val="none"/>
        </w:rPr>
        <w:t xml:space="preserve">  </w:t>
      </w:r>
      <w:r>
        <w:rPr>
          <w:rFonts w:ascii="宋体" w:hAnsi="宋体" w:cs="宋体"/>
          <w:color w:val="auto"/>
          <w:sz w:val="21"/>
          <w:szCs w:val="21"/>
          <w:highlight w:val="none"/>
        </w:rPr>
        <w:tab/>
      </w:r>
      <w:r>
        <w:rPr>
          <w:rFonts w:hint="eastAsia" w:ascii="宋体" w:hAnsi="宋体" w:cs="宋体"/>
          <w:color w:val="auto"/>
          <w:sz w:val="21"/>
          <w:szCs w:val="21"/>
          <w:highlight w:val="none"/>
        </w:rPr>
        <w:t>月</w:t>
      </w:r>
      <w:r>
        <w:rPr>
          <w:rFonts w:ascii="宋体" w:cs="宋体"/>
          <w:color w:val="auto"/>
          <w:sz w:val="20"/>
          <w:szCs w:val="20"/>
          <w:highlight w:val="none"/>
        </w:rPr>
        <w:tab/>
      </w:r>
      <w:r>
        <w:rPr>
          <w:rFonts w:ascii="宋体" w:hAnsi="宋体" w:cs="宋体"/>
          <w:color w:val="auto"/>
          <w:sz w:val="20"/>
          <w:szCs w:val="20"/>
          <w:highlight w:val="none"/>
        </w:rPr>
        <w:t xml:space="preserve"> </w:t>
      </w:r>
      <w:r>
        <w:rPr>
          <w:rFonts w:hint="eastAsia" w:ascii="宋体" w:hAnsi="宋体" w:cs="宋体"/>
          <w:color w:val="auto"/>
          <w:sz w:val="20"/>
          <w:szCs w:val="20"/>
          <w:highlight w:val="none"/>
        </w:rPr>
        <w:t>日</w:t>
      </w: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spacing w:line="200" w:lineRule="exact"/>
        <w:rPr>
          <w:rFonts w:ascii="宋体" w:cs="宋体"/>
          <w:color w:val="auto"/>
          <w:sz w:val="20"/>
          <w:szCs w:val="20"/>
          <w:highlight w:val="none"/>
        </w:rPr>
      </w:pPr>
    </w:p>
    <w:p>
      <w:pPr>
        <w:rPr>
          <w:rFonts w:ascii="宋体" w:cs="宋体"/>
          <w:color w:val="auto"/>
          <w:highlight w:val="none"/>
        </w:rPr>
        <w:sectPr>
          <w:pgSz w:w="11900" w:h="16838"/>
          <w:pgMar w:top="1440" w:right="1440" w:bottom="158" w:left="1440" w:header="567" w:footer="567" w:gutter="0"/>
          <w:cols w:equalWidth="0" w:num="1">
            <w:col w:w="9026"/>
          </w:cols>
        </w:sectPr>
      </w:pPr>
    </w:p>
    <w:p>
      <w:pPr>
        <w:spacing w:line="366" w:lineRule="exact"/>
        <w:jc w:val="center"/>
        <w:rPr>
          <w:rFonts w:ascii="宋体" w:cs="宋体"/>
          <w:b/>
          <w:bCs/>
          <w:color w:val="auto"/>
          <w:sz w:val="28"/>
          <w:szCs w:val="28"/>
          <w:highlight w:val="none"/>
        </w:rPr>
      </w:pPr>
      <w:bookmarkStart w:id="194" w:name="page81"/>
      <w:bookmarkEnd w:id="194"/>
      <w:bookmarkStart w:id="195" w:name="_Toc16196_WPSOffice_Level2"/>
      <w:r>
        <w:rPr>
          <w:rFonts w:hint="eastAsia" w:ascii="宋体" w:hAnsi="宋体" w:cs="宋体"/>
          <w:b/>
          <w:bCs/>
          <w:color w:val="auto"/>
          <w:sz w:val="28"/>
          <w:szCs w:val="28"/>
          <w:highlight w:val="none"/>
        </w:rPr>
        <w:t>没有重大违法记录承诺函</w:t>
      </w:r>
      <w:bookmarkEnd w:id="195"/>
    </w:p>
    <w:p>
      <w:pPr>
        <w:spacing w:line="375" w:lineRule="exact"/>
        <w:rPr>
          <w:rFonts w:ascii="宋体" w:cs="宋体"/>
          <w:color w:val="auto"/>
          <w:sz w:val="20"/>
          <w:szCs w:val="20"/>
          <w:highlight w:val="none"/>
        </w:rPr>
      </w:pPr>
    </w:p>
    <w:p>
      <w:pPr>
        <w:spacing w:line="360" w:lineRule="auto"/>
        <w:ind w:left="360" w:firstLine="210" w:firstLineChars="100"/>
        <w:rPr>
          <w:rFonts w:ascii="宋体" w:cs="宋体"/>
          <w:color w:val="auto"/>
          <w:sz w:val="20"/>
          <w:szCs w:val="20"/>
          <w:highlight w:val="none"/>
        </w:rPr>
      </w:pPr>
      <w:r>
        <w:rPr>
          <w:rFonts w:hint="eastAsia" w:ascii="宋体" w:hAnsi="宋体" w:cs="宋体"/>
          <w:color w:val="auto"/>
          <w:sz w:val="21"/>
          <w:szCs w:val="21"/>
          <w:highlight w:val="none"/>
          <w:u w:val="single"/>
        </w:rPr>
        <w:t>（采购人）：</w:t>
      </w:r>
    </w:p>
    <w:p>
      <w:pPr>
        <w:spacing w:line="360" w:lineRule="auto"/>
        <w:ind w:right="346" w:firstLine="630" w:firstLineChars="300"/>
        <w:jc w:val="both"/>
        <w:rPr>
          <w:rFonts w:ascii="宋体" w:cs="宋体"/>
          <w:color w:val="auto"/>
          <w:sz w:val="21"/>
          <w:szCs w:val="21"/>
          <w:highlight w:val="none"/>
        </w:rPr>
      </w:pPr>
      <w:r>
        <w:rPr>
          <w:rFonts w:hint="eastAsia" w:ascii="宋体" w:hAnsi="宋体" w:cs="宋体"/>
          <w:color w:val="auto"/>
          <w:sz w:val="21"/>
          <w:szCs w:val="21"/>
          <w:highlight w:val="none"/>
        </w:rPr>
        <w:t>我方</w:t>
      </w:r>
      <w:r>
        <w:rPr>
          <w:rFonts w:hint="eastAsia" w:ascii="宋体" w:hAnsi="宋体" w:cs="宋体"/>
          <w:color w:val="auto"/>
          <w:sz w:val="21"/>
          <w:szCs w:val="21"/>
          <w:highlight w:val="none"/>
          <w:u w:val="single"/>
        </w:rPr>
        <w:t>（供应商）</w:t>
      </w:r>
      <w:r>
        <w:rPr>
          <w:rFonts w:hint="eastAsia" w:ascii="宋体" w:hAnsi="宋体" w:cs="宋体"/>
          <w:color w:val="auto"/>
          <w:sz w:val="21"/>
          <w:szCs w:val="21"/>
          <w:highlight w:val="none"/>
        </w:rPr>
        <w:t>具有良好的商业信誉，依法缴纳税收和社会保障资金，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宋体" w:hAnsi="宋体" w:cs="宋体"/>
          <w:color w:val="auto"/>
          <w:sz w:val="21"/>
          <w:szCs w:val="21"/>
          <w:highlight w:val="none"/>
        </w:rPr>
        <w:t>/</w:t>
      </w:r>
      <w:r>
        <w:rPr>
          <w:rFonts w:hint="eastAsia" w:ascii="宋体" w:hAnsi="宋体" w:cs="宋体"/>
          <w:color w:val="auto"/>
          <w:sz w:val="21"/>
          <w:szCs w:val="21"/>
          <w:highlight w:val="none"/>
        </w:rPr>
        <w:t>中标</w:t>
      </w:r>
      <w:r>
        <w:rPr>
          <w:rFonts w:ascii="宋体" w:hAnsi="宋体" w:cs="宋体"/>
          <w:color w:val="auto"/>
          <w:sz w:val="21"/>
          <w:szCs w:val="21"/>
          <w:highlight w:val="none"/>
        </w:rPr>
        <w:t>/</w:t>
      </w:r>
      <w:r>
        <w:rPr>
          <w:rFonts w:hint="eastAsia" w:ascii="宋体" w:hAnsi="宋体" w:cs="宋体"/>
          <w:color w:val="auto"/>
          <w:sz w:val="21"/>
          <w:szCs w:val="21"/>
          <w:highlight w:val="none"/>
        </w:rPr>
        <w:t>签订合同），我方对此无任何异议。</w:t>
      </w:r>
    </w:p>
    <w:p>
      <w:pPr>
        <w:spacing w:line="360" w:lineRule="auto"/>
        <w:ind w:right="346" w:firstLine="630" w:firstLineChars="300"/>
        <w:jc w:val="both"/>
        <w:rPr>
          <w:rFonts w:ascii="宋体" w:cs="宋体"/>
          <w:color w:val="auto"/>
          <w:sz w:val="21"/>
          <w:szCs w:val="21"/>
          <w:highlight w:val="none"/>
        </w:rPr>
      </w:pPr>
    </w:p>
    <w:p>
      <w:pPr>
        <w:spacing w:line="360" w:lineRule="auto"/>
        <w:ind w:right="346" w:firstLine="630" w:firstLineChars="300"/>
        <w:jc w:val="both"/>
        <w:rPr>
          <w:rFonts w:ascii="宋体" w:cs="宋体"/>
          <w:color w:val="auto"/>
          <w:sz w:val="21"/>
          <w:szCs w:val="21"/>
          <w:highlight w:val="none"/>
        </w:rPr>
      </w:pPr>
    </w:p>
    <w:p>
      <w:pPr>
        <w:spacing w:line="360" w:lineRule="auto"/>
        <w:ind w:left="780"/>
        <w:rPr>
          <w:rFonts w:ascii="宋体" w:cs="宋体"/>
          <w:color w:val="auto"/>
          <w:sz w:val="20"/>
          <w:szCs w:val="20"/>
          <w:highlight w:val="none"/>
        </w:rPr>
      </w:pPr>
      <w:r>
        <w:rPr>
          <w:rFonts w:hint="eastAsia" w:ascii="宋体" w:hAnsi="宋体" w:cs="宋体"/>
          <w:color w:val="auto"/>
          <w:sz w:val="21"/>
          <w:szCs w:val="21"/>
          <w:highlight w:val="none"/>
        </w:rPr>
        <w:t>特此承诺！</w:t>
      </w:r>
    </w:p>
    <w:p>
      <w:pPr>
        <w:spacing w:line="360" w:lineRule="auto"/>
        <w:ind w:left="360"/>
        <w:rPr>
          <w:rFonts w:ascii="宋体" w:cs="宋体"/>
          <w:color w:val="auto"/>
          <w:sz w:val="21"/>
          <w:szCs w:val="21"/>
          <w:highlight w:val="none"/>
        </w:rPr>
      </w:pPr>
    </w:p>
    <w:p>
      <w:pPr>
        <w:spacing w:line="360" w:lineRule="auto"/>
        <w:ind w:left="360"/>
        <w:rPr>
          <w:rFonts w:ascii="宋体" w:cs="宋体"/>
          <w:color w:val="auto"/>
          <w:sz w:val="21"/>
          <w:szCs w:val="21"/>
          <w:highlight w:val="none"/>
        </w:rPr>
      </w:pPr>
    </w:p>
    <w:p>
      <w:pPr>
        <w:spacing w:line="360" w:lineRule="auto"/>
        <w:ind w:left="360"/>
        <w:rPr>
          <w:rFonts w:ascii="宋体" w:cs="宋体"/>
          <w:color w:val="auto"/>
          <w:sz w:val="20"/>
          <w:szCs w:val="20"/>
          <w:highlight w:val="none"/>
        </w:rPr>
      </w:pPr>
      <w:r>
        <w:rPr>
          <w:rFonts w:hint="eastAsia" w:ascii="宋体" w:hAnsi="宋体" w:cs="宋体"/>
          <w:color w:val="auto"/>
          <w:sz w:val="21"/>
          <w:szCs w:val="21"/>
          <w:highlight w:val="none"/>
        </w:rPr>
        <w:t>供应商全称（盖单位公章）：</w:t>
      </w:r>
    </w:p>
    <w:p>
      <w:pPr>
        <w:spacing w:line="360" w:lineRule="auto"/>
        <w:ind w:left="360"/>
        <w:rPr>
          <w:rFonts w:ascii="宋体" w:cs="宋体"/>
          <w:color w:val="auto"/>
          <w:sz w:val="20"/>
          <w:szCs w:val="20"/>
          <w:highlight w:val="none"/>
        </w:rPr>
      </w:pPr>
      <w:r>
        <w:rPr>
          <w:rFonts w:hint="eastAsia" w:ascii="宋体" w:hAnsi="宋体" w:cs="宋体"/>
          <w:color w:val="auto"/>
          <w:sz w:val="21"/>
          <w:szCs w:val="21"/>
          <w:highlight w:val="none"/>
        </w:rPr>
        <w:t>响应文件签署人（签字或盖章）：</w:t>
      </w:r>
    </w:p>
    <w:p>
      <w:pPr>
        <w:spacing w:line="360" w:lineRule="auto"/>
        <w:ind w:left="360"/>
        <w:rPr>
          <w:rFonts w:ascii="宋体" w:cs="宋体"/>
          <w:color w:val="auto"/>
          <w:sz w:val="20"/>
          <w:szCs w:val="20"/>
          <w:highlight w:val="none"/>
        </w:rPr>
      </w:pPr>
      <w:r>
        <w:rPr>
          <w:rFonts w:hint="eastAsia" w:ascii="宋体" w:hAnsi="宋体" w:cs="宋体"/>
          <w:color w:val="auto"/>
          <w:sz w:val="21"/>
          <w:szCs w:val="21"/>
          <w:highlight w:val="none"/>
        </w:rPr>
        <w:t>日期：</w:t>
      </w:r>
    </w:p>
    <w:p>
      <w:pPr>
        <w:rPr>
          <w:rFonts w:ascii="宋体" w:cs="宋体"/>
          <w:color w:val="auto"/>
          <w:highlight w:val="none"/>
        </w:rPr>
      </w:pPr>
    </w:p>
    <w:p>
      <w:pPr>
        <w:spacing w:line="366" w:lineRule="exact"/>
        <w:jc w:val="center"/>
        <w:rPr>
          <w:rFonts w:asci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三、声明函</w:t>
      </w:r>
    </w:p>
    <w:p>
      <w:pPr>
        <w:spacing w:line="360" w:lineRule="auto"/>
        <w:rPr>
          <w:rFonts w:ascii="宋体" w:cs="宋体"/>
          <w:color w:val="auto"/>
          <w:spacing w:val="-6"/>
          <w:sz w:val="21"/>
          <w:szCs w:val="21"/>
          <w:highlight w:val="none"/>
        </w:rPr>
      </w:pPr>
    </w:p>
    <w:p>
      <w:pPr>
        <w:spacing w:line="360" w:lineRule="auto"/>
        <w:rPr>
          <w:rFonts w:ascii="宋体" w:cs="宋体"/>
          <w:color w:val="auto"/>
          <w:spacing w:val="-6"/>
          <w:sz w:val="21"/>
          <w:szCs w:val="21"/>
          <w:highlight w:val="none"/>
        </w:rPr>
      </w:pPr>
      <w:r>
        <w:rPr>
          <w:rFonts w:hint="eastAsia" w:ascii="宋体" w:hAnsi="宋体" w:cs="宋体"/>
          <w:color w:val="auto"/>
          <w:spacing w:val="-6"/>
          <w:sz w:val="21"/>
          <w:szCs w:val="21"/>
          <w:highlight w:val="none"/>
        </w:rPr>
        <w:t>致：</w:t>
      </w:r>
      <w:r>
        <w:rPr>
          <w:rFonts w:hint="eastAsia" w:ascii="宋体" w:hAnsi="宋体" w:cs="宋体"/>
          <w:color w:val="auto"/>
          <w:spacing w:val="-6"/>
          <w:sz w:val="21"/>
          <w:szCs w:val="21"/>
          <w:highlight w:val="none"/>
          <w:u w:val="single"/>
        </w:rPr>
        <w:t>浙江五石工程咨询有限公司</w:t>
      </w:r>
      <w:r>
        <w:rPr>
          <w:rFonts w:hint="eastAsia" w:ascii="宋体" w:hAnsi="宋体" w:cs="宋体"/>
          <w:color w:val="auto"/>
          <w:spacing w:val="-6"/>
          <w:sz w:val="21"/>
          <w:szCs w:val="21"/>
          <w:highlight w:val="none"/>
        </w:rPr>
        <w:t>：</w:t>
      </w:r>
    </w:p>
    <w:p>
      <w:pPr>
        <w:spacing w:line="360" w:lineRule="auto"/>
        <w:ind w:firstLine="594" w:firstLineChars="300"/>
        <w:rPr>
          <w:rFonts w:ascii="宋体" w:cs="宋体"/>
          <w:color w:val="auto"/>
          <w:spacing w:val="-6"/>
          <w:sz w:val="21"/>
          <w:szCs w:val="21"/>
          <w:highlight w:val="none"/>
        </w:rPr>
      </w:pPr>
      <w:r>
        <w:rPr>
          <w:rFonts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rPr>
        <w:t>（磋商响应供应商名称）系中华人民共和国合法企业，经营地址</w:t>
      </w:r>
      <w:r>
        <w:rPr>
          <w:rFonts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rPr>
        <w:t>。</w:t>
      </w:r>
    </w:p>
    <w:p>
      <w:pPr>
        <w:spacing w:line="360" w:lineRule="auto"/>
        <w:ind w:firstLine="396" w:firstLineChars="200"/>
        <w:rPr>
          <w:rFonts w:ascii="宋体" w:cs="宋体"/>
          <w:color w:val="auto"/>
          <w:spacing w:val="-6"/>
          <w:sz w:val="21"/>
          <w:szCs w:val="21"/>
          <w:highlight w:val="none"/>
        </w:rPr>
      </w:pPr>
      <w:r>
        <w:rPr>
          <w:rFonts w:hint="eastAsia" w:ascii="宋体" w:hAnsi="宋体" w:cs="宋体"/>
          <w:color w:val="auto"/>
          <w:spacing w:val="-6"/>
          <w:sz w:val="21"/>
          <w:szCs w:val="21"/>
          <w:highlight w:val="none"/>
        </w:rPr>
        <w:t>我方愿意参加贵方组织的</w:t>
      </w:r>
      <w:r>
        <w:rPr>
          <w:rFonts w:hint="eastAsia" w:ascii="宋体" w:hAnsi="宋体" w:cs="宋体"/>
          <w:bCs/>
          <w:color w:val="auto"/>
          <w:spacing w:val="-6"/>
          <w:sz w:val="21"/>
          <w:szCs w:val="21"/>
          <w:highlight w:val="none"/>
          <w:u w:val="single"/>
        </w:rPr>
        <w:t>浙江农林大学集贤东湖食堂周边道路工程</w:t>
      </w:r>
      <w:r>
        <w:rPr>
          <w:rFonts w:hint="eastAsia" w:ascii="宋体" w:hAnsi="宋体" w:cs="宋体"/>
          <w:color w:val="auto"/>
          <w:spacing w:val="-6"/>
          <w:sz w:val="21"/>
          <w:szCs w:val="21"/>
          <w:highlight w:val="none"/>
        </w:rPr>
        <w:t>的磋商响应，为便于贵方公正、择优地确定成交供应商及其磋商响应产品和服务，我方就本次磋商有关事项郑重声明如下：</w:t>
      </w:r>
    </w:p>
    <w:p>
      <w:pPr>
        <w:spacing w:line="360" w:lineRule="auto"/>
        <w:ind w:firstLine="396" w:firstLineChars="200"/>
        <w:rPr>
          <w:rFonts w:ascii="宋体" w:cs="宋体"/>
          <w:color w:val="auto"/>
          <w:spacing w:val="-6"/>
          <w:sz w:val="21"/>
          <w:szCs w:val="21"/>
          <w:highlight w:val="none"/>
        </w:rPr>
      </w:pPr>
      <w:r>
        <w:rPr>
          <w:rFonts w:ascii="宋体" w:hAnsi="宋体" w:cs="宋体"/>
          <w:color w:val="auto"/>
          <w:spacing w:val="-6"/>
          <w:sz w:val="21"/>
          <w:szCs w:val="21"/>
          <w:highlight w:val="none"/>
        </w:rPr>
        <w:t>1</w:t>
      </w:r>
      <w:r>
        <w:rPr>
          <w:rFonts w:hint="eastAsia" w:ascii="宋体" w:hAnsi="宋体" w:cs="宋体"/>
          <w:color w:val="auto"/>
          <w:spacing w:val="-6"/>
          <w:sz w:val="21"/>
          <w:szCs w:val="21"/>
          <w:highlight w:val="none"/>
        </w:rPr>
        <w:t>、我方向贵方提交的所有响应文件、资料都是准确的和真实的；</w:t>
      </w:r>
    </w:p>
    <w:p>
      <w:pPr>
        <w:spacing w:line="360" w:lineRule="auto"/>
        <w:ind w:firstLine="396" w:firstLineChars="200"/>
        <w:rPr>
          <w:rFonts w:ascii="宋体" w:cs="宋体"/>
          <w:color w:val="auto"/>
          <w:spacing w:val="-6"/>
          <w:sz w:val="21"/>
          <w:szCs w:val="21"/>
          <w:highlight w:val="none"/>
        </w:rPr>
      </w:pPr>
      <w:r>
        <w:rPr>
          <w:rFonts w:ascii="宋体" w:hAnsi="宋体" w:cs="宋体"/>
          <w:color w:val="auto"/>
          <w:spacing w:val="-6"/>
          <w:sz w:val="21"/>
          <w:szCs w:val="21"/>
          <w:highlight w:val="none"/>
        </w:rPr>
        <w:t>2</w:t>
      </w:r>
      <w:r>
        <w:rPr>
          <w:rFonts w:hint="eastAsia" w:ascii="宋体" w:hAnsi="宋体" w:cs="宋体"/>
          <w:color w:val="auto"/>
          <w:spacing w:val="-6"/>
          <w:sz w:val="21"/>
          <w:szCs w:val="21"/>
          <w:highlight w:val="none"/>
        </w:rPr>
        <w:t>、我方不是采购人的附属机构；在获知本项目采购信息后，与采购人聘请的为此项目提供咨询服务的公司及其附属机构没有任何联系。</w:t>
      </w:r>
    </w:p>
    <w:p>
      <w:pPr>
        <w:spacing w:line="360" w:lineRule="auto"/>
        <w:ind w:firstLine="396" w:firstLineChars="200"/>
        <w:rPr>
          <w:rFonts w:ascii="宋体" w:cs="宋体"/>
          <w:color w:val="auto"/>
          <w:spacing w:val="-6"/>
          <w:sz w:val="21"/>
          <w:szCs w:val="21"/>
          <w:highlight w:val="none"/>
        </w:rPr>
      </w:pPr>
      <w:r>
        <w:rPr>
          <w:rFonts w:ascii="宋体" w:hAnsi="宋体" w:cs="宋体"/>
          <w:color w:val="auto"/>
          <w:spacing w:val="-6"/>
          <w:sz w:val="21"/>
          <w:szCs w:val="21"/>
          <w:highlight w:val="none"/>
        </w:rPr>
        <w:t>3</w:t>
      </w:r>
      <w:r>
        <w:rPr>
          <w:rFonts w:hint="eastAsia" w:ascii="宋体" w:hAnsi="宋体" w:cs="宋体"/>
          <w:color w:val="auto"/>
          <w:spacing w:val="-6"/>
          <w:sz w:val="21"/>
          <w:szCs w:val="21"/>
          <w:highlight w:val="none"/>
        </w:rPr>
        <w:t>、我方最近三年内的被公开披露或查处的违法违规行为有：</w:t>
      </w:r>
    </w:p>
    <w:p>
      <w:pPr>
        <w:spacing w:line="360" w:lineRule="auto"/>
        <w:ind w:firstLine="396" w:firstLineChars="200"/>
        <w:rPr>
          <w:rFonts w:ascii="宋体" w:cs="宋体"/>
          <w:color w:val="auto"/>
          <w:spacing w:val="-6"/>
          <w:sz w:val="21"/>
          <w:szCs w:val="21"/>
          <w:highlight w:val="none"/>
        </w:rPr>
      </w:pPr>
      <w:r>
        <w:rPr>
          <w:rFonts w:hint="eastAsia" w:ascii="宋体" w:hAnsi="宋体" w:cs="宋体"/>
          <w:color w:val="auto"/>
          <w:spacing w:val="-6"/>
          <w:sz w:val="21"/>
          <w:szCs w:val="21"/>
          <w:highlight w:val="none"/>
        </w:rPr>
        <w:t>　</w:t>
      </w:r>
      <w:r>
        <w:rPr>
          <w:rFonts w:ascii="宋体" w:hAnsi="宋体" w:cs="宋体"/>
          <w:color w:val="auto"/>
          <w:spacing w:val="-6"/>
          <w:sz w:val="21"/>
          <w:szCs w:val="21"/>
          <w:highlight w:val="none"/>
          <w:u w:val="single"/>
        </w:rPr>
        <w:t xml:space="preserve">                                                                     </w:t>
      </w:r>
      <w:r>
        <w:rPr>
          <w:rFonts w:hint="eastAsia" w:ascii="宋体" w:hAnsi="宋体" w:cs="宋体"/>
          <w:color w:val="auto"/>
          <w:spacing w:val="-6"/>
          <w:sz w:val="21"/>
          <w:szCs w:val="21"/>
          <w:highlight w:val="none"/>
          <w:u w:val="single"/>
        </w:rPr>
        <w:t>；</w:t>
      </w:r>
      <w:r>
        <w:rPr>
          <w:rFonts w:hint="eastAsia" w:ascii="宋体" w:hAnsi="宋体" w:cs="宋体"/>
          <w:color w:val="auto"/>
          <w:spacing w:val="-6"/>
          <w:sz w:val="21"/>
          <w:szCs w:val="21"/>
          <w:highlight w:val="none"/>
        </w:rPr>
        <w:t>　　　　　　　　　　　　　　　　　　　　　　　　　　</w:t>
      </w:r>
    </w:p>
    <w:p>
      <w:pPr>
        <w:spacing w:line="360" w:lineRule="auto"/>
        <w:ind w:firstLine="396" w:firstLineChars="200"/>
        <w:rPr>
          <w:rFonts w:ascii="宋体" w:cs="宋体"/>
          <w:color w:val="auto"/>
          <w:spacing w:val="-6"/>
          <w:sz w:val="21"/>
          <w:szCs w:val="21"/>
          <w:highlight w:val="none"/>
        </w:rPr>
      </w:pPr>
      <w:r>
        <w:rPr>
          <w:rFonts w:hint="eastAsia" w:ascii="宋体" w:hAnsi="宋体" w:cs="宋体"/>
          <w:color w:val="auto"/>
          <w:spacing w:val="-6"/>
          <w:sz w:val="21"/>
          <w:szCs w:val="21"/>
          <w:highlight w:val="none"/>
        </w:rPr>
        <w:t>　　　　　　　　　　　　　　　　　　　　　　　　　　　</w:t>
      </w:r>
    </w:p>
    <w:p>
      <w:pPr>
        <w:spacing w:line="360" w:lineRule="auto"/>
        <w:ind w:firstLine="396" w:firstLineChars="200"/>
        <w:rPr>
          <w:rFonts w:ascii="宋体" w:cs="宋体"/>
          <w:color w:val="auto"/>
          <w:spacing w:val="-6"/>
          <w:sz w:val="21"/>
          <w:szCs w:val="21"/>
          <w:highlight w:val="none"/>
        </w:rPr>
      </w:pPr>
      <w:r>
        <w:rPr>
          <w:rFonts w:ascii="宋体" w:hAnsi="宋体" w:cs="宋体"/>
          <w:color w:val="auto"/>
          <w:spacing w:val="-6"/>
          <w:sz w:val="21"/>
          <w:szCs w:val="21"/>
          <w:highlight w:val="none"/>
        </w:rPr>
        <w:t>4</w:t>
      </w:r>
      <w:r>
        <w:rPr>
          <w:rFonts w:hint="eastAsia" w:ascii="宋体" w:hAnsi="宋体" w:cs="宋体"/>
          <w:color w:val="auto"/>
          <w:spacing w:val="-6"/>
          <w:sz w:val="21"/>
          <w:szCs w:val="21"/>
          <w:highlight w:val="none"/>
        </w:rPr>
        <w:t>、以上事项如有虚假或隐瞒，我方愿意承担一切后果和责任。</w:t>
      </w:r>
    </w:p>
    <w:p>
      <w:pPr>
        <w:pStyle w:val="36"/>
        <w:spacing w:line="360" w:lineRule="auto"/>
        <w:rPr>
          <w:rFonts w:ascii="宋体" w:cs="宋体"/>
          <w:color w:val="auto"/>
          <w:spacing w:val="-6"/>
          <w:sz w:val="21"/>
          <w:szCs w:val="21"/>
          <w:highlight w:val="none"/>
        </w:rPr>
      </w:pPr>
    </w:p>
    <w:p>
      <w:pPr>
        <w:pStyle w:val="36"/>
        <w:spacing w:line="360" w:lineRule="auto"/>
        <w:rPr>
          <w:rFonts w:ascii="宋体" w:cs="宋体"/>
          <w:color w:val="auto"/>
          <w:spacing w:val="-6"/>
          <w:sz w:val="21"/>
          <w:szCs w:val="21"/>
          <w:highlight w:val="none"/>
        </w:rPr>
      </w:pPr>
    </w:p>
    <w:p>
      <w:pPr>
        <w:spacing w:line="360" w:lineRule="auto"/>
        <w:rPr>
          <w:rFonts w:ascii="宋体" w:cs="宋体"/>
          <w:color w:val="auto"/>
          <w:spacing w:val="-6"/>
          <w:sz w:val="21"/>
          <w:szCs w:val="21"/>
          <w:highlight w:val="none"/>
        </w:rPr>
      </w:pPr>
      <w:r>
        <w:rPr>
          <w:rFonts w:hint="eastAsia" w:ascii="宋体" w:hAnsi="宋体" w:cs="宋体"/>
          <w:color w:val="auto"/>
          <w:spacing w:val="-6"/>
          <w:sz w:val="21"/>
          <w:szCs w:val="21"/>
          <w:highlight w:val="none"/>
        </w:rPr>
        <w:t>磋商响应供应商名称（盖章）：</w:t>
      </w:r>
      <w:r>
        <w:rPr>
          <w:rFonts w:ascii="宋体" w:hAnsi="宋体" w:cs="宋体"/>
          <w:color w:val="auto"/>
          <w:spacing w:val="-6"/>
          <w:sz w:val="21"/>
          <w:szCs w:val="21"/>
          <w:highlight w:val="none"/>
        </w:rPr>
        <w:t xml:space="preserve"> </w:t>
      </w:r>
    </w:p>
    <w:p>
      <w:pPr>
        <w:spacing w:line="360" w:lineRule="auto"/>
        <w:rPr>
          <w:rFonts w:ascii="宋体" w:cs="宋体"/>
          <w:color w:val="auto"/>
          <w:spacing w:val="-6"/>
          <w:sz w:val="21"/>
          <w:szCs w:val="21"/>
          <w:highlight w:val="none"/>
        </w:rPr>
      </w:pPr>
      <w:r>
        <w:rPr>
          <w:rFonts w:hint="eastAsia" w:ascii="宋体" w:hAnsi="宋体" w:cs="宋体"/>
          <w:color w:val="auto"/>
          <w:spacing w:val="-6"/>
          <w:sz w:val="21"/>
          <w:szCs w:val="21"/>
          <w:highlight w:val="none"/>
        </w:rPr>
        <w:t>授权代表签字：</w:t>
      </w:r>
    </w:p>
    <w:p>
      <w:pPr>
        <w:spacing w:line="360" w:lineRule="auto"/>
        <w:rPr>
          <w:rFonts w:ascii="宋体" w:cs="宋体"/>
          <w:color w:val="auto"/>
          <w:spacing w:val="-6"/>
          <w:sz w:val="21"/>
          <w:szCs w:val="21"/>
          <w:highlight w:val="none"/>
        </w:rPr>
      </w:pPr>
      <w:r>
        <w:rPr>
          <w:rFonts w:hint="eastAsia" w:ascii="宋体" w:hAnsi="宋体" w:cs="宋体"/>
          <w:bCs/>
          <w:color w:val="auto"/>
          <w:spacing w:val="-6"/>
          <w:sz w:val="21"/>
          <w:szCs w:val="21"/>
          <w:highlight w:val="none"/>
        </w:rPr>
        <w:t>日期：</w:t>
      </w:r>
      <w:r>
        <w:rPr>
          <w:rFonts w:ascii="宋体" w:hAnsi="宋体" w:cs="宋体"/>
          <w:bCs/>
          <w:color w:val="auto"/>
          <w:spacing w:val="-6"/>
          <w:sz w:val="21"/>
          <w:szCs w:val="21"/>
          <w:highlight w:val="none"/>
        </w:rPr>
        <w:t xml:space="preserve">  </w:t>
      </w:r>
      <w:r>
        <w:rPr>
          <w:rFonts w:hint="eastAsia" w:ascii="宋体" w:hAnsi="宋体" w:cs="宋体"/>
          <w:bCs/>
          <w:color w:val="auto"/>
          <w:spacing w:val="-6"/>
          <w:sz w:val="21"/>
          <w:szCs w:val="21"/>
          <w:highlight w:val="none"/>
        </w:rPr>
        <w:t>年</w:t>
      </w:r>
      <w:r>
        <w:rPr>
          <w:rFonts w:ascii="宋体" w:hAnsi="宋体" w:cs="宋体"/>
          <w:bCs/>
          <w:color w:val="auto"/>
          <w:spacing w:val="-6"/>
          <w:sz w:val="21"/>
          <w:szCs w:val="21"/>
          <w:highlight w:val="none"/>
        </w:rPr>
        <w:t xml:space="preserve">  </w:t>
      </w:r>
      <w:r>
        <w:rPr>
          <w:rFonts w:hint="eastAsia" w:ascii="宋体" w:hAnsi="宋体" w:cs="宋体"/>
          <w:bCs/>
          <w:color w:val="auto"/>
          <w:spacing w:val="-6"/>
          <w:sz w:val="21"/>
          <w:szCs w:val="21"/>
          <w:highlight w:val="none"/>
        </w:rPr>
        <w:t>月</w:t>
      </w:r>
      <w:r>
        <w:rPr>
          <w:rFonts w:ascii="宋体" w:hAnsi="宋体" w:cs="宋体"/>
          <w:bCs/>
          <w:color w:val="auto"/>
          <w:spacing w:val="-6"/>
          <w:sz w:val="21"/>
          <w:szCs w:val="21"/>
          <w:highlight w:val="none"/>
        </w:rPr>
        <w:t xml:space="preserve">  </w:t>
      </w:r>
      <w:r>
        <w:rPr>
          <w:rFonts w:hint="eastAsia" w:ascii="宋体" w:hAnsi="宋体" w:cs="宋体"/>
          <w:bCs/>
          <w:color w:val="auto"/>
          <w:spacing w:val="-6"/>
          <w:sz w:val="21"/>
          <w:szCs w:val="21"/>
          <w:highlight w:val="none"/>
        </w:rPr>
        <w:t>日</w:t>
      </w:r>
    </w:p>
    <w:p>
      <w:pPr>
        <w:spacing w:line="200" w:lineRule="exact"/>
        <w:rPr>
          <w:rFonts w:ascii="宋体" w:cs="宋体"/>
          <w:color w:val="auto"/>
          <w:sz w:val="20"/>
          <w:szCs w:val="20"/>
          <w:highlight w:val="none"/>
        </w:rPr>
      </w:pPr>
    </w:p>
    <w:p>
      <w:pPr>
        <w:spacing w:line="366" w:lineRule="exact"/>
        <w:jc w:val="center"/>
        <w:rPr>
          <w:rFonts w:asci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四、公司基本情况介绍</w:t>
      </w:r>
    </w:p>
    <w:p>
      <w:pPr>
        <w:spacing w:line="360" w:lineRule="auto"/>
        <w:rPr>
          <w:rFonts w:ascii="宋体" w:cs="宋体"/>
          <w:color w:val="auto"/>
          <w:spacing w:val="-6"/>
          <w:highlight w:val="none"/>
        </w:rPr>
      </w:pPr>
    </w:p>
    <w:tbl>
      <w:tblPr>
        <w:tblStyle w:val="19"/>
        <w:tblW w:w="83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28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1</w:t>
            </w:r>
          </w:p>
        </w:tc>
        <w:tc>
          <w:tcPr>
            <w:tcW w:w="7629" w:type="dxa"/>
            <w:gridSpan w:val="3"/>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2</w:t>
            </w:r>
          </w:p>
        </w:tc>
        <w:tc>
          <w:tcPr>
            <w:tcW w:w="7629" w:type="dxa"/>
            <w:gridSpan w:val="3"/>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3</w:t>
            </w:r>
          </w:p>
        </w:tc>
        <w:tc>
          <w:tcPr>
            <w:tcW w:w="7629" w:type="dxa"/>
            <w:gridSpan w:val="3"/>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4</w:t>
            </w:r>
          </w:p>
        </w:tc>
        <w:tc>
          <w:tcPr>
            <w:tcW w:w="3801" w:type="dxa"/>
            <w:gridSpan w:val="2"/>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电话：</w:t>
            </w:r>
          </w:p>
        </w:tc>
        <w:tc>
          <w:tcPr>
            <w:tcW w:w="3828" w:type="dxa"/>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5</w:t>
            </w:r>
          </w:p>
        </w:tc>
        <w:tc>
          <w:tcPr>
            <w:tcW w:w="3801" w:type="dxa"/>
            <w:gridSpan w:val="2"/>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传真：</w:t>
            </w:r>
          </w:p>
        </w:tc>
        <w:tc>
          <w:tcPr>
            <w:tcW w:w="3828" w:type="dxa"/>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6</w:t>
            </w:r>
          </w:p>
        </w:tc>
        <w:tc>
          <w:tcPr>
            <w:tcW w:w="3801" w:type="dxa"/>
            <w:gridSpan w:val="2"/>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注册地：</w:t>
            </w:r>
          </w:p>
        </w:tc>
        <w:tc>
          <w:tcPr>
            <w:tcW w:w="3828" w:type="dxa"/>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7</w:t>
            </w:r>
          </w:p>
        </w:tc>
        <w:tc>
          <w:tcPr>
            <w:tcW w:w="7629" w:type="dxa"/>
            <w:gridSpan w:val="3"/>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8</w:t>
            </w:r>
          </w:p>
        </w:tc>
        <w:tc>
          <w:tcPr>
            <w:tcW w:w="7629" w:type="dxa"/>
            <w:gridSpan w:val="3"/>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9</w:t>
            </w:r>
          </w:p>
        </w:tc>
        <w:tc>
          <w:tcPr>
            <w:tcW w:w="2520" w:type="dxa"/>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作为承包人经历年数：</w:t>
            </w:r>
          </w:p>
        </w:tc>
        <w:tc>
          <w:tcPr>
            <w:tcW w:w="5109" w:type="dxa"/>
            <w:gridSpan w:val="2"/>
            <w:vAlign w:val="center"/>
          </w:tcPr>
          <w:p>
            <w:pPr>
              <w:spacing w:line="360" w:lineRule="auto"/>
              <w:rPr>
                <w:rFonts w:ascii="宋体" w:cs="宋体"/>
                <w:color w:val="auto"/>
                <w:spacing w:val="-6"/>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5" w:type="dxa"/>
            <w:vAlign w:val="center"/>
          </w:tcPr>
          <w:p>
            <w:pPr>
              <w:spacing w:line="360" w:lineRule="auto"/>
              <w:jc w:val="center"/>
              <w:rPr>
                <w:rFonts w:ascii="宋体" w:cs="宋体"/>
                <w:color w:val="auto"/>
                <w:spacing w:val="-6"/>
                <w:sz w:val="24"/>
                <w:highlight w:val="none"/>
              </w:rPr>
            </w:pPr>
            <w:r>
              <w:rPr>
                <w:rFonts w:ascii="宋体" w:hAnsi="宋体" w:cs="宋体"/>
                <w:color w:val="auto"/>
                <w:spacing w:val="-6"/>
                <w:sz w:val="24"/>
                <w:highlight w:val="none"/>
              </w:rPr>
              <w:t>10</w:t>
            </w:r>
          </w:p>
        </w:tc>
        <w:tc>
          <w:tcPr>
            <w:tcW w:w="2520" w:type="dxa"/>
            <w:vAlign w:val="center"/>
          </w:tcPr>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其他需要说明的情况</w:t>
            </w:r>
          </w:p>
        </w:tc>
        <w:tc>
          <w:tcPr>
            <w:tcW w:w="5109" w:type="dxa"/>
            <w:gridSpan w:val="2"/>
            <w:vAlign w:val="center"/>
          </w:tcPr>
          <w:p>
            <w:pPr>
              <w:spacing w:line="360" w:lineRule="auto"/>
              <w:rPr>
                <w:rFonts w:ascii="宋体" w:cs="宋体"/>
                <w:color w:val="auto"/>
                <w:spacing w:val="-6"/>
                <w:sz w:val="24"/>
                <w:highlight w:val="none"/>
              </w:rPr>
            </w:pPr>
          </w:p>
          <w:p>
            <w:pPr>
              <w:spacing w:line="360" w:lineRule="auto"/>
              <w:rPr>
                <w:rFonts w:ascii="宋体" w:cs="宋体"/>
                <w:color w:val="auto"/>
                <w:spacing w:val="-6"/>
                <w:sz w:val="24"/>
                <w:highlight w:val="none"/>
              </w:rPr>
            </w:pPr>
          </w:p>
          <w:p>
            <w:pPr>
              <w:spacing w:line="360" w:lineRule="auto"/>
              <w:rPr>
                <w:rFonts w:ascii="宋体" w:cs="宋体"/>
                <w:color w:val="auto"/>
                <w:spacing w:val="-6"/>
                <w:sz w:val="24"/>
                <w:highlight w:val="none"/>
              </w:rPr>
            </w:pPr>
          </w:p>
        </w:tc>
      </w:tr>
    </w:tbl>
    <w:p>
      <w:pPr>
        <w:spacing w:line="360" w:lineRule="auto"/>
        <w:rPr>
          <w:rFonts w:ascii="宋体" w:cs="宋体"/>
          <w:color w:val="auto"/>
          <w:spacing w:val="-6"/>
          <w:sz w:val="24"/>
          <w:highlight w:val="none"/>
        </w:rPr>
      </w:pPr>
    </w:p>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说明：所有响应方都须填写此表，后附企业信用、资质证书；</w:t>
      </w:r>
    </w:p>
    <w:p>
      <w:pPr>
        <w:spacing w:line="360" w:lineRule="auto"/>
        <w:rPr>
          <w:rFonts w:ascii="宋体" w:cs="宋体"/>
          <w:color w:val="auto"/>
          <w:spacing w:val="-6"/>
          <w:sz w:val="24"/>
          <w:highlight w:val="none"/>
        </w:rPr>
      </w:pPr>
    </w:p>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日期：</w:t>
      </w:r>
    </w:p>
    <w:p>
      <w:pPr>
        <w:spacing w:line="366" w:lineRule="exact"/>
        <w:jc w:val="center"/>
        <w:rPr>
          <w:rFonts w:ascii="宋体" w:cs="宋体"/>
          <w:b/>
          <w:bCs/>
          <w:color w:val="auto"/>
          <w:sz w:val="28"/>
          <w:szCs w:val="28"/>
          <w:highlight w:val="none"/>
        </w:rPr>
        <w:sectPr>
          <w:pgSz w:w="11900" w:h="16838"/>
          <w:pgMar w:top="1440" w:right="1440" w:bottom="158" w:left="1440" w:header="567" w:footer="567" w:gutter="0"/>
          <w:cols w:equalWidth="0" w:num="1">
            <w:col w:w="9026"/>
          </w:cols>
        </w:sectPr>
      </w:pPr>
    </w:p>
    <w:p>
      <w:pPr>
        <w:spacing w:line="366" w:lineRule="exact"/>
        <w:jc w:val="center"/>
        <w:rPr>
          <w:rFonts w:ascii="宋体" w:cs="宋体"/>
          <w:b/>
          <w:bCs/>
          <w:color w:val="auto"/>
          <w:sz w:val="28"/>
          <w:szCs w:val="28"/>
          <w:highlight w:val="none"/>
        </w:rPr>
      </w:pPr>
      <w:r>
        <w:rPr>
          <w:rFonts w:hint="eastAsia" w:ascii="宋体" w:hAnsi="宋体" w:cs="宋体"/>
          <w:b/>
          <w:bCs/>
          <w:color w:val="auto"/>
          <w:sz w:val="28"/>
          <w:szCs w:val="28"/>
          <w:highlight w:val="none"/>
        </w:rPr>
        <w:t>五、类似业绩证明</w:t>
      </w:r>
    </w:p>
    <w:p>
      <w:pPr>
        <w:pStyle w:val="8"/>
        <w:spacing w:line="360" w:lineRule="auto"/>
        <w:ind w:firstLine="0"/>
        <w:rPr>
          <w:rFonts w:ascii="宋体" w:hAnsi="宋体" w:eastAsia="宋体" w:cs="宋体"/>
          <w:color w:val="auto"/>
          <w:spacing w:val="-6"/>
          <w:sz w:val="21"/>
          <w:szCs w:val="21"/>
          <w:highlight w:val="none"/>
        </w:rPr>
      </w:pPr>
    </w:p>
    <w:p>
      <w:pPr>
        <w:pStyle w:val="15"/>
        <w:spacing w:line="360" w:lineRule="auto"/>
        <w:ind w:left="0" w:firstLine="0" w:firstLineChars="0"/>
        <w:jc w:val="center"/>
        <w:rPr>
          <w:rFonts w:ascii="宋体" w:cs="宋体"/>
          <w:color w:val="auto"/>
          <w:sz w:val="24"/>
          <w:highlight w:val="none"/>
        </w:rPr>
      </w:pPr>
      <w:bookmarkStart w:id="196" w:name="_Toc32559_WPSOffice_Level2"/>
      <w:bookmarkStart w:id="197" w:name="_Toc20880_WPSOffice_Level2"/>
      <w:bookmarkStart w:id="198" w:name="_Toc26073_WPSOffice_Level2"/>
      <w:r>
        <w:rPr>
          <w:rFonts w:hint="eastAsia" w:ascii="宋体" w:hAnsi="宋体" w:cs="宋体"/>
          <w:color w:val="auto"/>
          <w:sz w:val="24"/>
          <w:highlight w:val="none"/>
        </w:rPr>
        <w:t>（提供同类项目合同复印件）</w:t>
      </w:r>
      <w:bookmarkEnd w:id="196"/>
      <w:bookmarkEnd w:id="197"/>
      <w:bookmarkEnd w:id="198"/>
    </w:p>
    <w:tbl>
      <w:tblPr>
        <w:tblStyle w:val="19"/>
        <w:tblW w:w="84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10"/>
        <w:gridCol w:w="1111"/>
        <w:gridCol w:w="2032"/>
        <w:gridCol w:w="1155"/>
        <w:gridCol w:w="1234"/>
        <w:gridCol w:w="1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b/>
                <w:color w:val="auto"/>
                <w:sz w:val="21"/>
                <w:szCs w:val="21"/>
                <w:highlight w:val="none"/>
              </w:rPr>
            </w:pPr>
            <w:r>
              <w:rPr>
                <w:rFonts w:hint="eastAsia" w:ascii="宋体" w:hAnsi="宋体" w:cs="宋体"/>
                <w:b/>
                <w:color w:val="auto"/>
                <w:sz w:val="21"/>
                <w:szCs w:val="21"/>
                <w:highlight w:val="none"/>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1"/>
                <w:szCs w:val="21"/>
                <w:highlight w:val="none"/>
              </w:rPr>
            </w:pPr>
            <w:r>
              <w:rPr>
                <w:rFonts w:hint="eastAsia" w:ascii="宋体" w:hAnsi="宋体" w:cs="宋体"/>
                <w:b/>
                <w:color w:val="auto"/>
                <w:sz w:val="21"/>
                <w:szCs w:val="21"/>
                <w:highlight w:val="none"/>
              </w:rPr>
              <w:t>采购单位名称</w:t>
            </w: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1"/>
                <w:szCs w:val="21"/>
                <w:highlight w:val="none"/>
              </w:rPr>
            </w:pPr>
            <w:r>
              <w:rPr>
                <w:rFonts w:hint="eastAsia" w:ascii="宋体" w:hAnsi="宋体" w:cs="宋体"/>
                <w:b/>
                <w:color w:val="auto"/>
                <w:sz w:val="21"/>
                <w:szCs w:val="21"/>
                <w:highlight w:val="none"/>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1"/>
                <w:szCs w:val="21"/>
                <w:highlight w:val="none"/>
              </w:rPr>
            </w:pPr>
            <w:r>
              <w:rPr>
                <w:rFonts w:hint="eastAsia" w:ascii="宋体" w:hAnsi="宋体" w:cs="宋体"/>
                <w:b/>
                <w:color w:val="auto"/>
                <w:sz w:val="21"/>
                <w:szCs w:val="21"/>
                <w:highlight w:val="none"/>
              </w:rPr>
              <w:t>合同金额</w:t>
            </w:r>
          </w:p>
          <w:p>
            <w:pPr>
              <w:jc w:val="center"/>
              <w:rPr>
                <w:rFonts w:ascii="宋体" w:cs="宋体"/>
                <w:b/>
                <w:color w:val="auto"/>
                <w:sz w:val="21"/>
                <w:szCs w:val="21"/>
                <w:highlight w:val="none"/>
              </w:rPr>
            </w:pPr>
            <w:r>
              <w:rPr>
                <w:rFonts w:hint="eastAsia" w:ascii="宋体" w:hAnsi="宋体" w:cs="宋体"/>
                <w:b/>
                <w:color w:val="auto"/>
                <w:sz w:val="21"/>
                <w:szCs w:val="21"/>
                <w:highlight w:val="none"/>
              </w:rPr>
              <w:t>（万元）</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color w:val="auto"/>
                <w:sz w:val="21"/>
                <w:szCs w:val="21"/>
                <w:highlight w:val="none"/>
              </w:rPr>
            </w:pPr>
            <w:r>
              <w:rPr>
                <w:rFonts w:hint="eastAsia" w:ascii="宋体" w:hAnsi="宋体" w:cs="宋体"/>
                <w:b/>
                <w:color w:val="auto"/>
                <w:sz w:val="21"/>
                <w:szCs w:val="21"/>
                <w:highlight w:val="none"/>
              </w:rPr>
              <w:t>附件页码</w:t>
            </w:r>
          </w:p>
        </w:tc>
        <w:tc>
          <w:tcPr>
            <w:tcW w:w="1771" w:type="dxa"/>
            <w:tcBorders>
              <w:top w:val="single" w:color="auto" w:sz="4" w:space="0"/>
              <w:left w:val="single" w:color="auto" w:sz="4" w:space="0"/>
              <w:bottom w:val="single" w:color="auto" w:sz="4" w:space="0"/>
            </w:tcBorders>
            <w:vAlign w:val="center"/>
          </w:tcPr>
          <w:p>
            <w:pPr>
              <w:jc w:val="center"/>
              <w:rPr>
                <w:rFonts w:ascii="宋体" w:cs="宋体"/>
                <w:b/>
                <w:color w:val="auto"/>
                <w:sz w:val="21"/>
                <w:szCs w:val="21"/>
                <w:highlight w:val="none"/>
              </w:rPr>
            </w:pPr>
            <w:r>
              <w:rPr>
                <w:rFonts w:hint="eastAsia" w:ascii="宋体" w:hAnsi="宋体" w:cs="宋体"/>
                <w:b/>
                <w:color w:val="auto"/>
                <w:sz w:val="21"/>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0" w:type="dxa"/>
            <w:tcBorders>
              <w:top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203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 w:val="24"/>
                <w:szCs w:val="20"/>
                <w:highlight w:val="none"/>
              </w:rPr>
            </w:pPr>
          </w:p>
        </w:tc>
        <w:tc>
          <w:tcPr>
            <w:tcW w:w="1771" w:type="dxa"/>
            <w:tcBorders>
              <w:top w:val="single" w:color="auto" w:sz="4" w:space="0"/>
              <w:left w:val="single" w:color="auto" w:sz="4" w:space="0"/>
              <w:bottom w:val="single" w:color="auto" w:sz="4" w:space="0"/>
            </w:tcBorders>
            <w:vAlign w:val="center"/>
          </w:tcPr>
          <w:p>
            <w:pPr>
              <w:jc w:val="center"/>
              <w:rPr>
                <w:rFonts w:ascii="宋体" w:cs="宋体"/>
                <w:color w:val="auto"/>
                <w:sz w:val="24"/>
                <w:szCs w:val="20"/>
                <w:highlight w:val="none"/>
              </w:rPr>
            </w:pPr>
          </w:p>
        </w:tc>
      </w:tr>
    </w:tbl>
    <w:p>
      <w:pPr>
        <w:spacing w:line="360" w:lineRule="auto"/>
        <w:rPr>
          <w:rFonts w:ascii="宋体" w:cs="宋体"/>
          <w:color w:val="auto"/>
          <w:spacing w:val="-6"/>
          <w:sz w:val="24"/>
          <w:highlight w:val="none"/>
        </w:rPr>
      </w:pPr>
    </w:p>
    <w:p>
      <w:pPr>
        <w:spacing w:line="360" w:lineRule="auto"/>
        <w:rPr>
          <w:rFonts w:ascii="宋体" w:cs="宋体"/>
          <w:color w:val="auto"/>
          <w:spacing w:val="-6"/>
          <w:sz w:val="24"/>
          <w:highlight w:val="none"/>
        </w:rPr>
      </w:pPr>
    </w:p>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响应方全称（加盖公章）：</w:t>
      </w:r>
    </w:p>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全权代表签字：</w:t>
      </w:r>
    </w:p>
    <w:p>
      <w:pPr>
        <w:spacing w:line="360" w:lineRule="auto"/>
        <w:rPr>
          <w:rFonts w:ascii="宋体" w:cs="宋体"/>
          <w:color w:val="auto"/>
          <w:spacing w:val="-6"/>
          <w:sz w:val="24"/>
          <w:highlight w:val="none"/>
        </w:rPr>
      </w:pPr>
      <w:r>
        <w:rPr>
          <w:rFonts w:hint="eastAsia" w:ascii="宋体" w:hAnsi="宋体" w:cs="宋体"/>
          <w:color w:val="auto"/>
          <w:spacing w:val="-6"/>
          <w:sz w:val="24"/>
          <w:highlight w:val="none"/>
        </w:rPr>
        <w:t>日期：</w:t>
      </w:r>
    </w:p>
    <w:p>
      <w:pPr>
        <w:rPr>
          <w:rFonts w:ascii="宋体" w:cs="宋体"/>
          <w:color w:val="auto"/>
          <w:highlight w:val="none"/>
        </w:rPr>
      </w:pPr>
    </w:p>
    <w:p>
      <w:pPr>
        <w:rPr>
          <w:rFonts w:ascii="宋体" w:cs="宋体"/>
          <w:color w:val="auto"/>
          <w:highlight w:val="none"/>
        </w:rPr>
        <w:sectPr>
          <w:pgSz w:w="11900" w:h="16838"/>
          <w:pgMar w:top="1440" w:right="1440" w:bottom="158" w:left="1440" w:header="567" w:footer="567" w:gutter="0"/>
          <w:cols w:equalWidth="0" w:num="1">
            <w:col w:w="9026"/>
          </w:cols>
        </w:sectPr>
      </w:pPr>
    </w:p>
    <w:p>
      <w:pPr>
        <w:ind w:left="363"/>
        <w:rPr>
          <w:rFonts w:ascii="宋体" w:cs="宋体"/>
          <w:b/>
          <w:bCs/>
          <w:color w:val="auto"/>
          <w:sz w:val="28"/>
          <w:szCs w:val="28"/>
          <w:highlight w:val="none"/>
        </w:rPr>
      </w:pPr>
      <w:bookmarkStart w:id="199" w:name="page83"/>
      <w:bookmarkEnd w:id="199"/>
      <w:r>
        <w:rPr>
          <w:rFonts w:hint="eastAsia" w:ascii="宋体" w:hAnsi="宋体" w:cs="宋体"/>
          <w:b/>
          <w:bCs/>
          <w:color w:val="auto"/>
          <w:sz w:val="28"/>
          <w:szCs w:val="28"/>
          <w:highlight w:val="none"/>
        </w:rPr>
        <w:t>技术文件</w:t>
      </w:r>
    </w:p>
    <w:p>
      <w:pPr>
        <w:jc w:val="both"/>
        <w:rPr>
          <w:rFonts w:ascii="宋体" w:cs="宋体"/>
          <w:b/>
          <w:bCs/>
          <w:color w:val="auto"/>
          <w:sz w:val="28"/>
          <w:szCs w:val="28"/>
          <w:highlight w:val="none"/>
        </w:rPr>
      </w:pP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）施工方案；</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）质量保证措施；</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）拟投入的主要施工机械设备情况、主要施工机械计划；</w:t>
      </w:r>
    </w:p>
    <w:p>
      <w:pPr>
        <w:spacing w:line="360" w:lineRule="auto"/>
        <w:ind w:firstLine="396" w:firstLineChars="200"/>
        <w:rPr>
          <w:rFonts w:ascii="宋体" w:cs="宋体"/>
          <w:color w:val="auto"/>
          <w:spacing w:val="-6"/>
          <w:sz w:val="21"/>
          <w:szCs w:val="21"/>
          <w:highlight w:val="none"/>
        </w:rPr>
      </w:pPr>
      <w:r>
        <w:rPr>
          <w:rFonts w:hint="eastAsia" w:ascii="宋体" w:hAnsi="宋体" w:cs="宋体"/>
          <w:color w:val="auto"/>
          <w:spacing w:val="-6"/>
          <w:sz w:val="21"/>
          <w:szCs w:val="21"/>
          <w:highlight w:val="none"/>
        </w:rPr>
        <w:t>（</w:t>
      </w:r>
      <w:r>
        <w:rPr>
          <w:rFonts w:ascii="宋体" w:hAnsi="宋体" w:cs="宋体"/>
          <w:color w:val="auto"/>
          <w:spacing w:val="-6"/>
          <w:sz w:val="21"/>
          <w:szCs w:val="21"/>
          <w:highlight w:val="none"/>
        </w:rPr>
        <w:t>4</w:t>
      </w:r>
      <w:r>
        <w:rPr>
          <w:rFonts w:hint="eastAsia" w:ascii="宋体" w:hAnsi="宋体" w:cs="宋体"/>
          <w:color w:val="auto"/>
          <w:spacing w:val="-6"/>
          <w:sz w:val="21"/>
          <w:szCs w:val="21"/>
          <w:highlight w:val="none"/>
        </w:rPr>
        <w:t>）工期承诺、进度控制措施及施工质量控制措施；</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）投入本项目的工程技术管理人员的专业配置情况；附表三、附表四、附表五</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）关键工序、复杂环节的相应技术措施；</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7</w:t>
      </w:r>
      <w:r>
        <w:rPr>
          <w:rFonts w:hint="eastAsia" w:ascii="宋体" w:hAnsi="宋体" w:cs="宋体"/>
          <w:color w:val="auto"/>
          <w:sz w:val="21"/>
          <w:szCs w:val="21"/>
          <w:highlight w:val="none"/>
        </w:rPr>
        <w:t>）安全文明施工保证措施；</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8</w:t>
      </w:r>
      <w:r>
        <w:rPr>
          <w:rFonts w:hint="eastAsia" w:ascii="宋体" w:hAnsi="宋体" w:cs="宋体"/>
          <w:color w:val="auto"/>
          <w:sz w:val="21"/>
          <w:szCs w:val="21"/>
          <w:highlight w:val="none"/>
        </w:rPr>
        <w:t>）材料设备进场计划及施工计划情况；</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9</w:t>
      </w:r>
      <w:r>
        <w:rPr>
          <w:rFonts w:hint="eastAsia" w:ascii="宋体" w:hAnsi="宋体" w:cs="宋体"/>
          <w:color w:val="auto"/>
          <w:sz w:val="21"/>
          <w:szCs w:val="21"/>
          <w:highlight w:val="none"/>
        </w:rPr>
        <w:t>）应急处置方案及售后服务；</w:t>
      </w:r>
    </w:p>
    <w:p>
      <w:pPr>
        <w:spacing w:line="360" w:lineRule="auto"/>
        <w:ind w:firstLine="420" w:firstLineChars="200"/>
        <w:rPr>
          <w:rFonts w:ascii="宋体" w:cs="宋体"/>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10</w:t>
      </w:r>
      <w:r>
        <w:rPr>
          <w:rFonts w:hint="eastAsia" w:ascii="宋体" w:hAnsi="宋体" w:cs="宋体"/>
          <w:color w:val="auto"/>
          <w:sz w:val="21"/>
          <w:szCs w:val="21"/>
          <w:highlight w:val="none"/>
        </w:rPr>
        <w:t>）主要材料品牌表；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11</w:t>
      </w:r>
      <w:r>
        <w:rPr>
          <w:rFonts w:hint="eastAsia" w:ascii="宋体" w:hAnsi="宋体" w:cs="宋体"/>
          <w:color w:val="auto"/>
          <w:sz w:val="21"/>
          <w:szCs w:val="21"/>
          <w:highlight w:val="none"/>
        </w:rPr>
        <w:t>）供应商认为需要提供的资料。</w:t>
      </w:r>
    </w:p>
    <w:p>
      <w:pPr>
        <w:spacing w:line="360" w:lineRule="auto"/>
        <w:ind w:firstLine="422" w:firstLineChars="200"/>
        <w:rPr>
          <w:rFonts w:ascii="宋体" w:cs="宋体"/>
          <w:b/>
          <w:bCs/>
          <w:color w:val="auto"/>
          <w:sz w:val="21"/>
          <w:szCs w:val="21"/>
          <w:highlight w:val="none"/>
          <w:u w:val="single"/>
        </w:rPr>
      </w:pPr>
      <w:r>
        <w:rPr>
          <w:rFonts w:hint="eastAsia" w:ascii="宋体" w:hAnsi="宋体" w:cs="宋体"/>
          <w:b/>
          <w:bCs/>
          <w:color w:val="auto"/>
          <w:sz w:val="21"/>
          <w:szCs w:val="21"/>
          <w:highlight w:val="none"/>
          <w:u w:val="single"/>
        </w:rPr>
        <w:t>采用文字表述外可附下列图表，图表及格式要求附后，没有图表的可格式自拟。</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附表一</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拟投入的主要施工设备表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附表二</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拟配备的试验和检测仪器设备表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附表三</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项目管理班子配备情况表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附表四、项目经理简历表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附表五、技术负责人简历表</w:t>
      </w: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附表六、劳动力计划表</w:t>
      </w:r>
    </w:p>
    <w:p>
      <w:pPr>
        <w:spacing w:line="200" w:lineRule="exact"/>
        <w:rPr>
          <w:rFonts w:ascii="宋体" w:cs="宋体"/>
          <w:color w:val="auto"/>
          <w:sz w:val="20"/>
          <w:szCs w:val="20"/>
          <w:highlight w:val="none"/>
        </w:rPr>
      </w:pPr>
    </w:p>
    <w:p>
      <w:pPr>
        <w:rPr>
          <w:rFonts w:ascii="宋体" w:cs="宋体"/>
          <w:color w:val="auto"/>
          <w:highlight w:val="none"/>
        </w:rPr>
        <w:sectPr>
          <w:pgSz w:w="11900" w:h="16838"/>
          <w:pgMar w:top="1440" w:right="1440" w:bottom="158" w:left="1440" w:header="567" w:footer="567" w:gutter="0"/>
          <w:cols w:equalWidth="0" w:num="1">
            <w:col w:w="9026"/>
          </w:cols>
        </w:sectPr>
      </w:pPr>
    </w:p>
    <w:p>
      <w:pPr>
        <w:tabs>
          <w:tab w:val="left" w:pos="720"/>
        </w:tabs>
        <w:spacing w:line="360" w:lineRule="auto"/>
        <w:rPr>
          <w:rFonts w:ascii="宋体" w:cs="宋体"/>
          <w:b/>
          <w:color w:val="auto"/>
          <w:sz w:val="24"/>
          <w:szCs w:val="24"/>
          <w:highlight w:val="none"/>
        </w:rPr>
      </w:pPr>
      <w:bookmarkStart w:id="200" w:name="page84"/>
      <w:bookmarkEnd w:id="200"/>
      <w:bookmarkStart w:id="201" w:name="_Toc28261_WPSOffice_Level2"/>
      <w:bookmarkStart w:id="202" w:name="_Toc10163_WPSOffice_Level2"/>
      <w:bookmarkStart w:id="203" w:name="_Toc10701_WPSOffice_Level2"/>
      <w:r>
        <w:rPr>
          <w:rFonts w:hint="eastAsia" w:ascii="宋体" w:hAnsi="宋体" w:cs="宋体"/>
          <w:b/>
          <w:color w:val="auto"/>
          <w:sz w:val="24"/>
          <w:szCs w:val="24"/>
          <w:highlight w:val="none"/>
        </w:rPr>
        <w:t>附表一：拟投入的主要施工设备表</w:t>
      </w:r>
      <w:bookmarkEnd w:id="201"/>
      <w:bookmarkEnd w:id="202"/>
      <w:bookmarkEnd w:id="203"/>
    </w:p>
    <w:tbl>
      <w:tblPr>
        <w:tblStyle w:val="19"/>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925"/>
        <w:gridCol w:w="926"/>
        <w:gridCol w:w="926"/>
        <w:gridCol w:w="926"/>
        <w:gridCol w:w="928"/>
        <w:gridCol w:w="947"/>
        <w:gridCol w:w="928"/>
        <w:gridCol w:w="1285"/>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925"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序号</w:t>
            </w:r>
          </w:p>
        </w:tc>
        <w:tc>
          <w:tcPr>
            <w:tcW w:w="925"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设备</w:t>
            </w:r>
          </w:p>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名称</w:t>
            </w:r>
          </w:p>
        </w:tc>
        <w:tc>
          <w:tcPr>
            <w:tcW w:w="926"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型号</w:t>
            </w:r>
          </w:p>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规格</w:t>
            </w:r>
          </w:p>
        </w:tc>
        <w:tc>
          <w:tcPr>
            <w:tcW w:w="926"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数量</w:t>
            </w:r>
          </w:p>
        </w:tc>
        <w:tc>
          <w:tcPr>
            <w:tcW w:w="926"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国别</w:t>
            </w:r>
          </w:p>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产地</w:t>
            </w:r>
          </w:p>
        </w:tc>
        <w:tc>
          <w:tcPr>
            <w:tcW w:w="928"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制造</w:t>
            </w:r>
          </w:p>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年份</w:t>
            </w:r>
          </w:p>
        </w:tc>
        <w:tc>
          <w:tcPr>
            <w:tcW w:w="947"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额定功率（</w:t>
            </w:r>
            <w:r>
              <w:rPr>
                <w:rFonts w:ascii="宋体" w:hAnsi="宋体" w:cs="宋体"/>
                <w:color w:val="auto"/>
                <w:sz w:val="21"/>
                <w:szCs w:val="21"/>
                <w:highlight w:val="none"/>
              </w:rPr>
              <w:t>KW</w:t>
            </w:r>
            <w:r>
              <w:rPr>
                <w:rFonts w:hint="eastAsia" w:ascii="宋体" w:hAnsi="宋体" w:cs="宋体"/>
                <w:color w:val="auto"/>
                <w:sz w:val="21"/>
                <w:szCs w:val="21"/>
                <w:highlight w:val="none"/>
              </w:rPr>
              <w:t>）</w:t>
            </w:r>
          </w:p>
        </w:tc>
        <w:tc>
          <w:tcPr>
            <w:tcW w:w="928"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生产</w:t>
            </w:r>
          </w:p>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能力</w:t>
            </w:r>
          </w:p>
        </w:tc>
        <w:tc>
          <w:tcPr>
            <w:tcW w:w="1285"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用于施工部位</w:t>
            </w:r>
          </w:p>
        </w:tc>
        <w:tc>
          <w:tcPr>
            <w:tcW w:w="928" w:type="dxa"/>
            <w:vAlign w:val="center"/>
          </w:tcPr>
          <w:p>
            <w:pPr>
              <w:tabs>
                <w:tab w:val="left" w:pos="720"/>
              </w:tabs>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cs="宋体"/>
                <w:color w:val="auto"/>
                <w:sz w:val="21"/>
                <w:szCs w:val="21"/>
                <w:highlight w:val="none"/>
              </w:rPr>
            </w:pPr>
          </w:p>
        </w:tc>
        <w:tc>
          <w:tcPr>
            <w:tcW w:w="925" w:type="dxa"/>
            <w:vAlign w:val="center"/>
          </w:tcPr>
          <w:p>
            <w:pPr>
              <w:spacing w:line="440" w:lineRule="exact"/>
              <w:jc w:val="center"/>
              <w:rPr>
                <w:rFonts w:ascii="宋体" w:cs="宋体"/>
                <w:color w:val="auto"/>
                <w:sz w:val="21"/>
                <w:szCs w:val="21"/>
                <w:highlight w:val="none"/>
              </w:rPr>
            </w:pPr>
          </w:p>
        </w:tc>
        <w:tc>
          <w:tcPr>
            <w:tcW w:w="926" w:type="dxa"/>
            <w:vAlign w:val="center"/>
          </w:tcPr>
          <w:p>
            <w:pPr>
              <w:spacing w:line="440" w:lineRule="exact"/>
              <w:jc w:val="center"/>
              <w:rPr>
                <w:rFonts w:ascii="宋体" w:cs="宋体"/>
                <w:color w:val="auto"/>
                <w:sz w:val="21"/>
                <w:szCs w:val="21"/>
                <w:highlight w:val="none"/>
              </w:rPr>
            </w:pPr>
          </w:p>
        </w:tc>
        <w:tc>
          <w:tcPr>
            <w:tcW w:w="926" w:type="dxa"/>
            <w:vAlign w:val="center"/>
          </w:tcPr>
          <w:p>
            <w:pPr>
              <w:spacing w:line="440" w:lineRule="exact"/>
              <w:jc w:val="center"/>
              <w:rPr>
                <w:rFonts w:ascii="宋体" w:cs="宋体"/>
                <w:color w:val="auto"/>
                <w:sz w:val="21"/>
                <w:szCs w:val="21"/>
                <w:highlight w:val="none"/>
              </w:rPr>
            </w:pPr>
          </w:p>
        </w:tc>
        <w:tc>
          <w:tcPr>
            <w:tcW w:w="926" w:type="dxa"/>
            <w:vAlign w:val="center"/>
          </w:tcPr>
          <w:p>
            <w:pPr>
              <w:spacing w:line="440" w:lineRule="exact"/>
              <w:jc w:val="center"/>
              <w:rPr>
                <w:rFonts w:ascii="宋体" w:cs="宋体"/>
                <w:color w:val="auto"/>
                <w:sz w:val="21"/>
                <w:szCs w:val="21"/>
                <w:highlight w:val="none"/>
              </w:rPr>
            </w:pPr>
          </w:p>
        </w:tc>
        <w:tc>
          <w:tcPr>
            <w:tcW w:w="928" w:type="dxa"/>
            <w:vAlign w:val="center"/>
          </w:tcPr>
          <w:p>
            <w:pPr>
              <w:spacing w:line="440" w:lineRule="exact"/>
              <w:jc w:val="center"/>
              <w:rPr>
                <w:rFonts w:ascii="宋体" w:cs="宋体"/>
                <w:color w:val="auto"/>
                <w:sz w:val="21"/>
                <w:szCs w:val="21"/>
                <w:highlight w:val="none"/>
              </w:rPr>
            </w:pPr>
          </w:p>
        </w:tc>
        <w:tc>
          <w:tcPr>
            <w:tcW w:w="947" w:type="dxa"/>
            <w:vAlign w:val="center"/>
          </w:tcPr>
          <w:p>
            <w:pPr>
              <w:spacing w:line="440" w:lineRule="exact"/>
              <w:jc w:val="center"/>
              <w:rPr>
                <w:rFonts w:ascii="宋体" w:cs="宋体"/>
                <w:color w:val="auto"/>
                <w:sz w:val="21"/>
                <w:szCs w:val="21"/>
                <w:highlight w:val="none"/>
              </w:rPr>
            </w:pPr>
          </w:p>
        </w:tc>
        <w:tc>
          <w:tcPr>
            <w:tcW w:w="928" w:type="dxa"/>
            <w:vAlign w:val="center"/>
          </w:tcPr>
          <w:p>
            <w:pPr>
              <w:spacing w:line="440" w:lineRule="exact"/>
              <w:jc w:val="center"/>
              <w:rPr>
                <w:rFonts w:ascii="宋体" w:cs="宋体"/>
                <w:color w:val="auto"/>
                <w:sz w:val="21"/>
                <w:szCs w:val="21"/>
                <w:highlight w:val="none"/>
              </w:rPr>
            </w:pPr>
          </w:p>
        </w:tc>
        <w:tc>
          <w:tcPr>
            <w:tcW w:w="1285" w:type="dxa"/>
            <w:vAlign w:val="center"/>
          </w:tcPr>
          <w:p>
            <w:pPr>
              <w:spacing w:line="440" w:lineRule="exact"/>
              <w:jc w:val="center"/>
              <w:rPr>
                <w:rFonts w:ascii="宋体" w:cs="宋体"/>
                <w:color w:val="auto"/>
                <w:sz w:val="21"/>
                <w:szCs w:val="21"/>
                <w:highlight w:val="none"/>
              </w:rPr>
            </w:pPr>
          </w:p>
        </w:tc>
        <w:tc>
          <w:tcPr>
            <w:tcW w:w="928" w:type="dxa"/>
            <w:vAlign w:val="center"/>
          </w:tcPr>
          <w:p>
            <w:pPr>
              <w:spacing w:line="44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5" w:type="dxa"/>
            <w:vAlign w:val="center"/>
          </w:tcPr>
          <w:p>
            <w:pPr>
              <w:spacing w:line="440" w:lineRule="exact"/>
              <w:jc w:val="center"/>
              <w:rPr>
                <w:rFonts w:ascii="宋体" w:cs="宋体"/>
                <w:color w:val="auto"/>
                <w:sz w:val="21"/>
                <w:szCs w:val="21"/>
                <w:highlight w:val="none"/>
              </w:rPr>
            </w:pPr>
          </w:p>
        </w:tc>
        <w:tc>
          <w:tcPr>
            <w:tcW w:w="925" w:type="dxa"/>
            <w:vAlign w:val="center"/>
          </w:tcPr>
          <w:p>
            <w:pPr>
              <w:spacing w:line="440" w:lineRule="exact"/>
              <w:jc w:val="center"/>
              <w:rPr>
                <w:rFonts w:ascii="宋体" w:cs="宋体"/>
                <w:color w:val="auto"/>
                <w:sz w:val="21"/>
                <w:szCs w:val="21"/>
                <w:highlight w:val="none"/>
              </w:rPr>
            </w:pPr>
          </w:p>
        </w:tc>
        <w:tc>
          <w:tcPr>
            <w:tcW w:w="926" w:type="dxa"/>
            <w:vAlign w:val="center"/>
          </w:tcPr>
          <w:p>
            <w:pPr>
              <w:spacing w:line="440" w:lineRule="exact"/>
              <w:jc w:val="center"/>
              <w:rPr>
                <w:rFonts w:ascii="宋体" w:cs="宋体"/>
                <w:color w:val="auto"/>
                <w:sz w:val="21"/>
                <w:szCs w:val="21"/>
                <w:highlight w:val="none"/>
              </w:rPr>
            </w:pPr>
          </w:p>
        </w:tc>
        <w:tc>
          <w:tcPr>
            <w:tcW w:w="926" w:type="dxa"/>
            <w:vAlign w:val="center"/>
          </w:tcPr>
          <w:p>
            <w:pPr>
              <w:spacing w:line="440" w:lineRule="exact"/>
              <w:jc w:val="center"/>
              <w:rPr>
                <w:rFonts w:ascii="宋体" w:cs="宋体"/>
                <w:color w:val="auto"/>
                <w:sz w:val="21"/>
                <w:szCs w:val="21"/>
                <w:highlight w:val="none"/>
              </w:rPr>
            </w:pPr>
          </w:p>
        </w:tc>
        <w:tc>
          <w:tcPr>
            <w:tcW w:w="926" w:type="dxa"/>
            <w:vAlign w:val="center"/>
          </w:tcPr>
          <w:p>
            <w:pPr>
              <w:spacing w:line="440" w:lineRule="exact"/>
              <w:jc w:val="center"/>
              <w:rPr>
                <w:rFonts w:ascii="宋体" w:cs="宋体"/>
                <w:color w:val="auto"/>
                <w:sz w:val="21"/>
                <w:szCs w:val="21"/>
                <w:highlight w:val="none"/>
              </w:rPr>
            </w:pPr>
          </w:p>
        </w:tc>
        <w:tc>
          <w:tcPr>
            <w:tcW w:w="928" w:type="dxa"/>
            <w:vAlign w:val="center"/>
          </w:tcPr>
          <w:p>
            <w:pPr>
              <w:spacing w:line="440" w:lineRule="exact"/>
              <w:jc w:val="center"/>
              <w:rPr>
                <w:rFonts w:ascii="宋体" w:cs="宋体"/>
                <w:color w:val="auto"/>
                <w:sz w:val="21"/>
                <w:szCs w:val="21"/>
                <w:highlight w:val="none"/>
              </w:rPr>
            </w:pPr>
          </w:p>
        </w:tc>
        <w:tc>
          <w:tcPr>
            <w:tcW w:w="947" w:type="dxa"/>
            <w:vAlign w:val="center"/>
          </w:tcPr>
          <w:p>
            <w:pPr>
              <w:spacing w:line="440" w:lineRule="exact"/>
              <w:jc w:val="center"/>
              <w:rPr>
                <w:rFonts w:ascii="宋体" w:cs="宋体"/>
                <w:color w:val="auto"/>
                <w:sz w:val="21"/>
                <w:szCs w:val="21"/>
                <w:highlight w:val="none"/>
              </w:rPr>
            </w:pPr>
          </w:p>
        </w:tc>
        <w:tc>
          <w:tcPr>
            <w:tcW w:w="928" w:type="dxa"/>
            <w:vAlign w:val="center"/>
          </w:tcPr>
          <w:p>
            <w:pPr>
              <w:spacing w:line="440" w:lineRule="exact"/>
              <w:jc w:val="center"/>
              <w:rPr>
                <w:rFonts w:ascii="宋体" w:cs="宋体"/>
                <w:color w:val="auto"/>
                <w:sz w:val="21"/>
                <w:szCs w:val="21"/>
                <w:highlight w:val="none"/>
              </w:rPr>
            </w:pPr>
          </w:p>
        </w:tc>
        <w:tc>
          <w:tcPr>
            <w:tcW w:w="1285" w:type="dxa"/>
            <w:vAlign w:val="center"/>
          </w:tcPr>
          <w:p>
            <w:pPr>
              <w:spacing w:line="440" w:lineRule="exact"/>
              <w:jc w:val="center"/>
              <w:rPr>
                <w:rFonts w:ascii="宋体" w:cs="宋体"/>
                <w:color w:val="auto"/>
                <w:sz w:val="21"/>
                <w:szCs w:val="21"/>
                <w:highlight w:val="none"/>
              </w:rPr>
            </w:pPr>
          </w:p>
        </w:tc>
        <w:tc>
          <w:tcPr>
            <w:tcW w:w="928" w:type="dxa"/>
            <w:vAlign w:val="center"/>
          </w:tcPr>
          <w:p>
            <w:pPr>
              <w:spacing w:line="440" w:lineRule="exact"/>
              <w:jc w:val="center"/>
              <w:rPr>
                <w:rFonts w:ascii="宋体" w:cs="宋体"/>
                <w:color w:val="auto"/>
                <w:sz w:val="21"/>
                <w:szCs w:val="21"/>
                <w:highlight w:val="none"/>
              </w:rPr>
            </w:pPr>
          </w:p>
        </w:tc>
      </w:tr>
    </w:tbl>
    <w:p>
      <w:pPr>
        <w:tabs>
          <w:tab w:val="left" w:pos="720"/>
        </w:tabs>
        <w:spacing w:line="360" w:lineRule="auto"/>
        <w:rPr>
          <w:rFonts w:ascii="宋体" w:cs="宋体"/>
          <w:b/>
          <w:color w:val="auto"/>
          <w:sz w:val="24"/>
          <w:szCs w:val="24"/>
          <w:highlight w:val="none"/>
        </w:rPr>
      </w:pPr>
    </w:p>
    <w:p>
      <w:pPr>
        <w:tabs>
          <w:tab w:val="left" w:pos="720"/>
        </w:tabs>
        <w:spacing w:line="360" w:lineRule="auto"/>
        <w:rPr>
          <w:rFonts w:ascii="宋体" w:cs="宋体"/>
          <w:b/>
          <w:color w:val="auto"/>
          <w:sz w:val="24"/>
          <w:szCs w:val="24"/>
          <w:highlight w:val="none"/>
        </w:rPr>
      </w:pPr>
      <w:bookmarkStart w:id="204" w:name="_Toc152045798"/>
      <w:bookmarkStart w:id="205" w:name="_Toc152042587"/>
      <w:bookmarkStart w:id="206" w:name="_Toc179632818"/>
      <w:bookmarkStart w:id="207" w:name="_Toc15617_WPSOffice_Level2"/>
      <w:bookmarkStart w:id="208" w:name="_Toc246392156"/>
      <w:bookmarkStart w:id="209" w:name="_Toc23274_WPSOffice_Level2"/>
      <w:bookmarkStart w:id="210" w:name="_Toc144974866"/>
      <w:bookmarkStart w:id="211" w:name="_Toc1034_WPSOffice_Level2"/>
      <w:r>
        <w:rPr>
          <w:rFonts w:hint="eastAsia" w:ascii="宋体" w:hAnsi="宋体" w:cs="宋体"/>
          <w:b/>
          <w:color w:val="auto"/>
          <w:sz w:val="24"/>
          <w:szCs w:val="24"/>
          <w:highlight w:val="none"/>
        </w:rPr>
        <w:t>附表二：拟配备的试验和检测仪器设备表</w:t>
      </w:r>
      <w:bookmarkEnd w:id="204"/>
      <w:bookmarkEnd w:id="205"/>
      <w:bookmarkEnd w:id="206"/>
      <w:bookmarkEnd w:id="207"/>
      <w:bookmarkEnd w:id="208"/>
      <w:bookmarkEnd w:id="209"/>
      <w:bookmarkEnd w:id="210"/>
      <w:bookmarkEnd w:id="211"/>
    </w:p>
    <w:tbl>
      <w:tblPr>
        <w:tblStyle w:val="19"/>
        <w:tblW w:w="9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52"/>
        <w:gridCol w:w="1062"/>
        <w:gridCol w:w="1144"/>
        <w:gridCol w:w="1045"/>
        <w:gridCol w:w="1039"/>
        <w:gridCol w:w="1221"/>
        <w:gridCol w:w="1223"/>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906"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序号</w:t>
            </w:r>
          </w:p>
        </w:tc>
        <w:tc>
          <w:tcPr>
            <w:tcW w:w="1252"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仪器设备名称</w:t>
            </w:r>
          </w:p>
        </w:tc>
        <w:tc>
          <w:tcPr>
            <w:tcW w:w="1062"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型号</w:t>
            </w:r>
          </w:p>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规格</w:t>
            </w:r>
          </w:p>
        </w:tc>
        <w:tc>
          <w:tcPr>
            <w:tcW w:w="1144"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数量</w:t>
            </w:r>
          </w:p>
        </w:tc>
        <w:tc>
          <w:tcPr>
            <w:tcW w:w="1045"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国别</w:t>
            </w:r>
          </w:p>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产地</w:t>
            </w:r>
          </w:p>
        </w:tc>
        <w:tc>
          <w:tcPr>
            <w:tcW w:w="1039"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制造</w:t>
            </w:r>
          </w:p>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年份</w:t>
            </w:r>
          </w:p>
        </w:tc>
        <w:tc>
          <w:tcPr>
            <w:tcW w:w="1221"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已使用</w:t>
            </w:r>
          </w:p>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台时数</w:t>
            </w:r>
          </w:p>
        </w:tc>
        <w:tc>
          <w:tcPr>
            <w:tcW w:w="1223"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用途</w:t>
            </w:r>
          </w:p>
        </w:tc>
        <w:tc>
          <w:tcPr>
            <w:tcW w:w="784"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cs="宋体"/>
                <w:color w:val="auto"/>
                <w:sz w:val="21"/>
                <w:szCs w:val="21"/>
                <w:highlight w:val="none"/>
              </w:rPr>
            </w:pPr>
          </w:p>
        </w:tc>
        <w:tc>
          <w:tcPr>
            <w:tcW w:w="1252" w:type="dxa"/>
            <w:vAlign w:val="center"/>
          </w:tcPr>
          <w:p>
            <w:pPr>
              <w:spacing w:line="240" w:lineRule="atLeast"/>
              <w:jc w:val="center"/>
              <w:rPr>
                <w:rFonts w:ascii="宋体" w:cs="宋体"/>
                <w:color w:val="auto"/>
                <w:sz w:val="21"/>
                <w:szCs w:val="21"/>
                <w:highlight w:val="none"/>
              </w:rPr>
            </w:pPr>
          </w:p>
        </w:tc>
        <w:tc>
          <w:tcPr>
            <w:tcW w:w="1062" w:type="dxa"/>
            <w:vAlign w:val="center"/>
          </w:tcPr>
          <w:p>
            <w:pPr>
              <w:spacing w:line="240" w:lineRule="atLeast"/>
              <w:jc w:val="center"/>
              <w:rPr>
                <w:rFonts w:ascii="宋体" w:cs="宋体"/>
                <w:color w:val="auto"/>
                <w:sz w:val="21"/>
                <w:szCs w:val="21"/>
                <w:highlight w:val="none"/>
              </w:rPr>
            </w:pPr>
          </w:p>
        </w:tc>
        <w:tc>
          <w:tcPr>
            <w:tcW w:w="1144" w:type="dxa"/>
            <w:vAlign w:val="center"/>
          </w:tcPr>
          <w:p>
            <w:pPr>
              <w:spacing w:line="240" w:lineRule="atLeast"/>
              <w:jc w:val="center"/>
              <w:rPr>
                <w:rFonts w:ascii="宋体" w:cs="宋体"/>
                <w:color w:val="auto"/>
                <w:sz w:val="21"/>
                <w:szCs w:val="21"/>
                <w:highlight w:val="none"/>
              </w:rPr>
            </w:pPr>
          </w:p>
        </w:tc>
        <w:tc>
          <w:tcPr>
            <w:tcW w:w="1045" w:type="dxa"/>
            <w:vAlign w:val="center"/>
          </w:tcPr>
          <w:p>
            <w:pPr>
              <w:spacing w:line="240" w:lineRule="atLeast"/>
              <w:jc w:val="center"/>
              <w:rPr>
                <w:rFonts w:ascii="宋体" w:cs="宋体"/>
                <w:color w:val="auto"/>
                <w:sz w:val="21"/>
                <w:szCs w:val="21"/>
                <w:highlight w:val="none"/>
              </w:rPr>
            </w:pPr>
          </w:p>
        </w:tc>
        <w:tc>
          <w:tcPr>
            <w:tcW w:w="1039" w:type="dxa"/>
            <w:vAlign w:val="center"/>
          </w:tcPr>
          <w:p>
            <w:pPr>
              <w:spacing w:line="240" w:lineRule="atLeast"/>
              <w:jc w:val="center"/>
              <w:rPr>
                <w:rFonts w:ascii="宋体" w:cs="宋体"/>
                <w:color w:val="auto"/>
                <w:sz w:val="21"/>
                <w:szCs w:val="21"/>
                <w:highlight w:val="none"/>
              </w:rPr>
            </w:pPr>
          </w:p>
        </w:tc>
        <w:tc>
          <w:tcPr>
            <w:tcW w:w="1221" w:type="dxa"/>
            <w:vAlign w:val="center"/>
          </w:tcPr>
          <w:p>
            <w:pPr>
              <w:spacing w:line="240" w:lineRule="atLeast"/>
              <w:jc w:val="center"/>
              <w:rPr>
                <w:rFonts w:ascii="宋体" w:cs="宋体"/>
                <w:color w:val="auto"/>
                <w:sz w:val="21"/>
                <w:szCs w:val="21"/>
                <w:highlight w:val="none"/>
              </w:rPr>
            </w:pPr>
          </w:p>
        </w:tc>
        <w:tc>
          <w:tcPr>
            <w:tcW w:w="1223" w:type="dxa"/>
            <w:vAlign w:val="center"/>
          </w:tcPr>
          <w:p>
            <w:pPr>
              <w:spacing w:line="240" w:lineRule="atLeast"/>
              <w:jc w:val="center"/>
              <w:rPr>
                <w:rFonts w:ascii="宋体" w:cs="宋体"/>
                <w:color w:val="auto"/>
                <w:sz w:val="21"/>
                <w:szCs w:val="21"/>
                <w:highlight w:val="none"/>
              </w:rPr>
            </w:pPr>
          </w:p>
        </w:tc>
        <w:tc>
          <w:tcPr>
            <w:tcW w:w="784" w:type="dxa"/>
            <w:vAlign w:val="center"/>
          </w:tcPr>
          <w:p>
            <w:pPr>
              <w:spacing w:line="240" w:lineRule="atLeas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vAlign w:val="center"/>
          </w:tcPr>
          <w:p>
            <w:pPr>
              <w:spacing w:line="240" w:lineRule="atLeast"/>
              <w:jc w:val="center"/>
              <w:rPr>
                <w:rFonts w:ascii="宋体" w:cs="宋体"/>
                <w:color w:val="auto"/>
                <w:sz w:val="21"/>
                <w:szCs w:val="21"/>
                <w:highlight w:val="none"/>
              </w:rPr>
            </w:pPr>
          </w:p>
        </w:tc>
        <w:tc>
          <w:tcPr>
            <w:tcW w:w="1252" w:type="dxa"/>
            <w:vAlign w:val="center"/>
          </w:tcPr>
          <w:p>
            <w:pPr>
              <w:spacing w:line="240" w:lineRule="atLeast"/>
              <w:jc w:val="center"/>
              <w:rPr>
                <w:rFonts w:ascii="宋体" w:cs="宋体"/>
                <w:color w:val="auto"/>
                <w:sz w:val="21"/>
                <w:szCs w:val="21"/>
                <w:highlight w:val="none"/>
              </w:rPr>
            </w:pPr>
          </w:p>
        </w:tc>
        <w:tc>
          <w:tcPr>
            <w:tcW w:w="1062" w:type="dxa"/>
            <w:vAlign w:val="center"/>
          </w:tcPr>
          <w:p>
            <w:pPr>
              <w:spacing w:line="240" w:lineRule="atLeast"/>
              <w:jc w:val="center"/>
              <w:rPr>
                <w:rFonts w:ascii="宋体" w:cs="宋体"/>
                <w:color w:val="auto"/>
                <w:sz w:val="21"/>
                <w:szCs w:val="21"/>
                <w:highlight w:val="none"/>
              </w:rPr>
            </w:pPr>
          </w:p>
        </w:tc>
        <w:tc>
          <w:tcPr>
            <w:tcW w:w="1144" w:type="dxa"/>
            <w:vAlign w:val="center"/>
          </w:tcPr>
          <w:p>
            <w:pPr>
              <w:spacing w:line="240" w:lineRule="atLeast"/>
              <w:jc w:val="center"/>
              <w:rPr>
                <w:rFonts w:ascii="宋体" w:cs="宋体"/>
                <w:color w:val="auto"/>
                <w:sz w:val="21"/>
                <w:szCs w:val="21"/>
                <w:highlight w:val="none"/>
              </w:rPr>
            </w:pPr>
          </w:p>
        </w:tc>
        <w:tc>
          <w:tcPr>
            <w:tcW w:w="1045" w:type="dxa"/>
            <w:vAlign w:val="center"/>
          </w:tcPr>
          <w:p>
            <w:pPr>
              <w:spacing w:line="240" w:lineRule="atLeast"/>
              <w:jc w:val="center"/>
              <w:rPr>
                <w:rFonts w:ascii="宋体" w:cs="宋体"/>
                <w:color w:val="auto"/>
                <w:sz w:val="21"/>
                <w:szCs w:val="21"/>
                <w:highlight w:val="none"/>
              </w:rPr>
            </w:pPr>
          </w:p>
        </w:tc>
        <w:tc>
          <w:tcPr>
            <w:tcW w:w="1039" w:type="dxa"/>
            <w:vAlign w:val="center"/>
          </w:tcPr>
          <w:p>
            <w:pPr>
              <w:spacing w:line="240" w:lineRule="atLeast"/>
              <w:jc w:val="center"/>
              <w:rPr>
                <w:rFonts w:ascii="宋体" w:cs="宋体"/>
                <w:color w:val="auto"/>
                <w:sz w:val="21"/>
                <w:szCs w:val="21"/>
                <w:highlight w:val="none"/>
              </w:rPr>
            </w:pPr>
          </w:p>
        </w:tc>
        <w:tc>
          <w:tcPr>
            <w:tcW w:w="1221" w:type="dxa"/>
            <w:vAlign w:val="center"/>
          </w:tcPr>
          <w:p>
            <w:pPr>
              <w:spacing w:line="240" w:lineRule="atLeast"/>
              <w:jc w:val="center"/>
              <w:rPr>
                <w:rFonts w:ascii="宋体" w:cs="宋体"/>
                <w:color w:val="auto"/>
                <w:sz w:val="21"/>
                <w:szCs w:val="21"/>
                <w:highlight w:val="none"/>
              </w:rPr>
            </w:pPr>
          </w:p>
        </w:tc>
        <w:tc>
          <w:tcPr>
            <w:tcW w:w="1223" w:type="dxa"/>
            <w:vAlign w:val="center"/>
          </w:tcPr>
          <w:p>
            <w:pPr>
              <w:spacing w:line="240" w:lineRule="atLeast"/>
              <w:jc w:val="center"/>
              <w:rPr>
                <w:rFonts w:ascii="宋体" w:cs="宋体"/>
                <w:color w:val="auto"/>
                <w:sz w:val="21"/>
                <w:szCs w:val="21"/>
                <w:highlight w:val="none"/>
              </w:rPr>
            </w:pPr>
          </w:p>
        </w:tc>
        <w:tc>
          <w:tcPr>
            <w:tcW w:w="784" w:type="dxa"/>
            <w:vAlign w:val="center"/>
          </w:tcPr>
          <w:p>
            <w:pPr>
              <w:spacing w:line="240" w:lineRule="atLeas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cs="宋体"/>
                <w:color w:val="auto"/>
                <w:sz w:val="21"/>
                <w:szCs w:val="21"/>
                <w:highlight w:val="none"/>
              </w:rPr>
            </w:pPr>
          </w:p>
        </w:tc>
        <w:tc>
          <w:tcPr>
            <w:tcW w:w="1252" w:type="dxa"/>
          </w:tcPr>
          <w:p>
            <w:pPr>
              <w:spacing w:line="240" w:lineRule="atLeast"/>
              <w:jc w:val="center"/>
              <w:rPr>
                <w:rFonts w:ascii="宋体" w:cs="宋体"/>
                <w:color w:val="auto"/>
                <w:sz w:val="21"/>
                <w:szCs w:val="21"/>
                <w:highlight w:val="none"/>
              </w:rPr>
            </w:pPr>
          </w:p>
        </w:tc>
        <w:tc>
          <w:tcPr>
            <w:tcW w:w="1062" w:type="dxa"/>
          </w:tcPr>
          <w:p>
            <w:pPr>
              <w:spacing w:line="240" w:lineRule="atLeast"/>
              <w:jc w:val="center"/>
              <w:rPr>
                <w:rFonts w:ascii="宋体" w:cs="宋体"/>
                <w:color w:val="auto"/>
                <w:sz w:val="21"/>
                <w:szCs w:val="21"/>
                <w:highlight w:val="none"/>
              </w:rPr>
            </w:pPr>
          </w:p>
        </w:tc>
        <w:tc>
          <w:tcPr>
            <w:tcW w:w="1144" w:type="dxa"/>
          </w:tcPr>
          <w:p>
            <w:pPr>
              <w:spacing w:line="240" w:lineRule="atLeast"/>
              <w:jc w:val="center"/>
              <w:rPr>
                <w:rFonts w:ascii="宋体" w:cs="宋体"/>
                <w:color w:val="auto"/>
                <w:sz w:val="21"/>
                <w:szCs w:val="21"/>
                <w:highlight w:val="none"/>
              </w:rPr>
            </w:pPr>
          </w:p>
        </w:tc>
        <w:tc>
          <w:tcPr>
            <w:tcW w:w="1045" w:type="dxa"/>
          </w:tcPr>
          <w:p>
            <w:pPr>
              <w:spacing w:line="240" w:lineRule="atLeast"/>
              <w:jc w:val="center"/>
              <w:rPr>
                <w:rFonts w:ascii="宋体" w:cs="宋体"/>
                <w:color w:val="auto"/>
                <w:sz w:val="21"/>
                <w:szCs w:val="21"/>
                <w:highlight w:val="none"/>
              </w:rPr>
            </w:pPr>
          </w:p>
        </w:tc>
        <w:tc>
          <w:tcPr>
            <w:tcW w:w="1039" w:type="dxa"/>
          </w:tcPr>
          <w:p>
            <w:pPr>
              <w:spacing w:line="240" w:lineRule="atLeast"/>
              <w:jc w:val="center"/>
              <w:rPr>
                <w:rFonts w:ascii="宋体" w:cs="宋体"/>
                <w:color w:val="auto"/>
                <w:sz w:val="21"/>
                <w:szCs w:val="21"/>
                <w:highlight w:val="none"/>
              </w:rPr>
            </w:pPr>
          </w:p>
        </w:tc>
        <w:tc>
          <w:tcPr>
            <w:tcW w:w="1221" w:type="dxa"/>
          </w:tcPr>
          <w:p>
            <w:pPr>
              <w:spacing w:line="240" w:lineRule="atLeast"/>
              <w:jc w:val="center"/>
              <w:rPr>
                <w:rFonts w:ascii="宋体" w:cs="宋体"/>
                <w:color w:val="auto"/>
                <w:sz w:val="21"/>
                <w:szCs w:val="21"/>
                <w:highlight w:val="none"/>
              </w:rPr>
            </w:pPr>
          </w:p>
        </w:tc>
        <w:tc>
          <w:tcPr>
            <w:tcW w:w="1223" w:type="dxa"/>
          </w:tcPr>
          <w:p>
            <w:pPr>
              <w:spacing w:line="240" w:lineRule="atLeast"/>
              <w:jc w:val="center"/>
              <w:rPr>
                <w:rFonts w:ascii="宋体" w:cs="宋体"/>
                <w:color w:val="auto"/>
                <w:sz w:val="21"/>
                <w:szCs w:val="21"/>
                <w:highlight w:val="none"/>
              </w:rPr>
            </w:pPr>
          </w:p>
        </w:tc>
        <w:tc>
          <w:tcPr>
            <w:tcW w:w="784" w:type="dxa"/>
          </w:tcPr>
          <w:p>
            <w:pPr>
              <w:spacing w:line="240" w:lineRule="atLeas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06" w:type="dxa"/>
          </w:tcPr>
          <w:p>
            <w:pPr>
              <w:spacing w:line="240" w:lineRule="atLeast"/>
              <w:jc w:val="center"/>
              <w:rPr>
                <w:rFonts w:ascii="宋体" w:cs="宋体"/>
                <w:color w:val="auto"/>
                <w:sz w:val="21"/>
                <w:szCs w:val="21"/>
                <w:highlight w:val="none"/>
              </w:rPr>
            </w:pPr>
          </w:p>
        </w:tc>
        <w:tc>
          <w:tcPr>
            <w:tcW w:w="1252" w:type="dxa"/>
          </w:tcPr>
          <w:p>
            <w:pPr>
              <w:spacing w:line="240" w:lineRule="atLeast"/>
              <w:jc w:val="center"/>
              <w:rPr>
                <w:rFonts w:ascii="宋体" w:cs="宋体"/>
                <w:color w:val="auto"/>
                <w:sz w:val="21"/>
                <w:szCs w:val="21"/>
                <w:highlight w:val="none"/>
              </w:rPr>
            </w:pPr>
          </w:p>
        </w:tc>
        <w:tc>
          <w:tcPr>
            <w:tcW w:w="1062" w:type="dxa"/>
          </w:tcPr>
          <w:p>
            <w:pPr>
              <w:spacing w:line="240" w:lineRule="atLeast"/>
              <w:jc w:val="center"/>
              <w:rPr>
                <w:rFonts w:ascii="宋体" w:cs="宋体"/>
                <w:color w:val="auto"/>
                <w:sz w:val="21"/>
                <w:szCs w:val="21"/>
                <w:highlight w:val="none"/>
              </w:rPr>
            </w:pPr>
          </w:p>
        </w:tc>
        <w:tc>
          <w:tcPr>
            <w:tcW w:w="1144" w:type="dxa"/>
          </w:tcPr>
          <w:p>
            <w:pPr>
              <w:spacing w:line="240" w:lineRule="atLeast"/>
              <w:jc w:val="center"/>
              <w:rPr>
                <w:rFonts w:ascii="宋体" w:cs="宋体"/>
                <w:color w:val="auto"/>
                <w:sz w:val="21"/>
                <w:szCs w:val="21"/>
                <w:highlight w:val="none"/>
              </w:rPr>
            </w:pPr>
          </w:p>
        </w:tc>
        <w:tc>
          <w:tcPr>
            <w:tcW w:w="1045" w:type="dxa"/>
          </w:tcPr>
          <w:p>
            <w:pPr>
              <w:spacing w:line="240" w:lineRule="atLeast"/>
              <w:jc w:val="center"/>
              <w:rPr>
                <w:rFonts w:ascii="宋体" w:cs="宋体"/>
                <w:color w:val="auto"/>
                <w:sz w:val="21"/>
                <w:szCs w:val="21"/>
                <w:highlight w:val="none"/>
              </w:rPr>
            </w:pPr>
          </w:p>
        </w:tc>
        <w:tc>
          <w:tcPr>
            <w:tcW w:w="1039" w:type="dxa"/>
          </w:tcPr>
          <w:p>
            <w:pPr>
              <w:spacing w:line="240" w:lineRule="atLeast"/>
              <w:jc w:val="center"/>
              <w:rPr>
                <w:rFonts w:ascii="宋体" w:cs="宋体"/>
                <w:color w:val="auto"/>
                <w:sz w:val="21"/>
                <w:szCs w:val="21"/>
                <w:highlight w:val="none"/>
              </w:rPr>
            </w:pPr>
          </w:p>
        </w:tc>
        <w:tc>
          <w:tcPr>
            <w:tcW w:w="1221" w:type="dxa"/>
          </w:tcPr>
          <w:p>
            <w:pPr>
              <w:spacing w:line="240" w:lineRule="atLeast"/>
              <w:jc w:val="center"/>
              <w:rPr>
                <w:rFonts w:ascii="宋体" w:cs="宋体"/>
                <w:color w:val="auto"/>
                <w:sz w:val="21"/>
                <w:szCs w:val="21"/>
                <w:highlight w:val="none"/>
              </w:rPr>
            </w:pPr>
          </w:p>
        </w:tc>
        <w:tc>
          <w:tcPr>
            <w:tcW w:w="1223" w:type="dxa"/>
          </w:tcPr>
          <w:p>
            <w:pPr>
              <w:spacing w:line="240" w:lineRule="atLeast"/>
              <w:jc w:val="center"/>
              <w:rPr>
                <w:rFonts w:ascii="宋体" w:cs="宋体"/>
                <w:color w:val="auto"/>
                <w:sz w:val="21"/>
                <w:szCs w:val="21"/>
                <w:highlight w:val="none"/>
              </w:rPr>
            </w:pPr>
          </w:p>
        </w:tc>
        <w:tc>
          <w:tcPr>
            <w:tcW w:w="784" w:type="dxa"/>
          </w:tcPr>
          <w:p>
            <w:pPr>
              <w:spacing w:line="240" w:lineRule="atLeast"/>
              <w:jc w:val="center"/>
              <w:rPr>
                <w:rFonts w:ascii="宋体" w:cs="宋体"/>
                <w:color w:val="auto"/>
                <w:sz w:val="21"/>
                <w:szCs w:val="21"/>
                <w:highlight w:val="none"/>
              </w:rPr>
            </w:pPr>
          </w:p>
        </w:tc>
      </w:tr>
    </w:tbl>
    <w:p>
      <w:pPr>
        <w:spacing w:line="440" w:lineRule="exact"/>
        <w:rPr>
          <w:rFonts w:ascii="宋体" w:cs="宋体"/>
          <w:color w:val="auto"/>
          <w:sz w:val="20"/>
          <w:highlight w:val="none"/>
        </w:rPr>
      </w:pPr>
    </w:p>
    <w:p>
      <w:pPr>
        <w:tabs>
          <w:tab w:val="left" w:pos="720"/>
        </w:tabs>
        <w:spacing w:line="360" w:lineRule="auto"/>
        <w:rPr>
          <w:rFonts w:ascii="宋体" w:cs="宋体"/>
          <w:b/>
          <w:color w:val="auto"/>
          <w:sz w:val="24"/>
          <w:szCs w:val="24"/>
          <w:highlight w:val="none"/>
        </w:rPr>
      </w:pPr>
      <w:bookmarkStart w:id="212" w:name="_Toc26491_WPSOffice_Level2"/>
      <w:bookmarkStart w:id="213" w:name="_Toc23409_WPSOffice_Level2"/>
      <w:bookmarkStart w:id="214" w:name="_Toc13628_WPSOffice_Level2"/>
      <w:r>
        <w:rPr>
          <w:rFonts w:hint="eastAsia" w:ascii="宋体" w:hAnsi="宋体" w:cs="宋体"/>
          <w:b/>
          <w:color w:val="auto"/>
          <w:sz w:val="24"/>
          <w:szCs w:val="24"/>
          <w:highlight w:val="none"/>
        </w:rPr>
        <w:t>附表三、项目管理班子配备情况表</w:t>
      </w:r>
      <w:bookmarkEnd w:id="212"/>
      <w:bookmarkEnd w:id="213"/>
      <w:bookmarkEnd w:id="214"/>
    </w:p>
    <w:tbl>
      <w:tblPr>
        <w:tblStyle w:val="1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restart"/>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职务</w:t>
            </w:r>
          </w:p>
        </w:tc>
        <w:tc>
          <w:tcPr>
            <w:tcW w:w="720" w:type="dxa"/>
            <w:vMerge w:val="restart"/>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姓名</w:t>
            </w:r>
          </w:p>
        </w:tc>
        <w:tc>
          <w:tcPr>
            <w:tcW w:w="720" w:type="dxa"/>
            <w:vMerge w:val="restart"/>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职称</w:t>
            </w:r>
          </w:p>
        </w:tc>
        <w:tc>
          <w:tcPr>
            <w:tcW w:w="5040" w:type="dxa"/>
            <w:gridSpan w:val="5"/>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上岗资格证明</w:t>
            </w:r>
          </w:p>
        </w:tc>
        <w:tc>
          <w:tcPr>
            <w:tcW w:w="2052" w:type="dxa"/>
            <w:gridSpan w:val="2"/>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48" w:type="dxa"/>
            <w:vMerge w:val="continue"/>
          </w:tcPr>
          <w:p>
            <w:pPr>
              <w:spacing w:line="360" w:lineRule="auto"/>
              <w:rPr>
                <w:rFonts w:ascii="宋体" w:cs="宋体"/>
                <w:color w:val="auto"/>
                <w:sz w:val="21"/>
                <w:szCs w:val="21"/>
                <w:highlight w:val="none"/>
              </w:rPr>
            </w:pPr>
          </w:p>
        </w:tc>
        <w:tc>
          <w:tcPr>
            <w:tcW w:w="720" w:type="dxa"/>
            <w:vMerge w:val="continue"/>
          </w:tcPr>
          <w:p>
            <w:pPr>
              <w:spacing w:line="360" w:lineRule="auto"/>
              <w:rPr>
                <w:rFonts w:ascii="宋体" w:cs="宋体"/>
                <w:color w:val="auto"/>
                <w:sz w:val="21"/>
                <w:szCs w:val="21"/>
                <w:highlight w:val="none"/>
              </w:rPr>
            </w:pPr>
          </w:p>
        </w:tc>
        <w:tc>
          <w:tcPr>
            <w:tcW w:w="720" w:type="dxa"/>
            <w:vMerge w:val="continue"/>
          </w:tcPr>
          <w:p>
            <w:pPr>
              <w:spacing w:line="360" w:lineRule="auto"/>
              <w:rPr>
                <w:rFonts w:ascii="宋体" w:cs="宋体"/>
                <w:color w:val="auto"/>
                <w:sz w:val="21"/>
                <w:szCs w:val="21"/>
                <w:highlight w:val="none"/>
              </w:rPr>
            </w:pPr>
          </w:p>
        </w:tc>
        <w:tc>
          <w:tcPr>
            <w:tcW w:w="888" w:type="dxa"/>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证书</w:t>
            </w:r>
          </w:p>
          <w:p>
            <w:pPr>
              <w:jc w:val="center"/>
              <w:rPr>
                <w:rFonts w:ascii="宋体" w:cs="宋体"/>
                <w:color w:val="auto"/>
                <w:sz w:val="21"/>
                <w:szCs w:val="21"/>
                <w:highlight w:val="none"/>
              </w:rPr>
            </w:pPr>
            <w:r>
              <w:rPr>
                <w:rFonts w:hint="eastAsia" w:ascii="宋体" w:hAnsi="宋体" w:cs="宋体"/>
                <w:color w:val="auto"/>
                <w:sz w:val="21"/>
                <w:szCs w:val="21"/>
                <w:highlight w:val="none"/>
              </w:rPr>
              <w:t>名称</w:t>
            </w:r>
          </w:p>
        </w:tc>
        <w:tc>
          <w:tcPr>
            <w:tcW w:w="888" w:type="dxa"/>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级别</w:t>
            </w:r>
          </w:p>
        </w:tc>
        <w:tc>
          <w:tcPr>
            <w:tcW w:w="888" w:type="dxa"/>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证号</w:t>
            </w:r>
          </w:p>
        </w:tc>
        <w:tc>
          <w:tcPr>
            <w:tcW w:w="888" w:type="dxa"/>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专业</w:t>
            </w:r>
          </w:p>
        </w:tc>
        <w:tc>
          <w:tcPr>
            <w:tcW w:w="1488" w:type="dxa"/>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原服务单位</w:t>
            </w:r>
          </w:p>
        </w:tc>
        <w:tc>
          <w:tcPr>
            <w:tcW w:w="889" w:type="dxa"/>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项目数</w:t>
            </w:r>
          </w:p>
        </w:tc>
        <w:tc>
          <w:tcPr>
            <w:tcW w:w="1163" w:type="dxa"/>
            <w:vAlign w:val="center"/>
          </w:tcPr>
          <w:p>
            <w:pPr>
              <w:jc w:val="center"/>
              <w:rPr>
                <w:rFonts w:ascii="宋体" w:cs="宋体"/>
                <w:color w:val="auto"/>
                <w:sz w:val="21"/>
                <w:szCs w:val="21"/>
                <w:highlight w:val="none"/>
              </w:rPr>
            </w:pPr>
            <w:r>
              <w:rPr>
                <w:rFonts w:hint="eastAsia" w:ascii="宋体" w:hAnsi="宋体" w:cs="宋体"/>
                <w:color w:val="auto"/>
                <w:sz w:val="21"/>
                <w:szCs w:val="21"/>
                <w:highlight w:val="none"/>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ascii="宋体" w:cs="宋体"/>
                <w:color w:val="auto"/>
                <w:sz w:val="21"/>
                <w:szCs w:val="21"/>
                <w:highlight w:val="none"/>
              </w:rPr>
            </w:pPr>
          </w:p>
        </w:tc>
        <w:tc>
          <w:tcPr>
            <w:tcW w:w="720" w:type="dxa"/>
          </w:tcPr>
          <w:p>
            <w:pPr>
              <w:spacing w:line="360" w:lineRule="auto"/>
              <w:rPr>
                <w:rFonts w:ascii="宋体" w:cs="宋体"/>
                <w:color w:val="auto"/>
                <w:sz w:val="21"/>
                <w:szCs w:val="21"/>
                <w:highlight w:val="none"/>
              </w:rPr>
            </w:pPr>
          </w:p>
        </w:tc>
        <w:tc>
          <w:tcPr>
            <w:tcW w:w="720"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1488" w:type="dxa"/>
          </w:tcPr>
          <w:p>
            <w:pPr>
              <w:spacing w:line="360" w:lineRule="auto"/>
              <w:rPr>
                <w:rFonts w:ascii="宋体" w:cs="宋体"/>
                <w:color w:val="auto"/>
                <w:sz w:val="21"/>
                <w:szCs w:val="21"/>
                <w:highlight w:val="none"/>
              </w:rPr>
            </w:pPr>
          </w:p>
        </w:tc>
        <w:tc>
          <w:tcPr>
            <w:tcW w:w="889" w:type="dxa"/>
          </w:tcPr>
          <w:p>
            <w:pPr>
              <w:spacing w:line="360" w:lineRule="auto"/>
              <w:rPr>
                <w:rFonts w:ascii="宋体" w:cs="宋体"/>
                <w:color w:val="auto"/>
                <w:sz w:val="21"/>
                <w:szCs w:val="21"/>
                <w:highlight w:val="none"/>
              </w:rPr>
            </w:pPr>
          </w:p>
        </w:tc>
        <w:tc>
          <w:tcPr>
            <w:tcW w:w="1163" w:type="dxa"/>
          </w:tcPr>
          <w:p>
            <w:pPr>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ascii="宋体" w:cs="宋体"/>
                <w:color w:val="auto"/>
                <w:sz w:val="21"/>
                <w:szCs w:val="21"/>
                <w:highlight w:val="none"/>
              </w:rPr>
            </w:pPr>
          </w:p>
        </w:tc>
        <w:tc>
          <w:tcPr>
            <w:tcW w:w="720" w:type="dxa"/>
          </w:tcPr>
          <w:p>
            <w:pPr>
              <w:spacing w:line="360" w:lineRule="auto"/>
              <w:rPr>
                <w:rFonts w:ascii="宋体" w:cs="宋体"/>
                <w:color w:val="auto"/>
                <w:sz w:val="21"/>
                <w:szCs w:val="21"/>
                <w:highlight w:val="none"/>
              </w:rPr>
            </w:pPr>
          </w:p>
        </w:tc>
        <w:tc>
          <w:tcPr>
            <w:tcW w:w="720"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1488" w:type="dxa"/>
          </w:tcPr>
          <w:p>
            <w:pPr>
              <w:spacing w:line="360" w:lineRule="auto"/>
              <w:rPr>
                <w:rFonts w:ascii="宋体" w:cs="宋体"/>
                <w:color w:val="auto"/>
                <w:sz w:val="21"/>
                <w:szCs w:val="21"/>
                <w:highlight w:val="none"/>
              </w:rPr>
            </w:pPr>
          </w:p>
        </w:tc>
        <w:tc>
          <w:tcPr>
            <w:tcW w:w="889" w:type="dxa"/>
          </w:tcPr>
          <w:p>
            <w:pPr>
              <w:spacing w:line="360" w:lineRule="auto"/>
              <w:rPr>
                <w:rFonts w:ascii="宋体" w:cs="宋体"/>
                <w:color w:val="auto"/>
                <w:sz w:val="21"/>
                <w:szCs w:val="21"/>
                <w:highlight w:val="none"/>
              </w:rPr>
            </w:pPr>
          </w:p>
        </w:tc>
        <w:tc>
          <w:tcPr>
            <w:tcW w:w="1163" w:type="dxa"/>
          </w:tcPr>
          <w:p>
            <w:pPr>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ascii="宋体" w:cs="宋体"/>
                <w:color w:val="auto"/>
                <w:sz w:val="21"/>
                <w:szCs w:val="21"/>
                <w:highlight w:val="none"/>
              </w:rPr>
            </w:pPr>
          </w:p>
        </w:tc>
        <w:tc>
          <w:tcPr>
            <w:tcW w:w="720" w:type="dxa"/>
          </w:tcPr>
          <w:p>
            <w:pPr>
              <w:spacing w:line="360" w:lineRule="auto"/>
              <w:rPr>
                <w:rFonts w:ascii="宋体" w:cs="宋体"/>
                <w:color w:val="auto"/>
                <w:sz w:val="21"/>
                <w:szCs w:val="21"/>
                <w:highlight w:val="none"/>
              </w:rPr>
            </w:pPr>
          </w:p>
        </w:tc>
        <w:tc>
          <w:tcPr>
            <w:tcW w:w="720"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1488" w:type="dxa"/>
          </w:tcPr>
          <w:p>
            <w:pPr>
              <w:spacing w:line="360" w:lineRule="auto"/>
              <w:rPr>
                <w:rFonts w:ascii="宋体" w:cs="宋体"/>
                <w:color w:val="auto"/>
                <w:sz w:val="21"/>
                <w:szCs w:val="21"/>
                <w:highlight w:val="none"/>
              </w:rPr>
            </w:pPr>
          </w:p>
        </w:tc>
        <w:tc>
          <w:tcPr>
            <w:tcW w:w="889" w:type="dxa"/>
          </w:tcPr>
          <w:p>
            <w:pPr>
              <w:spacing w:line="360" w:lineRule="auto"/>
              <w:rPr>
                <w:rFonts w:ascii="宋体" w:cs="宋体"/>
                <w:color w:val="auto"/>
                <w:sz w:val="21"/>
                <w:szCs w:val="21"/>
                <w:highlight w:val="none"/>
              </w:rPr>
            </w:pPr>
          </w:p>
        </w:tc>
        <w:tc>
          <w:tcPr>
            <w:tcW w:w="1163" w:type="dxa"/>
          </w:tcPr>
          <w:p>
            <w:pPr>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648" w:type="dxa"/>
          </w:tcPr>
          <w:p>
            <w:pPr>
              <w:spacing w:line="360" w:lineRule="auto"/>
              <w:rPr>
                <w:rFonts w:ascii="宋体" w:cs="宋体"/>
                <w:color w:val="auto"/>
                <w:sz w:val="21"/>
                <w:szCs w:val="21"/>
                <w:highlight w:val="none"/>
              </w:rPr>
            </w:pPr>
          </w:p>
        </w:tc>
        <w:tc>
          <w:tcPr>
            <w:tcW w:w="720" w:type="dxa"/>
          </w:tcPr>
          <w:p>
            <w:pPr>
              <w:spacing w:line="360" w:lineRule="auto"/>
              <w:rPr>
                <w:rFonts w:ascii="宋体" w:cs="宋体"/>
                <w:color w:val="auto"/>
                <w:sz w:val="21"/>
                <w:szCs w:val="21"/>
                <w:highlight w:val="none"/>
              </w:rPr>
            </w:pPr>
          </w:p>
        </w:tc>
        <w:tc>
          <w:tcPr>
            <w:tcW w:w="720"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888" w:type="dxa"/>
          </w:tcPr>
          <w:p>
            <w:pPr>
              <w:spacing w:line="360" w:lineRule="auto"/>
              <w:rPr>
                <w:rFonts w:ascii="宋体" w:cs="宋体"/>
                <w:color w:val="auto"/>
                <w:sz w:val="21"/>
                <w:szCs w:val="21"/>
                <w:highlight w:val="none"/>
              </w:rPr>
            </w:pPr>
          </w:p>
        </w:tc>
        <w:tc>
          <w:tcPr>
            <w:tcW w:w="1488" w:type="dxa"/>
          </w:tcPr>
          <w:p>
            <w:pPr>
              <w:spacing w:line="360" w:lineRule="auto"/>
              <w:rPr>
                <w:rFonts w:ascii="宋体" w:cs="宋体"/>
                <w:color w:val="auto"/>
                <w:sz w:val="21"/>
                <w:szCs w:val="21"/>
                <w:highlight w:val="none"/>
              </w:rPr>
            </w:pPr>
          </w:p>
        </w:tc>
        <w:tc>
          <w:tcPr>
            <w:tcW w:w="889" w:type="dxa"/>
          </w:tcPr>
          <w:p>
            <w:pPr>
              <w:spacing w:line="360" w:lineRule="auto"/>
              <w:rPr>
                <w:rFonts w:ascii="宋体" w:cs="宋体"/>
                <w:color w:val="auto"/>
                <w:sz w:val="21"/>
                <w:szCs w:val="21"/>
                <w:highlight w:val="none"/>
              </w:rPr>
            </w:pPr>
          </w:p>
        </w:tc>
        <w:tc>
          <w:tcPr>
            <w:tcW w:w="1163" w:type="dxa"/>
          </w:tcPr>
          <w:p>
            <w:pPr>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exact"/>
        </w:trPr>
        <w:tc>
          <w:tcPr>
            <w:tcW w:w="9180" w:type="dxa"/>
            <w:gridSpan w:val="10"/>
          </w:tcPr>
          <w:p>
            <w:pPr>
              <w:spacing w:line="360" w:lineRule="auto"/>
              <w:ind w:firstLine="472" w:firstLineChars="225"/>
              <w:rPr>
                <w:rFonts w:ascii="宋体" w:cs="宋体"/>
                <w:color w:val="auto"/>
                <w:sz w:val="21"/>
                <w:szCs w:val="21"/>
                <w:highlight w:val="none"/>
              </w:rPr>
            </w:pPr>
            <w:r>
              <w:rPr>
                <w:rFonts w:hint="eastAsia" w:ascii="宋体" w:hAnsi="宋体" w:cs="宋体"/>
                <w:color w:val="auto"/>
                <w:sz w:val="21"/>
                <w:szCs w:val="21"/>
                <w:highlight w:val="none"/>
              </w:rPr>
              <w:t>本工程一旦我单位中标，将实行项目经理负责制，并配备上述项目管理班子。上述填报内容真实，若不真实，愿按有关规定接受处理。项目管理班子机构设置、职责分工等情况另附资料说明。</w:t>
            </w:r>
          </w:p>
        </w:tc>
      </w:tr>
    </w:tbl>
    <w:p>
      <w:pPr>
        <w:tabs>
          <w:tab w:val="left" w:pos="720"/>
        </w:tabs>
        <w:spacing w:line="360" w:lineRule="auto"/>
        <w:rPr>
          <w:rFonts w:ascii="宋体" w:cs="宋体"/>
          <w:color w:val="auto"/>
          <w:sz w:val="24"/>
          <w:szCs w:val="24"/>
          <w:highlight w:val="none"/>
        </w:rPr>
        <w:sectPr>
          <w:pgSz w:w="11900" w:h="16838"/>
          <w:pgMar w:top="1440" w:right="1440" w:bottom="158" w:left="1440" w:header="567" w:footer="567" w:gutter="0"/>
          <w:cols w:equalWidth="0" w:num="1">
            <w:col w:w="9026"/>
          </w:cols>
        </w:sectPr>
      </w:pPr>
    </w:p>
    <w:p>
      <w:pPr>
        <w:tabs>
          <w:tab w:val="left" w:pos="720"/>
        </w:tabs>
        <w:spacing w:line="360" w:lineRule="auto"/>
        <w:rPr>
          <w:rFonts w:ascii="宋体" w:cs="宋体"/>
          <w:b/>
          <w:color w:val="auto"/>
          <w:sz w:val="24"/>
          <w:szCs w:val="24"/>
          <w:highlight w:val="none"/>
        </w:rPr>
      </w:pPr>
      <w:bookmarkStart w:id="215" w:name="_Toc19415_WPSOffice_Level2"/>
      <w:bookmarkStart w:id="216" w:name="_Toc9230_WPSOffice_Level2"/>
      <w:bookmarkStart w:id="217" w:name="_Toc22932_WPSOffice_Level2"/>
      <w:r>
        <w:rPr>
          <w:rFonts w:hint="eastAsia" w:ascii="宋体" w:hAnsi="宋体" w:cs="宋体"/>
          <w:b/>
          <w:color w:val="auto"/>
          <w:sz w:val="24"/>
          <w:szCs w:val="24"/>
          <w:highlight w:val="none"/>
        </w:rPr>
        <w:t>附表四、项目经理简历表</w:t>
      </w:r>
      <w:bookmarkEnd w:id="215"/>
      <w:bookmarkEnd w:id="216"/>
      <w:bookmarkEnd w:id="217"/>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姓名</w:t>
            </w:r>
          </w:p>
        </w:tc>
        <w:tc>
          <w:tcPr>
            <w:tcW w:w="1480" w:type="dxa"/>
            <w:vAlign w:val="center"/>
          </w:tcPr>
          <w:p>
            <w:pPr>
              <w:spacing w:line="240" w:lineRule="atLeast"/>
              <w:jc w:val="center"/>
              <w:rPr>
                <w:rFonts w:ascii="宋体" w:cs="宋体"/>
                <w:color w:val="auto"/>
                <w:sz w:val="21"/>
                <w:szCs w:val="21"/>
                <w:highlight w:val="none"/>
              </w:rPr>
            </w:pPr>
          </w:p>
        </w:tc>
        <w:tc>
          <w:tcPr>
            <w:tcW w:w="1480"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性别</w:t>
            </w:r>
          </w:p>
        </w:tc>
        <w:tc>
          <w:tcPr>
            <w:tcW w:w="1608" w:type="dxa"/>
            <w:vAlign w:val="center"/>
          </w:tcPr>
          <w:p>
            <w:pPr>
              <w:spacing w:line="240" w:lineRule="atLeast"/>
              <w:jc w:val="center"/>
              <w:rPr>
                <w:rFonts w:ascii="宋体" w:cs="宋体"/>
                <w:color w:val="auto"/>
                <w:sz w:val="21"/>
                <w:szCs w:val="21"/>
                <w:highlight w:val="none"/>
              </w:rPr>
            </w:pPr>
          </w:p>
        </w:tc>
        <w:tc>
          <w:tcPr>
            <w:tcW w:w="1481"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年龄</w:t>
            </w:r>
          </w:p>
        </w:tc>
        <w:tc>
          <w:tcPr>
            <w:tcW w:w="1481" w:type="dxa"/>
            <w:vAlign w:val="center"/>
          </w:tcPr>
          <w:p>
            <w:pPr>
              <w:spacing w:line="240" w:lineRule="atLeas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职务</w:t>
            </w:r>
          </w:p>
        </w:tc>
        <w:tc>
          <w:tcPr>
            <w:tcW w:w="1480" w:type="dxa"/>
            <w:vAlign w:val="center"/>
          </w:tcPr>
          <w:p>
            <w:pPr>
              <w:spacing w:line="240" w:lineRule="atLeast"/>
              <w:jc w:val="center"/>
              <w:rPr>
                <w:rFonts w:ascii="宋体" w:cs="宋体"/>
                <w:color w:val="auto"/>
                <w:sz w:val="21"/>
                <w:szCs w:val="21"/>
                <w:highlight w:val="none"/>
              </w:rPr>
            </w:pPr>
          </w:p>
        </w:tc>
        <w:tc>
          <w:tcPr>
            <w:tcW w:w="1480"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职称</w:t>
            </w:r>
          </w:p>
        </w:tc>
        <w:tc>
          <w:tcPr>
            <w:tcW w:w="1608" w:type="dxa"/>
            <w:vAlign w:val="center"/>
          </w:tcPr>
          <w:p>
            <w:pPr>
              <w:spacing w:line="240" w:lineRule="atLeast"/>
              <w:jc w:val="center"/>
              <w:rPr>
                <w:rFonts w:ascii="宋体" w:cs="宋体"/>
                <w:color w:val="auto"/>
                <w:sz w:val="21"/>
                <w:szCs w:val="21"/>
                <w:highlight w:val="none"/>
              </w:rPr>
            </w:pPr>
          </w:p>
        </w:tc>
        <w:tc>
          <w:tcPr>
            <w:tcW w:w="1481"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学历</w:t>
            </w:r>
          </w:p>
        </w:tc>
        <w:tc>
          <w:tcPr>
            <w:tcW w:w="1481" w:type="dxa"/>
            <w:vAlign w:val="center"/>
          </w:tcPr>
          <w:p>
            <w:pPr>
              <w:spacing w:line="240" w:lineRule="atLeas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参加工作时间</w:t>
            </w:r>
          </w:p>
        </w:tc>
        <w:tc>
          <w:tcPr>
            <w:tcW w:w="1480" w:type="dxa"/>
            <w:vAlign w:val="center"/>
          </w:tcPr>
          <w:p>
            <w:pPr>
              <w:spacing w:line="240" w:lineRule="atLeast"/>
              <w:jc w:val="center"/>
              <w:rPr>
                <w:rFonts w:ascii="宋体" w:cs="宋体"/>
                <w:color w:val="auto"/>
                <w:sz w:val="21"/>
                <w:szCs w:val="21"/>
                <w:highlight w:val="none"/>
              </w:rPr>
            </w:pPr>
          </w:p>
        </w:tc>
        <w:tc>
          <w:tcPr>
            <w:tcW w:w="3089" w:type="dxa"/>
            <w:gridSpan w:val="2"/>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从事项目经理年限</w:t>
            </w:r>
          </w:p>
        </w:tc>
        <w:tc>
          <w:tcPr>
            <w:tcW w:w="1481" w:type="dxa"/>
            <w:vAlign w:val="center"/>
          </w:tcPr>
          <w:p>
            <w:pPr>
              <w:spacing w:line="240" w:lineRule="atLeas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960" w:type="dxa"/>
            <w:gridSpan w:val="2"/>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项目经理资格证书编号</w:t>
            </w:r>
          </w:p>
        </w:tc>
        <w:tc>
          <w:tcPr>
            <w:tcW w:w="6050" w:type="dxa"/>
            <w:gridSpan w:val="4"/>
            <w:vAlign w:val="center"/>
          </w:tcPr>
          <w:p>
            <w:pPr>
              <w:spacing w:line="240" w:lineRule="atLeas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10" w:type="dxa"/>
            <w:gridSpan w:val="6"/>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80"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建设单位</w:t>
            </w:r>
          </w:p>
        </w:tc>
        <w:tc>
          <w:tcPr>
            <w:tcW w:w="1480"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项目名称</w:t>
            </w:r>
          </w:p>
        </w:tc>
        <w:tc>
          <w:tcPr>
            <w:tcW w:w="1480"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建设规模</w:t>
            </w:r>
          </w:p>
        </w:tc>
        <w:tc>
          <w:tcPr>
            <w:tcW w:w="1608"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开、竣工日期</w:t>
            </w:r>
          </w:p>
        </w:tc>
        <w:tc>
          <w:tcPr>
            <w:tcW w:w="1481"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在建或已完</w:t>
            </w:r>
          </w:p>
        </w:tc>
        <w:tc>
          <w:tcPr>
            <w:tcW w:w="1481" w:type="dxa"/>
            <w:vAlign w:val="center"/>
          </w:tcPr>
          <w:p>
            <w:pPr>
              <w:spacing w:line="240" w:lineRule="atLeast"/>
              <w:jc w:val="center"/>
              <w:rPr>
                <w:rFonts w:ascii="宋体" w:cs="宋体"/>
                <w:color w:val="auto"/>
                <w:sz w:val="21"/>
                <w:szCs w:val="21"/>
                <w:highlight w:val="none"/>
              </w:rPr>
            </w:pPr>
            <w:r>
              <w:rPr>
                <w:rFonts w:hint="eastAsia" w:ascii="宋体" w:hAnsi="宋体" w:cs="宋体"/>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608"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608"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608"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608"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r>
    </w:tbl>
    <w:p>
      <w:pPr>
        <w:spacing w:line="360" w:lineRule="auto"/>
        <w:rPr>
          <w:rFonts w:ascii="宋体" w:cs="宋体"/>
          <w:color w:val="auto"/>
          <w:sz w:val="24"/>
          <w:szCs w:val="28"/>
          <w:highlight w:val="none"/>
        </w:rPr>
      </w:pPr>
      <w:r>
        <w:rPr>
          <w:rFonts w:hint="eastAsia" w:ascii="宋体" w:hAnsi="宋体" w:cs="宋体"/>
          <w:color w:val="auto"/>
          <w:sz w:val="24"/>
          <w:szCs w:val="28"/>
          <w:highlight w:val="none"/>
        </w:rPr>
        <w:t>备注：后附项目经理注册证书、</w:t>
      </w:r>
      <w:r>
        <w:rPr>
          <w:rFonts w:ascii="宋体" w:hAnsi="宋体" w:cs="宋体"/>
          <w:color w:val="auto"/>
          <w:sz w:val="24"/>
          <w:szCs w:val="28"/>
          <w:highlight w:val="none"/>
        </w:rPr>
        <w:t>B</w:t>
      </w:r>
      <w:r>
        <w:rPr>
          <w:rFonts w:hint="eastAsia" w:ascii="宋体" w:hAnsi="宋体" w:cs="宋体"/>
          <w:color w:val="auto"/>
          <w:sz w:val="24"/>
          <w:szCs w:val="28"/>
          <w:highlight w:val="none"/>
        </w:rPr>
        <w:t>证、职称证、业绩等</w:t>
      </w:r>
    </w:p>
    <w:p>
      <w:pPr>
        <w:tabs>
          <w:tab w:val="left" w:pos="720"/>
        </w:tabs>
        <w:spacing w:line="360" w:lineRule="auto"/>
        <w:rPr>
          <w:rFonts w:ascii="宋体" w:cs="宋体"/>
          <w:color w:val="auto"/>
          <w:sz w:val="24"/>
          <w:szCs w:val="24"/>
          <w:highlight w:val="none"/>
        </w:rPr>
      </w:pPr>
    </w:p>
    <w:p>
      <w:pPr>
        <w:tabs>
          <w:tab w:val="left" w:pos="720"/>
        </w:tabs>
        <w:spacing w:line="360" w:lineRule="auto"/>
        <w:rPr>
          <w:rFonts w:ascii="宋体" w:cs="宋体"/>
          <w:b/>
          <w:color w:val="auto"/>
          <w:sz w:val="24"/>
          <w:szCs w:val="24"/>
          <w:highlight w:val="none"/>
        </w:rPr>
      </w:pPr>
      <w:bookmarkStart w:id="218" w:name="_Toc2242_WPSOffice_Level2"/>
      <w:bookmarkStart w:id="219" w:name="_Toc18370_WPSOffice_Level2"/>
      <w:bookmarkStart w:id="220" w:name="_Toc28183_WPSOffice_Level2"/>
      <w:r>
        <w:rPr>
          <w:rFonts w:hint="eastAsia" w:ascii="宋体" w:hAnsi="宋体" w:cs="宋体"/>
          <w:b/>
          <w:color w:val="auto"/>
          <w:sz w:val="24"/>
          <w:szCs w:val="24"/>
          <w:highlight w:val="none"/>
        </w:rPr>
        <w:t>附表五、技术负责人简历表</w:t>
      </w:r>
      <w:bookmarkEnd w:id="218"/>
      <w:bookmarkEnd w:id="219"/>
      <w:bookmarkEnd w:id="220"/>
    </w:p>
    <w:tbl>
      <w:tblPr>
        <w:tblStyle w:val="19"/>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姓名</w:t>
            </w:r>
          </w:p>
        </w:tc>
        <w:tc>
          <w:tcPr>
            <w:tcW w:w="1480" w:type="dxa"/>
            <w:vAlign w:val="center"/>
          </w:tcPr>
          <w:p>
            <w:pPr>
              <w:spacing w:line="240" w:lineRule="exact"/>
              <w:jc w:val="center"/>
              <w:rPr>
                <w:rFonts w:ascii="宋体" w:cs="宋体"/>
                <w:color w:val="auto"/>
                <w:sz w:val="21"/>
                <w:szCs w:val="21"/>
                <w:highlight w:val="none"/>
              </w:rPr>
            </w:pPr>
          </w:p>
        </w:tc>
        <w:tc>
          <w:tcPr>
            <w:tcW w:w="1480"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性别</w:t>
            </w:r>
          </w:p>
        </w:tc>
        <w:tc>
          <w:tcPr>
            <w:tcW w:w="1608" w:type="dxa"/>
            <w:vAlign w:val="center"/>
          </w:tcPr>
          <w:p>
            <w:pPr>
              <w:spacing w:line="240" w:lineRule="exact"/>
              <w:jc w:val="center"/>
              <w:rPr>
                <w:rFonts w:ascii="宋体" w:cs="宋体"/>
                <w:color w:val="auto"/>
                <w:sz w:val="21"/>
                <w:szCs w:val="21"/>
                <w:highlight w:val="none"/>
              </w:rPr>
            </w:pPr>
          </w:p>
        </w:tc>
        <w:tc>
          <w:tcPr>
            <w:tcW w:w="1481"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年龄</w:t>
            </w:r>
          </w:p>
        </w:tc>
        <w:tc>
          <w:tcPr>
            <w:tcW w:w="1481" w:type="dxa"/>
            <w:vAlign w:val="center"/>
          </w:tcPr>
          <w:p>
            <w:pPr>
              <w:spacing w:line="24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职务</w:t>
            </w:r>
          </w:p>
        </w:tc>
        <w:tc>
          <w:tcPr>
            <w:tcW w:w="1480" w:type="dxa"/>
            <w:vAlign w:val="center"/>
          </w:tcPr>
          <w:p>
            <w:pPr>
              <w:spacing w:line="240" w:lineRule="exact"/>
              <w:jc w:val="center"/>
              <w:rPr>
                <w:rFonts w:ascii="宋体" w:cs="宋体"/>
                <w:color w:val="auto"/>
                <w:sz w:val="21"/>
                <w:szCs w:val="21"/>
                <w:highlight w:val="none"/>
              </w:rPr>
            </w:pPr>
          </w:p>
        </w:tc>
        <w:tc>
          <w:tcPr>
            <w:tcW w:w="1480"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职称</w:t>
            </w:r>
          </w:p>
        </w:tc>
        <w:tc>
          <w:tcPr>
            <w:tcW w:w="1608" w:type="dxa"/>
            <w:vAlign w:val="center"/>
          </w:tcPr>
          <w:p>
            <w:pPr>
              <w:spacing w:line="240" w:lineRule="exact"/>
              <w:jc w:val="center"/>
              <w:rPr>
                <w:rFonts w:ascii="宋体" w:cs="宋体"/>
                <w:color w:val="auto"/>
                <w:sz w:val="21"/>
                <w:szCs w:val="21"/>
                <w:highlight w:val="none"/>
              </w:rPr>
            </w:pPr>
          </w:p>
        </w:tc>
        <w:tc>
          <w:tcPr>
            <w:tcW w:w="1481"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学历</w:t>
            </w:r>
          </w:p>
        </w:tc>
        <w:tc>
          <w:tcPr>
            <w:tcW w:w="1481" w:type="dxa"/>
            <w:vAlign w:val="center"/>
          </w:tcPr>
          <w:p>
            <w:pPr>
              <w:spacing w:line="24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参加工作时间</w:t>
            </w:r>
          </w:p>
        </w:tc>
        <w:tc>
          <w:tcPr>
            <w:tcW w:w="1480" w:type="dxa"/>
            <w:vAlign w:val="center"/>
          </w:tcPr>
          <w:p>
            <w:pPr>
              <w:spacing w:line="240" w:lineRule="exact"/>
              <w:jc w:val="center"/>
              <w:rPr>
                <w:rFonts w:ascii="宋体" w:cs="宋体"/>
                <w:color w:val="auto"/>
                <w:sz w:val="21"/>
                <w:szCs w:val="21"/>
                <w:highlight w:val="none"/>
              </w:rPr>
            </w:pPr>
          </w:p>
        </w:tc>
        <w:tc>
          <w:tcPr>
            <w:tcW w:w="3089" w:type="dxa"/>
            <w:gridSpan w:val="2"/>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从事技术负责人年限</w:t>
            </w:r>
          </w:p>
        </w:tc>
        <w:tc>
          <w:tcPr>
            <w:tcW w:w="1481" w:type="dxa"/>
            <w:vAlign w:val="center"/>
          </w:tcPr>
          <w:p>
            <w:pPr>
              <w:spacing w:line="24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960" w:type="dxa"/>
            <w:gridSpan w:val="2"/>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资格证书名称及编号</w:t>
            </w:r>
          </w:p>
        </w:tc>
        <w:tc>
          <w:tcPr>
            <w:tcW w:w="6050" w:type="dxa"/>
            <w:gridSpan w:val="4"/>
            <w:vAlign w:val="center"/>
          </w:tcPr>
          <w:p>
            <w:pPr>
              <w:spacing w:line="240" w:lineRule="exact"/>
              <w:jc w:val="center"/>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10" w:type="dxa"/>
            <w:gridSpan w:val="6"/>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80"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建设单位</w:t>
            </w:r>
          </w:p>
        </w:tc>
        <w:tc>
          <w:tcPr>
            <w:tcW w:w="1480"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项目名称</w:t>
            </w:r>
          </w:p>
        </w:tc>
        <w:tc>
          <w:tcPr>
            <w:tcW w:w="1480"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建设规模</w:t>
            </w:r>
          </w:p>
        </w:tc>
        <w:tc>
          <w:tcPr>
            <w:tcW w:w="1608"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开、竣工日期</w:t>
            </w:r>
          </w:p>
        </w:tc>
        <w:tc>
          <w:tcPr>
            <w:tcW w:w="1481"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在建或已完</w:t>
            </w:r>
          </w:p>
        </w:tc>
        <w:tc>
          <w:tcPr>
            <w:tcW w:w="1481" w:type="dxa"/>
            <w:vAlign w:val="center"/>
          </w:tcPr>
          <w:p>
            <w:pPr>
              <w:spacing w:line="240" w:lineRule="exact"/>
              <w:jc w:val="center"/>
              <w:rPr>
                <w:rFonts w:ascii="宋体" w:cs="宋体"/>
                <w:color w:val="auto"/>
                <w:sz w:val="21"/>
                <w:szCs w:val="21"/>
                <w:highlight w:val="none"/>
              </w:rPr>
            </w:pPr>
            <w:r>
              <w:rPr>
                <w:rFonts w:hint="eastAsia" w:ascii="宋体" w:hAnsi="宋体" w:cs="宋体"/>
                <w:color w:val="auto"/>
                <w:sz w:val="21"/>
                <w:szCs w:val="2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608"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608"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480" w:type="dxa"/>
          </w:tcPr>
          <w:p>
            <w:pPr>
              <w:spacing w:line="360" w:lineRule="auto"/>
              <w:rPr>
                <w:rFonts w:ascii="宋体" w:cs="宋体"/>
                <w:color w:val="auto"/>
                <w:sz w:val="21"/>
                <w:szCs w:val="21"/>
                <w:highlight w:val="none"/>
              </w:rPr>
            </w:pPr>
          </w:p>
        </w:tc>
        <w:tc>
          <w:tcPr>
            <w:tcW w:w="1608"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c>
          <w:tcPr>
            <w:tcW w:w="1481" w:type="dxa"/>
          </w:tcPr>
          <w:p>
            <w:pPr>
              <w:spacing w:line="360" w:lineRule="auto"/>
              <w:rPr>
                <w:rFonts w:ascii="宋体" w:cs="宋体"/>
                <w:color w:val="auto"/>
                <w:sz w:val="21"/>
                <w:szCs w:val="21"/>
                <w:highlight w:val="none"/>
              </w:rPr>
            </w:pPr>
          </w:p>
        </w:tc>
      </w:tr>
    </w:tbl>
    <w:p>
      <w:pPr>
        <w:spacing w:line="360" w:lineRule="auto"/>
        <w:jc w:val="center"/>
        <w:rPr>
          <w:rFonts w:ascii="宋体" w:cs="宋体"/>
          <w:b/>
          <w:bCs/>
          <w:color w:val="auto"/>
          <w:szCs w:val="28"/>
          <w:highlight w:val="none"/>
        </w:rPr>
      </w:pPr>
    </w:p>
    <w:p>
      <w:pPr>
        <w:spacing w:line="360" w:lineRule="auto"/>
        <w:jc w:val="center"/>
        <w:rPr>
          <w:rFonts w:ascii="宋体" w:cs="宋体"/>
          <w:b/>
          <w:bCs/>
          <w:color w:val="auto"/>
          <w:szCs w:val="28"/>
          <w:highlight w:val="none"/>
        </w:rPr>
      </w:pPr>
    </w:p>
    <w:p>
      <w:pPr>
        <w:tabs>
          <w:tab w:val="left" w:pos="720"/>
        </w:tabs>
        <w:spacing w:line="360" w:lineRule="auto"/>
        <w:rPr>
          <w:rFonts w:ascii="宋体" w:cs="宋体"/>
          <w:b/>
          <w:color w:val="auto"/>
          <w:sz w:val="24"/>
          <w:szCs w:val="24"/>
          <w:highlight w:val="none"/>
        </w:rPr>
        <w:sectPr>
          <w:pgSz w:w="11900" w:h="16838"/>
          <w:pgMar w:top="1440" w:right="1440" w:bottom="158" w:left="1440" w:header="567" w:footer="567" w:gutter="0"/>
          <w:cols w:equalWidth="0" w:num="1">
            <w:col w:w="9026"/>
          </w:cols>
        </w:sectPr>
      </w:pPr>
      <w:bookmarkStart w:id="221" w:name="_Toc179632819"/>
      <w:bookmarkStart w:id="222" w:name="_Toc144974867"/>
      <w:bookmarkStart w:id="223" w:name="_Toc152042588"/>
      <w:bookmarkStart w:id="224" w:name="_Toc28662_WPSOffice_Level2"/>
      <w:bookmarkStart w:id="225" w:name="_Toc246392157"/>
      <w:bookmarkStart w:id="226" w:name="_Toc152045799"/>
    </w:p>
    <w:p>
      <w:pPr>
        <w:tabs>
          <w:tab w:val="left" w:pos="720"/>
        </w:tabs>
        <w:spacing w:line="360" w:lineRule="auto"/>
        <w:rPr>
          <w:rFonts w:ascii="宋体" w:cs="宋体"/>
          <w:b/>
          <w:color w:val="auto"/>
          <w:sz w:val="24"/>
          <w:szCs w:val="24"/>
          <w:highlight w:val="none"/>
        </w:rPr>
      </w:pPr>
      <w:bookmarkStart w:id="227" w:name="_Toc24589_WPSOffice_Level2"/>
      <w:bookmarkStart w:id="228" w:name="_Toc17278_WPSOffice_Level2"/>
      <w:r>
        <w:rPr>
          <w:rFonts w:hint="eastAsia" w:ascii="宋体" w:hAnsi="宋体" w:cs="宋体"/>
          <w:b/>
          <w:color w:val="auto"/>
          <w:sz w:val="24"/>
          <w:szCs w:val="24"/>
          <w:highlight w:val="none"/>
        </w:rPr>
        <w:t>附表六：劳动力计划表</w:t>
      </w:r>
      <w:bookmarkEnd w:id="221"/>
      <w:bookmarkEnd w:id="222"/>
      <w:bookmarkEnd w:id="223"/>
      <w:bookmarkEnd w:id="224"/>
      <w:bookmarkEnd w:id="225"/>
      <w:bookmarkEnd w:id="226"/>
      <w:bookmarkEnd w:id="227"/>
      <w:bookmarkEnd w:id="228"/>
    </w:p>
    <w:p>
      <w:pPr>
        <w:spacing w:line="440" w:lineRule="exact"/>
        <w:ind w:right="410"/>
        <w:jc w:val="center"/>
        <w:rPr>
          <w:rFonts w:ascii="宋体" w:cs="宋体"/>
          <w:color w:val="auto"/>
          <w:sz w:val="24"/>
          <w:szCs w:val="24"/>
          <w:highlight w:val="none"/>
        </w:rPr>
      </w:pPr>
      <w:r>
        <w:rPr>
          <w:rFonts w:ascii="宋体" w:hAnsi="宋体" w:cs="宋体"/>
          <w:color w:val="auto"/>
          <w:sz w:val="24"/>
          <w:szCs w:val="24"/>
          <w:highlight w:val="none"/>
        </w:rPr>
        <w:t xml:space="preserve">                                                       </w:t>
      </w:r>
      <w:bookmarkStart w:id="229" w:name="_Toc13766_WPSOffice_Level2"/>
      <w:bookmarkStart w:id="230" w:name="_Toc10130_WPSOffice_Level2"/>
      <w:bookmarkStart w:id="231" w:name="_Toc3046_WPSOffice_Level2"/>
      <w:r>
        <w:rPr>
          <w:rFonts w:hint="eastAsia" w:ascii="宋体" w:hAnsi="宋体" w:cs="宋体"/>
          <w:color w:val="auto"/>
          <w:sz w:val="24"/>
          <w:szCs w:val="24"/>
          <w:highlight w:val="none"/>
        </w:rPr>
        <w:t>单位：人</w:t>
      </w:r>
      <w:bookmarkEnd w:id="229"/>
      <w:bookmarkEnd w:id="230"/>
      <w:bookmarkEnd w:id="231"/>
    </w:p>
    <w:tbl>
      <w:tblPr>
        <w:tblStyle w:val="1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49"/>
        <w:gridCol w:w="1234"/>
        <w:gridCol w:w="1234"/>
        <w:gridCol w:w="953"/>
        <w:gridCol w:w="1234"/>
        <w:gridCol w:w="1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cs="宋体"/>
                <w:color w:val="auto"/>
                <w:szCs w:val="21"/>
                <w:highlight w:val="none"/>
              </w:rPr>
            </w:pPr>
            <w:r>
              <w:rPr>
                <w:rFonts w:hint="eastAsia" w:ascii="宋体" w:hAnsi="宋体" w:cs="宋体"/>
                <w:color w:val="auto"/>
                <w:szCs w:val="21"/>
                <w:highlight w:val="none"/>
              </w:rPr>
              <w:t>工种</w:t>
            </w:r>
          </w:p>
        </w:tc>
        <w:tc>
          <w:tcPr>
            <w:tcW w:w="8061" w:type="dxa"/>
            <w:gridSpan w:val="7"/>
            <w:vAlign w:val="center"/>
          </w:tcPr>
          <w:p>
            <w:pPr>
              <w:spacing w:line="440" w:lineRule="exact"/>
              <w:jc w:val="center"/>
              <w:rPr>
                <w:rFonts w:ascii="宋体" w:cs="宋体"/>
                <w:color w:val="auto"/>
                <w:szCs w:val="21"/>
                <w:highlight w:val="none"/>
              </w:rPr>
            </w:pPr>
            <w:r>
              <w:rPr>
                <w:rFonts w:hint="eastAsia" w:ascii="宋体" w:hAnsi="宋体" w:cs="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cs="宋体"/>
                <w:color w:val="auto"/>
                <w:szCs w:val="21"/>
                <w:highlight w:val="none"/>
              </w:rPr>
            </w:pPr>
          </w:p>
        </w:tc>
        <w:tc>
          <w:tcPr>
            <w:tcW w:w="949" w:type="dxa"/>
            <w:vAlign w:val="center"/>
          </w:tcPr>
          <w:p>
            <w:pPr>
              <w:spacing w:line="440" w:lineRule="exact"/>
              <w:jc w:val="center"/>
              <w:rPr>
                <w:rFonts w:ascii="宋体" w:cs="宋体"/>
                <w:color w:val="auto"/>
                <w:szCs w:val="21"/>
                <w:highlight w:val="none"/>
              </w:rPr>
            </w:pPr>
          </w:p>
        </w:tc>
        <w:tc>
          <w:tcPr>
            <w:tcW w:w="1234" w:type="dxa"/>
            <w:vAlign w:val="center"/>
          </w:tcPr>
          <w:p>
            <w:pPr>
              <w:spacing w:line="440" w:lineRule="exact"/>
              <w:jc w:val="center"/>
              <w:rPr>
                <w:rFonts w:ascii="宋体" w:cs="宋体"/>
                <w:color w:val="auto"/>
                <w:szCs w:val="21"/>
                <w:highlight w:val="none"/>
              </w:rPr>
            </w:pPr>
          </w:p>
        </w:tc>
        <w:tc>
          <w:tcPr>
            <w:tcW w:w="1234" w:type="dxa"/>
            <w:vAlign w:val="center"/>
          </w:tcPr>
          <w:p>
            <w:pPr>
              <w:spacing w:line="440" w:lineRule="exact"/>
              <w:jc w:val="center"/>
              <w:rPr>
                <w:rFonts w:ascii="宋体" w:cs="宋体"/>
                <w:color w:val="auto"/>
                <w:szCs w:val="21"/>
                <w:highlight w:val="none"/>
              </w:rPr>
            </w:pPr>
          </w:p>
        </w:tc>
        <w:tc>
          <w:tcPr>
            <w:tcW w:w="953" w:type="dxa"/>
            <w:vAlign w:val="center"/>
          </w:tcPr>
          <w:p>
            <w:pPr>
              <w:spacing w:line="440" w:lineRule="exact"/>
              <w:jc w:val="center"/>
              <w:rPr>
                <w:rFonts w:ascii="宋体" w:cs="宋体"/>
                <w:color w:val="auto"/>
                <w:szCs w:val="21"/>
                <w:highlight w:val="none"/>
              </w:rPr>
            </w:pPr>
          </w:p>
        </w:tc>
        <w:tc>
          <w:tcPr>
            <w:tcW w:w="1234" w:type="dxa"/>
            <w:vAlign w:val="center"/>
          </w:tcPr>
          <w:p>
            <w:pPr>
              <w:spacing w:line="440" w:lineRule="exact"/>
              <w:jc w:val="center"/>
              <w:rPr>
                <w:rFonts w:ascii="宋体" w:cs="宋体"/>
                <w:color w:val="auto"/>
                <w:szCs w:val="21"/>
                <w:highlight w:val="none"/>
              </w:rPr>
            </w:pPr>
          </w:p>
        </w:tc>
        <w:tc>
          <w:tcPr>
            <w:tcW w:w="1234" w:type="dxa"/>
            <w:vAlign w:val="center"/>
          </w:tcPr>
          <w:p>
            <w:pPr>
              <w:spacing w:line="440" w:lineRule="exact"/>
              <w:jc w:val="center"/>
              <w:rPr>
                <w:rFonts w:ascii="宋体" w:cs="宋体"/>
                <w:color w:val="auto"/>
                <w:szCs w:val="21"/>
                <w:highlight w:val="none"/>
              </w:rPr>
            </w:pPr>
          </w:p>
        </w:tc>
        <w:tc>
          <w:tcPr>
            <w:tcW w:w="1223" w:type="dxa"/>
            <w:vAlign w:val="center"/>
          </w:tcPr>
          <w:p>
            <w:pPr>
              <w:spacing w:line="440" w:lineRule="exact"/>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vAlign w:val="center"/>
          </w:tcPr>
          <w:p>
            <w:pPr>
              <w:spacing w:line="440" w:lineRule="exact"/>
              <w:jc w:val="center"/>
              <w:rPr>
                <w:rFonts w:ascii="宋体" w:cs="宋体"/>
                <w:color w:val="auto"/>
                <w:szCs w:val="21"/>
                <w:highlight w:val="none"/>
              </w:rPr>
            </w:pPr>
          </w:p>
        </w:tc>
        <w:tc>
          <w:tcPr>
            <w:tcW w:w="949" w:type="dxa"/>
            <w:vAlign w:val="center"/>
          </w:tcPr>
          <w:p>
            <w:pPr>
              <w:spacing w:line="440" w:lineRule="exact"/>
              <w:jc w:val="center"/>
              <w:rPr>
                <w:rFonts w:ascii="宋体" w:cs="宋体"/>
                <w:color w:val="auto"/>
                <w:szCs w:val="21"/>
                <w:highlight w:val="none"/>
              </w:rPr>
            </w:pPr>
          </w:p>
        </w:tc>
        <w:tc>
          <w:tcPr>
            <w:tcW w:w="1234" w:type="dxa"/>
            <w:vAlign w:val="center"/>
          </w:tcPr>
          <w:p>
            <w:pPr>
              <w:spacing w:line="440" w:lineRule="exact"/>
              <w:jc w:val="center"/>
              <w:rPr>
                <w:rFonts w:ascii="宋体" w:cs="宋体"/>
                <w:color w:val="auto"/>
                <w:szCs w:val="21"/>
                <w:highlight w:val="none"/>
              </w:rPr>
            </w:pPr>
          </w:p>
        </w:tc>
        <w:tc>
          <w:tcPr>
            <w:tcW w:w="1234" w:type="dxa"/>
            <w:vAlign w:val="center"/>
          </w:tcPr>
          <w:p>
            <w:pPr>
              <w:spacing w:line="440" w:lineRule="exact"/>
              <w:jc w:val="center"/>
              <w:rPr>
                <w:rFonts w:ascii="宋体" w:cs="宋体"/>
                <w:color w:val="auto"/>
                <w:szCs w:val="21"/>
                <w:highlight w:val="none"/>
              </w:rPr>
            </w:pPr>
          </w:p>
        </w:tc>
        <w:tc>
          <w:tcPr>
            <w:tcW w:w="953" w:type="dxa"/>
            <w:vAlign w:val="center"/>
          </w:tcPr>
          <w:p>
            <w:pPr>
              <w:spacing w:line="440" w:lineRule="exact"/>
              <w:jc w:val="center"/>
              <w:rPr>
                <w:rFonts w:ascii="宋体" w:cs="宋体"/>
                <w:color w:val="auto"/>
                <w:szCs w:val="21"/>
                <w:highlight w:val="none"/>
              </w:rPr>
            </w:pPr>
          </w:p>
        </w:tc>
        <w:tc>
          <w:tcPr>
            <w:tcW w:w="1234" w:type="dxa"/>
            <w:vAlign w:val="center"/>
          </w:tcPr>
          <w:p>
            <w:pPr>
              <w:spacing w:line="440" w:lineRule="exact"/>
              <w:jc w:val="center"/>
              <w:rPr>
                <w:rFonts w:ascii="宋体" w:cs="宋体"/>
                <w:color w:val="auto"/>
                <w:szCs w:val="21"/>
                <w:highlight w:val="none"/>
              </w:rPr>
            </w:pPr>
          </w:p>
        </w:tc>
        <w:tc>
          <w:tcPr>
            <w:tcW w:w="1234" w:type="dxa"/>
            <w:vAlign w:val="center"/>
          </w:tcPr>
          <w:p>
            <w:pPr>
              <w:spacing w:line="440" w:lineRule="exact"/>
              <w:jc w:val="center"/>
              <w:rPr>
                <w:rFonts w:ascii="宋体" w:cs="宋体"/>
                <w:color w:val="auto"/>
                <w:szCs w:val="21"/>
                <w:highlight w:val="none"/>
              </w:rPr>
            </w:pPr>
          </w:p>
        </w:tc>
        <w:tc>
          <w:tcPr>
            <w:tcW w:w="1223" w:type="dxa"/>
            <w:vAlign w:val="center"/>
          </w:tcPr>
          <w:p>
            <w:pPr>
              <w:spacing w:line="440" w:lineRule="exact"/>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rFonts w:ascii="宋体" w:cs="宋体"/>
                <w:color w:val="auto"/>
                <w:szCs w:val="21"/>
                <w:highlight w:val="none"/>
              </w:rPr>
            </w:pPr>
          </w:p>
        </w:tc>
        <w:tc>
          <w:tcPr>
            <w:tcW w:w="949"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953"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1223" w:type="dxa"/>
          </w:tcPr>
          <w:p>
            <w:pPr>
              <w:spacing w:line="440" w:lineRule="exact"/>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rFonts w:ascii="宋体" w:cs="宋体"/>
                <w:color w:val="auto"/>
                <w:szCs w:val="21"/>
                <w:highlight w:val="none"/>
              </w:rPr>
            </w:pPr>
          </w:p>
        </w:tc>
        <w:tc>
          <w:tcPr>
            <w:tcW w:w="949"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953"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1223" w:type="dxa"/>
          </w:tcPr>
          <w:p>
            <w:pPr>
              <w:spacing w:line="440" w:lineRule="exact"/>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9" w:type="dxa"/>
          </w:tcPr>
          <w:p>
            <w:pPr>
              <w:spacing w:line="440" w:lineRule="exact"/>
              <w:jc w:val="center"/>
              <w:rPr>
                <w:rFonts w:ascii="宋体" w:cs="宋体"/>
                <w:color w:val="auto"/>
                <w:szCs w:val="21"/>
                <w:highlight w:val="none"/>
              </w:rPr>
            </w:pPr>
          </w:p>
        </w:tc>
        <w:tc>
          <w:tcPr>
            <w:tcW w:w="949"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953"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1234" w:type="dxa"/>
          </w:tcPr>
          <w:p>
            <w:pPr>
              <w:spacing w:line="440" w:lineRule="exact"/>
              <w:jc w:val="center"/>
              <w:rPr>
                <w:rFonts w:ascii="宋体" w:cs="宋体"/>
                <w:color w:val="auto"/>
                <w:szCs w:val="21"/>
                <w:highlight w:val="none"/>
              </w:rPr>
            </w:pPr>
          </w:p>
        </w:tc>
        <w:tc>
          <w:tcPr>
            <w:tcW w:w="1223" w:type="dxa"/>
          </w:tcPr>
          <w:p>
            <w:pPr>
              <w:spacing w:line="440" w:lineRule="exact"/>
              <w:jc w:val="center"/>
              <w:rPr>
                <w:rFonts w:ascii="宋体" w:cs="宋体"/>
                <w:color w:val="auto"/>
                <w:szCs w:val="21"/>
                <w:highlight w:val="none"/>
              </w:rPr>
            </w:pPr>
          </w:p>
        </w:tc>
      </w:tr>
    </w:tbl>
    <w:p>
      <w:pPr>
        <w:tabs>
          <w:tab w:val="left" w:pos="720"/>
        </w:tabs>
        <w:spacing w:line="360" w:lineRule="auto"/>
        <w:rPr>
          <w:rFonts w:ascii="宋体" w:cs="宋体"/>
          <w:b/>
          <w:color w:val="auto"/>
          <w:sz w:val="24"/>
          <w:szCs w:val="24"/>
          <w:highlight w:val="none"/>
        </w:rPr>
      </w:pPr>
      <w:bookmarkStart w:id="232" w:name="_Toc152042589"/>
      <w:bookmarkStart w:id="233" w:name="_Toc246392158"/>
      <w:bookmarkStart w:id="234" w:name="_Toc144974868"/>
      <w:bookmarkStart w:id="235" w:name="_Toc152045800"/>
      <w:bookmarkStart w:id="236" w:name="_Toc179632820"/>
    </w:p>
    <w:p>
      <w:pPr>
        <w:tabs>
          <w:tab w:val="left" w:pos="720"/>
        </w:tabs>
        <w:spacing w:line="360" w:lineRule="auto"/>
        <w:rPr>
          <w:rFonts w:ascii="宋体" w:cs="宋体"/>
          <w:b/>
          <w:color w:val="auto"/>
          <w:sz w:val="24"/>
          <w:szCs w:val="24"/>
          <w:highlight w:val="none"/>
        </w:rPr>
      </w:pPr>
    </w:p>
    <w:p>
      <w:pPr>
        <w:tabs>
          <w:tab w:val="left" w:pos="720"/>
        </w:tabs>
        <w:spacing w:line="360" w:lineRule="auto"/>
        <w:rPr>
          <w:rFonts w:ascii="宋体" w:cs="宋体"/>
          <w:b/>
          <w:color w:val="auto"/>
          <w:sz w:val="24"/>
          <w:szCs w:val="24"/>
          <w:highlight w:val="none"/>
        </w:rPr>
      </w:pPr>
      <w:bookmarkStart w:id="237" w:name="_Toc28001_WPSOffice_Level2"/>
      <w:bookmarkStart w:id="238" w:name="_Toc21163_WPSOffice_Level2"/>
      <w:bookmarkStart w:id="239" w:name="_Toc5832_WPSOffice_Level2"/>
      <w:r>
        <w:rPr>
          <w:rFonts w:hint="eastAsia" w:ascii="宋体" w:hAnsi="宋体" w:cs="宋体"/>
          <w:b/>
          <w:color w:val="auto"/>
          <w:sz w:val="24"/>
          <w:szCs w:val="24"/>
          <w:highlight w:val="none"/>
        </w:rPr>
        <w:t>附表七：计划开、竣工日期和施工进度网络图</w:t>
      </w:r>
      <w:bookmarkEnd w:id="232"/>
      <w:bookmarkEnd w:id="233"/>
      <w:bookmarkEnd w:id="234"/>
      <w:bookmarkEnd w:id="235"/>
      <w:bookmarkEnd w:id="236"/>
      <w:bookmarkEnd w:id="237"/>
      <w:bookmarkEnd w:id="238"/>
      <w:bookmarkEnd w:id="239"/>
    </w:p>
    <w:p>
      <w:pPr>
        <w:spacing w:line="360" w:lineRule="auto"/>
        <w:rPr>
          <w:rFonts w:ascii="宋体" w:cs="宋体"/>
          <w:color w:val="auto"/>
          <w:sz w:val="21"/>
          <w:szCs w:val="21"/>
          <w:highlight w:val="none"/>
        </w:rPr>
      </w:pPr>
      <w:r>
        <w:rPr>
          <w:rFonts w:ascii="宋体" w:hAnsi="宋体" w:cs="宋体"/>
          <w:color w:val="auto"/>
          <w:sz w:val="21"/>
          <w:szCs w:val="21"/>
          <w:highlight w:val="none"/>
        </w:rPr>
        <w:t xml:space="preserve">1. </w:t>
      </w:r>
      <w:r>
        <w:rPr>
          <w:rFonts w:hint="eastAsia" w:ascii="宋体" w:hAnsi="宋体" w:cs="宋体"/>
          <w:color w:val="auto"/>
          <w:sz w:val="21"/>
          <w:szCs w:val="21"/>
          <w:highlight w:val="none"/>
        </w:rPr>
        <w:t>投标人应递交施工进度网络图或施工进度表，说明按招标文件要求的计划工期进行施工的各个关键日期。</w:t>
      </w:r>
    </w:p>
    <w:p>
      <w:pPr>
        <w:spacing w:line="360" w:lineRule="auto"/>
        <w:rPr>
          <w:rFonts w:ascii="宋体" w:cs="宋体"/>
          <w:color w:val="auto"/>
          <w:sz w:val="20"/>
          <w:szCs w:val="20"/>
          <w:highlight w:val="none"/>
        </w:rPr>
      </w:pPr>
      <w:r>
        <w:rPr>
          <w:rFonts w:ascii="宋体" w:hAnsi="宋体" w:cs="宋体"/>
          <w:color w:val="auto"/>
          <w:sz w:val="21"/>
          <w:szCs w:val="21"/>
          <w:highlight w:val="none"/>
        </w:rPr>
        <w:t xml:space="preserve">2. </w:t>
      </w:r>
      <w:r>
        <w:rPr>
          <w:rFonts w:hint="eastAsia" w:ascii="宋体" w:hAnsi="宋体" w:cs="宋体"/>
          <w:color w:val="auto"/>
          <w:sz w:val="21"/>
          <w:szCs w:val="21"/>
          <w:highlight w:val="none"/>
        </w:rPr>
        <w:t>施工进度表可采用网络图（或横道图）表示。</w:t>
      </w:r>
    </w:p>
    <w:p>
      <w:pPr>
        <w:pStyle w:val="4"/>
        <w:rPr>
          <w:rFonts w:ascii="宋体" w:cs="宋体"/>
          <w:color w:val="auto"/>
          <w:sz w:val="24"/>
          <w:szCs w:val="24"/>
          <w:highlight w:val="none"/>
        </w:rPr>
        <w:sectPr>
          <w:pgSz w:w="11900" w:h="16838"/>
          <w:pgMar w:top="1440" w:right="1440" w:bottom="158" w:left="1440" w:header="567" w:footer="567" w:gutter="0"/>
          <w:cols w:equalWidth="0" w:num="1">
            <w:col w:w="9026"/>
          </w:cols>
        </w:sectPr>
      </w:pPr>
      <w:bookmarkStart w:id="240" w:name="page85"/>
      <w:bookmarkEnd w:id="240"/>
      <w:bookmarkStart w:id="241" w:name="_Toc24058_WPSOffice_Level2"/>
    </w:p>
    <w:p>
      <w:pPr>
        <w:pStyle w:val="4"/>
        <w:rPr>
          <w:rFonts w:ascii="宋体" w:cs="宋体"/>
          <w:color w:val="auto"/>
          <w:sz w:val="24"/>
          <w:szCs w:val="24"/>
          <w:highlight w:val="none"/>
        </w:rPr>
      </w:pPr>
      <w:bookmarkStart w:id="242" w:name="_Toc27471_WPSOffice_Level2"/>
      <w:bookmarkStart w:id="243" w:name="_Toc29745_WPSOffice_Level2"/>
      <w:r>
        <w:rPr>
          <w:rFonts w:hint="eastAsia" w:ascii="宋体" w:hAnsi="宋体" w:cs="宋体"/>
          <w:color w:val="auto"/>
          <w:sz w:val="24"/>
          <w:szCs w:val="24"/>
          <w:highlight w:val="none"/>
        </w:rPr>
        <w:t>附件八：工程主要材料选材表</w:t>
      </w:r>
      <w:bookmarkEnd w:id="241"/>
      <w:bookmarkEnd w:id="242"/>
      <w:bookmarkEnd w:id="243"/>
    </w:p>
    <w:tbl>
      <w:tblPr>
        <w:tblStyle w:val="19"/>
        <w:tblW w:w="8528" w:type="dxa"/>
        <w:tblInd w:w="0" w:type="dxa"/>
        <w:tblLayout w:type="fixed"/>
        <w:tblCellMar>
          <w:top w:w="0" w:type="dxa"/>
          <w:left w:w="108" w:type="dxa"/>
          <w:bottom w:w="0" w:type="dxa"/>
          <w:right w:w="108" w:type="dxa"/>
        </w:tblCellMar>
      </w:tblPr>
      <w:tblGrid>
        <w:gridCol w:w="907"/>
        <w:gridCol w:w="2569"/>
        <w:gridCol w:w="5052"/>
      </w:tblGrid>
      <w:tr>
        <w:tblPrEx>
          <w:tblLayout w:type="fixed"/>
          <w:tblCellMar>
            <w:top w:w="0" w:type="dxa"/>
            <w:left w:w="108" w:type="dxa"/>
            <w:bottom w:w="0" w:type="dxa"/>
            <w:right w:w="108" w:type="dxa"/>
          </w:tblCellMar>
        </w:tblPrEx>
        <w:trPr>
          <w:trHeight w:val="735" w:hRule="atLeast"/>
        </w:trPr>
        <w:tc>
          <w:tcPr>
            <w:tcW w:w="90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cs="宋体"/>
                <w:b/>
                <w:bCs/>
                <w:color w:val="auto"/>
                <w:sz w:val="18"/>
                <w:szCs w:val="18"/>
                <w:highlight w:val="none"/>
              </w:rPr>
            </w:pPr>
            <w:r>
              <w:rPr>
                <w:rFonts w:hint="eastAsia" w:ascii="宋体" w:hAnsi="宋体" w:cs="宋体"/>
                <w:b/>
                <w:bCs/>
                <w:color w:val="auto"/>
                <w:sz w:val="18"/>
                <w:szCs w:val="18"/>
                <w:highlight w:val="none"/>
              </w:rPr>
              <w:t>序号</w:t>
            </w:r>
          </w:p>
        </w:tc>
        <w:tc>
          <w:tcPr>
            <w:tcW w:w="2569"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cs="宋体"/>
                <w:b/>
                <w:bCs/>
                <w:color w:val="auto"/>
                <w:sz w:val="18"/>
                <w:szCs w:val="18"/>
                <w:highlight w:val="none"/>
              </w:rPr>
            </w:pPr>
            <w:r>
              <w:rPr>
                <w:rFonts w:hint="eastAsia" w:ascii="宋体" w:hAnsi="宋体" w:cs="宋体"/>
                <w:b/>
                <w:bCs/>
                <w:color w:val="auto"/>
                <w:sz w:val="18"/>
                <w:szCs w:val="18"/>
                <w:highlight w:val="none"/>
              </w:rPr>
              <w:t>材料名称</w:t>
            </w:r>
          </w:p>
        </w:tc>
        <w:tc>
          <w:tcPr>
            <w:tcW w:w="5052" w:type="dxa"/>
            <w:tcBorders>
              <w:top w:val="single" w:color="000000" w:sz="4" w:space="0"/>
              <w:left w:val="nil"/>
              <w:bottom w:val="single" w:color="000000" w:sz="4" w:space="0"/>
              <w:right w:val="single" w:color="000000" w:sz="4" w:space="0"/>
            </w:tcBorders>
            <w:shd w:val="clear" w:color="000000" w:fill="FFFFFF"/>
            <w:vAlign w:val="center"/>
          </w:tcPr>
          <w:p>
            <w:pPr>
              <w:jc w:val="center"/>
              <w:rPr>
                <w:rFonts w:ascii="宋体" w:cs="宋体"/>
                <w:b/>
                <w:bCs/>
                <w:color w:val="auto"/>
                <w:sz w:val="18"/>
                <w:szCs w:val="18"/>
                <w:highlight w:val="none"/>
              </w:rPr>
            </w:pPr>
            <w:r>
              <w:rPr>
                <w:rFonts w:hint="eastAsia" w:ascii="宋体" w:hAnsi="宋体" w:cs="宋体"/>
                <w:b/>
                <w:bCs/>
                <w:color w:val="auto"/>
                <w:sz w:val="18"/>
                <w:szCs w:val="18"/>
                <w:highlight w:val="none"/>
              </w:rPr>
              <w:t>选用品牌</w:t>
            </w: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1</w:t>
            </w:r>
          </w:p>
        </w:tc>
        <w:tc>
          <w:tcPr>
            <w:tcW w:w="2569" w:type="dxa"/>
            <w:tcBorders>
              <w:top w:val="nil"/>
              <w:left w:val="nil"/>
              <w:bottom w:val="single" w:color="000000" w:sz="4" w:space="0"/>
              <w:right w:val="single" w:color="000000" w:sz="4" w:space="0"/>
            </w:tcBorders>
            <w:shd w:val="clear" w:color="000000" w:fill="FFFFFF"/>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2</w:t>
            </w:r>
          </w:p>
        </w:tc>
        <w:tc>
          <w:tcPr>
            <w:tcW w:w="2569" w:type="dxa"/>
            <w:tcBorders>
              <w:top w:val="nil"/>
              <w:left w:val="nil"/>
              <w:bottom w:val="single" w:color="000000" w:sz="4" w:space="0"/>
              <w:right w:val="single" w:color="000000" w:sz="4" w:space="0"/>
            </w:tcBorders>
            <w:shd w:val="clear" w:color="000000" w:fill="FFFFFF"/>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3</w:t>
            </w:r>
          </w:p>
        </w:tc>
        <w:tc>
          <w:tcPr>
            <w:tcW w:w="2569" w:type="dxa"/>
            <w:tcBorders>
              <w:top w:val="nil"/>
              <w:left w:val="nil"/>
              <w:bottom w:val="single" w:color="000000" w:sz="4" w:space="0"/>
              <w:right w:val="single" w:color="000000" w:sz="4" w:space="0"/>
            </w:tcBorders>
            <w:shd w:val="clear" w:color="000000" w:fill="FFFFFF"/>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4</w:t>
            </w:r>
          </w:p>
        </w:tc>
        <w:tc>
          <w:tcPr>
            <w:tcW w:w="2569" w:type="dxa"/>
            <w:tcBorders>
              <w:top w:val="nil"/>
              <w:left w:val="nil"/>
              <w:bottom w:val="single" w:color="000000" w:sz="4" w:space="0"/>
              <w:right w:val="single" w:color="000000" w:sz="4" w:space="0"/>
            </w:tcBorders>
            <w:shd w:val="clear" w:color="000000" w:fill="FFFFFF"/>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5</w:t>
            </w:r>
          </w:p>
        </w:tc>
        <w:tc>
          <w:tcPr>
            <w:tcW w:w="2569" w:type="dxa"/>
            <w:tcBorders>
              <w:top w:val="nil"/>
              <w:left w:val="nil"/>
              <w:bottom w:val="single" w:color="000000" w:sz="4" w:space="0"/>
              <w:right w:val="single" w:color="000000" w:sz="4" w:space="0"/>
            </w:tcBorders>
            <w:shd w:val="clear" w:color="000000" w:fill="FFFFFF"/>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6</w:t>
            </w:r>
          </w:p>
        </w:tc>
        <w:tc>
          <w:tcPr>
            <w:tcW w:w="2569" w:type="dxa"/>
            <w:tcBorders>
              <w:top w:val="nil"/>
              <w:left w:val="nil"/>
              <w:bottom w:val="single" w:color="000000" w:sz="4" w:space="0"/>
              <w:right w:val="single" w:color="000000" w:sz="4" w:space="0"/>
            </w:tcBorders>
            <w:shd w:val="clear" w:color="000000" w:fill="FFFFFF"/>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7</w:t>
            </w:r>
          </w:p>
        </w:tc>
        <w:tc>
          <w:tcPr>
            <w:tcW w:w="2569" w:type="dxa"/>
            <w:tcBorders>
              <w:top w:val="nil"/>
              <w:left w:val="nil"/>
              <w:bottom w:val="single" w:color="000000" w:sz="4" w:space="0"/>
              <w:right w:val="single" w:color="000000" w:sz="4" w:space="0"/>
            </w:tcBorders>
            <w:shd w:val="clear" w:color="000000" w:fill="FFFFFF"/>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8</w:t>
            </w:r>
          </w:p>
        </w:tc>
        <w:tc>
          <w:tcPr>
            <w:tcW w:w="2569" w:type="dxa"/>
            <w:tcBorders>
              <w:top w:val="nil"/>
              <w:left w:val="nil"/>
              <w:bottom w:val="single" w:color="000000" w:sz="4" w:space="0"/>
              <w:right w:val="single" w:color="000000" w:sz="4" w:space="0"/>
            </w:tcBorders>
            <w:shd w:val="clear" w:color="000000" w:fill="FFFFFF"/>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9</w:t>
            </w:r>
          </w:p>
        </w:tc>
        <w:tc>
          <w:tcPr>
            <w:tcW w:w="2569" w:type="dxa"/>
            <w:tcBorders>
              <w:top w:val="nil"/>
              <w:left w:val="nil"/>
              <w:bottom w:val="single" w:color="000000" w:sz="4" w:space="0"/>
              <w:right w:val="single" w:color="000000" w:sz="4" w:space="0"/>
            </w:tcBorders>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10</w:t>
            </w:r>
          </w:p>
        </w:tc>
        <w:tc>
          <w:tcPr>
            <w:tcW w:w="2569" w:type="dxa"/>
            <w:tcBorders>
              <w:top w:val="nil"/>
              <w:left w:val="nil"/>
              <w:bottom w:val="single" w:color="000000" w:sz="4" w:space="0"/>
              <w:right w:val="single" w:color="000000" w:sz="4" w:space="0"/>
            </w:tcBorders>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r>
        <w:tblPrEx>
          <w:tblLayout w:type="fixed"/>
          <w:tblCellMar>
            <w:top w:w="0" w:type="dxa"/>
            <w:left w:w="108" w:type="dxa"/>
            <w:bottom w:w="0" w:type="dxa"/>
            <w:right w:w="108" w:type="dxa"/>
          </w:tblCellMar>
        </w:tblPrEx>
        <w:trPr>
          <w:trHeight w:val="462" w:hRule="atLeast"/>
        </w:trPr>
        <w:tc>
          <w:tcPr>
            <w:tcW w:w="907" w:type="dxa"/>
            <w:tcBorders>
              <w:top w:val="nil"/>
              <w:left w:val="single" w:color="000000" w:sz="4" w:space="0"/>
              <w:bottom w:val="single" w:color="000000" w:sz="4" w:space="0"/>
              <w:right w:val="single" w:color="000000" w:sz="4" w:space="0"/>
            </w:tcBorders>
            <w:shd w:val="clear" w:color="000000" w:fill="FFFFFF"/>
            <w:vAlign w:val="center"/>
          </w:tcPr>
          <w:p>
            <w:pPr>
              <w:jc w:val="center"/>
              <w:rPr>
                <w:rFonts w:ascii="宋体" w:cs="宋体"/>
                <w:color w:val="auto"/>
                <w:sz w:val="18"/>
                <w:szCs w:val="18"/>
                <w:highlight w:val="none"/>
              </w:rPr>
            </w:pPr>
            <w:r>
              <w:rPr>
                <w:rFonts w:ascii="宋体" w:hAnsi="宋体" w:cs="宋体"/>
                <w:color w:val="auto"/>
                <w:sz w:val="18"/>
                <w:szCs w:val="18"/>
                <w:highlight w:val="none"/>
              </w:rPr>
              <w:t>11</w:t>
            </w:r>
          </w:p>
        </w:tc>
        <w:tc>
          <w:tcPr>
            <w:tcW w:w="2569" w:type="dxa"/>
            <w:tcBorders>
              <w:top w:val="nil"/>
              <w:left w:val="nil"/>
              <w:bottom w:val="single" w:color="000000" w:sz="4" w:space="0"/>
              <w:right w:val="single" w:color="000000" w:sz="4" w:space="0"/>
            </w:tcBorders>
            <w:vAlign w:val="center"/>
          </w:tcPr>
          <w:p>
            <w:pPr>
              <w:pStyle w:val="44"/>
              <w:jc w:val="center"/>
              <w:rPr>
                <w:rFonts w:hAnsi="宋体" w:eastAsia="宋体" w:cs="宋体"/>
                <w:color w:val="auto"/>
                <w:sz w:val="21"/>
                <w:szCs w:val="21"/>
                <w:highlight w:val="none"/>
              </w:rPr>
            </w:pPr>
          </w:p>
        </w:tc>
        <w:tc>
          <w:tcPr>
            <w:tcW w:w="5052" w:type="dxa"/>
            <w:tcBorders>
              <w:top w:val="nil"/>
              <w:left w:val="nil"/>
              <w:bottom w:val="single" w:color="000000" w:sz="4" w:space="0"/>
              <w:right w:val="single" w:color="000000" w:sz="4" w:space="0"/>
            </w:tcBorders>
            <w:shd w:val="clear" w:color="000000" w:fill="FFFFFF"/>
            <w:vAlign w:val="center"/>
          </w:tcPr>
          <w:p>
            <w:pPr>
              <w:pStyle w:val="44"/>
              <w:rPr>
                <w:rFonts w:hAnsi="宋体" w:eastAsia="宋体" w:cs="宋体"/>
                <w:color w:val="auto"/>
                <w:sz w:val="21"/>
                <w:szCs w:val="21"/>
                <w:highlight w:val="none"/>
              </w:rPr>
            </w:pPr>
          </w:p>
        </w:tc>
      </w:tr>
    </w:tbl>
    <w:p>
      <w:pPr>
        <w:tabs>
          <w:tab w:val="center" w:pos="4510"/>
        </w:tabs>
        <w:rPr>
          <w:rFonts w:ascii="宋体" w:cs="宋体"/>
          <w:color w:val="auto"/>
          <w:highlight w:val="none"/>
        </w:rPr>
        <w:sectPr>
          <w:pgSz w:w="11900" w:h="16838"/>
          <w:pgMar w:top="1440" w:right="1440" w:bottom="158" w:left="1440" w:header="567" w:footer="567" w:gutter="0"/>
          <w:cols w:equalWidth="0" w:num="1">
            <w:col w:w="9026"/>
          </w:cols>
        </w:sectPr>
      </w:pPr>
    </w:p>
    <w:p>
      <w:pPr>
        <w:tabs>
          <w:tab w:val="left" w:pos="300"/>
        </w:tabs>
        <w:spacing w:line="366" w:lineRule="exact"/>
        <w:jc w:val="center"/>
        <w:rPr>
          <w:rFonts w:ascii="宋体" w:cs="宋体"/>
          <w:color w:val="auto"/>
          <w:sz w:val="20"/>
          <w:szCs w:val="20"/>
          <w:highlight w:val="none"/>
        </w:rPr>
      </w:pPr>
      <w:bookmarkStart w:id="244" w:name="page88"/>
      <w:bookmarkEnd w:id="244"/>
      <w:bookmarkStart w:id="245" w:name="page89"/>
      <w:bookmarkEnd w:id="245"/>
      <w:bookmarkStart w:id="246" w:name="_Toc14818_WPSOffice_Level1"/>
      <w:bookmarkStart w:id="247" w:name="_Toc27823_WPSOffice_Level1"/>
      <w:bookmarkStart w:id="248" w:name="_Toc14872_WPSOffice_Level1"/>
      <w:r>
        <w:rPr>
          <w:rFonts w:hint="eastAsia" w:ascii="宋体" w:hAnsi="宋体" w:cs="宋体"/>
          <w:b/>
          <w:bCs/>
          <w:color w:val="auto"/>
          <w:sz w:val="32"/>
          <w:szCs w:val="32"/>
          <w:highlight w:val="none"/>
        </w:rPr>
        <w:t>第七章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评审办法</w:t>
      </w:r>
      <w:bookmarkEnd w:id="246"/>
      <w:bookmarkEnd w:id="247"/>
      <w:bookmarkEnd w:id="248"/>
    </w:p>
    <w:p>
      <w:pPr>
        <w:spacing w:line="256" w:lineRule="exact"/>
        <w:rPr>
          <w:rFonts w:ascii="宋体" w:cs="宋体"/>
          <w:color w:val="auto"/>
          <w:sz w:val="20"/>
          <w:szCs w:val="20"/>
          <w:highlight w:val="none"/>
        </w:rPr>
      </w:pPr>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本评审办法遵照《中华人民共和国政府采购法》、《政府采购竞争性磋商采购方式管理暂行办法》等有关规定，并结合本项目的具体情况制定。</w:t>
      </w:r>
    </w:p>
    <w:p>
      <w:pPr>
        <w:spacing w:line="360" w:lineRule="auto"/>
        <w:ind w:firstLine="422" w:firstLineChars="200"/>
        <w:rPr>
          <w:rFonts w:ascii="宋体" w:cs="宋体"/>
          <w:color w:val="auto"/>
          <w:sz w:val="21"/>
          <w:szCs w:val="21"/>
          <w:highlight w:val="none"/>
        </w:rPr>
      </w:pPr>
      <w:bookmarkStart w:id="249" w:name="_Toc23288_WPSOffice_Level2"/>
      <w:bookmarkStart w:id="250" w:name="_Toc22038_WPSOffice_Level2"/>
      <w:r>
        <w:rPr>
          <w:rFonts w:hint="eastAsia" w:ascii="宋体" w:hAnsi="宋体" w:cs="宋体"/>
          <w:b/>
          <w:bCs/>
          <w:color w:val="auto"/>
          <w:sz w:val="21"/>
          <w:szCs w:val="21"/>
          <w:highlight w:val="none"/>
        </w:rPr>
        <w:t>一、总则</w:t>
      </w:r>
      <w:bookmarkEnd w:id="249"/>
      <w:bookmarkEnd w:id="250"/>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磋商小组成员应当按照客观、公正、审慎的原则，根据磋商文件规定的评审程序、评审方法和评审标准进行独立评审。对落标人，磋商小组不作任何落标解释。</w:t>
      </w:r>
    </w:p>
    <w:p>
      <w:pPr>
        <w:spacing w:line="360" w:lineRule="auto"/>
        <w:ind w:firstLine="422" w:firstLineChars="200"/>
        <w:rPr>
          <w:rFonts w:ascii="宋体" w:cs="宋体"/>
          <w:color w:val="auto"/>
          <w:sz w:val="21"/>
          <w:szCs w:val="21"/>
          <w:highlight w:val="none"/>
        </w:rPr>
      </w:pPr>
      <w:bookmarkStart w:id="251" w:name="_Toc17659_WPSOffice_Level2"/>
      <w:bookmarkStart w:id="252" w:name="_Toc31748_WPSOffice_Level2"/>
      <w:r>
        <w:rPr>
          <w:rFonts w:hint="eastAsia" w:ascii="宋体" w:hAnsi="宋体" w:cs="宋体"/>
          <w:b/>
          <w:bCs/>
          <w:color w:val="auto"/>
          <w:sz w:val="21"/>
          <w:szCs w:val="21"/>
          <w:highlight w:val="none"/>
        </w:rPr>
        <w:t>二、评审组织</w:t>
      </w:r>
      <w:bookmarkEnd w:id="251"/>
      <w:bookmarkEnd w:id="252"/>
    </w:p>
    <w:p>
      <w:pPr>
        <w:spacing w:line="360" w:lineRule="auto"/>
        <w:ind w:right="246" w:firstLine="420" w:firstLineChars="200"/>
        <w:rPr>
          <w:rFonts w:ascii="宋体" w:cs="宋体"/>
          <w:color w:val="auto"/>
          <w:sz w:val="21"/>
          <w:szCs w:val="21"/>
          <w:highlight w:val="none"/>
        </w:rPr>
      </w:pPr>
      <w:r>
        <w:rPr>
          <w:rFonts w:hint="eastAsia" w:ascii="宋体" w:hAnsi="宋体" w:cs="宋体"/>
          <w:color w:val="auto"/>
          <w:sz w:val="21"/>
          <w:szCs w:val="21"/>
          <w:highlight w:val="none"/>
        </w:rPr>
        <w:t>评审工作由采购单位依法组建的磋商小组负责。磋商小组负责审标、询标、评审等工作，并向采购人提出评审意见和评审报告。</w:t>
      </w:r>
    </w:p>
    <w:p>
      <w:pPr>
        <w:spacing w:line="360" w:lineRule="auto"/>
        <w:ind w:firstLine="420" w:firstLineChars="200"/>
        <w:rPr>
          <w:rFonts w:ascii="宋体" w:cs="宋体"/>
          <w:color w:val="auto"/>
          <w:sz w:val="21"/>
          <w:szCs w:val="21"/>
          <w:highlight w:val="none"/>
        </w:rPr>
      </w:pPr>
      <w:bookmarkStart w:id="253" w:name="_Toc5074_WPSOffice_Level2"/>
      <w:bookmarkStart w:id="254" w:name="_Toc15257_WPSOffice_Level2"/>
      <w:r>
        <w:rPr>
          <w:rFonts w:hint="eastAsia" w:ascii="宋体" w:hAnsi="宋体" w:cs="宋体"/>
          <w:color w:val="auto"/>
          <w:sz w:val="21"/>
          <w:szCs w:val="21"/>
          <w:highlight w:val="none"/>
        </w:rPr>
        <w:t>三、</w:t>
      </w:r>
      <w:r>
        <w:rPr>
          <w:rFonts w:hint="eastAsia" w:ascii="宋体" w:hAnsi="宋体" w:cs="宋体"/>
          <w:b/>
          <w:bCs/>
          <w:color w:val="auto"/>
          <w:sz w:val="21"/>
          <w:szCs w:val="21"/>
          <w:highlight w:val="none"/>
        </w:rPr>
        <w:t>评标程序</w:t>
      </w:r>
      <w:bookmarkEnd w:id="253"/>
      <w:bookmarkEnd w:id="254"/>
    </w:p>
    <w:p>
      <w:pPr>
        <w:spacing w:line="360" w:lineRule="auto"/>
        <w:ind w:firstLine="420" w:firstLineChars="200"/>
        <w:rPr>
          <w:rFonts w:ascii="宋体" w:cs="宋体"/>
          <w:color w:val="auto"/>
          <w:sz w:val="21"/>
          <w:szCs w:val="21"/>
          <w:highlight w:val="none"/>
        </w:rPr>
      </w:pPr>
      <w:r>
        <w:rPr>
          <w:rFonts w:hint="eastAsia" w:ascii="宋体" w:hAnsi="宋体" w:cs="宋体"/>
          <w:color w:val="auto"/>
          <w:sz w:val="21"/>
          <w:szCs w:val="21"/>
          <w:highlight w:val="none"/>
        </w:rPr>
        <w:t>程序如下：</w:t>
      </w:r>
    </w:p>
    <w:p>
      <w:pPr>
        <w:spacing w:line="360" w:lineRule="auto"/>
        <w:ind w:right="346" w:firstLine="420" w:firstLineChars="200"/>
        <w:rPr>
          <w:rFonts w:ascii="宋体" w:cs="宋体"/>
          <w:color w:val="auto"/>
          <w:sz w:val="21"/>
          <w:szCs w:val="21"/>
          <w:highlight w:val="none"/>
        </w:rPr>
      </w:pPr>
      <w:r>
        <w:rPr>
          <w:rFonts w:hint="eastAsia" w:ascii="宋体" w:hAnsi="宋体" w:cs="宋体"/>
          <w:color w:val="auto"/>
          <w:sz w:val="21"/>
          <w:szCs w:val="21"/>
          <w:highlight w:val="none"/>
        </w:rPr>
        <w:t>主持人宣布开标，介绍开标现场的人员情况，宣读递交采购响应文件的供应商名单、开标纪律、应当回避的情形等注意事项，组织供应商签署《政府采购活动现场确认声明书》。提请供应商代表或公证人员查验采购响应文件密封情况。</w:t>
      </w:r>
    </w:p>
    <w:p>
      <w:pPr>
        <w:spacing w:line="360" w:lineRule="auto"/>
        <w:ind w:right="346" w:firstLine="420" w:firstLineChars="200"/>
        <w:rPr>
          <w:rFonts w:ascii="宋体" w:cs="宋体"/>
          <w:color w:val="auto"/>
          <w:sz w:val="20"/>
          <w:szCs w:val="20"/>
          <w:highlight w:val="none"/>
        </w:rPr>
      </w:pPr>
      <w:r>
        <w:rPr>
          <w:rFonts w:hint="eastAsia" w:ascii="宋体" w:hAnsi="宋体" w:cs="宋体"/>
          <w:color w:val="auto"/>
          <w:sz w:val="21"/>
          <w:szCs w:val="21"/>
          <w:highlight w:val="none"/>
        </w:rPr>
        <w:t>按供应商提交投标文件的先后顺序当众拆封、清点投标文件（包括正本、副本）数量，将拆封后的响应文件由现场工作人员护送至指定的评审地点。对不符合装订要求的投标文件，由现场工作人员退还供应商代表。</w:t>
      </w:r>
    </w:p>
    <w:p>
      <w:pPr>
        <w:spacing w:line="360" w:lineRule="auto"/>
        <w:ind w:right="346" w:firstLine="420" w:firstLineChars="200"/>
        <w:jc w:val="both"/>
        <w:rPr>
          <w:rFonts w:ascii="宋体" w:cs="宋体"/>
          <w:color w:val="auto"/>
          <w:sz w:val="20"/>
          <w:szCs w:val="20"/>
          <w:highlight w:val="none"/>
        </w:rPr>
      </w:pPr>
      <w:r>
        <w:rPr>
          <w:rFonts w:hint="eastAsia" w:ascii="宋体" w:hAnsi="宋体" w:cs="宋体"/>
          <w:color w:val="auto"/>
          <w:sz w:val="21"/>
          <w:szCs w:val="21"/>
          <w:highlight w:val="none"/>
        </w:rPr>
        <w:t>商务技术评审结束后，主持人宣告评审无效供应商名称及理由并签字确认；进行二次报价填写。统一收取最终报价。评审结束后，主持人公布中标候选供应商名单，及采购人最终确定中标供应商名单的时间和公告方式等。</w:t>
      </w:r>
    </w:p>
    <w:p>
      <w:pPr>
        <w:spacing w:line="360" w:lineRule="auto"/>
        <w:ind w:firstLine="422" w:firstLineChars="200"/>
        <w:rPr>
          <w:rFonts w:ascii="宋体" w:cs="宋体"/>
          <w:color w:val="auto"/>
          <w:sz w:val="21"/>
          <w:szCs w:val="21"/>
          <w:highlight w:val="none"/>
        </w:rPr>
      </w:pPr>
      <w:bookmarkStart w:id="255" w:name="_Toc6442_WPSOffice_Level2"/>
      <w:bookmarkStart w:id="256" w:name="_Toc8536_WPSOffice_Level2"/>
      <w:r>
        <w:rPr>
          <w:rFonts w:hint="eastAsia" w:ascii="宋体" w:hAnsi="宋体" w:cs="宋体"/>
          <w:b/>
          <w:bCs/>
          <w:color w:val="auto"/>
          <w:sz w:val="21"/>
          <w:szCs w:val="21"/>
          <w:highlight w:val="none"/>
        </w:rPr>
        <w:t>四、磋商要求</w:t>
      </w:r>
      <w:bookmarkEnd w:id="255"/>
      <w:bookmarkEnd w:id="256"/>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磋商小组将按竞争性磋商有关规定与供应商进行封闭式磋商，磋商的内容包括（但不限于）投标人的报价、合同条款响应情况、技术方案的可行性、承诺的后期服务等。投标人有义务对磋商小组就响应文件中不明确的条款进行澄清，投标人在磋商时可以对其响应文件进行补充或调整，在磋商结束前，投标人应对其澄清、补充、调整的相关内容以书面方式进行最终确认，形成最终承诺书。磋商小组对投标人的磋商最多不超过</w:t>
      </w:r>
      <w:r>
        <w:rPr>
          <w:rFonts w:ascii="宋体" w:hAnsi="宋体" w:cs="宋体"/>
          <w:color w:val="auto"/>
          <w:sz w:val="21"/>
          <w:szCs w:val="21"/>
          <w:highlight w:val="none"/>
        </w:rPr>
        <w:t xml:space="preserve"> 3 </w:t>
      </w:r>
      <w:r>
        <w:rPr>
          <w:rFonts w:hint="eastAsia" w:ascii="宋体" w:hAnsi="宋体" w:cs="宋体"/>
          <w:color w:val="auto"/>
          <w:sz w:val="21"/>
          <w:szCs w:val="21"/>
          <w:highlight w:val="none"/>
        </w:rPr>
        <w:t>轮。在磋商过程中，采购人及磋商小组有权变更相关要求，不对因此而受影响的投标人承担责任。磋商中如有实质性变动，磋商小组将用书面形式通知参加磋商的投标人。</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、磋商小组将要求所有参加磋商的投标人按磋商小组提出的要求并在规定时间内分别进行最终报价，各投标人在规定时间之后的报价将被视为无效。</w:t>
      </w:r>
    </w:p>
    <w:p>
      <w:pPr>
        <w:spacing w:line="360" w:lineRule="auto"/>
        <w:ind w:firstLine="420" w:firstLineChars="200"/>
        <w:rPr>
          <w:rFonts w:asci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、磋商结束后，磋商小组应当要求所有实质性响应的供应商在规定时间内提交最后报价，提交最后报价的供应商一般不得少于</w:t>
      </w:r>
      <w:r>
        <w:rPr>
          <w:rFonts w:ascii="宋体" w:hAnsi="宋体" w:cs="宋体"/>
          <w:color w:val="auto"/>
          <w:sz w:val="21"/>
          <w:szCs w:val="21"/>
          <w:highlight w:val="none"/>
        </w:rPr>
        <w:t xml:space="preserve"> 3 </w:t>
      </w:r>
      <w:r>
        <w:rPr>
          <w:rFonts w:hint="eastAsia" w:ascii="宋体" w:hAnsi="宋体" w:cs="宋体"/>
          <w:color w:val="auto"/>
          <w:sz w:val="21"/>
          <w:szCs w:val="21"/>
          <w:highlight w:val="none"/>
        </w:rPr>
        <w:t>家。</w:t>
      </w:r>
    </w:p>
    <w:p>
      <w:pPr>
        <w:spacing w:line="360" w:lineRule="auto"/>
        <w:ind w:firstLine="420" w:firstLineChars="200"/>
        <w:rPr>
          <w:rFonts w:ascii="宋体" w:cs="宋体"/>
          <w:color w:val="auto"/>
          <w:sz w:val="21"/>
          <w:szCs w:val="21"/>
          <w:highlight w:val="none"/>
        </w:rPr>
      </w:pPr>
    </w:p>
    <w:p>
      <w:pPr>
        <w:spacing w:line="360" w:lineRule="auto"/>
        <w:ind w:firstLine="420" w:firstLineChars="200"/>
        <w:rPr>
          <w:rFonts w:ascii="宋体" w:cs="宋体"/>
          <w:color w:val="auto"/>
          <w:sz w:val="21"/>
          <w:szCs w:val="21"/>
          <w:highlight w:val="none"/>
        </w:rPr>
        <w:sectPr>
          <w:pgSz w:w="11900" w:h="16838"/>
          <w:pgMar w:top="1440" w:right="1440" w:bottom="365" w:left="1440" w:header="567" w:footer="567" w:gutter="0"/>
          <w:cols w:equalWidth="0" w:num="1">
            <w:col w:w="9026"/>
          </w:cols>
        </w:sectPr>
      </w:pPr>
    </w:p>
    <w:p>
      <w:pPr>
        <w:spacing w:line="360" w:lineRule="auto"/>
        <w:ind w:firstLine="420" w:firstLineChars="200"/>
        <w:rPr>
          <w:rFonts w:ascii="宋体" w:cs="宋体"/>
          <w:color w:val="auto"/>
          <w:sz w:val="21"/>
          <w:szCs w:val="21"/>
          <w:highlight w:val="none"/>
        </w:rPr>
      </w:pPr>
      <w:bookmarkStart w:id="257" w:name="page90"/>
      <w:bookmarkEnd w:id="257"/>
    </w:p>
    <w:p>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、最后报价是供应商响应文件的有效组成部分。符合《政府采购竞争性磋商采购方式管理暂行办法》</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第三条第四项情形的，提交最后报价的供应商可以为</w:t>
      </w:r>
      <w:r>
        <w:rPr>
          <w:rFonts w:ascii="宋体" w:hAnsi="宋体" w:cs="宋体"/>
          <w:color w:val="auto"/>
          <w:sz w:val="21"/>
          <w:szCs w:val="21"/>
          <w:highlight w:val="none"/>
        </w:rPr>
        <w:t xml:space="preserve"> 2 </w:t>
      </w:r>
      <w:r>
        <w:rPr>
          <w:rFonts w:hint="eastAsia" w:ascii="宋体" w:hAnsi="宋体" w:cs="宋体"/>
          <w:color w:val="auto"/>
          <w:sz w:val="21"/>
          <w:szCs w:val="21"/>
          <w:highlight w:val="none"/>
        </w:rPr>
        <w:t>家。</w:t>
      </w:r>
    </w:p>
    <w:p>
      <w:pPr>
        <w:spacing w:line="360" w:lineRule="auto"/>
        <w:ind w:firstLine="422" w:firstLineChars="200"/>
        <w:rPr>
          <w:rFonts w:ascii="宋体" w:hAnsi="宋体" w:cs="宋体"/>
          <w:b/>
          <w:bCs/>
          <w:color w:val="auto"/>
          <w:sz w:val="21"/>
          <w:szCs w:val="21"/>
          <w:highlight w:val="none"/>
        </w:rPr>
      </w:pPr>
      <w:bookmarkStart w:id="258" w:name="_Toc9788_WPSOffice_Level2"/>
      <w:bookmarkStart w:id="259" w:name="_Toc7316_WPSOffice_Level2"/>
      <w:r>
        <w:rPr>
          <w:rFonts w:hint="eastAsia" w:ascii="宋体" w:hAnsi="宋体" w:cs="宋体"/>
          <w:b/>
          <w:bCs/>
          <w:color w:val="auto"/>
          <w:sz w:val="21"/>
          <w:szCs w:val="21"/>
          <w:highlight w:val="none"/>
        </w:rPr>
        <w:t>五、评审细则</w:t>
      </w:r>
      <w:bookmarkEnd w:id="258"/>
      <w:bookmarkEnd w:id="259"/>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评标采用综合评分法，磋商小组从最终投标报价、投标人的综合实力、业绩、技术方案、服务承诺、</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等方面进行评审。磋商小组根据评审情况，对各投标人的商务报价方面在分值范围内进行统一打分，对各投</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标人的商务方面在分值范围内进行统一打分，对各投标人的技术方面在分值范围内进行独立打分。</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每个供应商最终得分</w:t>
      </w:r>
      <w:r>
        <w:rPr>
          <w:rFonts w:ascii="宋体" w:hAnsi="宋体" w:cs="宋体"/>
          <w:color w:val="auto"/>
          <w:sz w:val="21"/>
          <w:szCs w:val="21"/>
          <w:highlight w:val="none"/>
        </w:rPr>
        <w:t>=</w:t>
      </w:r>
      <w:r>
        <w:rPr>
          <w:rFonts w:hint="eastAsia" w:ascii="宋体" w:hAnsi="宋体" w:cs="宋体"/>
          <w:color w:val="auto"/>
          <w:sz w:val="21"/>
          <w:szCs w:val="21"/>
          <w:highlight w:val="none"/>
        </w:rPr>
        <w:t>报价分</w:t>
      </w:r>
      <w:r>
        <w:rPr>
          <w:rFonts w:ascii="宋体" w:hAnsi="宋体" w:cs="宋体"/>
          <w:color w:val="auto"/>
          <w:sz w:val="21"/>
          <w:szCs w:val="21"/>
          <w:highlight w:val="none"/>
        </w:rPr>
        <w:t>+</w:t>
      </w:r>
      <w:r>
        <w:rPr>
          <w:rFonts w:hint="eastAsia" w:ascii="宋体" w:hAnsi="宋体" w:cs="宋体"/>
          <w:color w:val="auto"/>
          <w:sz w:val="21"/>
          <w:szCs w:val="21"/>
          <w:highlight w:val="none"/>
        </w:rPr>
        <w:t>商务技术分</w:t>
      </w:r>
    </w:p>
    <w:p>
      <w:pPr>
        <w:spacing w:line="360" w:lineRule="auto"/>
        <w:ind w:firstLine="422" w:firstLineChars="200"/>
        <w:rPr>
          <w:rFonts w:hint="default" w:ascii="宋体" w:hAnsi="宋体" w:cs="宋体"/>
          <w:b/>
          <w:bCs/>
          <w:color w:val="auto"/>
          <w:sz w:val="21"/>
          <w:szCs w:val="21"/>
          <w:highlight w:val="none"/>
          <w:lang w:val="en-US" w:eastAsia="zh-CN"/>
        </w:rPr>
      </w:pPr>
      <w:r>
        <w:rPr>
          <w:rFonts w:ascii="宋体" w:hAnsi="宋体" w:cs="宋体"/>
          <w:b/>
          <w:bCs/>
          <w:color w:val="auto"/>
          <w:sz w:val="21"/>
          <w:szCs w:val="21"/>
          <w:highlight w:val="none"/>
        </w:rPr>
        <w:t>1</w:t>
      </w:r>
      <w:r>
        <w:rPr>
          <w:rFonts w:hint="eastAsia" w:ascii="宋体" w:hAnsi="宋体" w:cs="宋体"/>
          <w:b/>
          <w:bCs/>
          <w:color w:val="auto"/>
          <w:sz w:val="21"/>
          <w:szCs w:val="21"/>
          <w:highlight w:val="none"/>
        </w:rPr>
        <w:t>、报价分</w:t>
      </w:r>
      <w:r>
        <w:rPr>
          <w:rFonts w:ascii="宋体" w:hAnsi="宋体" w:cs="宋体"/>
          <w:b/>
          <w:bCs/>
          <w:color w:val="auto"/>
          <w:sz w:val="21"/>
          <w:szCs w:val="21"/>
          <w:highlight w:val="none"/>
        </w:rPr>
        <w:tab/>
      </w:r>
      <w:r>
        <w:rPr>
          <w:rFonts w:hint="eastAsia" w:ascii="宋体" w:hAnsi="宋体" w:cs="宋体"/>
          <w:b/>
          <w:bCs/>
          <w:color w:val="auto"/>
          <w:sz w:val="21"/>
          <w:szCs w:val="21"/>
          <w:highlight w:val="none"/>
          <w:lang w:val="en-US" w:eastAsia="zh-CN"/>
        </w:rPr>
        <w:t>(60分)</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报价评分将在有效供应商范围内进行，最高得</w:t>
      </w:r>
      <w:r>
        <w:rPr>
          <w:rFonts w:hint="eastAsia" w:ascii="宋体" w:hAnsi="宋体" w:cs="宋体"/>
          <w:color w:val="auto"/>
          <w:sz w:val="21"/>
          <w:szCs w:val="21"/>
          <w:highlight w:val="none"/>
          <w:lang w:val="en-US" w:eastAsia="zh-CN"/>
        </w:rPr>
        <w:t>6</w:t>
      </w:r>
      <w:r>
        <w:rPr>
          <w:rFonts w:ascii="宋体" w:hAnsi="宋体" w:cs="宋体"/>
          <w:color w:val="auto"/>
          <w:sz w:val="21"/>
          <w:szCs w:val="21"/>
          <w:highlight w:val="none"/>
        </w:rPr>
        <w:t>0</w:t>
      </w:r>
      <w:r>
        <w:rPr>
          <w:rFonts w:hint="eastAsia" w:ascii="宋体" w:hAnsi="宋体" w:cs="宋体"/>
          <w:color w:val="auto"/>
          <w:sz w:val="21"/>
          <w:szCs w:val="21"/>
          <w:highlight w:val="none"/>
        </w:rPr>
        <w:t>分最低得</w:t>
      </w:r>
      <w:r>
        <w:rPr>
          <w:rFonts w:ascii="宋体" w:hAnsi="宋体" w:cs="宋体"/>
          <w:color w:val="auto"/>
          <w:sz w:val="21"/>
          <w:szCs w:val="21"/>
          <w:highlight w:val="none"/>
        </w:rPr>
        <w:t xml:space="preserve">0 </w:t>
      </w:r>
      <w:r>
        <w:rPr>
          <w:rFonts w:hint="eastAsia" w:ascii="宋体" w:hAnsi="宋体" w:cs="宋体"/>
          <w:color w:val="auto"/>
          <w:sz w:val="21"/>
          <w:szCs w:val="21"/>
          <w:highlight w:val="none"/>
        </w:rPr>
        <w:t>分（小数点后保留二位小数，第三位四舍五入）。满足竞争性磋商文件要求且最后报价最低的磋商报价为磋商基准价，供应商的价格分统一按照下列公式</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计算：磋商报价得分</w:t>
      </w:r>
      <w:r>
        <w:rPr>
          <w:rFonts w:ascii="宋体" w:hAnsi="宋体" w:cs="宋体"/>
          <w:color w:val="auto"/>
          <w:sz w:val="21"/>
          <w:szCs w:val="21"/>
          <w:highlight w:val="none"/>
        </w:rPr>
        <w:t>=</w:t>
      </w:r>
      <w:r>
        <w:rPr>
          <w:rFonts w:hint="eastAsia" w:ascii="宋体" w:hAnsi="宋体" w:cs="宋体"/>
          <w:color w:val="auto"/>
          <w:sz w:val="21"/>
          <w:szCs w:val="21"/>
          <w:highlight w:val="none"/>
        </w:rPr>
        <w:t>（磋商基准价</w:t>
      </w:r>
      <w:r>
        <w:rPr>
          <w:rFonts w:ascii="宋体" w:hAnsi="宋体" w:cs="宋体"/>
          <w:color w:val="auto"/>
          <w:sz w:val="21"/>
          <w:szCs w:val="21"/>
          <w:highlight w:val="none"/>
        </w:rPr>
        <w:t>/</w:t>
      </w:r>
      <w:r>
        <w:rPr>
          <w:rFonts w:hint="eastAsia" w:ascii="宋体" w:hAnsi="宋体" w:cs="宋体"/>
          <w:color w:val="auto"/>
          <w:sz w:val="21"/>
          <w:szCs w:val="21"/>
          <w:highlight w:val="none"/>
        </w:rPr>
        <w:t>最后磋商报价）×价格权值×</w:t>
      </w:r>
      <w:r>
        <w:rPr>
          <w:rFonts w:ascii="宋体" w:hAnsi="宋体" w:cs="宋体"/>
          <w:color w:val="auto"/>
          <w:sz w:val="21"/>
          <w:szCs w:val="21"/>
          <w:highlight w:val="none"/>
        </w:rPr>
        <w:t>100</w:t>
      </w:r>
      <w:r>
        <w:rPr>
          <w:rFonts w:hint="eastAsia" w:ascii="宋体" w:hAnsi="宋体" w:cs="宋体"/>
          <w:color w:val="auto"/>
          <w:sz w:val="21"/>
          <w:szCs w:val="21"/>
          <w:highlight w:val="none"/>
        </w:rPr>
        <w:t>。</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ascii="宋体" w:hAnsi="宋体" w:cs="宋体"/>
          <w:b/>
          <w:bCs/>
          <w:color w:val="auto"/>
          <w:sz w:val="21"/>
          <w:szCs w:val="21"/>
          <w:highlight w:val="none"/>
        </w:rPr>
        <w:t>2</w:t>
      </w:r>
      <w:r>
        <w:rPr>
          <w:rFonts w:hint="eastAsia" w:ascii="宋体" w:hAnsi="宋体" w:cs="宋体"/>
          <w:b/>
          <w:bCs/>
          <w:color w:val="auto"/>
          <w:sz w:val="21"/>
          <w:szCs w:val="21"/>
          <w:highlight w:val="none"/>
        </w:rPr>
        <w:t>、商务技术分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40分</w:t>
      </w:r>
      <w:r>
        <w:rPr>
          <w:rFonts w:hint="eastAsia" w:ascii="宋体" w:hAnsi="宋体" w:cs="宋体"/>
          <w:b/>
          <w:bCs/>
          <w:color w:val="auto"/>
          <w:sz w:val="21"/>
          <w:szCs w:val="21"/>
          <w:highlight w:val="none"/>
          <w:lang w:eastAsia="zh-CN"/>
        </w:rPr>
        <w:t>）</w:t>
      </w:r>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由评标专家负责对投标文件的商务技术部分采用记名方式各自评分。如发现某个单项的评分超出了规定的分值范围的，则该张评分表无效。此项评分为：所有评标专家的有效评分的算术平均值（保留小数</w:t>
      </w:r>
      <w:r>
        <w:rPr>
          <w:rFonts w:ascii="宋体" w:hAnsi="宋体" w:cs="宋体"/>
          <w:color w:val="auto"/>
          <w:sz w:val="21"/>
          <w:szCs w:val="21"/>
          <w:highlight w:val="none"/>
        </w:rPr>
        <w:t xml:space="preserve"> 2 </w:t>
      </w:r>
      <w:r>
        <w:rPr>
          <w:rFonts w:hint="eastAsia" w:ascii="宋体" w:hAnsi="宋体" w:cs="宋体"/>
          <w:color w:val="auto"/>
          <w:sz w:val="21"/>
          <w:szCs w:val="21"/>
          <w:highlight w:val="none"/>
        </w:rPr>
        <w:t>位）。</w:t>
      </w:r>
    </w:p>
    <w:tbl>
      <w:tblPr>
        <w:tblStyle w:val="19"/>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750"/>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评审因素</w:t>
            </w:r>
          </w:p>
        </w:tc>
        <w:tc>
          <w:tcPr>
            <w:tcW w:w="750"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分值</w:t>
            </w:r>
          </w:p>
        </w:tc>
        <w:tc>
          <w:tcPr>
            <w:tcW w:w="7683" w:type="dxa"/>
            <w:vAlign w:val="center"/>
          </w:tcPr>
          <w:p>
            <w:pPr>
              <w:pStyle w:val="37"/>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vAlign w:val="center"/>
          </w:tcPr>
          <w:p>
            <w:pPr>
              <w:pStyle w:val="37"/>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auto"/>
                <w:spacing w:val="-6"/>
                <w:sz w:val="21"/>
                <w:szCs w:val="21"/>
                <w:highlight w:val="none"/>
              </w:rPr>
            </w:pPr>
            <w:r>
              <w:rPr>
                <w:rFonts w:hint="eastAsia" w:ascii="宋体" w:hAnsi="宋体" w:eastAsia="宋体" w:cs="宋体"/>
                <w:b/>
                <w:bCs/>
                <w:color w:val="auto"/>
                <w:spacing w:val="-6"/>
                <w:kern w:val="2"/>
                <w:sz w:val="21"/>
                <w:szCs w:val="21"/>
                <w:highlight w:val="none"/>
              </w:rPr>
              <w:t>价格分</w:t>
            </w:r>
            <w:r>
              <w:rPr>
                <w:rFonts w:hint="eastAsia" w:ascii="宋体" w:hAnsi="宋体" w:eastAsia="宋体" w:cs="宋体"/>
                <w:b/>
                <w:color w:val="auto"/>
                <w:spacing w:val="-6"/>
                <w:sz w:val="21"/>
                <w:szCs w:val="21"/>
                <w:highlight w:val="none"/>
              </w:rPr>
              <w:t>（</w:t>
            </w:r>
            <w:r>
              <w:rPr>
                <w:rFonts w:hint="eastAsia" w:ascii="宋体" w:hAnsi="宋体" w:eastAsia="宋体" w:cs="宋体"/>
                <w:b/>
                <w:color w:val="auto"/>
                <w:spacing w:val="-6"/>
                <w:sz w:val="21"/>
                <w:szCs w:val="21"/>
                <w:highlight w:val="none"/>
                <w:lang w:val="en-US" w:eastAsia="zh-CN"/>
              </w:rPr>
              <w:t>6</w:t>
            </w:r>
            <w:r>
              <w:rPr>
                <w:rFonts w:hint="eastAsia" w:ascii="宋体" w:hAnsi="宋体" w:eastAsia="宋体" w:cs="宋体"/>
                <w:b/>
                <w:color w:val="auto"/>
                <w:spacing w:val="-6"/>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pStyle w:val="8"/>
              <w:keepNext w:val="0"/>
              <w:keepLines w:val="0"/>
              <w:pageBreakBefore w:val="0"/>
              <w:widowControl w:val="0"/>
              <w:kinsoku/>
              <w:wordWrap/>
              <w:overflowPunct/>
              <w:topLinePunct w:val="0"/>
              <w:autoSpaceDE/>
              <w:autoSpaceDN/>
              <w:bidi w:val="0"/>
              <w:spacing w:line="240" w:lineRule="auto"/>
              <w:ind w:firstLine="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投标报价</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6</w:t>
            </w:r>
            <w:r>
              <w:rPr>
                <w:rFonts w:hint="eastAsia" w:ascii="宋体" w:hAnsi="宋体" w:eastAsia="宋体" w:cs="宋体"/>
                <w:color w:val="auto"/>
                <w:spacing w:val="-6"/>
                <w:sz w:val="21"/>
                <w:szCs w:val="21"/>
                <w:highlight w:val="none"/>
              </w:rPr>
              <w:t>0</w:t>
            </w:r>
          </w:p>
        </w:tc>
        <w:tc>
          <w:tcPr>
            <w:tcW w:w="7683" w:type="dxa"/>
            <w:vAlign w:val="center"/>
          </w:tcPr>
          <w:p>
            <w:pPr>
              <w:keepNext w:val="0"/>
              <w:keepLines w:val="0"/>
              <w:pageBreakBefore w:val="0"/>
              <w:widowControl w:val="0"/>
              <w:kinsoku/>
              <w:wordWrap/>
              <w:overflowPunct/>
              <w:topLinePunct w:val="0"/>
              <w:autoSpaceDE/>
              <w:autoSpaceDN/>
              <w:bidi w:val="0"/>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评标基准价=满足招标文件要求且投标价最低的投标报价为评标基准价。</w:t>
            </w:r>
          </w:p>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得分：投标价为基准价的，得满分</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0分，其他投标报价得分计算公式如下：</w:t>
            </w:r>
          </w:p>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0%×100</w:t>
            </w:r>
          </w:p>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（经评标委员会审核，投标商所投产品若有缺项，所缺部分将加上其他投标商所投产品同类部分中的最高价格作为其投标报价打分的依据）。</w:t>
            </w:r>
          </w:p>
          <w:p>
            <w:pPr>
              <w:keepNext w:val="0"/>
              <w:keepLines w:val="0"/>
              <w:pageBreakBefore w:val="0"/>
              <w:widowControl w:val="0"/>
              <w:kinsoku/>
              <w:wordWrap/>
              <w:overflowPunct/>
              <w:topLinePunct w:val="0"/>
              <w:autoSpaceDE/>
              <w:autoSpaceDN/>
              <w:bidi w:val="0"/>
              <w:adjustRightInd w:val="0"/>
              <w:snapToGrid w:val="0"/>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根据《政府采购促进中小企业发展暂行办法》（财库[2011]181号）及《财政部 司法部关于政府采购支持监狱企业发展有关问题的通知》（财库[2014]68号）规定要求，评标委员会对提供有效认定材料的小微企业及监狱企业给予6%的价格扣除后，计算各投标人价格分，其中：</w:t>
            </w:r>
          </w:p>
          <w:p>
            <w:pPr>
              <w:keepNext w:val="0"/>
              <w:keepLines w:val="0"/>
              <w:pageBreakBefore w:val="0"/>
              <w:widowControl w:val="0"/>
              <w:kinsoku/>
              <w:wordWrap/>
              <w:overflowPunct/>
              <w:topLinePunct w:val="0"/>
              <w:autoSpaceDE/>
              <w:autoSpaceDN/>
              <w:bidi w:val="0"/>
              <w:adjustRightInd w:val="0"/>
              <w:snapToGrid w:val="0"/>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a.中小企业划分标准根据《政府采购促进中小企业发展暂行办法》（财库[2011]181号）文件确定，参加政府采购活动的中小企业应当根据划分标准如实填写财库[2011]181号文件附件格式的《中小企业声明函》供评标委员会认定；b.监狱企业参加政府采购活动时，应当提供由省级以上监狱管理局、戒毒管理局（含新疆生产建设兵团）出具的属于监狱企业的证明文件供评标委员会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205" w:type="dxa"/>
            <w:gridSpan w:val="3"/>
            <w:vAlign w:val="center"/>
          </w:tcPr>
          <w:p>
            <w:pPr>
              <w:pStyle w:val="37"/>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商务分（</w:t>
            </w:r>
            <w:r>
              <w:rPr>
                <w:rFonts w:hint="eastAsia" w:ascii="宋体" w:hAnsi="宋体" w:eastAsia="宋体" w:cs="宋体"/>
                <w:b/>
                <w:color w:val="auto"/>
                <w:spacing w:val="-6"/>
                <w:sz w:val="21"/>
                <w:szCs w:val="21"/>
                <w:highlight w:val="none"/>
                <w:lang w:val="en-US" w:eastAsia="zh-CN"/>
              </w:rPr>
              <w:t>8</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772" w:type="dxa"/>
            <w:vMerge w:val="restart"/>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企业的资信、业绩</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3</w:t>
            </w:r>
          </w:p>
        </w:tc>
        <w:tc>
          <w:tcPr>
            <w:tcW w:w="7683" w:type="dxa"/>
            <w:vAlign w:val="center"/>
          </w:tcPr>
          <w:p>
            <w:pPr>
              <w:keepNext w:val="0"/>
              <w:keepLines w:val="0"/>
              <w:pageBreakBefore w:val="0"/>
              <w:widowControl w:val="0"/>
              <w:kinsoku/>
              <w:wordWrap/>
              <w:overflowPunct/>
              <w:topLinePunct w:val="0"/>
              <w:autoSpaceDE/>
              <w:autoSpaceDN/>
              <w:bidi w:val="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供应商自2016年1月1日</w:t>
            </w:r>
            <w:r>
              <w:rPr>
                <w:rFonts w:hint="eastAsia" w:ascii="宋体" w:hAnsi="宋体" w:eastAsia="宋体" w:cs="宋体"/>
                <w:color w:val="auto"/>
                <w:spacing w:val="-6"/>
                <w:sz w:val="21"/>
                <w:szCs w:val="21"/>
                <w:highlight w:val="none"/>
              </w:rPr>
              <w:t>【以竣（交）工验收资料时间为准】</w:t>
            </w:r>
            <w:r>
              <w:rPr>
                <w:rFonts w:hint="eastAsia" w:ascii="宋体" w:hAnsi="宋体" w:eastAsia="宋体" w:cs="宋体"/>
                <w:color w:val="auto"/>
                <w:sz w:val="21"/>
                <w:szCs w:val="21"/>
                <w:highlight w:val="none"/>
              </w:rPr>
              <w:t>以来承担过同类项目施工业绩，一项工程得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772" w:type="dxa"/>
            <w:vMerge w:val="continue"/>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z w:val="21"/>
                <w:szCs w:val="21"/>
                <w:highlight w:val="none"/>
              </w:rPr>
            </w:pP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2</w:t>
            </w:r>
          </w:p>
        </w:tc>
        <w:tc>
          <w:tcPr>
            <w:tcW w:w="7683" w:type="dxa"/>
            <w:vAlign w:val="center"/>
          </w:tcPr>
          <w:p>
            <w:pPr>
              <w:keepNext w:val="0"/>
              <w:keepLines w:val="0"/>
              <w:pageBreakBefore w:val="0"/>
              <w:widowControl w:val="0"/>
              <w:kinsoku/>
              <w:wordWrap/>
              <w:overflowPunct/>
              <w:topLinePunct w:val="0"/>
              <w:autoSpaceDE/>
              <w:autoSpaceDN/>
              <w:bidi w:val="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供应商具有荣誉证书、获奖情况，以体现供应商的企业实力、施工能力、合同履约能力等方面的优势，进行评分</w:t>
            </w:r>
            <w:r>
              <w:rPr>
                <w:rFonts w:hint="eastAsia" w:ascii="宋体" w:hAnsi="宋体" w:cs="宋体"/>
                <w:color w:val="auto"/>
                <w:sz w:val="21"/>
                <w:szCs w:val="21"/>
                <w:highlight w:val="none"/>
                <w:lang w:eastAsia="zh-CN"/>
              </w:rPr>
              <w:t>，每有一个得</w:t>
            </w:r>
            <w:r>
              <w:rPr>
                <w:rFonts w:hint="eastAsia" w:ascii="宋体" w:hAnsi="宋体" w:cs="宋体"/>
                <w:color w:val="auto"/>
                <w:sz w:val="21"/>
                <w:szCs w:val="21"/>
                <w:highlight w:val="none"/>
                <w:lang w:val="en-US" w:eastAsia="zh-CN"/>
              </w:rPr>
              <w:t>0.5分，最高得2分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项目经理</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2</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项目经理自2016年1月1日【以竣（交）工验收资料时间为准】以来，以项目负责人身份完成过类似工程业绩。每个业绩得</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rPr>
              <w:t>分，最多得</w:t>
            </w:r>
            <w:r>
              <w:rPr>
                <w:rFonts w:hint="eastAsia" w:ascii="宋体" w:hAnsi="宋体" w:eastAsia="宋体" w:cs="宋体"/>
                <w:color w:val="auto"/>
                <w:spacing w:val="-6"/>
                <w:sz w:val="21"/>
                <w:szCs w:val="21"/>
                <w:highlight w:val="none"/>
                <w:lang w:val="en-US" w:eastAsia="zh-CN"/>
              </w:rPr>
              <w:t>2</w:t>
            </w:r>
            <w:r>
              <w:rPr>
                <w:rFonts w:hint="eastAsia" w:ascii="宋体" w:hAnsi="宋体" w:eastAsia="宋体" w:cs="宋体"/>
                <w:color w:val="auto"/>
                <w:spacing w:val="-6"/>
                <w:sz w:val="21"/>
                <w:szCs w:val="21"/>
                <w:highlight w:val="none"/>
              </w:rPr>
              <w:t>分。</w:t>
            </w:r>
            <w:r>
              <w:rPr>
                <w:rFonts w:hint="eastAsia" w:ascii="宋体" w:hAnsi="宋体" w:eastAsia="宋体" w:cs="宋体"/>
                <w:color w:val="auto"/>
                <w:sz w:val="21"/>
                <w:szCs w:val="21"/>
                <w:highlight w:val="none"/>
              </w:rPr>
              <w:t>证明材料：须同时出具中标通知书、施工合同复印件及竣工验收报告复印件（加盖公章），三者缺一不可，未提供或提供资料不完整的均不得分。（原件备查）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信用等级</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1</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供应商的信用等级为AA级的得</w:t>
            </w:r>
            <w:r>
              <w:rPr>
                <w:rFonts w:hint="eastAsia" w:ascii="宋体" w:hAnsi="宋体" w:eastAsia="宋体" w:cs="宋体"/>
                <w:color w:val="auto"/>
                <w:spacing w:val="-6"/>
                <w:sz w:val="21"/>
                <w:szCs w:val="21"/>
                <w:highlight w:val="none"/>
                <w:lang w:val="en-US" w:eastAsia="zh-CN"/>
              </w:rPr>
              <w:t>0.5</w:t>
            </w:r>
            <w:r>
              <w:rPr>
                <w:rFonts w:hint="eastAsia" w:ascii="宋体" w:hAnsi="宋体" w:eastAsia="宋体" w:cs="宋体"/>
                <w:color w:val="auto"/>
                <w:spacing w:val="-6"/>
                <w:sz w:val="21"/>
                <w:szCs w:val="21"/>
                <w:highlight w:val="none"/>
              </w:rPr>
              <w:t xml:space="preserve">分，AAA级的得 </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 xml:space="preserve"> 分，</w:t>
            </w:r>
            <w:r>
              <w:rPr>
                <w:rFonts w:hint="eastAsia" w:ascii="宋体" w:hAnsi="宋体" w:eastAsia="宋体" w:cs="宋体"/>
                <w:color w:val="auto"/>
                <w:spacing w:val="-6"/>
                <w:sz w:val="21"/>
                <w:szCs w:val="21"/>
                <w:highlight w:val="none"/>
                <w:lang w:eastAsia="zh-CN"/>
              </w:rPr>
              <w:t>其余</w:t>
            </w:r>
            <w:r>
              <w:rPr>
                <w:rFonts w:hint="eastAsia" w:ascii="宋体" w:hAnsi="宋体" w:eastAsia="宋体" w:cs="宋体"/>
                <w:color w:val="auto"/>
                <w:spacing w:val="-6"/>
                <w:sz w:val="21"/>
                <w:szCs w:val="21"/>
                <w:highlight w:val="none"/>
              </w:rPr>
              <w:t>不得分。以响应文件中所附信用等级报告证书复印件或信用等级荣誉奖状为评分依据。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0205" w:type="dxa"/>
            <w:gridSpan w:val="3"/>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b/>
                <w:color w:val="auto"/>
                <w:spacing w:val="-6"/>
                <w:sz w:val="21"/>
                <w:szCs w:val="21"/>
                <w:highlight w:val="none"/>
              </w:rPr>
              <w:t>技术分（</w:t>
            </w:r>
            <w:r>
              <w:rPr>
                <w:rFonts w:hint="eastAsia" w:ascii="宋体" w:hAnsi="宋体" w:eastAsia="宋体" w:cs="宋体"/>
                <w:b/>
                <w:color w:val="auto"/>
                <w:spacing w:val="-6"/>
                <w:sz w:val="21"/>
                <w:szCs w:val="21"/>
                <w:highlight w:val="none"/>
                <w:lang w:val="en-US" w:eastAsia="zh-CN"/>
              </w:rPr>
              <w:t>32</w:t>
            </w:r>
            <w:r>
              <w:rPr>
                <w:rFonts w:hint="eastAsia" w:ascii="宋体" w:hAnsi="宋体" w:eastAsia="宋体" w:cs="宋体"/>
                <w:b/>
                <w:color w:val="auto"/>
                <w:spacing w:val="-6"/>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施工方案</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default"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highlight w:val="none"/>
              </w:rPr>
              <w:t>施工方案全面、合理，具有针对性</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施工总平面布置情况</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2</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是否符合施工现场实际情况，施工总平面安排科学合理， 符合本项目施工实际要求。根据材料堆场、施工通道的安排和施工人员住宿安排 计划的科学性、合理性进行打分。</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2分，其余酌情扣分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安全文明施工保证</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2</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安全、文明施工等的保证措施是否科学、合理流动、到位</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2分，其余酌情扣分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施工机械设备投入</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施工机具和检验仪器的投入能够满足工程质量和进度的要求</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工期承诺、进度控制措施及施工质量控制措施</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5</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工期承诺有利于采购人及项目的实施，进度控制措施具有针对性和可行性，施工质量的控制措施科学、合理</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5分，其余酌情扣分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材料设备进场计划及施工计划情况</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4</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具有详细的材料设备进场计划且计划周密，材料数量、质量控制，时间安排合理，满足施工需要。</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4分，其余酌情扣分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投入本项目的技术力量</w:t>
            </w:r>
            <w:r>
              <w:rPr>
                <w:rFonts w:hint="eastAsia" w:ascii="宋体" w:hAnsi="宋体" w:eastAsia="宋体" w:cs="宋体"/>
                <w:color w:val="auto"/>
                <w:sz w:val="21"/>
                <w:szCs w:val="21"/>
                <w:highlight w:val="none"/>
              </w:rPr>
              <w:t>是否能满足工程的需要</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6</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1.拟投入本工程管理人员岗位配置、专业配置的满足性及管理人员的专业能力（从管理人员的经验、职称、所学专业进行评估</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3分，其余酌情扣分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 w:val="21"/>
                <w:szCs w:val="21"/>
                <w:highlight w:val="none"/>
                <w:lang w:val="en-US" w:eastAsia="zh-CN"/>
              </w:rPr>
              <w:t>3分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2.派驻现场的工程施工人员的配置情况：本项由专家根据各供应商提供的人员配置 数量、结构、内部管理制度以及如何满足本工程的施工的要求的描述分档酌情打分</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3分，其余酌情扣分</w:t>
            </w:r>
            <w:r>
              <w:rPr>
                <w:rFonts w:hint="eastAsia" w:ascii="宋体" w:hAnsi="宋体" w:eastAsia="宋体" w:cs="宋体"/>
                <w:color w:val="auto"/>
                <w:sz w:val="21"/>
                <w:szCs w:val="21"/>
                <w:highlight w:val="none"/>
              </w:rPr>
              <w:t>。（</w:t>
            </w:r>
            <w:r>
              <w:rPr>
                <w:rFonts w:hint="eastAsia" w:ascii="宋体" w:hAnsi="宋体" w:eastAsia="宋体" w:cs="宋体"/>
                <w:color w:val="auto"/>
                <w:spacing w:val="-6"/>
                <w:sz w:val="21"/>
                <w:szCs w:val="21"/>
                <w:highlight w:val="none"/>
                <w:lang w:val="en-US" w:eastAsia="zh-CN"/>
              </w:rPr>
              <w:t>3分</w:t>
            </w:r>
            <w:r>
              <w:rPr>
                <w:rFonts w:hint="eastAsia" w:ascii="宋体" w:hAnsi="宋体" w:eastAsia="宋体" w:cs="宋体"/>
                <w:color w:val="auto"/>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72"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应急处置方案及售后服务</w:t>
            </w:r>
          </w:p>
        </w:tc>
        <w:tc>
          <w:tcPr>
            <w:tcW w:w="750" w:type="dxa"/>
            <w:vAlign w:val="center"/>
          </w:tcPr>
          <w:p>
            <w:pPr>
              <w:keepNext w:val="0"/>
              <w:keepLines w:val="0"/>
              <w:pageBreakBefore w:val="0"/>
              <w:widowControl w:val="0"/>
              <w:kinsoku/>
              <w:wordWrap/>
              <w:overflowPunct/>
              <w:topLinePunct w:val="0"/>
              <w:autoSpaceDE/>
              <w:autoSpaceDN/>
              <w:bidi w:val="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pacing w:val="-6"/>
                <w:sz w:val="21"/>
                <w:szCs w:val="21"/>
                <w:highlight w:val="none"/>
                <w:lang w:val="en-US" w:eastAsia="zh-CN"/>
              </w:rPr>
              <w:t>3</w:t>
            </w:r>
          </w:p>
        </w:tc>
        <w:tc>
          <w:tcPr>
            <w:tcW w:w="7683" w:type="dxa"/>
            <w:vAlign w:val="center"/>
          </w:tcPr>
          <w:p>
            <w:pPr>
              <w:keepNext w:val="0"/>
              <w:keepLines w:val="0"/>
              <w:pageBreakBefore w:val="0"/>
              <w:widowControl w:val="0"/>
              <w:kinsoku/>
              <w:wordWrap/>
              <w:overflowPunct/>
              <w:topLinePunct w:val="0"/>
              <w:autoSpaceDE/>
              <w:autoSpaceDN/>
              <w:bidi w:val="0"/>
              <w:jc w:val="both"/>
              <w:textAlignment w:val="auto"/>
              <w:rPr>
                <w:rFonts w:hint="eastAsia" w:ascii="宋体" w:hAnsi="宋体" w:eastAsia="宋体" w:cs="宋体"/>
                <w:color w:val="auto"/>
                <w:spacing w:val="-6"/>
                <w:sz w:val="21"/>
                <w:szCs w:val="21"/>
                <w:highlight w:val="none"/>
              </w:rPr>
            </w:pPr>
            <w:bookmarkStart w:id="263" w:name="_GoBack"/>
            <w:r>
              <w:rPr>
                <w:rFonts w:hint="eastAsia" w:ascii="宋体" w:hAnsi="宋体" w:eastAsia="宋体" w:cs="宋体"/>
                <w:color w:val="auto"/>
                <w:spacing w:val="-6"/>
                <w:sz w:val="21"/>
                <w:szCs w:val="21"/>
                <w:highlight w:val="none"/>
              </w:rPr>
              <w:t>具备完善的售后技术支持和服务体系设计，能够提供服务标准、服务流程、服务内容</w:t>
            </w:r>
            <w:r>
              <w:rPr>
                <w:rFonts w:hint="eastAsia" w:ascii="宋体" w:hAnsi="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rPr>
              <w:t>提供应急预案，并承诺紧急的响应时间</w:t>
            </w:r>
            <w:r>
              <w:rPr>
                <w:rFonts w:hint="eastAsia" w:ascii="宋体" w:hAnsi="宋体" w:eastAsia="宋体" w:cs="宋体"/>
                <w:color w:val="auto"/>
                <w:spacing w:val="-6"/>
                <w:sz w:val="21"/>
                <w:szCs w:val="21"/>
                <w:highlight w:val="none"/>
                <w:lang w:eastAsia="zh-CN"/>
              </w:rPr>
              <w:t>。</w:t>
            </w:r>
            <w:r>
              <w:rPr>
                <w:rFonts w:hint="eastAsia" w:ascii="宋体" w:hAnsi="宋体" w:cs="宋体"/>
                <w:color w:val="auto"/>
                <w:sz w:val="21"/>
                <w:szCs w:val="21"/>
                <w:highlight w:val="none"/>
                <w:lang w:eastAsia="zh-CN"/>
              </w:rPr>
              <w:t>最高得</w:t>
            </w:r>
            <w:r>
              <w:rPr>
                <w:rFonts w:hint="eastAsia" w:ascii="宋体" w:hAnsi="宋体" w:cs="宋体"/>
                <w:color w:val="auto"/>
                <w:sz w:val="21"/>
                <w:szCs w:val="21"/>
                <w:highlight w:val="none"/>
                <w:lang w:val="en-US" w:eastAsia="zh-CN"/>
              </w:rPr>
              <w:t>3分，其余酌情扣分</w:t>
            </w:r>
            <w:bookmarkEnd w:id="263"/>
          </w:p>
        </w:tc>
      </w:tr>
    </w:tbl>
    <w:p>
      <w:pPr>
        <w:spacing w:line="1" w:lineRule="exact"/>
        <w:rPr>
          <w:rFonts w:ascii="宋体" w:cs="宋体"/>
          <w:color w:val="auto"/>
          <w:sz w:val="20"/>
          <w:szCs w:val="20"/>
          <w:highlight w:val="none"/>
        </w:rPr>
      </w:pPr>
      <w:bookmarkStart w:id="260" w:name="page92"/>
      <w:bookmarkEnd w:id="260"/>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五、成交办法</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采购人将根据磋商小组提交的评审报告及推荐的成交候选人，按有关规定确定成交人。</w:t>
      </w:r>
    </w:p>
    <w:p>
      <w:pPr>
        <w:spacing w:line="360" w:lineRule="auto"/>
        <w:ind w:firstLine="422" w:firstLineChars="200"/>
        <w:rPr>
          <w:rFonts w:ascii="宋体" w:cs="宋体"/>
          <w:color w:val="auto"/>
          <w:sz w:val="20"/>
          <w:szCs w:val="20"/>
          <w:highlight w:val="none"/>
        </w:rPr>
      </w:pPr>
      <w:r>
        <w:rPr>
          <w:rFonts w:hint="eastAsia" w:ascii="宋体" w:hAnsi="宋体" w:cs="宋体"/>
          <w:b/>
          <w:bCs/>
          <w:color w:val="auto"/>
          <w:sz w:val="21"/>
          <w:szCs w:val="21"/>
          <w:highlight w:val="none"/>
        </w:rPr>
        <w:t>六、定标</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）定标由招标人负责。</w:t>
      </w:r>
    </w:p>
    <w:p>
      <w:pPr>
        <w:spacing w:line="360" w:lineRule="auto"/>
        <w:ind w:firstLine="420" w:firstLineChars="200"/>
        <w:rPr>
          <w:rFonts w:ascii="宋体" w:cs="宋体"/>
          <w:color w:val="auto"/>
          <w:sz w:val="20"/>
          <w:szCs w:val="2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）决标按照原国家发展计划委员会等七部委</w:t>
      </w:r>
      <w:r>
        <w:rPr>
          <w:rFonts w:ascii="宋体" w:hAnsi="宋体" w:cs="宋体"/>
          <w:color w:val="auto"/>
          <w:sz w:val="21"/>
          <w:szCs w:val="21"/>
          <w:highlight w:val="none"/>
        </w:rPr>
        <w:t>30</w:t>
      </w:r>
      <w:r>
        <w:rPr>
          <w:rFonts w:hint="eastAsia" w:ascii="宋体" w:hAnsi="宋体" w:cs="宋体"/>
          <w:color w:val="auto"/>
          <w:sz w:val="21"/>
          <w:szCs w:val="21"/>
          <w:highlight w:val="none"/>
        </w:rPr>
        <w:t>号令的有关规定，确定中标人。</w:t>
      </w:r>
    </w:p>
    <w:p>
      <w:pPr>
        <w:spacing w:line="360" w:lineRule="auto"/>
        <w:ind w:firstLine="420" w:firstLineChars="200"/>
        <w:rPr>
          <w:rFonts w:ascii="宋体" w:cs="宋体"/>
          <w:b/>
          <w:bCs/>
          <w:color w:val="auto"/>
          <w:sz w:val="21"/>
          <w:szCs w:val="21"/>
          <w:highlight w:val="none"/>
          <w:u w:val="singl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w:t>
      </w:r>
      <w:r>
        <w:rPr>
          <w:rFonts w:hint="eastAsia" w:ascii="宋体" w:hAnsi="宋体" w:cs="宋体"/>
          <w:b/>
          <w:bCs/>
          <w:color w:val="auto"/>
          <w:sz w:val="21"/>
          <w:szCs w:val="21"/>
          <w:highlight w:val="none"/>
          <w:u w:val="single"/>
        </w:rPr>
        <w:t>如发生投诉争议等情况时，经查实中标候选人存在违法、违规行为，不符合中标条件，且该行为在</w:t>
      </w:r>
    </w:p>
    <w:p>
      <w:pPr>
        <w:spacing w:line="360" w:lineRule="auto"/>
        <w:ind w:firstLine="422" w:firstLineChars="200"/>
        <w:rPr>
          <w:rFonts w:ascii="宋体" w:cs="宋体"/>
          <w:b/>
          <w:bCs/>
          <w:color w:val="auto"/>
          <w:sz w:val="21"/>
          <w:szCs w:val="21"/>
          <w:highlight w:val="none"/>
          <w:u w:val="single"/>
        </w:rPr>
      </w:pPr>
      <w:r>
        <w:rPr>
          <w:rFonts w:hint="eastAsia" w:ascii="宋体" w:hAnsi="宋体" w:cs="宋体"/>
          <w:b/>
          <w:bCs/>
          <w:color w:val="auto"/>
          <w:sz w:val="21"/>
          <w:szCs w:val="21"/>
          <w:highlight w:val="none"/>
          <w:u w:val="single"/>
        </w:rPr>
        <w:t>评标时是无法发现和确认的，招标人可以在其他中标侯选人中按照推荐的排序确定中标人。</w:t>
      </w:r>
    </w:p>
    <w:p>
      <w:pPr>
        <w:spacing w:line="360" w:lineRule="auto"/>
        <w:ind w:firstLine="420" w:firstLineChars="200"/>
        <w:rPr>
          <w:rFonts w:ascii="宋体" w:cs="宋体"/>
          <w:b/>
          <w:bCs/>
          <w:color w:val="auto"/>
          <w:sz w:val="30"/>
          <w:szCs w:val="30"/>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）当所有中标候选人经查实都存在违法、违规行为时，将重新依法组织招标。</w:t>
      </w:r>
      <w:bookmarkStart w:id="261" w:name="page94"/>
      <w:bookmarkEnd w:id="261"/>
      <w:bookmarkStart w:id="262" w:name="page93"/>
      <w:bookmarkEnd w:id="262"/>
    </w:p>
    <w:sectPr>
      <w:pgSz w:w="11906" w:h="16840"/>
      <w:pgMar w:top="1440" w:right="1080" w:bottom="1440" w:left="1080" w:header="567" w:footer="567" w:gutter="0"/>
      <w:cols w:equalWidth="0" w:num="1">
        <w:col w:w="13978"/>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0"/>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52</w:t>
                </w:r>
                <w:r>
                  <w:fldChar w:fldCharType="end"/>
                </w:r>
              </w:p>
            </w:txbxContent>
          </v:textbox>
        </v:shape>
      </w:pict>
    </w:r>
    <w:r>
      <w:pict>
        <v:shape id="图片 1" o:spid="_x0000_s2050" o:spt="75" alt="无标题2" type="#_x0000_t75" style="position:absolute;left:0pt;margin-left:411pt;margin-top:787.95pt;height:28.35pt;width:116.65pt;z-index:-251659264;mso-width-relative:page;mso-height-relative:page;" filled="f" o:preferrelative="t" stroked="f" coordsize="21600,21600">
          <v:path/>
          <v:fill on="f" focussize="0,0"/>
          <v:stroke on="f" joinstyle="miter"/>
          <v:imagedata r:id="rId1" o:title=""/>
          <o:lock v:ext="edit" aspectratio="t"/>
        </v:shape>
      </w:pict>
    </w:r>
    <w:r>
      <w:pict>
        <v:shape id="图片 7" o:spid="_x0000_s2051" o:spt="75" alt="无标题2" type="#_x0000_t75" style="position:absolute;left:0pt;margin-left:411pt;margin-top:787.95pt;height:28.35pt;width:116.65pt;z-index:-251662336;mso-width-relative:page;mso-height-relative:page;" filled="f" o:preferrelative="t" stroked="f" coordsize="21600,21600">
          <v:path/>
          <v:fill on="f" focussize="0,0"/>
          <v:stroke on="f" joinstyle="miter"/>
          <v:imagedata r:id="rId1" o:title=""/>
          <o:lock v:ext="edit" aspectratio="t"/>
        </v:shape>
      </w:pict>
    </w:r>
    <w:r>
      <w:pict>
        <v:shape id="图片 3" o:spid="_x0000_s2052" o:spt="75" alt="无标题2" type="#_x0000_t75" style="position:absolute;left:0pt;margin-left:411pt;margin-top:787.95pt;height:28.35pt;width:116.65pt;z-index:-251660288;mso-width-relative:page;mso-height-relative:page;" filled="f" o:preferrelative="t" stroked="f" coordsize="21600,21600">
          <v:path/>
          <v:fill on="f" focussize="0,0"/>
          <v:stroke on="f" joinstyle="miter"/>
          <v:imagedata r:id="rId1" o:title=""/>
          <o:lock v:ext="edit" aspectratio="t"/>
        </v:shape>
      </w:pict>
    </w:r>
    <w:r>
      <w:pict>
        <v:shape id="图片 4" o:spid="_x0000_s2053" o:spt="75" alt="无标题2" type="#_x0000_t75" style="position:absolute;left:0pt;margin-left:411pt;margin-top:787.95pt;height:28.35pt;width:116.65pt;z-index:-251661312;mso-width-relative:page;mso-height-relative:page;" filled="f" o:preferrelative="t" stroked="f" coordsize="21600,21600">
          <v:path/>
          <v:fill on="f" focussize="0,0"/>
          <v:stroke on="f" joinstyle="miter"/>
          <v:imagedata r:id="rId1" o:title=""/>
          <o:lock v:ext="edit" aspectratio="t"/>
        </v:shape>
      </w:pict>
    </w:r>
    <w:r>
      <w:pict>
        <v:shape id="图片 5" o:spid="_x0000_s2054" o:spt="75" alt="无标题2" type="#_x0000_t75" style="position:absolute;left:0pt;margin-left:411pt;margin-top:787.95pt;height:28.35pt;width:116.65pt;z-index:-251658240;mso-width-relative:page;mso-height-relative:page;" filled="f" o:preferrelative="t" stroked="f" coordsize="21600,21600">
          <v:path/>
          <v:fill on="f" focussize="0,0"/>
          <v:stroke on="f" joinstyle="miter"/>
          <v:imagedata r:id="rId1" o:title=""/>
          <o:lock v:ext="edit" aspectratio="t"/>
        </v:shape>
      </w:pict>
    </w:r>
    <w:r>
      <w:pict>
        <v:shape id="图片 2" o:spid="_x0000_s2055" o:spt="75" alt="无标题2" type="#_x0000_t75" style="position:absolute;left:0pt;margin-left:411pt;margin-top:787.95pt;height:28.35pt;width:116.65pt;z-index:-251657216;mso-width-relative:page;mso-height-relative:page;" filled="f" o:preferrelative="t" stroked="f" coordsize="21600,21600">
          <v:path/>
          <v:fill on="f" focussize="0,0"/>
          <v:stroke on="f" joinstyle="miter"/>
          <v:imagedata r:id="rId1" o:title=""/>
          <o:lock v:ext="edit" aspectratio="t"/>
        </v:shape>
      </w:pict>
    </w:r>
    <w:r>
      <w:pict>
        <v:shape id="_x0000_s2056" o:spid="_x0000_s2056" o:spt="75" alt="无标题2" type="#_x0000_t75" style="position:absolute;left:0pt;margin-left:411pt;margin-top:787.95pt;height:28.35pt;width:116.65pt;z-index:-251656192;mso-width-relative:page;mso-height-relative:page;" filled="f" o:preferrelative="t" stroked="f" coordsize="21600,21600">
          <v:path/>
          <v:fill on="f" focussize="0,0"/>
          <v:stroke on="f" joinstyle="miter"/>
          <v:imagedata r:id="rId1" o:title=""/>
          <o:lock v:ext="edit" aspectratio="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87</w:t>
    </w:r>
    <w:r>
      <w:rPr>
        <w:rStyle w:val="21"/>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b/>
        <w:b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both"/>
      <w:rPr>
        <w:b/>
        <w:bCs/>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b/>
        <w:b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51"/>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defaultTabStop w:val="720"/>
  <w:noPunctuationKerning w:val="1"/>
  <w:characterSpacingControl w:val="doNotCompress"/>
  <w:noLineBreaksAfter w:lang="zh-CN" w:val="$([{£¥·‘“〈《「『【〔〖〝﹙﹛﹝＄（．［｛￡￥"/>
  <w:noLineBreaksBefore w:lang="zh-CN" w:val="!%),.:;&gt;?]}¢¨°·ˇˉ―‖’”…‰′″›℃∶、。〃〉》」』】〕〗〞︶︺︾﹀﹄﹚﹜﹞！＂％＇），．：；？］｀｜｝～￠"/>
  <w:hdrShapeDefaults>
    <o:shapelayout v:ext="edit">
      <o:idmap v:ext="edit" data="2"/>
    </o:shapelayout>
  </w:hdrShapeDefaults>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96D"/>
    <w:rsid w:val="000838A3"/>
    <w:rsid w:val="000844BA"/>
    <w:rsid w:val="000A1C20"/>
    <w:rsid w:val="00170469"/>
    <w:rsid w:val="002C0277"/>
    <w:rsid w:val="002C3C72"/>
    <w:rsid w:val="003670EF"/>
    <w:rsid w:val="003A0DFB"/>
    <w:rsid w:val="00513927"/>
    <w:rsid w:val="005B4382"/>
    <w:rsid w:val="006738E1"/>
    <w:rsid w:val="006D2B30"/>
    <w:rsid w:val="00776C7B"/>
    <w:rsid w:val="007C396D"/>
    <w:rsid w:val="007E4312"/>
    <w:rsid w:val="008059DA"/>
    <w:rsid w:val="00875D57"/>
    <w:rsid w:val="008C1FB2"/>
    <w:rsid w:val="008E13B6"/>
    <w:rsid w:val="008E549F"/>
    <w:rsid w:val="00937E58"/>
    <w:rsid w:val="009C3469"/>
    <w:rsid w:val="009E23C3"/>
    <w:rsid w:val="00A07492"/>
    <w:rsid w:val="00A4750C"/>
    <w:rsid w:val="00B04D28"/>
    <w:rsid w:val="00B60F75"/>
    <w:rsid w:val="00BF1F37"/>
    <w:rsid w:val="00D62534"/>
    <w:rsid w:val="00DC2442"/>
    <w:rsid w:val="00DD48E8"/>
    <w:rsid w:val="00E628F1"/>
    <w:rsid w:val="00E9619C"/>
    <w:rsid w:val="00EB4736"/>
    <w:rsid w:val="00EB4D15"/>
    <w:rsid w:val="00EE6CA1"/>
    <w:rsid w:val="00F363BC"/>
    <w:rsid w:val="00FE5FBB"/>
    <w:rsid w:val="01DF3F89"/>
    <w:rsid w:val="03000F96"/>
    <w:rsid w:val="03223869"/>
    <w:rsid w:val="04634121"/>
    <w:rsid w:val="04747B5D"/>
    <w:rsid w:val="04F74647"/>
    <w:rsid w:val="0577178A"/>
    <w:rsid w:val="05E81F60"/>
    <w:rsid w:val="05F5029F"/>
    <w:rsid w:val="06AC07B0"/>
    <w:rsid w:val="06C32363"/>
    <w:rsid w:val="092D0ADC"/>
    <w:rsid w:val="098B217B"/>
    <w:rsid w:val="09EA50AF"/>
    <w:rsid w:val="0A2119D5"/>
    <w:rsid w:val="0D9214F7"/>
    <w:rsid w:val="0DD6312C"/>
    <w:rsid w:val="0E753BA5"/>
    <w:rsid w:val="0ED90966"/>
    <w:rsid w:val="0EFC6EE1"/>
    <w:rsid w:val="0F6B751D"/>
    <w:rsid w:val="113F0361"/>
    <w:rsid w:val="12980354"/>
    <w:rsid w:val="12E6405A"/>
    <w:rsid w:val="13D947C3"/>
    <w:rsid w:val="14563D9A"/>
    <w:rsid w:val="157A40BB"/>
    <w:rsid w:val="15A460B7"/>
    <w:rsid w:val="17984DC4"/>
    <w:rsid w:val="18887FCB"/>
    <w:rsid w:val="18F71FC9"/>
    <w:rsid w:val="191F4290"/>
    <w:rsid w:val="198525A6"/>
    <w:rsid w:val="1A3A3D43"/>
    <w:rsid w:val="1A72109A"/>
    <w:rsid w:val="1AE92DEB"/>
    <w:rsid w:val="1B986626"/>
    <w:rsid w:val="1D307ADB"/>
    <w:rsid w:val="1E9E37E9"/>
    <w:rsid w:val="1EE4407B"/>
    <w:rsid w:val="20E96158"/>
    <w:rsid w:val="229A21DB"/>
    <w:rsid w:val="25662B53"/>
    <w:rsid w:val="258F4041"/>
    <w:rsid w:val="2624006D"/>
    <w:rsid w:val="27973992"/>
    <w:rsid w:val="281B4985"/>
    <w:rsid w:val="288E34E1"/>
    <w:rsid w:val="2A5507CB"/>
    <w:rsid w:val="2A69625D"/>
    <w:rsid w:val="2A901B7A"/>
    <w:rsid w:val="2AB77FBD"/>
    <w:rsid w:val="2AE83444"/>
    <w:rsid w:val="2B6355D3"/>
    <w:rsid w:val="2D601EA8"/>
    <w:rsid w:val="2E443874"/>
    <w:rsid w:val="2E582CD2"/>
    <w:rsid w:val="2E755B7E"/>
    <w:rsid w:val="2F4C17B1"/>
    <w:rsid w:val="2F9F17AF"/>
    <w:rsid w:val="2FD72A51"/>
    <w:rsid w:val="31E14838"/>
    <w:rsid w:val="31ED4076"/>
    <w:rsid w:val="33361AFC"/>
    <w:rsid w:val="3349347A"/>
    <w:rsid w:val="33921610"/>
    <w:rsid w:val="3396625A"/>
    <w:rsid w:val="34023A41"/>
    <w:rsid w:val="34721153"/>
    <w:rsid w:val="351C51A6"/>
    <w:rsid w:val="35432363"/>
    <w:rsid w:val="35D511FF"/>
    <w:rsid w:val="366266F0"/>
    <w:rsid w:val="36BC2F02"/>
    <w:rsid w:val="36BF1A76"/>
    <w:rsid w:val="376974BF"/>
    <w:rsid w:val="37984A0E"/>
    <w:rsid w:val="38083044"/>
    <w:rsid w:val="386715DA"/>
    <w:rsid w:val="39B32605"/>
    <w:rsid w:val="3A4D46F0"/>
    <w:rsid w:val="3BAE63B7"/>
    <w:rsid w:val="3E09440C"/>
    <w:rsid w:val="3E6863F2"/>
    <w:rsid w:val="42510DFB"/>
    <w:rsid w:val="428C1178"/>
    <w:rsid w:val="43AA4F04"/>
    <w:rsid w:val="444E6204"/>
    <w:rsid w:val="45E54783"/>
    <w:rsid w:val="46452504"/>
    <w:rsid w:val="466B2E7C"/>
    <w:rsid w:val="46ED2BFC"/>
    <w:rsid w:val="47064BE6"/>
    <w:rsid w:val="47CE768E"/>
    <w:rsid w:val="49441023"/>
    <w:rsid w:val="494F22A3"/>
    <w:rsid w:val="4AEC502C"/>
    <w:rsid w:val="4C1762DA"/>
    <w:rsid w:val="4C323F07"/>
    <w:rsid w:val="4CB71F12"/>
    <w:rsid w:val="4CC912B8"/>
    <w:rsid w:val="4CD522CF"/>
    <w:rsid w:val="4D441D56"/>
    <w:rsid w:val="4D76400F"/>
    <w:rsid w:val="4D856959"/>
    <w:rsid w:val="4DA40455"/>
    <w:rsid w:val="4E6E5D15"/>
    <w:rsid w:val="4FAD3830"/>
    <w:rsid w:val="50CC4992"/>
    <w:rsid w:val="52500F7E"/>
    <w:rsid w:val="53A1157D"/>
    <w:rsid w:val="53A6176B"/>
    <w:rsid w:val="543A778D"/>
    <w:rsid w:val="54632850"/>
    <w:rsid w:val="552C72C6"/>
    <w:rsid w:val="5561017E"/>
    <w:rsid w:val="56B808F5"/>
    <w:rsid w:val="583F07AF"/>
    <w:rsid w:val="58413ABE"/>
    <w:rsid w:val="585C7053"/>
    <w:rsid w:val="58AC43C5"/>
    <w:rsid w:val="58B14BDE"/>
    <w:rsid w:val="5A205324"/>
    <w:rsid w:val="5A9B0D5E"/>
    <w:rsid w:val="5B1B1562"/>
    <w:rsid w:val="5B437B7A"/>
    <w:rsid w:val="5C0D36FF"/>
    <w:rsid w:val="5DBD1DD1"/>
    <w:rsid w:val="5EB41072"/>
    <w:rsid w:val="5F246482"/>
    <w:rsid w:val="5F4E2B3F"/>
    <w:rsid w:val="60A36904"/>
    <w:rsid w:val="60B166B7"/>
    <w:rsid w:val="61FA1703"/>
    <w:rsid w:val="62C94278"/>
    <w:rsid w:val="63405725"/>
    <w:rsid w:val="63B77350"/>
    <w:rsid w:val="63EE196A"/>
    <w:rsid w:val="654620A6"/>
    <w:rsid w:val="660B7EE6"/>
    <w:rsid w:val="66221ACF"/>
    <w:rsid w:val="67103379"/>
    <w:rsid w:val="6746686E"/>
    <w:rsid w:val="67681C9B"/>
    <w:rsid w:val="67C12663"/>
    <w:rsid w:val="691150EA"/>
    <w:rsid w:val="69FE1C24"/>
    <w:rsid w:val="6A403F45"/>
    <w:rsid w:val="6AC30EDA"/>
    <w:rsid w:val="6B440543"/>
    <w:rsid w:val="6D773141"/>
    <w:rsid w:val="6DB53060"/>
    <w:rsid w:val="6E10377E"/>
    <w:rsid w:val="6E1E6E89"/>
    <w:rsid w:val="6E701503"/>
    <w:rsid w:val="707E4E4E"/>
    <w:rsid w:val="713D21F7"/>
    <w:rsid w:val="71CB0B4D"/>
    <w:rsid w:val="727406DE"/>
    <w:rsid w:val="734D0F87"/>
    <w:rsid w:val="73FE0B3F"/>
    <w:rsid w:val="744644B2"/>
    <w:rsid w:val="762E73B2"/>
    <w:rsid w:val="76A257A0"/>
    <w:rsid w:val="770937D3"/>
    <w:rsid w:val="775A4029"/>
    <w:rsid w:val="78280894"/>
    <w:rsid w:val="78770E8B"/>
    <w:rsid w:val="7928629E"/>
    <w:rsid w:val="79CB166E"/>
    <w:rsid w:val="79D055D3"/>
    <w:rsid w:val="79EE1F34"/>
    <w:rsid w:val="7A73499A"/>
    <w:rsid w:val="7CF02BF0"/>
    <w:rsid w:val="7D363173"/>
    <w:rsid w:val="7D7536D2"/>
    <w:rsid w:val="7E7A5C10"/>
    <w:rsid w:val="7E8E5F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2"/>
      <w:szCs w:val="22"/>
      <w:lang w:val="en-US" w:eastAsia="zh-CN" w:bidi="ar-SA"/>
    </w:rPr>
  </w:style>
  <w:style w:type="paragraph" w:styleId="3">
    <w:name w:val="heading 1"/>
    <w:basedOn w:val="1"/>
    <w:next w:val="1"/>
    <w:link w:val="24"/>
    <w:qFormat/>
    <w:uiPriority w:val="99"/>
    <w:pPr>
      <w:keepNext/>
      <w:keepLines/>
      <w:spacing w:before="340" w:after="330" w:line="576" w:lineRule="auto"/>
      <w:outlineLvl w:val="0"/>
    </w:pPr>
    <w:rPr>
      <w:b/>
      <w:kern w:val="44"/>
      <w:sz w:val="44"/>
    </w:rPr>
  </w:style>
  <w:style w:type="paragraph" w:styleId="4">
    <w:name w:val="heading 2"/>
    <w:basedOn w:val="1"/>
    <w:next w:val="1"/>
    <w:link w:val="25"/>
    <w:qFormat/>
    <w:uiPriority w:val="99"/>
    <w:pPr>
      <w:keepNext/>
      <w:keepLines/>
      <w:spacing w:before="260" w:after="260" w:line="360" w:lineRule="auto"/>
      <w:outlineLvl w:val="1"/>
    </w:pPr>
    <w:rPr>
      <w:rFonts w:ascii="Arial" w:hAnsi="Arial"/>
      <w:b/>
      <w:sz w:val="32"/>
    </w:rPr>
  </w:style>
  <w:style w:type="paragraph" w:styleId="5">
    <w:name w:val="heading 3"/>
    <w:basedOn w:val="1"/>
    <w:next w:val="1"/>
    <w:link w:val="26"/>
    <w:qFormat/>
    <w:uiPriority w:val="99"/>
    <w:pPr>
      <w:keepNext/>
      <w:keepLines/>
      <w:spacing w:before="260" w:after="260" w:line="416" w:lineRule="auto"/>
      <w:outlineLvl w:val="2"/>
    </w:pPr>
    <w:rPr>
      <w:b/>
      <w:bCs/>
      <w:sz w:val="32"/>
      <w:szCs w:val="32"/>
    </w:rPr>
  </w:style>
  <w:style w:type="paragraph" w:styleId="6">
    <w:name w:val="heading 4"/>
    <w:basedOn w:val="1"/>
    <w:next w:val="1"/>
    <w:link w:val="27"/>
    <w:qFormat/>
    <w:uiPriority w:val="99"/>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qFormat/>
    <w:uiPriority w:val="99"/>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styleId="7">
    <w:name w:val="Body Text"/>
    <w:basedOn w:val="1"/>
    <w:link w:val="28"/>
    <w:qFormat/>
    <w:uiPriority w:val="99"/>
    <w:rPr>
      <w:rFonts w:ascii="?????" w:hAnsi="?????"/>
      <w:b/>
      <w:spacing w:val="-8"/>
      <w:sz w:val="44"/>
      <w:szCs w:val="20"/>
    </w:rPr>
  </w:style>
  <w:style w:type="paragraph" w:styleId="8">
    <w:name w:val="Body Text Indent"/>
    <w:basedOn w:val="1"/>
    <w:link w:val="29"/>
    <w:qFormat/>
    <w:uiPriority w:val="99"/>
    <w:pPr>
      <w:spacing w:line="480" w:lineRule="atLeast"/>
      <w:ind w:firstLine="570"/>
    </w:pPr>
    <w:rPr>
      <w:rFonts w:ascii="黑体" w:eastAsia="黑体"/>
    </w:rPr>
  </w:style>
  <w:style w:type="paragraph" w:styleId="9">
    <w:name w:val="Plain Text"/>
    <w:basedOn w:val="1"/>
    <w:link w:val="30"/>
    <w:qFormat/>
    <w:uiPriority w:val="99"/>
    <w:pPr>
      <w:spacing w:beforeLines="50" w:afterLines="50" w:line="400" w:lineRule="atLeast"/>
    </w:pPr>
    <w:rPr>
      <w:rFonts w:ascii="宋体" w:hAnsi="Courier New"/>
      <w:sz w:val="24"/>
    </w:rPr>
  </w:style>
  <w:style w:type="paragraph" w:styleId="10">
    <w:name w:val="Date"/>
    <w:basedOn w:val="1"/>
    <w:next w:val="1"/>
    <w:link w:val="31"/>
    <w:qFormat/>
    <w:uiPriority w:val="99"/>
    <w:pPr>
      <w:adjustRightInd w:val="0"/>
      <w:jc w:val="right"/>
      <w:textAlignment w:val="baseline"/>
    </w:pPr>
    <w:rPr>
      <w:rFonts w:eastAsia="仿宋_GB2312"/>
      <w:b/>
    </w:rPr>
  </w:style>
  <w:style w:type="paragraph" w:styleId="11">
    <w:name w:val="Balloon Text"/>
    <w:basedOn w:val="1"/>
    <w:link w:val="32"/>
    <w:semiHidden/>
    <w:qFormat/>
    <w:uiPriority w:val="99"/>
    <w:rPr>
      <w:sz w:val="18"/>
      <w:szCs w:val="18"/>
    </w:rPr>
  </w:style>
  <w:style w:type="paragraph" w:styleId="12">
    <w:name w:val="footer"/>
    <w:basedOn w:val="1"/>
    <w:link w:val="33"/>
    <w:qFormat/>
    <w:uiPriority w:val="99"/>
    <w:pPr>
      <w:tabs>
        <w:tab w:val="center" w:pos="4153"/>
        <w:tab w:val="right" w:pos="8306"/>
      </w:tabs>
      <w:snapToGrid w:val="0"/>
    </w:pPr>
    <w:rPr>
      <w:sz w:val="18"/>
      <w:szCs w:val="18"/>
    </w:rPr>
  </w:style>
  <w:style w:type="paragraph" w:styleId="13">
    <w:name w:val="header"/>
    <w:basedOn w:val="1"/>
    <w:link w:val="34"/>
    <w:qFormat/>
    <w:uiPriority w:val="99"/>
    <w:pPr>
      <w:tabs>
        <w:tab w:val="center" w:pos="4153"/>
        <w:tab w:val="right" w:pos="8306"/>
      </w:tabs>
      <w:snapToGrid w:val="0"/>
      <w:jc w:val="center"/>
    </w:pPr>
    <w:rPr>
      <w:sz w:val="18"/>
      <w:szCs w:val="18"/>
    </w:rPr>
  </w:style>
  <w:style w:type="paragraph" w:styleId="14">
    <w:name w:val="toc 1"/>
    <w:basedOn w:val="1"/>
    <w:next w:val="1"/>
    <w:qFormat/>
    <w:uiPriority w:val="99"/>
    <w:pPr>
      <w:tabs>
        <w:tab w:val="right" w:leader="dot" w:pos="9072"/>
      </w:tabs>
      <w:spacing w:before="120" w:after="120" w:line="360" w:lineRule="auto"/>
    </w:pPr>
    <w:rPr>
      <w:rFonts w:ascii="Calibri" w:hAnsi="Calibri"/>
      <w:b/>
      <w:bCs/>
      <w:caps/>
      <w:sz w:val="20"/>
    </w:rPr>
  </w:style>
  <w:style w:type="paragraph" w:styleId="15">
    <w:name w:val="List"/>
    <w:basedOn w:val="1"/>
    <w:qFormat/>
    <w:uiPriority w:val="99"/>
    <w:pPr>
      <w:ind w:left="200" w:hanging="200" w:hangingChars="200"/>
    </w:pPr>
  </w:style>
  <w:style w:type="paragraph" w:styleId="16">
    <w:name w:val="footnote text"/>
    <w:basedOn w:val="1"/>
    <w:link w:val="35"/>
    <w:semiHidden/>
    <w:qFormat/>
    <w:uiPriority w:val="99"/>
    <w:pPr>
      <w:snapToGrid w:val="0"/>
    </w:pPr>
    <w:rPr>
      <w:sz w:val="18"/>
    </w:rPr>
  </w:style>
  <w:style w:type="paragraph" w:styleId="17">
    <w:name w:val="toc 2"/>
    <w:basedOn w:val="1"/>
    <w:next w:val="1"/>
    <w:qFormat/>
    <w:uiPriority w:val="99"/>
    <w:pPr>
      <w:tabs>
        <w:tab w:val="right" w:leader="dot" w:pos="9060"/>
      </w:tabs>
      <w:spacing w:line="400" w:lineRule="exact"/>
      <w:ind w:left="280" w:right="148" w:rightChars="53"/>
    </w:pPr>
    <w:rPr>
      <w:rFonts w:ascii="仿宋" w:hAnsi="仿宋" w:eastAsia="仿宋"/>
      <w:b/>
      <w:smallCaps/>
      <w:sz w:val="24"/>
      <w:szCs w:val="24"/>
    </w:rPr>
  </w:style>
  <w:style w:type="paragraph" w:styleId="18">
    <w:name w:val="Normal (Web)"/>
    <w:basedOn w:val="1"/>
    <w:qFormat/>
    <w:uiPriority w:val="99"/>
    <w:pPr>
      <w:spacing w:before="100" w:beforeAutospacing="1" w:after="100" w:afterAutospacing="1"/>
    </w:pPr>
    <w:rPr>
      <w:rFonts w:ascii="宋体" w:hAnsi="宋体"/>
      <w:sz w:val="24"/>
      <w:szCs w:val="24"/>
    </w:r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styleId="23">
    <w:name w:val="footnote reference"/>
    <w:basedOn w:val="20"/>
    <w:semiHidden/>
    <w:qFormat/>
    <w:uiPriority w:val="99"/>
    <w:rPr>
      <w:rFonts w:cs="Times New Roman"/>
      <w:vertAlign w:val="superscript"/>
    </w:rPr>
  </w:style>
  <w:style w:type="character" w:customStyle="1" w:styleId="24">
    <w:name w:val="Heading 1 Char"/>
    <w:basedOn w:val="20"/>
    <w:link w:val="3"/>
    <w:qFormat/>
    <w:uiPriority w:val="9"/>
    <w:rPr>
      <w:b/>
      <w:bCs/>
      <w:kern w:val="44"/>
      <w:sz w:val="44"/>
      <w:szCs w:val="44"/>
    </w:rPr>
  </w:style>
  <w:style w:type="character" w:customStyle="1" w:styleId="25">
    <w:name w:val="Heading 2 Char"/>
    <w:basedOn w:val="20"/>
    <w:link w:val="4"/>
    <w:semiHidden/>
    <w:qFormat/>
    <w:uiPriority w:val="9"/>
    <w:rPr>
      <w:rFonts w:asciiTheme="majorHAnsi" w:hAnsiTheme="majorHAnsi" w:eastAsiaTheme="majorEastAsia" w:cstheme="majorBidi"/>
      <w:b/>
      <w:bCs/>
      <w:kern w:val="0"/>
      <w:sz w:val="32"/>
      <w:szCs w:val="32"/>
    </w:rPr>
  </w:style>
  <w:style w:type="character" w:customStyle="1" w:styleId="26">
    <w:name w:val="Heading 3 Char"/>
    <w:basedOn w:val="20"/>
    <w:link w:val="5"/>
    <w:semiHidden/>
    <w:qFormat/>
    <w:uiPriority w:val="9"/>
    <w:rPr>
      <w:b/>
      <w:bCs/>
      <w:kern w:val="0"/>
      <w:sz w:val="32"/>
      <w:szCs w:val="32"/>
    </w:rPr>
  </w:style>
  <w:style w:type="character" w:customStyle="1" w:styleId="27">
    <w:name w:val="Heading 4 Char"/>
    <w:basedOn w:val="20"/>
    <w:link w:val="6"/>
    <w:semiHidden/>
    <w:qFormat/>
    <w:uiPriority w:val="9"/>
    <w:rPr>
      <w:rFonts w:asciiTheme="majorHAnsi" w:hAnsiTheme="majorHAnsi" w:eastAsiaTheme="majorEastAsia" w:cstheme="majorBidi"/>
      <w:b/>
      <w:bCs/>
      <w:kern w:val="0"/>
      <w:sz w:val="28"/>
      <w:szCs w:val="28"/>
    </w:rPr>
  </w:style>
  <w:style w:type="character" w:customStyle="1" w:styleId="28">
    <w:name w:val="Body Text Char"/>
    <w:basedOn w:val="20"/>
    <w:link w:val="7"/>
    <w:semiHidden/>
    <w:qFormat/>
    <w:uiPriority w:val="99"/>
    <w:rPr>
      <w:kern w:val="0"/>
      <w:sz w:val="22"/>
    </w:rPr>
  </w:style>
  <w:style w:type="character" w:customStyle="1" w:styleId="29">
    <w:name w:val="Body Text Indent Char"/>
    <w:basedOn w:val="20"/>
    <w:link w:val="8"/>
    <w:semiHidden/>
    <w:qFormat/>
    <w:uiPriority w:val="99"/>
    <w:rPr>
      <w:kern w:val="0"/>
      <w:sz w:val="22"/>
    </w:rPr>
  </w:style>
  <w:style w:type="character" w:customStyle="1" w:styleId="30">
    <w:name w:val="Plain Text Char"/>
    <w:basedOn w:val="20"/>
    <w:link w:val="9"/>
    <w:semiHidden/>
    <w:qFormat/>
    <w:uiPriority w:val="99"/>
    <w:rPr>
      <w:rFonts w:ascii="宋体" w:hAnsi="Courier New"/>
      <w:kern w:val="0"/>
      <w:szCs w:val="21"/>
    </w:rPr>
  </w:style>
  <w:style w:type="character" w:customStyle="1" w:styleId="31">
    <w:name w:val="Date Char"/>
    <w:basedOn w:val="20"/>
    <w:link w:val="10"/>
    <w:semiHidden/>
    <w:qFormat/>
    <w:uiPriority w:val="99"/>
    <w:rPr>
      <w:kern w:val="0"/>
      <w:sz w:val="22"/>
    </w:rPr>
  </w:style>
  <w:style w:type="character" w:customStyle="1" w:styleId="32">
    <w:name w:val="Balloon Text Char"/>
    <w:basedOn w:val="20"/>
    <w:link w:val="11"/>
    <w:semiHidden/>
    <w:qFormat/>
    <w:locked/>
    <w:uiPriority w:val="99"/>
    <w:rPr>
      <w:rFonts w:eastAsia="宋体" w:cs="Times New Roman"/>
      <w:sz w:val="18"/>
      <w:szCs w:val="18"/>
    </w:rPr>
  </w:style>
  <w:style w:type="character" w:customStyle="1" w:styleId="33">
    <w:name w:val="Footer Char"/>
    <w:basedOn w:val="20"/>
    <w:link w:val="12"/>
    <w:semiHidden/>
    <w:qFormat/>
    <w:uiPriority w:val="99"/>
    <w:rPr>
      <w:kern w:val="0"/>
      <w:sz w:val="18"/>
      <w:szCs w:val="18"/>
    </w:rPr>
  </w:style>
  <w:style w:type="character" w:customStyle="1" w:styleId="34">
    <w:name w:val="Header Char"/>
    <w:basedOn w:val="20"/>
    <w:link w:val="13"/>
    <w:qFormat/>
    <w:locked/>
    <w:uiPriority w:val="99"/>
    <w:rPr>
      <w:rFonts w:eastAsia="宋体" w:cs="Times New Roman"/>
      <w:sz w:val="18"/>
      <w:szCs w:val="18"/>
    </w:rPr>
  </w:style>
  <w:style w:type="character" w:customStyle="1" w:styleId="35">
    <w:name w:val="Footnote Text Char"/>
    <w:basedOn w:val="20"/>
    <w:link w:val="16"/>
    <w:semiHidden/>
    <w:qFormat/>
    <w:uiPriority w:val="99"/>
    <w:rPr>
      <w:kern w:val="0"/>
      <w:sz w:val="18"/>
      <w:szCs w:val="18"/>
    </w:rPr>
  </w:style>
  <w:style w:type="paragraph" w:customStyle="1" w:styleId="36">
    <w:name w:val="默认段落字体 Para Char Char Char Char Char Char Char Char Char1 Char Char Char Char"/>
    <w:basedOn w:val="1"/>
    <w:qFormat/>
    <w:uiPriority w:val="99"/>
    <w:rPr>
      <w:rFonts w:ascii="Tahoma" w:hAnsi="Tahoma"/>
      <w:sz w:val="24"/>
      <w:szCs w:val="20"/>
    </w:rPr>
  </w:style>
  <w:style w:type="paragraph" w:customStyle="1" w:styleId="37">
    <w:name w:val="表内文字"/>
    <w:basedOn w:val="1"/>
    <w:qFormat/>
    <w:uiPriority w:val="99"/>
    <w:pPr>
      <w:tabs>
        <w:tab w:val="left" w:pos="1418"/>
      </w:tabs>
      <w:spacing w:line="360" w:lineRule="auto"/>
      <w:jc w:val="center"/>
    </w:pPr>
    <w:rPr>
      <w:rFonts w:ascii="仿宋_GB2312" w:eastAsia="仿宋_GB2312"/>
      <w:spacing w:val="-20"/>
      <w:sz w:val="24"/>
    </w:rPr>
  </w:style>
  <w:style w:type="paragraph" w:customStyle="1" w:styleId="38">
    <w:name w:val="正文2"/>
    <w:basedOn w:val="1"/>
    <w:qFormat/>
    <w:uiPriority w:val="99"/>
    <w:pPr>
      <w:spacing w:before="156" w:line="360" w:lineRule="auto"/>
      <w:ind w:firstLine="510" w:firstLineChars="200"/>
    </w:pPr>
    <w:rPr>
      <w:sz w:val="24"/>
    </w:rPr>
  </w:style>
  <w:style w:type="paragraph" w:customStyle="1" w:styleId="39">
    <w:name w:val="样式 样式1 + 首行缩进:  2 字符"/>
    <w:basedOn w:val="1"/>
    <w:qFormat/>
    <w:uiPriority w:val="99"/>
    <w:pPr>
      <w:spacing w:line="360" w:lineRule="exact"/>
      <w:ind w:firstLine="420" w:firstLineChars="200"/>
    </w:pPr>
    <w:rPr>
      <w:rFonts w:ascii="Arial" w:hAnsi="Arial"/>
      <w:sz w:val="21"/>
    </w:rPr>
  </w:style>
  <w:style w:type="character" w:customStyle="1" w:styleId="40">
    <w:name w:val="font01"/>
    <w:basedOn w:val="20"/>
    <w:qFormat/>
    <w:uiPriority w:val="99"/>
    <w:rPr>
      <w:rFonts w:ascii="微软雅黑" w:hAnsi="微软雅黑" w:eastAsia="微软雅黑" w:cs="微软雅黑"/>
      <w:b/>
      <w:color w:val="000000"/>
      <w:sz w:val="22"/>
      <w:szCs w:val="22"/>
      <w:u w:val="none"/>
    </w:rPr>
  </w:style>
  <w:style w:type="paragraph" w:customStyle="1" w:styleId="41">
    <w:name w:val="_Style 5"/>
    <w:basedOn w:val="3"/>
    <w:next w:val="1"/>
    <w:qFormat/>
    <w:uiPriority w:val="99"/>
    <w:pPr>
      <w:spacing w:before="480" w:line="276" w:lineRule="auto"/>
      <w:outlineLvl w:val="9"/>
    </w:pPr>
    <w:rPr>
      <w:rFonts w:ascii="Cambria" w:hAnsi="Cambria"/>
      <w:color w:val="365F91"/>
      <w:kern w:val="0"/>
      <w:sz w:val="28"/>
      <w:szCs w:val="28"/>
    </w:rPr>
  </w:style>
  <w:style w:type="character" w:customStyle="1" w:styleId="42">
    <w:name w:val="font11"/>
    <w:basedOn w:val="20"/>
    <w:qFormat/>
    <w:uiPriority w:val="99"/>
    <w:rPr>
      <w:rFonts w:ascii="Arial" w:hAnsi="Arial" w:cs="Arial"/>
      <w:color w:val="000000"/>
      <w:sz w:val="22"/>
      <w:szCs w:val="22"/>
      <w:u w:val="none"/>
    </w:rPr>
  </w:style>
  <w:style w:type="paragraph" w:styleId="43">
    <w:name w:val="List Paragraph"/>
    <w:basedOn w:val="1"/>
    <w:qFormat/>
    <w:uiPriority w:val="99"/>
    <w:pPr>
      <w:ind w:firstLine="420" w:firstLineChars="200"/>
    </w:pPr>
    <w:rPr>
      <w:szCs w:val="20"/>
    </w:rPr>
  </w:style>
  <w:style w:type="paragraph" w:customStyle="1" w:styleId="44">
    <w:name w:val="样式 纯文本 + 首行缩进:  2 字符 Char Char Char Char Char Char Char Char Char Char Char Char Char Char Char Char Char Char Char Char Char Char Char Char"/>
    <w:basedOn w:val="9"/>
    <w:qFormat/>
    <w:uiPriority w:val="99"/>
    <w:pPr>
      <w:spacing w:beforeLines="0" w:afterLines="0" w:line="360" w:lineRule="auto"/>
    </w:pPr>
    <w:rPr>
      <w:rFonts w:eastAsia="仿宋_GB2312" w:cs="Arial"/>
      <w:sz w:val="28"/>
      <w:szCs w:val="20"/>
    </w:rPr>
  </w:style>
  <w:style w:type="paragraph" w:customStyle="1" w:styleId="45">
    <w:name w:val="内文正文"/>
    <w:basedOn w:val="9"/>
    <w:qFormat/>
    <w:uiPriority w:val="99"/>
    <w:pPr>
      <w:adjustRightInd w:val="0"/>
      <w:snapToGrid w:val="0"/>
      <w:spacing w:line="400" w:lineRule="exact"/>
      <w:ind w:firstLine="200" w:firstLineChars="200"/>
    </w:pPr>
    <w:rPr>
      <w:rFonts w:ascii="Arial" w:hAnsi="Arial"/>
      <w:color w:val="000000"/>
      <w:szCs w:val="21"/>
    </w:rPr>
  </w:style>
  <w:style w:type="paragraph" w:customStyle="1" w:styleId="4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47">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48">
    <w:name w:val="样式1"/>
    <w:basedOn w:val="1"/>
    <w:qFormat/>
    <w:uiPriority w:val="99"/>
    <w:pPr>
      <w:spacing w:line="360" w:lineRule="exact"/>
      <w:ind w:firstLine="200" w:firstLineChars="200"/>
    </w:pPr>
    <w:rPr>
      <w:rFonts w:ascii="Arial" w:hAnsi="Arial"/>
    </w:rPr>
  </w:style>
  <w:style w:type="paragraph" w:customStyle="1" w:styleId="4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51">
    <w:name w:val="样式 标题 3 + (中文) 黑体 小四 非加粗 段前: 7.8 磅 段后: 0 磅 行距: 固定值 20 磅"/>
    <w:basedOn w:val="5"/>
    <w:next w:val="1"/>
    <w:qFormat/>
    <w:uiPriority w:val="0"/>
    <w:pPr>
      <w:keepNext w:val="0"/>
      <w:keepLines w:val="0"/>
      <w:numPr>
        <w:ilvl w:val="0"/>
        <w:numId w:val="1"/>
      </w:numPr>
      <w:spacing w:before="0" w:after="0" w:line="400" w:lineRule="exact"/>
    </w:pPr>
    <w:rPr>
      <w:rFonts w:eastAsia="黑体" w:cs="宋体"/>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89</Pages>
  <Words>9805</Word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2018-09-12T17:59:00Z</dcterms:created>
  <dc:creator>Windows User</dc:creator>
  <cp:lastModifiedBy>繁华终易逝</cp:lastModifiedBy>
  <cp:lastPrinted>2019-06-24T02:28:00Z</cp:lastPrinted>
  <dcterms:modified xsi:type="dcterms:W3CDTF">2019-07-22T09:44:16Z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