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飞秒光纤激光器、半导体激光器采购</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[2019]41924号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ZJWSBJ-JL-201920G（1-2）</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p>
    <w:p>
      <w:pPr>
        <w:pStyle w:val="2"/>
        <w:rPr>
          <w:rFonts w:hint="eastAsia"/>
          <w:highlight w:val="none"/>
        </w:rPr>
      </w:pP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w:t>
      </w:r>
    </w:p>
    <w:p>
      <w:pPr>
        <w:pStyle w:val="31"/>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31"/>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3"/>
        <w:rPr>
          <w:color w:val="auto"/>
          <w:highlight w:val="none"/>
        </w:rPr>
      </w:pPr>
      <w:bookmarkStart w:id="1" w:name="_Toc4470"/>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[2019]41924号</w:t>
      </w:r>
      <w:r>
        <w:rPr>
          <w:rFonts w:hint="eastAsia"/>
          <w:color w:val="auto"/>
          <w:highlight w:val="none"/>
        </w:rPr>
        <w:t>的批准，浙江五石工程咨询有限公司受中国计量大学委托，就</w:t>
      </w:r>
      <w:r>
        <w:rPr>
          <w:rFonts w:hint="eastAsia"/>
          <w:color w:val="auto"/>
          <w:highlight w:val="none"/>
          <w:u w:val="single"/>
          <w:lang w:eastAsia="zh-CN"/>
        </w:rPr>
        <w:t>飞秒光纤激光器、半导体激光器采购</w:t>
      </w:r>
      <w:r>
        <w:rPr>
          <w:rFonts w:hint="eastAsia"/>
          <w:color w:val="auto"/>
          <w:highlight w:val="none"/>
        </w:rPr>
        <w:t>进行公开招标采购，欢迎国内合格的供应商前来投标。具体如下：</w:t>
      </w:r>
    </w:p>
    <w:p>
      <w:pPr>
        <w:pStyle w:val="4"/>
        <w:rPr>
          <w:rFonts w:ascii="宋体" w:hAnsi="宋体" w:cs="宋体"/>
          <w:color w:val="auto"/>
          <w:sz w:val="24"/>
          <w:szCs w:val="24"/>
          <w:highlight w:val="none"/>
        </w:rPr>
      </w:pPr>
      <w:bookmarkStart w:id="4" w:name="_Toc29586"/>
      <w:r>
        <w:rPr>
          <w:rStyle w:val="41"/>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ZJWSBJ-JL-201920G（1-2）</w:t>
      </w:r>
    </w:p>
    <w:p>
      <w:pPr>
        <w:pStyle w:val="4"/>
        <w:rPr>
          <w:rFonts w:ascii="宋体" w:hAnsi="宋体" w:cs="宋体"/>
          <w:color w:val="auto"/>
          <w:sz w:val="24"/>
          <w:szCs w:val="24"/>
          <w:highlight w:val="none"/>
        </w:rPr>
      </w:pPr>
      <w:bookmarkStart w:id="5" w:name="_Toc11203"/>
      <w:r>
        <w:rPr>
          <w:rStyle w:val="41"/>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4"/>
        <w:rPr>
          <w:rFonts w:ascii="宋体" w:hAnsi="宋体" w:cs="宋体"/>
          <w:color w:val="auto"/>
          <w:sz w:val="24"/>
          <w:szCs w:val="24"/>
          <w:highlight w:val="none"/>
        </w:rPr>
      </w:pPr>
      <w:bookmarkStart w:id="6" w:name="_Toc5262"/>
      <w:r>
        <w:rPr>
          <w:rStyle w:val="41"/>
          <w:rFonts w:hint="eastAsia" w:ascii="宋体" w:hAnsi="宋体" w:cs="宋体"/>
          <w:b/>
          <w:color w:val="auto"/>
          <w:sz w:val="24"/>
          <w:szCs w:val="24"/>
          <w:highlight w:val="none"/>
        </w:rPr>
        <w:t>三、项目概况</w:t>
      </w:r>
      <w:bookmarkEnd w:id="6"/>
    </w:p>
    <w:tbl>
      <w:tblPr>
        <w:tblStyle w:val="38"/>
        <w:tblW w:w="9712" w:type="dxa"/>
        <w:tblInd w:w="0" w:type="dxa"/>
        <w:tblLayout w:type="fixed"/>
        <w:tblCellMar>
          <w:top w:w="15" w:type="dxa"/>
          <w:left w:w="15" w:type="dxa"/>
          <w:bottom w:w="15" w:type="dxa"/>
          <w:right w:w="15" w:type="dxa"/>
        </w:tblCellMar>
      </w:tblPr>
      <w:tblGrid>
        <w:gridCol w:w="681"/>
        <w:gridCol w:w="1798"/>
        <w:gridCol w:w="1920"/>
        <w:gridCol w:w="1274"/>
        <w:gridCol w:w="1534"/>
        <w:gridCol w:w="1539"/>
        <w:gridCol w:w="966"/>
      </w:tblGrid>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标项名称</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项目编号</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sz w:val="22"/>
                <w:szCs w:val="22"/>
                <w:highlight w:val="none"/>
              </w:rPr>
              <w:t>（单位</w:t>
            </w:r>
            <w:r>
              <w:rPr>
                <w:rFonts w:hint="eastAsia" w:ascii="宋体" w:hAnsi="宋体" w:cs="宋体"/>
                <w:color w:val="auto"/>
                <w:kern w:val="0"/>
                <w:highlight w:val="none"/>
              </w:rPr>
              <w:t>）</w:t>
            </w:r>
          </w:p>
        </w:tc>
        <w:tc>
          <w:tcPr>
            <w:tcW w:w="15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预算金额(万元)</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rPr>
          <w:trHeight w:val="1053" w:hRule="atLeast"/>
        </w:trPr>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飞秒光纤激光器</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lang w:eastAsia="zh-CN"/>
              </w:rPr>
              <w:t>ZJWSBJ-JL-201920G</w:t>
            </w:r>
            <w:r>
              <w:rPr>
                <w:rFonts w:hint="eastAsia" w:ascii="宋体" w:hAnsi="宋体" w:cs="宋体"/>
                <w:color w:val="auto"/>
                <w:highlight w:val="none"/>
              </w:rPr>
              <w:t>-1</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1台</w:t>
            </w:r>
          </w:p>
        </w:tc>
        <w:tc>
          <w:tcPr>
            <w:tcW w:w="1534"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ascii="宋体" w:hAnsi="宋体" w:cs="宋体"/>
                <w:color w:val="auto"/>
                <w:highlight w:val="none"/>
              </w:rPr>
              <w:t>详见采购需求部分</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29.95</w:t>
            </w:r>
          </w:p>
        </w:tc>
        <w:tc>
          <w:tcPr>
            <w:tcW w:w="966"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半导体激光器</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lang w:eastAsia="zh-CN"/>
              </w:rPr>
              <w:t>ZJWSBJ-JL-201920G</w:t>
            </w:r>
            <w:r>
              <w:rPr>
                <w:rFonts w:hint="eastAsia" w:ascii="宋体" w:hAnsi="宋体" w:cs="宋体"/>
                <w:color w:val="auto"/>
                <w:highlight w:val="none"/>
              </w:rPr>
              <w:t>-2</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1台</w:t>
            </w:r>
          </w:p>
        </w:tc>
        <w:tc>
          <w:tcPr>
            <w:tcW w:w="1534"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37.3</w:t>
            </w:r>
          </w:p>
        </w:tc>
        <w:tc>
          <w:tcPr>
            <w:tcW w:w="966"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4"/>
        <w:rPr>
          <w:rFonts w:ascii="宋体" w:hAnsi="宋体" w:cs="宋体"/>
          <w:color w:val="auto"/>
          <w:sz w:val="24"/>
          <w:szCs w:val="24"/>
          <w:highlight w:val="none"/>
        </w:rPr>
      </w:pPr>
      <w:bookmarkStart w:id="7" w:name="_Toc24393"/>
      <w:r>
        <w:rPr>
          <w:rStyle w:val="41"/>
          <w:rFonts w:hint="eastAsia" w:ascii="宋体" w:hAnsi="宋体" w:cs="宋体"/>
          <w:b/>
          <w:color w:val="auto"/>
          <w:sz w:val="24"/>
          <w:szCs w:val="24"/>
          <w:highlight w:val="none"/>
        </w:rPr>
        <w:t>四、投标人资格要求:</w:t>
      </w:r>
      <w:bookmarkEnd w:id="7"/>
    </w:p>
    <w:p>
      <w:pPr>
        <w:pStyle w:val="5"/>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w:t>
      </w:r>
      <w:bookmarkStart w:id="105" w:name="_GoBack"/>
      <w:bookmarkEnd w:id="105"/>
      <w:r>
        <w:rPr>
          <w:rFonts w:hint="eastAsia"/>
          <w:color w:val="auto"/>
          <w:highlight w:val="none"/>
        </w:rPr>
        <w:t>规定。</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5"/>
        <w:ind w:firstLine="241" w:firstLineChars="100"/>
        <w:rPr>
          <w:color w:val="auto"/>
          <w:highlight w:val="none"/>
        </w:rPr>
      </w:pPr>
      <w:r>
        <w:rPr>
          <w:rFonts w:hint="eastAsia" w:ascii="宋体" w:hAnsi="宋体" w:cs="宋体"/>
          <w:color w:val="auto"/>
          <w:highlight w:val="none"/>
        </w:rPr>
        <w:t>（二）特定资格要求：无。</w:t>
      </w:r>
    </w:p>
    <w:p>
      <w:pPr>
        <w:pStyle w:val="5"/>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5"/>
        <w:spacing w:before="75" w:beforeAutospacing="0" w:after="75" w:afterAutospacing="0" w:line="360" w:lineRule="auto"/>
        <w:rPr>
          <w:rFonts w:cs="宋体"/>
          <w:color w:val="auto"/>
          <w:highlight w:val="none"/>
        </w:rPr>
      </w:pPr>
      <w:r>
        <w:rPr>
          <w:rStyle w:val="41"/>
          <w:rFonts w:hint="eastAsia" w:cs="宋体"/>
          <w:color w:val="auto"/>
          <w:highlight w:val="none"/>
        </w:rPr>
        <w:t>五、</w:t>
      </w:r>
      <w:r>
        <w:rPr>
          <w:rStyle w:val="41"/>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1"/>
          <w:rFonts w:hint="eastAsia" w:ascii="宋体" w:hAnsi="宋体" w:cs="宋体"/>
          <w:color w:val="auto"/>
          <w:highlight w:val="none"/>
        </w:rPr>
        <w:t>1.</w:t>
      </w:r>
      <w:r>
        <w:rPr>
          <w:rStyle w:val="41"/>
          <w:rFonts w:hint="eastAsia" w:ascii="宋体" w:hAnsi="宋体" w:cs="宋体"/>
          <w:bCs/>
          <w:color w:val="auto"/>
          <w:highlight w:val="none"/>
        </w:rPr>
        <w:t>时间期限：</w:t>
      </w:r>
      <w:r>
        <w:rPr>
          <w:rFonts w:hint="eastAsia" w:ascii="宋体" w:hAnsi="宋体" w:cs="宋体"/>
          <w:color w:val="auto"/>
          <w:highlight w:val="none"/>
        </w:rPr>
        <w:t>2019-0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至2019-0</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06</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1"/>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1"/>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5"/>
        <w:spacing w:before="0" w:beforeAutospacing="0" w:after="0" w:afterAutospacing="0" w:line="360" w:lineRule="auto"/>
        <w:ind w:firstLine="480" w:firstLineChars="200"/>
        <w:rPr>
          <w:rStyle w:val="41"/>
          <w:rFonts w:cs="宋体"/>
          <w:b w:val="0"/>
          <w:color w:val="auto"/>
          <w:highlight w:val="none"/>
        </w:rPr>
      </w:pPr>
      <w:r>
        <w:rPr>
          <w:rFonts w:hint="eastAsia" w:cs="宋体"/>
          <w:color w:val="auto"/>
          <w:highlight w:val="none"/>
        </w:rPr>
        <w:t>5）提示：</w:t>
      </w:r>
      <w:r>
        <w:rPr>
          <w:rStyle w:val="41"/>
          <w:rFonts w:hint="eastAsia" w:cs="宋体"/>
          <w:b w:val="0"/>
          <w:color w:val="auto"/>
          <w:highlight w:val="none"/>
        </w:rPr>
        <w:t>投标人未按上述方式获取的招标文件与采购代理机构发布的招标文件不一致的，由其自行承担由此产生的后果。</w:t>
      </w:r>
    </w:p>
    <w:p>
      <w:pPr>
        <w:pStyle w:val="35"/>
        <w:spacing w:before="0" w:beforeAutospacing="0" w:after="0" w:afterAutospacing="0" w:line="360" w:lineRule="auto"/>
        <w:ind w:firstLine="480" w:firstLineChars="200"/>
        <w:rPr>
          <w:rStyle w:val="41"/>
          <w:rFonts w:cs="宋体"/>
          <w:b w:val="0"/>
          <w:color w:val="auto"/>
          <w:highlight w:val="none"/>
        </w:rPr>
      </w:pPr>
      <w:r>
        <w:rPr>
          <w:rStyle w:val="41"/>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1"/>
          <w:rFonts w:ascii="宋体" w:hAnsi="宋体" w:cs="宋体"/>
          <w:bCs/>
          <w:color w:val="auto"/>
          <w:highlight w:val="none"/>
        </w:rPr>
      </w:pPr>
      <w:r>
        <w:rPr>
          <w:rStyle w:val="41"/>
          <w:rFonts w:hint="eastAsia" w:ascii="宋体" w:hAnsi="宋体" w:cs="宋体"/>
          <w:bCs/>
          <w:color w:val="auto"/>
          <w:highlight w:val="none"/>
        </w:rPr>
        <w:t>4.招标文件售价：300元</w:t>
      </w:r>
      <w:r>
        <w:rPr>
          <w:rStyle w:val="41"/>
          <w:rFonts w:hint="eastAsia" w:ascii="宋体" w:hAnsi="宋体" w:cs="宋体"/>
          <w:bCs/>
          <w:color w:val="auto"/>
          <w:highlight w:val="none"/>
          <w:lang w:val="en-US" w:eastAsia="zh-CN"/>
        </w:rPr>
        <w:t>/标项</w:t>
      </w:r>
      <w:r>
        <w:rPr>
          <w:rStyle w:val="41"/>
          <w:rFonts w:hint="eastAsia" w:ascii="宋体" w:hAnsi="宋体" w:cs="宋体"/>
          <w:bCs/>
          <w:color w:val="auto"/>
          <w:highlight w:val="none"/>
        </w:rPr>
        <w:t xml:space="preserve">（售后不退） </w:t>
      </w:r>
    </w:p>
    <w:p>
      <w:pPr>
        <w:pStyle w:val="35"/>
        <w:spacing w:before="75" w:beforeAutospacing="0" w:after="75" w:afterAutospacing="0" w:line="360" w:lineRule="auto"/>
        <w:rPr>
          <w:rStyle w:val="41"/>
          <w:rFonts w:cs="宋体"/>
          <w:color w:val="auto"/>
          <w:highlight w:val="none"/>
        </w:rPr>
      </w:pPr>
      <w:r>
        <w:rPr>
          <w:rStyle w:val="41"/>
          <w:rFonts w:hint="eastAsia" w:cs="宋体"/>
          <w:color w:val="auto"/>
          <w:highlight w:val="none"/>
        </w:rPr>
        <w:t>六、本项目招标文件公告期限为：</w:t>
      </w:r>
      <w:r>
        <w:rPr>
          <w:rStyle w:val="41"/>
          <w:rFonts w:hint="eastAsia" w:cs="宋体"/>
          <w:b w:val="0"/>
          <w:bCs/>
          <w:color w:val="auto"/>
          <w:highlight w:val="none"/>
        </w:rPr>
        <w:t>本公告发布之日起五个工作日。</w:t>
      </w:r>
    </w:p>
    <w:p>
      <w:pPr>
        <w:pStyle w:val="4"/>
        <w:rPr>
          <w:rFonts w:ascii="宋体" w:hAnsi="宋体" w:cs="宋体"/>
          <w:color w:val="auto"/>
          <w:kern w:val="0"/>
          <w:sz w:val="24"/>
          <w:szCs w:val="24"/>
          <w:highlight w:val="none"/>
          <w:shd w:val="clear" w:color="auto" w:fill="FFFFFF"/>
          <w:lang w:bidi="ar"/>
        </w:rPr>
      </w:pPr>
      <w:bookmarkStart w:id="8" w:name="_Toc1080"/>
      <w:r>
        <w:rPr>
          <w:rStyle w:val="41"/>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4"/>
        <w:ind w:firstLine="482" w:firstLineChars="200"/>
        <w:rPr>
          <w:rFonts w:hint="eastAsia" w:ascii="宋体" w:hAnsi="宋体" w:eastAsia="宋体" w:cs="宋体"/>
          <w:b w:val="0"/>
          <w:bCs w:val="0"/>
          <w:color w:val="auto"/>
          <w:sz w:val="24"/>
          <w:szCs w:val="24"/>
          <w:highlight w:val="none"/>
          <w:lang w:eastAsia="zh-CN"/>
        </w:rPr>
      </w:pPr>
      <w:bookmarkStart w:id="9" w:name="_Toc2231"/>
      <w:r>
        <w:rPr>
          <w:rStyle w:val="41"/>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r>
        <w:rPr>
          <w:rFonts w:hint="eastAsia" w:ascii="宋体" w:hAnsi="宋体" w:cs="宋体"/>
          <w:b w:val="0"/>
          <w:bCs w:val="0"/>
          <w:color w:val="auto"/>
          <w:sz w:val="24"/>
          <w:szCs w:val="24"/>
          <w:highlight w:val="none"/>
          <w:lang w:eastAsia="zh-CN"/>
        </w:rPr>
        <w:t>2019-08-19</w:t>
      </w:r>
      <w:r>
        <w:rPr>
          <w:rFonts w:hint="eastAsia" w:ascii="宋体" w:hAnsi="宋体" w:cs="宋体"/>
          <w:b w:val="0"/>
          <w:bCs w:val="0"/>
          <w:color w:val="auto"/>
          <w:sz w:val="24"/>
          <w:szCs w:val="24"/>
          <w:highlight w:val="none"/>
        </w:rPr>
        <w:t xml:space="preserve"> </w:t>
      </w:r>
      <w:bookmarkEnd w:id="9"/>
      <w:r>
        <w:rPr>
          <w:rFonts w:hint="eastAsia" w:ascii="宋体" w:hAnsi="宋体" w:cs="宋体"/>
          <w:b w:val="0"/>
          <w:bCs w:val="0"/>
          <w:color w:val="auto"/>
          <w:sz w:val="24"/>
          <w:szCs w:val="24"/>
          <w:highlight w:val="none"/>
          <w:lang w:eastAsia="zh-CN"/>
        </w:rPr>
        <w:t>14:00:00</w:t>
      </w:r>
    </w:p>
    <w:p>
      <w:pPr>
        <w:pStyle w:val="4"/>
        <w:ind w:firstLine="482" w:firstLineChars="200"/>
        <w:rPr>
          <w:rStyle w:val="41"/>
          <w:rFonts w:hint="eastAsia" w:ascii="宋体" w:hAnsi="宋体" w:eastAsia="宋体" w:cs="宋体"/>
          <w:b w:val="0"/>
          <w:bCs w:val="0"/>
          <w:color w:val="auto"/>
          <w:sz w:val="24"/>
          <w:szCs w:val="24"/>
          <w:highlight w:val="none"/>
          <w:lang w:eastAsia="zh-CN"/>
        </w:rPr>
      </w:pPr>
      <w:bookmarkStart w:id="10" w:name="_Toc22852"/>
      <w:r>
        <w:rPr>
          <w:rStyle w:val="41"/>
          <w:rFonts w:hint="eastAsia" w:ascii="宋体" w:hAnsi="宋体" w:cs="宋体"/>
          <w:b/>
          <w:color w:val="auto"/>
          <w:sz w:val="24"/>
          <w:szCs w:val="24"/>
          <w:highlight w:val="none"/>
        </w:rPr>
        <w:t>2.开标时间：</w:t>
      </w:r>
      <w:r>
        <w:rPr>
          <w:rStyle w:val="41"/>
          <w:rFonts w:hint="eastAsia" w:ascii="宋体" w:hAnsi="宋体" w:cs="宋体"/>
          <w:b w:val="0"/>
          <w:bCs w:val="0"/>
          <w:color w:val="auto"/>
          <w:sz w:val="24"/>
          <w:szCs w:val="24"/>
          <w:highlight w:val="none"/>
        </w:rPr>
        <w:t xml:space="preserve"> </w:t>
      </w:r>
      <w:r>
        <w:rPr>
          <w:rStyle w:val="41"/>
          <w:rFonts w:hint="eastAsia" w:ascii="宋体" w:hAnsi="宋体" w:cs="宋体"/>
          <w:b w:val="0"/>
          <w:bCs w:val="0"/>
          <w:color w:val="auto"/>
          <w:sz w:val="24"/>
          <w:szCs w:val="24"/>
          <w:highlight w:val="none"/>
          <w:lang w:eastAsia="zh-CN"/>
        </w:rPr>
        <w:t>2019-08-19</w:t>
      </w:r>
      <w:r>
        <w:rPr>
          <w:rStyle w:val="41"/>
          <w:rFonts w:hint="eastAsia" w:ascii="宋体" w:hAnsi="宋体" w:cs="宋体"/>
          <w:b w:val="0"/>
          <w:bCs w:val="0"/>
          <w:color w:val="auto"/>
          <w:sz w:val="24"/>
          <w:szCs w:val="24"/>
          <w:highlight w:val="none"/>
        </w:rPr>
        <w:t xml:space="preserve"> </w:t>
      </w:r>
      <w:bookmarkEnd w:id="10"/>
      <w:r>
        <w:rPr>
          <w:rStyle w:val="41"/>
          <w:rFonts w:hint="eastAsia" w:ascii="宋体" w:hAnsi="宋体" w:cs="宋体"/>
          <w:b w:val="0"/>
          <w:bCs w:val="0"/>
          <w:color w:val="auto"/>
          <w:sz w:val="24"/>
          <w:szCs w:val="24"/>
          <w:highlight w:val="none"/>
          <w:lang w:eastAsia="zh-CN"/>
        </w:rPr>
        <w:t>14:00:00</w:t>
      </w:r>
    </w:p>
    <w:p>
      <w:pPr>
        <w:pStyle w:val="4"/>
        <w:ind w:firstLine="482" w:firstLineChars="200"/>
        <w:rPr>
          <w:rStyle w:val="41"/>
          <w:rFonts w:ascii="宋体" w:hAnsi="宋体" w:cs="宋体"/>
          <w:b w:val="0"/>
          <w:bCs w:val="0"/>
          <w:color w:val="auto"/>
          <w:sz w:val="24"/>
          <w:szCs w:val="24"/>
          <w:highlight w:val="none"/>
        </w:rPr>
      </w:pPr>
      <w:bookmarkStart w:id="11" w:name="_Toc26036"/>
      <w:r>
        <w:rPr>
          <w:rStyle w:val="41"/>
          <w:rFonts w:hint="eastAsia" w:ascii="宋体" w:hAnsi="宋体" w:cs="宋体"/>
          <w:b/>
          <w:color w:val="auto"/>
          <w:sz w:val="24"/>
          <w:szCs w:val="24"/>
          <w:highlight w:val="none"/>
        </w:rPr>
        <w:t>3.开标地点：</w:t>
      </w:r>
      <w:bookmarkEnd w:id="11"/>
      <w:r>
        <w:rPr>
          <w:rStyle w:val="41"/>
          <w:rFonts w:hint="eastAsia" w:ascii="宋体" w:hAnsi="宋体" w:cs="宋体"/>
          <w:b/>
          <w:color w:val="auto"/>
          <w:sz w:val="24"/>
          <w:szCs w:val="24"/>
          <w:highlight w:val="none"/>
          <w:lang w:eastAsia="zh-CN"/>
        </w:rPr>
        <w:t>杭州下沙开发区10号大街15号五楼，杭州求知人才专修学校523开标室</w:t>
      </w:r>
      <w:r>
        <w:rPr>
          <w:rStyle w:val="41"/>
          <w:rFonts w:hint="eastAsia" w:ascii="宋体" w:hAnsi="宋体" w:cs="宋体"/>
          <w:b w:val="0"/>
          <w:bCs w:val="0"/>
          <w:color w:val="auto"/>
          <w:sz w:val="24"/>
          <w:szCs w:val="24"/>
          <w:highlight w:val="none"/>
        </w:rPr>
        <w:t xml:space="preserve"> </w:t>
      </w:r>
    </w:p>
    <w:p>
      <w:pPr>
        <w:pStyle w:val="4"/>
        <w:rPr>
          <w:rFonts w:ascii="宋体" w:hAnsi="宋体" w:cs="宋体"/>
          <w:color w:val="auto"/>
          <w:sz w:val="24"/>
          <w:szCs w:val="24"/>
          <w:highlight w:val="none"/>
        </w:rPr>
      </w:pPr>
      <w:bookmarkStart w:id="12" w:name="_Toc15758"/>
      <w:r>
        <w:rPr>
          <w:rStyle w:val="41"/>
          <w:rFonts w:hint="eastAsia" w:ascii="宋体" w:hAnsi="宋体" w:cs="宋体"/>
          <w:b/>
          <w:color w:val="auto"/>
          <w:sz w:val="24"/>
          <w:szCs w:val="24"/>
          <w:highlight w:val="none"/>
        </w:rPr>
        <w:t>八、投标保证金：无</w:t>
      </w:r>
      <w:bookmarkEnd w:id="12"/>
    </w:p>
    <w:p>
      <w:pPr>
        <w:pStyle w:val="4"/>
        <w:rPr>
          <w:rFonts w:ascii="宋体" w:hAnsi="宋体" w:cs="宋体"/>
          <w:color w:val="auto"/>
          <w:sz w:val="24"/>
          <w:szCs w:val="24"/>
          <w:highlight w:val="none"/>
        </w:rPr>
      </w:pPr>
      <w:bookmarkStart w:id="13" w:name="_Toc6191"/>
      <w:r>
        <w:rPr>
          <w:rStyle w:val="41"/>
          <w:rFonts w:hint="eastAsia" w:ascii="宋体" w:hAnsi="宋体" w:cs="宋体"/>
          <w:b/>
          <w:color w:val="auto"/>
          <w:sz w:val="24"/>
          <w:szCs w:val="24"/>
          <w:highlight w:val="none"/>
        </w:rPr>
        <w:t>九、其他事项：</w:t>
      </w:r>
      <w:bookmarkEnd w:id="13"/>
    </w:p>
    <w:p>
      <w:pPr>
        <w:pStyle w:val="35"/>
        <w:spacing w:before="0" w:beforeAutospacing="0" w:after="0" w:afterAutospacing="0" w:line="360" w:lineRule="auto"/>
        <w:ind w:firstLine="334"/>
        <w:rPr>
          <w:rStyle w:val="41"/>
          <w:rFonts w:cs="宋体"/>
          <w:b w:val="0"/>
          <w:color w:val="auto"/>
          <w:kern w:val="2"/>
          <w:highlight w:val="none"/>
        </w:rPr>
      </w:pPr>
      <w:r>
        <w:rPr>
          <w:rStyle w:val="41"/>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5"/>
        <w:spacing w:before="0" w:beforeAutospacing="0" w:after="0" w:afterAutospacing="0" w:line="360" w:lineRule="auto"/>
        <w:ind w:firstLine="334"/>
        <w:rPr>
          <w:rStyle w:val="41"/>
          <w:rFonts w:cs="宋体"/>
          <w:b w:val="0"/>
          <w:color w:val="auto"/>
          <w:highlight w:val="none"/>
        </w:rPr>
      </w:pPr>
      <w:r>
        <w:rPr>
          <w:rStyle w:val="41"/>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1"/>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color w:val="auto"/>
          <w:sz w:val="24"/>
          <w:szCs w:val="24"/>
          <w:highlight w:val="none"/>
        </w:rPr>
      </w:pPr>
      <w:bookmarkStart w:id="14" w:name="_Toc5293"/>
      <w:r>
        <w:rPr>
          <w:rStyle w:val="41"/>
          <w:rFonts w:hint="eastAsia" w:ascii="宋体" w:hAnsi="宋体" w:cs="宋体"/>
          <w:b/>
          <w:color w:val="auto"/>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1.采购人名称：中国计量大学</w:t>
      </w:r>
    </w:p>
    <w:p>
      <w:pPr>
        <w:ind w:firstLine="480"/>
        <w:rPr>
          <w:rFonts w:ascii="宋体" w:hAnsi="宋体" w:cs="宋体"/>
          <w:color w:val="auto"/>
          <w:highlight w:val="none"/>
        </w:rPr>
      </w:pPr>
      <w:r>
        <w:rPr>
          <w:rFonts w:hint="eastAsia" w:ascii="宋体" w:hAnsi="宋体" w:cs="宋体"/>
          <w:color w:val="auto"/>
          <w:highlight w:val="none"/>
        </w:rPr>
        <w:t>联系人：王老师</w:t>
      </w:r>
    </w:p>
    <w:p>
      <w:pPr>
        <w:ind w:firstLine="480"/>
        <w:rPr>
          <w:rFonts w:ascii="宋体" w:hAnsi="宋体" w:cs="宋体"/>
          <w:color w:val="auto"/>
          <w:highlight w:val="none"/>
        </w:rPr>
      </w:pPr>
      <w:r>
        <w:rPr>
          <w:rFonts w:hint="eastAsia" w:ascii="宋体" w:hAnsi="宋体" w:cs="宋体"/>
          <w:color w:val="auto"/>
          <w:highlight w:val="none"/>
        </w:rPr>
        <w:t>联系电话：0571-86875640</w:t>
      </w:r>
    </w:p>
    <w:p>
      <w:pPr>
        <w:ind w:firstLine="48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ascii="宋体" w:hAnsi="宋体" w:cs="宋体"/>
          <w:color w:val="auto"/>
          <w:highlight w:val="none"/>
        </w:rPr>
      </w:pPr>
      <w:r>
        <w:rPr>
          <w:rFonts w:hint="eastAsia" w:ascii="宋体" w:hAnsi="宋体" w:cs="宋体"/>
          <w:color w:val="auto"/>
          <w:highlight w:val="none"/>
        </w:rPr>
        <w:t>采购项目联系人：</w:t>
      </w:r>
      <w:r>
        <w:rPr>
          <w:rFonts w:hint="eastAsia" w:ascii="宋体" w:hAnsi="宋体" w:cs="宋体"/>
          <w:color w:val="auto"/>
          <w:highlight w:val="none"/>
          <w:lang w:val="en-US" w:eastAsia="zh-CN"/>
        </w:rPr>
        <w:t>王</w:t>
      </w:r>
      <w:r>
        <w:rPr>
          <w:rFonts w:hint="eastAsia" w:ascii="宋体" w:hAnsi="宋体" w:cs="宋体"/>
          <w:color w:val="auto"/>
          <w:highlight w:val="none"/>
        </w:rPr>
        <w:t>老师</w:t>
      </w:r>
    </w:p>
    <w:p>
      <w:pPr>
        <w:ind w:firstLine="480"/>
        <w:rPr>
          <w:rFonts w:ascii="宋体" w:hAnsi="宋体" w:cs="宋体"/>
          <w:color w:val="auto"/>
          <w:highlight w:val="none"/>
        </w:rPr>
      </w:pPr>
      <w:r>
        <w:rPr>
          <w:rFonts w:hint="eastAsia" w:ascii="宋体" w:hAnsi="宋体" w:cs="宋体"/>
          <w:color w:val="auto"/>
          <w:highlight w:val="none"/>
        </w:rPr>
        <w:t>联系电话：15267113963</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7</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3"/>
        <w:rPr>
          <w:color w:val="auto"/>
          <w:highlight w:val="none"/>
        </w:rPr>
      </w:pPr>
      <w:bookmarkStart w:id="15" w:name="_Toc8514"/>
      <w:r>
        <w:rPr>
          <w:rFonts w:hint="eastAsia" w:cs="宋体"/>
          <w:color w:val="auto"/>
          <w:highlight w:val="none"/>
        </w:rPr>
        <w:t>第二章 项目需求说明</w:t>
      </w:r>
      <w:bookmarkEnd w:id="15"/>
    </w:p>
    <w:p>
      <w:pPr>
        <w:pStyle w:val="4"/>
        <w:rPr>
          <w:rFonts w:ascii="宋体" w:hAnsi="宋体" w:cs="宋体"/>
          <w:color w:val="auto"/>
          <w:sz w:val="24"/>
          <w:szCs w:val="40"/>
          <w:highlight w:val="none"/>
        </w:rPr>
      </w:pPr>
      <w:bookmarkStart w:id="16" w:name="_Toc18187"/>
      <w:bookmarkStart w:id="17" w:name="_Toc21112"/>
      <w:bookmarkStart w:id="18" w:name="_Toc450840085"/>
      <w:r>
        <w:rPr>
          <w:rFonts w:hint="eastAsia" w:ascii="宋体" w:hAnsi="宋体" w:cs="宋体"/>
          <w:color w:val="auto"/>
          <w:sz w:val="24"/>
          <w:szCs w:val="40"/>
          <w:highlight w:val="none"/>
        </w:rPr>
        <w:t>一、货物或产品的说明和具体技术要求</w:t>
      </w:r>
      <w:bookmarkEnd w:id="16"/>
      <w:bookmarkEnd w:id="17"/>
    </w:p>
    <w:p>
      <w:pPr>
        <w:pStyle w:val="5"/>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5"/>
        <w:rPr>
          <w:color w:val="auto"/>
          <w:szCs w:val="40"/>
          <w:highlight w:val="none"/>
        </w:rPr>
      </w:pPr>
      <w:r>
        <w:rPr>
          <w:rFonts w:hint="eastAsia"/>
          <w:color w:val="auto"/>
          <w:szCs w:val="40"/>
          <w:highlight w:val="none"/>
        </w:rPr>
        <w:t>2、具体技术要求</w:t>
      </w:r>
    </w:p>
    <w:p>
      <w:pPr>
        <w:pStyle w:val="6"/>
        <w:ind w:firstLine="422"/>
        <w:rPr>
          <w:rFonts w:hint="eastAsia" w:eastAsia="宋体"/>
          <w:color w:val="auto"/>
          <w:highlight w:val="none"/>
          <w:lang w:eastAsia="zh-CN"/>
        </w:rPr>
      </w:pPr>
      <w:r>
        <w:rPr>
          <w:rFonts w:hint="eastAsia"/>
          <w:color w:val="auto"/>
          <w:highlight w:val="none"/>
        </w:rPr>
        <w:t>标项一：</w:t>
      </w:r>
      <w:r>
        <w:rPr>
          <w:rFonts w:hint="eastAsia"/>
          <w:color w:val="auto"/>
          <w:highlight w:val="none"/>
          <w:lang w:eastAsia="zh-CN"/>
        </w:rPr>
        <w:t>飞秒光纤激光器</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规格（型号）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ind w:firstLine="0" w:firstLineChars="0"/>
              <w:jc w:val="center"/>
              <w:rPr>
                <w:rFonts w:hint="eastAsia" w:ascii="Agilent TT Cond" w:hAnsi="Agilent TT Cond" w:eastAsia="宋体" w:cs="宋体"/>
                <w:color w:val="auto"/>
                <w:sz w:val="22"/>
                <w:szCs w:val="22"/>
                <w:highlight w:val="none"/>
                <w:lang w:eastAsia="zh-CN"/>
              </w:rPr>
            </w:pPr>
            <w:r>
              <w:rPr>
                <w:rFonts w:hint="eastAsia" w:ascii="Agilent TT Cond" w:hAnsi="Agilent TT Cond" w:cs="宋体"/>
                <w:color w:val="auto"/>
                <w:sz w:val="22"/>
                <w:szCs w:val="22"/>
                <w:highlight w:val="none"/>
                <w:lang w:eastAsia="zh-CN"/>
              </w:rPr>
              <w:t>飞秒光纤激光器</w:t>
            </w:r>
          </w:p>
        </w:tc>
        <w:tc>
          <w:tcPr>
            <w:tcW w:w="5862" w:type="dxa"/>
            <w:shd w:val="clear" w:color="auto" w:fill="auto"/>
            <w:vAlign w:val="center"/>
          </w:tcPr>
          <w:p>
            <w:pPr>
              <w:spacing w:line="240" w:lineRule="auto"/>
              <w:ind w:firstLine="0" w:firstLineChars="0"/>
              <w:rPr>
                <w:rFonts w:hint="eastAsia"/>
                <w:color w:val="auto"/>
                <w:sz w:val="22"/>
                <w:szCs w:val="22"/>
                <w:highlight w:val="none"/>
              </w:rPr>
            </w:pPr>
            <w:r>
              <w:rPr>
                <w:rFonts w:hint="eastAsia"/>
                <w:color w:val="auto"/>
                <w:sz w:val="22"/>
                <w:szCs w:val="22"/>
                <w:highlight w:val="none"/>
              </w:rPr>
              <w:t>掺铒光纤激光器，包括激光头和控制单元。</w:t>
            </w:r>
          </w:p>
          <w:p>
            <w:pPr>
              <w:spacing w:line="240" w:lineRule="auto"/>
              <w:ind w:firstLine="0" w:firstLineChars="0"/>
              <w:rPr>
                <w:rFonts w:hint="eastAsia"/>
                <w:color w:val="auto"/>
                <w:sz w:val="22"/>
                <w:szCs w:val="22"/>
                <w:highlight w:val="none"/>
              </w:rPr>
            </w:pPr>
            <w:r>
              <w:rPr>
                <w:rFonts w:hint="eastAsia"/>
                <w:color w:val="auto"/>
                <w:sz w:val="22"/>
                <w:szCs w:val="22"/>
                <w:highlight w:val="none"/>
              </w:rPr>
              <w:t>重复频率：50 MHz±1MHz，</w:t>
            </w:r>
          </w:p>
          <w:p>
            <w:pPr>
              <w:spacing w:line="240" w:lineRule="auto"/>
              <w:ind w:firstLine="0" w:firstLineChars="0"/>
              <w:rPr>
                <w:rFonts w:hint="eastAsia"/>
                <w:color w:val="auto"/>
                <w:sz w:val="22"/>
                <w:szCs w:val="22"/>
                <w:highlight w:val="none"/>
              </w:rPr>
            </w:pPr>
            <w:r>
              <w:rPr>
                <w:rFonts w:hint="eastAsia"/>
                <w:color w:val="auto"/>
                <w:sz w:val="22"/>
                <w:szCs w:val="22"/>
                <w:highlight w:val="none"/>
              </w:rPr>
              <w:t>中心频率：1560 nm±20 nm。</w:t>
            </w:r>
          </w:p>
          <w:p>
            <w:pPr>
              <w:spacing w:line="240" w:lineRule="auto"/>
              <w:ind w:firstLine="0" w:firstLineChars="0"/>
              <w:rPr>
                <w:rFonts w:hint="eastAsia"/>
                <w:color w:val="auto"/>
                <w:sz w:val="22"/>
                <w:szCs w:val="22"/>
                <w:highlight w:val="none"/>
              </w:rPr>
            </w:pPr>
            <w:r>
              <w:rPr>
                <w:rFonts w:hint="eastAsia"/>
                <w:color w:val="auto"/>
                <w:sz w:val="22"/>
                <w:szCs w:val="22"/>
                <w:highlight w:val="none"/>
              </w:rPr>
              <w:t>光纤耦合输出，线性偏振。</w:t>
            </w:r>
          </w:p>
          <w:p>
            <w:pPr>
              <w:spacing w:line="240" w:lineRule="auto"/>
              <w:ind w:firstLine="0" w:firstLineChars="0"/>
              <w:rPr>
                <w:rFonts w:hint="eastAsia"/>
                <w:color w:val="auto"/>
                <w:sz w:val="22"/>
                <w:szCs w:val="22"/>
                <w:highlight w:val="none"/>
              </w:rPr>
            </w:pPr>
            <w:r>
              <w:rPr>
                <w:rFonts w:hint="eastAsia"/>
                <w:color w:val="auto"/>
                <w:sz w:val="22"/>
                <w:szCs w:val="22"/>
                <w:highlight w:val="none"/>
              </w:rPr>
              <w:t>平均输出功率大于100 mW，脉冲宽度大于90 fs。</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p>
        </w:tc>
      </w:tr>
    </w:tbl>
    <w:p>
      <w:pPr>
        <w:ind w:firstLine="480"/>
        <w:rPr>
          <w:color w:val="auto"/>
          <w:highlight w:val="none"/>
        </w:rPr>
      </w:pPr>
    </w:p>
    <w:p>
      <w:pPr>
        <w:pStyle w:val="6"/>
        <w:ind w:firstLine="422"/>
        <w:rPr>
          <w:rFonts w:hint="eastAsia" w:eastAsia="宋体"/>
          <w:color w:val="auto"/>
          <w:highlight w:val="none"/>
          <w:lang w:eastAsia="zh-CN"/>
        </w:rPr>
      </w:pPr>
      <w:r>
        <w:rPr>
          <w:rFonts w:hint="eastAsia"/>
          <w:color w:val="auto"/>
          <w:highlight w:val="none"/>
        </w:rPr>
        <w:t>标项二：</w:t>
      </w:r>
      <w:r>
        <w:rPr>
          <w:rFonts w:hint="eastAsia"/>
          <w:color w:val="auto"/>
          <w:highlight w:val="none"/>
          <w:lang w:eastAsia="zh-CN"/>
        </w:rPr>
        <w:t>半导体激光器</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54"/>
        <w:gridCol w:w="6147"/>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序号</w:t>
            </w:r>
          </w:p>
        </w:tc>
        <w:tc>
          <w:tcPr>
            <w:tcW w:w="1254"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名称</w:t>
            </w:r>
          </w:p>
        </w:tc>
        <w:tc>
          <w:tcPr>
            <w:tcW w:w="6147"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规格（型号）</w:t>
            </w:r>
          </w:p>
        </w:tc>
        <w:tc>
          <w:tcPr>
            <w:tcW w:w="5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1254" w:type="dxa"/>
            <w:shd w:val="clear" w:color="auto" w:fill="auto"/>
            <w:vAlign w:val="center"/>
          </w:tcPr>
          <w:p>
            <w:pPr>
              <w:spacing w:line="240" w:lineRule="auto"/>
              <w:ind w:firstLine="0" w:firstLineChars="0"/>
              <w:jc w:val="center"/>
              <w:rPr>
                <w:rFonts w:hint="eastAsia" w:eastAsia="宋体"/>
                <w:color w:val="auto"/>
                <w:sz w:val="21"/>
                <w:szCs w:val="21"/>
                <w:highlight w:val="none"/>
                <w:lang w:eastAsia="zh-CN"/>
              </w:rPr>
            </w:pPr>
            <w:r>
              <w:rPr>
                <w:rFonts w:hint="eastAsia" w:ascii="Agilent TT Cond" w:hAnsi="Agilent TT Cond" w:cs="宋体"/>
                <w:color w:val="auto"/>
                <w:sz w:val="24"/>
                <w:szCs w:val="24"/>
                <w:highlight w:val="none"/>
                <w:lang w:eastAsia="zh-CN"/>
              </w:rPr>
              <w:t>半导体激光器</w:t>
            </w:r>
          </w:p>
        </w:tc>
        <w:tc>
          <w:tcPr>
            <w:tcW w:w="6147" w:type="dxa"/>
            <w:shd w:val="clear" w:color="auto" w:fill="auto"/>
            <w:vAlign w:val="center"/>
          </w:tcPr>
          <w:p>
            <w:pPr>
              <w:spacing w:line="240" w:lineRule="auto"/>
              <w:ind w:firstLine="0" w:firstLineChars="0"/>
              <w:rPr>
                <w:rFonts w:hint="eastAsia"/>
                <w:color w:val="auto"/>
                <w:sz w:val="21"/>
                <w:szCs w:val="21"/>
                <w:highlight w:val="none"/>
              </w:rPr>
            </w:pPr>
            <w:r>
              <w:rPr>
                <w:rFonts w:hint="eastAsia"/>
                <w:color w:val="auto"/>
                <w:sz w:val="21"/>
                <w:szCs w:val="21"/>
                <w:highlight w:val="none"/>
              </w:rPr>
              <w:t>波长范围：780-800 nm</w:t>
            </w:r>
          </w:p>
          <w:p>
            <w:pPr>
              <w:spacing w:line="240" w:lineRule="auto"/>
              <w:ind w:firstLine="0" w:firstLineChars="0"/>
              <w:rPr>
                <w:rFonts w:hint="eastAsia"/>
                <w:color w:val="auto"/>
                <w:sz w:val="21"/>
                <w:szCs w:val="21"/>
                <w:highlight w:val="none"/>
              </w:rPr>
            </w:pPr>
            <w:r>
              <w:rPr>
                <w:rFonts w:hint="eastAsia"/>
                <w:color w:val="auto"/>
                <w:sz w:val="21"/>
                <w:szCs w:val="21"/>
                <w:highlight w:val="none"/>
              </w:rPr>
              <w:t>输出功率：最大 3.5 mW</w:t>
            </w:r>
          </w:p>
          <w:p>
            <w:pPr>
              <w:spacing w:line="240" w:lineRule="auto"/>
              <w:ind w:firstLine="0" w:firstLineChars="0"/>
              <w:rPr>
                <w:rFonts w:hint="eastAsia"/>
                <w:color w:val="auto"/>
                <w:sz w:val="21"/>
                <w:szCs w:val="21"/>
                <w:highlight w:val="none"/>
              </w:rPr>
            </w:pPr>
            <w:r>
              <w:rPr>
                <w:rFonts w:hint="eastAsia"/>
                <w:color w:val="auto"/>
                <w:sz w:val="21"/>
                <w:szCs w:val="21"/>
                <w:highlight w:val="none"/>
              </w:rPr>
              <w:t>在790-795 nm范围外：最大功率： 3 mW</w:t>
            </w:r>
            <w:r>
              <w:rPr>
                <w:rFonts w:hint="eastAsia"/>
                <w:color w:val="auto"/>
                <w:sz w:val="21"/>
                <w:szCs w:val="21"/>
                <w:highlight w:val="none"/>
                <w:lang w:eastAsia="zh-CN"/>
              </w:rPr>
              <w:t>，</w:t>
            </w:r>
            <w:r>
              <w:rPr>
                <w:rFonts w:hint="eastAsia"/>
                <w:color w:val="auto"/>
                <w:sz w:val="21"/>
                <w:szCs w:val="21"/>
                <w:highlight w:val="none"/>
              </w:rPr>
              <w:t>低于785 nm范围：最大功率： 2.5 mW</w:t>
            </w:r>
          </w:p>
          <w:p>
            <w:pPr>
              <w:spacing w:line="240" w:lineRule="auto"/>
              <w:ind w:firstLine="0" w:firstLineChars="0"/>
              <w:rPr>
                <w:rFonts w:hint="eastAsia"/>
                <w:color w:val="auto"/>
                <w:sz w:val="21"/>
                <w:szCs w:val="21"/>
                <w:highlight w:val="none"/>
              </w:rPr>
            </w:pPr>
            <w:r>
              <w:rPr>
                <w:rFonts w:hint="eastAsia"/>
                <w:color w:val="auto"/>
                <w:sz w:val="21"/>
                <w:szCs w:val="21"/>
                <w:highlight w:val="none"/>
              </w:rPr>
              <w:t>线宽：100 KHz</w:t>
            </w:r>
          </w:p>
          <w:p>
            <w:pPr>
              <w:spacing w:line="240" w:lineRule="auto"/>
              <w:ind w:firstLine="0" w:firstLineChars="0"/>
              <w:rPr>
                <w:rFonts w:hint="eastAsia"/>
                <w:color w:val="auto"/>
                <w:sz w:val="21"/>
                <w:szCs w:val="21"/>
                <w:highlight w:val="none"/>
              </w:rPr>
            </w:pPr>
            <w:r>
              <w:rPr>
                <w:rFonts w:hint="eastAsia"/>
                <w:color w:val="auto"/>
                <w:sz w:val="21"/>
                <w:szCs w:val="21"/>
                <w:highlight w:val="none"/>
              </w:rPr>
              <w:t>包括激光头</w:t>
            </w:r>
          </w:p>
          <w:p>
            <w:pPr>
              <w:spacing w:line="240" w:lineRule="auto"/>
              <w:ind w:firstLine="0" w:firstLineChars="0"/>
              <w:rPr>
                <w:color w:val="auto"/>
                <w:sz w:val="21"/>
                <w:szCs w:val="21"/>
                <w:highlight w:val="none"/>
              </w:rPr>
            </w:pPr>
            <w:r>
              <w:rPr>
                <w:rFonts w:hint="eastAsia"/>
                <w:color w:val="auto"/>
                <w:sz w:val="21"/>
                <w:szCs w:val="21"/>
                <w:highlight w:val="none"/>
              </w:rPr>
              <w:t>锁定模块：在此模块上完全实现激光器频率的数字锁定。</w:t>
            </w: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台</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p>
        </w:tc>
      </w:tr>
    </w:tbl>
    <w:p>
      <w:pPr>
        <w:pStyle w:val="2"/>
        <w:rPr>
          <w:color w:val="auto"/>
          <w:highlight w:val="none"/>
        </w:rPr>
      </w:pPr>
    </w:p>
    <w:p>
      <w:pPr>
        <w:pStyle w:val="4"/>
        <w:rPr>
          <w:rFonts w:ascii="宋体" w:hAnsi="宋体" w:cs="宋体"/>
          <w:color w:val="auto"/>
          <w:sz w:val="24"/>
          <w:szCs w:val="40"/>
          <w:highlight w:val="none"/>
        </w:rPr>
      </w:pPr>
      <w:bookmarkStart w:id="19" w:name="_Toc4822"/>
      <w:bookmarkStart w:id="20" w:name="_Toc6282"/>
      <w:r>
        <w:rPr>
          <w:rFonts w:hint="eastAsia" w:ascii="宋体" w:hAnsi="宋体" w:cs="宋体"/>
          <w:color w:val="auto"/>
          <w:sz w:val="24"/>
          <w:szCs w:val="40"/>
          <w:highlight w:val="none"/>
        </w:rPr>
        <w:t>二、商务要求</w:t>
      </w:r>
    </w:p>
    <w:p>
      <w:pPr>
        <w:pStyle w:val="5"/>
        <w:rPr>
          <w:color w:val="auto"/>
          <w:highlight w:val="none"/>
        </w:rPr>
      </w:pPr>
      <w:r>
        <w:rPr>
          <w:rFonts w:hint="eastAsia"/>
          <w:color w:val="auto"/>
          <w:highlight w:val="none"/>
        </w:rPr>
        <w:t>（一）供货期</w:t>
      </w:r>
      <w:bookmarkEnd w:id="19"/>
      <w:bookmarkEnd w:id="20"/>
    </w:p>
    <w:p>
      <w:pPr>
        <w:ind w:firstLine="480"/>
        <w:rPr>
          <w:rFonts w:ascii="宋体" w:hAnsi="宋体" w:cs="宋体"/>
          <w:color w:val="auto"/>
          <w:szCs w:val="32"/>
          <w:highlight w:val="none"/>
        </w:rPr>
      </w:pPr>
      <w:bookmarkStart w:id="21" w:name="_Toc3146"/>
      <w:r>
        <w:rPr>
          <w:rFonts w:hint="eastAsia" w:ascii="宋体" w:hAnsi="宋体" w:cs="宋体"/>
          <w:color w:val="auto"/>
          <w:szCs w:val="32"/>
          <w:highlight w:val="none"/>
        </w:rPr>
        <w:t>合同签订之日起</w:t>
      </w:r>
      <w:r>
        <w:rPr>
          <w:rFonts w:hint="eastAsia" w:ascii="宋体" w:hAnsi="宋体" w:cs="宋体"/>
          <w:color w:val="auto"/>
          <w:szCs w:val="32"/>
          <w:highlight w:val="none"/>
          <w:lang w:val="en-US" w:eastAsia="zh-CN"/>
        </w:rPr>
        <w:t>90</w:t>
      </w:r>
      <w:r>
        <w:rPr>
          <w:rFonts w:hint="eastAsia" w:ascii="宋体" w:hAnsi="宋体" w:cs="宋体"/>
          <w:color w:val="auto"/>
          <w:szCs w:val="32"/>
          <w:highlight w:val="none"/>
        </w:rPr>
        <w:t>天内完成供货、安装、调试工作。</w:t>
      </w:r>
    </w:p>
    <w:p>
      <w:pPr>
        <w:pStyle w:val="5"/>
        <w:rPr>
          <w:color w:val="auto"/>
          <w:highlight w:val="none"/>
        </w:rPr>
      </w:pPr>
      <w:bookmarkStart w:id="22" w:name="_Toc14429"/>
      <w:r>
        <w:rPr>
          <w:rFonts w:hint="eastAsia"/>
          <w:color w:val="auto"/>
          <w:highlight w:val="none"/>
        </w:rPr>
        <w:t>（二）质保期</w:t>
      </w:r>
      <w:bookmarkEnd w:id="21"/>
      <w:bookmarkEnd w:id="22"/>
    </w:p>
    <w:p>
      <w:pPr>
        <w:ind w:firstLine="480"/>
        <w:rPr>
          <w:rFonts w:ascii="宋体" w:hAnsi="宋体" w:cs="宋体"/>
          <w:color w:val="auto"/>
          <w:szCs w:val="32"/>
          <w:highlight w:val="none"/>
        </w:rPr>
      </w:pPr>
      <w:r>
        <w:rPr>
          <w:rFonts w:hint="eastAsia" w:ascii="宋体" w:hAnsi="宋体" w:cs="宋体"/>
          <w:bCs/>
          <w:color w:val="auto"/>
          <w:kern w:val="0"/>
          <w:szCs w:val="21"/>
          <w:highlight w:val="none"/>
        </w:rPr>
        <w:t>★</w:t>
      </w:r>
      <w:r>
        <w:rPr>
          <w:rFonts w:hint="eastAsia" w:ascii="宋体" w:hAnsi="宋体" w:cs="宋体"/>
          <w:color w:val="auto"/>
          <w:szCs w:val="32"/>
          <w:highlight w:val="none"/>
        </w:rPr>
        <w:t>验收合格第二个月开始算起，提供1年的质保期。</w:t>
      </w:r>
    </w:p>
    <w:p>
      <w:pPr>
        <w:pStyle w:val="5"/>
        <w:rPr>
          <w:color w:val="auto"/>
          <w:highlight w:val="none"/>
        </w:rPr>
      </w:pPr>
      <w:bookmarkStart w:id="23" w:name="_Toc10286"/>
      <w:bookmarkStart w:id="24" w:name="_Toc22183"/>
      <w:r>
        <w:rPr>
          <w:rFonts w:hint="eastAsia"/>
          <w:color w:val="auto"/>
          <w:highlight w:val="none"/>
        </w:rPr>
        <w:t>（三）保存和运输要求</w:t>
      </w:r>
      <w:bookmarkEnd w:id="23"/>
      <w:bookmarkEnd w:id="24"/>
    </w:p>
    <w:p>
      <w:pPr>
        <w:ind w:firstLine="480"/>
        <w:rPr>
          <w:rFonts w:ascii="宋体" w:hAnsi="宋体" w:cs="宋体"/>
          <w:color w:val="auto"/>
          <w:szCs w:val="32"/>
          <w:highlight w:val="none"/>
        </w:rPr>
      </w:pPr>
      <w:r>
        <w:rPr>
          <w:rFonts w:hint="eastAsia" w:ascii="宋体" w:hAnsi="宋体" w:cs="宋体"/>
          <w:color w:val="auto"/>
          <w:szCs w:val="32"/>
          <w:highlight w:val="none"/>
        </w:rPr>
        <w:t>送货至指定地点。</w:t>
      </w:r>
    </w:p>
    <w:p>
      <w:pPr>
        <w:pStyle w:val="5"/>
        <w:rPr>
          <w:color w:val="auto"/>
          <w:highlight w:val="none"/>
        </w:rPr>
      </w:pPr>
      <w:bookmarkStart w:id="25" w:name="_Toc14375"/>
      <w:bookmarkStart w:id="26" w:name="_Toc3643"/>
      <w:r>
        <w:rPr>
          <w:rFonts w:hint="eastAsia"/>
          <w:color w:val="auto"/>
          <w:highlight w:val="none"/>
        </w:rPr>
        <w:t>（四）验收标准</w:t>
      </w:r>
      <w:bookmarkEnd w:id="25"/>
      <w:bookmarkEnd w:id="26"/>
    </w:p>
    <w:p>
      <w:pPr>
        <w:ind w:firstLine="480"/>
        <w:rPr>
          <w:rFonts w:ascii="宋体" w:hAnsi="宋体" w:cs="宋体"/>
          <w:color w:val="auto"/>
          <w:szCs w:val="32"/>
          <w:highlight w:val="none"/>
        </w:rPr>
      </w:pPr>
      <w:r>
        <w:rPr>
          <w:rFonts w:hint="eastAsia" w:ascii="宋体" w:hAnsi="宋体" w:cs="宋体"/>
          <w:color w:val="auto"/>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5"/>
        <w:rPr>
          <w:color w:val="auto"/>
          <w:highlight w:val="none"/>
        </w:rPr>
      </w:pPr>
      <w:bookmarkStart w:id="27" w:name="_Toc32145"/>
      <w:bookmarkStart w:id="28" w:name="_Toc30601"/>
      <w:r>
        <w:rPr>
          <w:rFonts w:hint="eastAsia"/>
          <w:color w:val="auto"/>
          <w:highlight w:val="none"/>
        </w:rPr>
        <w:t>（五）售后服务</w:t>
      </w:r>
      <w:bookmarkEnd w:id="27"/>
      <w:bookmarkEnd w:id="28"/>
    </w:p>
    <w:p>
      <w:pPr>
        <w:ind w:firstLine="480"/>
        <w:rPr>
          <w:rFonts w:ascii="宋体" w:hAnsi="宋体" w:cs="宋体"/>
          <w:color w:val="auto"/>
          <w:szCs w:val="32"/>
          <w:highlight w:val="none"/>
        </w:rPr>
      </w:pPr>
      <w:r>
        <w:rPr>
          <w:rFonts w:hint="eastAsia" w:ascii="宋体" w:hAnsi="宋体" w:cs="宋体"/>
          <w:color w:val="auto"/>
          <w:szCs w:val="32"/>
          <w:highlight w:val="none"/>
        </w:rPr>
        <w:t>软件终身免费升级。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color w:val="auto"/>
          <w:szCs w:val="32"/>
          <w:highlight w:val="none"/>
        </w:rPr>
      </w:pPr>
      <w:r>
        <w:rPr>
          <w:rFonts w:hint="eastAsia" w:ascii="宋体" w:hAnsi="宋体" w:cs="宋体"/>
          <w:color w:val="auto"/>
          <w:szCs w:val="32"/>
          <w:highlight w:val="none"/>
        </w:rPr>
        <w:t>质保期内所有费用由投标方承担，投标方接到报修电话后立即响应，48小时内到达现场，一般故障48小时内排除，重大故障72小时内排除。</w:t>
      </w:r>
    </w:p>
    <w:p>
      <w:pPr>
        <w:ind w:firstLine="480"/>
        <w:rPr>
          <w:rFonts w:ascii="宋体" w:hAnsi="宋体" w:cs="宋体"/>
          <w:color w:val="auto"/>
          <w:szCs w:val="32"/>
          <w:highlight w:val="none"/>
        </w:rPr>
      </w:pPr>
      <w:r>
        <w:rPr>
          <w:rFonts w:hint="eastAsia" w:ascii="宋体" w:hAnsi="宋体" w:cs="宋体"/>
          <w:color w:val="auto"/>
          <w:szCs w:val="32"/>
          <w:highlight w:val="none"/>
        </w:rPr>
        <w:t>不论质保期内外，投标方提供7×24小时电话技术支持，免费上门服务及每年1次现场巡访与培训。</w:t>
      </w:r>
    </w:p>
    <w:p>
      <w:pPr>
        <w:pStyle w:val="5"/>
        <w:rPr>
          <w:color w:val="auto"/>
          <w:highlight w:val="none"/>
        </w:rPr>
      </w:pPr>
      <w:bookmarkStart w:id="29" w:name="_Toc11395"/>
      <w:bookmarkStart w:id="30" w:name="_Toc30062"/>
      <w:r>
        <w:rPr>
          <w:rFonts w:hint="eastAsia"/>
          <w:color w:val="auto"/>
          <w:highlight w:val="none"/>
        </w:rPr>
        <w:t>（六）履约保证金及质量保证金</w:t>
      </w:r>
      <w:bookmarkEnd w:id="29"/>
      <w:bookmarkEnd w:id="30"/>
    </w:p>
    <w:p>
      <w:pPr>
        <w:ind w:firstLine="480"/>
        <w:rPr>
          <w:rFonts w:ascii="宋体" w:hAnsi="宋体" w:cs="宋体"/>
          <w:color w:val="auto"/>
          <w:szCs w:val="32"/>
          <w:highlight w:val="none"/>
        </w:rPr>
      </w:pPr>
      <w:r>
        <w:rPr>
          <w:rFonts w:hint="eastAsia" w:ascii="宋体" w:hAnsi="宋体" w:cs="宋体"/>
          <w:color w:val="auto"/>
          <w:szCs w:val="32"/>
          <w:highlight w:val="none"/>
        </w:rPr>
        <w:t>中标单位须于货到验收合格后七个工作日内向采购人支付合同总价5%的质量保证金，质量保证金自货物交付验收合格后12个月内无质量问题索赔和售后服务问题，无息退回。</w:t>
      </w:r>
      <w:r>
        <w:rPr>
          <w:rFonts w:hint="eastAsia"/>
          <w:color w:val="auto"/>
          <w:szCs w:val="32"/>
          <w:highlight w:val="none"/>
        </w:rPr>
        <w:t>（进口货物适用）</w:t>
      </w:r>
    </w:p>
    <w:p>
      <w:pPr>
        <w:ind w:firstLine="480"/>
        <w:rPr>
          <w:rFonts w:ascii="宋体" w:hAnsi="宋体" w:cs="宋体"/>
          <w:color w:val="auto"/>
          <w:szCs w:val="32"/>
          <w:highlight w:val="none"/>
        </w:rPr>
      </w:pPr>
      <w:r>
        <w:rPr>
          <w:rFonts w:hint="eastAsia" w:ascii="宋体" w:hAnsi="宋体" w:cs="宋体"/>
          <w:color w:val="auto"/>
          <w:szCs w:val="32"/>
          <w:highlight w:val="none"/>
        </w:rPr>
        <w:t>中标单位须于合同签订后向采购人支付合同总价5% 的履约保证金，履约保证金在交货验收后自动转为质量保证金。质量保证金自货物交付验收合格后12个月内无质量问题索赔和售后服务问题，无息退回</w:t>
      </w: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质量保证金应以银行转账或电汇形式。</w:t>
      </w:r>
      <w:r>
        <w:rPr>
          <w:rFonts w:hint="eastAsia"/>
          <w:color w:val="auto"/>
          <w:szCs w:val="32"/>
          <w:highlight w:val="none"/>
        </w:rPr>
        <w:t>（国产货物适用）</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pStyle w:val="5"/>
        <w:rPr>
          <w:color w:val="auto"/>
          <w:highlight w:val="none"/>
        </w:rPr>
      </w:pPr>
      <w:bookmarkStart w:id="31" w:name="_Toc27073"/>
      <w:bookmarkStart w:id="32" w:name="_Toc11083"/>
      <w:r>
        <w:rPr>
          <w:rFonts w:hint="eastAsia"/>
          <w:color w:val="auto"/>
          <w:highlight w:val="none"/>
        </w:rPr>
        <w:t>（七）付款方式</w:t>
      </w:r>
      <w:bookmarkEnd w:id="31"/>
      <w:bookmarkEnd w:id="32"/>
    </w:p>
    <w:p>
      <w:pPr>
        <w:snapToGrid w:val="0"/>
        <w:ind w:firstLine="480"/>
        <w:rPr>
          <w:color w:val="auto"/>
          <w:szCs w:val="32"/>
          <w:highlight w:val="none"/>
        </w:rPr>
      </w:pPr>
      <w:bookmarkStart w:id="33" w:name="_Toc12425"/>
      <w:r>
        <w:rPr>
          <w:rFonts w:hint="eastAsia"/>
          <w:color w:val="auto"/>
          <w:szCs w:val="32"/>
          <w:highlight w:val="none"/>
        </w:rPr>
        <w:t>合同签订后办理好“进出口货物征免税证明”后预付30%，由甲方指定的外贸代理公司开具100%不可撤销即期信用证（90%即期，10%凭验收报告），甲方见装运单支付合同金额的60%给外贸代理公司，10%尾款在验收合格后15个工作日内支付给外贸代理公司。（进口货物适用）</w:t>
      </w:r>
    </w:p>
    <w:p>
      <w:pPr>
        <w:snapToGrid w:val="0"/>
        <w:ind w:firstLine="480"/>
        <w:rPr>
          <w:color w:val="auto"/>
          <w:szCs w:val="32"/>
          <w:highlight w:val="none"/>
        </w:rPr>
      </w:pPr>
      <w:r>
        <w:rPr>
          <w:rFonts w:hint="eastAsia"/>
          <w:color w:val="auto"/>
          <w:szCs w:val="32"/>
          <w:highlight w:val="none"/>
        </w:rPr>
        <w:t>货到安装、调试验收合格后15个工作日内，由中标人提供中标人开具的全额发票后，采购人向中标人支付合同总价100%的货款。（国产货物适用）</w:t>
      </w:r>
    </w:p>
    <w:p>
      <w:pPr>
        <w:pStyle w:val="5"/>
        <w:rPr>
          <w:color w:val="auto"/>
          <w:highlight w:val="none"/>
        </w:rPr>
      </w:pPr>
      <w:bookmarkStart w:id="34" w:name="_Toc12409"/>
      <w:r>
        <w:rPr>
          <w:rFonts w:hint="eastAsia"/>
          <w:color w:val="auto"/>
          <w:highlight w:val="none"/>
        </w:rPr>
        <w:t>（八）合同履行</w:t>
      </w:r>
      <w:bookmarkEnd w:id="33"/>
      <w:bookmarkEnd w:id="34"/>
    </w:p>
    <w:p>
      <w:pPr>
        <w:ind w:firstLine="48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5"/>
        <w:rPr>
          <w:color w:val="auto"/>
          <w:highlight w:val="none"/>
        </w:rPr>
      </w:pPr>
      <w:bookmarkStart w:id="35" w:name="_Toc26669"/>
      <w:bookmarkStart w:id="36" w:name="_Toc28352"/>
      <w:r>
        <w:rPr>
          <w:rFonts w:hint="eastAsia"/>
          <w:color w:val="auto"/>
          <w:highlight w:val="none"/>
        </w:rPr>
        <w:t>（九）培训</w:t>
      </w:r>
      <w:bookmarkEnd w:id="35"/>
      <w:bookmarkEnd w:id="36"/>
    </w:p>
    <w:p>
      <w:pPr>
        <w:ind w:firstLine="480"/>
        <w:rPr>
          <w:color w:val="auto"/>
          <w:szCs w:val="32"/>
          <w:highlight w:val="none"/>
        </w:rPr>
      </w:pPr>
      <w:r>
        <w:rPr>
          <w:rFonts w:hint="eastAsia"/>
          <w:color w:val="auto"/>
          <w:szCs w:val="32"/>
          <w:highlight w:val="none"/>
        </w:rPr>
        <w:t>中标人应对采购人的操作人员、维修人员免费进行培训，</w:t>
      </w:r>
      <w:r>
        <w:rPr>
          <w:rFonts w:hint="eastAsia" w:ascii="宋体" w:hAnsi="宋体"/>
          <w:color w:val="auto"/>
          <w:highlight w:val="none"/>
        </w:rPr>
        <w:t>使之能够熟练掌握设备的操作、维护及保养技能</w:t>
      </w:r>
      <w:r>
        <w:rPr>
          <w:rFonts w:hint="eastAsia"/>
          <w:color w:val="auto"/>
          <w:szCs w:val="32"/>
          <w:highlight w:val="none"/>
        </w:rPr>
        <w:t>。</w:t>
      </w:r>
    </w:p>
    <w:p>
      <w:pPr>
        <w:ind w:firstLine="480"/>
        <w:rPr>
          <w:color w:val="auto"/>
          <w:szCs w:val="32"/>
          <w:highlight w:val="none"/>
        </w:rPr>
      </w:pPr>
      <w:r>
        <w:rPr>
          <w:rFonts w:hint="eastAsia"/>
          <w:color w:val="auto"/>
          <w:szCs w:val="32"/>
          <w:highlight w:val="none"/>
        </w:rPr>
        <w:t>中标人应提供相应的培训计划。</w:t>
      </w:r>
    </w:p>
    <w:p>
      <w:pPr>
        <w:ind w:firstLine="480"/>
        <w:rPr>
          <w:color w:val="auto"/>
          <w:szCs w:val="32"/>
          <w:highlight w:val="none"/>
        </w:rPr>
      </w:pPr>
      <w:r>
        <w:rPr>
          <w:rFonts w:hint="eastAsia"/>
          <w:color w:val="auto"/>
          <w:szCs w:val="32"/>
          <w:highlight w:val="none"/>
        </w:rPr>
        <w:t>中标人应对上述内容的实现方式、地点、人数、时间在投标文件中详细说明。（请附加培训计划书）提供不少于3人次的现场技术培训。</w:t>
      </w:r>
      <w:r>
        <w:rPr>
          <w:rFonts w:hint="eastAsia" w:ascii="宋体" w:hAnsi="宋体"/>
          <w:color w:val="auto"/>
          <w:highlight w:val="none"/>
        </w:rPr>
        <w:t>培训的时间、地点、人数均由用户确定。</w:t>
      </w:r>
    </w:p>
    <w:p>
      <w:pPr>
        <w:pStyle w:val="5"/>
        <w:rPr>
          <w:color w:val="auto"/>
          <w:highlight w:val="none"/>
        </w:rPr>
      </w:pPr>
      <w:bookmarkStart w:id="37" w:name="_Toc30890"/>
      <w:bookmarkStart w:id="38" w:name="_Toc4662"/>
      <w:r>
        <w:rPr>
          <w:rFonts w:hint="eastAsia"/>
          <w:color w:val="auto"/>
          <w:highlight w:val="none"/>
        </w:rPr>
        <w:t>（十）安装调试</w:t>
      </w:r>
      <w:bookmarkEnd w:id="37"/>
      <w:bookmarkEnd w:id="38"/>
    </w:p>
    <w:p>
      <w:pPr>
        <w:ind w:firstLine="480"/>
        <w:rPr>
          <w:color w:val="auto"/>
          <w:szCs w:val="32"/>
          <w:highlight w:val="none"/>
        </w:rPr>
      </w:pPr>
      <w:r>
        <w:rPr>
          <w:rFonts w:hint="eastAsia"/>
          <w:color w:val="auto"/>
          <w:szCs w:val="32"/>
          <w:highlight w:val="none"/>
        </w:rPr>
        <w:t>安装地点：采购人指定地点。</w:t>
      </w:r>
    </w:p>
    <w:p>
      <w:pPr>
        <w:ind w:firstLine="480"/>
        <w:rPr>
          <w:color w:val="auto"/>
          <w:szCs w:val="32"/>
          <w:highlight w:val="none"/>
        </w:rPr>
      </w:pPr>
      <w:r>
        <w:rPr>
          <w:rFonts w:hint="eastAsia"/>
          <w:color w:val="auto"/>
          <w:szCs w:val="32"/>
          <w:highlight w:val="none"/>
        </w:rPr>
        <w:t>安装完成时间：签订合同后</w:t>
      </w:r>
      <w:r>
        <w:rPr>
          <w:rFonts w:hint="eastAsia"/>
          <w:color w:val="auto"/>
          <w:szCs w:val="32"/>
          <w:highlight w:val="none"/>
          <w:lang w:val="en-US" w:eastAsia="zh-CN"/>
        </w:rPr>
        <w:t>90天内</w:t>
      </w:r>
      <w:r>
        <w:rPr>
          <w:rFonts w:hint="eastAsia"/>
          <w:color w:val="auto"/>
          <w:szCs w:val="32"/>
          <w:highlight w:val="none"/>
        </w:rPr>
        <w:t>完成安装和调试</w:t>
      </w:r>
      <w:r>
        <w:rPr>
          <w:rFonts w:hint="eastAsia"/>
          <w:color w:val="auto"/>
          <w:szCs w:val="32"/>
          <w:highlight w:val="none"/>
        </w:rPr>
        <w:t>（“投标人须知前附表”有规定的除外），如在规定的时间内由于中标人的原因不能完成安装和调试，中标人应承担由此给采购人造成的损失。</w:t>
      </w:r>
    </w:p>
    <w:p>
      <w:pPr>
        <w:ind w:firstLine="480"/>
        <w:rPr>
          <w:color w:val="auto"/>
          <w:szCs w:val="32"/>
          <w:highlight w:val="none"/>
        </w:rPr>
      </w:pPr>
      <w:r>
        <w:rPr>
          <w:rFonts w:hint="eastAsia"/>
          <w:color w:val="auto"/>
          <w:szCs w:val="32"/>
          <w:highlight w:val="none"/>
        </w:rPr>
        <w:t>安装标准：符合我国国家有关技术规范要求和技术标准，所有的软件和硬件必须保证同时安装到位。</w:t>
      </w:r>
    </w:p>
    <w:p>
      <w:pPr>
        <w:ind w:firstLine="480"/>
        <w:rPr>
          <w:color w:val="auto"/>
          <w:szCs w:val="32"/>
          <w:highlight w:val="none"/>
        </w:rPr>
      </w:pPr>
      <w:r>
        <w:rPr>
          <w:rFonts w:hint="eastAsia"/>
          <w:color w:val="auto"/>
          <w:szCs w:val="32"/>
          <w:highlight w:val="none"/>
        </w:rPr>
        <w:t>中标人应免费提供合同货物的安装服务。</w:t>
      </w:r>
    </w:p>
    <w:p>
      <w:pPr>
        <w:ind w:firstLine="480"/>
        <w:rPr>
          <w:rFonts w:ascii="宋体" w:hAnsi="宋体" w:cs="宋体"/>
          <w:color w:val="auto"/>
          <w:highlight w:val="none"/>
        </w:rPr>
      </w:pPr>
      <w:r>
        <w:rPr>
          <w:rFonts w:hint="eastAsia"/>
          <w:color w:val="auto"/>
          <w:szCs w:val="32"/>
          <w:highlight w:val="none"/>
        </w:rPr>
        <w:t>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3"/>
        <w:rPr>
          <w:color w:val="auto"/>
          <w:highlight w:val="none"/>
        </w:rPr>
      </w:pPr>
      <w:bookmarkStart w:id="39" w:name="_Toc17984"/>
      <w:r>
        <w:rPr>
          <w:rFonts w:hint="eastAsia" w:cs="宋体"/>
          <w:color w:val="auto"/>
          <w:highlight w:val="none"/>
        </w:rPr>
        <w:t>第三章 投标人须知</w:t>
      </w:r>
      <w:bookmarkEnd w:id="39"/>
    </w:p>
    <w:p>
      <w:pPr>
        <w:pStyle w:val="4"/>
        <w:jc w:val="center"/>
        <w:rPr>
          <w:rFonts w:ascii="宋体" w:hAnsi="宋体" w:cs="宋体"/>
          <w:color w:val="auto"/>
          <w:highlight w:val="none"/>
        </w:rPr>
      </w:pPr>
      <w:bookmarkStart w:id="40" w:name="_Toc2290"/>
      <w:bookmarkStart w:id="41" w:name="_Toc452457413"/>
      <w:bookmarkStart w:id="42" w:name="_Toc21699"/>
      <w:r>
        <w:rPr>
          <w:rFonts w:hint="eastAsia" w:ascii="宋体" w:hAnsi="宋体" w:cs="宋体"/>
          <w:color w:val="auto"/>
          <w:highlight w:val="none"/>
        </w:rPr>
        <w:t>前 附 表</w:t>
      </w:r>
      <w:bookmarkEnd w:id="40"/>
      <w:bookmarkEnd w:id="41"/>
      <w:bookmarkEnd w:id="42"/>
    </w:p>
    <w:tbl>
      <w:tblPr>
        <w:tblStyle w:val="3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color w:val="auto"/>
                <w:highlight w:val="none"/>
              </w:rPr>
            </w:pPr>
            <w:r>
              <w:rPr>
                <w:rFonts w:hint="eastAsia" w:ascii="宋体" w:hAnsi="宋体" w:cs="宋体"/>
                <w:color w:val="auto"/>
                <w:highlight w:val="none"/>
              </w:rPr>
              <w:t>2. 设备费为用户指定落地价：</w:t>
            </w:r>
          </w:p>
          <w:p>
            <w:pPr>
              <w:spacing w:line="348" w:lineRule="auto"/>
              <w:ind w:firstLine="480"/>
              <w:rPr>
                <w:rFonts w:ascii="宋体" w:hAnsi="宋体" w:cs="宋体"/>
                <w:color w:val="auto"/>
                <w:highlight w:val="none"/>
              </w:rPr>
            </w:pPr>
            <w:r>
              <w:rPr>
                <w:rFonts w:hint="eastAsia" w:ascii="宋体" w:hAnsi="宋体" w:cs="宋体"/>
                <w:color w:val="auto"/>
                <w:highlight w:val="none"/>
              </w:rPr>
              <w:t>（1）国产设备或国内直接供货的进口设备：设备费须包含设备（包括主机、标准附件、备品备件、专用工具）价、设备运杂费、保险费、利润、税金等，以人民币报价。</w:t>
            </w:r>
          </w:p>
          <w:p>
            <w:pPr>
              <w:spacing w:line="348" w:lineRule="auto"/>
              <w:ind w:firstLine="480"/>
              <w:rPr>
                <w:rFonts w:ascii="宋体" w:hAnsi="宋体" w:cs="宋体"/>
                <w:color w:val="auto"/>
                <w:highlight w:val="none"/>
              </w:rPr>
            </w:pPr>
            <w:r>
              <w:rPr>
                <w:rFonts w:hint="eastAsia" w:ascii="宋体" w:hAnsi="宋体" w:cs="宋体"/>
                <w:color w:val="auto"/>
                <w:highlight w:val="none"/>
              </w:rPr>
              <w:t>（2）进口外贸设备：设备费须包含设备（包括主机、标准附件、备品备件、专用工具）价、国际运费、国际运输保险费、国内运输保险费等；进口外贸设备以美元、欧元等世界主要流通货币报价，报价方式为CIP杭州（不含关税和增值税），并由采购人委托相关的外贸公司履行代理进口事宜，所需费用按合同约定条款执行，如果合同总价超出确认书金额，合同总价为确认书金额。合同货款统一按开标当日与上午9点30分最接近的时间中国银行总行发布的外币对人民币的现钞卖出价折算成人民币。</w:t>
            </w:r>
          </w:p>
          <w:p>
            <w:pPr>
              <w:spacing w:line="348" w:lineRule="auto"/>
              <w:ind w:firstLine="480"/>
              <w:rPr>
                <w:rFonts w:ascii="宋体" w:hAnsi="宋体" w:cs="宋体"/>
                <w:color w:val="auto"/>
                <w:highlight w:val="none"/>
              </w:rPr>
            </w:pPr>
            <w:r>
              <w:rPr>
                <w:rFonts w:hint="eastAsia" w:ascii="宋体" w:hAnsi="宋体" w:cs="宋体"/>
                <w:color w:val="auto"/>
                <w:highlight w:val="none"/>
              </w:rPr>
              <w:t>3. 若同一标项中既有国产设备或国内供货设备，又有进口外贸设备，须按照不同类别以人民币、美元等世界主要流通货币分别报价。</w:t>
            </w:r>
          </w:p>
          <w:p>
            <w:pPr>
              <w:spacing w:line="348" w:lineRule="auto"/>
              <w:ind w:firstLine="480"/>
              <w:rPr>
                <w:rFonts w:ascii="宋体" w:hAnsi="宋体" w:cs="宋体"/>
                <w:color w:val="auto"/>
                <w:highlight w:val="none"/>
              </w:rPr>
            </w:pPr>
            <w:r>
              <w:rPr>
                <w:rFonts w:hint="eastAsia" w:ascii="宋体" w:hAnsi="宋体" w:cs="宋体"/>
                <w:color w:val="auto"/>
                <w:highlight w:val="none"/>
              </w:rPr>
              <w:t>4. 投标人的投标报价应在项目预算之内，超出预算金额的投标文件按无效标处理。如报价为外币价，统一换算成人民币价格，汇率按开标当日与上午9点30分最接近的时间中国银行总行发布的外币对人民币的现钞卖出价，换算后人民币价格应该在预算价格之内，否则作无效标处理。</w:t>
            </w:r>
          </w:p>
          <w:p>
            <w:pPr>
              <w:spacing w:line="348" w:lineRule="auto"/>
              <w:ind w:firstLine="480"/>
              <w:rPr>
                <w:rFonts w:ascii="宋体" w:hAnsi="宋体" w:cs="宋体"/>
                <w:color w:val="auto"/>
                <w:highlight w:val="none"/>
              </w:rPr>
            </w:pPr>
            <w:r>
              <w:rPr>
                <w:rFonts w:hint="eastAsia" w:ascii="宋体" w:hAnsi="宋体" w:cs="宋体"/>
                <w:color w:val="auto"/>
                <w:highlight w:val="none"/>
              </w:rPr>
              <w:t>5. 本项目涉及的进口设备预算中包含了设备外贸代理费。</w:t>
            </w:r>
          </w:p>
          <w:p>
            <w:pPr>
              <w:spacing w:line="348" w:lineRule="auto"/>
              <w:ind w:firstLine="480"/>
              <w:rPr>
                <w:rFonts w:ascii="宋体" w:hAnsi="宋体" w:cs="宋体"/>
                <w:color w:val="auto"/>
                <w:highlight w:val="none"/>
              </w:rPr>
            </w:pPr>
            <w:r>
              <w:rPr>
                <w:rFonts w:hint="eastAsia" w:ascii="宋体" w:hAnsi="宋体" w:cs="宋体"/>
                <w:color w:val="auto"/>
                <w:highlight w:val="none"/>
              </w:rPr>
              <w:t>6.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7.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8.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9.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color w:val="auto"/>
                <w:highlight w:val="none"/>
              </w:rPr>
            </w:pPr>
            <w:r>
              <w:rPr>
                <w:rFonts w:hint="eastAsia"/>
                <w:color w:val="auto"/>
                <w:highlight w:val="none"/>
              </w:rPr>
              <w:t>采购人不同意分包。</w:t>
            </w:r>
          </w:p>
          <w:p>
            <w:pPr>
              <w:pStyle w:val="8"/>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w:t>
            </w:r>
            <w:r>
              <w:rPr>
                <w:rFonts w:hint="eastAsia"/>
                <w:color w:val="auto"/>
                <w:highlight w:val="none"/>
                <w:lang w:val="en-US" w:eastAsia="zh-CN"/>
              </w:rPr>
              <w:t>四</w:t>
            </w:r>
            <w:r>
              <w:rPr>
                <w:rFonts w:hint="eastAsia"/>
                <w:color w:val="auto"/>
                <w:highlight w:val="none"/>
              </w:rPr>
              <w:t>份；商务技术文件正本一份，副本</w:t>
            </w:r>
            <w:r>
              <w:rPr>
                <w:rFonts w:hint="eastAsia"/>
                <w:color w:val="auto"/>
                <w:highlight w:val="none"/>
                <w:lang w:val="en-US" w:eastAsia="zh-CN"/>
              </w:rPr>
              <w:t>四</w:t>
            </w:r>
            <w:r>
              <w:rPr>
                <w:rFonts w:hint="eastAsia"/>
                <w:color w:val="auto"/>
                <w:highlight w:val="none"/>
              </w:rPr>
              <w:t>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38"/>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服务类型中标金额（万元）</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货物招标</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100以下</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100-500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0.77%</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500-1000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1000-5000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5000-10000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0.07%</w:t>
                  </w:r>
                </w:p>
              </w:tc>
            </w:tr>
          </w:tbl>
          <w:p>
            <w:pPr>
              <w:spacing w:line="312" w:lineRule="auto"/>
              <w:ind w:firstLine="480"/>
              <w:rPr>
                <w:rFonts w:ascii="宋体" w:hAnsi="宋体" w:cs="宋体"/>
                <w:color w:val="auto"/>
                <w:highlight w:val="none"/>
              </w:rPr>
            </w:pPr>
            <w:r>
              <w:rPr>
                <w:rFonts w:hint="eastAsia" w:ascii="宋体" w:hAnsi="宋体" w:cs="宋体"/>
                <w:color w:val="auto"/>
                <w:highlight w:val="none"/>
              </w:rPr>
              <w:t>1.成交人在领取成交通知书前，应向招标代理机构交纳招标代理服务费。</w:t>
            </w:r>
          </w:p>
          <w:p>
            <w:pPr>
              <w:spacing w:line="312" w:lineRule="auto"/>
              <w:ind w:firstLine="480"/>
              <w:rPr>
                <w:rFonts w:ascii="宋体" w:hAnsi="宋体" w:cs="宋体"/>
                <w:color w:val="auto"/>
                <w:highlight w:val="none"/>
              </w:rPr>
            </w:pPr>
            <w:r>
              <w:rPr>
                <w:rFonts w:hint="eastAsia" w:ascii="宋体" w:hAnsi="宋体" w:cs="宋体"/>
                <w:color w:val="auto"/>
                <w:highlight w:val="none"/>
              </w:rPr>
              <w:t>2.招标代理服务费以电汇方式支付。</w:t>
            </w:r>
          </w:p>
          <w:p>
            <w:pPr>
              <w:spacing w:line="312" w:lineRule="auto"/>
              <w:ind w:firstLine="480"/>
              <w:rPr>
                <w:rFonts w:ascii="宋体" w:hAnsi="宋体" w:cs="宋体"/>
                <w:color w:val="auto"/>
                <w:highlight w:val="none"/>
              </w:rPr>
            </w:pPr>
            <w:r>
              <w:rPr>
                <w:rFonts w:hint="eastAsia" w:ascii="宋体" w:hAnsi="宋体" w:cs="宋体"/>
                <w:color w:val="auto"/>
                <w:highlight w:val="none"/>
              </w:rPr>
              <w:t>服务费汇入以下账户：</w:t>
            </w:r>
          </w:p>
          <w:p>
            <w:pPr>
              <w:spacing w:line="312" w:lineRule="auto"/>
              <w:ind w:firstLine="480"/>
              <w:rPr>
                <w:rFonts w:ascii="宋体" w:hAnsi="宋体" w:cs="宋体"/>
                <w:color w:val="auto"/>
                <w:highlight w:val="none"/>
              </w:rPr>
            </w:pPr>
            <w:r>
              <w:rPr>
                <w:rFonts w:hint="eastAsia" w:ascii="宋体" w:hAnsi="宋体" w:cs="宋体"/>
                <w:color w:val="auto"/>
                <w:highlight w:val="none"/>
              </w:rPr>
              <w:t>单位：浙江五石工程咨询有限公司萧山分公司</w:t>
            </w:r>
          </w:p>
          <w:p>
            <w:pPr>
              <w:spacing w:line="312" w:lineRule="auto"/>
              <w:ind w:firstLine="480"/>
              <w:rPr>
                <w:rFonts w:ascii="宋体" w:hAnsi="宋体" w:cs="宋体"/>
                <w:color w:val="auto"/>
                <w:highlight w:val="none"/>
              </w:rPr>
            </w:pPr>
            <w:r>
              <w:rPr>
                <w:rFonts w:hint="eastAsia" w:ascii="宋体" w:hAnsi="宋体" w:cs="宋体"/>
                <w:color w:val="auto"/>
                <w:highlight w:val="none"/>
              </w:rPr>
              <w:t>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6"/>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4"/>
        <w:jc w:val="center"/>
        <w:rPr>
          <w:rFonts w:ascii="宋体" w:hAnsi="宋体" w:cs="宋体"/>
          <w:color w:val="auto"/>
          <w:highlight w:val="none"/>
        </w:rPr>
      </w:pPr>
      <w:bookmarkStart w:id="43" w:name="_Toc247085689"/>
      <w:bookmarkStart w:id="44" w:name="_Toc144974497"/>
      <w:bookmarkStart w:id="45" w:name="_Toc296602420"/>
      <w:bookmarkStart w:id="46" w:name="_Toc152042305"/>
      <w:bookmarkStart w:id="47" w:name="_Toc152045529"/>
      <w:bookmarkStart w:id="48" w:name="_Toc179632546"/>
      <w:bookmarkStart w:id="49" w:name="_Toc452457414"/>
      <w:bookmarkStart w:id="50" w:name="_Toc246996918"/>
      <w:bookmarkStart w:id="51" w:name="_Toc246996175"/>
      <w:r>
        <w:rPr>
          <w:rFonts w:hint="eastAsia" w:ascii="宋体" w:hAnsi="宋体" w:cs="宋体"/>
          <w:color w:val="auto"/>
          <w:highlight w:val="none"/>
        </w:rPr>
        <w:br w:type="page"/>
      </w:r>
      <w:bookmarkEnd w:id="43"/>
      <w:bookmarkEnd w:id="44"/>
      <w:bookmarkEnd w:id="45"/>
      <w:bookmarkEnd w:id="46"/>
      <w:bookmarkEnd w:id="47"/>
      <w:bookmarkEnd w:id="48"/>
      <w:bookmarkEnd w:id="49"/>
      <w:bookmarkEnd w:id="50"/>
      <w:bookmarkEnd w:id="51"/>
      <w:bookmarkStart w:id="52" w:name="_Toc22147"/>
      <w:bookmarkStart w:id="53" w:name="_Toc2440"/>
      <w:bookmarkStart w:id="54" w:name="_Toc152042306"/>
      <w:bookmarkStart w:id="55" w:name="_Toc144974498"/>
      <w:bookmarkStart w:id="56" w:name="_Toc246996176"/>
      <w:bookmarkStart w:id="57" w:name="_Toc179632547"/>
      <w:bookmarkStart w:id="58" w:name="_Toc152045530"/>
      <w:bookmarkStart w:id="59" w:name="_Toc246996919"/>
      <w:bookmarkStart w:id="60" w:name="_Toc247085690"/>
      <w:bookmarkStart w:id="61" w:name="_Toc296602421"/>
      <w:r>
        <w:rPr>
          <w:rFonts w:hint="eastAsia" w:ascii="宋体" w:hAnsi="宋体" w:cs="宋体"/>
          <w:color w:val="auto"/>
          <w:highlight w:val="none"/>
        </w:rPr>
        <w:t>第一节 总 则</w:t>
      </w:r>
      <w:bookmarkEnd w:id="52"/>
      <w:bookmarkEnd w:id="53"/>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1.“采购人”系指中国计量大学。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5"/>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19"/>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19"/>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5"/>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9"/>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2" w:name="_Toc91899879"/>
      <w:bookmarkStart w:id="63" w:name="_Toc16985"/>
      <w:r>
        <w:rPr>
          <w:rFonts w:hint="eastAsia" w:ascii="宋体" w:hAnsi="宋体" w:cs="宋体"/>
          <w:b/>
          <w:bCs/>
          <w:color w:val="auto"/>
          <w:sz w:val="28"/>
          <w:szCs w:val="32"/>
          <w:highlight w:val="none"/>
        </w:rPr>
        <w:t>第二节 招标文件</w:t>
      </w:r>
      <w:bookmarkEnd w:id="62"/>
      <w:r>
        <w:rPr>
          <w:rFonts w:hint="eastAsia" w:ascii="宋体" w:hAnsi="宋体" w:cs="宋体"/>
          <w:b/>
          <w:bCs/>
          <w:color w:val="auto"/>
          <w:sz w:val="28"/>
          <w:szCs w:val="32"/>
          <w:highlight w:val="none"/>
        </w:rPr>
        <w:t>的构成、澄清、修改</w:t>
      </w:r>
      <w:bookmarkEnd w:id="63"/>
    </w:p>
    <w:p>
      <w:pPr>
        <w:pStyle w:val="5"/>
        <w:rPr>
          <w:rFonts w:ascii="宋体" w:hAnsi="宋体" w:cs="宋体"/>
          <w:color w:val="auto"/>
          <w:highlight w:val="none"/>
        </w:rPr>
      </w:pPr>
      <w:bookmarkStart w:id="64" w:name="_Toc91899880"/>
      <w:bookmarkStart w:id="65" w:name="_Hlt74730307"/>
      <w:r>
        <w:rPr>
          <w:rFonts w:hint="eastAsia" w:ascii="宋体" w:hAnsi="宋体" w:cs="宋体"/>
          <w:color w:val="auto"/>
          <w:highlight w:val="none"/>
        </w:rPr>
        <w:t>一、招标文件的构成</w:t>
      </w:r>
      <w:bookmarkEnd w:id="64"/>
    </w:p>
    <w:bookmarkEnd w:id="65"/>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19"/>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19"/>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4"/>
        <w:jc w:val="center"/>
        <w:rPr>
          <w:rFonts w:ascii="宋体" w:hAnsi="宋体" w:cs="宋体"/>
          <w:color w:val="auto"/>
          <w:highlight w:val="none"/>
        </w:rPr>
      </w:pPr>
      <w:bookmarkStart w:id="66" w:name="_Toc82873324"/>
      <w:bookmarkStart w:id="67" w:name="_Toc204"/>
      <w:bookmarkStart w:id="68" w:name="_Toc1096"/>
      <w:bookmarkStart w:id="69" w:name="_Toc82338241"/>
      <w:bookmarkStart w:id="70" w:name="_Toc450840075"/>
      <w:r>
        <w:rPr>
          <w:rFonts w:hint="eastAsia" w:ascii="宋体" w:hAnsi="宋体" w:cs="宋体"/>
          <w:color w:val="auto"/>
          <w:highlight w:val="none"/>
        </w:rPr>
        <w:t>第三节 投标文件</w:t>
      </w:r>
      <w:bookmarkEnd w:id="66"/>
      <w:bookmarkEnd w:id="67"/>
      <w:bookmarkEnd w:id="68"/>
      <w:bookmarkEnd w:id="69"/>
      <w:bookmarkEnd w:id="70"/>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1"/>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1"/>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技术服务方案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保期满后备品备件的配置清单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附件十四</w:t>
      </w:r>
      <w:r>
        <w:rPr>
          <w:rFonts w:hint="eastAsia" w:ascii="宋体" w:hAnsi="宋体" w:cs="宋体"/>
          <w:color w:val="auto"/>
          <w:highlight w:val="none"/>
          <w:lang w:eastAsia="zh-CN"/>
        </w:rPr>
        <w:t>）</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71" w:name="_Toc1"/>
      <w:bookmarkStart w:id="72" w:name="_Toc12521"/>
      <w:r>
        <w:rPr>
          <w:rFonts w:hint="eastAsia" w:ascii="宋体" w:hAnsi="宋体" w:cs="宋体"/>
          <w:color w:val="auto"/>
          <w:highlight w:val="none"/>
        </w:rPr>
        <w:t>第四节 投标文件的递交</w:t>
      </w:r>
      <w:bookmarkEnd w:id="71"/>
      <w:bookmarkEnd w:id="72"/>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4"/>
        <w:jc w:val="center"/>
        <w:rPr>
          <w:rFonts w:ascii="宋体" w:hAnsi="宋体" w:cs="宋体"/>
          <w:color w:val="auto"/>
          <w:highlight w:val="none"/>
        </w:rPr>
      </w:pPr>
      <w:bookmarkStart w:id="73" w:name="_Toc20835"/>
      <w:bookmarkStart w:id="74" w:name="_Toc27893"/>
      <w:r>
        <w:rPr>
          <w:rFonts w:hint="eastAsia" w:ascii="宋体" w:hAnsi="宋体" w:cs="宋体"/>
          <w:color w:val="auto"/>
          <w:highlight w:val="none"/>
        </w:rPr>
        <w:t>第五节 开标</w:t>
      </w:r>
      <w:bookmarkEnd w:id="73"/>
      <w:bookmarkEnd w:id="74"/>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75" w:name="_Toc13357"/>
      <w:bookmarkStart w:id="76" w:name="_Toc13687"/>
      <w:r>
        <w:rPr>
          <w:rFonts w:hint="eastAsia" w:ascii="宋体" w:hAnsi="宋体" w:cs="宋体"/>
          <w:color w:val="auto"/>
          <w:highlight w:val="none"/>
        </w:rPr>
        <w:t>第六节 评标</w:t>
      </w:r>
      <w:bookmarkEnd w:id="75"/>
      <w:bookmarkEnd w:id="76"/>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w:t>
      </w:r>
      <w:r>
        <w:rPr>
          <w:rFonts w:hint="eastAsia" w:ascii="宋体" w:hAnsi="宋体" w:cs="宋体"/>
          <w:color w:val="auto"/>
          <w:highlight w:val="none"/>
          <w:lang w:val="en-US" w:eastAsia="zh-CN"/>
        </w:rPr>
        <w:t>型号</w:t>
      </w:r>
      <w:r>
        <w:rPr>
          <w:rFonts w:hint="eastAsia" w:ascii="宋体" w:hAnsi="宋体" w:cs="宋体"/>
          <w:color w:val="auto"/>
          <w:highlight w:val="none"/>
        </w:rPr>
        <w:t>产品且通过资格审查、符合性审查的不同投标人参加同一合同项下投标的，按一家投标人计算，评审后得分最高的同品牌</w:t>
      </w:r>
      <w:r>
        <w:rPr>
          <w:rFonts w:hint="eastAsia" w:ascii="宋体" w:hAnsi="宋体" w:cs="宋体"/>
          <w:color w:val="auto"/>
          <w:highlight w:val="none"/>
          <w:lang w:val="en-US" w:eastAsia="zh-CN"/>
        </w:rPr>
        <w:t>型号</w:t>
      </w:r>
      <w:r>
        <w:rPr>
          <w:rFonts w:hint="eastAsia" w:ascii="宋体" w:hAnsi="宋体" w:cs="宋体"/>
          <w:color w:val="auto"/>
          <w:highlight w:val="none"/>
        </w:rPr>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77" w:name="_Toc31535"/>
      <w:bookmarkStart w:id="78" w:name="_Toc24239"/>
      <w:r>
        <w:rPr>
          <w:rFonts w:hint="eastAsia" w:ascii="宋体" w:hAnsi="宋体" w:cs="宋体"/>
          <w:color w:val="auto"/>
          <w:highlight w:val="none"/>
        </w:rPr>
        <w:t>第七节 授予合同</w:t>
      </w:r>
      <w:bookmarkEnd w:id="77"/>
      <w:bookmarkEnd w:id="78"/>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2.采购代理机构自中标供应商确定之日起2个工作日内，发出中标通知书，并在中国计量大学采购网等相关网站或媒体上公告中标结果。中标公告期限为1个工作日。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4"/>
        <w:jc w:val="center"/>
        <w:rPr>
          <w:rFonts w:ascii="宋体" w:hAnsi="宋体" w:cs="宋体"/>
          <w:color w:val="auto"/>
          <w:highlight w:val="none"/>
        </w:rPr>
      </w:pPr>
      <w:bookmarkStart w:id="79" w:name="_Toc12481"/>
      <w:bookmarkStart w:id="80" w:name="_Toc15220"/>
      <w:r>
        <w:rPr>
          <w:rFonts w:hint="eastAsia" w:ascii="宋体" w:hAnsi="宋体" w:cs="宋体"/>
          <w:color w:val="auto"/>
          <w:highlight w:val="none"/>
        </w:rPr>
        <w:t>第八节 例外处理</w:t>
      </w:r>
      <w:bookmarkEnd w:id="79"/>
      <w:bookmarkEnd w:id="80"/>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81" w:name="_Toc82873316"/>
      <w:bookmarkStart w:id="82" w:name="_Toc82338233"/>
      <w:bookmarkStart w:id="83" w:name="_Toc450840079"/>
      <w:bookmarkStart w:id="84" w:name="_Toc20600"/>
      <w:r>
        <w:rPr>
          <w:rFonts w:hint="eastAsia" w:cs="宋体"/>
          <w:color w:val="auto"/>
          <w:highlight w:val="none"/>
        </w:rPr>
        <w:t xml:space="preserve">第四章 </w:t>
      </w:r>
      <w:bookmarkEnd w:id="81"/>
      <w:bookmarkEnd w:id="82"/>
      <w:bookmarkEnd w:id="83"/>
      <w:r>
        <w:rPr>
          <w:rFonts w:hint="eastAsia" w:cs="宋体"/>
          <w:color w:val="auto"/>
          <w:highlight w:val="none"/>
        </w:rPr>
        <w:t>评标办法及评分标准</w:t>
      </w:r>
      <w:bookmarkEnd w:id="84"/>
    </w:p>
    <w:p>
      <w:pPr>
        <w:pStyle w:val="4"/>
        <w:rPr>
          <w:rFonts w:ascii="宋体" w:hAnsi="宋体" w:cs="宋体"/>
          <w:color w:val="auto"/>
          <w:highlight w:val="none"/>
        </w:rPr>
      </w:pPr>
      <w:bookmarkStart w:id="85" w:name="_Toc11391"/>
      <w:bookmarkStart w:id="86" w:name="_Toc3811"/>
      <w:bookmarkStart w:id="87" w:name="_Toc3110"/>
      <w:bookmarkStart w:id="88" w:name="OLE_LINK3"/>
      <w:r>
        <w:rPr>
          <w:rFonts w:hint="eastAsia" w:ascii="宋体" w:hAnsi="宋体" w:cs="宋体"/>
          <w:color w:val="auto"/>
          <w:highlight w:val="none"/>
        </w:rPr>
        <w:t>一、评分总则</w:t>
      </w:r>
      <w:bookmarkEnd w:id="85"/>
      <w:bookmarkEnd w:id="86"/>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color w:val="auto"/>
          <w:highlight w:val="none"/>
        </w:rPr>
      </w:pPr>
      <w:bookmarkStart w:id="89" w:name="_Toc7789"/>
      <w:r>
        <w:rPr>
          <w:rFonts w:hint="eastAsia" w:ascii="宋体" w:hAnsi="宋体" w:cs="宋体"/>
          <w:color w:val="auto"/>
          <w:highlight w:val="none"/>
        </w:rPr>
        <w:t>二、评分内容及标准</w:t>
      </w:r>
      <w:bookmarkEnd w:id="87"/>
      <w:bookmarkEnd w:id="89"/>
    </w:p>
    <w:bookmarkEnd w:id="88"/>
    <w:p>
      <w:pPr>
        <w:ind w:firstLine="480"/>
        <w:rPr>
          <w:rFonts w:ascii="宋体" w:hAnsi="宋体" w:cs="宋体"/>
          <w:color w:val="auto"/>
          <w:szCs w:val="32"/>
          <w:highlight w:val="none"/>
        </w:rPr>
      </w:pPr>
      <w:bookmarkStart w:id="90" w:name="_Toc82338234"/>
      <w:bookmarkStart w:id="91"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8"/>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92"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（35分）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价格分=（评标基准价/投标报价）×35%×100</w:t>
            </w:r>
          </w:p>
          <w:p>
            <w:pPr>
              <w:pStyle w:val="168"/>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投标人具有有效期内的体系（ISO9001认证、ISO14001认证）认证证书的，每个得1分，最高</w:t>
            </w:r>
            <w:r>
              <w:rPr>
                <w:rFonts w:ascii="宋体" w:hAnsi="宋体" w:cs="宋体"/>
                <w:color w:val="auto"/>
                <w:highlight w:val="none"/>
              </w:rPr>
              <w:t>2</w:t>
            </w:r>
            <w:r>
              <w:rPr>
                <w:rFonts w:hint="eastAsia" w:ascii="宋体" w:hAnsi="宋体" w:cs="宋体"/>
                <w:color w:val="auto"/>
                <w:highlight w:val="none"/>
              </w:rPr>
              <w:t>分。（投标文件中提供复印件，原件备查）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8"/>
              <w:ind w:firstLine="0"/>
              <w:rPr>
                <w:rFonts w:ascii="宋体" w:hAnsi="宋体" w:cs="宋体"/>
                <w:color w:val="auto"/>
                <w:sz w:val="24"/>
                <w:szCs w:val="21"/>
                <w:highlight w:val="none"/>
              </w:rPr>
            </w:pPr>
            <w:r>
              <w:rPr>
                <w:rFonts w:hint="eastAsia" w:ascii="宋体" w:hAnsi="宋体" w:cs="宋体"/>
                <w:color w:val="auto"/>
                <w:sz w:val="24"/>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（55分）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投标产品的基本功能、技术指标与需求的吻合程度和偏差情况（除★以外）（包括所投标产品的详细配置、主要技术参数、随机软件等，是否能够满足投标文件要求。全部满足</w:t>
            </w:r>
            <w:r>
              <w:rPr>
                <w:rFonts w:hint="eastAsia" w:ascii="宋体" w:hAnsi="宋体" w:cs="宋体"/>
                <w:color w:val="auto"/>
                <w:highlight w:val="none"/>
                <w:lang w:val="en-US" w:eastAsia="zh-CN"/>
              </w:rPr>
              <w:t>15</w:t>
            </w:r>
            <w:r>
              <w:rPr>
                <w:rFonts w:hint="eastAsia" w:ascii="宋体" w:hAnsi="宋体" w:cs="宋体"/>
                <w:color w:val="auto"/>
                <w:highlight w:val="none"/>
              </w:rPr>
              <w:t>分；技术指标负偏离每一项扣</w:t>
            </w:r>
            <w:r>
              <w:rPr>
                <w:rFonts w:hint="eastAsia" w:ascii="宋体" w:hAnsi="宋体" w:cs="宋体"/>
                <w:color w:val="auto"/>
                <w:highlight w:val="none"/>
                <w:lang w:val="en-US" w:eastAsia="zh-CN"/>
              </w:rPr>
              <w:t>3</w:t>
            </w:r>
            <w:r>
              <w:rPr>
                <w:rFonts w:hint="eastAsia" w:ascii="宋体" w:hAnsi="宋体" w:cs="宋体"/>
                <w:color w:val="auto"/>
                <w:highlight w:val="none"/>
              </w:rPr>
              <w:t>分，扣完为止。</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highlight w:val="none"/>
              </w:rPr>
            </w:pPr>
            <w:r>
              <w:rPr>
                <w:rFonts w:hint="eastAsia"/>
                <w:color w:val="auto"/>
                <w:highlight w:val="none"/>
              </w:rPr>
              <w:t>技术支持资料完整性及对投标产品技术偏离程度的证明。</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根据设备的先进性，投标产品品牌在国际国内市场知名度、信誉度、认可度等综合打分。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技术服务方案：投标人资金安排、货物供货、验货、关键步骤的思路和要点以及组织机构、工作时间进度表、工作程序和步骤等综合打分。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int="eastAsia" w:hAnsi="宋体" w:eastAsia="宋体" w:cs="宋体"/>
                <w:color w:val="auto"/>
                <w:szCs w:val="24"/>
                <w:highlight w:val="none"/>
                <w:lang w:eastAsia="zh-CN"/>
              </w:rPr>
            </w:pPr>
            <w:r>
              <w:rPr>
                <w:rFonts w:hint="eastAsia" w:hAnsi="宋体" w:cs="宋体"/>
                <w:bCs/>
                <w:color w:val="auto"/>
                <w:spacing w:val="-6"/>
                <w:szCs w:val="24"/>
                <w:highlight w:val="none"/>
              </w:rPr>
              <w:t>完整合理的有针对性的售后服务方案、</w:t>
            </w:r>
            <w:r>
              <w:rPr>
                <w:rFonts w:hint="eastAsia" w:hAnsi="宋体" w:cs="宋体"/>
                <w:color w:val="auto"/>
                <w:szCs w:val="24"/>
                <w:highlight w:val="none"/>
              </w:rPr>
              <w:t>专业服务力量和服务保障</w:t>
            </w:r>
            <w:r>
              <w:rPr>
                <w:rFonts w:hint="eastAsia" w:hAnsi="宋体" w:cs="宋体"/>
                <w:color w:val="auto"/>
                <w:szCs w:val="24"/>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培训计划内容（除商务偏离表中响应规格以外内容）合理、详细，培训范围广，可实施有针对性。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投标人对本项目的合理化建议和改进措施</w:t>
            </w:r>
            <w:r>
              <w:rPr>
                <w:rFonts w:hint="eastAsia" w:ascii="宋体" w:hAnsi="宋体" w:cs="宋体"/>
                <w:bCs/>
                <w:color w:val="auto"/>
                <w:highlight w:val="none"/>
              </w:rPr>
              <w:t>合理、可行性。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color w:val="auto"/>
                <w:szCs w:val="24"/>
                <w:highlight w:val="none"/>
              </w:rPr>
            </w:pPr>
            <w:r>
              <w:rPr>
                <w:rFonts w:hint="eastAsia" w:hAnsi="宋体" w:cs="宋体"/>
                <w:bCs/>
                <w:color w:val="auto"/>
                <w:spacing w:val="-6"/>
                <w:szCs w:val="24"/>
                <w:highlight w:val="none"/>
              </w:rPr>
              <w:t>投标人承诺给予采购人的各种优惠折扣率、力度。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投标人提供的备品备件种类数量和质保期满后的配件的价格</w:t>
            </w:r>
            <w:r>
              <w:rPr>
                <w:rFonts w:hint="eastAsia" w:ascii="宋体" w:hAnsi="宋体" w:cs="宋体"/>
                <w:color w:val="auto"/>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90"/>
    <w:bookmarkEnd w:id="91"/>
    <w:bookmarkEnd w:id="92"/>
    <w:p>
      <w:pPr>
        <w:pStyle w:val="3"/>
        <w:ind w:firstLine="643"/>
        <w:rPr>
          <w:color w:val="auto"/>
          <w:szCs w:val="24"/>
          <w:highlight w:val="none"/>
        </w:rPr>
      </w:pPr>
      <w:bookmarkStart w:id="93" w:name="_Toc1503"/>
      <w:r>
        <w:rPr>
          <w:rFonts w:hint="eastAsia" w:cs="宋体"/>
          <w:color w:val="auto"/>
          <w:szCs w:val="32"/>
          <w:highlight w:val="none"/>
        </w:rPr>
        <w:t>第五章 合同格式</w:t>
      </w:r>
      <w:bookmarkEnd w:id="93"/>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240" w:afterLines="100" w:line="420" w:lineRule="exact"/>
        <w:ind w:firstLine="602"/>
        <w:jc w:val="center"/>
        <w:rPr>
          <w:b/>
          <w:color w:val="auto"/>
          <w:sz w:val="30"/>
          <w:szCs w:val="30"/>
          <w:highlight w:val="none"/>
        </w:rPr>
      </w:pPr>
      <w:bookmarkStart w:id="94" w:name="_Toc450840088"/>
      <w:r>
        <w:rPr>
          <w:rFonts w:hint="eastAsia"/>
          <w:b/>
          <w:color w:val="auto"/>
          <w:sz w:val="30"/>
          <w:szCs w:val="30"/>
          <w:highlight w:val="none"/>
        </w:rPr>
        <w:t>中国计量大学进口货物技术协议书</w:t>
      </w:r>
    </w:p>
    <w:p>
      <w:pPr>
        <w:snapToGrid w:val="0"/>
        <w:ind w:firstLine="480"/>
        <w:contextualSpacing/>
        <w:jc w:val="center"/>
        <w:rPr>
          <w:color w:val="auto"/>
          <w:szCs w:val="21"/>
          <w:highlight w:val="none"/>
        </w:rPr>
      </w:pPr>
      <w:r>
        <w:rPr>
          <w:rFonts w:hint="eastAsia"/>
          <w:color w:val="auto"/>
          <w:szCs w:val="21"/>
          <w:highlight w:val="none"/>
        </w:rPr>
        <w:t xml:space="preserve">                                          合同编号：</w:t>
      </w:r>
    </w:p>
    <w:p>
      <w:pPr>
        <w:snapToGrid w:val="0"/>
        <w:ind w:firstLine="480"/>
        <w:contextualSpacing/>
        <w:jc w:val="center"/>
        <w:rPr>
          <w:color w:val="auto"/>
          <w:szCs w:val="21"/>
          <w:highlight w:val="none"/>
        </w:rPr>
      </w:pPr>
      <w:r>
        <w:rPr>
          <w:rFonts w:hint="eastAsia"/>
          <w:color w:val="auto"/>
          <w:szCs w:val="21"/>
          <w:highlight w:val="none"/>
        </w:rPr>
        <w:t xml:space="preserve">                                            确认书编号：</w:t>
      </w:r>
    </w:p>
    <w:p>
      <w:pPr>
        <w:ind w:firstLine="482"/>
        <w:jc w:val="left"/>
        <w:rPr>
          <w:b/>
          <w:bCs/>
          <w:color w:val="auto"/>
          <w:highlight w:val="none"/>
        </w:rPr>
      </w:pPr>
      <w:r>
        <w:rPr>
          <w:rFonts w:hint="eastAsia"/>
          <w:b/>
          <w:bCs/>
          <w:color w:val="auto"/>
          <w:highlight w:val="none"/>
        </w:rPr>
        <w:t>甲方（需方）：</w:t>
      </w:r>
      <w:r>
        <w:rPr>
          <w:rFonts w:hint="eastAsia"/>
          <w:b/>
          <w:bCs/>
          <w:color w:val="auto"/>
          <w:highlight w:val="none"/>
          <w:u w:val="single"/>
        </w:rPr>
        <w:t xml:space="preserve">     中国计量大学             </w:t>
      </w:r>
      <w:r>
        <w:rPr>
          <w:rFonts w:hint="eastAsia"/>
          <w:b/>
          <w:bCs/>
          <w:color w:val="auto"/>
          <w:highlight w:val="none"/>
        </w:rPr>
        <w:t xml:space="preserve"> </w:t>
      </w:r>
    </w:p>
    <w:p>
      <w:pPr>
        <w:ind w:firstLine="482"/>
        <w:jc w:val="left"/>
        <w:rPr>
          <w:b/>
          <w:bCs/>
          <w:color w:val="auto"/>
          <w:highlight w:val="none"/>
        </w:rPr>
      </w:pPr>
      <w:r>
        <w:rPr>
          <w:rFonts w:hint="eastAsia"/>
          <w:b/>
          <w:bCs/>
          <w:color w:val="auto"/>
          <w:highlight w:val="none"/>
        </w:rPr>
        <w:t>乙方（供方）：</w:t>
      </w:r>
      <w:r>
        <w:rPr>
          <w:rFonts w:hint="eastAsia"/>
          <w:b/>
          <w:bCs/>
          <w:color w:val="auto"/>
          <w:highlight w:val="none"/>
          <w:u w:val="single"/>
        </w:rPr>
        <w:t xml:space="preserve">                              </w:t>
      </w:r>
      <w:r>
        <w:rPr>
          <w:rFonts w:hint="eastAsia"/>
          <w:b/>
          <w:bCs/>
          <w:color w:val="auto"/>
          <w:highlight w:val="none"/>
        </w:rPr>
        <w:t xml:space="preserve"> </w:t>
      </w:r>
    </w:p>
    <w:p>
      <w:pPr>
        <w:ind w:firstLine="480"/>
        <w:jc w:val="left"/>
        <w:rPr>
          <w:color w:val="auto"/>
          <w:szCs w:val="21"/>
          <w:highlight w:val="none"/>
        </w:rPr>
      </w:pPr>
    </w:p>
    <w:p>
      <w:pPr>
        <w:ind w:firstLine="480"/>
        <w:jc w:val="left"/>
        <w:rPr>
          <w:rFonts w:ascii="宋体" w:hAnsi="宋体"/>
          <w:snapToGrid w:val="0"/>
          <w:color w:val="auto"/>
          <w:kern w:val="0"/>
          <w:highlight w:val="none"/>
        </w:rPr>
      </w:pPr>
      <w:r>
        <w:rPr>
          <w:rFonts w:hint="eastAsia"/>
          <w:color w:val="auto"/>
          <w:szCs w:val="21"/>
          <w:highlight w:val="none"/>
        </w:rPr>
        <w:t>依照《中华人民共和国合同法》及其他有关法律、行政法规，遵循平等、自愿、公平和诚实信用的原则，双方</w:t>
      </w:r>
      <w:r>
        <w:rPr>
          <w:rFonts w:hint="eastAsia" w:ascii="宋体" w:hAnsi="宋体"/>
          <w:snapToGrid w:val="0"/>
          <w:color w:val="auto"/>
          <w:kern w:val="0"/>
          <w:szCs w:val="21"/>
          <w:highlight w:val="none"/>
        </w:rPr>
        <w:t>根据对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（项目名称和编号）的公开招标的结果,</w:t>
      </w:r>
      <w:r>
        <w:rPr>
          <w:rFonts w:hint="eastAsia" w:ascii="宋体" w:hAnsi="宋体"/>
          <w:snapToGrid w:val="0"/>
          <w:color w:val="auto"/>
          <w:kern w:val="0"/>
          <w:highlight w:val="none"/>
        </w:rPr>
        <w:t>就甲方向乙方购买进口</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设备达成以下协议：</w:t>
      </w:r>
    </w:p>
    <w:p>
      <w:pPr>
        <w:ind w:firstLine="458"/>
        <w:rPr>
          <w:rFonts w:cs="宋体"/>
          <w:b/>
          <w:bCs/>
          <w:color w:val="auto"/>
          <w:spacing w:val="-6"/>
          <w:szCs w:val="21"/>
          <w:highlight w:val="none"/>
        </w:rPr>
      </w:pPr>
    </w:p>
    <w:p>
      <w:pPr>
        <w:ind w:firstLine="458"/>
        <w:rPr>
          <w:rFonts w:cs="宋体"/>
          <w:b/>
          <w:bCs/>
          <w:color w:val="auto"/>
          <w:spacing w:val="-6"/>
          <w:szCs w:val="21"/>
          <w:highlight w:val="none"/>
        </w:rPr>
      </w:pPr>
      <w:r>
        <w:rPr>
          <w:rFonts w:hint="eastAsia" w:cs="宋体"/>
          <w:b/>
          <w:bCs/>
          <w:color w:val="auto"/>
          <w:spacing w:val="-6"/>
          <w:szCs w:val="21"/>
          <w:highlight w:val="none"/>
        </w:rPr>
        <w:t>一、采购商品清单及合同价格</w:t>
      </w:r>
    </w:p>
    <w:tbl>
      <w:tblPr>
        <w:tblStyle w:val="38"/>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1841"/>
        <w:gridCol w:w="708"/>
        <w:gridCol w:w="1418"/>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714"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序号</w:t>
            </w:r>
          </w:p>
        </w:tc>
        <w:tc>
          <w:tcPr>
            <w:tcW w:w="1205"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货物</w:t>
            </w:r>
            <w:r>
              <w:rPr>
                <w:rFonts w:hAnsi="宋体"/>
                <w:snapToGrid w:val="0"/>
                <w:color w:val="auto"/>
                <w:kern w:val="0"/>
                <w:szCs w:val="21"/>
                <w:highlight w:val="none"/>
              </w:rPr>
              <w:t>名称</w:t>
            </w:r>
          </w:p>
        </w:tc>
        <w:tc>
          <w:tcPr>
            <w:tcW w:w="1347"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规格型号</w:t>
            </w:r>
          </w:p>
        </w:tc>
        <w:tc>
          <w:tcPr>
            <w:tcW w:w="1841"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品牌/厂家</w:t>
            </w:r>
            <w:r>
              <w:rPr>
                <w:snapToGrid w:val="0"/>
                <w:color w:val="auto"/>
                <w:kern w:val="0"/>
                <w:szCs w:val="21"/>
                <w:highlight w:val="none"/>
              </w:rPr>
              <w:t>/</w:t>
            </w:r>
          </w:p>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原产地</w:t>
            </w:r>
          </w:p>
        </w:tc>
        <w:tc>
          <w:tcPr>
            <w:tcW w:w="708"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数量</w:t>
            </w:r>
          </w:p>
        </w:tc>
        <w:tc>
          <w:tcPr>
            <w:tcW w:w="1418"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中标价</w:t>
            </w:r>
          </w:p>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(美金)</w:t>
            </w:r>
          </w:p>
        </w:tc>
        <w:tc>
          <w:tcPr>
            <w:tcW w:w="1701" w:type="dxa"/>
          </w:tcPr>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总价</w:t>
            </w:r>
          </w:p>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1</w:t>
            </w:r>
          </w:p>
        </w:tc>
        <w:tc>
          <w:tcPr>
            <w:tcW w:w="1205" w:type="dxa"/>
            <w:vAlign w:val="center"/>
          </w:tcPr>
          <w:p>
            <w:pPr>
              <w:adjustRightInd w:val="0"/>
              <w:snapToGrid w:val="0"/>
              <w:spacing w:before="100" w:after="100" w:line="240" w:lineRule="auto"/>
              <w:ind w:firstLine="0" w:firstLineChars="0"/>
              <w:rPr>
                <w:snapToGrid w:val="0"/>
                <w:color w:val="auto"/>
                <w:kern w:val="0"/>
                <w:szCs w:val="21"/>
                <w:highlight w:val="none"/>
              </w:rPr>
            </w:pPr>
          </w:p>
        </w:tc>
        <w:tc>
          <w:tcPr>
            <w:tcW w:w="1347"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1841"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708" w:type="dxa"/>
            <w:vAlign w:val="center"/>
          </w:tcPr>
          <w:p>
            <w:pPr>
              <w:spacing w:before="100" w:after="100" w:line="240" w:lineRule="auto"/>
              <w:ind w:firstLine="0" w:firstLineChars="0"/>
              <w:jc w:val="center"/>
              <w:rPr>
                <w:color w:val="auto"/>
                <w:spacing w:val="20"/>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2</w:t>
            </w:r>
          </w:p>
        </w:tc>
        <w:tc>
          <w:tcPr>
            <w:tcW w:w="1205" w:type="dxa"/>
            <w:vAlign w:val="center"/>
          </w:tcPr>
          <w:p>
            <w:pPr>
              <w:widowControl/>
              <w:spacing w:before="100" w:after="100" w:line="240" w:lineRule="auto"/>
              <w:ind w:firstLine="0" w:firstLineChars="0"/>
              <w:jc w:val="center"/>
              <w:rPr>
                <w:rFonts w:ascii="宋体" w:hAnsi="宋体"/>
                <w:color w:val="auto"/>
                <w:szCs w:val="21"/>
                <w:highlight w:val="none"/>
              </w:rPr>
            </w:pPr>
          </w:p>
        </w:tc>
        <w:tc>
          <w:tcPr>
            <w:tcW w:w="1347" w:type="dxa"/>
            <w:vAlign w:val="center"/>
          </w:tcPr>
          <w:p>
            <w:pPr>
              <w:snapToGrid w:val="0"/>
              <w:spacing w:before="100" w:after="100" w:line="240" w:lineRule="auto"/>
              <w:ind w:firstLine="0" w:firstLineChars="0"/>
              <w:jc w:val="center"/>
              <w:rPr>
                <w:color w:val="auto"/>
                <w:spacing w:val="-6"/>
                <w:szCs w:val="21"/>
                <w:highlight w:val="none"/>
              </w:rPr>
            </w:pPr>
          </w:p>
        </w:tc>
        <w:tc>
          <w:tcPr>
            <w:tcW w:w="1841" w:type="dxa"/>
            <w:vAlign w:val="center"/>
          </w:tcPr>
          <w:p>
            <w:pPr>
              <w:snapToGrid w:val="0"/>
              <w:spacing w:before="100" w:after="100" w:line="240" w:lineRule="auto"/>
              <w:ind w:firstLine="0" w:firstLineChars="0"/>
              <w:jc w:val="center"/>
              <w:rPr>
                <w:color w:val="auto"/>
                <w:spacing w:val="-6"/>
                <w:szCs w:val="21"/>
                <w:highlight w:val="none"/>
              </w:rPr>
            </w:pPr>
          </w:p>
        </w:tc>
        <w:tc>
          <w:tcPr>
            <w:tcW w:w="708" w:type="dxa"/>
            <w:vAlign w:val="center"/>
          </w:tcPr>
          <w:p>
            <w:pPr>
              <w:snapToGrid w:val="0"/>
              <w:spacing w:before="100" w:after="100" w:line="240" w:lineRule="auto"/>
              <w:ind w:firstLine="0" w:firstLineChars="0"/>
              <w:jc w:val="center"/>
              <w:rPr>
                <w:color w:val="auto"/>
                <w:spacing w:val="-6"/>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6" w:hRule="atLeast"/>
          <w:jc w:val="center"/>
        </w:trPr>
        <w:tc>
          <w:tcPr>
            <w:tcW w:w="1919" w:type="dxa"/>
            <w:gridSpan w:val="2"/>
            <w:vAlign w:val="center"/>
          </w:tcPr>
          <w:p>
            <w:pPr>
              <w:widowControl/>
              <w:spacing w:before="100" w:after="100" w:line="240" w:lineRule="auto"/>
              <w:ind w:firstLine="0" w:firstLineChars="0"/>
              <w:jc w:val="center"/>
              <w:rPr>
                <w:rFonts w:ascii="宋体" w:hAnsi="宋体"/>
                <w:color w:val="auto"/>
                <w:szCs w:val="21"/>
                <w:highlight w:val="none"/>
              </w:rPr>
            </w:pPr>
            <w:r>
              <w:rPr>
                <w:rFonts w:hint="eastAsia" w:ascii="宋体" w:hAnsi="宋体"/>
                <w:color w:val="auto"/>
                <w:szCs w:val="21"/>
                <w:highlight w:val="none"/>
              </w:rPr>
              <w:t>合同总价</w:t>
            </w:r>
          </w:p>
        </w:tc>
        <w:tc>
          <w:tcPr>
            <w:tcW w:w="7015" w:type="dxa"/>
            <w:gridSpan w:val="5"/>
            <w:vAlign w:val="center"/>
          </w:tcPr>
          <w:p>
            <w:pPr>
              <w:spacing w:line="240" w:lineRule="auto"/>
              <w:ind w:right="500" w:firstLine="0" w:firstLineChars="0"/>
              <w:rPr>
                <w:color w:val="auto"/>
                <w:spacing w:val="-6"/>
                <w:szCs w:val="21"/>
                <w:highlight w:val="none"/>
              </w:rPr>
            </w:pPr>
            <w:r>
              <w:rPr>
                <w:rFonts w:hAnsi="Arial"/>
                <w:color w:val="auto"/>
                <w:spacing w:val="-6"/>
                <w:szCs w:val="21"/>
                <w:highlight w:val="none"/>
              </w:rPr>
              <w:t>美金：</w:t>
            </w:r>
            <w:r>
              <w:rPr>
                <w:color w:val="auto"/>
                <w:szCs w:val="21"/>
                <w:highlight w:val="none"/>
                <w:u w:val="single"/>
              </w:rPr>
              <w:t>$</w:t>
            </w:r>
            <w:r>
              <w:rPr>
                <w:rFonts w:hint="eastAsia"/>
                <w:color w:val="auto"/>
                <w:spacing w:val="-6"/>
                <w:szCs w:val="21"/>
                <w:highlight w:val="none"/>
                <w:u w:val="single"/>
              </w:rPr>
              <w:t xml:space="preserve">              </w:t>
            </w:r>
          </w:p>
          <w:p>
            <w:pPr>
              <w:snapToGrid w:val="0"/>
              <w:spacing w:line="240" w:lineRule="auto"/>
              <w:ind w:firstLine="0" w:firstLineChars="0"/>
              <w:rPr>
                <w:color w:val="auto"/>
                <w:spacing w:val="-6"/>
                <w:szCs w:val="21"/>
                <w:highlight w:val="none"/>
              </w:rPr>
            </w:pPr>
            <w:r>
              <w:rPr>
                <w:rFonts w:hAnsi="Arial"/>
                <w:color w:val="auto"/>
                <w:spacing w:val="-6"/>
                <w:szCs w:val="21"/>
                <w:highlight w:val="none"/>
              </w:rPr>
              <w:t>人民币小写：</w:t>
            </w:r>
            <w:r>
              <w:rPr>
                <w:color w:val="auto"/>
                <w:szCs w:val="21"/>
                <w:highlight w:val="none"/>
                <w:u w:val="single"/>
              </w:rPr>
              <w:t>¥</w:t>
            </w:r>
            <w:r>
              <w:rPr>
                <w:color w:val="auto"/>
                <w:spacing w:val="-6"/>
                <w:szCs w:val="21"/>
                <w:highlight w:val="none"/>
                <w:u w:val="single"/>
              </w:rPr>
              <w:t xml:space="preserve"> </w:t>
            </w:r>
            <w:r>
              <w:rPr>
                <w:rFonts w:hint="eastAsia"/>
                <w:color w:val="auto"/>
                <w:spacing w:val="-6"/>
                <w:szCs w:val="21"/>
                <w:highlight w:val="none"/>
                <w:u w:val="single"/>
              </w:rPr>
              <w:t xml:space="preserve">          </w:t>
            </w:r>
            <w:r>
              <w:rPr>
                <w:rFonts w:hint="eastAsia"/>
                <w:color w:val="auto"/>
                <w:spacing w:val="-6"/>
                <w:szCs w:val="21"/>
                <w:highlight w:val="none"/>
              </w:rPr>
              <w:t xml:space="preserve">  </w:t>
            </w:r>
            <w:r>
              <w:rPr>
                <w:color w:val="auto"/>
                <w:spacing w:val="-6"/>
                <w:szCs w:val="21"/>
                <w:highlight w:val="none"/>
              </w:rPr>
              <w:t xml:space="preserve"> </w:t>
            </w:r>
            <w:r>
              <w:rPr>
                <w:rFonts w:hAnsi="Arial"/>
                <w:color w:val="auto"/>
                <w:spacing w:val="-6"/>
                <w:szCs w:val="21"/>
                <w:highlight w:val="none"/>
              </w:rPr>
              <w:t>大写：</w:t>
            </w:r>
            <w:r>
              <w:rPr>
                <w:rFonts w:hint="eastAsia" w:hAnsi="Arial"/>
                <w:color w:val="auto"/>
                <w:spacing w:val="-6"/>
                <w:szCs w:val="21"/>
                <w:highlight w:val="none"/>
                <w:u w:val="single"/>
              </w:rPr>
              <w:t xml:space="preserve">                          </w:t>
            </w:r>
          </w:p>
        </w:tc>
      </w:tr>
    </w:tbl>
    <w:p>
      <w:pPr>
        <w:ind w:firstLine="456"/>
        <w:rPr>
          <w:rFonts w:cs="宋体"/>
          <w:color w:val="auto"/>
          <w:spacing w:val="-6"/>
          <w:szCs w:val="21"/>
          <w:highlight w:val="none"/>
        </w:rPr>
      </w:pPr>
    </w:p>
    <w:p>
      <w:pPr>
        <w:ind w:firstLine="456"/>
        <w:rPr>
          <w:rFonts w:cs="宋体"/>
          <w:color w:val="auto"/>
          <w:spacing w:val="-6"/>
          <w:szCs w:val="21"/>
          <w:highlight w:val="none"/>
        </w:rPr>
      </w:pPr>
      <w:r>
        <w:rPr>
          <w:rFonts w:hint="eastAsia" w:cs="宋体"/>
          <w:color w:val="auto"/>
          <w:spacing w:val="-6"/>
          <w:szCs w:val="21"/>
          <w:highlight w:val="none"/>
        </w:rPr>
        <w:t>注：</w:t>
      </w:r>
      <w:r>
        <w:rPr>
          <w:rFonts w:cs="宋体"/>
          <w:color w:val="auto"/>
          <w:spacing w:val="-6"/>
          <w:szCs w:val="21"/>
          <w:highlight w:val="none"/>
        </w:rPr>
        <w:t>1</w:t>
      </w:r>
      <w:r>
        <w:rPr>
          <w:rFonts w:hint="eastAsia" w:cs="宋体"/>
          <w:color w:val="auto"/>
          <w:spacing w:val="-6"/>
          <w:szCs w:val="21"/>
          <w:highlight w:val="none"/>
        </w:rPr>
        <w:t>、本协议涉及货物委托外贸代理公司</w:t>
      </w:r>
      <w:r>
        <w:rPr>
          <w:rFonts w:hint="eastAsia" w:cs="宋体"/>
          <w:color w:val="auto"/>
          <w:spacing w:val="-6"/>
          <w:szCs w:val="21"/>
          <w:highlight w:val="none"/>
          <w:u w:val="single"/>
        </w:rPr>
        <w:t xml:space="preserve">                     </w:t>
      </w:r>
      <w:r>
        <w:rPr>
          <w:rFonts w:hint="eastAsia" w:cs="宋体"/>
          <w:color w:val="auto"/>
          <w:spacing w:val="-6"/>
          <w:szCs w:val="21"/>
          <w:highlight w:val="none"/>
        </w:rPr>
        <w:t>代理设备进口有关的业务。外贸代理公司根据本合同中规定的设备名称、规格型号、配置配件、技术要求、价格、厂家/生产国别、售后服务等相关书面资料，及时对外签订进口合同。</w:t>
      </w:r>
    </w:p>
    <w:p>
      <w:pPr>
        <w:ind w:firstLine="456"/>
        <w:rPr>
          <w:rFonts w:cs="宋体"/>
          <w:color w:val="auto"/>
          <w:spacing w:val="-6"/>
          <w:szCs w:val="21"/>
          <w:highlight w:val="none"/>
        </w:rPr>
      </w:pPr>
      <w:r>
        <w:rPr>
          <w:rFonts w:hint="eastAsia" w:cs="宋体"/>
          <w:color w:val="auto"/>
          <w:spacing w:val="-6"/>
          <w:szCs w:val="21"/>
          <w:highlight w:val="none"/>
        </w:rPr>
        <w:t>2、本协议人民币总价以开标当日（</w:t>
      </w:r>
      <w:r>
        <w:rPr>
          <w:rFonts w:hint="eastAsia" w:cs="宋体"/>
          <w:color w:val="auto"/>
          <w:spacing w:val="-6"/>
          <w:szCs w:val="21"/>
          <w:highlight w:val="none"/>
          <w:u w:val="single"/>
        </w:rPr>
        <w:t xml:space="preserve">     年   月    日</w:t>
      </w:r>
      <w:r>
        <w:rPr>
          <w:rFonts w:hint="eastAsia" w:cs="宋体"/>
          <w:color w:val="auto"/>
          <w:spacing w:val="-6"/>
          <w:szCs w:val="21"/>
          <w:highlight w:val="none"/>
        </w:rPr>
        <w:t>）外汇牌价，加外贸代理费</w:t>
      </w:r>
      <w:r>
        <w:rPr>
          <w:rFonts w:hint="eastAsia" w:cs="宋体"/>
          <w:color w:val="auto"/>
          <w:spacing w:val="-6"/>
          <w:szCs w:val="21"/>
          <w:highlight w:val="none"/>
          <w:u w:val="single"/>
        </w:rPr>
        <w:t xml:space="preserve">      </w:t>
      </w:r>
      <w:r>
        <w:rPr>
          <w:rFonts w:hint="eastAsia" w:cs="宋体"/>
          <w:color w:val="auto"/>
          <w:spacing w:val="-6"/>
          <w:szCs w:val="21"/>
          <w:highlight w:val="none"/>
        </w:rPr>
        <w:t>个点进行计算。当日美元外汇牌价为</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，乙方以</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进行结算。如进口货物无法办理减免税手续，增值税和关税由甲方承担。合同总价为人民币总价，如果合同总价超出确认书金额，合同总价为确认书金额。</w:t>
      </w:r>
    </w:p>
    <w:p>
      <w:pPr>
        <w:ind w:firstLine="456"/>
        <w:rPr>
          <w:rFonts w:cs="宋体"/>
          <w:color w:val="auto"/>
          <w:spacing w:val="-6"/>
          <w:szCs w:val="21"/>
          <w:highlight w:val="none"/>
        </w:rPr>
      </w:pPr>
      <w:r>
        <w:rPr>
          <w:rFonts w:hint="eastAsia" w:cs="宋体"/>
          <w:color w:val="auto"/>
          <w:spacing w:val="-6"/>
          <w:szCs w:val="21"/>
          <w:highlight w:val="none"/>
        </w:rPr>
        <w:t>3、合同履行过程中的汇率风险由乙方承担，由乙方与外贸代理公司结算。</w:t>
      </w:r>
    </w:p>
    <w:p>
      <w:pPr>
        <w:ind w:firstLine="458"/>
        <w:rPr>
          <w:rFonts w:cs="宋体"/>
          <w:b/>
          <w:bCs/>
          <w:color w:val="auto"/>
          <w:spacing w:val="-6"/>
          <w:szCs w:val="21"/>
          <w:highlight w:val="none"/>
        </w:rPr>
      </w:pPr>
      <w:r>
        <w:rPr>
          <w:rFonts w:hint="eastAsia" w:cs="宋体"/>
          <w:b/>
          <w:bCs/>
          <w:color w:val="auto"/>
          <w:spacing w:val="-6"/>
          <w:szCs w:val="21"/>
          <w:highlight w:val="none"/>
        </w:rPr>
        <w:t>二、技术资料</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乙方应按招标文件规定的时间向甲方提供合同货物有关全套中英文对照的技术资料和必备的附件。</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58"/>
        <w:rPr>
          <w:rFonts w:cs="宋体"/>
          <w:b/>
          <w:bCs/>
          <w:color w:val="auto"/>
          <w:spacing w:val="-6"/>
          <w:szCs w:val="21"/>
          <w:highlight w:val="none"/>
        </w:rPr>
      </w:pPr>
      <w:r>
        <w:rPr>
          <w:rFonts w:hint="eastAsia" w:cs="宋体"/>
          <w:b/>
          <w:bCs/>
          <w:color w:val="auto"/>
          <w:spacing w:val="-6"/>
          <w:szCs w:val="21"/>
          <w:highlight w:val="none"/>
        </w:rPr>
        <w:t>三、知识产权</w:t>
      </w:r>
    </w:p>
    <w:p>
      <w:pPr>
        <w:pStyle w:val="19"/>
        <w:snapToGrid w:val="0"/>
        <w:spacing w:line="360" w:lineRule="auto"/>
        <w:ind w:firstLine="490" w:firstLineChars="215"/>
        <w:rPr>
          <w:rFonts w:cs="宋体"/>
          <w:color w:val="auto"/>
          <w:spacing w:val="-6"/>
          <w:sz w:val="24"/>
          <w:szCs w:val="24"/>
          <w:highlight w:val="none"/>
        </w:rPr>
      </w:pPr>
      <w:r>
        <w:rPr>
          <w:rFonts w:hint="eastAsia" w:cs="宋体"/>
          <w:color w:val="auto"/>
          <w:spacing w:val="-6"/>
          <w:sz w:val="24"/>
          <w:szCs w:val="24"/>
          <w:highlight w:val="none"/>
        </w:rPr>
        <w:t>乙方应保证所提供的货物或其任何一部分均不会侵犯任何第三方的知识产权，由此产生的知识产权纠纷由乙方承担全部责任。</w:t>
      </w:r>
    </w:p>
    <w:p>
      <w:pPr>
        <w:ind w:firstLine="482"/>
        <w:rPr>
          <w:b/>
          <w:color w:val="auto"/>
          <w:szCs w:val="21"/>
          <w:highlight w:val="none"/>
        </w:rPr>
      </w:pPr>
      <w:r>
        <w:rPr>
          <w:rFonts w:hint="eastAsia"/>
          <w:b/>
          <w:color w:val="auto"/>
          <w:szCs w:val="21"/>
          <w:highlight w:val="none"/>
        </w:rPr>
        <w:t>四、质量保证金：</w:t>
      </w:r>
    </w:p>
    <w:p>
      <w:pPr>
        <w:pStyle w:val="19"/>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乙方须于货到验收合格后七个工作日内向甲方支付合同总价5%的质量保证金，共计人民币¥</w:t>
      </w:r>
      <w:r>
        <w:rPr>
          <w:rFonts w:hint="eastAsia" w:hAnsi="宋体"/>
          <w:color w:val="auto"/>
          <w:sz w:val="24"/>
          <w:szCs w:val="24"/>
          <w:highlight w:val="none"/>
          <w:u w:val="single"/>
        </w:rPr>
        <w:t xml:space="preserve">        </w:t>
      </w:r>
      <w:r>
        <w:rPr>
          <w:rFonts w:hint="eastAsia" w:hAnsi="宋体"/>
          <w:color w:val="auto"/>
          <w:sz w:val="24"/>
          <w:szCs w:val="24"/>
          <w:highlight w:val="none"/>
        </w:rPr>
        <w:t>元 ，质量保证金自</w:t>
      </w:r>
      <w:r>
        <w:rPr>
          <w:rFonts w:hint="eastAsia" w:cs="宋体"/>
          <w:color w:val="auto"/>
          <w:spacing w:val="-6"/>
          <w:sz w:val="24"/>
          <w:szCs w:val="24"/>
          <w:highlight w:val="none"/>
        </w:rPr>
        <w:t>货物交付验收合格后</w:t>
      </w:r>
      <w:r>
        <w:rPr>
          <w:color w:val="auto"/>
          <w:spacing w:val="-6"/>
          <w:sz w:val="24"/>
          <w:szCs w:val="24"/>
          <w:highlight w:val="none"/>
          <w:u w:val="single"/>
        </w:rPr>
        <w:t>12</w:t>
      </w:r>
      <w:r>
        <w:rPr>
          <w:rFonts w:hint="eastAsia" w:cs="宋体"/>
          <w:color w:val="auto"/>
          <w:spacing w:val="-6"/>
          <w:sz w:val="24"/>
          <w:szCs w:val="24"/>
          <w:highlight w:val="none"/>
        </w:rPr>
        <w:t>个月内无质量问题索赔和售后服务问题，由甲方无息退回乙方。</w:t>
      </w:r>
    </w:p>
    <w:p>
      <w:pPr>
        <w:pStyle w:val="19"/>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五、交货时间、地点</w:t>
      </w:r>
    </w:p>
    <w:p>
      <w:pPr>
        <w:pStyle w:val="19"/>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乙方应于</w:t>
      </w:r>
      <w:r>
        <w:rPr>
          <w:rFonts w:hint="eastAsia" w:cs="宋体"/>
          <w:color w:val="auto"/>
          <w:spacing w:val="-6"/>
          <w:sz w:val="24"/>
          <w:szCs w:val="24"/>
          <w:highlight w:val="none"/>
        </w:rPr>
        <w:t>“进出口货物征免税证明”</w:t>
      </w:r>
      <w:r>
        <w:rPr>
          <w:rFonts w:hint="eastAsia" w:ascii="Times New Roman" w:hAnsi="Times New Roman"/>
          <w:color w:val="auto"/>
          <w:spacing w:val="-6"/>
          <w:sz w:val="24"/>
          <w:szCs w:val="24"/>
          <w:highlight w:val="none"/>
        </w:rPr>
        <w:t>办理后</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天内将所供商品按时、安全运至甲方指定地点，安装调试完毕后交甲方验收。</w:t>
      </w:r>
    </w:p>
    <w:p>
      <w:pPr>
        <w:pStyle w:val="19"/>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六、调试与验收</w:t>
      </w:r>
    </w:p>
    <w:p>
      <w:pPr>
        <w:ind w:firstLine="456"/>
        <w:contextualSpacing/>
        <w:rPr>
          <w:rFonts w:ascii="宋体" w:hAnsi="宋体" w:cs="宋体"/>
          <w:color w:val="auto"/>
          <w:spacing w:val="-6"/>
          <w:szCs w:val="21"/>
          <w:highlight w:val="none"/>
        </w:rPr>
      </w:pPr>
      <w:r>
        <w:rPr>
          <w:color w:val="auto"/>
          <w:spacing w:val="-6"/>
          <w:szCs w:val="21"/>
          <w:highlight w:val="none"/>
        </w:rPr>
        <w:t>1</w:t>
      </w:r>
      <w:r>
        <w:rPr>
          <w:rFonts w:hint="eastAsia"/>
          <w:color w:val="auto"/>
          <w:spacing w:val="-6"/>
          <w:szCs w:val="21"/>
          <w:highlight w:val="none"/>
        </w:rPr>
        <w:t>、乙方交货前应对产品做出全面检查和对验收文件进行整理，并列出清单，作为甲方收货验收和使用的技术条件依据，检验的结果和相关文件、资料等应随货物交甲方。</w:t>
      </w:r>
    </w:p>
    <w:p>
      <w:pPr>
        <w:ind w:firstLine="456"/>
        <w:contextualSpacing/>
        <w:rPr>
          <w:color w:val="auto"/>
          <w:spacing w:val="-6"/>
          <w:szCs w:val="21"/>
          <w:highlight w:val="none"/>
        </w:rPr>
      </w:pPr>
      <w:r>
        <w:rPr>
          <w:rFonts w:hint="eastAsia"/>
          <w:color w:val="auto"/>
          <w:spacing w:val="-6"/>
          <w:szCs w:val="21"/>
          <w:highlight w:val="none"/>
        </w:rPr>
        <w:t>2、到货验收：到货后，甲方对乙方提交的货物依据招标文件上的技术规格要求和国家有关质量标准进行现场到货验收，主要</w:t>
      </w:r>
      <w:r>
        <w:rPr>
          <w:rFonts w:hint="eastAsia"/>
          <w:color w:val="auto"/>
          <w:szCs w:val="21"/>
          <w:highlight w:val="none"/>
        </w:rPr>
        <w:t>检查货物原产地、规格、型号、配置是否符合要求。</w:t>
      </w:r>
      <w:r>
        <w:rPr>
          <w:rFonts w:hint="eastAsia"/>
          <w:color w:val="auto"/>
          <w:spacing w:val="-6"/>
          <w:szCs w:val="21"/>
          <w:highlight w:val="none"/>
        </w:rPr>
        <w:t>符合招投标文件技术要求的给予签收，初步验收不合格的不予签收。</w:t>
      </w:r>
    </w:p>
    <w:p>
      <w:pPr>
        <w:ind w:firstLine="456"/>
        <w:contextualSpacing/>
        <w:rPr>
          <w:color w:val="auto"/>
          <w:spacing w:val="-6"/>
          <w:szCs w:val="21"/>
          <w:highlight w:val="none"/>
        </w:rPr>
      </w:pPr>
      <w:r>
        <w:rPr>
          <w:rFonts w:hint="eastAsia"/>
          <w:color w:val="auto"/>
          <w:spacing w:val="-6"/>
          <w:szCs w:val="21"/>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ind w:firstLine="456"/>
        <w:contextualSpacing/>
        <w:rPr>
          <w:color w:val="auto"/>
          <w:spacing w:val="-6"/>
          <w:szCs w:val="21"/>
          <w:highlight w:val="none"/>
        </w:rPr>
      </w:pPr>
      <w:r>
        <w:rPr>
          <w:rFonts w:hint="eastAsia"/>
          <w:color w:val="auto"/>
          <w:spacing w:val="-6"/>
          <w:szCs w:val="21"/>
          <w:highlight w:val="none"/>
        </w:rPr>
        <w:t>4、对技术复杂的货物，甲方可请国家认可的专业检测机构参与到货验收及交付验收，并由其出具质量检测报告。验收费用由乙方承担。</w:t>
      </w:r>
    </w:p>
    <w:p>
      <w:pPr>
        <w:ind w:firstLine="456"/>
        <w:contextualSpacing/>
        <w:rPr>
          <w:color w:val="auto"/>
          <w:spacing w:val="-6"/>
          <w:szCs w:val="21"/>
          <w:highlight w:val="none"/>
        </w:rPr>
      </w:pPr>
      <w:r>
        <w:rPr>
          <w:rFonts w:hint="eastAsia"/>
          <w:color w:val="auto"/>
          <w:spacing w:val="-6"/>
          <w:szCs w:val="21"/>
          <w:highlight w:val="none"/>
        </w:rPr>
        <w:t>5、如发现有重大的质量问题：</w:t>
      </w:r>
    </w:p>
    <w:p>
      <w:pPr>
        <w:ind w:firstLine="456"/>
        <w:contextualSpacing/>
        <w:rPr>
          <w:color w:val="auto"/>
          <w:spacing w:val="-6"/>
          <w:szCs w:val="21"/>
          <w:highlight w:val="none"/>
        </w:rPr>
      </w:pPr>
      <w:r>
        <w:rPr>
          <w:rFonts w:hint="eastAsia"/>
          <w:color w:val="auto"/>
          <w:spacing w:val="-6"/>
          <w:szCs w:val="21"/>
          <w:highlight w:val="none"/>
        </w:rPr>
        <w:t>（1）甲乙双方可协商，</w:t>
      </w:r>
      <w:r>
        <w:rPr>
          <w:rFonts w:hint="eastAsia"/>
          <w:color w:val="auto"/>
          <w:szCs w:val="21"/>
          <w:highlight w:val="none"/>
        </w:rPr>
        <w:t>应在合理的期限内负责更换直至符合质量要求；</w:t>
      </w:r>
    </w:p>
    <w:p>
      <w:pPr>
        <w:ind w:firstLine="456"/>
        <w:contextualSpacing/>
        <w:rPr>
          <w:color w:val="auto"/>
          <w:spacing w:val="-6"/>
          <w:szCs w:val="21"/>
          <w:highlight w:val="none"/>
        </w:rPr>
      </w:pPr>
      <w:r>
        <w:rPr>
          <w:rFonts w:hint="eastAsia"/>
          <w:color w:val="auto"/>
          <w:spacing w:val="-6"/>
          <w:szCs w:val="21"/>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Cs w:val="21"/>
          <w:highlight w:val="none"/>
          <w:u w:val="single"/>
        </w:rPr>
        <w:t xml:space="preserve"> </w:t>
      </w:r>
      <w:r>
        <w:rPr>
          <w:color w:val="auto"/>
          <w:spacing w:val="-6"/>
          <w:szCs w:val="21"/>
          <w:highlight w:val="none"/>
          <w:u w:val="single"/>
        </w:rPr>
        <w:t>10</w:t>
      </w:r>
      <w:r>
        <w:rPr>
          <w:rFonts w:hint="eastAsia"/>
          <w:color w:val="auto"/>
          <w:spacing w:val="-6"/>
          <w:szCs w:val="21"/>
          <w:highlight w:val="none"/>
          <w:u w:val="single"/>
        </w:rPr>
        <w:t xml:space="preserve">％ </w:t>
      </w:r>
      <w:r>
        <w:rPr>
          <w:rFonts w:hint="eastAsia"/>
          <w:color w:val="auto"/>
          <w:spacing w:val="-6"/>
          <w:szCs w:val="21"/>
          <w:highlight w:val="none"/>
        </w:rPr>
        <w:t>的赔偿金。</w:t>
      </w:r>
    </w:p>
    <w:p>
      <w:pPr>
        <w:snapToGrid w:val="0"/>
        <w:ind w:firstLine="458"/>
        <w:rPr>
          <w:rFonts w:cs="宋体"/>
          <w:b/>
          <w:bCs/>
          <w:color w:val="auto"/>
          <w:spacing w:val="-6"/>
          <w:szCs w:val="21"/>
          <w:highlight w:val="none"/>
        </w:rPr>
      </w:pPr>
      <w:r>
        <w:rPr>
          <w:rFonts w:hint="eastAsia" w:cs="宋体"/>
          <w:b/>
          <w:bCs/>
          <w:color w:val="auto"/>
          <w:spacing w:val="-6"/>
          <w:szCs w:val="21"/>
          <w:highlight w:val="none"/>
        </w:rPr>
        <w:t>七、货款的支付</w:t>
      </w:r>
    </w:p>
    <w:p>
      <w:pPr>
        <w:snapToGrid w:val="0"/>
        <w:ind w:firstLine="456"/>
        <w:rPr>
          <w:rFonts w:cs="宋体"/>
          <w:color w:val="auto"/>
          <w:spacing w:val="-6"/>
          <w:szCs w:val="21"/>
          <w:highlight w:val="none"/>
        </w:rPr>
      </w:pPr>
      <w:r>
        <w:rPr>
          <w:rFonts w:hint="eastAsia" w:cs="宋体"/>
          <w:color w:val="auto"/>
          <w:spacing w:val="-6"/>
          <w:szCs w:val="21"/>
          <w:highlight w:val="none"/>
        </w:rPr>
        <w:t>合同签订后办理好“进出口货物征免税证明”后预付30%，由甲方指定的外贸代理公司开具100%不可撤销即期信用证（90%即期，10%凭验收报告），甲方见装运单支付合同金额的60%给外贸代理公司，10%尾款在验收合格后</w:t>
      </w:r>
      <w:r>
        <w:rPr>
          <w:rFonts w:hint="eastAsia" w:cs="宋体"/>
          <w:color w:val="auto"/>
          <w:spacing w:val="-6"/>
          <w:szCs w:val="21"/>
          <w:highlight w:val="none"/>
          <w:u w:val="single"/>
        </w:rPr>
        <w:t>15</w:t>
      </w:r>
      <w:r>
        <w:rPr>
          <w:rFonts w:hint="eastAsia" w:cs="宋体"/>
          <w:color w:val="auto"/>
          <w:spacing w:val="-6"/>
          <w:szCs w:val="21"/>
          <w:highlight w:val="none"/>
        </w:rPr>
        <w:t>个工作日内支付给外贸代理公司。</w:t>
      </w:r>
    </w:p>
    <w:p>
      <w:pPr>
        <w:snapToGrid w:val="0"/>
        <w:ind w:firstLine="458"/>
        <w:rPr>
          <w:rFonts w:cs="宋体"/>
          <w:b/>
          <w:bCs/>
          <w:color w:val="auto"/>
          <w:spacing w:val="-6"/>
          <w:szCs w:val="21"/>
          <w:highlight w:val="none"/>
        </w:rPr>
      </w:pPr>
      <w:r>
        <w:rPr>
          <w:rFonts w:hint="eastAsia" w:cs="宋体"/>
          <w:b/>
          <w:bCs/>
          <w:color w:val="auto"/>
          <w:spacing w:val="-6"/>
          <w:szCs w:val="21"/>
          <w:highlight w:val="none"/>
        </w:rPr>
        <w:t>八、质量保证与售后服务</w:t>
      </w:r>
    </w:p>
    <w:p>
      <w:pPr>
        <w:ind w:firstLine="456"/>
        <w:contextualSpacing/>
        <w:rPr>
          <w:color w:val="auto"/>
          <w:spacing w:val="-6"/>
          <w:highlight w:val="none"/>
        </w:rPr>
      </w:pPr>
      <w:r>
        <w:rPr>
          <w:color w:val="auto"/>
          <w:spacing w:val="-6"/>
          <w:highlight w:val="none"/>
        </w:rPr>
        <w:t>1</w:t>
      </w:r>
      <w:r>
        <w:rPr>
          <w:rFonts w:hint="eastAsia"/>
          <w:color w:val="auto"/>
          <w:spacing w:val="-6"/>
          <w:highlight w:val="none"/>
        </w:rPr>
        <w:t>、乙方应按招标文件规定的货物性能、技术要求、质量标准向甲方提供未经使用的全新产品。</w:t>
      </w:r>
    </w:p>
    <w:p>
      <w:pPr>
        <w:pStyle w:val="19"/>
        <w:snapToGrid w:val="0"/>
        <w:spacing w:line="360" w:lineRule="auto"/>
        <w:ind w:firstLine="490" w:firstLineChars="215"/>
        <w:rPr>
          <w:rFonts w:cs="宋体"/>
          <w:color w:val="auto"/>
          <w:spacing w:val="-6"/>
          <w:sz w:val="24"/>
          <w:szCs w:val="24"/>
          <w:highlight w:val="none"/>
        </w:rPr>
      </w:pPr>
      <w:r>
        <w:rPr>
          <w:rFonts w:hint="eastAsia"/>
          <w:color w:val="auto"/>
          <w:spacing w:val="-6"/>
          <w:sz w:val="24"/>
          <w:szCs w:val="24"/>
          <w:highlight w:val="none"/>
        </w:rPr>
        <w:t>2、</w:t>
      </w:r>
      <w:r>
        <w:rPr>
          <w:rFonts w:hint="eastAsia" w:cs="宋体"/>
          <w:color w:val="auto"/>
          <w:spacing w:val="-6"/>
          <w:sz w:val="24"/>
          <w:szCs w:val="24"/>
          <w:highlight w:val="none"/>
        </w:rPr>
        <w:t>产品质量保修期为</w:t>
      </w:r>
      <w:r>
        <w:rPr>
          <w:rFonts w:hint="eastAsia" w:cs="宋体"/>
          <w:color w:val="auto"/>
          <w:spacing w:val="-6"/>
          <w:sz w:val="24"/>
          <w:szCs w:val="24"/>
          <w:highlight w:val="none"/>
          <w:u w:val="single"/>
        </w:rPr>
        <w:t xml:space="preserve">    </w:t>
      </w:r>
      <w:r>
        <w:rPr>
          <w:rFonts w:hint="eastAsia" w:cs="宋体"/>
          <w:color w:val="auto"/>
          <w:spacing w:val="-6"/>
          <w:sz w:val="24"/>
          <w:szCs w:val="24"/>
          <w:highlight w:val="none"/>
        </w:rPr>
        <w:t>年，保修期从验收合格后开始计算。</w:t>
      </w:r>
    </w:p>
    <w:p>
      <w:pPr>
        <w:pStyle w:val="19"/>
        <w:snapToGrid w:val="0"/>
        <w:spacing w:line="360" w:lineRule="auto"/>
        <w:ind w:firstLine="490" w:firstLineChars="215"/>
        <w:rPr>
          <w:rFonts w:ascii="Times New Roman" w:hAnsi="Times New Roman" w:cs="宋体"/>
          <w:color w:val="auto"/>
          <w:spacing w:val="-6"/>
          <w:sz w:val="24"/>
          <w:szCs w:val="24"/>
          <w:highlight w:val="none"/>
        </w:rPr>
      </w:pPr>
      <w:r>
        <w:rPr>
          <w:rFonts w:hint="eastAsia"/>
          <w:color w:val="auto"/>
          <w:spacing w:val="-6"/>
          <w:sz w:val="24"/>
          <w:szCs w:val="24"/>
          <w:highlight w:val="none"/>
        </w:rPr>
        <w:t>3、</w:t>
      </w:r>
      <w:r>
        <w:rPr>
          <w:rFonts w:hint="eastAsia" w:cs="宋体"/>
          <w:color w:val="auto"/>
          <w:spacing w:val="-6"/>
          <w:sz w:val="24"/>
          <w:szCs w:val="24"/>
          <w:highlight w:val="none"/>
        </w:rPr>
        <w:t>在质保期内，乙方应对货物出现的质量及安全问题负责处理解决并承担一切费用。质保期后，乙方应继续为甲方服务，仅收取零配件成本费，免人工费和差旅费，</w:t>
      </w:r>
      <w:r>
        <w:rPr>
          <w:rFonts w:hint="eastAsia" w:hAnsi="宋体"/>
          <w:color w:val="auto"/>
          <w:spacing w:val="-6"/>
          <w:sz w:val="24"/>
          <w:szCs w:val="24"/>
          <w:highlight w:val="none"/>
        </w:rPr>
        <w:t>所涉及软件终身免费升级</w:t>
      </w:r>
      <w:r>
        <w:rPr>
          <w:rFonts w:hint="eastAsia" w:cs="宋体"/>
          <w:color w:val="auto"/>
          <w:spacing w:val="-6"/>
          <w:sz w:val="24"/>
          <w:szCs w:val="24"/>
          <w:highlight w:val="none"/>
        </w:rPr>
        <w:t>。</w:t>
      </w:r>
    </w:p>
    <w:p>
      <w:pPr>
        <w:pStyle w:val="19"/>
        <w:snapToGrid w:val="0"/>
        <w:spacing w:line="360" w:lineRule="auto"/>
        <w:ind w:firstLine="490" w:firstLineChars="215"/>
        <w:rPr>
          <w:color w:val="auto"/>
          <w:spacing w:val="-6"/>
          <w:sz w:val="24"/>
          <w:szCs w:val="24"/>
          <w:highlight w:val="none"/>
        </w:rPr>
      </w:pPr>
      <w:r>
        <w:rPr>
          <w:rFonts w:hint="eastAsia" w:cs="宋体"/>
          <w:color w:val="auto"/>
          <w:spacing w:val="-6"/>
          <w:sz w:val="24"/>
          <w:szCs w:val="24"/>
          <w:highlight w:val="none"/>
        </w:rPr>
        <w:t>4、乙方提供的货物在质保期内因货物本身的质量问题发生故障，乙方应负责免费更换。对达不到技术要求者，根据实际情况，经双方协商，可按以下办法处理：</w:t>
      </w:r>
    </w:p>
    <w:p>
      <w:pPr>
        <w:snapToGrid w:val="0"/>
        <w:ind w:firstLine="342" w:firstLineChars="150"/>
        <w:rPr>
          <w:color w:val="auto"/>
          <w:spacing w:val="-6"/>
          <w:highlight w:val="none"/>
        </w:rPr>
      </w:pPr>
      <w:r>
        <w:rPr>
          <w:rFonts w:hint="eastAsia" w:cs="宋体"/>
          <w:color w:val="auto"/>
          <w:spacing w:val="-6"/>
          <w:highlight w:val="none"/>
        </w:rPr>
        <w:t>（1）更换：由乙方承担所发生的全部费用。</w:t>
      </w:r>
    </w:p>
    <w:p>
      <w:pPr>
        <w:snapToGrid w:val="0"/>
        <w:ind w:firstLine="342" w:firstLineChars="150"/>
        <w:rPr>
          <w:color w:val="auto"/>
          <w:spacing w:val="-6"/>
          <w:highlight w:val="none"/>
        </w:rPr>
      </w:pPr>
      <w:r>
        <w:rPr>
          <w:rFonts w:hint="eastAsia" w:cs="宋体"/>
          <w:color w:val="auto"/>
          <w:spacing w:val="-6"/>
          <w:highlight w:val="none"/>
        </w:rPr>
        <w:t>（2）退货：乙方应退还甲方支付的合同款，同时应承担该货物的直接费用（运输、保险、检验、清关及银行手续费等）。</w:t>
      </w:r>
    </w:p>
    <w:p>
      <w:pPr>
        <w:snapToGrid w:val="0"/>
        <w:ind w:firstLine="456"/>
        <w:rPr>
          <w:rFonts w:cs="宋体"/>
          <w:color w:val="auto"/>
          <w:spacing w:val="-6"/>
          <w:highlight w:val="none"/>
        </w:rPr>
      </w:pPr>
      <w:r>
        <w:rPr>
          <w:rFonts w:hint="eastAsia"/>
          <w:color w:val="auto"/>
          <w:spacing w:val="-6"/>
          <w:highlight w:val="none"/>
        </w:rPr>
        <w:t>5、</w:t>
      </w:r>
      <w:r>
        <w:rPr>
          <w:rFonts w:hint="eastAsia" w:cs="宋体"/>
          <w:color w:val="auto"/>
          <w:spacing w:val="-6"/>
          <w:highlight w:val="none"/>
        </w:rPr>
        <w:t>如在使用过程中发生故障，无法正常使用时，乙方在接到甲方通知后</w:t>
      </w:r>
      <w:r>
        <w:rPr>
          <w:rFonts w:hint="eastAsia" w:ascii="宋体" w:hAnsi="宋体"/>
          <w:color w:val="auto"/>
          <w:spacing w:val="-6"/>
          <w:highlight w:val="none"/>
        </w:rPr>
        <w:t>，保</w:t>
      </w:r>
      <w:r>
        <w:rPr>
          <w:rFonts w:hint="eastAsia" w:cs="宋体"/>
          <w:color w:val="auto"/>
          <w:spacing w:val="-6"/>
          <w:highlight w:val="none"/>
        </w:rPr>
        <w:t>修响应时间</w:t>
      </w:r>
      <w:r>
        <w:rPr>
          <w:rFonts w:hint="eastAsia"/>
          <w:color w:val="auto"/>
          <w:spacing w:val="-6"/>
          <w:highlight w:val="none"/>
          <w:u w:val="single"/>
        </w:rPr>
        <w:t>2</w:t>
      </w:r>
      <w:r>
        <w:rPr>
          <w:rFonts w:hint="eastAsia" w:cs="宋体"/>
          <w:color w:val="auto"/>
          <w:spacing w:val="-6"/>
          <w:highlight w:val="none"/>
        </w:rPr>
        <w:t>小时以内，电话技术支持</w:t>
      </w:r>
      <w:r>
        <w:rPr>
          <w:rFonts w:hint="eastAsia" w:cs="宋体"/>
          <w:color w:val="auto"/>
          <w:spacing w:val="-6"/>
          <w:highlight w:val="none"/>
          <w:u w:val="single"/>
        </w:rPr>
        <w:t>4</w:t>
      </w:r>
      <w:r>
        <w:rPr>
          <w:rFonts w:hint="eastAsia" w:cs="宋体"/>
          <w:color w:val="auto"/>
          <w:spacing w:val="-6"/>
          <w:highlight w:val="none"/>
        </w:rPr>
        <w:t>小时内解决问题；若需上门维修，则</w:t>
      </w:r>
      <w:r>
        <w:rPr>
          <w:color w:val="auto"/>
          <w:spacing w:val="-6"/>
          <w:highlight w:val="none"/>
          <w:u w:val="single"/>
        </w:rPr>
        <w:t>8</w:t>
      </w:r>
      <w:r>
        <w:rPr>
          <w:rFonts w:hint="eastAsia" w:cs="宋体"/>
          <w:color w:val="auto"/>
          <w:spacing w:val="-6"/>
          <w:highlight w:val="none"/>
        </w:rPr>
        <w:t>小时内到达现场并进行维修，最迟在</w:t>
      </w:r>
      <w:r>
        <w:rPr>
          <w:color w:val="auto"/>
          <w:spacing w:val="-6"/>
          <w:highlight w:val="none"/>
          <w:u w:val="single"/>
        </w:rPr>
        <w:t>2</w:t>
      </w:r>
      <w:r>
        <w:rPr>
          <w:rFonts w:hint="eastAsia" w:cs="宋体"/>
          <w:color w:val="auto"/>
          <w:spacing w:val="-6"/>
          <w:highlight w:val="none"/>
        </w:rPr>
        <w:t>个工作日内修复。保修内出现无法排除的故障，乙方需无条件为甲方更换同型号产品，以确保甲方的正常使用。</w:t>
      </w:r>
    </w:p>
    <w:p>
      <w:pPr>
        <w:snapToGrid w:val="0"/>
        <w:ind w:firstLine="458"/>
        <w:rPr>
          <w:rFonts w:cs="宋体"/>
          <w:b/>
          <w:bCs/>
          <w:color w:val="auto"/>
          <w:spacing w:val="-6"/>
          <w:szCs w:val="21"/>
          <w:highlight w:val="none"/>
        </w:rPr>
      </w:pPr>
      <w:r>
        <w:rPr>
          <w:rFonts w:hint="eastAsia" w:cs="宋体"/>
          <w:b/>
          <w:bCs/>
          <w:color w:val="auto"/>
          <w:spacing w:val="-6"/>
          <w:szCs w:val="21"/>
          <w:highlight w:val="none"/>
        </w:rPr>
        <w:t>九、违约责任</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乙方逾期履行合同的，自逾期之日起，乙方向甲方每日偿付合同总价</w:t>
      </w:r>
      <w:r>
        <w:rPr>
          <w:rFonts w:hint="eastAsia" w:cs="宋体"/>
          <w:color w:val="auto"/>
          <w:spacing w:val="-6"/>
          <w:szCs w:val="21"/>
          <w:highlight w:val="none"/>
          <w:u w:val="single"/>
        </w:rPr>
        <w:t>0.2%</w:t>
      </w:r>
      <w:r>
        <w:rPr>
          <w:rFonts w:hint="eastAsia" w:cs="宋体"/>
          <w:color w:val="auto"/>
          <w:spacing w:val="-6"/>
          <w:szCs w:val="21"/>
          <w:highlight w:val="none"/>
        </w:rPr>
        <w:t>的违约金。</w:t>
      </w:r>
    </w:p>
    <w:p>
      <w:pPr>
        <w:snapToGrid w:val="0"/>
        <w:ind w:firstLine="456"/>
        <w:rPr>
          <w:rFonts w:cs="宋体"/>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乙方逾期交货超过</w:t>
      </w:r>
      <w:r>
        <w:rPr>
          <w:rFonts w:hint="eastAsia" w:cs="宋体"/>
          <w:color w:val="auto"/>
          <w:spacing w:val="-6"/>
          <w:szCs w:val="21"/>
          <w:highlight w:val="none"/>
          <w:u w:val="single"/>
        </w:rPr>
        <w:t>3</w:t>
      </w:r>
      <w:r>
        <w:rPr>
          <w:rFonts w:hint="eastAsia" w:cs="宋体"/>
          <w:color w:val="auto"/>
          <w:spacing w:val="-6"/>
          <w:szCs w:val="21"/>
          <w:highlight w:val="none"/>
        </w:rPr>
        <w:t>个月，则甲方有权单方面终止合同，并要求乙方承付上述的违约金。</w:t>
      </w:r>
      <w:r>
        <w:rPr>
          <w:rFonts w:hint="eastAsia"/>
          <w:color w:val="auto"/>
          <w:spacing w:val="-6"/>
          <w:szCs w:val="21"/>
          <w:highlight w:val="none"/>
        </w:rPr>
        <w:t>如造成甲方损失超过违约金的，超出部分由乙方继续承担赔偿责任。</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十、不可抗力事件处理</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color w:val="auto"/>
          <w:spacing w:val="-6"/>
          <w:szCs w:val="21"/>
          <w:highlight w:val="none"/>
        </w:rPr>
        <w:t xml:space="preserve"> </w:t>
      </w:r>
      <w:r>
        <w:rPr>
          <w:rFonts w:hint="eastAsia" w:cs="宋体"/>
          <w:color w:val="auto"/>
          <w:spacing w:val="-6"/>
          <w:szCs w:val="21"/>
          <w:highlight w:val="none"/>
        </w:rPr>
        <w:t>在合同有效期内，任何一方因不可抗力事件导致不能履行合同，则合同履行期可延长，其延长期与不可抗力影响期相同。</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不可抗力事件发生后，应立即通知对方，并寄送有关权威机构出具的证明。</w:t>
      </w:r>
    </w:p>
    <w:p>
      <w:pPr>
        <w:snapToGrid w:val="0"/>
        <w:ind w:firstLine="456"/>
        <w:rPr>
          <w:rFonts w:cs="宋体"/>
          <w:color w:val="auto"/>
          <w:spacing w:val="-6"/>
          <w:szCs w:val="21"/>
          <w:highlight w:val="none"/>
        </w:rPr>
      </w:pPr>
      <w:r>
        <w:rPr>
          <w:color w:val="auto"/>
          <w:spacing w:val="-6"/>
          <w:szCs w:val="21"/>
          <w:highlight w:val="none"/>
        </w:rPr>
        <w:t>3</w:t>
      </w:r>
      <w:r>
        <w:rPr>
          <w:rFonts w:hint="eastAsia"/>
          <w:color w:val="auto"/>
          <w:spacing w:val="-6"/>
          <w:szCs w:val="21"/>
          <w:highlight w:val="none"/>
        </w:rPr>
        <w:t>、</w:t>
      </w:r>
      <w:r>
        <w:rPr>
          <w:rFonts w:hint="eastAsia" w:cs="宋体"/>
          <w:color w:val="auto"/>
          <w:spacing w:val="-6"/>
          <w:szCs w:val="21"/>
          <w:highlight w:val="none"/>
        </w:rPr>
        <w:t>不可抗力事件延续</w:t>
      </w:r>
      <w:r>
        <w:rPr>
          <w:color w:val="auto"/>
          <w:spacing w:val="-6"/>
          <w:szCs w:val="21"/>
          <w:highlight w:val="none"/>
        </w:rPr>
        <w:t>120</w:t>
      </w:r>
      <w:r>
        <w:rPr>
          <w:rFonts w:hint="eastAsia" w:cs="宋体"/>
          <w:color w:val="auto"/>
          <w:spacing w:val="-6"/>
          <w:szCs w:val="21"/>
          <w:highlight w:val="none"/>
        </w:rPr>
        <w:t>天以上，双方应通过友好协商，确定是否继续履行合同。</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十一、争议解决</w:t>
      </w:r>
    </w:p>
    <w:p>
      <w:pPr>
        <w:pStyle w:val="166"/>
        <w:adjustRightInd w:val="0"/>
        <w:snapToGrid w:val="0"/>
        <w:ind w:firstLine="478" w:firstLineChars="210"/>
        <w:jc w:val="left"/>
        <w:rPr>
          <w:rFonts w:cs="宋体"/>
          <w:color w:val="auto"/>
          <w:spacing w:val="-6"/>
          <w:szCs w:val="21"/>
          <w:highlight w:val="none"/>
        </w:rPr>
      </w:pPr>
      <w:r>
        <w:rPr>
          <w:rFonts w:hint="eastAsia" w:cs="宋体"/>
          <w:color w:val="auto"/>
          <w:spacing w:val="-6"/>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pPr>
        <w:pStyle w:val="166"/>
        <w:adjustRightInd w:val="0"/>
        <w:snapToGrid w:val="0"/>
        <w:ind w:firstLine="0" w:firstLineChars="0"/>
        <w:jc w:val="left"/>
        <w:rPr>
          <w:rFonts w:cs="宋体"/>
          <w:b/>
          <w:bCs/>
          <w:color w:val="auto"/>
          <w:spacing w:val="-6"/>
          <w:szCs w:val="21"/>
          <w:highlight w:val="none"/>
        </w:rPr>
      </w:pPr>
      <w:r>
        <w:rPr>
          <w:rFonts w:hint="eastAsia" w:cs="宋体"/>
          <w:b/>
          <w:bCs/>
          <w:color w:val="auto"/>
          <w:spacing w:val="-6"/>
          <w:szCs w:val="21"/>
          <w:highlight w:val="none"/>
        </w:rPr>
        <w:t>十二、合同生效</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、本</w:t>
      </w:r>
      <w:r>
        <w:rPr>
          <w:rFonts w:hint="eastAsia" w:cs="宋体"/>
          <w:color w:val="auto"/>
          <w:spacing w:val="-6"/>
          <w:szCs w:val="21"/>
          <w:highlight w:val="none"/>
        </w:rPr>
        <w:t>合同经甲、乙双方法定代表人或授权代表签字并加盖单位公章后生效。</w:t>
      </w:r>
    </w:p>
    <w:p>
      <w:pPr>
        <w:snapToGrid w:val="0"/>
        <w:ind w:firstLine="456"/>
        <w:rPr>
          <w:color w:val="auto"/>
          <w:spacing w:val="-6"/>
          <w:szCs w:val="21"/>
          <w:highlight w:val="none"/>
        </w:rPr>
      </w:pPr>
      <w:r>
        <w:rPr>
          <w:rFonts w:hint="eastAsia"/>
          <w:color w:val="auto"/>
          <w:spacing w:val="-6"/>
          <w:szCs w:val="21"/>
          <w:highlight w:val="none"/>
        </w:rPr>
        <w:t>2、</w:t>
      </w:r>
      <w:r>
        <w:rPr>
          <w:rFonts w:hint="eastAsia" w:cs="宋体"/>
          <w:color w:val="auto"/>
          <w:spacing w:val="-6"/>
          <w:szCs w:val="21"/>
          <w:highlight w:val="none"/>
        </w:rPr>
        <w:t>本合同未尽事宜，遵照《中华人民共和国合同法》有关规定执行。</w:t>
      </w:r>
    </w:p>
    <w:p>
      <w:pPr>
        <w:snapToGrid w:val="0"/>
        <w:ind w:firstLine="456"/>
        <w:rPr>
          <w:color w:val="auto"/>
          <w:spacing w:val="-6"/>
          <w:szCs w:val="21"/>
          <w:highlight w:val="none"/>
        </w:rPr>
      </w:pPr>
      <w:r>
        <w:rPr>
          <w:rFonts w:hint="eastAsia"/>
          <w:color w:val="auto"/>
          <w:spacing w:val="-6"/>
          <w:szCs w:val="21"/>
          <w:highlight w:val="none"/>
        </w:rPr>
        <w:t>3、</w:t>
      </w:r>
      <w:r>
        <w:rPr>
          <w:rFonts w:hint="eastAsia" w:cs="宋体"/>
          <w:color w:val="auto"/>
          <w:spacing w:val="-6"/>
          <w:szCs w:val="21"/>
          <w:highlight w:val="none"/>
        </w:rPr>
        <w:t>本合同一式陆份，甲方执伍份，乙方壹份。</w:t>
      </w:r>
    </w:p>
    <w:p>
      <w:pPr>
        <w:snapToGrid w:val="0"/>
        <w:ind w:firstLine="456"/>
        <w:rPr>
          <w:rFonts w:cs="宋体"/>
          <w:color w:val="auto"/>
          <w:spacing w:val="-6"/>
          <w:szCs w:val="21"/>
          <w:highlight w:val="none"/>
        </w:rPr>
      </w:pPr>
      <w:r>
        <w:rPr>
          <w:rFonts w:hint="eastAsia" w:cs="宋体"/>
          <w:color w:val="auto"/>
          <w:spacing w:val="-6"/>
          <w:szCs w:val="21"/>
          <w:highlight w:val="none"/>
        </w:rPr>
        <w:t>4、相关招投标文件及相关承诺与本合同具有同等法律效力。</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ind w:firstLine="482"/>
        <w:rPr>
          <w:rFonts w:hAnsi="宋体"/>
          <w:b/>
          <w:bCs/>
          <w:color w:val="auto"/>
          <w:szCs w:val="21"/>
          <w:highlight w:val="none"/>
        </w:rPr>
      </w:pPr>
    </w:p>
    <w:p>
      <w:pPr>
        <w:tabs>
          <w:tab w:val="left" w:pos="525"/>
        </w:tabs>
        <w:ind w:firstLine="482"/>
        <w:rPr>
          <w:rFonts w:hAnsi="宋体"/>
          <w:b/>
          <w:bCs/>
          <w:color w:val="auto"/>
          <w:szCs w:val="21"/>
          <w:highlight w:val="none"/>
        </w:rPr>
      </w:pPr>
      <w:r>
        <w:rPr>
          <w:rFonts w:hint="eastAsia" w:hAnsi="宋体"/>
          <w:b/>
          <w:bCs/>
          <w:color w:val="auto"/>
          <w:szCs w:val="21"/>
          <w:highlight w:val="none"/>
        </w:rPr>
        <w:t>合同附件：</w:t>
      </w:r>
    </w:p>
    <w:p>
      <w:pPr>
        <w:tabs>
          <w:tab w:val="left" w:pos="525"/>
        </w:tabs>
        <w:ind w:firstLine="482"/>
        <w:rPr>
          <w:rFonts w:hAnsi="宋体"/>
          <w:b/>
          <w:bCs/>
          <w:color w:val="auto"/>
          <w:szCs w:val="21"/>
          <w:highlight w:val="none"/>
        </w:rPr>
      </w:pPr>
      <w:r>
        <w:rPr>
          <w:rFonts w:hAnsi="宋体"/>
          <w:b/>
          <w:bCs/>
          <w:color w:val="auto"/>
          <w:szCs w:val="21"/>
          <w:highlight w:val="none"/>
        </w:rPr>
        <w:t>配置清单：</w:t>
      </w:r>
    </w:p>
    <w:tbl>
      <w:tblPr>
        <w:tblStyle w:val="38"/>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9"/>
        <w:gridCol w:w="1501"/>
        <w:gridCol w:w="1638"/>
        <w:gridCol w:w="1024"/>
        <w:gridCol w:w="1024"/>
        <w:gridCol w:w="102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序号</w:t>
            </w:r>
          </w:p>
        </w:tc>
        <w:tc>
          <w:tcPr>
            <w:tcW w:w="1419"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名称</w:t>
            </w:r>
          </w:p>
        </w:tc>
        <w:tc>
          <w:tcPr>
            <w:tcW w:w="1501" w:type="dxa"/>
            <w:vAlign w:val="center"/>
          </w:tcPr>
          <w:p>
            <w:pPr>
              <w:spacing w:line="240" w:lineRule="auto"/>
              <w:ind w:left="102" w:right="-36" w:firstLine="0" w:firstLineChars="0"/>
              <w:jc w:val="center"/>
              <w:rPr>
                <w:b/>
                <w:color w:val="auto"/>
                <w:sz w:val="22"/>
                <w:szCs w:val="20"/>
                <w:highlight w:val="none"/>
              </w:rPr>
            </w:pPr>
            <w:r>
              <w:rPr>
                <w:rFonts w:hAnsi="宋体"/>
                <w:b/>
                <w:color w:val="auto"/>
                <w:sz w:val="22"/>
                <w:szCs w:val="20"/>
                <w:highlight w:val="none"/>
              </w:rPr>
              <w:t>规格</w:t>
            </w:r>
            <w:r>
              <w:rPr>
                <w:b/>
                <w:color w:val="auto"/>
                <w:sz w:val="22"/>
                <w:szCs w:val="20"/>
                <w:highlight w:val="none"/>
              </w:rPr>
              <w:t>/</w:t>
            </w:r>
            <w:r>
              <w:rPr>
                <w:rFonts w:hAnsi="宋体"/>
                <w:b/>
                <w:color w:val="auto"/>
                <w:sz w:val="22"/>
                <w:szCs w:val="20"/>
                <w:highlight w:val="none"/>
              </w:rPr>
              <w:t>型号</w:t>
            </w:r>
          </w:p>
        </w:tc>
        <w:tc>
          <w:tcPr>
            <w:tcW w:w="1638" w:type="dxa"/>
          </w:tcPr>
          <w:p>
            <w:pPr>
              <w:spacing w:line="240" w:lineRule="auto"/>
              <w:ind w:left="102" w:right="-36" w:firstLine="0" w:firstLineChars="0"/>
              <w:jc w:val="center"/>
              <w:rPr>
                <w:rFonts w:hAnsi="宋体"/>
                <w:b/>
                <w:color w:val="auto"/>
                <w:sz w:val="22"/>
                <w:szCs w:val="20"/>
                <w:highlight w:val="none"/>
              </w:rPr>
            </w:pPr>
            <w:r>
              <w:rPr>
                <w:rFonts w:hint="eastAsia" w:hAnsi="宋体"/>
                <w:b/>
                <w:color w:val="auto"/>
                <w:sz w:val="22"/>
                <w:szCs w:val="20"/>
                <w:highlight w:val="none"/>
              </w:rPr>
              <w:t>品牌/厂家/</w:t>
            </w:r>
          </w:p>
          <w:p>
            <w:pPr>
              <w:spacing w:line="240" w:lineRule="auto"/>
              <w:ind w:right="-3" w:firstLine="0" w:firstLineChars="0"/>
              <w:jc w:val="center"/>
              <w:rPr>
                <w:rFonts w:hAnsi="宋体"/>
                <w:b/>
                <w:color w:val="auto"/>
                <w:sz w:val="22"/>
                <w:szCs w:val="20"/>
                <w:highlight w:val="none"/>
              </w:rPr>
            </w:pPr>
            <w:r>
              <w:rPr>
                <w:rFonts w:hint="eastAsia" w:hAnsi="宋体"/>
                <w:b/>
                <w:color w:val="auto"/>
                <w:sz w:val="22"/>
                <w:szCs w:val="20"/>
                <w:highlight w:val="none"/>
              </w:rPr>
              <w:t>原产地</w:t>
            </w:r>
          </w:p>
        </w:tc>
        <w:tc>
          <w:tcPr>
            <w:tcW w:w="1024" w:type="dxa"/>
            <w:vAlign w:val="center"/>
          </w:tcPr>
          <w:p>
            <w:pPr>
              <w:spacing w:line="240" w:lineRule="auto"/>
              <w:ind w:right="-3" w:firstLine="0" w:firstLineChars="0"/>
              <w:jc w:val="center"/>
              <w:rPr>
                <w:rFonts w:hAnsi="宋体"/>
                <w:b/>
                <w:color w:val="auto"/>
                <w:sz w:val="22"/>
                <w:szCs w:val="20"/>
                <w:highlight w:val="none"/>
              </w:rPr>
            </w:pPr>
            <w:r>
              <w:rPr>
                <w:rFonts w:hAnsi="宋体"/>
                <w:b/>
                <w:color w:val="auto"/>
                <w:sz w:val="22"/>
                <w:szCs w:val="20"/>
                <w:highlight w:val="none"/>
              </w:rPr>
              <w:t>数量</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单价（美金）</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总价（美金）</w:t>
            </w:r>
          </w:p>
        </w:tc>
        <w:tc>
          <w:tcPr>
            <w:tcW w:w="1015" w:type="dxa"/>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1</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2</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3</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left="105"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4</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5</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6</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bl>
    <w:p>
      <w:pPr>
        <w:ind w:firstLine="480"/>
        <w:rPr>
          <w:color w:val="auto"/>
          <w:szCs w:val="21"/>
          <w:highlight w:val="none"/>
        </w:rPr>
      </w:pPr>
    </w:p>
    <w:p>
      <w:pPr>
        <w:spacing w:after="312"/>
        <w:ind w:firstLine="480"/>
        <w:jc w:val="center"/>
        <w:rPr>
          <w:color w:val="auto"/>
          <w:highlight w:val="none"/>
        </w:rPr>
      </w:pPr>
      <w:r>
        <w:rPr>
          <w:rFonts w:hint="eastAsia"/>
          <w:color w:val="auto"/>
          <w:highlight w:val="none"/>
        </w:rPr>
        <w:br w:type="page"/>
      </w:r>
    </w:p>
    <w:p>
      <w:pPr>
        <w:spacing w:after="312"/>
        <w:ind w:firstLine="602"/>
        <w:jc w:val="center"/>
        <w:rPr>
          <w:b/>
          <w:color w:val="auto"/>
          <w:sz w:val="44"/>
          <w:highlight w:val="none"/>
        </w:rPr>
      </w:pPr>
      <w:r>
        <w:rPr>
          <w:rFonts w:hint="eastAsia"/>
          <w:b/>
          <w:color w:val="auto"/>
          <w:sz w:val="30"/>
          <w:szCs w:val="30"/>
          <w:highlight w:val="none"/>
        </w:rPr>
        <w:t>中国计量大学采购合同</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合同编号：</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确认书编号：</w:t>
      </w:r>
    </w:p>
    <w:p>
      <w:pPr>
        <w:pStyle w:val="14"/>
        <w:spacing w:line="240" w:lineRule="auto"/>
        <w:ind w:left="315" w:firstLine="482"/>
        <w:contextualSpacing/>
        <w:rPr>
          <w:b/>
          <w:color w:val="auto"/>
          <w:szCs w:val="24"/>
          <w:highlight w:val="none"/>
        </w:rPr>
      </w:pPr>
      <w:r>
        <w:rPr>
          <w:rFonts w:hint="eastAsia"/>
          <w:b/>
          <w:color w:val="auto"/>
          <w:szCs w:val="24"/>
          <w:highlight w:val="none"/>
        </w:rPr>
        <w:t>甲方（需方）：</w:t>
      </w:r>
      <w:r>
        <w:rPr>
          <w:rFonts w:hint="eastAsia"/>
          <w:b/>
          <w:color w:val="auto"/>
          <w:szCs w:val="24"/>
          <w:highlight w:val="none"/>
          <w:u w:val="single"/>
        </w:rPr>
        <w:t xml:space="preserve">     中国计量大学                 </w:t>
      </w:r>
    </w:p>
    <w:p>
      <w:pPr>
        <w:pStyle w:val="14"/>
        <w:spacing w:line="240" w:lineRule="auto"/>
        <w:ind w:left="315" w:firstLine="482"/>
        <w:contextualSpacing/>
        <w:rPr>
          <w:b/>
          <w:color w:val="auto"/>
          <w:szCs w:val="24"/>
          <w:highlight w:val="none"/>
        </w:rPr>
      </w:pPr>
      <w:r>
        <w:rPr>
          <w:rFonts w:hint="eastAsia"/>
          <w:b/>
          <w:color w:val="auto"/>
          <w:szCs w:val="24"/>
          <w:highlight w:val="none"/>
        </w:rPr>
        <w:t>乙方（供方）：</w:t>
      </w:r>
      <w:r>
        <w:rPr>
          <w:rFonts w:hint="eastAsia"/>
          <w:b/>
          <w:color w:val="auto"/>
          <w:szCs w:val="24"/>
          <w:highlight w:val="none"/>
          <w:u w:val="single"/>
        </w:rPr>
        <w:t xml:space="preserve">                                  </w:t>
      </w:r>
    </w:p>
    <w:p>
      <w:pPr>
        <w:pStyle w:val="14"/>
        <w:tabs>
          <w:tab w:val="left" w:pos="6240"/>
        </w:tabs>
        <w:spacing w:after="312"/>
        <w:ind w:firstLine="0"/>
        <w:contextualSpacing/>
        <w:jc w:val="left"/>
        <w:rPr>
          <w:color w:val="auto"/>
          <w:sz w:val="21"/>
          <w:szCs w:val="21"/>
          <w:highlight w:val="none"/>
        </w:rPr>
      </w:pPr>
    </w:p>
    <w:p>
      <w:pPr>
        <w:pStyle w:val="14"/>
        <w:spacing w:line="240" w:lineRule="auto"/>
        <w:ind w:left="315"/>
        <w:contextualSpacing/>
        <w:rPr>
          <w:rFonts w:hAnsi="宋体"/>
          <w:snapToGrid w:val="0"/>
          <w:color w:val="auto"/>
          <w:sz w:val="22"/>
          <w:szCs w:val="22"/>
          <w:highlight w:val="none"/>
        </w:rPr>
      </w:pPr>
      <w:r>
        <w:rPr>
          <w:rFonts w:hint="eastAsia"/>
          <w:color w:val="auto"/>
          <w:sz w:val="22"/>
          <w:szCs w:val="22"/>
          <w:highlight w:val="none"/>
        </w:rPr>
        <w:t>依照《中华人民共和国合同法》及其他有关法律、行政法规，遵循平等、自愿、公平和诚实信用的原则，双方</w:t>
      </w:r>
      <w:r>
        <w:rPr>
          <w:rFonts w:hint="eastAsia" w:hAnsi="宋体"/>
          <w:snapToGrid w:val="0"/>
          <w:color w:val="auto"/>
          <w:sz w:val="22"/>
          <w:szCs w:val="22"/>
          <w:highlight w:val="none"/>
        </w:rPr>
        <w:t>根据对</w:t>
      </w:r>
      <w:r>
        <w:rPr>
          <w:rFonts w:hint="eastAsia" w:hAnsi="宋体"/>
          <w:snapToGrid w:val="0"/>
          <w:color w:val="auto"/>
          <w:sz w:val="22"/>
          <w:szCs w:val="22"/>
          <w:highlight w:val="none"/>
          <w:u w:val="single"/>
        </w:rPr>
        <w:t xml:space="preserve">                           </w:t>
      </w:r>
      <w:r>
        <w:rPr>
          <w:rFonts w:hint="eastAsia" w:hAnsi="宋体"/>
          <w:snapToGrid w:val="0"/>
          <w:color w:val="auto"/>
          <w:sz w:val="22"/>
          <w:szCs w:val="22"/>
          <w:highlight w:val="none"/>
        </w:rPr>
        <w:t xml:space="preserve">  （项目名称和编号）的公开招标的结果,签署本合同。</w:t>
      </w:r>
    </w:p>
    <w:p>
      <w:pPr>
        <w:snapToGrid w:val="0"/>
        <w:spacing w:after="312"/>
        <w:ind w:firstLine="442"/>
        <w:contextualSpacing/>
        <w:rPr>
          <w:b/>
          <w:color w:val="auto"/>
          <w:sz w:val="22"/>
          <w:szCs w:val="22"/>
          <w:highlight w:val="none"/>
        </w:rPr>
      </w:pPr>
      <w:r>
        <w:rPr>
          <w:rFonts w:hint="eastAsia"/>
          <w:b/>
          <w:color w:val="auto"/>
          <w:sz w:val="22"/>
          <w:szCs w:val="22"/>
          <w:highlight w:val="none"/>
        </w:rPr>
        <w:t xml:space="preserve">   </w:t>
      </w:r>
    </w:p>
    <w:p>
      <w:pPr>
        <w:snapToGrid w:val="0"/>
        <w:spacing w:line="240" w:lineRule="auto"/>
        <w:ind w:firstLine="418"/>
        <w:contextualSpacing/>
        <w:rPr>
          <w:rFonts w:cs="宋体"/>
          <w:b/>
          <w:bCs/>
          <w:color w:val="auto"/>
          <w:spacing w:val="-6"/>
          <w:sz w:val="22"/>
          <w:szCs w:val="22"/>
          <w:highlight w:val="none"/>
        </w:rPr>
      </w:pPr>
      <w:r>
        <w:rPr>
          <w:rFonts w:hint="eastAsia" w:cs="宋体"/>
          <w:b/>
          <w:bCs/>
          <w:color w:val="auto"/>
          <w:spacing w:val="-6"/>
          <w:sz w:val="22"/>
          <w:szCs w:val="22"/>
          <w:highlight w:val="none"/>
        </w:rPr>
        <w:t>一、采购商品清单及合同价格</w:t>
      </w:r>
    </w:p>
    <w:tbl>
      <w:tblPr>
        <w:tblStyle w:val="38"/>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1068"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货物名称</w:t>
            </w:r>
          </w:p>
        </w:tc>
        <w:tc>
          <w:tcPr>
            <w:tcW w:w="1364" w:type="dxa"/>
            <w:vAlign w:val="center"/>
          </w:tcPr>
          <w:p>
            <w:pPr>
              <w:adjustRightInd w:val="0"/>
              <w:snapToGrid w:val="0"/>
              <w:spacing w:line="240" w:lineRule="auto"/>
              <w:ind w:right="-36" w:firstLine="0" w:firstLineChars="0"/>
              <w:jc w:val="center"/>
              <w:rPr>
                <w:color w:val="auto"/>
                <w:sz w:val="22"/>
                <w:szCs w:val="22"/>
                <w:highlight w:val="none"/>
              </w:rPr>
            </w:pPr>
            <w:r>
              <w:rPr>
                <w:rFonts w:hint="eastAsia"/>
                <w:color w:val="auto"/>
                <w:sz w:val="22"/>
                <w:szCs w:val="22"/>
                <w:highlight w:val="none"/>
              </w:rPr>
              <w:t>规格型号</w:t>
            </w:r>
          </w:p>
        </w:tc>
        <w:tc>
          <w:tcPr>
            <w:tcW w:w="14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品牌/厂家/</w:t>
            </w:r>
          </w:p>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原产地</w:t>
            </w:r>
          </w:p>
        </w:tc>
        <w:tc>
          <w:tcPr>
            <w:tcW w:w="856"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计量</w:t>
            </w:r>
          </w:p>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单位</w:t>
            </w:r>
          </w:p>
        </w:tc>
        <w:tc>
          <w:tcPr>
            <w:tcW w:w="850"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数量</w:t>
            </w:r>
          </w:p>
        </w:tc>
        <w:tc>
          <w:tcPr>
            <w:tcW w:w="9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单价(元)</w:t>
            </w:r>
          </w:p>
        </w:tc>
        <w:tc>
          <w:tcPr>
            <w:tcW w:w="155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1</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2</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vAlign w:val="center"/>
          </w:tcPr>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r>
              <w:rPr>
                <w:rFonts w:hint="eastAsia" w:ascii="Calibri" w:hAnsi="宋体"/>
                <w:color w:val="auto"/>
                <w:sz w:val="22"/>
                <w:szCs w:val="22"/>
                <w:highlight w:val="none"/>
              </w:rPr>
              <w:t xml:space="preserve">         </w:t>
            </w:r>
            <w:r>
              <w:rPr>
                <w:rFonts w:ascii="Calibri" w:hAnsi="Calibri"/>
                <w:color w:val="auto"/>
                <w:sz w:val="22"/>
                <w:szCs w:val="22"/>
                <w:highlight w:val="none"/>
              </w:rPr>
              <w:t xml:space="preserve">  </w:t>
            </w:r>
            <w:r>
              <w:rPr>
                <w:rFonts w:hint="eastAsia" w:ascii="Calibri" w:hAnsi="Calibri"/>
                <w:color w:val="auto"/>
                <w:sz w:val="22"/>
                <w:szCs w:val="22"/>
                <w:highlight w:val="none"/>
              </w:rPr>
              <w:t xml:space="preserve">                       </w:t>
            </w:r>
          </w:p>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Calibri"/>
                <w:color w:val="auto"/>
                <w:sz w:val="22"/>
                <w:szCs w:val="22"/>
                <w:highlight w:val="none"/>
              </w:rPr>
              <w:t xml:space="preserve"> </w:t>
            </w: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color w:val="auto"/>
          <w:spacing w:val="-6"/>
          <w:sz w:val="22"/>
          <w:szCs w:val="22"/>
          <w:highlight w:val="none"/>
        </w:rPr>
      </w:pPr>
      <w:r>
        <w:rPr>
          <w:rFonts w:hint="eastAsia"/>
          <w:color w:val="auto"/>
          <w:spacing w:val="-6"/>
          <w:sz w:val="22"/>
          <w:szCs w:val="22"/>
          <w:highlight w:val="none"/>
        </w:rPr>
        <w:t>注：以上合同总价包括运抵使用单位的运输、安装、调试、验收、税金等费用。</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二、技术资料</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、乙方应按招标文件规定的时间向甲方提供合同货物的有关技术资料。</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9"/>
        <w:ind w:firstLine="424" w:firstLineChars="192"/>
        <w:contextualSpacing/>
        <w:rPr>
          <w:rFonts w:hAnsi="宋体"/>
          <w:b/>
          <w:color w:val="auto"/>
          <w:sz w:val="22"/>
          <w:szCs w:val="22"/>
          <w:highlight w:val="none"/>
        </w:rPr>
      </w:pPr>
      <w:r>
        <w:rPr>
          <w:rFonts w:hint="eastAsia" w:hAnsi="宋体"/>
          <w:b/>
          <w:color w:val="auto"/>
          <w:sz w:val="22"/>
          <w:szCs w:val="22"/>
          <w:highlight w:val="none"/>
        </w:rPr>
        <w:t>三、知识产权</w:t>
      </w:r>
    </w:p>
    <w:p>
      <w:pPr>
        <w:pStyle w:val="19"/>
        <w:ind w:firstLine="447" w:firstLineChars="215"/>
        <w:contextualSpacing/>
        <w:rPr>
          <w:rFonts w:cs="宋体"/>
          <w:color w:val="auto"/>
          <w:spacing w:val="-6"/>
          <w:sz w:val="22"/>
          <w:szCs w:val="22"/>
          <w:highlight w:val="none"/>
        </w:rPr>
      </w:pPr>
      <w:r>
        <w:rPr>
          <w:rFonts w:hint="eastAsia" w:cs="宋体"/>
          <w:color w:val="auto"/>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四、履约保证金：</w:t>
      </w:r>
    </w:p>
    <w:p>
      <w:pPr>
        <w:pStyle w:val="19"/>
        <w:ind w:firstLine="420"/>
        <w:contextualSpacing/>
        <w:rPr>
          <w:rFonts w:hint="eastAsia" w:hAnsi="宋体" w:eastAsia="宋体"/>
          <w:color w:val="auto"/>
          <w:sz w:val="22"/>
          <w:szCs w:val="22"/>
          <w:highlight w:val="none"/>
          <w:lang w:eastAsia="zh-CN"/>
        </w:rPr>
      </w:pPr>
      <w:r>
        <w:rPr>
          <w:rFonts w:hint="eastAsia" w:hAnsi="宋体"/>
          <w:color w:val="auto"/>
          <w:sz w:val="22"/>
          <w:szCs w:val="22"/>
          <w:highlight w:val="none"/>
        </w:rPr>
        <w:t>乙方须于合同签订后向甲方支付合同总价</w:t>
      </w:r>
      <w:r>
        <w:rPr>
          <w:rFonts w:hint="eastAsia" w:hAnsi="宋体"/>
          <w:color w:val="auto"/>
          <w:sz w:val="22"/>
          <w:szCs w:val="22"/>
          <w:highlight w:val="none"/>
          <w:u w:val="single"/>
        </w:rPr>
        <w:t xml:space="preserve"> 5% </w:t>
      </w:r>
      <w:r>
        <w:rPr>
          <w:rFonts w:hint="eastAsia" w:hAnsi="宋体"/>
          <w:color w:val="auto"/>
          <w:sz w:val="22"/>
          <w:szCs w:val="22"/>
          <w:highlight w:val="none"/>
        </w:rPr>
        <w:t>的履约保证金，共计人民币¥</w:t>
      </w:r>
      <w:r>
        <w:rPr>
          <w:rFonts w:hint="eastAsia" w:hAnsi="宋体"/>
          <w:color w:val="auto"/>
          <w:sz w:val="22"/>
          <w:szCs w:val="22"/>
          <w:highlight w:val="none"/>
          <w:u w:val="single"/>
        </w:rPr>
        <w:t xml:space="preserve">         </w:t>
      </w:r>
      <w:r>
        <w:rPr>
          <w:rFonts w:hint="eastAsia" w:hAnsi="宋体"/>
          <w:color w:val="auto"/>
          <w:sz w:val="22"/>
          <w:szCs w:val="22"/>
          <w:highlight w:val="none"/>
        </w:rPr>
        <w:t>元 ，履约保证金在交货验收后自动转为质量保证金。质量保证金自</w:t>
      </w:r>
      <w:r>
        <w:rPr>
          <w:rFonts w:hint="eastAsia" w:hAnsi="宋体" w:cs="宋体"/>
          <w:color w:val="auto"/>
          <w:spacing w:val="-6"/>
          <w:sz w:val="22"/>
          <w:szCs w:val="22"/>
          <w:highlight w:val="none"/>
        </w:rPr>
        <w:t>货物交付验收合格后</w:t>
      </w:r>
      <w:r>
        <w:rPr>
          <w:rFonts w:hint="eastAsia" w:hAnsi="宋体" w:cs="宋体"/>
          <w:color w:val="auto"/>
          <w:spacing w:val="-6"/>
          <w:sz w:val="22"/>
          <w:szCs w:val="22"/>
          <w:highlight w:val="none"/>
          <w:u w:val="single"/>
        </w:rPr>
        <w:t xml:space="preserve"> </w:t>
      </w:r>
      <w:r>
        <w:rPr>
          <w:rFonts w:hAnsi="宋体"/>
          <w:color w:val="auto"/>
          <w:spacing w:val="-6"/>
          <w:sz w:val="22"/>
          <w:szCs w:val="22"/>
          <w:highlight w:val="none"/>
          <w:u w:val="single"/>
        </w:rPr>
        <w:t>12</w:t>
      </w:r>
      <w:r>
        <w:rPr>
          <w:rFonts w:hint="eastAsia" w:hAnsi="宋体" w:cs="宋体"/>
          <w:color w:val="auto"/>
          <w:spacing w:val="-6"/>
          <w:sz w:val="22"/>
          <w:szCs w:val="22"/>
          <w:highlight w:val="none"/>
        </w:rPr>
        <w:t>个月内无质量问题索赔和售后服务问题，由甲方无息退回乙方</w:t>
      </w:r>
      <w:r>
        <w:rPr>
          <w:rFonts w:hint="eastAsia" w:hAnsi="宋体" w:cs="宋体"/>
          <w:color w:val="auto"/>
          <w:spacing w:val="-6"/>
          <w:sz w:val="22"/>
          <w:szCs w:val="22"/>
          <w:highlight w:val="none"/>
          <w:lang w:eastAsia="zh-CN"/>
        </w:rPr>
        <w:t>，</w:t>
      </w:r>
      <w:r>
        <w:rPr>
          <w:rFonts w:hint="eastAsia" w:ascii="宋体" w:hAnsi="宋体" w:cs="宋体"/>
          <w:color w:val="auto"/>
          <w:szCs w:val="32"/>
          <w:highlight w:val="none"/>
          <w:lang w:val="en-US" w:eastAsia="zh-CN"/>
        </w:rPr>
        <w:t>质量保证金应以银行转账或电汇形式。</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 xml:space="preserve">五、交货时间、地点 </w:t>
      </w:r>
    </w:p>
    <w:p>
      <w:pPr>
        <w:pStyle w:val="19"/>
        <w:ind w:firstLine="420"/>
        <w:contextualSpacing/>
        <w:rPr>
          <w:color w:val="auto"/>
          <w:sz w:val="22"/>
          <w:szCs w:val="22"/>
          <w:highlight w:val="none"/>
        </w:rPr>
      </w:pPr>
      <w:r>
        <w:rPr>
          <w:rFonts w:hint="eastAsia"/>
          <w:color w:val="auto"/>
          <w:sz w:val="22"/>
          <w:szCs w:val="22"/>
          <w:highlight w:val="none"/>
        </w:rPr>
        <w:t>乙方应于</w:t>
      </w:r>
      <w:r>
        <w:rPr>
          <w:rFonts w:hint="eastAsia"/>
          <w:color w:val="auto"/>
          <w:spacing w:val="-6"/>
          <w:sz w:val="22"/>
          <w:szCs w:val="22"/>
          <w:highlight w:val="none"/>
        </w:rPr>
        <w:t>合同签订以后</w:t>
      </w:r>
      <w:r>
        <w:rPr>
          <w:rFonts w:hint="eastAsia"/>
          <w:color w:val="auto"/>
          <w:sz w:val="22"/>
          <w:szCs w:val="22"/>
          <w:highlight w:val="none"/>
          <w:u w:val="single"/>
        </w:rPr>
        <w:t xml:space="preserve">      </w:t>
      </w:r>
      <w:r>
        <w:rPr>
          <w:rFonts w:hint="eastAsia"/>
          <w:color w:val="auto"/>
          <w:sz w:val="22"/>
          <w:szCs w:val="22"/>
          <w:highlight w:val="none"/>
        </w:rPr>
        <w:t>天内将所供商品按时、安全运至甲方指定地点，安装调试完毕后交甲方验收。</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六、调试与验收</w:t>
      </w:r>
    </w:p>
    <w:p>
      <w:pPr>
        <w:spacing w:after="312" w:line="288" w:lineRule="auto"/>
        <w:ind w:firstLine="416"/>
        <w:contextualSpacing/>
        <w:rPr>
          <w:rFonts w:ascii="宋体" w:hAnsi="宋体" w:cs="宋体"/>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2、到货验收：到货后，甲方对乙方提交的货物依据招标文件上的技术规格要求和国家有关质量标准进行现场到货验收，主要</w:t>
      </w:r>
      <w:r>
        <w:rPr>
          <w:rFonts w:hint="eastAsia"/>
          <w:color w:val="auto"/>
          <w:sz w:val="22"/>
          <w:szCs w:val="22"/>
          <w:highlight w:val="none"/>
        </w:rPr>
        <w:t>检查货物原产地、规格、型号、配置是否符合要求。</w:t>
      </w:r>
      <w:r>
        <w:rPr>
          <w:rFonts w:hint="eastAsia"/>
          <w:color w:val="auto"/>
          <w:spacing w:val="-6"/>
          <w:sz w:val="22"/>
          <w:szCs w:val="22"/>
          <w:highlight w:val="none"/>
        </w:rPr>
        <w:t>符合招投标文件技术要求的给予签收，初步验收不合格的不予签收。</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5、如发现有重大的质量问题：</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（1）甲乙双方可协商，</w:t>
      </w:r>
      <w:r>
        <w:rPr>
          <w:rFonts w:hint="eastAsia"/>
          <w:color w:val="auto"/>
          <w:sz w:val="22"/>
          <w:szCs w:val="22"/>
          <w:highlight w:val="none"/>
        </w:rPr>
        <w:t>应在合理的期限内负责更换直至符合质量要求；</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 w:val="22"/>
          <w:szCs w:val="22"/>
          <w:highlight w:val="none"/>
          <w:u w:val="single"/>
        </w:rPr>
        <w:t xml:space="preserve"> </w:t>
      </w:r>
      <w:r>
        <w:rPr>
          <w:color w:val="auto"/>
          <w:spacing w:val="-6"/>
          <w:sz w:val="22"/>
          <w:szCs w:val="22"/>
          <w:highlight w:val="none"/>
          <w:u w:val="single"/>
        </w:rPr>
        <w:t>10</w:t>
      </w:r>
      <w:r>
        <w:rPr>
          <w:rFonts w:hint="eastAsia"/>
          <w:color w:val="auto"/>
          <w:spacing w:val="-6"/>
          <w:sz w:val="22"/>
          <w:szCs w:val="22"/>
          <w:highlight w:val="none"/>
          <w:u w:val="single"/>
        </w:rPr>
        <w:t xml:space="preserve">％ </w:t>
      </w:r>
      <w:r>
        <w:rPr>
          <w:rFonts w:hint="eastAsia"/>
          <w:color w:val="auto"/>
          <w:spacing w:val="-6"/>
          <w:sz w:val="22"/>
          <w:szCs w:val="22"/>
          <w:highlight w:val="none"/>
        </w:rPr>
        <w:t>的赔偿金。</w:t>
      </w:r>
    </w:p>
    <w:p>
      <w:pPr>
        <w:spacing w:line="240" w:lineRule="auto"/>
        <w:ind w:firstLine="442"/>
        <w:contextualSpacing/>
        <w:rPr>
          <w:color w:val="auto"/>
          <w:spacing w:val="-6"/>
          <w:sz w:val="22"/>
          <w:szCs w:val="22"/>
          <w:highlight w:val="none"/>
        </w:rPr>
      </w:pPr>
      <w:r>
        <w:rPr>
          <w:rFonts w:hint="eastAsia"/>
          <w:b/>
          <w:color w:val="auto"/>
          <w:sz w:val="22"/>
          <w:szCs w:val="22"/>
          <w:highlight w:val="none"/>
        </w:rPr>
        <w:t>七、货款的支付</w:t>
      </w:r>
    </w:p>
    <w:p>
      <w:pPr>
        <w:pStyle w:val="19"/>
        <w:ind w:firstLine="420"/>
        <w:contextualSpacing/>
        <w:rPr>
          <w:color w:val="auto"/>
          <w:sz w:val="22"/>
          <w:szCs w:val="22"/>
          <w:highlight w:val="none"/>
        </w:rPr>
      </w:pPr>
      <w:r>
        <w:rPr>
          <w:rFonts w:hint="eastAsia" w:hAnsi="宋体"/>
          <w:color w:val="auto"/>
          <w:sz w:val="22"/>
          <w:szCs w:val="22"/>
          <w:highlight w:val="none"/>
        </w:rPr>
        <w:t>货物验收合格之日起</w:t>
      </w:r>
      <w:r>
        <w:rPr>
          <w:rFonts w:hint="eastAsia" w:hAnsi="宋体"/>
          <w:color w:val="auto"/>
          <w:sz w:val="22"/>
          <w:szCs w:val="22"/>
          <w:highlight w:val="none"/>
          <w:u w:val="single"/>
        </w:rPr>
        <w:t xml:space="preserve"> 15</w:t>
      </w:r>
      <w:r>
        <w:rPr>
          <w:rFonts w:hint="eastAsia" w:hAnsi="宋体"/>
          <w:color w:val="auto"/>
          <w:sz w:val="22"/>
          <w:szCs w:val="22"/>
          <w:highlight w:val="none"/>
        </w:rPr>
        <w:t>个工作日，甲方向乙方全额支付合同总额，即¥</w:t>
      </w:r>
      <w:r>
        <w:rPr>
          <w:rFonts w:hint="eastAsia" w:hAnsi="宋体"/>
          <w:color w:val="auto"/>
          <w:sz w:val="22"/>
          <w:szCs w:val="22"/>
          <w:highlight w:val="none"/>
          <w:u w:val="single"/>
        </w:rPr>
        <w:t xml:space="preserve">       </w:t>
      </w:r>
      <w:r>
        <w:rPr>
          <w:rFonts w:hint="eastAsia" w:hAnsi="宋体"/>
          <w:color w:val="auto"/>
          <w:sz w:val="22"/>
          <w:szCs w:val="22"/>
          <w:highlight w:val="none"/>
        </w:rPr>
        <w:t>元（大写：</w:t>
      </w:r>
      <w:r>
        <w:rPr>
          <w:rFonts w:hint="eastAsia" w:hAnsi="宋体"/>
          <w:color w:val="auto"/>
          <w:sz w:val="22"/>
          <w:szCs w:val="22"/>
          <w:highlight w:val="none"/>
          <w:u w:val="single"/>
        </w:rPr>
        <w:t xml:space="preserve">          </w:t>
      </w:r>
      <w:r>
        <w:rPr>
          <w:rFonts w:hint="eastAsia" w:hAnsi="宋体"/>
          <w:b/>
          <w:color w:val="auto"/>
          <w:sz w:val="22"/>
          <w:szCs w:val="22"/>
          <w:highlight w:val="none"/>
        </w:rPr>
        <w:t>）。</w:t>
      </w:r>
      <w:r>
        <w:rPr>
          <w:rFonts w:hint="eastAsia"/>
          <w:color w:val="auto"/>
          <w:sz w:val="22"/>
          <w:szCs w:val="22"/>
          <w:highlight w:val="none"/>
        </w:rPr>
        <w:t xml:space="preserve"> </w:t>
      </w:r>
    </w:p>
    <w:p>
      <w:pPr>
        <w:spacing w:line="240" w:lineRule="auto"/>
        <w:ind w:firstLine="442"/>
        <w:contextualSpacing/>
        <w:rPr>
          <w:color w:val="auto"/>
          <w:spacing w:val="-6"/>
          <w:sz w:val="22"/>
          <w:szCs w:val="22"/>
          <w:highlight w:val="none"/>
        </w:rPr>
      </w:pPr>
      <w:r>
        <w:rPr>
          <w:rFonts w:hint="eastAsia"/>
          <w:b/>
          <w:color w:val="auto"/>
          <w:sz w:val="22"/>
          <w:szCs w:val="22"/>
          <w:highlight w:val="none"/>
        </w:rPr>
        <w:t>八、质量保证与售后服务</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1、乙方应按招标文件规定的货物性能、技术要求、质量标准向甲方提供未经使用的全新产品。</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 xml:space="preserve">2、产品质量保修期为 </w:t>
      </w:r>
      <w:r>
        <w:rPr>
          <w:rFonts w:hint="eastAsia"/>
          <w:color w:val="auto"/>
          <w:spacing w:val="-6"/>
          <w:sz w:val="22"/>
          <w:szCs w:val="22"/>
          <w:highlight w:val="none"/>
          <w:u w:val="single"/>
        </w:rPr>
        <w:t xml:space="preserve">     </w:t>
      </w:r>
      <w:r>
        <w:rPr>
          <w:rFonts w:hint="eastAsia"/>
          <w:color w:val="auto"/>
          <w:spacing w:val="-6"/>
          <w:sz w:val="22"/>
          <w:szCs w:val="22"/>
          <w:highlight w:val="none"/>
        </w:rPr>
        <w:t>年，质保期从验收合格后开始计算。</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4、如在使用过程中发生故障，无法正常使用时，乙方在接到甲方通知后，保修响应时间2小时以内，电话技术支持4小时内解决问题；若需上门维修，则</w:t>
      </w:r>
      <w:r>
        <w:rPr>
          <w:color w:val="auto"/>
          <w:spacing w:val="-6"/>
          <w:sz w:val="22"/>
          <w:szCs w:val="22"/>
          <w:highlight w:val="none"/>
        </w:rPr>
        <w:t>8</w:t>
      </w:r>
      <w:r>
        <w:rPr>
          <w:rFonts w:hint="eastAsia"/>
          <w:color w:val="auto"/>
          <w:spacing w:val="-6"/>
          <w:sz w:val="22"/>
          <w:szCs w:val="22"/>
          <w:highlight w:val="none"/>
        </w:rPr>
        <w:t>小时内到达现场并进行维修，最迟在</w:t>
      </w:r>
      <w:r>
        <w:rPr>
          <w:color w:val="auto"/>
          <w:spacing w:val="-6"/>
          <w:sz w:val="22"/>
          <w:szCs w:val="22"/>
          <w:highlight w:val="none"/>
        </w:rPr>
        <w:t>2</w:t>
      </w:r>
      <w:r>
        <w:rPr>
          <w:rFonts w:hint="eastAsia"/>
          <w:color w:val="auto"/>
          <w:spacing w:val="-6"/>
          <w:sz w:val="22"/>
          <w:szCs w:val="22"/>
          <w:highlight w:val="none"/>
        </w:rPr>
        <w:t>个工作日内修复。保修期内出现无法排除的故障，乙方需无条件为甲方更换同型号产品，以确保甲方的正常使用。</w:t>
      </w:r>
    </w:p>
    <w:p>
      <w:pPr>
        <w:pStyle w:val="19"/>
        <w:ind w:firstLine="482"/>
        <w:contextualSpacing/>
        <w:rPr>
          <w:color w:val="auto"/>
          <w:sz w:val="22"/>
          <w:szCs w:val="22"/>
          <w:highlight w:val="none"/>
        </w:rPr>
      </w:pPr>
      <w:r>
        <w:rPr>
          <w:rFonts w:hint="eastAsia"/>
          <w:b/>
          <w:color w:val="auto"/>
          <w:sz w:val="22"/>
          <w:szCs w:val="22"/>
          <w:highlight w:val="none"/>
        </w:rPr>
        <w:t>九、违约责任</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2、乙方逾期交货超过</w:t>
      </w:r>
      <w:r>
        <w:rPr>
          <w:rFonts w:hint="eastAsia"/>
          <w:color w:val="auto"/>
          <w:spacing w:val="-6"/>
          <w:sz w:val="22"/>
          <w:szCs w:val="22"/>
          <w:highlight w:val="none"/>
          <w:u w:val="single"/>
        </w:rPr>
        <w:t>30</w:t>
      </w:r>
      <w:r>
        <w:rPr>
          <w:rFonts w:hint="eastAsia"/>
          <w:color w:val="auto"/>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color w:val="auto"/>
          <w:spacing w:val="-6"/>
          <w:sz w:val="22"/>
          <w:szCs w:val="22"/>
          <w:highlight w:val="none"/>
        </w:rPr>
      </w:pPr>
      <w:r>
        <w:rPr>
          <w:rFonts w:hint="eastAsia"/>
          <w:b/>
          <w:bCs/>
          <w:color w:val="auto"/>
          <w:spacing w:val="-6"/>
          <w:sz w:val="22"/>
          <w:szCs w:val="22"/>
          <w:highlight w:val="none"/>
        </w:rPr>
        <w:t>十、不可抗力事件处理</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w:t>
      </w:r>
      <w:r>
        <w:rPr>
          <w:color w:val="auto"/>
          <w:spacing w:val="-6"/>
          <w:sz w:val="22"/>
          <w:szCs w:val="22"/>
          <w:highlight w:val="none"/>
        </w:rPr>
        <w:t xml:space="preserve"> </w:t>
      </w:r>
      <w:r>
        <w:rPr>
          <w:rFonts w:hint="eastAsia"/>
          <w:color w:val="auto"/>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、不可抗力事件发生后，应立即通知对方，并寄送有关权威机构出具的证明。</w:t>
      </w:r>
    </w:p>
    <w:p>
      <w:pPr>
        <w:spacing w:line="240" w:lineRule="auto"/>
        <w:ind w:firstLine="416"/>
        <w:contextualSpacing/>
        <w:rPr>
          <w:color w:val="auto"/>
          <w:spacing w:val="-6"/>
          <w:sz w:val="22"/>
          <w:szCs w:val="22"/>
          <w:highlight w:val="none"/>
        </w:rPr>
      </w:pPr>
      <w:r>
        <w:rPr>
          <w:color w:val="auto"/>
          <w:spacing w:val="-6"/>
          <w:sz w:val="22"/>
          <w:szCs w:val="22"/>
          <w:highlight w:val="none"/>
        </w:rPr>
        <w:t>3</w:t>
      </w:r>
      <w:r>
        <w:rPr>
          <w:rFonts w:hint="eastAsia"/>
          <w:color w:val="auto"/>
          <w:spacing w:val="-6"/>
          <w:sz w:val="22"/>
          <w:szCs w:val="22"/>
          <w:highlight w:val="none"/>
        </w:rPr>
        <w:t>、不可抗力事件延续</w:t>
      </w:r>
      <w:r>
        <w:rPr>
          <w:color w:val="auto"/>
          <w:spacing w:val="-6"/>
          <w:sz w:val="22"/>
          <w:szCs w:val="22"/>
          <w:highlight w:val="none"/>
        </w:rPr>
        <w:t>120</w:t>
      </w:r>
      <w:r>
        <w:rPr>
          <w:rFonts w:hint="eastAsia"/>
          <w:color w:val="auto"/>
          <w:spacing w:val="-6"/>
          <w:sz w:val="22"/>
          <w:szCs w:val="22"/>
          <w:highlight w:val="none"/>
        </w:rPr>
        <w:t>天以上，双方应通过友好协商，确定是否继续履行合同。</w:t>
      </w:r>
    </w:p>
    <w:p>
      <w:pPr>
        <w:spacing w:line="240" w:lineRule="auto"/>
        <w:ind w:firstLine="442"/>
        <w:contextualSpacing/>
        <w:rPr>
          <w:color w:val="auto"/>
          <w:spacing w:val="-6"/>
          <w:sz w:val="22"/>
          <w:szCs w:val="22"/>
          <w:highlight w:val="none"/>
        </w:rPr>
      </w:pPr>
      <w:r>
        <w:rPr>
          <w:rFonts w:hint="eastAsia"/>
          <w:b/>
          <w:color w:val="auto"/>
          <w:sz w:val="22"/>
          <w:szCs w:val="22"/>
          <w:highlight w:val="none"/>
        </w:rPr>
        <w:t>十一、争议解决</w:t>
      </w:r>
    </w:p>
    <w:p>
      <w:pPr>
        <w:spacing w:line="240" w:lineRule="auto"/>
        <w:ind w:left="485" w:leftChars="202" w:firstLine="0" w:firstLineChars="0"/>
        <w:contextualSpacing/>
        <w:rPr>
          <w:b/>
          <w:color w:val="auto"/>
          <w:sz w:val="22"/>
          <w:szCs w:val="22"/>
          <w:highlight w:val="none"/>
        </w:rPr>
      </w:pPr>
      <w:r>
        <w:rPr>
          <w:rFonts w:hint="eastAsia"/>
          <w:color w:val="auto"/>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十二、合同生效</w:t>
      </w:r>
    </w:p>
    <w:p>
      <w:pPr>
        <w:numPr>
          <w:ilvl w:val="0"/>
          <w:numId w:val="12"/>
        </w:numPr>
        <w:spacing w:line="240" w:lineRule="auto"/>
        <w:ind w:firstLineChars="0"/>
        <w:contextualSpacing/>
        <w:rPr>
          <w:color w:val="auto"/>
          <w:sz w:val="22"/>
          <w:szCs w:val="28"/>
          <w:highlight w:val="none"/>
        </w:rPr>
      </w:pPr>
      <w:r>
        <w:rPr>
          <w:rFonts w:hint="eastAsia"/>
          <w:color w:val="auto"/>
          <w:sz w:val="22"/>
          <w:szCs w:val="28"/>
          <w:highlight w:val="none"/>
        </w:rPr>
        <w:t>本合同经甲、乙双方法定代表人或授权代表签字并加盖单位公章后生效。</w:t>
      </w:r>
    </w:p>
    <w:p>
      <w:pPr>
        <w:spacing w:line="240" w:lineRule="auto"/>
        <w:ind w:left="315" w:firstLine="0" w:firstLineChars="0"/>
        <w:contextualSpacing/>
        <w:rPr>
          <w:color w:val="auto"/>
          <w:sz w:val="22"/>
          <w:szCs w:val="28"/>
          <w:highlight w:val="none"/>
        </w:rPr>
      </w:pPr>
      <w:r>
        <w:rPr>
          <w:rFonts w:hint="eastAsia"/>
          <w:color w:val="auto"/>
          <w:sz w:val="22"/>
          <w:szCs w:val="28"/>
          <w:highlight w:val="none"/>
        </w:rPr>
        <w:t>2、本合同未尽事宜，遵照《中华人民共和国合同法》的有关规定执行。</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3、本合同一式陆份，甲方执伍份，乙方执壹份。</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4、与本合同有关的招投标文件及相关承诺系本合同的组成部分。</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spacing w:after="312" w:line="240" w:lineRule="auto"/>
        <w:ind w:firstLine="0" w:firstLineChars="0"/>
        <w:rPr>
          <w:rFonts w:hAnsi="宋体"/>
          <w:b/>
          <w:bCs/>
          <w:color w:val="auto"/>
          <w:sz w:val="22"/>
          <w:szCs w:val="22"/>
          <w:highlight w:val="none"/>
        </w:rPr>
      </w:pPr>
    </w:p>
    <w:p>
      <w:pPr>
        <w:tabs>
          <w:tab w:val="left" w:pos="525"/>
        </w:tabs>
        <w:spacing w:after="312" w:line="240" w:lineRule="auto"/>
        <w:ind w:firstLine="442"/>
        <w:rPr>
          <w:rFonts w:hAnsi="宋体"/>
          <w:b/>
          <w:bCs/>
          <w:color w:val="auto"/>
          <w:sz w:val="22"/>
          <w:szCs w:val="22"/>
          <w:highlight w:val="none"/>
        </w:rPr>
      </w:pPr>
      <w:r>
        <w:rPr>
          <w:rFonts w:hint="eastAsia" w:hAnsi="宋体"/>
          <w:b/>
          <w:bCs/>
          <w:color w:val="auto"/>
          <w:sz w:val="22"/>
          <w:szCs w:val="22"/>
          <w:highlight w:val="none"/>
        </w:rPr>
        <w:t>合同附件：</w:t>
      </w:r>
    </w:p>
    <w:p>
      <w:pPr>
        <w:tabs>
          <w:tab w:val="left" w:pos="525"/>
        </w:tabs>
        <w:spacing w:after="312" w:line="240" w:lineRule="auto"/>
        <w:ind w:firstLine="482"/>
        <w:rPr>
          <w:rFonts w:hAnsi="宋体"/>
          <w:b/>
          <w:bCs/>
          <w:color w:val="auto"/>
          <w:szCs w:val="21"/>
          <w:highlight w:val="none"/>
        </w:rPr>
      </w:pPr>
      <w:r>
        <w:rPr>
          <w:rFonts w:hAnsi="宋体"/>
          <w:b/>
          <w:bCs/>
          <w:color w:val="auto"/>
          <w:szCs w:val="21"/>
          <w:highlight w:val="none"/>
        </w:rPr>
        <w:t>配置清单：</w:t>
      </w:r>
    </w:p>
    <w:tbl>
      <w:tblPr>
        <w:tblStyle w:val="38"/>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left="120" w:hanging="120" w:hangingChars="5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bl>
    <w:p>
      <w:pPr>
        <w:spacing w:after="312" w:line="240" w:lineRule="auto"/>
        <w:ind w:firstLine="0" w:firstLineChars="0"/>
        <w:rPr>
          <w:color w:val="auto"/>
          <w:szCs w:val="21"/>
          <w:highlight w:val="none"/>
        </w:rPr>
      </w:pPr>
    </w:p>
    <w:p>
      <w:pPr>
        <w:ind w:firstLine="480"/>
        <w:rPr>
          <w:color w:val="auto"/>
          <w:highlight w:val="none"/>
        </w:rPr>
      </w:pPr>
    </w:p>
    <w:p>
      <w:pPr>
        <w:pStyle w:val="19"/>
        <w:spacing w:before="120" w:after="120" w:line="288" w:lineRule="auto"/>
        <w:ind w:firstLine="420" w:firstLineChars="200"/>
        <w:rPr>
          <w:rFonts w:hAnsi="宋体"/>
          <w:color w:val="auto"/>
          <w:szCs w:val="21"/>
          <w:highlight w:val="none"/>
        </w:rPr>
      </w:pPr>
    </w:p>
    <w:p>
      <w:pPr>
        <w:pStyle w:val="19"/>
        <w:spacing w:before="120" w:after="120" w:line="288" w:lineRule="auto"/>
        <w:ind w:firstLine="420" w:firstLineChars="200"/>
        <w:rPr>
          <w:rFonts w:ascii="Times New Roman" w:hAnsi="Times New Roman"/>
          <w:color w:val="auto"/>
          <w:szCs w:val="21"/>
          <w:highlight w:val="none"/>
        </w:rPr>
      </w:pPr>
    </w:p>
    <w:p>
      <w:pPr>
        <w:ind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color w:val="auto"/>
          <w:highlight w:val="none"/>
        </w:rPr>
      </w:pPr>
      <w:bookmarkStart w:id="95" w:name="_Toc27145"/>
      <w:r>
        <w:rPr>
          <w:rFonts w:hint="eastAsia" w:cs="宋体"/>
          <w:color w:val="auto"/>
          <w:highlight w:val="none"/>
        </w:rPr>
        <w:t>第六章 投标文件格式</w:t>
      </w:r>
      <w:bookmarkEnd w:id="94"/>
      <w:bookmarkEnd w:id="95"/>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5"/>
        <w:ind w:firstLine="2982" w:firstLineChars="900"/>
        <w:rPr>
          <w:b/>
          <w:color w:val="auto"/>
          <w:sz w:val="33"/>
          <w:szCs w:val="33"/>
          <w:highlight w:val="none"/>
        </w:rPr>
      </w:pPr>
      <w:r>
        <w:rPr>
          <w:b/>
          <w:color w:val="auto"/>
          <w:sz w:val="33"/>
          <w:szCs w:val="33"/>
          <w:highlight w:val="none"/>
        </w:rPr>
        <w:t xml:space="preserve">格式一：资格审查材料 </w:t>
      </w:r>
    </w:p>
    <w:tbl>
      <w:tblPr>
        <w:tblStyle w:val="3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5"/>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5"/>
              <w:numPr>
                <w:ilvl w:val="0"/>
                <w:numId w:val="13"/>
              </w:numPr>
              <w:rPr>
                <w:color w:val="auto"/>
                <w:highlight w:val="none"/>
              </w:rPr>
            </w:pPr>
            <w:r>
              <w:rPr>
                <w:color w:val="auto"/>
                <w:highlight w:val="none"/>
              </w:rPr>
              <w:t>如投标人是自然人，提供有效的自然人身份证明。</w:t>
            </w:r>
          </w:p>
          <w:p>
            <w:pPr>
              <w:pStyle w:val="35"/>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5"/>
              <w:numPr>
                <w:ilvl w:val="0"/>
                <w:numId w:val="14"/>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5"/>
              <w:numPr>
                <w:ilvl w:val="0"/>
                <w:numId w:val="14"/>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5"/>
              <w:numPr>
                <w:ilvl w:val="0"/>
                <w:numId w:val="14"/>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5"/>
              <w:numPr>
                <w:ilvl w:val="0"/>
                <w:numId w:val="14"/>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5"/>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5"/>
              <w:numPr>
                <w:ilvl w:val="0"/>
                <w:numId w:val="15"/>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5"/>
              <w:numPr>
                <w:ilvl w:val="0"/>
                <w:numId w:val="15"/>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5"/>
              <w:numPr>
                <w:ilvl w:val="0"/>
                <w:numId w:val="15"/>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5"/>
              <w:numPr>
                <w:ilvl w:val="0"/>
                <w:numId w:val="15"/>
              </w:numPr>
              <w:rPr>
                <w:color w:val="auto"/>
                <w:highlight w:val="none"/>
              </w:rPr>
            </w:pPr>
            <w:r>
              <w:rPr>
                <w:color w:val="auto"/>
                <w:highlight w:val="none"/>
              </w:rPr>
              <w:t>依法不需要缴纳社会保障资金的投标人，应提供相应文件证明其依法不需要缴纳社会保障资金；</w:t>
            </w:r>
          </w:p>
          <w:p>
            <w:pPr>
              <w:pStyle w:val="35"/>
              <w:numPr>
                <w:ilvl w:val="0"/>
                <w:numId w:val="15"/>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5"/>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5"/>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5"/>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5"/>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numPr>
                <w:ilvl w:val="0"/>
                <w:numId w:val="16"/>
              </w:numPr>
              <w:ind w:firstLine="0" w:firstLineChars="0"/>
              <w:rPr>
                <w:rFonts w:hint="eastAsia" w:ascii="宋体" w:hAnsi="宋体" w:eastAsia="宋体" w:cs="Times New Roman"/>
                <w:color w:val="auto"/>
                <w:kern w:val="0"/>
                <w:sz w:val="22"/>
                <w:szCs w:val="22"/>
                <w:highlight w:val="none"/>
                <w:lang w:val="en-US" w:eastAsia="zh-CN" w:bidi="ar-SA"/>
              </w:rPr>
            </w:pPr>
            <w:r>
              <w:rPr>
                <w:rFonts w:hint="eastAsia" w:ascii="宋体" w:hAnsi="宋体" w:eastAsia="宋体" w:cs="Times New Roman"/>
                <w:color w:val="auto"/>
                <w:kern w:val="0"/>
                <w:sz w:val="22"/>
                <w:szCs w:val="22"/>
                <w:highlight w:val="none"/>
                <w:lang w:val="en-US" w:eastAsia="zh-CN" w:bidi="ar-SA"/>
              </w:rPr>
              <w:t>提供响应文件递交截止日前1日历天17:00（北京时间）的查询信息网站截图，查询渠道：“国家企业信用信息公示系统”（w</w:t>
            </w:r>
            <w:r>
              <w:rPr>
                <w:rFonts w:ascii="宋体" w:hAnsi="宋体" w:eastAsia="宋体" w:cs="Times New Roman"/>
                <w:color w:val="auto"/>
                <w:kern w:val="0"/>
                <w:sz w:val="22"/>
                <w:szCs w:val="22"/>
                <w:highlight w:val="none"/>
                <w:lang w:val="en-US" w:eastAsia="zh-CN" w:bidi="ar-SA"/>
              </w:rPr>
              <w:fldChar w:fldCharType="begin"/>
            </w:r>
            <w:r>
              <w:rPr>
                <w:rFonts w:ascii="宋体" w:hAnsi="宋体" w:eastAsia="宋体" w:cs="Times New Roman"/>
                <w:color w:val="auto"/>
                <w:kern w:val="0"/>
                <w:sz w:val="22"/>
                <w:szCs w:val="22"/>
                <w:highlight w:val="none"/>
                <w:lang w:val="en-US" w:eastAsia="zh-CN" w:bidi="ar-SA"/>
              </w:rPr>
              <w:instrText xml:space="preserve"> HYPERLINK "http://www.gsxt.gov.cn/corp-query-homepage.html" </w:instrText>
            </w:r>
            <w:r>
              <w:rPr>
                <w:rFonts w:ascii="宋体" w:hAnsi="宋体" w:eastAsia="宋体" w:cs="Times New Roman"/>
                <w:color w:val="auto"/>
                <w:kern w:val="0"/>
                <w:sz w:val="22"/>
                <w:szCs w:val="22"/>
                <w:highlight w:val="none"/>
                <w:lang w:val="en-US" w:eastAsia="zh-CN" w:bidi="ar-SA"/>
              </w:rPr>
              <w:fldChar w:fldCharType="separate"/>
            </w:r>
            <w:r>
              <w:rPr>
                <w:rFonts w:hint="eastAsia" w:ascii="宋体" w:hAnsi="宋体" w:eastAsia="宋体" w:cs="Times New Roman"/>
                <w:color w:val="auto"/>
                <w:kern w:val="0"/>
                <w:sz w:val="22"/>
                <w:szCs w:val="22"/>
                <w:highlight w:val="none"/>
                <w:lang w:val="en-US" w:eastAsia="zh-CN" w:bidi="ar-SA"/>
              </w:rPr>
              <w:t>ww.gsxt.gov.cn/corp-query-homepage.html</w:t>
            </w:r>
            <w:r>
              <w:rPr>
                <w:rFonts w:hint="eastAsia" w:ascii="宋体" w:hAnsi="宋体" w:eastAsia="宋体" w:cs="Times New Roman"/>
                <w:color w:val="auto"/>
                <w:kern w:val="0"/>
                <w:sz w:val="22"/>
                <w:szCs w:val="22"/>
                <w:highlight w:val="none"/>
                <w:lang w:val="en-US" w:eastAsia="zh-CN" w:bidi="ar-SA"/>
              </w:rPr>
              <w:fldChar w:fldCharType="end"/>
            </w:r>
            <w:r>
              <w:rPr>
                <w:rFonts w:hint="eastAsia" w:ascii="宋体" w:hAnsi="宋体" w:eastAsia="宋体" w:cs="Times New Roman"/>
                <w:color w:val="auto"/>
                <w:kern w:val="0"/>
                <w:sz w:val="22"/>
                <w:szCs w:val="22"/>
                <w:highlight w:val="none"/>
                <w:lang w:val="en-US" w:eastAsia="zh-CN" w:bidi="ar-SA"/>
              </w:rPr>
              <w:t>）</w:t>
            </w:r>
          </w:p>
          <w:p>
            <w:pPr>
              <w:numPr>
                <w:ilvl w:val="0"/>
                <w:numId w:val="16"/>
              </w:numPr>
              <w:ind w:firstLine="0" w:firstLineChars="0"/>
              <w:rPr>
                <w:color w:val="auto"/>
                <w:highlight w:val="none"/>
              </w:rPr>
            </w:pPr>
            <w:r>
              <w:rPr>
                <w:rFonts w:hint="eastAsia" w:ascii="宋体" w:hAnsi="宋体" w:eastAsia="宋体" w:cs="Times New Roman"/>
                <w:color w:val="auto"/>
                <w:kern w:val="0"/>
                <w:sz w:val="24"/>
                <w:szCs w:val="24"/>
                <w:highlight w:val="none"/>
                <w:lang w:val="en-US" w:eastAsia="zh-CN" w:bidi="ar-SA"/>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5"/>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5"/>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本项目接受联合体投标，联合体投标的，须具有房地产代理（服务）的单位作为联合体牵头人，并许出具联合体协议书。</w:t>
            </w:r>
          </w:p>
        </w:tc>
      </w:tr>
    </w:tbl>
    <w:p>
      <w:pPr>
        <w:pStyle w:val="35"/>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8"/>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5"/>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19"/>
        <w:adjustRightInd w:val="0"/>
        <w:snapToGrid w:val="0"/>
        <w:spacing w:line="300" w:lineRule="auto"/>
        <w:jc w:val="center"/>
        <w:rPr>
          <w:rFonts w:ascii="Arial" w:hAnsi="Arial" w:eastAsia="华文中宋" w:cs="Arial"/>
          <w:b/>
          <w:bCs/>
          <w:color w:val="auto"/>
          <w:sz w:val="32"/>
          <w:highlight w:val="none"/>
        </w:rPr>
      </w:pPr>
      <w:r>
        <w:rPr>
          <w:rFonts w:hint="eastAsia" w:ascii="Arial" w:hAnsi="Arial" w:eastAsia="华文中宋" w:cs="Arial"/>
          <w:b/>
          <w:bCs/>
          <w:color w:val="auto"/>
          <w:sz w:val="32"/>
          <w:highlight w:val="none"/>
        </w:rPr>
        <w:t>联合体协议书</w:t>
      </w:r>
    </w:p>
    <w:p>
      <w:pPr>
        <w:snapToGrid w:val="0"/>
        <w:ind w:firstLine="480"/>
        <w:rPr>
          <w:rFonts w:ascii="宋体" w:hAnsi="宋体"/>
          <w:color w:val="auto"/>
          <w:highlight w:val="none"/>
        </w:rPr>
      </w:pPr>
      <w:r>
        <w:rPr>
          <w:rFonts w:hint="eastAsia" w:ascii="宋体" w:hAnsi="宋体"/>
          <w:color w:val="auto"/>
          <w:highlight w:val="none"/>
        </w:rPr>
        <w:t>中国计量大学：</w:t>
      </w:r>
    </w:p>
    <w:p>
      <w:pPr>
        <w:snapToGrid w:val="0"/>
        <w:ind w:firstLine="480"/>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（所有成员单位名称）自愿组成联合体，共同参加  </w:t>
      </w:r>
      <w:r>
        <w:rPr>
          <w:rFonts w:hint="eastAsia" w:ascii="宋体" w:hAnsi="宋体"/>
          <w:color w:val="auto"/>
          <w:highlight w:val="none"/>
          <w:u w:val="single"/>
        </w:rPr>
        <w:t xml:space="preserve">        </w:t>
      </w:r>
      <w:r>
        <w:rPr>
          <w:rFonts w:hint="eastAsia" w:ascii="宋体" w:hAnsi="宋体"/>
          <w:color w:val="auto"/>
          <w:highlight w:val="none"/>
        </w:rPr>
        <w:t xml:space="preserve">  （项目名称）投标。现就联合体投标事宜订立如下协议。</w:t>
      </w:r>
    </w:p>
    <w:p>
      <w:pPr>
        <w:snapToGrid w:val="0"/>
        <w:ind w:firstLine="480"/>
        <w:rPr>
          <w:rFonts w:ascii="宋体" w:hAnsi="宋体"/>
          <w:color w:val="auto"/>
          <w:highlight w:val="none"/>
        </w:rPr>
      </w:pPr>
      <w:r>
        <w:rPr>
          <w:rFonts w:hint="eastAsia" w:ascii="宋体" w:hAnsi="宋体"/>
          <w:color w:val="auto"/>
          <w:highlight w:val="none"/>
        </w:rPr>
        <w:t xml:space="preserve">1、 </w:t>
      </w:r>
      <w:r>
        <w:rPr>
          <w:rFonts w:hint="eastAsia" w:ascii="宋体" w:hAnsi="宋体"/>
          <w:color w:val="auto"/>
          <w:highlight w:val="none"/>
          <w:u w:val="single"/>
        </w:rPr>
        <w:t xml:space="preserve">                     </w:t>
      </w:r>
      <w:r>
        <w:rPr>
          <w:rFonts w:hint="eastAsia" w:ascii="宋体" w:hAnsi="宋体"/>
          <w:color w:val="auto"/>
          <w:highlight w:val="none"/>
        </w:rPr>
        <w:t xml:space="preserve">  （某成员单位名称）为 </w:t>
      </w:r>
      <w:r>
        <w:rPr>
          <w:rFonts w:hint="eastAsia" w:ascii="宋体" w:hAnsi="宋体"/>
          <w:color w:val="auto"/>
          <w:highlight w:val="none"/>
          <w:u w:val="single"/>
        </w:rPr>
        <w:t xml:space="preserve">                      </w:t>
      </w:r>
      <w:r>
        <w:rPr>
          <w:rFonts w:hint="eastAsia" w:ascii="宋体" w:hAnsi="宋体"/>
          <w:color w:val="auto"/>
          <w:highlight w:val="none"/>
        </w:rPr>
        <w:t xml:space="preserve">   （联合体名称）牵头人。</w:t>
      </w:r>
    </w:p>
    <w:p>
      <w:pPr>
        <w:snapToGrid w:val="0"/>
        <w:ind w:firstLine="480"/>
        <w:rPr>
          <w:rFonts w:ascii="宋体" w:hAnsi="宋体"/>
          <w:color w:val="auto"/>
          <w:highlight w:val="none"/>
        </w:rPr>
      </w:pPr>
      <w:r>
        <w:rPr>
          <w:rFonts w:hint="eastAsia" w:ascii="宋体" w:hAnsi="宋体"/>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pPr>
        <w:snapToGrid w:val="0"/>
        <w:ind w:firstLine="480"/>
        <w:rPr>
          <w:rFonts w:ascii="宋体" w:hAnsi="宋体"/>
          <w:color w:val="auto"/>
          <w:highlight w:val="none"/>
        </w:rPr>
      </w:pPr>
      <w:r>
        <w:rPr>
          <w:rFonts w:hint="eastAsia" w:ascii="宋体" w:hAnsi="宋体"/>
          <w:color w:val="auto"/>
          <w:highlight w:val="none"/>
        </w:rPr>
        <w:t xml:space="preserve">4、联合体各成员单位内部的职责分工如下：                                      </w:t>
      </w:r>
    </w:p>
    <w:p>
      <w:pPr>
        <w:snapToGrid w:val="0"/>
        <w:ind w:firstLine="480"/>
        <w:rPr>
          <w:rFonts w:ascii="宋体" w:hAnsi="宋体"/>
          <w:color w:val="auto"/>
          <w:highlight w:val="none"/>
        </w:rPr>
      </w:pPr>
      <w:r>
        <w:rPr>
          <w:rFonts w:hint="eastAsia" w:ascii="宋体" w:hAnsi="宋体"/>
          <w:color w:val="auto"/>
          <w:highlight w:val="none"/>
        </w:rPr>
        <w:t xml:space="preserve">                                                                      。</w:t>
      </w:r>
    </w:p>
    <w:p>
      <w:pPr>
        <w:snapToGrid w:val="0"/>
        <w:ind w:firstLine="480"/>
        <w:rPr>
          <w:rFonts w:ascii="宋体" w:hAnsi="宋体"/>
          <w:color w:val="auto"/>
          <w:highlight w:val="none"/>
        </w:rPr>
      </w:pPr>
      <w:r>
        <w:rPr>
          <w:rFonts w:hint="eastAsia" w:ascii="宋体" w:hAnsi="宋体"/>
          <w:color w:val="auto"/>
          <w:highlight w:val="none"/>
        </w:rPr>
        <w:t>5、作为联合体组成双方对本次报价予以确认，并承诺按此价格保质保量完成对应工作内容。</w:t>
      </w:r>
    </w:p>
    <w:p>
      <w:pPr>
        <w:snapToGrid w:val="0"/>
        <w:ind w:firstLine="480"/>
        <w:rPr>
          <w:rFonts w:ascii="宋体" w:hAnsi="宋体"/>
          <w:color w:val="auto"/>
          <w:highlight w:val="none"/>
        </w:rPr>
      </w:pPr>
      <w:r>
        <w:rPr>
          <w:rFonts w:hint="eastAsia" w:ascii="宋体" w:hAnsi="宋体"/>
          <w:color w:val="auto"/>
          <w:highlight w:val="none"/>
        </w:rPr>
        <w:t>6、本协议书自签署之日起生效，合同履行完毕后自动失效。</w:t>
      </w:r>
    </w:p>
    <w:p>
      <w:pPr>
        <w:snapToGrid w:val="0"/>
        <w:ind w:firstLine="480"/>
        <w:rPr>
          <w:rFonts w:ascii="宋体" w:hAnsi="宋体"/>
          <w:color w:val="auto"/>
          <w:highlight w:val="none"/>
        </w:rPr>
      </w:pPr>
      <w:r>
        <w:rPr>
          <w:rFonts w:hint="eastAsia" w:ascii="宋体" w:hAnsi="宋体"/>
          <w:color w:val="auto"/>
          <w:highlight w:val="none"/>
        </w:rPr>
        <w:t>7、本协议书一式     份，联合体成员和采购人各执一份。</w:t>
      </w:r>
    </w:p>
    <w:p>
      <w:pPr>
        <w:snapToGrid w:val="0"/>
        <w:ind w:firstLine="480"/>
        <w:rPr>
          <w:rFonts w:ascii="宋体" w:hAnsi="宋体"/>
          <w:color w:val="auto"/>
          <w:highlight w:val="none"/>
        </w:rPr>
      </w:pPr>
      <w:r>
        <w:rPr>
          <w:rFonts w:hint="eastAsia" w:ascii="宋体" w:hAnsi="宋体"/>
          <w:color w:val="auto"/>
          <w:highlight w:val="none"/>
        </w:rPr>
        <w:t>注：本协议书由委托代理人签字的，应附法定代表人签字的授权委托书。</w:t>
      </w:r>
    </w:p>
    <w:p>
      <w:pPr>
        <w:snapToGrid w:val="0"/>
        <w:ind w:firstLine="480"/>
        <w:rPr>
          <w:rFonts w:ascii="宋体" w:hAnsi="宋体"/>
          <w:color w:val="auto"/>
          <w:highlight w:val="none"/>
        </w:rPr>
      </w:pP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牵头人名称：（盖单位章）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成员名称：（盖单位章）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日  期：</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96" w:name="_Toc6136"/>
      <w:r>
        <w:rPr>
          <w:rFonts w:hint="eastAsia" w:ascii="宋体" w:hAnsi="宋体" w:cs="宋体"/>
          <w:b/>
          <w:color w:val="auto"/>
          <w:kern w:val="0"/>
          <w:sz w:val="36"/>
          <w:highlight w:val="none"/>
        </w:rPr>
        <w:t>报价文件目录</w:t>
      </w:r>
      <w:bookmarkEnd w:id="96"/>
    </w:p>
    <w:p>
      <w:pPr>
        <w:ind w:firstLine="480"/>
        <w:outlineLvl w:val="0"/>
        <w:rPr>
          <w:rFonts w:ascii="宋体" w:hAnsi="宋体" w:cs="宋体"/>
          <w:color w:val="auto"/>
          <w:kern w:val="0"/>
          <w:highlight w:val="none"/>
        </w:rPr>
      </w:pPr>
      <w:bookmarkStart w:id="97" w:name="_Toc16666"/>
      <w:r>
        <w:rPr>
          <w:rFonts w:hint="eastAsia" w:ascii="宋体" w:hAnsi="宋体" w:cs="宋体"/>
          <w:color w:val="auto"/>
          <w:kern w:val="0"/>
          <w:highlight w:val="none"/>
        </w:rPr>
        <w:t>（1）投标响应函………………………………………………………………（页码）</w:t>
      </w:r>
      <w:bookmarkEnd w:id="97"/>
    </w:p>
    <w:p>
      <w:pPr>
        <w:ind w:firstLine="480"/>
        <w:outlineLvl w:val="0"/>
        <w:rPr>
          <w:rFonts w:ascii="宋体" w:hAnsi="宋体" w:cs="宋体"/>
          <w:color w:val="auto"/>
          <w:kern w:val="0"/>
          <w:highlight w:val="none"/>
        </w:rPr>
      </w:pPr>
      <w:bookmarkStart w:id="98" w:name="_Toc9814"/>
      <w:r>
        <w:rPr>
          <w:rFonts w:hint="eastAsia" w:ascii="宋体" w:hAnsi="宋体" w:cs="宋体"/>
          <w:color w:val="auto"/>
          <w:kern w:val="0"/>
          <w:highlight w:val="none"/>
        </w:rPr>
        <w:t>（2）开标一览表………………………………………………………………（页码）</w:t>
      </w:r>
      <w:bookmarkEnd w:id="98"/>
    </w:p>
    <w:p>
      <w:pPr>
        <w:ind w:firstLine="480"/>
        <w:outlineLvl w:val="0"/>
        <w:rPr>
          <w:rFonts w:ascii="宋体" w:hAnsi="宋体" w:cs="宋体"/>
          <w:color w:val="auto"/>
          <w:kern w:val="0"/>
          <w:highlight w:val="none"/>
        </w:rPr>
      </w:pPr>
      <w:bookmarkStart w:id="99" w:name="_Toc10349"/>
      <w:r>
        <w:rPr>
          <w:rFonts w:hint="eastAsia" w:ascii="宋体" w:hAnsi="宋体" w:cs="宋体"/>
          <w:color w:val="auto"/>
          <w:kern w:val="0"/>
          <w:highlight w:val="none"/>
        </w:rPr>
        <w:t>（3）投标报价明细表…………………………………………………………（页码）</w:t>
      </w:r>
      <w:bookmarkEnd w:id="99"/>
    </w:p>
    <w:p>
      <w:pPr>
        <w:ind w:firstLine="480"/>
        <w:outlineLvl w:val="0"/>
        <w:rPr>
          <w:rFonts w:ascii="宋体" w:hAnsi="宋体" w:cs="宋体"/>
          <w:color w:val="auto"/>
          <w:highlight w:val="none"/>
        </w:rPr>
      </w:pPr>
      <w:bookmarkStart w:id="100"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00"/>
    </w:p>
    <w:p>
      <w:pPr>
        <w:pStyle w:val="5"/>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5"/>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19"/>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1" w:name="_Toc14446"/>
      <w:r>
        <w:rPr>
          <w:rFonts w:hint="eastAsia" w:ascii="宋体" w:hAnsi="宋体" w:eastAsia="宋体" w:cs="宋体"/>
          <w:bCs/>
          <w:color w:val="auto"/>
          <w:kern w:val="2"/>
          <w:sz w:val="24"/>
          <w:szCs w:val="32"/>
          <w:highlight w:val="none"/>
        </w:rPr>
        <w:t>开标一览表</w:t>
      </w:r>
      <w:bookmarkEnd w:id="101"/>
    </w:p>
    <w:p>
      <w:pPr>
        <w:pStyle w:val="169"/>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69"/>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02"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02"/>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19"/>
        <w:wordWrap w:val="0"/>
        <w:snapToGrid w:val="0"/>
        <w:spacing w:line="360" w:lineRule="auto"/>
        <w:ind w:firstLine="480"/>
        <w:jc w:val="center"/>
        <w:rPr>
          <w:color w:val="auto"/>
          <w:highlight w:val="none"/>
          <w:lang w:val="zh-CN"/>
        </w:rPr>
      </w:pPr>
      <w:r>
        <w:rPr>
          <w:rFonts w:hint="eastAsia" w:hAnsi="宋体" w:cs="宋体"/>
          <w:b/>
          <w:bCs/>
          <w:color w:val="auto"/>
          <w:sz w:val="24"/>
          <w:szCs w:val="24"/>
          <w:highlight w:val="none"/>
        </w:rPr>
        <w:t xml:space="preserve">                                                   金额单位：          </w:t>
      </w:r>
      <w:r>
        <w:rPr>
          <w:rFonts w:hint="eastAsia" w:hAnsi="宋体" w:cs="宋体"/>
          <w:color w:val="auto"/>
          <w:sz w:val="24"/>
          <w:szCs w:val="24"/>
          <w:highlight w:val="none"/>
        </w:rPr>
        <w:t xml:space="preserve"> </w:t>
      </w:r>
    </w:p>
    <w:tbl>
      <w:tblPr>
        <w:tblStyle w:val="38"/>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764" w:type="dxa"/>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52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671"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75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78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712"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c>
          <w:tcPr>
            <w:tcW w:w="177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质保期</w:t>
            </w:r>
          </w:p>
        </w:tc>
        <w:tc>
          <w:tcPr>
            <w:tcW w:w="1643"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2</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3</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4</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5</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投标报价（小写）</w:t>
            </w:r>
          </w:p>
        </w:tc>
        <w:tc>
          <w:tcPr>
            <w:tcW w:w="5663" w:type="dxa"/>
            <w:gridSpan w:val="5"/>
            <w:vAlign w:val="center"/>
          </w:tcPr>
          <w:p>
            <w:pPr>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投标报价（大写）</w:t>
            </w:r>
          </w:p>
        </w:tc>
        <w:tc>
          <w:tcPr>
            <w:tcW w:w="5663" w:type="dxa"/>
            <w:gridSpan w:val="5"/>
            <w:vAlign w:val="center"/>
          </w:tcPr>
          <w:p>
            <w:pPr>
              <w:ind w:firstLine="480"/>
              <w:jc w:val="center"/>
              <w:rPr>
                <w:rFonts w:ascii="宋体" w:hAnsi="宋体" w:cs="宋体"/>
                <w:color w:val="auto"/>
                <w:highlight w:val="none"/>
              </w:rPr>
            </w:pP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3" w:name="_Toc17346"/>
      <w:r>
        <w:rPr>
          <w:rFonts w:hint="eastAsia" w:ascii="宋体" w:hAnsi="宋体" w:eastAsia="宋体" w:cs="宋体"/>
          <w:bCs/>
          <w:color w:val="auto"/>
          <w:kern w:val="2"/>
          <w:sz w:val="24"/>
          <w:szCs w:val="32"/>
          <w:highlight w:val="none"/>
        </w:rPr>
        <w:t>投标报价明细表</w:t>
      </w:r>
      <w:bookmarkEnd w:id="103"/>
    </w:p>
    <w:p>
      <w:pPr>
        <w:pStyle w:val="19"/>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9"/>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标项：      </w:t>
      </w:r>
    </w:p>
    <w:p>
      <w:pPr>
        <w:pStyle w:val="19"/>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8"/>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52"/>
        <w:gridCol w:w="264"/>
        <w:gridCol w:w="1009"/>
        <w:gridCol w:w="1056"/>
        <w:gridCol w:w="888"/>
        <w:gridCol w:w="370"/>
        <w:gridCol w:w="408"/>
        <w:gridCol w:w="978"/>
        <w:gridCol w:w="1067"/>
        <w:gridCol w:w="8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667"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95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273"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05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88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778"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97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供货期</w:t>
            </w:r>
          </w:p>
        </w:tc>
        <w:tc>
          <w:tcPr>
            <w:tcW w:w="106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869"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883" w:type="dxa"/>
            <w:gridSpan w:val="3"/>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总报价</w:t>
            </w:r>
          </w:p>
        </w:tc>
        <w:tc>
          <w:tcPr>
            <w:tcW w:w="3323" w:type="dxa"/>
            <w:gridSpan w:val="4"/>
            <w:vAlign w:val="center"/>
          </w:tcPr>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进口设备部分：</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大写：</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小写：</w:t>
            </w:r>
          </w:p>
        </w:tc>
        <w:tc>
          <w:tcPr>
            <w:tcW w:w="3322" w:type="dxa"/>
            <w:gridSpan w:val="4"/>
            <w:vAlign w:val="center"/>
          </w:tcPr>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国产设备部分:</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大写：</w:t>
            </w:r>
          </w:p>
          <w:p>
            <w:pPr>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小写：</w:t>
            </w:r>
          </w:p>
        </w:tc>
      </w:tr>
    </w:tbl>
    <w:p>
      <w:pPr>
        <w:pStyle w:val="19"/>
        <w:adjustRightInd w:val="0"/>
        <w:snapToGrid w:val="0"/>
        <w:spacing w:line="360" w:lineRule="auto"/>
        <w:jc w:val="left"/>
        <w:rPr>
          <w:rFonts w:ascii="Arial" w:hAnsi="宋体" w:cs="Arial"/>
          <w:b/>
          <w:bCs/>
          <w:color w:val="auto"/>
          <w:kern w:val="0"/>
          <w:szCs w:val="21"/>
          <w:highlight w:val="none"/>
        </w:rPr>
      </w:pPr>
    </w:p>
    <w:p>
      <w:pPr>
        <w:pStyle w:val="19"/>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中小企业声明函</w:t>
      </w:r>
    </w:p>
    <w:p>
      <w:pPr>
        <w:pStyle w:val="28"/>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5"/>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ascii="宋体" w:hAnsi="宋体" w:cs="宋体"/>
          <w:color w:val="auto"/>
          <w:highlight w:val="none"/>
        </w:rPr>
      </w:pPr>
      <w:bookmarkStart w:id="104" w:name="_Toc7692"/>
      <w:r>
        <w:rPr>
          <w:rFonts w:hint="eastAsia" w:ascii="宋体" w:hAnsi="宋体" w:cs="宋体"/>
          <w:color w:val="auto"/>
          <w:highlight w:val="none"/>
        </w:rPr>
        <w:t>资信技术评分索引表（请放在目录前页）</w:t>
      </w:r>
    </w:p>
    <w:tbl>
      <w:tblPr>
        <w:tblStyle w:val="38"/>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104"/>
      <w:r>
        <w:rPr>
          <w:rFonts w:hint="eastAsia" w:ascii="宋体" w:hAnsi="宋体" w:cs="宋体"/>
          <w:b/>
          <w:color w:val="auto"/>
          <w:kern w:val="0"/>
          <w:sz w:val="36"/>
          <w:highlight w:val="none"/>
        </w:rPr>
        <w:t xml:space="preserve"> </w:t>
      </w:r>
    </w:p>
    <w:p>
      <w:pPr>
        <w:numPr>
          <w:ilvl w:val="0"/>
          <w:numId w:val="17"/>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   ………………（页码）</w:t>
      </w:r>
    </w:p>
    <w:p>
      <w:pPr>
        <w:numPr>
          <w:ilvl w:val="0"/>
          <w:numId w:val="17"/>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17"/>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17"/>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17"/>
        </w:numPr>
        <w:ind w:firstLineChars="0"/>
        <w:rPr>
          <w:color w:val="auto"/>
          <w:highlight w:val="none"/>
        </w:rPr>
      </w:pPr>
      <w:r>
        <w:rPr>
          <w:rFonts w:hint="eastAsia" w:ascii="宋体" w:hAnsi="宋体" w:cs="宋体"/>
          <w:color w:val="auto"/>
          <w:kern w:val="0"/>
          <w:highlight w:val="none"/>
        </w:rPr>
        <w:t>技术服务方案………………………………………    …………………  ……（页码）</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   ……（页码）</w:t>
      </w:r>
    </w:p>
    <w:p>
      <w:pPr>
        <w:numPr>
          <w:ilvl w:val="0"/>
          <w:numId w:val="17"/>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17"/>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8"/>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5"/>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中国计量大学、浙江五石工程咨询有限公司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中国计量大学、浙江五石工程咨询有限公司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中国计量大学、浙江五石工程咨询有限公司：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中国计量大学：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5"/>
        <w:rPr>
          <w:rFonts w:ascii="宋体" w:hAnsi="宋体" w:cs="宋体"/>
          <w:color w:val="auto"/>
          <w:highlight w:val="none"/>
        </w:rPr>
      </w:pPr>
      <w:r>
        <w:rPr>
          <w:rFonts w:hint="eastAsia" w:ascii="宋体" w:hAnsi="宋体" w:cs="宋体"/>
          <w:color w:val="auto"/>
          <w:highlight w:val="none"/>
          <w:lang w:val="en-US" w:eastAsia="zh-CN"/>
        </w:rPr>
        <w:t xml:space="preserve">附件十四 </w:t>
      </w:r>
      <w:r>
        <w:rPr>
          <w:rFonts w:hint="eastAsia" w:ascii="宋体" w:hAnsi="宋体" w:cs="宋体"/>
          <w:color w:val="auto"/>
          <w:highlight w:val="none"/>
        </w:rPr>
        <w:t>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8"/>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rPr>
          <w:rFonts w:hint="eastAsia"/>
          <w:color w:val="auto"/>
          <w:highlight w:val="none"/>
        </w:rPr>
      </w:pPr>
      <w:r>
        <w:rPr>
          <w:rFonts w:hint="eastAsia"/>
          <w:color w:val="auto"/>
          <w:highlight w:val="none"/>
        </w:rPr>
        <w:br w:type="page"/>
      </w:r>
    </w:p>
    <w:p>
      <w:pPr>
        <w:pStyle w:val="5"/>
        <w:jc w:val="left"/>
        <w:rPr>
          <w:color w:val="auto"/>
          <w:highlight w:val="none"/>
        </w:rPr>
      </w:pPr>
      <w:r>
        <w:rPr>
          <w:rFonts w:hint="eastAsia"/>
          <w:color w:val="auto"/>
          <w:highlight w:val="none"/>
        </w:rPr>
        <w:t>附件十</w:t>
      </w:r>
      <w:r>
        <w:rPr>
          <w:rFonts w:hint="eastAsia"/>
          <w:color w:val="auto"/>
          <w:highlight w:val="none"/>
          <w:lang w:val="en-US" w:eastAsia="zh-CN"/>
        </w:rPr>
        <w:t>五</w:t>
      </w:r>
      <w:r>
        <w:rPr>
          <w:rFonts w:hint="eastAsia"/>
          <w:color w:val="auto"/>
          <w:highlight w:val="none"/>
        </w:rPr>
        <w:t xml:space="preserve"> 汇率承诺函</w:t>
      </w:r>
    </w:p>
    <w:p>
      <w:pPr>
        <w:ind w:firstLine="482"/>
        <w:jc w:val="center"/>
        <w:rPr>
          <w:b/>
          <w:bCs/>
          <w:color w:val="auto"/>
          <w:szCs w:val="32"/>
          <w:highlight w:val="none"/>
        </w:rPr>
      </w:pP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tcBorders>
              <w:top w:val="nil"/>
              <w:left w:val="nil"/>
              <w:bottom w:val="single" w:color="auto" w:sz="4" w:space="0"/>
              <w:right w:val="nil"/>
            </w:tcBorders>
          </w:tcPr>
          <w:p>
            <w:pPr>
              <w:ind w:firstLine="723"/>
              <w:jc w:val="center"/>
              <w:rPr>
                <w:color w:val="auto"/>
                <w:sz w:val="30"/>
                <w:szCs w:val="30"/>
                <w:highlight w:val="none"/>
              </w:rPr>
            </w:pPr>
            <w:r>
              <w:rPr>
                <w:rStyle w:val="170"/>
                <w:rFonts w:hint="eastAsia"/>
                <w:color w:val="auto"/>
                <w:sz w:val="36"/>
                <w:szCs w:val="52"/>
                <w:highlight w:val="none"/>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0" w:hRule="atLeast"/>
        </w:trPr>
        <w:tc>
          <w:tcPr>
            <w:tcW w:w="8522" w:type="dxa"/>
            <w:tcBorders>
              <w:top w:val="single" w:color="auto" w:sz="4" w:space="0"/>
            </w:tcBorders>
          </w:tcPr>
          <w:p>
            <w:pPr>
              <w:ind w:firstLine="480"/>
              <w:rPr>
                <w:color w:val="auto"/>
                <w:highlight w:val="none"/>
              </w:rPr>
            </w:pPr>
          </w:p>
          <w:p>
            <w:pPr>
              <w:ind w:firstLine="480"/>
              <w:rPr>
                <w:color w:val="auto"/>
                <w:highlight w:val="none"/>
              </w:rPr>
            </w:pPr>
          </w:p>
          <w:p>
            <w:pPr>
              <w:ind w:firstLine="480"/>
              <w:rPr>
                <w:color w:val="auto"/>
                <w:highlight w:val="none"/>
              </w:rPr>
            </w:pPr>
          </w:p>
          <w:p>
            <w:pPr>
              <w:ind w:firstLine="710" w:firstLineChars="296"/>
              <w:rPr>
                <w:rFonts w:ascii="宋体" w:hAnsi="宋体"/>
                <w:color w:val="auto"/>
                <w:szCs w:val="32"/>
                <w:highlight w:val="none"/>
              </w:rPr>
            </w:pPr>
            <w:r>
              <w:rPr>
                <w:rFonts w:hint="eastAsia" w:ascii="宋体" w:hAnsi="宋体"/>
                <w:bCs/>
                <w:color w:val="auto"/>
                <w:szCs w:val="32"/>
                <w:highlight w:val="none"/>
              </w:rPr>
              <w:t>如若中标，货款按照开标时中国银行美元现钞卖出价</w:t>
            </w:r>
            <w:r>
              <w:rPr>
                <w:rFonts w:hint="eastAsia" w:ascii="宋体" w:hAnsi="宋体"/>
                <w:bCs/>
                <w:color w:val="auto"/>
                <w:szCs w:val="32"/>
                <w:highlight w:val="none"/>
                <w:u w:val="single"/>
              </w:rPr>
              <w:t xml:space="preserve">          </w:t>
            </w:r>
            <w:r>
              <w:rPr>
                <w:rFonts w:hint="eastAsia" w:ascii="宋体" w:hAnsi="宋体"/>
                <w:b/>
                <w:bCs w:val="0"/>
                <w:color w:val="auto"/>
                <w:szCs w:val="32"/>
                <w:highlight w:val="none"/>
                <w:u w:val="single"/>
                <w:lang w:eastAsia="zh-CN"/>
              </w:rPr>
              <w:t>（</w:t>
            </w:r>
            <w:r>
              <w:rPr>
                <w:rFonts w:hint="eastAsia" w:ascii="宋体" w:hAnsi="宋体"/>
                <w:b/>
                <w:bCs w:val="0"/>
                <w:color w:val="auto"/>
                <w:szCs w:val="32"/>
                <w:highlight w:val="none"/>
                <w:u w:val="single"/>
                <w:lang w:val="en-US" w:eastAsia="zh-CN"/>
              </w:rPr>
              <w:t>投标文件中不需要填写</w:t>
            </w:r>
            <w:r>
              <w:rPr>
                <w:rFonts w:hint="eastAsia" w:ascii="宋体" w:hAnsi="宋体"/>
                <w:b/>
                <w:bCs w:val="0"/>
                <w:color w:val="auto"/>
                <w:szCs w:val="32"/>
                <w:highlight w:val="none"/>
                <w:u w:val="single"/>
                <w:lang w:eastAsia="zh-CN"/>
              </w:rPr>
              <w:t>）</w:t>
            </w:r>
            <w:r>
              <w:rPr>
                <w:rFonts w:hint="eastAsia" w:ascii="宋体" w:hAnsi="宋体"/>
                <w:bCs/>
                <w:color w:val="auto"/>
                <w:szCs w:val="32"/>
                <w:highlight w:val="none"/>
              </w:rPr>
              <w:t>，折算成人民币计算。因最终结算价格超出采购预算，超出部分如贷款、外贸代理费等全部费用由我公司自行承担。</w:t>
            </w:r>
          </w:p>
          <w:p>
            <w:pPr>
              <w:ind w:firstLine="480"/>
              <w:rPr>
                <w:color w:val="auto"/>
                <w:highlight w:val="none"/>
              </w:rPr>
            </w:pPr>
          </w:p>
          <w:p>
            <w:pPr>
              <w:ind w:firstLine="480"/>
              <w:rPr>
                <w:color w:val="auto"/>
                <w:highlight w:val="none"/>
              </w:rPr>
            </w:pPr>
          </w:p>
          <w:p>
            <w:pPr>
              <w:ind w:firstLine="0" w:firstLineChars="0"/>
              <w:rPr>
                <w:color w:val="auto"/>
                <w:highlight w:val="none"/>
              </w:rPr>
            </w:pPr>
          </w:p>
          <w:p>
            <w:pPr>
              <w:ind w:firstLine="0" w:firstLineChars="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pacing w:line="480" w:lineRule="auto"/>
              <w:ind w:firstLine="480"/>
              <w:rPr>
                <w:color w:val="auto"/>
                <w:szCs w:val="32"/>
                <w:highlight w:val="none"/>
              </w:rPr>
            </w:pPr>
            <w:r>
              <w:rPr>
                <w:rFonts w:hint="eastAsia"/>
                <w:color w:val="auto"/>
                <w:szCs w:val="32"/>
                <w:highlight w:val="none"/>
              </w:rPr>
              <w:t>供应商（单位全称）：</w:t>
            </w:r>
          </w:p>
          <w:p>
            <w:pPr>
              <w:spacing w:line="480" w:lineRule="auto"/>
              <w:ind w:firstLine="480"/>
              <w:rPr>
                <w:color w:val="auto"/>
                <w:szCs w:val="32"/>
                <w:highlight w:val="none"/>
              </w:rPr>
            </w:pPr>
            <w:r>
              <w:rPr>
                <w:rFonts w:hint="eastAsia"/>
                <w:color w:val="auto"/>
                <w:szCs w:val="32"/>
                <w:highlight w:val="none"/>
              </w:rPr>
              <w:t>授权代表签名：</w:t>
            </w:r>
          </w:p>
          <w:p>
            <w:pPr>
              <w:spacing w:line="480" w:lineRule="auto"/>
              <w:ind w:firstLine="480"/>
              <w:rPr>
                <w:color w:val="auto"/>
                <w:highlight w:val="none"/>
              </w:rPr>
            </w:pPr>
            <w:r>
              <w:rPr>
                <w:rFonts w:hint="eastAsia"/>
                <w:color w:val="auto"/>
                <w:szCs w:val="32"/>
                <w:highlight w:val="none"/>
              </w:rPr>
              <w:t>时间：      年     月      日</w:t>
            </w:r>
          </w:p>
        </w:tc>
      </w:tr>
    </w:tbl>
    <w:p>
      <w:pPr>
        <w:pStyle w:val="2"/>
        <w:rPr>
          <w:rFonts w:ascii="宋体" w:hAnsi="宋体" w:cs="宋体"/>
          <w:color w:val="auto"/>
          <w:highlight w:val="none"/>
        </w:rPr>
      </w:pPr>
    </w:p>
    <w:bookmarkEnd w:id="54"/>
    <w:bookmarkEnd w:id="55"/>
    <w:bookmarkEnd w:id="56"/>
    <w:bookmarkEnd w:id="57"/>
    <w:bookmarkEnd w:id="58"/>
    <w:bookmarkEnd w:id="59"/>
    <w:bookmarkEnd w:id="60"/>
    <w:bookmarkEnd w:id="61"/>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六</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Agilent TT Cond">
    <w:altName w:val="Calibri"/>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i/>
        <w:iCs/>
        <w:sz w:val="24"/>
        <w:szCs w:val="24"/>
      </w:rPr>
    </w:pPr>
  </w:p>
  <w:p>
    <w:pPr>
      <w:pStyle w:val="24"/>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2B09879"/>
    <w:multiLevelType w:val="singleLevel"/>
    <w:tmpl w:val="02B09879"/>
    <w:lvl w:ilvl="0" w:tentative="0">
      <w:start w:val="1"/>
      <w:numFmt w:val="decimal"/>
      <w:suff w:val="nothing"/>
      <w:lvlText w:val="（%1）"/>
      <w:lvlJc w:val="left"/>
    </w:lvl>
  </w:abstractNum>
  <w:abstractNum w:abstractNumId="9">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41C5F5BA"/>
    <w:multiLevelType w:val="singleLevel"/>
    <w:tmpl w:val="41C5F5BA"/>
    <w:lvl w:ilvl="0" w:tentative="0">
      <w:start w:val="1"/>
      <w:numFmt w:val="decimal"/>
      <w:lvlText w:val="%1."/>
      <w:lvlJc w:val="left"/>
      <w:pPr>
        <w:ind w:left="425" w:hanging="425"/>
      </w:pPr>
      <w:rPr>
        <w:rFonts w:hint="default"/>
      </w:rPr>
    </w:lvl>
  </w:abstractNum>
  <w:abstractNum w:abstractNumId="12">
    <w:nsid w:val="4BFDDBFF"/>
    <w:multiLevelType w:val="singleLevel"/>
    <w:tmpl w:val="4BFDDBFF"/>
    <w:lvl w:ilvl="0" w:tentative="0">
      <w:start w:val="1"/>
      <w:numFmt w:val="decimal"/>
      <w:suff w:val="nothing"/>
      <w:lvlText w:val="（%1）"/>
      <w:lvlJc w:val="left"/>
    </w:lvl>
  </w:abstractNum>
  <w:abstractNum w:abstractNumId="1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E76112D"/>
    <w:multiLevelType w:val="singleLevel"/>
    <w:tmpl w:val="7E76112D"/>
    <w:lvl w:ilvl="0" w:tentative="0">
      <w:start w:val="9"/>
      <w:numFmt w:val="decimal"/>
      <w:lvlText w:val="%1."/>
      <w:lvlJc w:val="left"/>
      <w:pPr>
        <w:tabs>
          <w:tab w:val="left" w:pos="312"/>
        </w:tabs>
      </w:pPr>
    </w:lvl>
  </w:abstractNum>
  <w:num w:numId="1">
    <w:abstractNumId w:val="13"/>
  </w:num>
  <w:num w:numId="2">
    <w:abstractNumId w:val="15"/>
  </w:num>
  <w:num w:numId="3">
    <w:abstractNumId w:val="9"/>
  </w:num>
  <w:num w:numId="4">
    <w:abstractNumId w:val="11"/>
  </w:num>
  <w:num w:numId="5">
    <w:abstractNumId w:val="12"/>
  </w:num>
  <w:num w:numId="6">
    <w:abstractNumId w:val="2"/>
  </w:num>
  <w:num w:numId="7">
    <w:abstractNumId w:val="4"/>
  </w:num>
  <w:num w:numId="8">
    <w:abstractNumId w:val="1"/>
  </w:num>
  <w:num w:numId="9">
    <w:abstractNumId w:val="16"/>
  </w:num>
  <w:num w:numId="10">
    <w:abstractNumId w:val="7"/>
  </w:num>
  <w:num w:numId="11">
    <w:abstractNumId w:val="5"/>
  </w:num>
  <w:num w:numId="12">
    <w:abstractNumId w:val="14"/>
  </w:num>
  <w:num w:numId="13">
    <w:abstractNumId w:val="6"/>
  </w:num>
  <w:num w:numId="14">
    <w:abstractNumId w:val="0"/>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3A3"/>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3210061"/>
    <w:rsid w:val="03D21196"/>
    <w:rsid w:val="043B11C4"/>
    <w:rsid w:val="04415EE3"/>
    <w:rsid w:val="046B6B89"/>
    <w:rsid w:val="04DD2267"/>
    <w:rsid w:val="05273450"/>
    <w:rsid w:val="05B01605"/>
    <w:rsid w:val="066A7233"/>
    <w:rsid w:val="06C705E9"/>
    <w:rsid w:val="06F32C4C"/>
    <w:rsid w:val="07221759"/>
    <w:rsid w:val="07845EBA"/>
    <w:rsid w:val="078E7909"/>
    <w:rsid w:val="07996EB4"/>
    <w:rsid w:val="079E733B"/>
    <w:rsid w:val="07D945DC"/>
    <w:rsid w:val="082D669C"/>
    <w:rsid w:val="092D4ADB"/>
    <w:rsid w:val="094B0040"/>
    <w:rsid w:val="096D0679"/>
    <w:rsid w:val="09A13A7B"/>
    <w:rsid w:val="09D51869"/>
    <w:rsid w:val="0A676977"/>
    <w:rsid w:val="0B5673B8"/>
    <w:rsid w:val="0BA33880"/>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871E93"/>
    <w:rsid w:val="15F003C1"/>
    <w:rsid w:val="15F61009"/>
    <w:rsid w:val="15FC3115"/>
    <w:rsid w:val="17445402"/>
    <w:rsid w:val="18E00489"/>
    <w:rsid w:val="19282791"/>
    <w:rsid w:val="192C2D7A"/>
    <w:rsid w:val="19810432"/>
    <w:rsid w:val="19F45009"/>
    <w:rsid w:val="1A5E1863"/>
    <w:rsid w:val="1AB83062"/>
    <w:rsid w:val="1D7C153E"/>
    <w:rsid w:val="1E055C9E"/>
    <w:rsid w:val="1E646060"/>
    <w:rsid w:val="1E8D072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59879AE"/>
    <w:rsid w:val="25D27E7B"/>
    <w:rsid w:val="26700C16"/>
    <w:rsid w:val="27144105"/>
    <w:rsid w:val="274F2171"/>
    <w:rsid w:val="275E0F3C"/>
    <w:rsid w:val="27797DE0"/>
    <w:rsid w:val="27965B8B"/>
    <w:rsid w:val="282657F7"/>
    <w:rsid w:val="287F59EE"/>
    <w:rsid w:val="28FC2B68"/>
    <w:rsid w:val="29172B11"/>
    <w:rsid w:val="29223179"/>
    <w:rsid w:val="29523F82"/>
    <w:rsid w:val="297F63E2"/>
    <w:rsid w:val="29AA4023"/>
    <w:rsid w:val="29FF498C"/>
    <w:rsid w:val="2A3B1864"/>
    <w:rsid w:val="2A456589"/>
    <w:rsid w:val="2A5B4807"/>
    <w:rsid w:val="2AC46B39"/>
    <w:rsid w:val="2ADE0C2E"/>
    <w:rsid w:val="2B16314B"/>
    <w:rsid w:val="2B53670E"/>
    <w:rsid w:val="2C0E274C"/>
    <w:rsid w:val="2C1864B9"/>
    <w:rsid w:val="2C3042EA"/>
    <w:rsid w:val="2C5466FC"/>
    <w:rsid w:val="2D4477EE"/>
    <w:rsid w:val="2DC41DAC"/>
    <w:rsid w:val="2DD4300E"/>
    <w:rsid w:val="2E413F38"/>
    <w:rsid w:val="2EC14611"/>
    <w:rsid w:val="30300320"/>
    <w:rsid w:val="305E4CC4"/>
    <w:rsid w:val="311A734D"/>
    <w:rsid w:val="31EE4BAA"/>
    <w:rsid w:val="31F5436E"/>
    <w:rsid w:val="320107D3"/>
    <w:rsid w:val="32243194"/>
    <w:rsid w:val="3263631F"/>
    <w:rsid w:val="32A355BC"/>
    <w:rsid w:val="32C00D78"/>
    <w:rsid w:val="33222A9A"/>
    <w:rsid w:val="332D1CBE"/>
    <w:rsid w:val="33480719"/>
    <w:rsid w:val="339D5261"/>
    <w:rsid w:val="34955EDA"/>
    <w:rsid w:val="349A334C"/>
    <w:rsid w:val="34CA78C0"/>
    <w:rsid w:val="35586223"/>
    <w:rsid w:val="35A418C4"/>
    <w:rsid w:val="36253B84"/>
    <w:rsid w:val="36401A4A"/>
    <w:rsid w:val="368920CF"/>
    <w:rsid w:val="36FE5573"/>
    <w:rsid w:val="37D078F7"/>
    <w:rsid w:val="37F76452"/>
    <w:rsid w:val="38735C94"/>
    <w:rsid w:val="38CE707C"/>
    <w:rsid w:val="38FB4AF5"/>
    <w:rsid w:val="39104B12"/>
    <w:rsid w:val="39C16CB7"/>
    <w:rsid w:val="3A1B760C"/>
    <w:rsid w:val="3B216441"/>
    <w:rsid w:val="3BFB42C7"/>
    <w:rsid w:val="3CAA46F7"/>
    <w:rsid w:val="3CE57D2D"/>
    <w:rsid w:val="3CE77BA9"/>
    <w:rsid w:val="3E217459"/>
    <w:rsid w:val="3E2805F5"/>
    <w:rsid w:val="3E2A4E15"/>
    <w:rsid w:val="3F255D56"/>
    <w:rsid w:val="3F416A26"/>
    <w:rsid w:val="40223FBC"/>
    <w:rsid w:val="4082593F"/>
    <w:rsid w:val="41474308"/>
    <w:rsid w:val="41681941"/>
    <w:rsid w:val="41E47D60"/>
    <w:rsid w:val="423D6569"/>
    <w:rsid w:val="437B3C36"/>
    <w:rsid w:val="44560F40"/>
    <w:rsid w:val="44720E16"/>
    <w:rsid w:val="44B40707"/>
    <w:rsid w:val="44C41913"/>
    <w:rsid w:val="44D619FA"/>
    <w:rsid w:val="45E54860"/>
    <w:rsid w:val="466C6EAA"/>
    <w:rsid w:val="473D6B0A"/>
    <w:rsid w:val="482B2304"/>
    <w:rsid w:val="4853715D"/>
    <w:rsid w:val="48857FBF"/>
    <w:rsid w:val="48C21E3A"/>
    <w:rsid w:val="48DE11B8"/>
    <w:rsid w:val="49205619"/>
    <w:rsid w:val="4922547B"/>
    <w:rsid w:val="49D54F3C"/>
    <w:rsid w:val="4A1F67CA"/>
    <w:rsid w:val="4AB7573A"/>
    <w:rsid w:val="4AC63524"/>
    <w:rsid w:val="4B8A72CF"/>
    <w:rsid w:val="4B972445"/>
    <w:rsid w:val="4C1065B5"/>
    <w:rsid w:val="4C217E66"/>
    <w:rsid w:val="4C70027F"/>
    <w:rsid w:val="4D943011"/>
    <w:rsid w:val="4DDF3F73"/>
    <w:rsid w:val="4F8119B1"/>
    <w:rsid w:val="4F92238A"/>
    <w:rsid w:val="4FE062A3"/>
    <w:rsid w:val="5043798C"/>
    <w:rsid w:val="50731BAF"/>
    <w:rsid w:val="510E0E2A"/>
    <w:rsid w:val="515B5BAE"/>
    <w:rsid w:val="51C25525"/>
    <w:rsid w:val="5298489A"/>
    <w:rsid w:val="52E223AA"/>
    <w:rsid w:val="53FD089E"/>
    <w:rsid w:val="54321EEE"/>
    <w:rsid w:val="54453B17"/>
    <w:rsid w:val="54765614"/>
    <w:rsid w:val="54963849"/>
    <w:rsid w:val="55323649"/>
    <w:rsid w:val="556A2FD5"/>
    <w:rsid w:val="55D634ED"/>
    <w:rsid w:val="56B332E9"/>
    <w:rsid w:val="571826D1"/>
    <w:rsid w:val="57C62622"/>
    <w:rsid w:val="585D5FB5"/>
    <w:rsid w:val="593B0594"/>
    <w:rsid w:val="59BF3C49"/>
    <w:rsid w:val="5B0C31E8"/>
    <w:rsid w:val="5BFF7AE6"/>
    <w:rsid w:val="5C0B789C"/>
    <w:rsid w:val="5C372F37"/>
    <w:rsid w:val="5CAB7727"/>
    <w:rsid w:val="5CC441E1"/>
    <w:rsid w:val="5CE760ED"/>
    <w:rsid w:val="5D673A5A"/>
    <w:rsid w:val="5D8D5661"/>
    <w:rsid w:val="5E851E72"/>
    <w:rsid w:val="5EA62EF7"/>
    <w:rsid w:val="5EBA517D"/>
    <w:rsid w:val="5EEC4DA1"/>
    <w:rsid w:val="5F281498"/>
    <w:rsid w:val="5FFA1888"/>
    <w:rsid w:val="600960AF"/>
    <w:rsid w:val="62CE0974"/>
    <w:rsid w:val="62E0024A"/>
    <w:rsid w:val="63463232"/>
    <w:rsid w:val="64045B83"/>
    <w:rsid w:val="641724DD"/>
    <w:rsid w:val="644F09B6"/>
    <w:rsid w:val="648D4DC3"/>
    <w:rsid w:val="64937B40"/>
    <w:rsid w:val="64E414E0"/>
    <w:rsid w:val="652C15E3"/>
    <w:rsid w:val="656B25DE"/>
    <w:rsid w:val="65991807"/>
    <w:rsid w:val="665F1C74"/>
    <w:rsid w:val="66730C34"/>
    <w:rsid w:val="66A43656"/>
    <w:rsid w:val="66C806BD"/>
    <w:rsid w:val="66EF7312"/>
    <w:rsid w:val="67822F4A"/>
    <w:rsid w:val="67A04650"/>
    <w:rsid w:val="680F0D3C"/>
    <w:rsid w:val="68F63773"/>
    <w:rsid w:val="69010518"/>
    <w:rsid w:val="69440073"/>
    <w:rsid w:val="6AAC6B9E"/>
    <w:rsid w:val="6B865118"/>
    <w:rsid w:val="6BA33D7F"/>
    <w:rsid w:val="6BF32268"/>
    <w:rsid w:val="6BFC2786"/>
    <w:rsid w:val="6C0D5A20"/>
    <w:rsid w:val="6C1E03F6"/>
    <w:rsid w:val="6C2C2459"/>
    <w:rsid w:val="6C887360"/>
    <w:rsid w:val="6D476454"/>
    <w:rsid w:val="6E39307B"/>
    <w:rsid w:val="6E875598"/>
    <w:rsid w:val="6F0247A4"/>
    <w:rsid w:val="6F2C13F5"/>
    <w:rsid w:val="70730315"/>
    <w:rsid w:val="709A551D"/>
    <w:rsid w:val="71E963C9"/>
    <w:rsid w:val="727C1491"/>
    <w:rsid w:val="72B566B1"/>
    <w:rsid w:val="72BC0BF9"/>
    <w:rsid w:val="72D14842"/>
    <w:rsid w:val="730456BB"/>
    <w:rsid w:val="73CF5E6E"/>
    <w:rsid w:val="74425093"/>
    <w:rsid w:val="757C7A9C"/>
    <w:rsid w:val="758461E8"/>
    <w:rsid w:val="75DC2DB7"/>
    <w:rsid w:val="75E32B1D"/>
    <w:rsid w:val="766E3BB5"/>
    <w:rsid w:val="76C84CCD"/>
    <w:rsid w:val="76F01E2B"/>
    <w:rsid w:val="76F22868"/>
    <w:rsid w:val="77672932"/>
    <w:rsid w:val="78E131DA"/>
    <w:rsid w:val="7AA01F48"/>
    <w:rsid w:val="7B0A05EE"/>
    <w:rsid w:val="7C4D5033"/>
    <w:rsid w:val="7C660A57"/>
    <w:rsid w:val="7C8B5068"/>
    <w:rsid w:val="7D95465E"/>
    <w:rsid w:val="7E192C83"/>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0"/>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40">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4"/>
    <w:semiHidden/>
    <w:qFormat/>
    <w:uiPriority w:val="0"/>
    <w:rPr>
      <w:rFonts w:ascii="Arial Unicode MS" w:hAnsi="Arial Unicode MS" w:eastAsia="Arial Unicode MS" w:cs="Arial Unicode MS"/>
    </w:rPr>
  </w:style>
  <w:style w:type="character" w:customStyle="1" w:styleId="48">
    <w:name w:val="正文文本缩进 2 字符"/>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qFormat/>
    <w:uiPriority w:val="0"/>
    <w:rPr>
      <w:b/>
      <w:bCs/>
      <w:kern w:val="2"/>
      <w:sz w:val="24"/>
      <w:szCs w:val="32"/>
    </w:rPr>
  </w:style>
  <w:style w:type="character" w:customStyle="1" w:styleId="53">
    <w:name w:val="批注主题 字符"/>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字符1"/>
    <w:link w:val="24"/>
    <w:qFormat/>
    <w:uiPriority w:val="99"/>
    <w:rPr>
      <w:sz w:val="18"/>
      <w:szCs w:val="18"/>
    </w:rPr>
  </w:style>
  <w:style w:type="character" w:customStyle="1" w:styleId="67">
    <w:name w:val="标题 2 字符"/>
    <w:link w:val="4"/>
    <w:qFormat/>
    <w:uiPriority w:val="0"/>
    <w:rPr>
      <w:rFonts w:ascii="Cambria" w:hAnsi="Cambria" w:eastAsia="宋体"/>
      <w:b/>
      <w:bCs/>
      <w:kern w:val="2"/>
      <w:sz w:val="28"/>
      <w:szCs w:val="32"/>
    </w:rPr>
  </w:style>
  <w:style w:type="character" w:customStyle="1" w:styleId="68">
    <w:name w:val="正文文本 字符"/>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3"/>
    <w:semiHidden/>
    <w:qFormat/>
    <w:uiPriority w:val="0"/>
    <w:rPr>
      <w:rFonts w:ascii="Times New Roman" w:hAnsi="Times New Roman"/>
      <w:b/>
      <w:bCs/>
      <w:color w:val="000000"/>
      <w:kern w:val="2"/>
      <w:sz w:val="28"/>
      <w:szCs w:val="24"/>
    </w:rPr>
  </w:style>
  <w:style w:type="character" w:customStyle="1" w:styleId="77">
    <w:name w:val="正文文本缩进 字符1"/>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10"/>
    <w:semiHidden/>
    <w:qFormat/>
    <w:uiPriority w:val="0"/>
    <w:rPr>
      <w:rFonts w:ascii="Times New Roman" w:hAnsi="Times New Roman"/>
      <w:kern w:val="2"/>
      <w:sz w:val="21"/>
      <w:szCs w:val="24"/>
    </w:rPr>
  </w:style>
  <w:style w:type="character" w:customStyle="1" w:styleId="80">
    <w:name w:val="正文文本缩进 3 字符"/>
    <w:link w:val="30"/>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3"/>
    <w:semiHidden/>
    <w:qFormat/>
    <w:uiPriority w:val="0"/>
    <w:rPr>
      <w:rFonts w:ascii="Times New Roman" w:hAnsi="Times New Roman" w:eastAsia="宋体" w:cs="Times New Roman"/>
      <w:sz w:val="18"/>
      <w:szCs w:val="18"/>
    </w:rPr>
  </w:style>
  <w:style w:type="character" w:customStyle="1" w:styleId="87">
    <w:name w:val="页眉 字符1"/>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字符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1"/>
    <w:semiHidden/>
    <w:qFormat/>
    <w:uiPriority w:val="0"/>
    <w:rPr>
      <w:rFonts w:ascii="楷体_GB2312" w:hAnsi="Times New Roman" w:eastAsia="楷体_GB2312"/>
      <w:b/>
      <w:color w:val="000000"/>
      <w:kern w:val="2"/>
      <w:sz w:val="30"/>
      <w:szCs w:val="24"/>
    </w:rPr>
  </w:style>
  <w:style w:type="character" w:customStyle="1" w:styleId="95">
    <w:name w:val="标题 字符"/>
    <w:link w:val="36"/>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0">
    <w:name w:val="标题 3 字符1"/>
    <w:link w:val="5"/>
    <w:qFormat/>
    <w:uiPriority w:val="0"/>
    <w:rPr>
      <w:rFonts w:ascii="Times New Roman" w:hAnsi="Times New Roman"/>
      <w:b/>
      <w:bCs/>
      <w:kern w:val="2"/>
      <w:sz w:val="21"/>
      <w:szCs w:val="32"/>
    </w:rPr>
  </w:style>
  <w:style w:type="paragraph" w:customStyle="1" w:styleId="171">
    <w:name w:val="_Style 3"/>
    <w:basedOn w:val="1"/>
    <w:next w:val="166"/>
    <w:qFormat/>
    <w:uiPriority w:val="34"/>
    <w:pPr>
      <w:ind w:firstLine="420"/>
    </w:pPr>
    <w:rPr>
      <w:szCs w:val="22"/>
    </w:rPr>
  </w:style>
  <w:style w:type="paragraph" w:customStyle="1" w:styleId="172">
    <w:name w:val="正文1"/>
    <w:basedOn w:val="1"/>
    <w:qFormat/>
    <w:uiPriority w:val="0"/>
    <w:pPr>
      <w:widowControl/>
      <w:spacing w:after="200" w:line="300" w:lineRule="atLeast"/>
      <w:jc w:val="left"/>
    </w:pPr>
    <w:rPr>
      <w:rFonts w:cs="宋体"/>
      <w:kern w:val="0"/>
      <w:sz w:val="22"/>
      <w:szCs w:val="22"/>
    </w:rPr>
  </w:style>
  <w:style w:type="paragraph" w:customStyle="1" w:styleId="1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6651</Words>
  <Characters>37913</Characters>
  <Lines>315</Lines>
  <Paragraphs>88</Paragraphs>
  <TotalTime>70</TotalTime>
  <ScaleCrop>false</ScaleCrop>
  <LinksUpToDate>false</LinksUpToDate>
  <CharactersWithSpaces>44476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2019-06-11T08:29:00Z</dcterms:created>
  <dc:creator>Administrator</dc:creator>
  <cp:lastModifiedBy>TZ</cp:lastModifiedBy>
  <cp:lastPrinted>2018-11-09T06:35:00Z</cp:lastPrinted>
  <dcterms:modified xsi:type="dcterms:W3CDTF">2019-07-30T05:22:58Z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