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 w:lineRule="exact"/>
        <w:rPr>
          <w:rFonts w:hint="eastAsia" w:ascii="宋体" w:hAnsi="宋体" w:eastAsia="宋体" w:cs="宋体"/>
          <w:color w:val="auto"/>
          <w:sz w:val="24"/>
          <w:szCs w:val="24"/>
          <w:highlight w:val="none"/>
        </w:rPr>
      </w:pPr>
      <w:bookmarkStart w:id="0" w:name="page1"/>
      <w:bookmarkEnd w:id="0"/>
    </w:p>
    <w:p>
      <w:pPr>
        <w:spacing w:line="200" w:lineRule="exact"/>
        <w:rPr>
          <w:rFonts w:hint="eastAsia" w:ascii="宋体" w:hAnsi="宋体" w:eastAsia="宋体" w:cs="宋体"/>
          <w:color w:val="auto"/>
          <w:sz w:val="24"/>
          <w:szCs w:val="24"/>
          <w:highlight w:val="none"/>
        </w:rPr>
      </w:pPr>
    </w:p>
    <w:p>
      <w:pPr>
        <w:spacing w:line="200" w:lineRule="exact"/>
        <w:rPr>
          <w:rFonts w:hint="eastAsia" w:ascii="宋体" w:hAnsi="宋体" w:eastAsia="宋体" w:cs="宋体"/>
          <w:color w:val="auto"/>
          <w:sz w:val="24"/>
          <w:szCs w:val="24"/>
          <w:highlight w:val="none"/>
        </w:rPr>
      </w:pPr>
    </w:p>
    <w:p>
      <w:pPr>
        <w:spacing w:line="200" w:lineRule="exact"/>
        <w:rPr>
          <w:rFonts w:hint="eastAsia" w:ascii="宋体" w:hAnsi="宋体" w:eastAsia="宋体" w:cs="宋体"/>
          <w:color w:val="auto"/>
          <w:sz w:val="24"/>
          <w:szCs w:val="24"/>
          <w:highlight w:val="none"/>
        </w:rPr>
      </w:pPr>
    </w:p>
    <w:p>
      <w:pPr>
        <w:spacing w:line="360" w:lineRule="auto"/>
        <w:jc w:val="center"/>
        <w:rPr>
          <w:rFonts w:hint="eastAsia" w:ascii="宋体" w:hAnsi="宋体" w:eastAsia="宋体" w:cs="宋体"/>
          <w:b/>
          <w:color w:val="auto"/>
          <w:spacing w:val="-6"/>
          <w:sz w:val="52"/>
          <w:szCs w:val="52"/>
          <w:highlight w:val="none"/>
        </w:rPr>
      </w:pPr>
      <w:r>
        <w:rPr>
          <w:rFonts w:hint="eastAsia" w:ascii="宋体" w:hAnsi="宋体" w:eastAsia="宋体" w:cs="宋体"/>
          <w:b/>
          <w:color w:val="auto"/>
          <w:spacing w:val="-6"/>
          <w:sz w:val="52"/>
          <w:szCs w:val="52"/>
          <w:highlight w:val="none"/>
        </w:rPr>
        <w:t>浙江农林大学</w:t>
      </w:r>
    </w:p>
    <w:p>
      <w:pPr>
        <w:spacing w:line="360" w:lineRule="auto"/>
        <w:jc w:val="center"/>
        <w:rPr>
          <w:rFonts w:hint="eastAsia" w:ascii="宋体" w:hAnsi="宋体" w:eastAsia="宋体" w:cs="宋体"/>
          <w:b/>
          <w:color w:val="auto"/>
          <w:spacing w:val="-6"/>
          <w:sz w:val="96"/>
          <w:szCs w:val="96"/>
          <w:highlight w:val="none"/>
          <w:lang w:eastAsia="zh-CN"/>
        </w:rPr>
      </w:pPr>
      <w:r>
        <w:rPr>
          <w:rFonts w:hint="eastAsia" w:ascii="宋体" w:hAnsi="宋体" w:eastAsia="宋体" w:cs="宋体"/>
          <w:b/>
          <w:color w:val="auto"/>
          <w:spacing w:val="-6"/>
          <w:sz w:val="52"/>
          <w:szCs w:val="52"/>
          <w:highlight w:val="none"/>
          <w:lang w:eastAsia="zh-CN"/>
        </w:rPr>
        <w:t>动物科技学院三楼、六楼卫生间改造工程</w:t>
      </w:r>
    </w:p>
    <w:p>
      <w:pPr>
        <w:spacing w:line="360" w:lineRule="auto"/>
        <w:jc w:val="both"/>
        <w:rPr>
          <w:rFonts w:hint="eastAsia" w:ascii="宋体" w:hAnsi="宋体" w:eastAsia="宋体" w:cs="宋体"/>
          <w:b/>
          <w:color w:val="auto"/>
          <w:spacing w:val="-6"/>
          <w:sz w:val="72"/>
          <w:szCs w:val="72"/>
          <w:highlight w:val="none"/>
        </w:rPr>
      </w:pPr>
    </w:p>
    <w:p>
      <w:pPr>
        <w:pStyle w:val="2"/>
        <w:rPr>
          <w:rFonts w:hint="eastAsia" w:ascii="宋体" w:hAnsi="宋体" w:eastAsia="宋体" w:cs="宋体"/>
          <w:color w:val="auto"/>
          <w:highlight w:val="none"/>
        </w:rPr>
      </w:pPr>
    </w:p>
    <w:p>
      <w:pPr>
        <w:spacing w:line="360" w:lineRule="auto"/>
        <w:jc w:val="center"/>
        <w:rPr>
          <w:rFonts w:hint="eastAsia" w:ascii="宋体" w:hAnsi="宋体" w:eastAsia="宋体" w:cs="宋体"/>
          <w:b/>
          <w:color w:val="auto"/>
          <w:spacing w:val="-6"/>
          <w:sz w:val="72"/>
          <w:szCs w:val="72"/>
          <w:highlight w:val="none"/>
        </w:rPr>
      </w:pPr>
      <w:r>
        <w:rPr>
          <w:rFonts w:hint="eastAsia" w:ascii="宋体" w:hAnsi="宋体" w:eastAsia="宋体" w:cs="宋体"/>
          <w:b/>
          <w:color w:val="auto"/>
          <w:spacing w:val="-6"/>
          <w:sz w:val="72"/>
          <w:szCs w:val="72"/>
          <w:highlight w:val="none"/>
        </w:rPr>
        <w:t>竞争性磋商文件</w:t>
      </w:r>
    </w:p>
    <w:p>
      <w:pPr>
        <w:spacing w:line="360" w:lineRule="auto"/>
        <w:jc w:val="center"/>
        <w:rPr>
          <w:rFonts w:hint="eastAsia" w:ascii="宋体" w:hAnsi="宋体" w:eastAsia="宋体" w:cs="宋体"/>
          <w:color w:val="auto"/>
          <w:sz w:val="44"/>
          <w:szCs w:val="44"/>
          <w:highlight w:val="none"/>
        </w:rPr>
      </w:pPr>
    </w:p>
    <w:p>
      <w:pPr>
        <w:spacing w:line="360" w:lineRule="auto"/>
        <w:jc w:val="center"/>
        <w:rPr>
          <w:rFonts w:hint="eastAsia" w:ascii="宋体" w:hAnsi="宋体" w:eastAsia="宋体" w:cs="宋体"/>
          <w:color w:val="auto"/>
          <w:sz w:val="44"/>
          <w:szCs w:val="44"/>
          <w:highlight w:val="none"/>
        </w:rPr>
      </w:pPr>
    </w:p>
    <w:p>
      <w:pPr>
        <w:rPr>
          <w:rFonts w:hint="eastAsia" w:ascii="宋体" w:hAnsi="宋体" w:eastAsia="宋体" w:cs="宋体"/>
          <w:color w:val="auto"/>
          <w:sz w:val="21"/>
          <w:szCs w:val="24"/>
          <w:highlight w:val="none"/>
        </w:rPr>
      </w:pPr>
    </w:p>
    <w:p>
      <w:pPr>
        <w:snapToGrid w:val="0"/>
        <w:spacing w:line="360" w:lineRule="auto"/>
        <w:ind w:left="2244" w:leftChars="290" w:hanging="1606" w:hangingChars="500"/>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rPr>
        <w:t>招标项目：浙江农林大学</w:t>
      </w:r>
      <w:r>
        <w:rPr>
          <w:rFonts w:hint="eastAsia" w:ascii="宋体" w:hAnsi="宋体" w:eastAsia="宋体" w:cs="宋体"/>
          <w:b/>
          <w:bCs/>
          <w:color w:val="auto"/>
          <w:sz w:val="32"/>
          <w:szCs w:val="32"/>
          <w:highlight w:val="none"/>
          <w:lang w:eastAsia="zh-CN"/>
        </w:rPr>
        <w:t>动物科技学院三楼、六楼卫生间改造工程</w:t>
      </w:r>
    </w:p>
    <w:p>
      <w:pPr>
        <w:snapToGrid w:val="0"/>
        <w:spacing w:line="360" w:lineRule="auto"/>
        <w:ind w:firstLine="643" w:firstLineChars="20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确认书号：[2019]37051号</w:t>
      </w:r>
    </w:p>
    <w:p>
      <w:pPr>
        <w:snapToGrid w:val="0"/>
        <w:spacing w:line="360" w:lineRule="auto"/>
        <w:ind w:firstLine="643" w:firstLineChars="200"/>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rPr>
        <w:t>招标编号：</w:t>
      </w:r>
      <w:r>
        <w:rPr>
          <w:rFonts w:hint="eastAsia" w:ascii="宋体" w:hAnsi="宋体" w:eastAsia="宋体" w:cs="宋体"/>
          <w:b/>
          <w:bCs/>
          <w:color w:val="auto"/>
          <w:sz w:val="32"/>
          <w:szCs w:val="32"/>
          <w:highlight w:val="none"/>
        </w:rPr>
        <w:t>ZJWSBJ-NL-</w:t>
      </w:r>
      <w:r>
        <w:rPr>
          <w:rFonts w:hint="eastAsia" w:ascii="宋体" w:hAnsi="宋体" w:eastAsia="宋体" w:cs="宋体"/>
          <w:b/>
          <w:bCs/>
          <w:color w:val="auto"/>
          <w:sz w:val="32"/>
          <w:szCs w:val="32"/>
          <w:highlight w:val="none"/>
          <w:lang w:eastAsia="zh-CN"/>
        </w:rPr>
        <w:t>2019026C</w:t>
      </w:r>
    </w:p>
    <w:p>
      <w:pPr>
        <w:snapToGrid w:val="0"/>
        <w:spacing w:line="360" w:lineRule="auto"/>
        <w:ind w:firstLine="643" w:firstLineChars="20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招</w:t>
      </w:r>
      <w:r>
        <w:rPr>
          <w:rFonts w:hint="eastAsia" w:ascii="宋体" w:hAnsi="宋体" w:eastAsia="宋体" w:cs="宋体"/>
          <w:b/>
          <w:bCs/>
          <w:color w:val="auto"/>
          <w:sz w:val="32"/>
          <w:szCs w:val="32"/>
          <w:highlight w:val="none"/>
        </w:rPr>
        <w:t xml:space="preserve"> </w:t>
      </w:r>
      <w:r>
        <w:rPr>
          <w:rFonts w:hint="eastAsia" w:ascii="宋体" w:hAnsi="宋体" w:eastAsia="宋体" w:cs="宋体"/>
          <w:b/>
          <w:bCs/>
          <w:color w:val="auto"/>
          <w:sz w:val="32"/>
          <w:szCs w:val="32"/>
          <w:highlight w:val="none"/>
        </w:rPr>
        <w:t>标</w:t>
      </w:r>
      <w:r>
        <w:rPr>
          <w:rFonts w:hint="eastAsia" w:ascii="宋体" w:hAnsi="宋体" w:eastAsia="宋体" w:cs="宋体"/>
          <w:b/>
          <w:bCs/>
          <w:color w:val="auto"/>
          <w:sz w:val="32"/>
          <w:szCs w:val="32"/>
          <w:highlight w:val="none"/>
        </w:rPr>
        <w:t xml:space="preserve"> </w:t>
      </w:r>
      <w:r>
        <w:rPr>
          <w:rFonts w:hint="eastAsia" w:ascii="宋体" w:hAnsi="宋体" w:eastAsia="宋体" w:cs="宋体"/>
          <w:b/>
          <w:bCs/>
          <w:color w:val="auto"/>
          <w:sz w:val="32"/>
          <w:szCs w:val="32"/>
          <w:highlight w:val="none"/>
        </w:rPr>
        <w:t>人：浙江农林大学</w:t>
      </w:r>
    </w:p>
    <w:p>
      <w:pPr>
        <w:snapToGrid w:val="0"/>
        <w:spacing w:line="360" w:lineRule="auto"/>
        <w:ind w:firstLine="643" w:firstLineChars="20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代理机构：浙江五石工程咨询有限公司</w:t>
      </w:r>
    </w:p>
    <w:p>
      <w:pPr>
        <w:snapToGrid w:val="0"/>
        <w:spacing w:line="360" w:lineRule="auto"/>
        <w:ind w:firstLine="643" w:firstLineChars="200"/>
        <w:rPr>
          <w:rFonts w:hint="eastAsia" w:ascii="宋体" w:hAnsi="宋体" w:eastAsia="宋体" w:cs="宋体"/>
          <w:color w:val="auto"/>
          <w:highlight w:val="none"/>
        </w:rPr>
        <w:sectPr>
          <w:headerReference r:id="rId4" w:type="first"/>
          <w:headerReference r:id="rId3" w:type="default"/>
          <w:footerReference r:id="rId5" w:type="default"/>
          <w:pgSz w:w="11900" w:h="16838"/>
          <w:pgMar w:top="1440" w:right="1440" w:bottom="401" w:left="1440" w:header="567" w:footer="567" w:gutter="0"/>
          <w:cols w:equalWidth="0" w:num="1">
            <w:col w:w="9026"/>
          </w:cols>
        </w:sectPr>
      </w:pPr>
      <w:r>
        <w:rPr>
          <w:rFonts w:hint="eastAsia" w:ascii="宋体" w:hAnsi="宋体" w:eastAsia="宋体" w:cs="宋体"/>
          <w:b/>
          <w:bCs/>
          <w:color w:val="auto"/>
          <w:sz w:val="32"/>
          <w:szCs w:val="32"/>
          <w:highlight w:val="none"/>
        </w:rPr>
        <w:t>时</w:t>
      </w:r>
      <w:r>
        <w:rPr>
          <w:rFonts w:hint="eastAsia" w:ascii="宋体" w:hAnsi="宋体" w:eastAsia="宋体" w:cs="宋体"/>
          <w:b/>
          <w:bCs/>
          <w:color w:val="auto"/>
          <w:sz w:val="32"/>
          <w:szCs w:val="32"/>
          <w:highlight w:val="none"/>
        </w:rPr>
        <w:t xml:space="preserve">    </w:t>
      </w:r>
      <w:r>
        <w:rPr>
          <w:rFonts w:hint="eastAsia" w:ascii="宋体" w:hAnsi="宋体" w:eastAsia="宋体" w:cs="宋体"/>
          <w:b/>
          <w:bCs/>
          <w:color w:val="auto"/>
          <w:sz w:val="32"/>
          <w:szCs w:val="32"/>
          <w:highlight w:val="none"/>
        </w:rPr>
        <w:t>间：二〇一九年七月</w:t>
      </w:r>
    </w:p>
    <w:p>
      <w:pPr>
        <w:tabs>
          <w:tab w:val="left" w:pos="4720"/>
        </w:tabs>
        <w:spacing w:line="502" w:lineRule="exact"/>
        <w:jc w:val="center"/>
        <w:rPr>
          <w:rFonts w:hint="eastAsia" w:ascii="宋体" w:hAnsi="宋体" w:eastAsia="宋体" w:cs="宋体"/>
          <w:b/>
          <w:bCs/>
          <w:color w:val="auto"/>
          <w:sz w:val="43"/>
          <w:szCs w:val="43"/>
          <w:highlight w:val="none"/>
        </w:rPr>
      </w:pPr>
      <w:bookmarkStart w:id="1" w:name="page2"/>
      <w:bookmarkEnd w:id="1"/>
      <w:r>
        <w:rPr>
          <w:rFonts w:hint="eastAsia" w:ascii="宋体" w:hAnsi="宋体" w:eastAsia="宋体" w:cs="宋体"/>
          <w:b/>
          <w:bCs/>
          <w:color w:val="auto"/>
          <w:sz w:val="44"/>
          <w:szCs w:val="44"/>
          <w:highlight w:val="none"/>
        </w:rPr>
        <w:t>目</w:t>
      </w:r>
      <w:r>
        <w:rPr>
          <w:rFonts w:hint="eastAsia" w:ascii="宋体" w:hAnsi="宋体" w:eastAsia="宋体" w:cs="宋体"/>
          <w:b/>
          <w:bCs/>
          <w:color w:val="auto"/>
          <w:sz w:val="44"/>
          <w:szCs w:val="44"/>
          <w:highlight w:val="none"/>
        </w:rPr>
        <w:t xml:space="preserve"> </w:t>
      </w:r>
      <w:r>
        <w:rPr>
          <w:rFonts w:hint="eastAsia" w:ascii="宋体" w:hAnsi="宋体" w:eastAsia="宋体" w:cs="宋体"/>
          <w:b/>
          <w:bCs/>
          <w:color w:val="auto"/>
          <w:sz w:val="43"/>
          <w:szCs w:val="43"/>
          <w:highlight w:val="none"/>
        </w:rPr>
        <w:t>录</w:t>
      </w:r>
    </w:p>
    <w:p>
      <w:pPr>
        <w:pStyle w:val="2"/>
        <w:rPr>
          <w:rFonts w:hint="eastAsia" w:ascii="宋体" w:hAnsi="宋体" w:eastAsia="宋体" w:cs="宋体"/>
          <w:b/>
          <w:bCs/>
          <w:color w:val="auto"/>
          <w:sz w:val="43"/>
          <w:szCs w:val="43"/>
          <w:highlight w:val="none"/>
        </w:rPr>
      </w:pPr>
    </w:p>
    <w:p>
      <w:pPr>
        <w:pStyle w:val="47"/>
        <w:keepNext w:val="0"/>
        <w:keepLines w:val="0"/>
        <w:pageBreakBefore w:val="0"/>
        <w:widowControl/>
        <w:tabs>
          <w:tab w:val="right" w:leader="dot" w:pos="9754"/>
        </w:tabs>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bookmarkStart w:id="2" w:name="_Toc6059_WPSOffice_Type2"/>
      <w:r>
        <w:rPr>
          <w:rFonts w:hint="eastAsia" w:ascii="宋体" w:hAnsi="宋体" w:eastAsia="宋体" w:cs="宋体"/>
          <w:b/>
          <w:bCs/>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_Toc16692_WPSOffice_Level1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第一章  竞争性磋商公告</w:t>
      </w:r>
      <w:r>
        <w:rPr>
          <w:rFonts w:hint="eastAsia" w:ascii="宋体" w:hAnsi="宋体" w:eastAsia="宋体" w:cs="宋体"/>
          <w:b/>
          <w:bCs/>
          <w:color w:val="auto"/>
          <w:sz w:val="24"/>
          <w:szCs w:val="24"/>
          <w:highlight w:val="none"/>
        </w:rPr>
        <w:tab/>
      </w:r>
      <w:bookmarkStart w:id="3" w:name="_Toc16692_WPSOffice_Level1Page"/>
      <w:r>
        <w:rPr>
          <w:rFonts w:hint="eastAsia" w:ascii="宋体" w:hAnsi="宋体" w:eastAsia="宋体" w:cs="宋体"/>
          <w:b/>
          <w:bCs/>
          <w:color w:val="auto"/>
          <w:sz w:val="24"/>
          <w:szCs w:val="24"/>
          <w:highlight w:val="none"/>
        </w:rPr>
        <w:t>4</w:t>
      </w:r>
      <w:bookmarkEnd w:id="3"/>
      <w:r>
        <w:rPr>
          <w:rFonts w:hint="eastAsia" w:ascii="宋体" w:hAnsi="宋体" w:eastAsia="宋体" w:cs="宋体"/>
          <w:b/>
          <w:bCs/>
          <w:color w:val="auto"/>
          <w:sz w:val="24"/>
          <w:szCs w:val="24"/>
          <w:highlight w:val="none"/>
        </w:rPr>
        <w:fldChar w:fldCharType="end"/>
      </w:r>
    </w:p>
    <w:p>
      <w:pPr>
        <w:pStyle w:val="47"/>
        <w:keepNext w:val="0"/>
        <w:keepLines w:val="0"/>
        <w:pageBreakBefore w:val="0"/>
        <w:widowControl/>
        <w:tabs>
          <w:tab w:val="right" w:leader="dot" w:pos="9754"/>
        </w:tabs>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_Toc6071_WPSOffice_Level1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第二章  供应商须知前附表</w:t>
      </w:r>
      <w:r>
        <w:rPr>
          <w:rFonts w:hint="eastAsia" w:ascii="宋体" w:hAnsi="宋体" w:eastAsia="宋体" w:cs="宋体"/>
          <w:b/>
          <w:bCs/>
          <w:color w:val="auto"/>
          <w:sz w:val="24"/>
          <w:szCs w:val="24"/>
          <w:highlight w:val="none"/>
        </w:rPr>
        <w:tab/>
      </w:r>
      <w:bookmarkStart w:id="4" w:name="_Toc6071_WPSOffice_Level1Page"/>
      <w:r>
        <w:rPr>
          <w:rFonts w:hint="eastAsia" w:ascii="宋体" w:hAnsi="宋体" w:eastAsia="宋体" w:cs="宋体"/>
          <w:b/>
          <w:bCs/>
          <w:color w:val="auto"/>
          <w:sz w:val="24"/>
          <w:szCs w:val="24"/>
          <w:highlight w:val="none"/>
        </w:rPr>
        <w:t>7</w:t>
      </w:r>
      <w:bookmarkEnd w:id="4"/>
      <w:r>
        <w:rPr>
          <w:rFonts w:hint="eastAsia" w:ascii="宋体" w:hAnsi="宋体" w:eastAsia="宋体" w:cs="宋体"/>
          <w:b/>
          <w:bCs/>
          <w:color w:val="auto"/>
          <w:sz w:val="24"/>
          <w:szCs w:val="24"/>
          <w:highlight w:val="none"/>
        </w:rPr>
        <w:fldChar w:fldCharType="end"/>
      </w:r>
    </w:p>
    <w:p>
      <w:pPr>
        <w:pStyle w:val="47"/>
        <w:keepNext w:val="0"/>
        <w:keepLines w:val="0"/>
        <w:pageBreakBefore w:val="0"/>
        <w:widowControl/>
        <w:tabs>
          <w:tab w:val="right" w:leader="dot" w:pos="9754"/>
        </w:tabs>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_Toc9888_WPSOffice_Level1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第三章  供应商须知</w:t>
      </w:r>
      <w:r>
        <w:rPr>
          <w:rFonts w:hint="eastAsia" w:ascii="宋体" w:hAnsi="宋体" w:eastAsia="宋体" w:cs="宋体"/>
          <w:b/>
          <w:bCs/>
          <w:color w:val="auto"/>
          <w:sz w:val="24"/>
          <w:szCs w:val="24"/>
          <w:highlight w:val="none"/>
        </w:rPr>
        <w:tab/>
      </w:r>
      <w:bookmarkStart w:id="5" w:name="_Toc9888_WPSOffice_Level1Page"/>
      <w:r>
        <w:rPr>
          <w:rFonts w:hint="eastAsia" w:ascii="宋体" w:hAnsi="宋体" w:eastAsia="宋体" w:cs="宋体"/>
          <w:b/>
          <w:bCs/>
          <w:color w:val="auto"/>
          <w:sz w:val="24"/>
          <w:szCs w:val="24"/>
          <w:highlight w:val="none"/>
        </w:rPr>
        <w:t>10</w:t>
      </w:r>
      <w:bookmarkEnd w:id="5"/>
      <w:r>
        <w:rPr>
          <w:rFonts w:hint="eastAsia" w:ascii="宋体" w:hAnsi="宋体" w:eastAsia="宋体" w:cs="宋体"/>
          <w:b/>
          <w:bCs/>
          <w:color w:val="auto"/>
          <w:sz w:val="24"/>
          <w:szCs w:val="24"/>
          <w:highlight w:val="none"/>
        </w:rPr>
        <w:fldChar w:fldCharType="end"/>
      </w:r>
    </w:p>
    <w:p>
      <w:pPr>
        <w:pStyle w:val="47"/>
        <w:keepNext w:val="0"/>
        <w:keepLines w:val="0"/>
        <w:pageBreakBefore w:val="0"/>
        <w:widowControl/>
        <w:tabs>
          <w:tab w:val="right" w:leader="dot" w:pos="9754"/>
        </w:tabs>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_Toc9552_WPSOffice_Level1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第四章  采购内容及技术要求</w:t>
      </w:r>
      <w:r>
        <w:rPr>
          <w:rFonts w:hint="eastAsia" w:ascii="宋体" w:hAnsi="宋体" w:eastAsia="宋体" w:cs="宋体"/>
          <w:b/>
          <w:bCs/>
          <w:color w:val="auto"/>
          <w:sz w:val="24"/>
          <w:szCs w:val="24"/>
          <w:highlight w:val="none"/>
        </w:rPr>
        <w:tab/>
      </w:r>
      <w:bookmarkStart w:id="6" w:name="_Toc9552_WPSOffice_Level1Page"/>
      <w:r>
        <w:rPr>
          <w:rFonts w:hint="eastAsia" w:ascii="宋体" w:hAnsi="宋体" w:eastAsia="宋体" w:cs="宋体"/>
          <w:b/>
          <w:bCs/>
          <w:color w:val="auto"/>
          <w:sz w:val="24"/>
          <w:szCs w:val="24"/>
          <w:highlight w:val="none"/>
        </w:rPr>
        <w:t>22</w:t>
      </w:r>
      <w:bookmarkEnd w:id="6"/>
      <w:r>
        <w:rPr>
          <w:rFonts w:hint="eastAsia" w:ascii="宋体" w:hAnsi="宋体" w:eastAsia="宋体" w:cs="宋体"/>
          <w:b/>
          <w:bCs/>
          <w:color w:val="auto"/>
          <w:sz w:val="24"/>
          <w:szCs w:val="24"/>
          <w:highlight w:val="none"/>
        </w:rPr>
        <w:fldChar w:fldCharType="end"/>
      </w:r>
    </w:p>
    <w:p>
      <w:pPr>
        <w:pStyle w:val="47"/>
        <w:keepNext w:val="0"/>
        <w:keepLines w:val="0"/>
        <w:pageBreakBefore w:val="0"/>
        <w:widowControl/>
        <w:tabs>
          <w:tab w:val="right" w:leader="dot" w:pos="9754"/>
        </w:tabs>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_Toc9896_WPSOffice_Level1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第五章  合同条款</w:t>
      </w:r>
      <w:r>
        <w:rPr>
          <w:rFonts w:hint="eastAsia" w:ascii="宋体" w:hAnsi="宋体" w:eastAsia="宋体" w:cs="宋体"/>
          <w:b/>
          <w:bCs/>
          <w:color w:val="auto"/>
          <w:sz w:val="24"/>
          <w:szCs w:val="24"/>
          <w:highlight w:val="none"/>
        </w:rPr>
        <w:tab/>
      </w:r>
      <w:bookmarkStart w:id="7" w:name="_Toc9896_WPSOffice_Level1Page"/>
      <w:r>
        <w:rPr>
          <w:rFonts w:hint="eastAsia" w:ascii="宋体" w:hAnsi="宋体" w:eastAsia="宋体" w:cs="宋体"/>
          <w:b/>
          <w:bCs/>
          <w:color w:val="auto"/>
          <w:sz w:val="24"/>
          <w:szCs w:val="24"/>
          <w:highlight w:val="none"/>
        </w:rPr>
        <w:t>27</w:t>
      </w:r>
      <w:bookmarkEnd w:id="7"/>
      <w:r>
        <w:rPr>
          <w:rFonts w:hint="eastAsia" w:ascii="宋体" w:hAnsi="宋体" w:eastAsia="宋体" w:cs="宋体"/>
          <w:b/>
          <w:bCs/>
          <w:color w:val="auto"/>
          <w:sz w:val="24"/>
          <w:szCs w:val="24"/>
          <w:highlight w:val="none"/>
        </w:rPr>
        <w:fldChar w:fldCharType="end"/>
      </w:r>
    </w:p>
    <w:p>
      <w:pPr>
        <w:pStyle w:val="47"/>
        <w:keepNext w:val="0"/>
        <w:keepLines w:val="0"/>
        <w:pageBreakBefore w:val="0"/>
        <w:widowControl/>
        <w:tabs>
          <w:tab w:val="right" w:leader="dot" w:pos="9754"/>
        </w:tabs>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_Toc26912_WPSOffice_Level1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第六章  响应文件格式</w:t>
      </w:r>
      <w:r>
        <w:rPr>
          <w:rFonts w:hint="eastAsia" w:ascii="宋体" w:hAnsi="宋体" w:eastAsia="宋体" w:cs="宋体"/>
          <w:b/>
          <w:bCs/>
          <w:color w:val="auto"/>
          <w:sz w:val="24"/>
          <w:szCs w:val="24"/>
          <w:highlight w:val="none"/>
        </w:rPr>
        <w:tab/>
      </w:r>
      <w:bookmarkStart w:id="8" w:name="_Toc26912_WPSOffice_Level1Page"/>
      <w:r>
        <w:rPr>
          <w:rFonts w:hint="eastAsia" w:ascii="宋体" w:hAnsi="宋体" w:eastAsia="宋体" w:cs="宋体"/>
          <w:b/>
          <w:bCs/>
          <w:color w:val="auto"/>
          <w:sz w:val="24"/>
          <w:szCs w:val="24"/>
          <w:highlight w:val="none"/>
        </w:rPr>
        <w:t>57</w:t>
      </w:r>
      <w:bookmarkEnd w:id="8"/>
      <w:r>
        <w:rPr>
          <w:rFonts w:hint="eastAsia" w:ascii="宋体" w:hAnsi="宋体" w:eastAsia="宋体" w:cs="宋体"/>
          <w:b/>
          <w:bCs/>
          <w:color w:val="auto"/>
          <w:sz w:val="24"/>
          <w:szCs w:val="24"/>
          <w:highlight w:val="none"/>
        </w:rPr>
        <w:fldChar w:fldCharType="end"/>
      </w:r>
    </w:p>
    <w:p>
      <w:pPr>
        <w:pStyle w:val="47"/>
        <w:keepNext w:val="0"/>
        <w:keepLines w:val="0"/>
        <w:pageBreakBefore w:val="0"/>
        <w:widowControl/>
        <w:tabs>
          <w:tab w:val="right" w:leader="dot" w:pos="9754"/>
        </w:tabs>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_Toc27823_WPSOffice_Level1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第七章  评审办法</w:t>
      </w:r>
      <w:r>
        <w:rPr>
          <w:rFonts w:hint="eastAsia" w:ascii="宋体" w:hAnsi="宋体" w:eastAsia="宋体" w:cs="宋体"/>
          <w:b/>
          <w:bCs/>
          <w:color w:val="auto"/>
          <w:sz w:val="24"/>
          <w:szCs w:val="24"/>
          <w:highlight w:val="none"/>
        </w:rPr>
        <w:tab/>
      </w:r>
      <w:bookmarkStart w:id="9" w:name="_Toc27823_WPSOffice_Level1Page"/>
      <w:r>
        <w:rPr>
          <w:rFonts w:hint="eastAsia" w:ascii="宋体" w:hAnsi="宋体" w:eastAsia="宋体" w:cs="宋体"/>
          <w:b/>
          <w:bCs/>
          <w:color w:val="auto"/>
          <w:sz w:val="24"/>
          <w:szCs w:val="24"/>
          <w:highlight w:val="none"/>
        </w:rPr>
        <w:t>81</w:t>
      </w:r>
      <w:bookmarkEnd w:id="9"/>
      <w:r>
        <w:rPr>
          <w:rFonts w:hint="eastAsia" w:ascii="宋体" w:hAnsi="宋体" w:eastAsia="宋体" w:cs="宋体"/>
          <w:b/>
          <w:bCs/>
          <w:color w:val="auto"/>
          <w:sz w:val="24"/>
          <w:szCs w:val="24"/>
          <w:highlight w:val="none"/>
        </w:rPr>
        <w:fldChar w:fldCharType="end"/>
      </w:r>
    </w:p>
    <w:bookmarkEnd w:id="2"/>
    <w:p>
      <w:pPr>
        <w:pStyle w:val="48"/>
        <w:keepNext w:val="0"/>
        <w:keepLines w:val="0"/>
        <w:pageBreakBefore w:val="0"/>
        <w:widowControl/>
        <w:tabs>
          <w:tab w:val="right" w:leader="dot" w:pos="9754"/>
        </w:tabs>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color w:val="auto"/>
          <w:sz w:val="24"/>
          <w:szCs w:val="24"/>
          <w:highlight w:val="none"/>
        </w:rPr>
      </w:pPr>
    </w:p>
    <w:p>
      <w:pPr>
        <w:spacing w:line="200" w:lineRule="exact"/>
        <w:rPr>
          <w:rFonts w:hint="eastAsia" w:ascii="宋体" w:hAnsi="宋体" w:eastAsia="宋体" w:cs="宋体"/>
          <w:b/>
          <w:bCs/>
          <w:color w:val="auto"/>
          <w:sz w:val="21"/>
          <w:szCs w:val="21"/>
          <w:highlight w:val="none"/>
        </w:rPr>
      </w:pPr>
    </w:p>
    <w:p>
      <w:pPr>
        <w:rPr>
          <w:rFonts w:hint="eastAsia" w:ascii="宋体" w:hAnsi="宋体" w:eastAsia="宋体" w:cs="宋体"/>
          <w:color w:val="auto"/>
          <w:highlight w:val="none"/>
        </w:rPr>
        <w:sectPr>
          <w:headerReference r:id="rId6" w:type="default"/>
          <w:pgSz w:w="11900" w:h="16838"/>
          <w:pgMar w:top="1440" w:right="706" w:bottom="401" w:left="1440" w:header="567" w:footer="567" w:gutter="0"/>
          <w:cols w:equalWidth="0" w:num="1">
            <w:col w:w="9760"/>
          </w:cols>
        </w:sectPr>
      </w:pPr>
    </w:p>
    <w:p>
      <w:pPr>
        <w:spacing w:line="1" w:lineRule="exact"/>
        <w:rPr>
          <w:rFonts w:hint="eastAsia" w:ascii="宋体" w:hAnsi="宋体" w:eastAsia="宋体" w:cs="宋体"/>
          <w:color w:val="auto"/>
          <w:sz w:val="20"/>
          <w:szCs w:val="20"/>
          <w:highlight w:val="none"/>
        </w:rPr>
      </w:pPr>
      <w:bookmarkStart w:id="10" w:name="page3"/>
      <w:bookmarkEnd w:id="10"/>
    </w:p>
    <w:p>
      <w:pPr>
        <w:tabs>
          <w:tab w:val="left" w:pos="4100"/>
        </w:tabs>
        <w:spacing w:line="366" w:lineRule="exact"/>
        <w:ind w:left="2820"/>
        <w:rPr>
          <w:rFonts w:hint="eastAsia" w:ascii="宋体" w:hAnsi="宋体" w:eastAsia="宋体" w:cs="宋体"/>
          <w:color w:val="auto"/>
          <w:sz w:val="20"/>
          <w:szCs w:val="20"/>
          <w:highlight w:val="none"/>
        </w:rPr>
      </w:pPr>
      <w:bookmarkStart w:id="11" w:name="_Toc16692_WPSOffice_Level1"/>
      <w:bookmarkStart w:id="12" w:name="_Toc30173_WPSOffice_Level1"/>
      <w:r>
        <w:rPr>
          <w:rFonts w:hint="eastAsia" w:ascii="宋体" w:hAnsi="宋体" w:eastAsia="宋体" w:cs="宋体"/>
          <w:b/>
          <w:bCs/>
          <w:color w:val="auto"/>
          <w:sz w:val="32"/>
          <w:szCs w:val="32"/>
          <w:highlight w:val="none"/>
        </w:rPr>
        <w:t>第一章</w:t>
      </w:r>
      <w:r>
        <w:rPr>
          <w:rFonts w:hint="eastAsia" w:ascii="宋体" w:hAnsi="宋体" w:eastAsia="宋体" w:cs="宋体"/>
          <w:b/>
          <w:bCs/>
          <w:color w:val="auto"/>
          <w:sz w:val="32"/>
          <w:szCs w:val="32"/>
          <w:highlight w:val="none"/>
        </w:rPr>
        <w:t xml:space="preserve">  </w:t>
      </w:r>
      <w:r>
        <w:rPr>
          <w:rFonts w:hint="eastAsia" w:ascii="宋体" w:hAnsi="宋体" w:eastAsia="宋体" w:cs="宋体"/>
          <w:b/>
          <w:bCs/>
          <w:color w:val="auto"/>
          <w:sz w:val="32"/>
          <w:szCs w:val="32"/>
          <w:highlight w:val="none"/>
        </w:rPr>
        <w:t>竞争性磋商公告</w:t>
      </w:r>
      <w:bookmarkEnd w:id="11"/>
      <w:bookmarkEnd w:id="12"/>
    </w:p>
    <w:p>
      <w:pPr>
        <w:spacing w:line="256" w:lineRule="exact"/>
        <w:rPr>
          <w:rFonts w:hint="eastAsia" w:ascii="宋体" w:hAnsi="宋体" w:eastAsia="宋体" w:cs="宋体"/>
          <w:color w:val="auto"/>
          <w:sz w:val="20"/>
          <w:szCs w:val="20"/>
          <w:highlight w:val="none"/>
        </w:rPr>
      </w:pPr>
    </w:p>
    <w:p>
      <w:pPr>
        <w:spacing w:line="360" w:lineRule="auto"/>
        <w:ind w:firstLine="420" w:firstLineChars="200"/>
        <w:jc w:val="both"/>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根据《中华人民共和国政府采购法》、《政府采购竞争性磋商采购方式管理暂行办法》等有关规定，</w:t>
      </w:r>
      <w:r>
        <w:rPr>
          <w:rFonts w:hint="eastAsia" w:ascii="宋体" w:hAnsi="宋体" w:eastAsia="宋体" w:cs="宋体"/>
          <w:color w:val="auto"/>
          <w:sz w:val="21"/>
          <w:szCs w:val="21"/>
          <w:highlight w:val="none"/>
          <w:u w:val="single"/>
        </w:rPr>
        <w:t>浙江五石工程咨询有限公司</w:t>
      </w:r>
      <w:r>
        <w:rPr>
          <w:rFonts w:hint="eastAsia" w:ascii="宋体" w:hAnsi="宋体" w:eastAsia="宋体" w:cs="宋体"/>
          <w:color w:val="auto"/>
          <w:sz w:val="21"/>
          <w:szCs w:val="21"/>
          <w:highlight w:val="none"/>
        </w:rPr>
        <w:t>受</w:t>
      </w:r>
      <w:r>
        <w:rPr>
          <w:rFonts w:hint="eastAsia" w:ascii="宋体" w:hAnsi="宋体" w:eastAsia="宋体" w:cs="宋体"/>
          <w:color w:val="auto"/>
          <w:sz w:val="21"/>
          <w:szCs w:val="21"/>
          <w:highlight w:val="none"/>
          <w:u w:val="single"/>
        </w:rPr>
        <w:t>浙江农林大学</w:t>
      </w:r>
      <w:r>
        <w:rPr>
          <w:rFonts w:hint="eastAsia" w:ascii="宋体" w:hAnsi="宋体" w:eastAsia="宋体" w:cs="宋体"/>
          <w:color w:val="auto"/>
          <w:sz w:val="21"/>
          <w:szCs w:val="21"/>
          <w:highlight w:val="none"/>
        </w:rPr>
        <w:t>委托，以竞争性磋商的方式就</w:t>
      </w:r>
      <w:r>
        <w:rPr>
          <w:rFonts w:hint="eastAsia" w:ascii="宋体" w:hAnsi="宋体" w:eastAsia="宋体" w:cs="宋体"/>
          <w:color w:val="auto"/>
          <w:sz w:val="21"/>
          <w:szCs w:val="21"/>
          <w:highlight w:val="none"/>
          <w:u w:val="single"/>
        </w:rPr>
        <w:t>浙江农林大学</w:t>
      </w:r>
      <w:r>
        <w:rPr>
          <w:rFonts w:hint="eastAsia" w:ascii="宋体" w:hAnsi="宋体" w:eastAsia="宋体" w:cs="宋体"/>
          <w:color w:val="auto"/>
          <w:sz w:val="21"/>
          <w:szCs w:val="21"/>
          <w:highlight w:val="none"/>
          <w:u w:val="single"/>
          <w:lang w:eastAsia="zh-CN"/>
        </w:rPr>
        <w:t>动物科技学院三楼、六楼卫生间改造工程</w:t>
      </w:r>
      <w:r>
        <w:rPr>
          <w:rFonts w:hint="eastAsia" w:ascii="宋体" w:hAnsi="宋体" w:eastAsia="宋体" w:cs="宋体"/>
          <w:color w:val="auto"/>
          <w:sz w:val="21"/>
          <w:szCs w:val="21"/>
          <w:highlight w:val="none"/>
        </w:rPr>
        <w:t>组织采购，欢迎国内合格的供应商前来参加磋商。</w:t>
      </w:r>
    </w:p>
    <w:p>
      <w:pPr>
        <w:spacing w:line="240" w:lineRule="exact"/>
        <w:ind w:firstLine="422" w:firstLineChars="200"/>
        <w:rPr>
          <w:rFonts w:hint="eastAsia" w:ascii="宋体" w:hAnsi="宋体" w:eastAsia="宋体" w:cs="宋体"/>
          <w:color w:val="auto"/>
          <w:sz w:val="20"/>
          <w:szCs w:val="20"/>
          <w:highlight w:val="none"/>
          <w:lang w:eastAsia="zh-CN"/>
        </w:rPr>
      </w:pPr>
      <w:r>
        <w:rPr>
          <w:rFonts w:hint="eastAsia" w:ascii="宋体" w:hAnsi="宋体" w:eastAsia="宋体" w:cs="宋体"/>
          <w:b/>
          <w:bCs/>
          <w:color w:val="auto"/>
          <w:sz w:val="21"/>
          <w:szCs w:val="21"/>
          <w:highlight w:val="none"/>
        </w:rPr>
        <w:t>一、项目编号：</w:t>
      </w:r>
      <w:r>
        <w:rPr>
          <w:rFonts w:hint="eastAsia" w:ascii="宋体" w:hAnsi="宋体" w:eastAsia="宋体" w:cs="宋体"/>
          <w:b/>
          <w:bCs/>
          <w:color w:val="auto"/>
          <w:sz w:val="21"/>
          <w:szCs w:val="21"/>
          <w:highlight w:val="none"/>
          <w:lang w:eastAsia="zh-CN"/>
        </w:rPr>
        <w:t>ZJWSBJ-NL-2019026C</w:t>
      </w:r>
    </w:p>
    <w:p>
      <w:pPr>
        <w:spacing w:line="168" w:lineRule="exact"/>
        <w:rPr>
          <w:rFonts w:hint="eastAsia" w:ascii="宋体" w:hAnsi="宋体" w:eastAsia="宋体" w:cs="宋体"/>
          <w:color w:val="auto"/>
          <w:sz w:val="20"/>
          <w:szCs w:val="20"/>
          <w:highlight w:val="none"/>
        </w:rPr>
      </w:pPr>
    </w:p>
    <w:p>
      <w:pPr>
        <w:spacing w:line="24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二、采购项目的内容、数量、简要规格描述</w:t>
      </w:r>
    </w:p>
    <w:p>
      <w:pPr>
        <w:spacing w:line="240" w:lineRule="exact"/>
        <w:rPr>
          <w:rFonts w:hint="eastAsia" w:ascii="宋体" w:hAnsi="宋体" w:eastAsia="宋体" w:cs="宋体"/>
          <w:b/>
          <w:bCs/>
          <w:color w:val="auto"/>
          <w:sz w:val="21"/>
          <w:szCs w:val="21"/>
          <w:highlight w:val="none"/>
        </w:rPr>
      </w:pPr>
    </w:p>
    <w:tbl>
      <w:tblPr>
        <w:tblStyle w:val="19"/>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2181"/>
        <w:gridCol w:w="667"/>
        <w:gridCol w:w="651"/>
        <w:gridCol w:w="1333"/>
        <w:gridCol w:w="2648"/>
        <w:gridCol w:w="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524" w:type="dxa"/>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181" w:type="dxa"/>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667" w:type="dxa"/>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651" w:type="dxa"/>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1333" w:type="dxa"/>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招标控制价</w:t>
            </w:r>
          </w:p>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（万元）</w:t>
            </w:r>
          </w:p>
        </w:tc>
        <w:tc>
          <w:tcPr>
            <w:tcW w:w="2648" w:type="dxa"/>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简要技术要求、用途</w:t>
            </w:r>
          </w:p>
        </w:tc>
        <w:tc>
          <w:tcPr>
            <w:tcW w:w="524" w:type="dxa"/>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2" w:hRule="atLeast"/>
          <w:jc w:val="center"/>
        </w:trPr>
        <w:tc>
          <w:tcPr>
            <w:tcW w:w="524" w:type="dxa"/>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181" w:type="dxa"/>
            <w:vAlign w:val="center"/>
          </w:tcPr>
          <w:p>
            <w:pPr>
              <w:snapToGrid w:val="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浙江农林大学</w:t>
            </w:r>
            <w:r>
              <w:rPr>
                <w:rFonts w:hint="eastAsia" w:ascii="宋体" w:hAnsi="宋体" w:eastAsia="宋体" w:cs="宋体"/>
                <w:color w:val="auto"/>
                <w:sz w:val="21"/>
                <w:szCs w:val="21"/>
                <w:highlight w:val="none"/>
                <w:lang w:eastAsia="zh-CN"/>
              </w:rPr>
              <w:t>动物科技学院三楼、六楼卫生间改造工程</w:t>
            </w:r>
          </w:p>
        </w:tc>
        <w:tc>
          <w:tcPr>
            <w:tcW w:w="667" w:type="dxa"/>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51" w:type="dxa"/>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w:t>
            </w:r>
          </w:p>
        </w:tc>
        <w:tc>
          <w:tcPr>
            <w:tcW w:w="1333" w:type="dxa"/>
            <w:vAlign w:val="center"/>
          </w:tcPr>
          <w:p>
            <w:pPr>
              <w:snapToGrid w:val="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39.6198</w:t>
            </w:r>
          </w:p>
        </w:tc>
        <w:tc>
          <w:tcPr>
            <w:tcW w:w="2648" w:type="dxa"/>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浙江农林大学</w:t>
            </w:r>
            <w:r>
              <w:rPr>
                <w:rFonts w:hint="eastAsia" w:ascii="宋体" w:hAnsi="宋体" w:eastAsia="宋体" w:cs="宋体"/>
                <w:color w:val="auto"/>
                <w:sz w:val="21"/>
                <w:szCs w:val="21"/>
                <w:highlight w:val="none"/>
                <w:lang w:eastAsia="zh-CN"/>
              </w:rPr>
              <w:t>动物科技学院三楼、六楼卫生间改造工程</w:t>
            </w:r>
            <w:r>
              <w:rPr>
                <w:rFonts w:hint="eastAsia" w:ascii="宋体" w:hAnsi="宋体" w:eastAsia="宋体" w:cs="宋体"/>
                <w:color w:val="auto"/>
                <w:sz w:val="21"/>
                <w:szCs w:val="21"/>
                <w:highlight w:val="none"/>
              </w:rPr>
              <w:t>，具体详见工程量清单、图纸。</w:t>
            </w:r>
          </w:p>
        </w:tc>
        <w:tc>
          <w:tcPr>
            <w:tcW w:w="524" w:type="dxa"/>
            <w:vAlign w:val="center"/>
          </w:tcPr>
          <w:p>
            <w:pPr>
              <w:snapToGrid w:val="0"/>
              <w:jc w:val="center"/>
              <w:rPr>
                <w:rFonts w:hint="eastAsia" w:ascii="宋体" w:hAnsi="宋体" w:eastAsia="宋体" w:cs="宋体"/>
                <w:color w:val="auto"/>
                <w:sz w:val="21"/>
                <w:szCs w:val="21"/>
                <w:highlight w:val="none"/>
              </w:rPr>
            </w:pPr>
          </w:p>
        </w:tc>
      </w:tr>
    </w:tbl>
    <w:p>
      <w:pPr>
        <w:spacing w:line="240" w:lineRule="exact"/>
        <w:rPr>
          <w:rFonts w:hint="eastAsia" w:ascii="宋体" w:hAnsi="宋体" w:eastAsia="宋体" w:cs="宋体"/>
          <w:b/>
          <w:bCs/>
          <w:color w:val="auto"/>
          <w:sz w:val="21"/>
          <w:szCs w:val="21"/>
          <w:highlight w:val="none"/>
        </w:rPr>
      </w:pPr>
    </w:p>
    <w:p>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三、合格磋商响应供应商的资格要求：</w:t>
      </w:r>
    </w:p>
    <w:p>
      <w:pPr>
        <w:spacing w:line="360" w:lineRule="auto"/>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rPr>
        <w:t>符合《中华人民共和国政府采购法》第二十二条的规定；</w:t>
      </w:r>
    </w:p>
    <w:p>
      <w:pPr>
        <w:spacing w:line="360" w:lineRule="auto"/>
        <w:ind w:firstLine="630" w:firstLineChars="3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rPr>
        <w:t>供应商未被列入失信被执行人名单、重大税收违法案件当事人名单、政府采购严重违法失信行为记录名单，信用信息以信用中国网站（</w:t>
      </w:r>
      <w:r>
        <w:rPr>
          <w:rFonts w:hint="eastAsia" w:ascii="宋体" w:hAnsi="宋体" w:eastAsia="宋体" w:cs="宋体"/>
          <w:color w:val="auto"/>
          <w:sz w:val="21"/>
          <w:szCs w:val="21"/>
          <w:highlight w:val="none"/>
        </w:rPr>
        <w:t>www.creditchina.gov.cn</w:t>
      </w:r>
      <w:r>
        <w:rPr>
          <w:rFonts w:hint="eastAsia" w:ascii="宋体" w:hAnsi="宋体" w:eastAsia="宋体" w:cs="宋体"/>
          <w:color w:val="auto"/>
          <w:sz w:val="21"/>
          <w:szCs w:val="21"/>
          <w:highlight w:val="none"/>
        </w:rPr>
        <w:t>）、中国政府采购网（</w:t>
      </w:r>
      <w:r>
        <w:rPr>
          <w:rFonts w:hint="eastAsia" w:ascii="宋体" w:hAnsi="宋体" w:eastAsia="宋体" w:cs="宋体"/>
          <w:color w:val="auto"/>
          <w:sz w:val="21"/>
          <w:szCs w:val="21"/>
          <w:highlight w:val="none"/>
        </w:rPr>
        <w:t>www.ccgp.gov.cn</w:t>
      </w:r>
      <w:r>
        <w:rPr>
          <w:rFonts w:hint="eastAsia" w:ascii="宋体" w:hAnsi="宋体" w:eastAsia="宋体" w:cs="宋体"/>
          <w:color w:val="auto"/>
          <w:sz w:val="21"/>
          <w:szCs w:val="21"/>
          <w:highlight w:val="none"/>
        </w:rPr>
        <w:t>）公布为准；</w:t>
      </w:r>
    </w:p>
    <w:p>
      <w:pPr>
        <w:spacing w:line="360" w:lineRule="auto"/>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rPr>
        <w:t>单位负责人为同一人或者存在直接控股、管理关系的不同供应商，不得参加同一合同项下的政府采购活动。</w:t>
      </w:r>
    </w:p>
    <w:p>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磋商响应供应商特定条件：</w:t>
      </w:r>
    </w:p>
    <w:p>
      <w:pPr>
        <w:spacing w:line="360" w:lineRule="auto"/>
        <w:ind w:firstLine="632" w:firstLineChars="300"/>
        <w:rPr>
          <w:rFonts w:hint="eastAsia" w:ascii="宋体" w:hAnsi="宋体" w:eastAsia="宋体" w:cs="宋体"/>
          <w:b/>
          <w:bCs/>
          <w:color w:val="auto"/>
          <w:sz w:val="21"/>
          <w:szCs w:val="21"/>
          <w:highlight w:val="none"/>
          <w:lang w:eastAsia="zh-CN"/>
        </w:rPr>
      </w:pPr>
      <w:bookmarkStart w:id="13" w:name="_Toc14201_WPSOffice_Level2"/>
      <w:bookmarkStart w:id="14" w:name="_Toc14241_WPSOffice_Level2"/>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eastAsia="zh-CN"/>
        </w:rPr>
        <w:t>具有建设行政主管部门核定的建筑装修装饰工程专业承包贰级及以上资质，或具有房屋建筑工程施工总承包企业三级及以上资质；</w:t>
      </w:r>
    </w:p>
    <w:p>
      <w:pPr>
        <w:spacing w:line="360" w:lineRule="auto"/>
        <w:ind w:firstLine="632" w:firstLineChars="300"/>
        <w:rPr>
          <w:rFonts w:hint="eastAsia" w:ascii="宋体" w:hAnsi="宋体" w:eastAsia="宋体" w:cs="宋体"/>
          <w:b/>
          <w:bCs/>
          <w:color w:val="auto"/>
          <w:sz w:val="20"/>
          <w:szCs w:val="20"/>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企业具有安全生产许可证，且在有效期内；</w:t>
      </w:r>
      <w:bookmarkEnd w:id="13"/>
      <w:bookmarkEnd w:id="14"/>
    </w:p>
    <w:p>
      <w:pPr>
        <w:spacing w:line="360" w:lineRule="auto"/>
        <w:ind w:firstLine="632" w:firstLineChars="300"/>
        <w:rPr>
          <w:rFonts w:hint="eastAsia" w:ascii="宋体" w:hAnsi="宋体" w:eastAsia="宋体" w:cs="宋体"/>
          <w:b/>
          <w:bCs/>
          <w:color w:val="auto"/>
          <w:sz w:val="21"/>
          <w:szCs w:val="21"/>
          <w:highlight w:val="none"/>
          <w:lang w:eastAsia="zh-CN"/>
        </w:rPr>
      </w:pPr>
      <w:bookmarkStart w:id="15" w:name="_Toc11517_WPSOffice_Level2"/>
      <w:bookmarkStart w:id="16" w:name="_Toc25290_WPSOffice_Level2"/>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rPr>
        <w:t>拟派项目经理具有建筑工程专业二级及以上建造师注册证书</w:t>
      </w:r>
      <w:r>
        <w:rPr>
          <w:rFonts w:hint="eastAsia" w:ascii="宋体" w:hAnsi="宋体" w:eastAsia="宋体" w:cs="宋体"/>
          <w:b/>
          <w:bCs/>
          <w:color w:val="auto"/>
          <w:sz w:val="21"/>
          <w:szCs w:val="21"/>
          <w:highlight w:val="none"/>
          <w:lang w:eastAsia="zh-CN"/>
        </w:rPr>
        <w:t>；</w:t>
      </w:r>
    </w:p>
    <w:bookmarkEnd w:id="15"/>
    <w:bookmarkEnd w:id="16"/>
    <w:p>
      <w:pPr>
        <w:spacing w:line="360" w:lineRule="auto"/>
        <w:ind w:firstLine="632" w:firstLineChars="300"/>
        <w:rPr>
          <w:rFonts w:hint="eastAsia" w:ascii="宋体" w:hAnsi="宋体" w:eastAsia="宋体" w:cs="宋体"/>
          <w:b/>
          <w:bCs/>
          <w:color w:val="auto"/>
          <w:sz w:val="20"/>
          <w:szCs w:val="20"/>
          <w:highlight w:val="none"/>
        </w:rPr>
      </w:pPr>
      <w:bookmarkStart w:id="17" w:name="_Toc21231_WPSOffice_Level2"/>
      <w:bookmarkStart w:id="18" w:name="_Toc5609_WPSOffice_Level2"/>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rPr>
        <w:t>本项目不接受联合体。</w:t>
      </w:r>
      <w:bookmarkEnd w:id="17"/>
      <w:bookmarkEnd w:id="18"/>
    </w:p>
    <w:p>
      <w:pPr>
        <w:spacing w:line="360" w:lineRule="auto"/>
        <w:ind w:firstLine="422" w:firstLineChars="200"/>
        <w:rPr>
          <w:rFonts w:hint="eastAsia" w:ascii="宋体" w:hAnsi="宋体" w:eastAsia="宋体" w:cs="宋体"/>
          <w:color w:val="auto"/>
          <w:sz w:val="20"/>
          <w:szCs w:val="20"/>
          <w:highlight w:val="none"/>
        </w:rPr>
      </w:pPr>
      <w:r>
        <w:rPr>
          <w:rFonts w:hint="eastAsia" w:ascii="宋体" w:hAnsi="宋体" w:eastAsia="宋体" w:cs="宋体"/>
          <w:b/>
          <w:bCs/>
          <w:color w:val="auto"/>
          <w:sz w:val="21"/>
          <w:szCs w:val="21"/>
          <w:highlight w:val="none"/>
        </w:rPr>
        <w:t>四、获取磋商文件的时间、地点、方式及磋商文件售价</w:t>
      </w:r>
    </w:p>
    <w:p>
      <w:pPr>
        <w:spacing w:line="360" w:lineRule="auto"/>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rPr>
        <w:t>时间：</w:t>
      </w:r>
      <w:r>
        <w:rPr>
          <w:rFonts w:hint="eastAsia" w:ascii="宋体" w:hAnsi="宋体" w:eastAsia="宋体" w:cs="宋体"/>
          <w:color w:val="auto"/>
          <w:sz w:val="21"/>
          <w:szCs w:val="21"/>
          <w:highlight w:val="none"/>
        </w:rPr>
        <w:t>2019</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rPr>
        <w:t>07</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23</w:t>
      </w:r>
      <w:r>
        <w:rPr>
          <w:rFonts w:hint="eastAsia" w:ascii="宋体" w:hAnsi="宋体" w:eastAsia="宋体" w:cs="宋体"/>
          <w:color w:val="auto"/>
          <w:sz w:val="21"/>
          <w:szCs w:val="21"/>
          <w:highlight w:val="none"/>
        </w:rPr>
        <w:t>日至</w:t>
      </w:r>
      <w:r>
        <w:rPr>
          <w:rFonts w:hint="eastAsia" w:ascii="宋体" w:hAnsi="宋体" w:eastAsia="宋体" w:cs="宋体"/>
          <w:color w:val="auto"/>
          <w:sz w:val="21"/>
          <w:szCs w:val="21"/>
          <w:highlight w:val="none"/>
        </w:rPr>
        <w:t>2019</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rPr>
        <w:t>07</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rPr>
        <w:t>（双休日及法定节假日除外）</w:t>
      </w:r>
    </w:p>
    <w:p>
      <w:pPr>
        <w:spacing w:line="360" w:lineRule="auto"/>
        <w:ind w:left="44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上午：</w:t>
      </w:r>
      <w:r>
        <w:rPr>
          <w:rFonts w:hint="eastAsia" w:ascii="宋体" w:hAnsi="宋体" w:eastAsia="宋体" w:cs="宋体"/>
          <w:color w:val="auto"/>
          <w:sz w:val="21"/>
          <w:szCs w:val="21"/>
          <w:highlight w:val="none"/>
        </w:rPr>
        <w:t>9:30-11:30</w:t>
      </w:r>
      <w:r>
        <w:rPr>
          <w:rFonts w:hint="eastAsia" w:ascii="宋体" w:hAnsi="宋体" w:eastAsia="宋体" w:cs="宋体"/>
          <w:color w:val="auto"/>
          <w:sz w:val="21"/>
          <w:szCs w:val="21"/>
          <w:highlight w:val="none"/>
        </w:rPr>
        <w:t>；下午：</w:t>
      </w:r>
      <w:r>
        <w:rPr>
          <w:rFonts w:hint="eastAsia" w:ascii="宋体" w:hAnsi="宋体" w:eastAsia="宋体" w:cs="宋体"/>
          <w:color w:val="auto"/>
          <w:sz w:val="21"/>
          <w:szCs w:val="21"/>
          <w:highlight w:val="none"/>
        </w:rPr>
        <w:t>14:00-16:30</w:t>
      </w:r>
    </w:p>
    <w:p>
      <w:pPr>
        <w:spacing w:line="360" w:lineRule="auto"/>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rPr>
        <w:t>地点：浙江五石工程咨询有限公司（杭州市滨江区东信大道</w:t>
      </w:r>
      <w:r>
        <w:rPr>
          <w:rFonts w:hint="eastAsia" w:ascii="宋体" w:hAnsi="宋体" w:eastAsia="宋体" w:cs="宋体"/>
          <w:color w:val="auto"/>
          <w:sz w:val="21"/>
          <w:szCs w:val="21"/>
          <w:highlight w:val="none"/>
        </w:rPr>
        <w:t>66</w:t>
      </w:r>
      <w:r>
        <w:rPr>
          <w:rFonts w:hint="eastAsia" w:ascii="宋体" w:hAnsi="宋体" w:eastAsia="宋体" w:cs="宋体"/>
          <w:color w:val="auto"/>
          <w:sz w:val="21"/>
          <w:szCs w:val="21"/>
          <w:highlight w:val="none"/>
        </w:rPr>
        <w:t>号启迪楼</w:t>
      </w:r>
      <w:r>
        <w:rPr>
          <w:rFonts w:hint="eastAsia" w:ascii="宋体" w:hAnsi="宋体" w:eastAsia="宋体" w:cs="宋体"/>
          <w:color w:val="auto"/>
          <w:sz w:val="21"/>
          <w:szCs w:val="21"/>
          <w:highlight w:val="none"/>
        </w:rPr>
        <w:t>1207</w:t>
      </w:r>
      <w:r>
        <w:rPr>
          <w:rFonts w:hint="eastAsia" w:ascii="宋体" w:hAnsi="宋体" w:eastAsia="宋体" w:cs="宋体"/>
          <w:color w:val="auto"/>
          <w:sz w:val="21"/>
          <w:szCs w:val="21"/>
          <w:highlight w:val="none"/>
        </w:rPr>
        <w:t>室）</w:t>
      </w:r>
    </w:p>
    <w:p>
      <w:pPr>
        <w:spacing w:line="360" w:lineRule="auto"/>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rPr>
        <w:t>获取方式：①现场报名：现场报名需携带报名资料，并现场交纳报名费。②官网报名：前往浙江五石工程咨询有限公司官网（</w:t>
      </w:r>
      <w:r>
        <w:rPr>
          <w:rFonts w:hint="eastAsia" w:ascii="宋体" w:hAnsi="宋体" w:eastAsia="宋体" w:cs="宋体"/>
          <w:color w:val="auto"/>
          <w:sz w:val="21"/>
          <w:szCs w:val="21"/>
          <w:highlight w:val="none"/>
        </w:rPr>
        <w:t>http://zjwsbidding.com/</w:t>
      </w:r>
      <w:r>
        <w:rPr>
          <w:rFonts w:hint="eastAsia" w:ascii="宋体" w:hAnsi="宋体" w:eastAsia="宋体" w:cs="宋体"/>
          <w:color w:val="auto"/>
          <w:sz w:val="21"/>
          <w:szCs w:val="21"/>
          <w:highlight w:val="none"/>
        </w:rPr>
        <w:t>）招投标专区进行报名。</w:t>
      </w:r>
    </w:p>
    <w:p>
      <w:pPr>
        <w:spacing w:line="360" w:lineRule="auto"/>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rPr>
        <w:t>售价（元）：每本</w:t>
      </w:r>
      <w:r>
        <w:rPr>
          <w:rFonts w:hint="eastAsia" w:ascii="宋体" w:hAnsi="宋体" w:eastAsia="宋体" w:cs="宋体"/>
          <w:color w:val="auto"/>
          <w:sz w:val="21"/>
          <w:szCs w:val="21"/>
          <w:highlight w:val="none"/>
        </w:rPr>
        <w:t>500</w:t>
      </w:r>
      <w:r>
        <w:rPr>
          <w:rFonts w:hint="eastAsia" w:ascii="宋体" w:hAnsi="宋体" w:eastAsia="宋体" w:cs="宋体"/>
          <w:color w:val="auto"/>
          <w:sz w:val="21"/>
          <w:szCs w:val="21"/>
          <w:highlight w:val="none"/>
        </w:rPr>
        <w:t>（售后不退）。</w:t>
      </w:r>
    </w:p>
    <w:p>
      <w:pPr>
        <w:spacing w:line="360" w:lineRule="auto"/>
        <w:ind w:firstLine="422" w:firstLineChars="200"/>
        <w:rPr>
          <w:rFonts w:hint="eastAsia" w:ascii="宋体" w:hAnsi="宋体" w:eastAsia="宋体" w:cs="宋体"/>
          <w:color w:val="auto"/>
          <w:sz w:val="20"/>
          <w:szCs w:val="20"/>
          <w:highlight w:val="none"/>
        </w:rPr>
      </w:pPr>
      <w:r>
        <w:rPr>
          <w:rFonts w:hint="eastAsia" w:ascii="宋体" w:hAnsi="宋体" w:eastAsia="宋体" w:cs="宋体"/>
          <w:b/>
          <w:bCs/>
          <w:color w:val="auto"/>
          <w:sz w:val="21"/>
          <w:szCs w:val="21"/>
          <w:highlight w:val="none"/>
        </w:rPr>
        <w:t>五、磋商响应截止时间：</w:t>
      </w:r>
      <w:r>
        <w:rPr>
          <w:rFonts w:hint="eastAsia" w:ascii="宋体" w:hAnsi="宋体" w:eastAsia="宋体" w:cs="宋体"/>
          <w:color w:val="auto"/>
          <w:sz w:val="21"/>
          <w:szCs w:val="21"/>
          <w:highlight w:val="none"/>
        </w:rPr>
        <w:t xml:space="preserve">2019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eastAsia="zh-CN"/>
        </w:rPr>
        <w:t>08月02日</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09：30</w:t>
      </w:r>
      <w:r>
        <w:rPr>
          <w:rFonts w:hint="eastAsia" w:ascii="宋体" w:hAnsi="宋体" w:eastAsia="宋体" w:cs="宋体"/>
          <w:color w:val="auto"/>
          <w:sz w:val="21"/>
          <w:szCs w:val="21"/>
          <w:highlight w:val="none"/>
        </w:rPr>
        <w:t>整</w:t>
      </w:r>
      <w:r>
        <w:rPr>
          <w:rFonts w:hint="eastAsia" w:ascii="宋体" w:hAnsi="宋体" w:eastAsia="宋体" w:cs="宋体"/>
          <w:color w:val="auto"/>
          <w:sz w:val="21"/>
          <w:szCs w:val="21"/>
          <w:highlight w:val="none"/>
        </w:rPr>
        <w:t>；</w:t>
      </w:r>
    </w:p>
    <w:p>
      <w:pPr>
        <w:spacing w:line="360" w:lineRule="auto"/>
        <w:ind w:firstLine="422" w:firstLineChars="200"/>
        <w:rPr>
          <w:rFonts w:hint="eastAsia" w:ascii="宋体" w:hAnsi="宋体" w:eastAsia="宋体" w:cs="宋体"/>
          <w:color w:val="auto"/>
          <w:sz w:val="20"/>
          <w:szCs w:val="20"/>
          <w:highlight w:val="none"/>
        </w:rPr>
      </w:pPr>
      <w:r>
        <w:rPr>
          <w:rFonts w:hint="eastAsia" w:ascii="宋体" w:hAnsi="宋体" w:eastAsia="宋体" w:cs="宋体"/>
          <w:b/>
          <w:bCs/>
          <w:color w:val="auto"/>
          <w:sz w:val="21"/>
          <w:szCs w:val="21"/>
          <w:highlight w:val="none"/>
        </w:rPr>
        <w:t>六、磋商响应文件提交地点：</w:t>
      </w:r>
      <w:r>
        <w:rPr>
          <w:rFonts w:hint="eastAsia" w:ascii="宋体" w:hAnsi="宋体" w:eastAsia="宋体" w:cs="宋体"/>
          <w:color w:val="auto"/>
          <w:sz w:val="21"/>
          <w:szCs w:val="21"/>
          <w:highlight w:val="none"/>
        </w:rPr>
        <w:t>杭州市西湖区西园八路</w:t>
      </w:r>
      <w:r>
        <w:rPr>
          <w:rFonts w:hint="eastAsia" w:ascii="宋体" w:hAnsi="宋体" w:eastAsia="宋体" w:cs="宋体"/>
          <w:color w:val="auto"/>
          <w:sz w:val="21"/>
          <w:szCs w:val="21"/>
          <w:highlight w:val="none"/>
        </w:rPr>
        <w:t>11</w:t>
      </w:r>
      <w:r>
        <w:rPr>
          <w:rFonts w:hint="eastAsia" w:ascii="宋体" w:hAnsi="宋体" w:eastAsia="宋体" w:cs="宋体"/>
          <w:color w:val="auto"/>
          <w:sz w:val="21"/>
          <w:szCs w:val="21"/>
          <w:highlight w:val="none"/>
        </w:rPr>
        <w:t>号杭州数字信息产业园</w:t>
      </w:r>
      <w:r>
        <w:rPr>
          <w:rFonts w:hint="eastAsia" w:ascii="宋体" w:hAnsi="宋体" w:eastAsia="宋体" w:cs="宋体"/>
          <w:color w:val="auto"/>
          <w:sz w:val="21"/>
          <w:szCs w:val="21"/>
          <w:highlight w:val="none"/>
        </w:rPr>
        <w:t>G</w:t>
      </w:r>
      <w:r>
        <w:rPr>
          <w:rFonts w:hint="eastAsia" w:ascii="宋体" w:hAnsi="宋体" w:eastAsia="宋体" w:cs="宋体"/>
          <w:color w:val="auto"/>
          <w:sz w:val="21"/>
          <w:szCs w:val="21"/>
          <w:highlight w:val="none"/>
        </w:rPr>
        <w:t>座</w:t>
      </w:r>
      <w:r>
        <w:rPr>
          <w:rFonts w:hint="eastAsia" w:ascii="宋体" w:hAnsi="宋体" w:eastAsia="宋体" w:cs="宋体"/>
          <w:color w:val="auto"/>
          <w:sz w:val="21"/>
          <w:szCs w:val="21"/>
          <w:highlight w:val="none"/>
        </w:rPr>
        <w:t>603</w:t>
      </w:r>
      <w:r>
        <w:rPr>
          <w:rFonts w:hint="eastAsia" w:ascii="宋体" w:hAnsi="宋体" w:eastAsia="宋体" w:cs="宋体"/>
          <w:color w:val="auto"/>
          <w:sz w:val="21"/>
          <w:szCs w:val="21"/>
          <w:highlight w:val="none"/>
        </w:rPr>
        <w:t>室；</w:t>
      </w:r>
    </w:p>
    <w:p>
      <w:pPr>
        <w:spacing w:line="360" w:lineRule="auto"/>
        <w:ind w:firstLine="422" w:firstLineChars="200"/>
        <w:rPr>
          <w:rFonts w:hint="eastAsia" w:ascii="宋体" w:hAnsi="宋体" w:eastAsia="宋体" w:cs="宋体"/>
          <w:color w:val="auto"/>
          <w:sz w:val="20"/>
          <w:szCs w:val="20"/>
          <w:highlight w:val="none"/>
        </w:rPr>
      </w:pPr>
      <w:r>
        <w:rPr>
          <w:rFonts w:hint="eastAsia" w:ascii="宋体" w:hAnsi="宋体" w:eastAsia="宋体" w:cs="宋体"/>
          <w:b/>
          <w:bCs/>
          <w:color w:val="auto"/>
          <w:sz w:val="21"/>
          <w:szCs w:val="21"/>
          <w:highlight w:val="none"/>
        </w:rPr>
        <w:t>七、磋商时间：</w:t>
      </w:r>
      <w:r>
        <w:rPr>
          <w:rFonts w:hint="eastAsia" w:ascii="宋体" w:hAnsi="宋体" w:eastAsia="宋体" w:cs="宋体"/>
          <w:color w:val="auto"/>
          <w:sz w:val="21"/>
          <w:szCs w:val="21"/>
          <w:highlight w:val="none"/>
        </w:rPr>
        <w:t xml:space="preserve">2019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eastAsia="zh-CN"/>
        </w:rPr>
        <w:t>08月02日</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09：30</w:t>
      </w:r>
      <w:r>
        <w:rPr>
          <w:rFonts w:hint="eastAsia" w:ascii="宋体" w:hAnsi="宋体" w:eastAsia="宋体" w:cs="宋体"/>
          <w:color w:val="auto"/>
          <w:sz w:val="21"/>
          <w:szCs w:val="21"/>
          <w:highlight w:val="none"/>
        </w:rPr>
        <w:t>整</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 xml:space="preserve"> </w:t>
      </w:r>
    </w:p>
    <w:p>
      <w:pPr>
        <w:spacing w:line="360" w:lineRule="auto"/>
        <w:ind w:firstLine="422" w:firstLineChars="200"/>
        <w:rPr>
          <w:rFonts w:hint="eastAsia" w:ascii="宋体" w:hAnsi="宋体" w:eastAsia="宋体" w:cs="宋体"/>
          <w:color w:val="auto"/>
          <w:sz w:val="20"/>
          <w:szCs w:val="20"/>
          <w:highlight w:val="none"/>
        </w:rPr>
      </w:pPr>
      <w:r>
        <w:rPr>
          <w:rFonts w:hint="eastAsia" w:ascii="宋体" w:hAnsi="宋体" w:eastAsia="宋体" w:cs="宋体"/>
          <w:b/>
          <w:bCs/>
          <w:color w:val="auto"/>
          <w:sz w:val="21"/>
          <w:szCs w:val="21"/>
          <w:highlight w:val="none"/>
        </w:rPr>
        <w:t>八、磋商地点：</w:t>
      </w:r>
      <w:r>
        <w:rPr>
          <w:rFonts w:hint="eastAsia" w:ascii="宋体" w:hAnsi="宋体" w:eastAsia="宋体" w:cs="宋体"/>
          <w:color w:val="auto"/>
          <w:sz w:val="21"/>
          <w:szCs w:val="21"/>
          <w:highlight w:val="none"/>
        </w:rPr>
        <w:t>杭州市西湖区西园八路</w:t>
      </w:r>
      <w:r>
        <w:rPr>
          <w:rFonts w:hint="eastAsia" w:ascii="宋体" w:hAnsi="宋体" w:eastAsia="宋体" w:cs="宋体"/>
          <w:color w:val="auto"/>
          <w:sz w:val="21"/>
          <w:szCs w:val="21"/>
          <w:highlight w:val="none"/>
        </w:rPr>
        <w:t>11</w:t>
      </w:r>
      <w:r>
        <w:rPr>
          <w:rFonts w:hint="eastAsia" w:ascii="宋体" w:hAnsi="宋体" w:eastAsia="宋体" w:cs="宋体"/>
          <w:color w:val="auto"/>
          <w:sz w:val="21"/>
          <w:szCs w:val="21"/>
          <w:highlight w:val="none"/>
        </w:rPr>
        <w:t>号杭州数字信息产业园</w:t>
      </w:r>
      <w:r>
        <w:rPr>
          <w:rFonts w:hint="eastAsia" w:ascii="宋体" w:hAnsi="宋体" w:eastAsia="宋体" w:cs="宋体"/>
          <w:color w:val="auto"/>
          <w:sz w:val="21"/>
          <w:szCs w:val="21"/>
          <w:highlight w:val="none"/>
        </w:rPr>
        <w:t>G</w:t>
      </w:r>
      <w:r>
        <w:rPr>
          <w:rFonts w:hint="eastAsia" w:ascii="宋体" w:hAnsi="宋体" w:eastAsia="宋体" w:cs="宋体"/>
          <w:color w:val="auto"/>
          <w:sz w:val="21"/>
          <w:szCs w:val="21"/>
          <w:highlight w:val="none"/>
        </w:rPr>
        <w:t>座</w:t>
      </w:r>
      <w:r>
        <w:rPr>
          <w:rFonts w:hint="eastAsia" w:ascii="宋体" w:hAnsi="宋体" w:eastAsia="宋体" w:cs="宋体"/>
          <w:color w:val="auto"/>
          <w:sz w:val="21"/>
          <w:szCs w:val="21"/>
          <w:highlight w:val="none"/>
        </w:rPr>
        <w:t>603</w:t>
      </w:r>
      <w:r>
        <w:rPr>
          <w:rFonts w:hint="eastAsia" w:ascii="宋体" w:hAnsi="宋体" w:eastAsia="宋体" w:cs="宋体"/>
          <w:color w:val="auto"/>
          <w:sz w:val="21"/>
          <w:szCs w:val="21"/>
          <w:highlight w:val="none"/>
        </w:rPr>
        <w:t>室；</w:t>
      </w:r>
    </w:p>
    <w:p>
      <w:pPr>
        <w:spacing w:line="360" w:lineRule="auto"/>
        <w:ind w:firstLine="422" w:firstLineChars="200"/>
        <w:rPr>
          <w:rFonts w:hint="eastAsia" w:ascii="宋体" w:hAnsi="宋体" w:eastAsia="宋体" w:cs="宋体"/>
          <w:color w:val="auto"/>
          <w:sz w:val="20"/>
          <w:szCs w:val="20"/>
          <w:highlight w:val="none"/>
        </w:rPr>
      </w:pPr>
      <w:r>
        <w:rPr>
          <w:rFonts w:hint="eastAsia" w:ascii="宋体" w:hAnsi="宋体" w:eastAsia="宋体" w:cs="宋体"/>
          <w:b/>
          <w:bCs/>
          <w:color w:val="auto"/>
          <w:sz w:val="21"/>
          <w:szCs w:val="21"/>
          <w:highlight w:val="none"/>
        </w:rPr>
        <w:t>九、磋商保证金及交付方式：本项目不提交；</w:t>
      </w:r>
    </w:p>
    <w:p>
      <w:pPr>
        <w:spacing w:line="360" w:lineRule="auto"/>
        <w:ind w:firstLine="422" w:firstLineChars="200"/>
        <w:rPr>
          <w:rFonts w:hint="eastAsia" w:ascii="宋体" w:hAnsi="宋体" w:eastAsia="宋体" w:cs="宋体"/>
          <w:color w:val="auto"/>
          <w:sz w:val="20"/>
          <w:szCs w:val="20"/>
          <w:highlight w:val="none"/>
        </w:rPr>
      </w:pPr>
      <w:r>
        <w:rPr>
          <w:rFonts w:hint="eastAsia" w:ascii="宋体" w:hAnsi="宋体" w:eastAsia="宋体" w:cs="宋体"/>
          <w:b/>
          <w:bCs/>
          <w:color w:val="auto"/>
          <w:sz w:val="21"/>
          <w:szCs w:val="21"/>
          <w:highlight w:val="none"/>
        </w:rPr>
        <w:t>十、其他事项：</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rPr>
        <w:t>磋商公告期限：从公告发布之日起至公告发布之日后的第</w:t>
      </w:r>
      <w:r>
        <w:rPr>
          <w:rFonts w:hint="eastAsia" w:ascii="宋体" w:hAnsi="宋体" w:eastAsia="宋体" w:cs="宋体"/>
          <w:color w:val="auto"/>
          <w:sz w:val="21"/>
          <w:szCs w:val="21"/>
          <w:highlight w:val="none"/>
        </w:rPr>
        <w:t xml:space="preserve"> 4 </w:t>
      </w:r>
      <w:r>
        <w:rPr>
          <w:rFonts w:hint="eastAsia" w:ascii="宋体" w:hAnsi="宋体" w:eastAsia="宋体" w:cs="宋体"/>
          <w:color w:val="auto"/>
          <w:sz w:val="21"/>
          <w:szCs w:val="21"/>
          <w:highlight w:val="none"/>
        </w:rPr>
        <w:t>个工作日；</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rPr>
        <w:t>未经报名登记并获取磋商文件的供应商参与本项目投标，将被拒绝；</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rPr>
        <w:t>供应商认为采购文件使自己的权益受到损害的，可以自收到采购文件之日（发售截止日之后收到采购文件的，以发售截止日为准）或者采购文件公告期限届满之日（竞争性磋商公告为公告发布后的第</w:t>
      </w:r>
      <w:r>
        <w:rPr>
          <w:rFonts w:hint="eastAsia" w:ascii="宋体" w:hAnsi="宋体" w:eastAsia="宋体" w:cs="宋体"/>
          <w:color w:val="auto"/>
          <w:sz w:val="21"/>
          <w:szCs w:val="21"/>
          <w:highlight w:val="none"/>
        </w:rPr>
        <w:t xml:space="preserve"> 4 </w:t>
      </w:r>
      <w:r>
        <w:rPr>
          <w:rFonts w:hint="eastAsia" w:ascii="宋体" w:hAnsi="宋体" w:eastAsia="宋体" w:cs="宋体"/>
          <w:color w:val="auto"/>
          <w:sz w:val="21"/>
          <w:szCs w:val="21"/>
          <w:highlight w:val="none"/>
        </w:rPr>
        <w:t>个工作日）起</w:t>
      </w:r>
      <w:r>
        <w:rPr>
          <w:rFonts w:hint="eastAsia" w:ascii="宋体" w:hAnsi="宋体" w:eastAsia="宋体" w:cs="宋体"/>
          <w:color w:val="auto"/>
          <w:sz w:val="21"/>
          <w:szCs w:val="21"/>
          <w:highlight w:val="none"/>
        </w:rPr>
        <w:t xml:space="preserve"> 7 </w:t>
      </w:r>
      <w:r>
        <w:rPr>
          <w:rFonts w:hint="eastAsia" w:ascii="宋体" w:hAnsi="宋体" w:eastAsia="宋体" w:cs="宋体"/>
          <w:color w:val="auto"/>
          <w:sz w:val="21"/>
          <w:szCs w:val="21"/>
          <w:highlight w:val="none"/>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spacing w:line="360" w:lineRule="auto"/>
        <w:ind w:firstLine="422" w:firstLineChars="200"/>
        <w:rPr>
          <w:rFonts w:hint="eastAsia" w:ascii="宋体" w:hAnsi="宋体" w:eastAsia="宋体" w:cs="宋体"/>
          <w:b/>
          <w:bCs/>
          <w:color w:val="auto"/>
          <w:sz w:val="20"/>
          <w:szCs w:val="20"/>
          <w:highlight w:val="none"/>
        </w:rPr>
      </w:pPr>
      <w:r>
        <w:rPr>
          <w:rFonts w:hint="eastAsia" w:ascii="宋体" w:hAnsi="宋体" w:eastAsia="宋体" w:cs="宋体"/>
          <w:b/>
          <w:bCs/>
          <w:color w:val="auto"/>
          <w:sz w:val="21"/>
          <w:szCs w:val="21"/>
          <w:highlight w:val="none"/>
        </w:rPr>
        <w:t>4</w:t>
      </w:r>
      <w:r>
        <w:rPr>
          <w:rFonts w:hint="eastAsia" w:ascii="宋体" w:hAnsi="宋体" w:eastAsia="宋体" w:cs="宋体"/>
          <w:b/>
          <w:bCs/>
          <w:color w:val="auto"/>
          <w:sz w:val="21"/>
          <w:szCs w:val="21"/>
          <w:highlight w:val="none"/>
        </w:rPr>
        <w:t>、购买竞争性磋商时须提交的文件资料：</w:t>
      </w:r>
    </w:p>
    <w:p>
      <w:pPr>
        <w:spacing w:line="360" w:lineRule="auto"/>
        <w:ind w:firstLine="211" w:firstLineChars="100"/>
        <w:rPr>
          <w:rFonts w:hint="eastAsia" w:ascii="宋体" w:hAnsi="宋体" w:eastAsia="宋体" w:cs="宋体"/>
          <w:b/>
          <w:bCs/>
          <w:color w:val="auto"/>
          <w:sz w:val="20"/>
          <w:szCs w:val="20"/>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rPr>
        <w:t>）介绍信或法人授权书（原件加盖公章）；</w:t>
      </w:r>
    </w:p>
    <w:p>
      <w:pPr>
        <w:spacing w:line="360" w:lineRule="auto"/>
        <w:ind w:firstLine="211" w:firstLineChars="100"/>
        <w:rPr>
          <w:rFonts w:hint="eastAsia" w:ascii="宋体" w:hAnsi="宋体" w:eastAsia="宋体" w:cs="宋体"/>
          <w:b/>
          <w:bCs/>
          <w:color w:val="auto"/>
          <w:sz w:val="20"/>
          <w:szCs w:val="20"/>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rPr>
        <w:t>）被授权人身份证（复印件加盖公章）；</w:t>
      </w:r>
    </w:p>
    <w:p>
      <w:pPr>
        <w:spacing w:line="360" w:lineRule="auto"/>
        <w:ind w:firstLine="211" w:firstLineChars="1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rPr>
        <w:t>3</w:t>
      </w:r>
      <w:r>
        <w:rPr>
          <w:rFonts w:hint="eastAsia" w:ascii="宋体" w:hAnsi="宋体" w:eastAsia="宋体" w:cs="宋体"/>
          <w:b/>
          <w:bCs/>
          <w:color w:val="auto"/>
          <w:sz w:val="21"/>
          <w:szCs w:val="21"/>
          <w:highlight w:val="none"/>
        </w:rPr>
        <w:t>）营业执照副本（复印件加盖公章）；</w:t>
      </w:r>
    </w:p>
    <w:p>
      <w:pPr>
        <w:spacing w:line="360" w:lineRule="auto"/>
        <w:ind w:firstLine="211" w:firstLineChars="1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rPr>
        <w:t>4</w:t>
      </w:r>
      <w:r>
        <w:rPr>
          <w:rFonts w:hint="eastAsia" w:ascii="宋体" w:hAnsi="宋体" w:eastAsia="宋体" w:cs="宋体"/>
          <w:b/>
          <w:bCs/>
          <w:color w:val="auto"/>
          <w:sz w:val="21"/>
          <w:szCs w:val="21"/>
          <w:highlight w:val="none"/>
        </w:rPr>
        <w:t>）供应商报名表；（原件加盖公章）；</w:t>
      </w:r>
    </w:p>
    <w:p>
      <w:pPr>
        <w:spacing w:line="360" w:lineRule="auto"/>
        <w:ind w:firstLine="211" w:firstLineChars="1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rPr>
        <w:t>5</w:t>
      </w:r>
      <w:r>
        <w:rPr>
          <w:rFonts w:hint="eastAsia" w:ascii="宋体" w:hAnsi="宋体" w:eastAsia="宋体" w:cs="宋体"/>
          <w:b/>
          <w:bCs/>
          <w:color w:val="auto"/>
          <w:sz w:val="21"/>
          <w:szCs w:val="21"/>
          <w:highlight w:val="none"/>
        </w:rPr>
        <w:t>）特定资格要求相关资质（复印件加盖公章）；</w:t>
      </w:r>
    </w:p>
    <w:p>
      <w:pPr>
        <w:spacing w:line="360" w:lineRule="auto"/>
        <w:ind w:right="346"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rPr>
        <w:t>竞争性磋商文件发售截止时间之后潜在供应商仍然可以购买磋商文件，但该供应商如对磋商文件有疑问可以按磋商文件规定的询疑时间前提出，逾期提出的，采购组织机构可以不予受理、答复；</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rPr>
        <w:t>潜在供应商可在浙江政府采购网</w:t>
      </w:r>
      <w:r>
        <w:rPr>
          <w:rFonts w:hint="eastAsia" w:ascii="宋体" w:hAnsi="宋体" w:eastAsia="宋体" w:cs="宋体"/>
          <w:color w:val="auto"/>
          <w:sz w:val="21"/>
          <w:szCs w:val="21"/>
          <w:highlight w:val="none"/>
        </w:rPr>
        <w:t xml:space="preserve"> http://www.zjzfcg.gov.cn </w:t>
      </w:r>
      <w:r>
        <w:rPr>
          <w:rFonts w:hint="eastAsia" w:ascii="宋体" w:hAnsi="宋体" w:eastAsia="宋体" w:cs="宋体"/>
          <w:color w:val="auto"/>
          <w:sz w:val="21"/>
          <w:szCs w:val="21"/>
          <w:highlight w:val="none"/>
        </w:rPr>
        <w:t>进行免费注册，具体详见浙江政府采购网供应商注册要求；</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rPr>
        <w:t>书面质疑受理地点：杭州市滨江区东方通信科技园启迪楼</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rPr>
        <w:t>楼</w:t>
      </w:r>
      <w:r>
        <w:rPr>
          <w:rFonts w:hint="eastAsia" w:ascii="宋体" w:hAnsi="宋体" w:eastAsia="宋体" w:cs="宋体"/>
          <w:color w:val="auto"/>
          <w:sz w:val="21"/>
          <w:szCs w:val="21"/>
          <w:highlight w:val="none"/>
        </w:rPr>
        <w:t>1207</w:t>
      </w:r>
      <w:r>
        <w:rPr>
          <w:rFonts w:hint="eastAsia" w:ascii="宋体" w:hAnsi="宋体" w:eastAsia="宋体" w:cs="宋体"/>
          <w:color w:val="auto"/>
          <w:sz w:val="21"/>
          <w:szCs w:val="21"/>
          <w:highlight w:val="none"/>
        </w:rPr>
        <w:t>室；</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联系人：毛工</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rPr>
        <w:t>0571-87805727</w:t>
      </w:r>
      <w:r>
        <w:rPr>
          <w:rFonts w:hint="eastAsia" w:ascii="宋体" w:hAnsi="宋体" w:eastAsia="宋体" w:cs="宋体"/>
          <w:color w:val="auto"/>
          <w:sz w:val="21"/>
          <w:szCs w:val="21"/>
          <w:highlight w:val="none"/>
        </w:rPr>
        <w:t>；</w:t>
      </w:r>
    </w:p>
    <w:p>
      <w:pPr>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十一、联系方式</w:t>
      </w:r>
      <w:bookmarkStart w:id="247" w:name="_GoBack"/>
      <w:bookmarkEnd w:id="247"/>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采购人：浙江农林大学</w:t>
      </w:r>
    </w:p>
    <w:p>
      <w:pPr>
        <w:spacing w:line="360" w:lineRule="auto"/>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联系人：王老师</w:t>
      </w:r>
    </w:p>
    <w:p>
      <w:pPr>
        <w:spacing w:line="360" w:lineRule="auto"/>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rPr>
        <w:t>0571-63740897</w:t>
      </w:r>
    </w:p>
    <w:p>
      <w:pPr>
        <w:spacing w:line="360" w:lineRule="auto"/>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项目联系人：</w:t>
      </w:r>
      <w:r>
        <w:rPr>
          <w:rFonts w:hint="eastAsia" w:ascii="宋体" w:hAnsi="宋体" w:eastAsia="宋体" w:cs="宋体"/>
          <w:color w:val="auto"/>
          <w:sz w:val="21"/>
          <w:szCs w:val="21"/>
          <w:highlight w:val="none"/>
          <w:lang w:eastAsia="zh-CN"/>
        </w:rPr>
        <w:t>徐</w:t>
      </w:r>
      <w:r>
        <w:rPr>
          <w:rFonts w:hint="eastAsia" w:ascii="宋体" w:hAnsi="宋体" w:eastAsia="宋体" w:cs="宋体"/>
          <w:color w:val="auto"/>
          <w:sz w:val="21"/>
          <w:szCs w:val="21"/>
          <w:highlight w:val="none"/>
        </w:rPr>
        <w:t>老师</w:t>
      </w:r>
    </w:p>
    <w:p>
      <w:pPr>
        <w:spacing w:line="360" w:lineRule="auto"/>
        <w:ind w:firstLine="630" w:firstLineChars="300"/>
        <w:rPr>
          <w:rFonts w:hint="eastAsia" w:ascii="宋体" w:hAnsi="宋体" w:eastAsia="宋体" w:cs="宋体"/>
          <w:color w:val="auto"/>
          <w:sz w:val="20"/>
          <w:szCs w:val="20"/>
          <w:highlight w:val="none"/>
          <w:lang w:eastAsia="zh-CN"/>
        </w:rPr>
      </w:pPr>
      <w:r>
        <w:rPr>
          <w:rFonts w:hint="eastAsia" w:ascii="宋体" w:hAnsi="宋体" w:eastAsia="宋体" w:cs="宋体"/>
          <w:color w:val="auto"/>
          <w:sz w:val="21"/>
          <w:szCs w:val="21"/>
          <w:highlight w:val="none"/>
        </w:rPr>
        <w:t>联系方式：</w:t>
      </w:r>
      <w:r>
        <w:rPr>
          <w:rFonts w:hint="eastAsia" w:ascii="宋体" w:hAnsi="宋体" w:eastAsia="宋体" w:cs="宋体"/>
          <w:color w:val="auto"/>
          <w:sz w:val="21"/>
          <w:szCs w:val="21"/>
          <w:highlight w:val="none"/>
          <w:lang w:eastAsia="zh-CN"/>
        </w:rPr>
        <w:t>13615716876</w:t>
      </w:r>
    </w:p>
    <w:p>
      <w:pPr>
        <w:spacing w:line="360" w:lineRule="auto"/>
        <w:ind w:firstLine="630" w:firstLineChars="3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地址：杭州市临安区武肃街</w:t>
      </w:r>
      <w:r>
        <w:rPr>
          <w:rFonts w:hint="eastAsia" w:ascii="宋体" w:hAnsi="宋体" w:eastAsia="宋体" w:cs="宋体"/>
          <w:color w:val="auto"/>
          <w:sz w:val="21"/>
          <w:szCs w:val="21"/>
          <w:highlight w:val="none"/>
        </w:rPr>
        <w:t>666</w:t>
      </w:r>
      <w:r>
        <w:rPr>
          <w:rFonts w:hint="eastAsia" w:ascii="宋体" w:hAnsi="宋体" w:eastAsia="宋体" w:cs="宋体"/>
          <w:color w:val="auto"/>
          <w:sz w:val="21"/>
          <w:szCs w:val="21"/>
          <w:highlight w:val="none"/>
        </w:rPr>
        <w:t>号；</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采购代理机构名称：浙江五石工程咨询有限公司</w:t>
      </w:r>
    </w:p>
    <w:p>
      <w:pPr>
        <w:spacing w:line="360" w:lineRule="auto"/>
        <w:ind w:firstLine="630" w:firstLineChars="3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联系人：徐工</w:t>
      </w:r>
    </w:p>
    <w:p>
      <w:pPr>
        <w:spacing w:line="360" w:lineRule="auto"/>
        <w:ind w:firstLine="630" w:firstLineChars="3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rPr>
        <w:t>0571-87805727</w:t>
      </w:r>
    </w:p>
    <w:p>
      <w:pPr>
        <w:spacing w:line="360" w:lineRule="auto"/>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地址：杭州市滨江区东方通信科技园启迪楼</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rPr>
        <w:t>楼</w:t>
      </w:r>
      <w:r>
        <w:rPr>
          <w:rFonts w:hint="eastAsia" w:ascii="宋体" w:hAnsi="宋体" w:eastAsia="宋体" w:cs="宋体"/>
          <w:color w:val="auto"/>
          <w:sz w:val="21"/>
          <w:szCs w:val="21"/>
          <w:highlight w:val="none"/>
        </w:rPr>
        <w:t>1207</w:t>
      </w:r>
      <w:r>
        <w:rPr>
          <w:rFonts w:hint="eastAsia" w:ascii="宋体" w:hAnsi="宋体" w:eastAsia="宋体" w:cs="宋体"/>
          <w:color w:val="auto"/>
          <w:sz w:val="21"/>
          <w:szCs w:val="21"/>
          <w:highlight w:val="none"/>
        </w:rPr>
        <w:t>室</w:t>
      </w:r>
    </w:p>
    <w:p>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同级政府采购监管部门：浙江省财政厅政府采购监管处</w:t>
      </w:r>
    </w:p>
    <w:p>
      <w:pPr>
        <w:spacing w:line="360" w:lineRule="auto"/>
        <w:ind w:firstLine="630" w:firstLineChars="3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联系人：倪文良</w:t>
      </w:r>
    </w:p>
    <w:p>
      <w:pPr>
        <w:spacing w:line="360" w:lineRule="auto"/>
        <w:ind w:firstLine="630" w:firstLineChars="3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rPr>
        <w:t>0571-87057615</w:t>
      </w:r>
    </w:p>
    <w:p>
      <w:pPr>
        <w:spacing w:line="360" w:lineRule="auto"/>
        <w:ind w:firstLine="630" w:firstLineChars="3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地址：杭州市环城西路</w:t>
      </w:r>
      <w:r>
        <w:rPr>
          <w:rFonts w:hint="eastAsia" w:ascii="宋体" w:hAnsi="宋体" w:eastAsia="宋体" w:cs="宋体"/>
          <w:color w:val="auto"/>
          <w:sz w:val="21"/>
          <w:szCs w:val="21"/>
          <w:highlight w:val="none"/>
        </w:rPr>
        <w:t xml:space="preserve"> 37 </w:t>
      </w:r>
      <w:r>
        <w:rPr>
          <w:rFonts w:hint="eastAsia" w:ascii="宋体" w:hAnsi="宋体" w:eastAsia="宋体" w:cs="宋体"/>
          <w:color w:val="auto"/>
          <w:sz w:val="21"/>
          <w:szCs w:val="21"/>
          <w:highlight w:val="none"/>
        </w:rPr>
        <w:t>号</w:t>
      </w:r>
    </w:p>
    <w:p>
      <w:pPr>
        <w:spacing w:line="360" w:lineRule="auto"/>
        <w:ind w:firstLine="398" w:firstLineChars="200"/>
        <w:jc w:val="both"/>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十二、采购项目需要落实的政府采购政策：</w:t>
      </w:r>
    </w:p>
    <w:p>
      <w:pPr>
        <w:spacing w:line="360" w:lineRule="auto"/>
        <w:ind w:right="62" w:firstLine="594" w:firstLineChars="300"/>
        <w:jc w:val="both"/>
        <w:rPr>
          <w:rFonts w:hint="eastAsia" w:ascii="宋体" w:hAnsi="宋体" w:eastAsia="宋体" w:cs="宋体"/>
          <w:color w:val="auto"/>
          <w:spacing w:val="-6"/>
          <w:sz w:val="21"/>
          <w:szCs w:val="21"/>
          <w:highlight w:val="none"/>
        </w:rPr>
      </w:pPr>
      <w:bookmarkStart w:id="19" w:name="_Toc24376_WPSOffice_Level2"/>
      <w:bookmarkStart w:id="20" w:name="_Toc23564_WPSOffice_Level2"/>
      <w:r>
        <w:rPr>
          <w:rFonts w:hint="eastAsia" w:ascii="宋体" w:hAnsi="宋体" w:eastAsia="宋体" w:cs="宋体"/>
          <w:color w:val="auto"/>
          <w:spacing w:val="-6"/>
          <w:sz w:val="21"/>
          <w:szCs w:val="21"/>
          <w:highlight w:val="none"/>
        </w:rPr>
        <w:t>1.</w:t>
      </w:r>
      <w:r>
        <w:rPr>
          <w:rFonts w:hint="eastAsia" w:ascii="宋体" w:hAnsi="宋体" w:eastAsia="宋体" w:cs="宋体"/>
          <w:color w:val="auto"/>
          <w:spacing w:val="-6"/>
          <w:sz w:val="21"/>
          <w:szCs w:val="21"/>
          <w:highlight w:val="none"/>
        </w:rPr>
        <w:t>政府采购促进中小企业发展；</w:t>
      </w:r>
      <w:bookmarkEnd w:id="19"/>
      <w:bookmarkEnd w:id="20"/>
    </w:p>
    <w:p>
      <w:pPr>
        <w:spacing w:line="360" w:lineRule="auto"/>
        <w:ind w:right="62" w:firstLine="594" w:firstLineChars="300"/>
        <w:jc w:val="both"/>
        <w:rPr>
          <w:rFonts w:hint="eastAsia" w:ascii="宋体" w:hAnsi="宋体" w:eastAsia="宋体" w:cs="宋体"/>
          <w:color w:val="auto"/>
          <w:spacing w:val="-6"/>
          <w:sz w:val="21"/>
          <w:szCs w:val="21"/>
          <w:highlight w:val="none"/>
        </w:rPr>
      </w:pPr>
      <w:bookmarkStart w:id="21" w:name="_Toc12050_WPSOffice_Level2"/>
      <w:bookmarkStart w:id="22" w:name="_Toc20341_WPSOffice_Level2"/>
      <w:r>
        <w:rPr>
          <w:rFonts w:hint="eastAsia" w:ascii="宋体" w:hAnsi="宋体" w:eastAsia="宋体" w:cs="宋体"/>
          <w:color w:val="auto"/>
          <w:spacing w:val="-6"/>
          <w:sz w:val="21"/>
          <w:szCs w:val="21"/>
          <w:highlight w:val="none"/>
        </w:rPr>
        <w:t>2.</w:t>
      </w:r>
      <w:r>
        <w:rPr>
          <w:rFonts w:hint="eastAsia" w:ascii="宋体" w:hAnsi="宋体" w:eastAsia="宋体" w:cs="宋体"/>
          <w:color w:val="auto"/>
          <w:spacing w:val="-6"/>
          <w:sz w:val="21"/>
          <w:szCs w:val="21"/>
          <w:highlight w:val="none"/>
        </w:rPr>
        <w:t>政府采购支持监狱企业发展；</w:t>
      </w:r>
      <w:bookmarkEnd w:id="21"/>
      <w:bookmarkEnd w:id="22"/>
    </w:p>
    <w:p>
      <w:pPr>
        <w:spacing w:line="360" w:lineRule="auto"/>
        <w:ind w:right="62" w:firstLine="594" w:firstLineChars="300"/>
        <w:jc w:val="both"/>
        <w:rPr>
          <w:rFonts w:hint="eastAsia" w:ascii="宋体" w:hAnsi="宋体" w:eastAsia="宋体" w:cs="宋体"/>
          <w:color w:val="auto"/>
          <w:spacing w:val="-6"/>
          <w:sz w:val="21"/>
          <w:szCs w:val="21"/>
          <w:highlight w:val="none"/>
        </w:rPr>
      </w:pPr>
      <w:bookmarkStart w:id="23" w:name="_Toc20772_WPSOffice_Level2"/>
      <w:bookmarkStart w:id="24" w:name="_Toc14818_WPSOffice_Level2"/>
      <w:r>
        <w:rPr>
          <w:rFonts w:hint="eastAsia" w:ascii="宋体" w:hAnsi="宋体" w:eastAsia="宋体" w:cs="宋体"/>
          <w:color w:val="auto"/>
          <w:spacing w:val="-6"/>
          <w:sz w:val="21"/>
          <w:szCs w:val="21"/>
          <w:highlight w:val="none"/>
        </w:rPr>
        <w:t>3.</w:t>
      </w:r>
      <w:r>
        <w:rPr>
          <w:rFonts w:hint="eastAsia" w:ascii="宋体" w:hAnsi="宋体" w:eastAsia="宋体" w:cs="宋体"/>
          <w:color w:val="auto"/>
          <w:spacing w:val="-6"/>
          <w:sz w:val="21"/>
          <w:szCs w:val="21"/>
          <w:highlight w:val="none"/>
        </w:rPr>
        <w:t>政府采购促进残疾人就业；</w:t>
      </w:r>
      <w:bookmarkEnd w:id="23"/>
      <w:bookmarkEnd w:id="24"/>
    </w:p>
    <w:p>
      <w:pPr>
        <w:spacing w:line="360" w:lineRule="auto"/>
        <w:ind w:right="3626" w:firstLine="594" w:firstLineChars="300"/>
        <w:jc w:val="both"/>
        <w:rPr>
          <w:rFonts w:hint="eastAsia" w:ascii="宋体" w:hAnsi="宋体" w:eastAsia="宋体" w:cs="宋体"/>
          <w:color w:val="auto"/>
          <w:sz w:val="21"/>
          <w:szCs w:val="21"/>
          <w:highlight w:val="none"/>
        </w:rPr>
        <w:sectPr>
          <w:headerReference r:id="rId7" w:type="default"/>
          <w:pgSz w:w="11900" w:h="16838"/>
          <w:pgMar w:top="1440" w:right="1440" w:bottom="401" w:left="1440" w:header="567" w:footer="567" w:gutter="0"/>
          <w:cols w:equalWidth="0" w:num="1">
            <w:col w:w="9026"/>
          </w:cols>
        </w:sectPr>
      </w:pPr>
      <w:bookmarkStart w:id="25" w:name="_Toc28987_WPSOffice_Level2"/>
      <w:bookmarkStart w:id="26" w:name="_Toc24533_WPSOffice_Level2"/>
      <w:r>
        <w:rPr>
          <w:rFonts w:hint="eastAsia" w:ascii="宋体" w:hAnsi="宋体" w:eastAsia="宋体" w:cs="宋体"/>
          <w:color w:val="auto"/>
          <w:spacing w:val="-6"/>
          <w:sz w:val="21"/>
          <w:szCs w:val="21"/>
          <w:highlight w:val="none"/>
        </w:rPr>
        <w:t>4.</w:t>
      </w:r>
      <w:r>
        <w:rPr>
          <w:rFonts w:hint="eastAsia" w:ascii="宋体" w:hAnsi="宋体" w:eastAsia="宋体" w:cs="宋体"/>
          <w:color w:val="auto"/>
          <w:spacing w:val="-6"/>
          <w:sz w:val="21"/>
          <w:szCs w:val="21"/>
          <w:highlight w:val="none"/>
        </w:rPr>
        <w:t>政府采购鼓励节能、环保产品；</w:t>
      </w:r>
      <w:bookmarkEnd w:id="25"/>
      <w:bookmarkEnd w:id="26"/>
    </w:p>
    <w:p>
      <w:pPr>
        <w:spacing w:line="1" w:lineRule="exact"/>
        <w:rPr>
          <w:rFonts w:hint="eastAsia" w:ascii="宋体" w:hAnsi="宋体" w:eastAsia="宋体" w:cs="宋体"/>
          <w:color w:val="auto"/>
          <w:sz w:val="20"/>
          <w:szCs w:val="20"/>
          <w:highlight w:val="none"/>
        </w:rPr>
      </w:pPr>
      <w:bookmarkStart w:id="27" w:name="page5"/>
      <w:bookmarkEnd w:id="27"/>
      <w:bookmarkStart w:id="28" w:name="page6"/>
      <w:bookmarkEnd w:id="28"/>
    </w:p>
    <w:p>
      <w:pPr>
        <w:spacing w:line="20" w:lineRule="exact"/>
        <w:rPr>
          <w:rFonts w:hint="eastAsia" w:ascii="宋体" w:hAnsi="宋体" w:eastAsia="宋体" w:cs="宋体"/>
          <w:color w:val="auto"/>
          <w:highlight w:val="none"/>
        </w:rPr>
      </w:pPr>
      <w:r>
        <w:rPr>
          <w:rFonts w:hint="eastAsia" w:ascii="宋体" w:hAnsi="宋体" w:eastAsia="宋体" w:cs="宋体"/>
          <w:color w:val="auto"/>
          <w:highlight w:val="none"/>
        </w:rPr>
        <w:pict>
          <v:shape id="Picture 8" o:spid="_x0000_s1034" o:spt="75" type="#_x0000_t75" style="position:absolute;left:0pt;margin-left:176.05pt;margin-top:-398.75pt;height:12.6pt;width:9.95pt;z-index:-251670528;mso-width-relative:page;mso-height-relative:page;" filled="f" o:preferrelative="t" stroked="f" coordsize="21600,21600" o:allowincell="f">
            <v:path/>
            <v:fill on="f" focussize="0,0"/>
            <v:stroke on="f" joinstyle="miter"/>
            <v:imagedata r:id="rId10" o:title=""/>
            <o:lock v:ext="edit" aspectratio="t"/>
          </v:shape>
        </w:pict>
      </w:r>
    </w:p>
    <w:p>
      <w:pPr>
        <w:tabs>
          <w:tab w:val="center" w:pos="4737"/>
        </w:tabs>
        <w:jc w:val="center"/>
        <w:rPr>
          <w:rFonts w:hint="eastAsia" w:ascii="宋体" w:hAnsi="宋体" w:eastAsia="宋体" w:cs="宋体"/>
          <w:b/>
          <w:bCs/>
          <w:color w:val="auto"/>
          <w:sz w:val="32"/>
          <w:szCs w:val="32"/>
          <w:highlight w:val="none"/>
        </w:rPr>
      </w:pPr>
      <w:bookmarkStart w:id="29" w:name="_Toc14201_WPSOffice_Level1"/>
      <w:bookmarkStart w:id="30" w:name="_Toc6071_WPSOffice_Level1"/>
      <w:r>
        <w:rPr>
          <w:rFonts w:hint="eastAsia" w:ascii="宋体" w:hAnsi="宋体" w:eastAsia="宋体" w:cs="宋体"/>
          <w:b/>
          <w:bCs/>
          <w:color w:val="auto"/>
          <w:sz w:val="32"/>
          <w:szCs w:val="32"/>
          <w:highlight w:val="none"/>
        </w:rPr>
        <w:t>第二章</w:t>
      </w:r>
      <w:r>
        <w:rPr>
          <w:rFonts w:hint="eastAsia" w:ascii="宋体" w:hAnsi="宋体" w:eastAsia="宋体" w:cs="宋体"/>
          <w:b/>
          <w:bCs/>
          <w:color w:val="auto"/>
          <w:sz w:val="32"/>
          <w:szCs w:val="32"/>
          <w:highlight w:val="none"/>
        </w:rPr>
        <w:t xml:space="preserve">  </w:t>
      </w:r>
      <w:r>
        <w:rPr>
          <w:rFonts w:hint="eastAsia" w:ascii="宋体" w:hAnsi="宋体" w:eastAsia="宋体" w:cs="宋体"/>
          <w:b/>
          <w:bCs/>
          <w:color w:val="auto"/>
          <w:sz w:val="32"/>
          <w:szCs w:val="32"/>
          <w:highlight w:val="none"/>
        </w:rPr>
        <w:t>供应商须知前附表</w:t>
      </w:r>
      <w:bookmarkEnd w:id="29"/>
      <w:bookmarkEnd w:id="30"/>
    </w:p>
    <w:p>
      <w:pPr>
        <w:tabs>
          <w:tab w:val="center" w:pos="4737"/>
        </w:tabs>
        <w:jc w:val="both"/>
        <w:rPr>
          <w:rFonts w:hint="eastAsia" w:ascii="宋体" w:hAnsi="宋体" w:eastAsia="宋体" w:cs="宋体"/>
          <w:b/>
          <w:bCs/>
          <w:color w:val="auto"/>
          <w:sz w:val="32"/>
          <w:szCs w:val="32"/>
          <w:highlight w:val="none"/>
        </w:rPr>
      </w:pPr>
    </w:p>
    <w:tbl>
      <w:tblPr>
        <w:tblStyle w:val="19"/>
        <w:tblW w:w="94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146"/>
        <w:gridCol w:w="6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blHeader/>
        </w:trPr>
        <w:tc>
          <w:tcPr>
            <w:tcW w:w="959" w:type="dxa"/>
            <w:tcBorders>
              <w:top w:val="single" w:color="auto" w:sz="12" w:space="0"/>
              <w:left w:val="single" w:color="auto" w:sz="12" w:space="0"/>
            </w:tcBorders>
            <w:vAlign w:val="center"/>
          </w:tcPr>
          <w:p>
            <w:pPr>
              <w:snapToGrid w:val="0"/>
              <w:spacing w:line="40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146" w:type="dxa"/>
            <w:tcBorders>
              <w:top w:val="single" w:color="auto" w:sz="12" w:space="0"/>
            </w:tcBorders>
            <w:vAlign w:val="center"/>
          </w:tcPr>
          <w:p>
            <w:pPr>
              <w:snapToGrid w:val="0"/>
              <w:spacing w:line="40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内容</w:t>
            </w:r>
          </w:p>
        </w:tc>
        <w:tc>
          <w:tcPr>
            <w:tcW w:w="6314" w:type="dxa"/>
            <w:tcBorders>
              <w:top w:val="single" w:color="auto" w:sz="12" w:space="0"/>
              <w:right w:val="single" w:color="auto" w:sz="12" w:space="0"/>
            </w:tcBorders>
            <w:vAlign w:val="center"/>
          </w:tcPr>
          <w:p>
            <w:pPr>
              <w:snapToGrid w:val="0"/>
              <w:spacing w:line="40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146" w:type="dxa"/>
            <w:vAlign w:val="center"/>
          </w:tcPr>
          <w:p>
            <w:pPr>
              <w:autoSpaceDE w:val="0"/>
              <w:autoSpaceDN w:val="0"/>
              <w:adjustRightInd w:val="0"/>
              <w:snapToGrid w:val="0"/>
              <w:spacing w:line="300" w:lineRule="exact"/>
              <w:jc w:val="center"/>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w:t>
            </w:r>
          </w:p>
        </w:tc>
        <w:tc>
          <w:tcPr>
            <w:tcW w:w="6314" w:type="dxa"/>
            <w:tcBorders>
              <w:right w:val="single" w:color="auto" w:sz="12" w:space="0"/>
            </w:tcBorders>
            <w:vAlign w:val="center"/>
          </w:tcPr>
          <w:p>
            <w:pPr>
              <w:autoSpaceDE w:val="0"/>
              <w:autoSpaceDN w:val="0"/>
              <w:adjustRightInd w:val="0"/>
              <w:snapToGrid w:val="0"/>
              <w:spacing w:line="30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浙江农林大学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146" w:type="dxa"/>
            <w:vAlign w:val="center"/>
          </w:tcPr>
          <w:p>
            <w:pPr>
              <w:autoSpaceDE w:val="0"/>
              <w:autoSpaceDN w:val="0"/>
              <w:adjustRightInd w:val="0"/>
              <w:snapToGrid w:val="0"/>
              <w:spacing w:line="300" w:lineRule="exact"/>
              <w:jc w:val="center"/>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采购代理机构</w:t>
            </w:r>
          </w:p>
        </w:tc>
        <w:tc>
          <w:tcPr>
            <w:tcW w:w="6314" w:type="dxa"/>
            <w:tcBorders>
              <w:right w:val="single" w:color="auto" w:sz="12" w:space="0"/>
            </w:tcBorders>
            <w:vAlign w:val="center"/>
          </w:tcPr>
          <w:p>
            <w:pPr>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浙江五石工程咨询有限公司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146" w:type="dxa"/>
            <w:vAlign w:val="center"/>
          </w:tcPr>
          <w:p>
            <w:pPr>
              <w:autoSpaceDE w:val="0"/>
              <w:autoSpaceDN w:val="0"/>
              <w:adjustRightInd w:val="0"/>
              <w:snapToGrid w:val="0"/>
              <w:spacing w:line="300" w:lineRule="exact"/>
              <w:jc w:val="center"/>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是否接受联合体投标</w:t>
            </w:r>
          </w:p>
        </w:tc>
        <w:tc>
          <w:tcPr>
            <w:tcW w:w="6314" w:type="dxa"/>
            <w:tcBorders>
              <w:right w:val="single" w:color="auto" w:sz="12" w:space="0"/>
            </w:tcBorders>
            <w:vAlign w:val="center"/>
          </w:tcPr>
          <w:p>
            <w:pPr>
              <w:autoSpaceDE w:val="0"/>
              <w:autoSpaceDN w:val="0"/>
              <w:adjustRightInd w:val="0"/>
              <w:snapToGrid w:val="0"/>
              <w:spacing w:line="30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146"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工期</w:t>
            </w:r>
          </w:p>
        </w:tc>
        <w:tc>
          <w:tcPr>
            <w:tcW w:w="6314" w:type="dxa"/>
            <w:tcBorders>
              <w:right w:val="single" w:color="auto" w:sz="12" w:space="0"/>
            </w:tcBorders>
            <w:vAlign w:val="center"/>
          </w:tcPr>
          <w:p>
            <w:pP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计划工期：签订合同之日起</w:t>
            </w:r>
            <w:r>
              <w:rPr>
                <w:rFonts w:hint="eastAsia" w:ascii="宋体" w:hAnsi="宋体" w:eastAsia="宋体" w:cs="宋体"/>
                <w:b/>
                <w:bCs/>
                <w:color w:val="auto"/>
                <w:sz w:val="21"/>
                <w:szCs w:val="21"/>
                <w:highlight w:val="none"/>
              </w:rPr>
              <w:t>30</w:t>
            </w:r>
            <w:r>
              <w:rPr>
                <w:rFonts w:hint="eastAsia" w:ascii="宋体" w:hAnsi="宋体" w:eastAsia="宋体" w:cs="宋体"/>
                <w:b/>
                <w:bCs/>
                <w:color w:val="auto"/>
                <w:sz w:val="21"/>
                <w:szCs w:val="21"/>
                <w:highlight w:val="none"/>
              </w:rPr>
              <w:t>日历天</w:t>
            </w:r>
            <w:r>
              <w:rPr>
                <w:rFonts w:hint="eastAsia" w:ascii="宋体" w:hAnsi="宋体" w:eastAsia="宋体" w:cs="宋体"/>
                <w:b/>
                <w:bCs/>
                <w:color w:val="auto"/>
                <w:sz w:val="21"/>
                <w:szCs w:val="21"/>
                <w:highlight w:val="none"/>
              </w:rPr>
              <w:t>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2146" w:type="dxa"/>
            <w:vAlign w:val="center"/>
          </w:tcPr>
          <w:p>
            <w:pPr>
              <w:autoSpaceDE w:val="0"/>
              <w:autoSpaceDN w:val="0"/>
              <w:adjustRightInd w:val="0"/>
              <w:snapToGrid w:val="0"/>
              <w:spacing w:line="300" w:lineRule="exact"/>
              <w:jc w:val="center"/>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质量要求</w:t>
            </w:r>
          </w:p>
        </w:tc>
        <w:tc>
          <w:tcPr>
            <w:tcW w:w="6314" w:type="dxa"/>
            <w:tcBorders>
              <w:right w:val="single" w:color="auto" w:sz="12" w:space="0"/>
            </w:tcBorders>
            <w:vAlign w:val="center"/>
          </w:tcPr>
          <w:p>
            <w:pPr>
              <w:autoSpaceDE w:val="0"/>
              <w:autoSpaceDN w:val="0"/>
              <w:adjustRightInd w:val="0"/>
              <w:snapToGrid w:val="0"/>
              <w:spacing w:line="30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质量要求符合《工程施工质量验收规范》达到国家验收规范</w:t>
            </w:r>
            <w:r>
              <w:rPr>
                <w:rFonts w:hint="eastAsia" w:ascii="宋体" w:hAnsi="宋体" w:eastAsia="宋体" w:cs="宋体"/>
                <w:b/>
                <w:bCs/>
                <w:color w:val="auto"/>
                <w:sz w:val="21"/>
                <w:szCs w:val="21"/>
                <w:highlight w:val="none"/>
              </w:rPr>
              <w:t>合格</w:t>
            </w:r>
            <w:r>
              <w:rPr>
                <w:rFonts w:hint="eastAsia" w:ascii="宋体" w:hAnsi="宋体" w:eastAsia="宋体" w:cs="宋体"/>
                <w:color w:val="auto"/>
                <w:sz w:val="21"/>
                <w:szCs w:val="21"/>
                <w:highlight w:val="none"/>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2146" w:type="dxa"/>
            <w:vAlign w:val="center"/>
          </w:tcPr>
          <w:p>
            <w:pPr>
              <w:autoSpaceDE w:val="0"/>
              <w:autoSpaceDN w:val="0"/>
              <w:adjustRightInd w:val="0"/>
              <w:snapToGrid w:val="0"/>
              <w:spacing w:line="300" w:lineRule="exact"/>
              <w:jc w:val="center"/>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现场踏勘</w:t>
            </w:r>
          </w:p>
        </w:tc>
        <w:tc>
          <w:tcPr>
            <w:tcW w:w="6314" w:type="dxa"/>
            <w:tcBorders>
              <w:right w:val="single" w:color="auto" w:sz="12" w:space="0"/>
            </w:tcBorders>
            <w:vAlign w:val="center"/>
          </w:tcPr>
          <w:p>
            <w:pPr>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不组织，投标人如有需要，经采购人同意后可自行前往，踏勘期间发生的费用或意外导致伤亡等一切责任和损失均由投标人自负。</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eastAsia="zh-CN"/>
              </w:rPr>
              <w:t>徐老师</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t>联系方式：</w:t>
            </w:r>
            <w:r>
              <w:rPr>
                <w:rFonts w:hint="eastAsia" w:ascii="宋体" w:hAnsi="宋体" w:eastAsia="宋体" w:cs="宋体"/>
                <w:color w:val="auto"/>
                <w:sz w:val="21"/>
                <w:szCs w:val="21"/>
                <w:highlight w:val="none"/>
                <w:lang w:val="en-US" w:eastAsia="zh-CN"/>
              </w:rPr>
              <w:t>13615716876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2146" w:type="dxa"/>
            <w:vAlign w:val="center"/>
          </w:tcPr>
          <w:p>
            <w:pPr>
              <w:autoSpaceDE w:val="0"/>
              <w:autoSpaceDN w:val="0"/>
              <w:adjustRightInd w:val="0"/>
              <w:snapToGrid w:val="0"/>
              <w:spacing w:line="300" w:lineRule="exact"/>
              <w:jc w:val="center"/>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答疑会</w:t>
            </w:r>
          </w:p>
        </w:tc>
        <w:tc>
          <w:tcPr>
            <w:tcW w:w="6314" w:type="dxa"/>
            <w:tcBorders>
              <w:right w:val="single" w:color="auto" w:sz="12" w:space="0"/>
            </w:tcBorders>
            <w:vAlign w:val="center"/>
          </w:tcPr>
          <w:p>
            <w:pPr>
              <w:spacing w:line="300" w:lineRule="exact"/>
              <w:ind w:right="8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2146" w:type="dxa"/>
            <w:vAlign w:val="center"/>
          </w:tcPr>
          <w:p>
            <w:pPr>
              <w:autoSpaceDE w:val="0"/>
              <w:autoSpaceDN w:val="0"/>
              <w:adjustRightInd w:val="0"/>
              <w:snapToGrid w:val="0"/>
              <w:spacing w:line="300" w:lineRule="exact"/>
              <w:jc w:val="center"/>
              <w:textAlignment w:val="bottom"/>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分包</w:t>
            </w:r>
          </w:p>
        </w:tc>
        <w:tc>
          <w:tcPr>
            <w:tcW w:w="6314" w:type="dxa"/>
            <w:tcBorders>
              <w:right w:val="single" w:color="auto" w:sz="12" w:space="0"/>
            </w:tcBorders>
            <w:vAlign w:val="center"/>
          </w:tcPr>
          <w:p>
            <w:pPr>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2146" w:type="dxa"/>
            <w:vAlign w:val="center"/>
          </w:tcPr>
          <w:p>
            <w:pPr>
              <w:autoSpaceDE w:val="0"/>
              <w:autoSpaceDN w:val="0"/>
              <w:adjustRightInd w:val="0"/>
              <w:snapToGrid w:val="0"/>
              <w:spacing w:line="300" w:lineRule="exact"/>
              <w:jc w:val="center"/>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询疑截止时间</w:t>
            </w:r>
          </w:p>
        </w:tc>
        <w:tc>
          <w:tcPr>
            <w:tcW w:w="6314" w:type="dxa"/>
            <w:tcBorders>
              <w:right w:val="single" w:color="auto" w:sz="12" w:space="0"/>
            </w:tcBorders>
            <w:vAlign w:val="center"/>
          </w:tcPr>
          <w:p>
            <w:pPr>
              <w:autoSpaceDE w:val="0"/>
              <w:autoSpaceDN w:val="0"/>
              <w:adjustRightInd w:val="0"/>
              <w:snapToGrid w:val="0"/>
              <w:spacing w:line="30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投标人在收到招标文件后，对招标文件若有疑问，均应在</w:t>
            </w:r>
            <w:r>
              <w:rPr>
                <w:rFonts w:hint="eastAsia" w:ascii="宋体" w:hAnsi="宋体" w:eastAsia="宋体" w:cs="宋体"/>
                <w:color w:val="auto"/>
                <w:sz w:val="21"/>
                <w:szCs w:val="21"/>
                <w:highlight w:val="none"/>
              </w:rPr>
              <w:t>2019</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rPr>
              <w:t>17 :00</w:t>
            </w:r>
            <w:r>
              <w:rPr>
                <w:rFonts w:hint="eastAsia" w:ascii="宋体" w:hAnsi="宋体" w:eastAsia="宋体" w:cs="宋体"/>
                <w:color w:val="auto"/>
                <w:sz w:val="21"/>
                <w:szCs w:val="21"/>
                <w:highlight w:val="none"/>
              </w:rPr>
              <w:t>前</w:t>
            </w:r>
            <w:r>
              <w:rPr>
                <w:rFonts w:hint="eastAsia" w:ascii="宋体" w:hAnsi="宋体" w:eastAsia="宋体" w:cs="宋体"/>
                <w:color w:val="auto"/>
                <w:sz w:val="21"/>
                <w:szCs w:val="21"/>
                <w:highlight w:val="none"/>
              </w:rPr>
              <w:t>以书面形式向招标代理机构提交。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2146" w:type="dxa"/>
            <w:vAlign w:val="center"/>
          </w:tcPr>
          <w:p>
            <w:pPr>
              <w:autoSpaceDE w:val="0"/>
              <w:autoSpaceDN w:val="0"/>
              <w:adjustRightInd w:val="0"/>
              <w:snapToGrid w:val="0"/>
              <w:spacing w:line="300" w:lineRule="exact"/>
              <w:jc w:val="center"/>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签字或盖章要求</w:t>
            </w:r>
          </w:p>
        </w:tc>
        <w:tc>
          <w:tcPr>
            <w:tcW w:w="6314" w:type="dxa"/>
            <w:tcBorders>
              <w:right w:val="single" w:color="auto" w:sz="12" w:space="0"/>
            </w:tcBorders>
            <w:vAlign w:val="center"/>
          </w:tcPr>
          <w:p>
            <w:pPr>
              <w:autoSpaceDE w:val="0"/>
              <w:autoSpaceDN w:val="0"/>
              <w:adjustRightInd w:val="0"/>
              <w:snapToGrid w:val="0"/>
              <w:spacing w:line="30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按照响应文件格式要求签署、盖章。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1"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2146" w:type="dxa"/>
            <w:vAlign w:val="center"/>
          </w:tcPr>
          <w:p>
            <w:pPr>
              <w:autoSpaceDE w:val="0"/>
              <w:autoSpaceDN w:val="0"/>
              <w:adjustRightInd w:val="0"/>
              <w:snapToGrid w:val="0"/>
              <w:spacing w:line="300" w:lineRule="exact"/>
              <w:jc w:val="center"/>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响应文件份数</w:t>
            </w:r>
          </w:p>
        </w:tc>
        <w:tc>
          <w:tcPr>
            <w:tcW w:w="6314" w:type="dxa"/>
            <w:tcBorders>
              <w:right w:val="single" w:color="auto" w:sz="12" w:space="0"/>
            </w:tcBorders>
            <w:vAlign w:val="center"/>
          </w:tcPr>
          <w:p>
            <w:pPr>
              <w:pStyle w:val="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响应文件组成：正本一份、副本四份、电子版一份（</w:t>
            </w:r>
            <w:r>
              <w:rPr>
                <w:rFonts w:hint="eastAsia" w:ascii="宋体" w:hAnsi="宋体" w:eastAsia="宋体" w:cs="宋体"/>
                <w:color w:val="auto"/>
                <w:sz w:val="21"/>
                <w:szCs w:val="21"/>
                <w:highlight w:val="none"/>
              </w:rPr>
              <w:t>U</w:t>
            </w:r>
            <w:r>
              <w:rPr>
                <w:rFonts w:hint="eastAsia" w:ascii="宋体" w:hAnsi="宋体" w:eastAsia="宋体" w:cs="宋体"/>
                <w:color w:val="auto"/>
                <w:sz w:val="21"/>
                <w:szCs w:val="21"/>
                <w:highlight w:val="none"/>
              </w:rPr>
              <w:t>盘或光盘）。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8"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2146" w:type="dxa"/>
            <w:vAlign w:val="center"/>
          </w:tcPr>
          <w:p>
            <w:pPr>
              <w:autoSpaceDE w:val="0"/>
              <w:autoSpaceDN w:val="0"/>
              <w:adjustRightInd w:val="0"/>
              <w:snapToGrid w:val="0"/>
              <w:spacing w:line="300" w:lineRule="exact"/>
              <w:jc w:val="center"/>
              <w:textAlignment w:val="bottom"/>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响应文件装订要求</w:t>
            </w:r>
          </w:p>
        </w:tc>
        <w:tc>
          <w:tcPr>
            <w:tcW w:w="6314" w:type="dxa"/>
            <w:tcBorders>
              <w:right w:val="single" w:color="auto" w:sz="12" w:space="0"/>
            </w:tcBorders>
            <w:vAlign w:val="center"/>
          </w:tcPr>
          <w:p>
            <w:pPr>
              <w:spacing w:line="300" w:lineRule="exact"/>
              <w:rPr>
                <w:rFonts w:hint="eastAsia" w:ascii="宋体" w:hAnsi="宋体" w:eastAsia="宋体" w:cs="宋体"/>
                <w:b/>
                <w:bCs/>
                <w:color w:val="auto"/>
                <w:spacing w:val="-6"/>
                <w:sz w:val="21"/>
                <w:szCs w:val="21"/>
                <w:highlight w:val="none"/>
                <w:u w:val="single"/>
              </w:rPr>
            </w:pPr>
            <w:r>
              <w:rPr>
                <w:rFonts w:hint="eastAsia" w:ascii="宋体" w:hAnsi="宋体" w:eastAsia="宋体" w:cs="宋体"/>
                <w:color w:val="auto"/>
                <w:spacing w:val="-6"/>
                <w:sz w:val="21"/>
                <w:szCs w:val="21"/>
                <w:highlight w:val="none"/>
                <w:u w:val="single"/>
              </w:rPr>
              <w:t>响应方应将报价文件和商务文件、技术文件分别编制，</w:t>
            </w:r>
            <w:r>
              <w:rPr>
                <w:rFonts w:hint="eastAsia" w:ascii="宋体" w:hAnsi="宋体" w:eastAsia="宋体" w:cs="宋体"/>
                <w:b/>
                <w:bCs/>
                <w:color w:val="auto"/>
                <w:spacing w:val="-6"/>
                <w:sz w:val="21"/>
                <w:szCs w:val="21"/>
                <w:highlight w:val="none"/>
                <w:u w:val="single"/>
              </w:rPr>
              <w:t>商务文件和技术文件可以合钉成一本，报价文件单独成册装订。（要求胶装）并在封面注明</w:t>
            </w:r>
            <w:r>
              <w:rPr>
                <w:rFonts w:hint="eastAsia" w:ascii="宋体" w:hAnsi="宋体" w:eastAsia="宋体" w:cs="宋体"/>
                <w:b/>
                <w:bCs/>
                <w:color w:val="auto"/>
                <w:spacing w:val="-6"/>
                <w:sz w:val="21"/>
                <w:szCs w:val="21"/>
                <w:highlight w:val="none"/>
                <w:u w:val="single"/>
              </w:rPr>
              <w:t xml:space="preserve"> </w:t>
            </w:r>
            <w:r>
              <w:rPr>
                <w:rFonts w:hint="eastAsia" w:ascii="宋体" w:hAnsi="宋体" w:eastAsia="宋体" w:cs="宋体"/>
                <w:b/>
                <w:bCs/>
                <w:color w:val="auto"/>
                <w:spacing w:val="-6"/>
                <w:sz w:val="21"/>
                <w:szCs w:val="21"/>
                <w:highlight w:val="none"/>
                <w:u w:val="single"/>
              </w:rPr>
              <w:t>“正本”或“副本”字样。</w:t>
            </w:r>
          </w:p>
          <w:p>
            <w:pPr>
              <w:spacing w:line="300" w:lineRule="exact"/>
              <w:rPr>
                <w:rFonts w:hint="eastAsia" w:ascii="宋体" w:hAnsi="宋体" w:eastAsia="宋体" w:cs="宋体"/>
                <w:b/>
                <w:bCs/>
                <w:color w:val="auto"/>
                <w:sz w:val="21"/>
                <w:szCs w:val="21"/>
                <w:highlight w:val="none"/>
              </w:rPr>
            </w:pPr>
            <w:r>
              <w:rPr>
                <w:rFonts w:hint="eastAsia" w:ascii="宋体" w:hAnsi="宋体" w:eastAsia="宋体" w:cs="宋体"/>
                <w:color w:val="auto"/>
                <w:spacing w:val="-6"/>
                <w:sz w:val="21"/>
                <w:szCs w:val="21"/>
                <w:highlight w:val="none"/>
              </w:rPr>
              <w:t>▲</w:t>
            </w:r>
            <w:r>
              <w:rPr>
                <w:rFonts w:hint="eastAsia" w:ascii="宋体" w:hAnsi="宋体" w:eastAsia="宋体" w:cs="宋体"/>
                <w:color w:val="auto"/>
                <w:sz w:val="21"/>
                <w:szCs w:val="21"/>
                <w:highlight w:val="none"/>
              </w:rPr>
              <w:t>活页装订（卡条、抽杆夹、订书机、散装）的响应文件无效。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2146" w:type="dxa"/>
            <w:vAlign w:val="center"/>
          </w:tcPr>
          <w:p>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磋商保证金</w:t>
            </w:r>
          </w:p>
        </w:tc>
        <w:tc>
          <w:tcPr>
            <w:tcW w:w="6314" w:type="dxa"/>
            <w:tcBorders>
              <w:right w:val="single" w:color="auto" w:sz="12" w:space="0"/>
            </w:tcBorders>
            <w:vAlign w:val="center"/>
          </w:tcPr>
          <w:p>
            <w:pPr>
              <w:pStyle w:val="9"/>
              <w:spacing w:before="120" w:after="120" w:line="30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本项目不提交；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7"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2146" w:type="dxa"/>
            <w:vAlign w:val="center"/>
          </w:tcPr>
          <w:p>
            <w:pPr>
              <w:autoSpaceDE w:val="0"/>
              <w:autoSpaceDN w:val="0"/>
              <w:adjustRightInd w:val="0"/>
              <w:snapToGrid w:val="0"/>
              <w:spacing w:line="300" w:lineRule="exact"/>
              <w:jc w:val="center"/>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响应文件有效期</w:t>
            </w:r>
          </w:p>
        </w:tc>
        <w:tc>
          <w:tcPr>
            <w:tcW w:w="6314" w:type="dxa"/>
            <w:tcBorders>
              <w:right w:val="single" w:color="auto" w:sz="12" w:space="0"/>
            </w:tcBorders>
            <w:vAlign w:val="center"/>
          </w:tcPr>
          <w:p>
            <w:pPr>
              <w:autoSpaceDE w:val="0"/>
              <w:autoSpaceDN w:val="0"/>
              <w:adjustRightInd w:val="0"/>
              <w:snapToGrid w:val="0"/>
              <w:spacing w:line="30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自响应文件提交截止时间起</w:t>
            </w:r>
            <w:r>
              <w:rPr>
                <w:rFonts w:hint="eastAsia" w:ascii="宋体" w:hAnsi="宋体" w:eastAsia="宋体" w:cs="宋体"/>
                <w:color w:val="auto"/>
                <w:sz w:val="21"/>
                <w:szCs w:val="21"/>
                <w:highlight w:val="none"/>
              </w:rPr>
              <w:t>120</w:t>
            </w:r>
            <w:r>
              <w:rPr>
                <w:rFonts w:hint="eastAsia" w:ascii="宋体" w:hAnsi="宋体" w:eastAsia="宋体" w:cs="宋体"/>
                <w:color w:val="auto"/>
                <w:sz w:val="21"/>
                <w:szCs w:val="21"/>
                <w:highlight w:val="none"/>
              </w:rPr>
              <w:t>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6"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2146" w:type="dxa"/>
            <w:vAlign w:val="center"/>
          </w:tcPr>
          <w:p>
            <w:pPr>
              <w:autoSpaceDE w:val="0"/>
              <w:autoSpaceDN w:val="0"/>
              <w:adjustRightInd w:val="0"/>
              <w:snapToGrid w:val="0"/>
              <w:spacing w:line="300" w:lineRule="exact"/>
              <w:jc w:val="center"/>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响应文件密封要求</w:t>
            </w:r>
          </w:p>
        </w:tc>
        <w:tc>
          <w:tcPr>
            <w:tcW w:w="6314" w:type="dxa"/>
            <w:tcBorders>
              <w:right w:val="single" w:color="auto" w:sz="12" w:space="0"/>
            </w:tcBorders>
            <w:vAlign w:val="center"/>
          </w:tcPr>
          <w:p>
            <w:pPr>
              <w:autoSpaceDE w:val="0"/>
              <w:autoSpaceDN w:val="0"/>
              <w:adjustRightInd w:val="0"/>
              <w:snapToGrid w:val="0"/>
              <w:spacing w:line="300" w:lineRule="exact"/>
              <w:textAlignment w:val="bottom"/>
              <w:rPr>
                <w:rFonts w:hint="eastAsia" w:ascii="宋体" w:hAnsi="宋体" w:eastAsia="宋体" w:cs="宋体"/>
                <w:color w:val="auto"/>
                <w:sz w:val="21"/>
                <w:szCs w:val="21"/>
                <w:highlight w:val="none"/>
              </w:rPr>
            </w:pPr>
            <w:r>
              <w:rPr>
                <w:rFonts w:hint="eastAsia" w:ascii="宋体" w:hAnsi="宋体" w:eastAsia="宋体" w:cs="宋体"/>
                <w:b/>
                <w:color w:val="auto"/>
                <w:spacing w:val="-8"/>
                <w:sz w:val="21"/>
                <w:szCs w:val="21"/>
                <w:highlight w:val="none"/>
              </w:rPr>
              <w:t>应将响应文件</w:t>
            </w:r>
            <w:r>
              <w:rPr>
                <w:rFonts w:hint="eastAsia" w:ascii="宋体" w:hAnsi="宋体" w:eastAsia="宋体" w:cs="宋体"/>
                <w:b/>
                <w:bCs/>
                <w:color w:val="auto"/>
                <w:spacing w:val="-6"/>
                <w:sz w:val="21"/>
                <w:szCs w:val="21"/>
                <w:highlight w:val="none"/>
                <w:u w:val="single"/>
              </w:rPr>
              <w:t>商务文件和技术文件</w:t>
            </w:r>
            <w:r>
              <w:rPr>
                <w:rFonts w:hint="eastAsia" w:ascii="宋体" w:hAnsi="宋体" w:eastAsia="宋体" w:cs="宋体"/>
                <w:b/>
                <w:color w:val="auto"/>
                <w:spacing w:val="-8"/>
                <w:sz w:val="21"/>
                <w:szCs w:val="21"/>
                <w:highlight w:val="none"/>
              </w:rPr>
              <w:t>正本与副本密封包装为一包，</w:t>
            </w:r>
            <w:r>
              <w:rPr>
                <w:rFonts w:hint="eastAsia" w:ascii="宋体" w:hAnsi="宋体" w:eastAsia="宋体" w:cs="宋体"/>
                <w:b/>
                <w:color w:val="auto"/>
                <w:spacing w:val="-8"/>
                <w:sz w:val="21"/>
                <w:szCs w:val="21"/>
                <w:highlight w:val="none"/>
                <w:u w:val="single"/>
              </w:rPr>
              <w:t>报价文件</w:t>
            </w:r>
            <w:r>
              <w:rPr>
                <w:rFonts w:hint="eastAsia" w:ascii="宋体" w:hAnsi="宋体" w:eastAsia="宋体" w:cs="宋体"/>
                <w:b/>
                <w:color w:val="auto"/>
                <w:spacing w:val="-8"/>
                <w:sz w:val="21"/>
                <w:szCs w:val="21"/>
                <w:highlight w:val="none"/>
              </w:rPr>
              <w:t>正本与副本和</w:t>
            </w:r>
            <w:r>
              <w:rPr>
                <w:rFonts w:hint="eastAsia" w:ascii="宋体" w:hAnsi="宋体" w:eastAsia="宋体" w:cs="宋体"/>
                <w:b/>
                <w:color w:val="auto"/>
                <w:spacing w:val="-8"/>
                <w:sz w:val="21"/>
                <w:szCs w:val="21"/>
                <w:highlight w:val="none"/>
                <w:u w:val="single"/>
              </w:rPr>
              <w:t>电子版</w:t>
            </w:r>
            <w:r>
              <w:rPr>
                <w:rFonts w:hint="eastAsia" w:ascii="宋体" w:hAnsi="宋体" w:eastAsia="宋体" w:cs="宋体"/>
                <w:b/>
                <w:color w:val="auto"/>
                <w:spacing w:val="-8"/>
                <w:sz w:val="21"/>
                <w:szCs w:val="21"/>
                <w:highlight w:val="none"/>
              </w:rPr>
              <w:t>密封包装为一包。</w:t>
            </w:r>
            <w:r>
              <w:rPr>
                <w:rFonts w:hint="eastAsia" w:ascii="宋体" w:hAnsi="宋体" w:eastAsia="宋体" w:cs="宋体"/>
                <w:color w:val="auto"/>
                <w:sz w:val="21"/>
                <w:szCs w:val="21"/>
                <w:highlight w:val="none"/>
              </w:rPr>
              <w:t>在外包装上注明投标项目名称、项目编号、投标人全称及开标时启封字样，并加盖公章。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2146" w:type="dxa"/>
            <w:vAlign w:val="center"/>
          </w:tcPr>
          <w:p>
            <w:pPr>
              <w:autoSpaceDE w:val="0"/>
              <w:autoSpaceDN w:val="0"/>
              <w:adjustRightInd w:val="0"/>
              <w:snapToGrid w:val="0"/>
              <w:spacing w:line="300" w:lineRule="exact"/>
              <w:jc w:val="center"/>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响应文件递交截止时间</w:t>
            </w:r>
          </w:p>
        </w:tc>
        <w:tc>
          <w:tcPr>
            <w:tcW w:w="6314" w:type="dxa"/>
            <w:tcBorders>
              <w:right w:val="single" w:color="auto" w:sz="12" w:space="0"/>
            </w:tcBorders>
            <w:vAlign w:val="center"/>
          </w:tcPr>
          <w:p>
            <w:pPr>
              <w:autoSpaceDE w:val="0"/>
              <w:autoSpaceDN w:val="0"/>
              <w:adjustRightInd w:val="0"/>
              <w:snapToGrid w:val="0"/>
              <w:spacing w:line="30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按公告规定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2146" w:type="dxa"/>
            <w:vAlign w:val="center"/>
          </w:tcPr>
          <w:p>
            <w:pPr>
              <w:autoSpaceDE w:val="0"/>
              <w:autoSpaceDN w:val="0"/>
              <w:adjustRightInd w:val="0"/>
              <w:snapToGrid w:val="0"/>
              <w:spacing w:line="300" w:lineRule="exact"/>
              <w:jc w:val="center"/>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开标时间、地点</w:t>
            </w:r>
          </w:p>
        </w:tc>
        <w:tc>
          <w:tcPr>
            <w:tcW w:w="6314" w:type="dxa"/>
            <w:tcBorders>
              <w:right w:val="single" w:color="auto" w:sz="12" w:space="0"/>
            </w:tcBorders>
            <w:vAlign w:val="center"/>
          </w:tcPr>
          <w:p>
            <w:pPr>
              <w:autoSpaceDE w:val="0"/>
              <w:autoSpaceDN w:val="0"/>
              <w:adjustRightInd w:val="0"/>
              <w:snapToGrid w:val="0"/>
              <w:spacing w:line="30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按公告规定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959" w:type="dxa"/>
            <w:tcBorders>
              <w:left w:val="single" w:color="auto" w:sz="12"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2146"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履约保证金</w:t>
            </w:r>
          </w:p>
        </w:tc>
        <w:tc>
          <w:tcPr>
            <w:tcW w:w="6314" w:type="dxa"/>
            <w:tcBorders>
              <w:right w:val="single" w:color="auto" w:sz="12" w:space="0"/>
            </w:tcBorders>
            <w:vAlign w:val="center"/>
          </w:tcPr>
          <w:p>
            <w:pPr>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成交人</w:t>
            </w:r>
            <w:r>
              <w:rPr>
                <w:rFonts w:hint="eastAsia" w:ascii="宋体" w:hAnsi="宋体" w:eastAsia="宋体" w:cs="宋体"/>
                <w:color w:val="auto"/>
                <w:sz w:val="21"/>
                <w:szCs w:val="21"/>
                <w:highlight w:val="none"/>
              </w:rPr>
              <w:t>向采购方提供履约担保，担保方式为：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银行汇票或转帐支票或现金支票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担保合同作为本合同附件。担保额度：合同价的2.5%。</w:t>
            </w:r>
            <w:r>
              <w:rPr>
                <w:rFonts w:hint="eastAsia" w:ascii="宋体" w:hAnsi="宋体" w:eastAsia="宋体" w:cs="宋体"/>
                <w:color w:val="auto"/>
                <w:sz w:val="21"/>
                <w:szCs w:val="21"/>
                <w:highlight w:val="none"/>
                <w:lang w:eastAsia="zh-CN"/>
              </w:rPr>
              <w:t>成交人</w:t>
            </w:r>
            <w:r>
              <w:rPr>
                <w:rFonts w:hint="eastAsia" w:ascii="宋体" w:hAnsi="宋体" w:eastAsia="宋体" w:cs="宋体"/>
                <w:color w:val="auto"/>
                <w:sz w:val="21"/>
                <w:szCs w:val="21"/>
                <w:highlight w:val="none"/>
              </w:rPr>
              <w:t>在合同协议签订前3天内，应按合同规定向</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提交履约保证金。</w:t>
            </w:r>
          </w:p>
          <w:p>
            <w:pPr>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2、双方约定的其他担保事项：履约担保金中40%作为质量担保，30%作为工期进度担保，剩余30%作为文明施工担保。</w:t>
            </w:r>
          </w:p>
          <w:p>
            <w:pPr>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3、如</w:t>
            </w:r>
            <w:r>
              <w:rPr>
                <w:rFonts w:hint="eastAsia" w:ascii="宋体" w:hAnsi="宋体" w:eastAsia="宋体" w:cs="宋体"/>
                <w:color w:val="auto"/>
                <w:sz w:val="21"/>
                <w:szCs w:val="21"/>
                <w:highlight w:val="none"/>
                <w:lang w:eastAsia="zh-CN"/>
              </w:rPr>
              <w:t>成交人</w:t>
            </w:r>
            <w:r>
              <w:rPr>
                <w:rFonts w:hint="eastAsia" w:ascii="宋体" w:hAnsi="宋体" w:eastAsia="宋体" w:cs="宋体"/>
                <w:color w:val="auto"/>
                <w:sz w:val="21"/>
                <w:szCs w:val="21"/>
                <w:highlight w:val="none"/>
              </w:rPr>
              <w:t>原因造成合同中止，履约担保金不返还。</w:t>
            </w:r>
          </w:p>
          <w:p>
            <w:pP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4、如</w:t>
            </w:r>
            <w:r>
              <w:rPr>
                <w:rFonts w:hint="eastAsia" w:ascii="宋体" w:hAnsi="宋体" w:eastAsia="宋体" w:cs="宋体"/>
                <w:color w:val="auto"/>
                <w:sz w:val="21"/>
                <w:szCs w:val="21"/>
                <w:highlight w:val="none"/>
                <w:lang w:eastAsia="zh-CN"/>
              </w:rPr>
              <w:t>成交人</w:t>
            </w:r>
            <w:r>
              <w:rPr>
                <w:rFonts w:hint="eastAsia" w:ascii="宋体" w:hAnsi="宋体" w:eastAsia="宋体" w:cs="宋体"/>
                <w:color w:val="auto"/>
                <w:sz w:val="21"/>
                <w:szCs w:val="21"/>
                <w:highlight w:val="none"/>
              </w:rPr>
              <w:t>不能按磋商承诺和合同要求履约，</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将有权扣除相应甚至全部履约保证金。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2146" w:type="dxa"/>
            <w:vAlign w:val="center"/>
          </w:tcPr>
          <w:p>
            <w:pPr>
              <w:autoSpaceDE w:val="0"/>
              <w:autoSpaceDN w:val="0"/>
              <w:adjustRightInd w:val="0"/>
              <w:snapToGrid w:val="0"/>
              <w:spacing w:line="300" w:lineRule="exact"/>
              <w:jc w:val="center"/>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评标方法及标准</w:t>
            </w:r>
          </w:p>
        </w:tc>
        <w:tc>
          <w:tcPr>
            <w:tcW w:w="6314" w:type="dxa"/>
            <w:tcBorders>
              <w:right w:val="single" w:color="auto" w:sz="12" w:space="0"/>
            </w:tcBorders>
            <w:vAlign w:val="center"/>
          </w:tcPr>
          <w:p>
            <w:pPr>
              <w:autoSpaceDE w:val="0"/>
              <w:autoSpaceDN w:val="0"/>
              <w:adjustRightInd w:val="0"/>
              <w:snapToGrid w:val="0"/>
              <w:spacing w:line="30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2146" w:type="dxa"/>
            <w:vAlign w:val="center"/>
          </w:tcPr>
          <w:p>
            <w:pPr>
              <w:autoSpaceDE w:val="0"/>
              <w:autoSpaceDN w:val="0"/>
              <w:adjustRightInd w:val="0"/>
              <w:snapToGrid w:val="0"/>
              <w:spacing w:line="300" w:lineRule="exact"/>
              <w:jc w:val="center"/>
              <w:textAlignment w:val="bottom"/>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最高限价</w:t>
            </w:r>
          </w:p>
        </w:tc>
        <w:tc>
          <w:tcPr>
            <w:tcW w:w="6314" w:type="dxa"/>
            <w:tcBorders>
              <w:right w:val="single" w:color="auto" w:sz="12" w:space="0"/>
            </w:tcBorders>
            <w:vAlign w:val="center"/>
          </w:tcPr>
          <w:p>
            <w:pPr>
              <w:autoSpaceDE w:val="0"/>
              <w:autoSpaceDN w:val="0"/>
              <w:adjustRightInd w:val="0"/>
              <w:snapToGrid w:val="0"/>
              <w:spacing w:line="300" w:lineRule="exact"/>
              <w:textAlignment w:val="bottom"/>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▲最高限价人民币</w:t>
            </w:r>
            <w:r>
              <w:rPr>
                <w:rFonts w:hint="eastAsia" w:ascii="宋体" w:hAnsi="宋体" w:eastAsia="宋体" w:cs="宋体"/>
                <w:b/>
                <w:color w:val="auto"/>
                <w:sz w:val="21"/>
                <w:szCs w:val="21"/>
                <w:highlight w:val="none"/>
                <w:lang w:eastAsia="zh-CN"/>
              </w:rPr>
              <w:t>39.6198</w:t>
            </w:r>
            <w:r>
              <w:rPr>
                <w:rFonts w:hint="eastAsia" w:ascii="宋体" w:hAnsi="宋体" w:eastAsia="宋体" w:cs="宋体"/>
                <w:b/>
                <w:color w:val="auto"/>
                <w:sz w:val="21"/>
                <w:szCs w:val="21"/>
                <w:highlight w:val="none"/>
              </w:rPr>
              <w:t>万元整，超过最高限价的按无效标处理。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2146" w:type="dxa"/>
            <w:vAlign w:val="center"/>
          </w:tcPr>
          <w:p>
            <w:pPr>
              <w:rPr>
                <w:rFonts w:hint="eastAsia" w:ascii="宋体" w:hAnsi="宋体" w:eastAsia="宋体" w:cs="宋体"/>
                <w:color w:val="auto"/>
                <w:sz w:val="21"/>
                <w:szCs w:val="21"/>
                <w:highlight w:val="none"/>
              </w:rPr>
            </w:pPr>
            <w:r>
              <w:rPr>
                <w:rFonts w:hint="eastAsia" w:ascii="宋体" w:hAnsi="宋体" w:eastAsia="宋体" w:cs="宋体"/>
                <w:b/>
                <w:snapToGrid w:val="0"/>
                <w:color w:val="auto"/>
                <w:kern w:val="10"/>
                <w:sz w:val="21"/>
                <w:szCs w:val="21"/>
                <w:highlight w:val="none"/>
              </w:rPr>
              <w:t>中标结果公示媒体</w:t>
            </w:r>
          </w:p>
        </w:tc>
        <w:tc>
          <w:tcPr>
            <w:tcW w:w="6314" w:type="dxa"/>
            <w:tcBorders>
              <w:right w:val="single" w:color="auto" w:sz="12" w:space="0"/>
            </w:tcBorders>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浙江省政府采购网（</w:t>
            </w:r>
            <w:r>
              <w:rPr>
                <w:rFonts w:hint="eastAsia" w:ascii="宋体" w:hAnsi="宋体" w:eastAsia="宋体" w:cs="宋体"/>
                <w:color w:val="auto"/>
                <w:sz w:val="21"/>
                <w:szCs w:val="21"/>
                <w:highlight w:val="none"/>
              </w:rPr>
              <w:t>http://www.zjzfcg.gov.cn</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2146" w:type="dxa"/>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采购代理服务费与造价编制服务费</w:t>
            </w:r>
          </w:p>
        </w:tc>
        <w:tc>
          <w:tcPr>
            <w:tcW w:w="6314" w:type="dxa"/>
            <w:tcBorders>
              <w:right w:val="single" w:color="auto" w:sz="12" w:space="0"/>
            </w:tcBorders>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rPr>
              <w:t>、参照国家发改委发改办价格</w:t>
            </w:r>
            <w:r>
              <w:rPr>
                <w:rFonts w:hint="eastAsia" w:ascii="宋体" w:hAnsi="宋体" w:eastAsia="宋体" w:cs="宋体"/>
                <w:color w:val="auto"/>
                <w:sz w:val="21"/>
                <w:szCs w:val="21"/>
                <w:highlight w:val="none"/>
              </w:rPr>
              <w:t>[2003]857</w:t>
            </w:r>
            <w:r>
              <w:rPr>
                <w:rFonts w:hint="eastAsia" w:ascii="宋体" w:hAnsi="宋体" w:eastAsia="宋体" w:cs="宋体"/>
                <w:color w:val="auto"/>
                <w:sz w:val="21"/>
                <w:szCs w:val="21"/>
                <w:highlight w:val="none"/>
              </w:rPr>
              <w:t>号通知和原国家计</w:t>
            </w:r>
            <w:r>
              <w:rPr>
                <w:rFonts w:hint="eastAsia" w:ascii="宋体" w:hAnsi="宋体" w:eastAsia="宋体" w:cs="宋体"/>
                <w:color w:val="auto"/>
                <w:sz w:val="21"/>
                <w:szCs w:val="21"/>
                <w:highlight w:val="none"/>
              </w:rPr>
              <w:t>[2002]1980</w:t>
            </w:r>
            <w:r>
              <w:rPr>
                <w:rFonts w:hint="eastAsia" w:ascii="宋体" w:hAnsi="宋体" w:eastAsia="宋体" w:cs="宋体"/>
                <w:color w:val="auto"/>
                <w:sz w:val="21"/>
                <w:szCs w:val="21"/>
                <w:highlight w:val="none"/>
              </w:rPr>
              <w:t>号文件规定的招标费率标准</w:t>
            </w: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rPr>
              <w:t>折收取服务费，不足</w:t>
            </w:r>
            <w:r>
              <w:rPr>
                <w:rFonts w:hint="eastAsia" w:ascii="宋体" w:hAnsi="宋体" w:eastAsia="宋体" w:cs="宋体"/>
                <w:color w:val="auto"/>
                <w:sz w:val="21"/>
                <w:szCs w:val="21"/>
                <w:highlight w:val="none"/>
              </w:rPr>
              <w:t>3000</w:t>
            </w:r>
            <w:r>
              <w:rPr>
                <w:rFonts w:hint="eastAsia" w:ascii="宋体" w:hAnsi="宋体" w:eastAsia="宋体" w:cs="宋体"/>
                <w:color w:val="auto"/>
                <w:sz w:val="21"/>
                <w:szCs w:val="21"/>
                <w:highlight w:val="none"/>
              </w:rPr>
              <w:t>元按</w:t>
            </w:r>
            <w:r>
              <w:rPr>
                <w:rFonts w:hint="eastAsia" w:ascii="宋体" w:hAnsi="宋体" w:eastAsia="宋体" w:cs="宋体"/>
                <w:color w:val="auto"/>
                <w:sz w:val="21"/>
                <w:szCs w:val="21"/>
                <w:highlight w:val="none"/>
              </w:rPr>
              <w:t>3000</w:t>
            </w:r>
            <w:r>
              <w:rPr>
                <w:rFonts w:hint="eastAsia" w:ascii="宋体" w:hAnsi="宋体" w:eastAsia="宋体" w:cs="宋体"/>
                <w:color w:val="auto"/>
                <w:sz w:val="21"/>
                <w:szCs w:val="21"/>
                <w:highlight w:val="none"/>
              </w:rPr>
              <w:t>元收取。</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rPr>
              <w:t>、中标人在领取中标通知书前，应向招标代理机构交纳招标代理服务费。</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rPr>
              <w:t>、招标代理服务费以电汇方式支付。</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rPr>
              <w:t>、中标人如未按上述规定办理，本招标代理机构有权从其参加招标活动的投标保证金中收取采招标代理服务费，并对不足部分进行追索。</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rPr>
              <w:t>、服务费缴纳账号：</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单位名称：浙江五石工程咨询有限公司萧山分公司</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开户银行：浙江民泰商业银行杭州钱江新城支行</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t>号：</w:t>
            </w:r>
            <w:r>
              <w:rPr>
                <w:rFonts w:hint="eastAsia" w:ascii="宋体" w:hAnsi="宋体" w:eastAsia="宋体" w:cs="宋体"/>
                <w:color w:val="auto"/>
                <w:sz w:val="21"/>
                <w:szCs w:val="21"/>
                <w:highlight w:val="none"/>
              </w:rPr>
              <w:t>583777806700015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4" w:hRule="atLeast"/>
        </w:trPr>
        <w:tc>
          <w:tcPr>
            <w:tcW w:w="959" w:type="dxa"/>
            <w:vMerge w:val="restart"/>
            <w:tcBorders>
              <w:left w:val="single" w:color="auto" w:sz="12" w:space="0"/>
            </w:tcBorders>
            <w:vAlign w:val="center"/>
          </w:tcPr>
          <w:p>
            <w:pPr>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2146" w:type="dxa"/>
            <w:vMerge w:val="restart"/>
            <w:vAlign w:val="center"/>
          </w:tcPr>
          <w:p>
            <w:pPr>
              <w:snapToGrid w:val="0"/>
              <w:spacing w:line="30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特别提醒</w:t>
            </w:r>
          </w:p>
        </w:tc>
        <w:tc>
          <w:tcPr>
            <w:tcW w:w="6314" w:type="dxa"/>
            <w:tcBorders>
              <w:right w:val="single" w:color="auto" w:sz="12" w:space="0"/>
            </w:tcBorders>
            <w:vAlign w:val="center"/>
          </w:tcPr>
          <w:p>
            <w:pPr>
              <w:snapToGrid w:val="0"/>
              <w:spacing w:line="300" w:lineRule="exact"/>
              <w:rPr>
                <w:rFonts w:hint="eastAsia" w:ascii="宋体" w:hAnsi="宋体" w:eastAsia="宋体" w:cs="宋体"/>
                <w:bCs/>
                <w:snapToGrid w:val="0"/>
                <w:color w:val="auto"/>
                <w:sz w:val="21"/>
                <w:szCs w:val="21"/>
                <w:highlight w:val="none"/>
              </w:rPr>
            </w:pPr>
            <w:r>
              <w:rPr>
                <w:rFonts w:hint="eastAsia" w:ascii="宋体" w:hAnsi="宋体" w:eastAsia="宋体" w:cs="宋体"/>
                <w:bCs/>
                <w:snapToGrid w:val="0"/>
                <w:color w:val="auto"/>
                <w:sz w:val="21"/>
                <w:szCs w:val="21"/>
                <w:highlight w:val="none"/>
              </w:rPr>
              <w:t>企业信用融资</w:t>
            </w:r>
            <w:r>
              <w:rPr>
                <w:rFonts w:hint="eastAsia" w:ascii="宋体" w:hAnsi="宋体" w:eastAsia="宋体" w:cs="宋体"/>
                <w:bCs/>
                <w:snapToGrid w:val="0"/>
                <w:color w:val="auto"/>
                <w:sz w:val="21"/>
                <w:szCs w:val="21"/>
                <w:highlight w:val="none"/>
              </w:rPr>
              <w:t>:</w:t>
            </w:r>
            <w:r>
              <w:rPr>
                <w:rFonts w:hint="eastAsia" w:ascii="宋体" w:hAnsi="宋体" w:eastAsia="宋体" w:cs="宋体"/>
                <w:bCs/>
                <w:snapToGrid w:val="0"/>
                <w:color w:val="auto"/>
                <w:sz w:val="21"/>
                <w:szCs w:val="21"/>
                <w:highlight w:val="none"/>
              </w:rPr>
              <w:t>为支持和促进中小企业发展，进一步发挥政府采购政策功能，浙江省财政局与省银监局、市金融办、市经信委共同出台了《浙江省政府采购支持中小企业信用融资暂行办法》，供应商若有融资意向，详见本招标文件尾页《政府采购支持中小企业信用融资相关事项通知》，或登陆浙江省政府采购网（</w:t>
            </w:r>
            <w:r>
              <w:rPr>
                <w:rFonts w:hint="eastAsia" w:ascii="宋体" w:hAnsi="宋体" w:eastAsia="宋体" w:cs="宋体"/>
                <w:bCs/>
                <w:snapToGrid w:val="0"/>
                <w:color w:val="auto"/>
                <w:sz w:val="21"/>
                <w:szCs w:val="21"/>
                <w:highlight w:val="none"/>
              </w:rPr>
              <w:t>http://www.zjzfcg.gov.cn/</w:t>
            </w:r>
            <w:r>
              <w:rPr>
                <w:rFonts w:hint="eastAsia" w:ascii="宋体" w:hAnsi="宋体" w:eastAsia="宋体" w:cs="宋体"/>
                <w:bCs/>
                <w:snapToGrid w:val="0"/>
                <w:color w:val="auto"/>
                <w:sz w:val="21"/>
                <w:szCs w:val="21"/>
                <w:highlight w:val="none"/>
              </w:rPr>
              <w:t>）“中小企业信用融资”专栏，查看信用融资政策文件及各相关银行服务方案。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trPr>
        <w:tc>
          <w:tcPr>
            <w:tcW w:w="959" w:type="dxa"/>
            <w:vMerge w:val="continue"/>
            <w:tcBorders>
              <w:left w:val="single" w:color="auto" w:sz="12" w:space="0"/>
            </w:tcBorders>
            <w:vAlign w:val="center"/>
          </w:tcPr>
          <w:p>
            <w:pPr>
              <w:snapToGrid w:val="0"/>
              <w:spacing w:line="300" w:lineRule="exact"/>
              <w:jc w:val="center"/>
              <w:rPr>
                <w:rFonts w:hint="eastAsia" w:ascii="宋体" w:hAnsi="宋体" w:eastAsia="宋体" w:cs="宋体"/>
                <w:color w:val="auto"/>
                <w:sz w:val="21"/>
                <w:szCs w:val="21"/>
                <w:highlight w:val="none"/>
              </w:rPr>
            </w:pPr>
          </w:p>
        </w:tc>
        <w:tc>
          <w:tcPr>
            <w:tcW w:w="2146" w:type="dxa"/>
            <w:vMerge w:val="continue"/>
            <w:vAlign w:val="center"/>
          </w:tcPr>
          <w:p>
            <w:pPr>
              <w:snapToGrid w:val="0"/>
              <w:spacing w:line="300" w:lineRule="exact"/>
              <w:jc w:val="center"/>
              <w:rPr>
                <w:rFonts w:hint="eastAsia" w:ascii="宋体" w:hAnsi="宋体" w:eastAsia="宋体" w:cs="宋体"/>
                <w:b/>
                <w:color w:val="auto"/>
                <w:sz w:val="21"/>
                <w:szCs w:val="21"/>
                <w:highlight w:val="none"/>
              </w:rPr>
            </w:pPr>
          </w:p>
        </w:tc>
        <w:tc>
          <w:tcPr>
            <w:tcW w:w="6314" w:type="dxa"/>
            <w:tcBorders>
              <w:right w:val="single" w:color="auto" w:sz="12" w:space="0"/>
            </w:tcBorders>
            <w:vAlign w:val="center"/>
          </w:tcPr>
          <w:p>
            <w:pPr>
              <w:snapToGrid w:val="0"/>
              <w:spacing w:line="300" w:lineRule="exact"/>
              <w:rPr>
                <w:rFonts w:hint="eastAsia" w:ascii="宋体" w:hAnsi="宋体" w:eastAsia="宋体" w:cs="宋体"/>
                <w:bCs/>
                <w:color w:val="auto"/>
                <w:kern w:val="10"/>
                <w:sz w:val="21"/>
                <w:szCs w:val="21"/>
                <w:highlight w:val="none"/>
              </w:rPr>
            </w:pPr>
            <w:r>
              <w:rPr>
                <w:rFonts w:hint="eastAsia" w:ascii="宋体" w:hAnsi="宋体" w:eastAsia="宋体" w:cs="宋体"/>
                <w:bCs/>
                <w:color w:val="auto"/>
                <w:kern w:val="10"/>
                <w:sz w:val="21"/>
                <w:szCs w:val="21"/>
                <w:highlight w:val="none"/>
              </w:rPr>
              <w:t>根据《关于在政府采购活动中查询及使用信用记录有关问题的通知》财库</w:t>
            </w:r>
            <w:r>
              <w:rPr>
                <w:rFonts w:hint="eastAsia" w:ascii="宋体" w:hAnsi="宋体" w:eastAsia="宋体" w:cs="宋体"/>
                <w:bCs/>
                <w:color w:val="auto"/>
                <w:kern w:val="10"/>
                <w:sz w:val="21"/>
                <w:szCs w:val="21"/>
                <w:highlight w:val="none"/>
              </w:rPr>
              <w:t>[2016]125</w:t>
            </w:r>
            <w:r>
              <w:rPr>
                <w:rFonts w:hint="eastAsia" w:ascii="宋体" w:hAnsi="宋体" w:eastAsia="宋体" w:cs="宋体"/>
                <w:bCs/>
                <w:color w:val="auto"/>
                <w:kern w:val="10"/>
                <w:sz w:val="21"/>
                <w:szCs w:val="21"/>
                <w:highlight w:val="none"/>
              </w:rPr>
              <w:t>号的规定：</w:t>
            </w:r>
          </w:p>
          <w:p>
            <w:pPr>
              <w:snapToGrid w:val="0"/>
              <w:spacing w:line="300" w:lineRule="exact"/>
              <w:rPr>
                <w:rFonts w:hint="eastAsia" w:ascii="宋体" w:hAnsi="宋体" w:eastAsia="宋体" w:cs="宋体"/>
                <w:bCs/>
                <w:color w:val="auto"/>
                <w:kern w:val="10"/>
                <w:sz w:val="21"/>
                <w:szCs w:val="21"/>
                <w:highlight w:val="none"/>
              </w:rPr>
            </w:pPr>
            <w:r>
              <w:rPr>
                <w:rFonts w:hint="eastAsia" w:ascii="宋体" w:hAnsi="宋体" w:eastAsia="宋体" w:cs="宋体"/>
                <w:bCs/>
                <w:color w:val="auto"/>
                <w:kern w:val="10"/>
                <w:sz w:val="21"/>
                <w:szCs w:val="21"/>
                <w:highlight w:val="none"/>
              </w:rPr>
              <w:t>1</w:t>
            </w:r>
            <w:r>
              <w:rPr>
                <w:rFonts w:hint="eastAsia" w:ascii="宋体" w:hAnsi="宋体" w:eastAsia="宋体" w:cs="宋体"/>
                <w:bCs/>
                <w:color w:val="auto"/>
                <w:kern w:val="10"/>
                <w:sz w:val="21"/>
                <w:szCs w:val="21"/>
                <w:highlight w:val="none"/>
              </w:rPr>
              <w:t>）采购人或采购代理机构将对本项目供应商的信用信息进行查询。</w:t>
            </w:r>
          </w:p>
          <w:p>
            <w:pPr>
              <w:snapToGrid w:val="0"/>
              <w:spacing w:line="300" w:lineRule="exact"/>
              <w:rPr>
                <w:rFonts w:hint="eastAsia" w:ascii="宋体" w:hAnsi="宋体" w:eastAsia="宋体" w:cs="宋体"/>
                <w:bCs/>
                <w:color w:val="auto"/>
                <w:kern w:val="10"/>
                <w:sz w:val="21"/>
                <w:szCs w:val="21"/>
                <w:highlight w:val="none"/>
              </w:rPr>
            </w:pPr>
            <w:r>
              <w:rPr>
                <w:rFonts w:hint="eastAsia" w:ascii="宋体" w:hAnsi="宋体" w:eastAsia="宋体" w:cs="宋体"/>
                <w:bCs/>
                <w:color w:val="auto"/>
                <w:kern w:val="10"/>
                <w:sz w:val="21"/>
                <w:szCs w:val="21"/>
                <w:highlight w:val="none"/>
              </w:rPr>
              <w:t>2</w:t>
            </w:r>
            <w:r>
              <w:rPr>
                <w:rFonts w:hint="eastAsia" w:ascii="宋体" w:hAnsi="宋体" w:eastAsia="宋体" w:cs="宋体"/>
                <w:bCs/>
                <w:color w:val="auto"/>
                <w:kern w:val="10"/>
                <w:sz w:val="21"/>
                <w:szCs w:val="21"/>
                <w:highlight w:val="none"/>
              </w:rPr>
              <w:t>）查询渠道为信用中国网站（</w:t>
            </w:r>
            <w:r>
              <w:rPr>
                <w:rFonts w:hint="eastAsia" w:ascii="宋体" w:hAnsi="宋体" w:eastAsia="宋体" w:cs="宋体"/>
                <w:bCs/>
                <w:color w:val="auto"/>
                <w:kern w:val="10"/>
                <w:sz w:val="21"/>
                <w:szCs w:val="21"/>
                <w:highlight w:val="none"/>
              </w:rPr>
              <w:t>www.creditchina.gov.cn</w:t>
            </w:r>
            <w:r>
              <w:rPr>
                <w:rFonts w:hint="eastAsia" w:ascii="宋体" w:hAnsi="宋体" w:eastAsia="宋体" w:cs="宋体"/>
                <w:bCs/>
                <w:color w:val="auto"/>
                <w:kern w:val="10"/>
                <w:sz w:val="21"/>
                <w:szCs w:val="21"/>
                <w:highlight w:val="none"/>
              </w:rPr>
              <w:t>）、中国政府采购网（</w:t>
            </w:r>
            <w:r>
              <w:rPr>
                <w:rFonts w:hint="eastAsia" w:ascii="宋体" w:hAnsi="宋体" w:eastAsia="宋体" w:cs="宋体"/>
                <w:bCs/>
                <w:color w:val="auto"/>
                <w:kern w:val="10"/>
                <w:sz w:val="21"/>
                <w:szCs w:val="21"/>
                <w:highlight w:val="none"/>
              </w:rPr>
              <w:t>www.ccgp.gov.cn</w:t>
            </w:r>
            <w:r>
              <w:rPr>
                <w:rFonts w:hint="eastAsia" w:ascii="宋体" w:hAnsi="宋体" w:eastAsia="宋体" w:cs="宋体"/>
                <w:bCs/>
                <w:color w:val="auto"/>
                <w:kern w:val="10"/>
                <w:sz w:val="21"/>
                <w:szCs w:val="21"/>
                <w:highlight w:val="none"/>
              </w:rPr>
              <w:t>）。</w:t>
            </w:r>
          </w:p>
          <w:p>
            <w:pPr>
              <w:snapToGrid w:val="0"/>
              <w:spacing w:line="300" w:lineRule="exact"/>
              <w:rPr>
                <w:rFonts w:hint="eastAsia" w:ascii="宋体" w:hAnsi="宋体" w:eastAsia="宋体" w:cs="宋体"/>
                <w:bCs/>
                <w:color w:val="auto"/>
                <w:kern w:val="10"/>
                <w:sz w:val="21"/>
                <w:szCs w:val="21"/>
                <w:highlight w:val="none"/>
              </w:rPr>
            </w:pPr>
            <w:r>
              <w:rPr>
                <w:rFonts w:hint="eastAsia" w:ascii="宋体" w:hAnsi="宋体" w:eastAsia="宋体" w:cs="宋体"/>
                <w:bCs/>
                <w:color w:val="auto"/>
                <w:kern w:val="10"/>
                <w:sz w:val="21"/>
                <w:szCs w:val="21"/>
                <w:highlight w:val="none"/>
              </w:rPr>
              <w:t>3</w:t>
            </w:r>
            <w:r>
              <w:rPr>
                <w:rFonts w:hint="eastAsia" w:ascii="宋体" w:hAnsi="宋体" w:eastAsia="宋体" w:cs="宋体"/>
                <w:bCs/>
                <w:color w:val="auto"/>
                <w:kern w:val="10"/>
                <w:sz w:val="21"/>
                <w:szCs w:val="21"/>
                <w:highlight w:val="none"/>
              </w:rPr>
              <w:t>）信用信息截止时点为从本项目投标截止日往前追溯三年，期间被列入失信被执行人名单、重大税收违法案件当事人名单、政府采购严重违法失信行为记录名单等供应商信用信息均将用于本项目。</w:t>
            </w:r>
          </w:p>
          <w:p>
            <w:pPr>
              <w:snapToGrid w:val="0"/>
              <w:spacing w:line="300" w:lineRule="exact"/>
              <w:rPr>
                <w:rFonts w:hint="eastAsia" w:ascii="宋体" w:hAnsi="宋体" w:eastAsia="宋体" w:cs="宋体"/>
                <w:bCs/>
                <w:color w:val="auto"/>
                <w:kern w:val="10"/>
                <w:sz w:val="21"/>
                <w:szCs w:val="21"/>
                <w:highlight w:val="none"/>
              </w:rPr>
            </w:pPr>
            <w:r>
              <w:rPr>
                <w:rFonts w:hint="eastAsia" w:ascii="宋体" w:hAnsi="宋体" w:eastAsia="宋体" w:cs="宋体"/>
                <w:bCs/>
                <w:color w:val="auto"/>
                <w:kern w:val="10"/>
                <w:sz w:val="21"/>
                <w:szCs w:val="21"/>
                <w:highlight w:val="none"/>
              </w:rPr>
              <w:t>4</w:t>
            </w:r>
            <w:r>
              <w:rPr>
                <w:rFonts w:hint="eastAsia" w:ascii="宋体" w:hAnsi="宋体" w:eastAsia="宋体" w:cs="宋体"/>
                <w:bCs/>
                <w:color w:val="auto"/>
                <w:kern w:val="10"/>
                <w:sz w:val="21"/>
                <w:szCs w:val="21"/>
                <w:highlight w:val="none"/>
              </w:rPr>
              <w:t>）信用信息查询记录和证据以网页截图等方式留存。</w:t>
            </w:r>
          </w:p>
          <w:p>
            <w:pPr>
              <w:snapToGrid w:val="0"/>
              <w:spacing w:line="300" w:lineRule="exact"/>
              <w:rPr>
                <w:rFonts w:hint="eastAsia" w:ascii="宋体" w:hAnsi="宋体" w:eastAsia="宋体" w:cs="宋体"/>
                <w:bCs/>
                <w:color w:val="auto"/>
                <w:kern w:val="10"/>
                <w:sz w:val="21"/>
                <w:szCs w:val="21"/>
                <w:highlight w:val="none"/>
              </w:rPr>
            </w:pPr>
            <w:r>
              <w:rPr>
                <w:rFonts w:hint="eastAsia" w:ascii="宋体" w:hAnsi="宋体" w:eastAsia="宋体" w:cs="宋体"/>
                <w:bCs/>
                <w:color w:val="auto"/>
                <w:kern w:val="10"/>
                <w:sz w:val="21"/>
                <w:szCs w:val="21"/>
                <w:highlight w:val="none"/>
              </w:rPr>
              <w:t>5</w:t>
            </w:r>
            <w:r>
              <w:rPr>
                <w:rFonts w:hint="eastAsia" w:ascii="宋体" w:hAnsi="宋体" w:eastAsia="宋体" w:cs="宋体"/>
                <w:bCs/>
                <w:color w:val="auto"/>
                <w:kern w:val="10"/>
                <w:sz w:val="21"/>
                <w:szCs w:val="21"/>
                <w:highlight w:val="none"/>
              </w:rPr>
              <w:t>）投标截止日当日网站显示的信用信息将作为评审和确定中标人的依据。</w:t>
            </w:r>
          </w:p>
          <w:p>
            <w:pPr>
              <w:snapToGrid w:val="0"/>
              <w:spacing w:line="300" w:lineRule="exact"/>
              <w:rPr>
                <w:rFonts w:hint="eastAsia" w:ascii="宋体" w:hAnsi="宋体" w:eastAsia="宋体" w:cs="宋体"/>
                <w:bCs/>
                <w:color w:val="auto"/>
                <w:kern w:val="10"/>
                <w:sz w:val="21"/>
                <w:szCs w:val="21"/>
                <w:highlight w:val="none"/>
              </w:rPr>
            </w:pPr>
            <w:r>
              <w:rPr>
                <w:rFonts w:hint="eastAsia" w:ascii="宋体" w:hAnsi="宋体" w:eastAsia="宋体" w:cs="宋体"/>
                <w:bCs/>
                <w:color w:val="auto"/>
                <w:kern w:val="10"/>
                <w:sz w:val="21"/>
                <w:szCs w:val="21"/>
                <w:highlight w:val="none"/>
              </w:rPr>
              <w:t>6</w:t>
            </w:r>
            <w:r>
              <w:rPr>
                <w:rFonts w:hint="eastAsia" w:ascii="宋体" w:hAnsi="宋体" w:eastAsia="宋体" w:cs="宋体"/>
                <w:bCs/>
                <w:color w:val="auto"/>
                <w:kern w:val="10"/>
                <w:sz w:val="21"/>
                <w:szCs w:val="21"/>
                <w:highlight w:val="none"/>
              </w:rPr>
              <w:t>）联合体成员存在不良信用记录的，视同联合体存在不良信用记录。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trPr>
        <w:tc>
          <w:tcPr>
            <w:tcW w:w="959" w:type="dxa"/>
            <w:tcBorders>
              <w:left w:val="single" w:color="auto" w:sz="12" w:space="0"/>
              <w:bottom w:val="single" w:color="auto" w:sz="12" w:space="0"/>
            </w:tcBorders>
            <w:vAlign w:val="center"/>
          </w:tcPr>
          <w:p>
            <w:pPr>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2146" w:type="dxa"/>
            <w:tcBorders>
              <w:bottom w:val="single" w:color="auto" w:sz="12" w:space="0"/>
            </w:tcBorders>
            <w:vAlign w:val="center"/>
          </w:tcPr>
          <w:p>
            <w:pPr>
              <w:snapToGrid w:val="0"/>
              <w:spacing w:line="300" w:lineRule="exact"/>
              <w:jc w:val="center"/>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color w:val="auto"/>
                <w:sz w:val="21"/>
                <w:szCs w:val="21"/>
                <w:highlight w:val="none"/>
              </w:rPr>
              <w:t>造价人员签字及盖章要求</w:t>
            </w:r>
          </w:p>
        </w:tc>
        <w:tc>
          <w:tcPr>
            <w:tcW w:w="6314" w:type="dxa"/>
            <w:tcBorders>
              <w:bottom w:val="single" w:color="auto" w:sz="12" w:space="0"/>
              <w:right w:val="single" w:color="auto" w:sz="12" w:space="0"/>
            </w:tcBorders>
            <w:vAlign w:val="center"/>
          </w:tcPr>
          <w:p>
            <w:pPr>
              <w:snapToGrid w:val="0"/>
              <w:spacing w:line="300" w:lineRule="exact"/>
              <w:rPr>
                <w:rFonts w:hint="eastAsia" w:ascii="宋体" w:hAnsi="宋体" w:eastAsia="宋体" w:cs="宋体"/>
                <w:bCs/>
                <w:color w:val="auto"/>
                <w:kern w:val="10"/>
                <w:sz w:val="21"/>
                <w:szCs w:val="21"/>
                <w:highlight w:val="none"/>
              </w:rPr>
            </w:pPr>
            <w:r>
              <w:rPr>
                <w:rFonts w:hint="eastAsia" w:ascii="宋体" w:hAnsi="宋体" w:eastAsia="宋体" w:cs="宋体"/>
                <w:bCs/>
                <w:color w:val="auto"/>
                <w:kern w:val="10"/>
                <w:sz w:val="21"/>
                <w:szCs w:val="21"/>
                <w:highlight w:val="none"/>
              </w:rPr>
              <w:t>根据国家住建部、省级造价主管部门对造价从业人员执业管理的相关法律法规规定以及国标计价规范的规定，报价的编制必须遵守以下规定：</w:t>
            </w:r>
          </w:p>
          <w:p>
            <w:pPr>
              <w:snapToGrid w:val="0"/>
              <w:spacing w:line="300" w:lineRule="exact"/>
              <w:rPr>
                <w:rFonts w:hint="eastAsia" w:ascii="宋体" w:hAnsi="宋体" w:eastAsia="宋体" w:cs="宋体"/>
                <w:bCs/>
                <w:color w:val="auto"/>
                <w:kern w:val="10"/>
                <w:sz w:val="21"/>
                <w:szCs w:val="21"/>
                <w:highlight w:val="none"/>
              </w:rPr>
            </w:pPr>
            <w:r>
              <w:rPr>
                <w:rFonts w:hint="eastAsia" w:ascii="宋体" w:hAnsi="宋体" w:eastAsia="宋体" w:cs="宋体"/>
                <w:bCs/>
                <w:color w:val="auto"/>
                <w:kern w:val="10"/>
                <w:sz w:val="21"/>
                <w:szCs w:val="21"/>
                <w:highlight w:val="none"/>
              </w:rPr>
              <w:t>（</w:t>
            </w:r>
            <w:r>
              <w:rPr>
                <w:rFonts w:hint="eastAsia" w:ascii="宋体" w:hAnsi="宋体" w:eastAsia="宋体" w:cs="宋体"/>
                <w:bCs/>
                <w:color w:val="auto"/>
                <w:kern w:val="10"/>
                <w:sz w:val="21"/>
                <w:szCs w:val="21"/>
                <w:highlight w:val="none"/>
              </w:rPr>
              <w:t>1</w:t>
            </w:r>
            <w:r>
              <w:rPr>
                <w:rFonts w:hint="eastAsia" w:ascii="宋体" w:hAnsi="宋体" w:eastAsia="宋体" w:cs="宋体"/>
                <w:bCs/>
                <w:color w:val="auto"/>
                <w:kern w:val="10"/>
                <w:sz w:val="21"/>
                <w:szCs w:val="21"/>
                <w:highlight w:val="none"/>
              </w:rPr>
              <w:t>）报价应由供应商或受其委托具有相应资质的工程造价咨询人编制。供应商委托具有相应资质的工程造价咨询人编制报价书的，响应文件中应附情况说明、委托编制报价的咨询合同书及工程造价咨询人的咨询资质等级证书等。</w:t>
            </w:r>
          </w:p>
          <w:p>
            <w:pPr>
              <w:snapToGrid w:val="0"/>
              <w:spacing w:line="300" w:lineRule="exact"/>
              <w:rPr>
                <w:rFonts w:hint="eastAsia" w:ascii="宋体" w:hAnsi="宋体" w:eastAsia="宋体" w:cs="宋体"/>
                <w:bCs/>
                <w:color w:val="auto"/>
                <w:kern w:val="10"/>
                <w:sz w:val="21"/>
                <w:szCs w:val="21"/>
                <w:highlight w:val="none"/>
              </w:rPr>
            </w:pPr>
            <w:r>
              <w:rPr>
                <w:rFonts w:hint="eastAsia" w:ascii="宋体" w:hAnsi="宋体" w:eastAsia="宋体" w:cs="宋体"/>
                <w:bCs/>
                <w:color w:val="auto"/>
                <w:kern w:val="10"/>
                <w:sz w:val="21"/>
                <w:szCs w:val="21"/>
                <w:highlight w:val="none"/>
              </w:rPr>
              <w:t>（</w:t>
            </w:r>
            <w:r>
              <w:rPr>
                <w:rFonts w:hint="eastAsia" w:ascii="宋体" w:hAnsi="宋体" w:eastAsia="宋体" w:cs="宋体"/>
                <w:bCs/>
                <w:color w:val="auto"/>
                <w:kern w:val="10"/>
                <w:sz w:val="21"/>
                <w:szCs w:val="21"/>
                <w:highlight w:val="none"/>
              </w:rPr>
              <w:t>2</w:t>
            </w:r>
            <w:r>
              <w:rPr>
                <w:rFonts w:hint="eastAsia" w:ascii="宋体" w:hAnsi="宋体" w:eastAsia="宋体" w:cs="宋体"/>
                <w:bCs/>
                <w:color w:val="auto"/>
                <w:kern w:val="10"/>
                <w:sz w:val="21"/>
                <w:szCs w:val="21"/>
                <w:highlight w:val="none"/>
              </w:rPr>
              <w:t>）如报价由供应商编制，编制人员必须是在编制单位注册的造价工程师，并由其签字并盖执业专用章；</w:t>
            </w:r>
          </w:p>
          <w:p>
            <w:pPr>
              <w:snapToGrid w:val="0"/>
              <w:spacing w:line="300" w:lineRule="exact"/>
              <w:rPr>
                <w:rFonts w:hint="eastAsia" w:ascii="宋体" w:hAnsi="宋体" w:eastAsia="宋体" w:cs="宋体"/>
                <w:bCs/>
                <w:color w:val="auto"/>
                <w:kern w:val="10"/>
                <w:sz w:val="21"/>
                <w:szCs w:val="21"/>
                <w:highlight w:val="none"/>
              </w:rPr>
            </w:pPr>
            <w:r>
              <w:rPr>
                <w:rFonts w:hint="eastAsia" w:ascii="宋体" w:hAnsi="宋体" w:eastAsia="宋体" w:cs="宋体"/>
                <w:bCs/>
                <w:color w:val="auto"/>
                <w:kern w:val="10"/>
                <w:sz w:val="21"/>
                <w:szCs w:val="21"/>
                <w:highlight w:val="none"/>
              </w:rPr>
              <w:t>（</w:t>
            </w:r>
            <w:r>
              <w:rPr>
                <w:rFonts w:hint="eastAsia" w:ascii="宋体" w:hAnsi="宋体" w:eastAsia="宋体" w:cs="宋体"/>
                <w:bCs/>
                <w:color w:val="auto"/>
                <w:kern w:val="10"/>
                <w:sz w:val="21"/>
                <w:szCs w:val="21"/>
                <w:highlight w:val="none"/>
              </w:rPr>
              <w:t>3</w:t>
            </w:r>
            <w:r>
              <w:rPr>
                <w:rFonts w:hint="eastAsia" w:ascii="宋体" w:hAnsi="宋体" w:eastAsia="宋体" w:cs="宋体"/>
                <w:bCs/>
                <w:color w:val="auto"/>
                <w:kern w:val="10"/>
                <w:sz w:val="21"/>
                <w:szCs w:val="21"/>
                <w:highlight w:val="none"/>
              </w:rPr>
              <w:t>）如报价由供应商委托具有相应资质的工程造价咨询人编制的，编制人员必须是在编制单位注册的造价工程师，并由编制人员签字和盖执业专用章，且由本单位其他注册造价工程师复核，在成果文件相应位置签字并盖执业专用章；</w:t>
            </w:r>
          </w:p>
          <w:p>
            <w:pPr>
              <w:snapToGrid w:val="0"/>
              <w:spacing w:line="300" w:lineRule="exact"/>
              <w:rPr>
                <w:rFonts w:hint="eastAsia" w:ascii="宋体" w:hAnsi="宋体" w:eastAsia="宋体" w:cs="宋体"/>
                <w:bCs/>
                <w:color w:val="auto"/>
                <w:kern w:val="10"/>
                <w:sz w:val="21"/>
                <w:szCs w:val="21"/>
                <w:highlight w:val="none"/>
              </w:rPr>
            </w:pPr>
            <w:r>
              <w:rPr>
                <w:rFonts w:hint="eastAsia" w:ascii="宋体" w:hAnsi="宋体" w:eastAsia="宋体" w:cs="宋体"/>
                <w:bCs/>
                <w:color w:val="auto"/>
                <w:kern w:val="10"/>
                <w:sz w:val="21"/>
                <w:szCs w:val="21"/>
                <w:highlight w:val="none"/>
              </w:rPr>
              <w:t>（</w:t>
            </w:r>
            <w:r>
              <w:rPr>
                <w:rFonts w:hint="eastAsia" w:ascii="宋体" w:hAnsi="宋体" w:eastAsia="宋体" w:cs="宋体"/>
                <w:bCs/>
                <w:color w:val="auto"/>
                <w:kern w:val="10"/>
                <w:sz w:val="21"/>
                <w:szCs w:val="21"/>
                <w:highlight w:val="none"/>
              </w:rPr>
              <w:t>4</w:t>
            </w:r>
            <w:r>
              <w:rPr>
                <w:rFonts w:hint="eastAsia" w:ascii="宋体" w:hAnsi="宋体" w:eastAsia="宋体" w:cs="宋体"/>
                <w:bCs/>
                <w:color w:val="auto"/>
                <w:kern w:val="10"/>
                <w:sz w:val="21"/>
                <w:szCs w:val="21"/>
                <w:highlight w:val="none"/>
              </w:rPr>
              <w:t>）报价文件不得由供应商的造价人员和受委托的咨询公司的造价人员混合编审，报价文件封面所盖的造价工程师只能是同一单位人员；</w:t>
            </w:r>
          </w:p>
          <w:p>
            <w:pPr>
              <w:snapToGrid w:val="0"/>
              <w:spacing w:line="300" w:lineRule="exact"/>
              <w:rPr>
                <w:rFonts w:hint="eastAsia" w:ascii="宋体" w:hAnsi="宋体" w:eastAsia="宋体" w:cs="宋体"/>
                <w:bCs/>
                <w:color w:val="auto"/>
                <w:kern w:val="10"/>
                <w:sz w:val="21"/>
                <w:szCs w:val="21"/>
                <w:highlight w:val="none"/>
              </w:rPr>
            </w:pPr>
            <w:r>
              <w:rPr>
                <w:rFonts w:hint="eastAsia" w:ascii="宋体" w:hAnsi="宋体" w:eastAsia="宋体" w:cs="宋体"/>
                <w:bCs/>
                <w:color w:val="auto"/>
                <w:kern w:val="10"/>
                <w:sz w:val="21"/>
                <w:szCs w:val="21"/>
                <w:highlight w:val="none"/>
              </w:rPr>
              <w:t>工程造价咨询人不得同时接受采购人和供应商对同一工程的控制价和报价的编制。</w:t>
            </w:r>
          </w:p>
        </w:tc>
      </w:tr>
    </w:tbl>
    <w:p>
      <w:pPr>
        <w:rPr>
          <w:rFonts w:hint="eastAsia" w:ascii="宋体" w:hAnsi="宋体" w:eastAsia="宋体" w:cs="宋体"/>
          <w:color w:val="auto"/>
          <w:sz w:val="20"/>
          <w:szCs w:val="20"/>
          <w:highlight w:val="none"/>
        </w:rPr>
      </w:pPr>
      <w:bookmarkStart w:id="31" w:name="page8"/>
      <w:bookmarkEnd w:id="31"/>
      <w:bookmarkStart w:id="32" w:name="page7"/>
      <w:bookmarkEnd w:id="32"/>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rPr>
          <w:rFonts w:hint="eastAsia" w:ascii="宋体" w:hAnsi="宋体" w:eastAsia="宋体" w:cs="宋体"/>
          <w:color w:val="auto"/>
          <w:highlight w:val="none"/>
        </w:rPr>
        <w:sectPr>
          <w:pgSz w:w="11900" w:h="16838"/>
          <w:pgMar w:top="1440" w:right="1326" w:bottom="401" w:left="1440" w:header="567" w:footer="567" w:gutter="0"/>
          <w:cols w:equalWidth="0" w:num="1">
            <w:col w:w="9140"/>
          </w:cols>
        </w:sectPr>
      </w:pPr>
    </w:p>
    <w:p>
      <w:pPr>
        <w:spacing w:line="1" w:lineRule="exact"/>
        <w:rPr>
          <w:rFonts w:hint="eastAsia" w:ascii="宋体" w:hAnsi="宋体" w:eastAsia="宋体" w:cs="宋体"/>
          <w:color w:val="auto"/>
          <w:sz w:val="20"/>
          <w:szCs w:val="20"/>
          <w:highlight w:val="none"/>
        </w:rPr>
      </w:pPr>
      <w:bookmarkStart w:id="33" w:name="page9"/>
      <w:bookmarkEnd w:id="33"/>
    </w:p>
    <w:p>
      <w:pPr>
        <w:tabs>
          <w:tab w:val="left" w:pos="300"/>
        </w:tabs>
        <w:spacing w:line="366" w:lineRule="exact"/>
        <w:ind w:left="2700"/>
        <w:jc w:val="both"/>
        <w:rPr>
          <w:rFonts w:hint="eastAsia" w:ascii="宋体" w:hAnsi="宋体" w:eastAsia="宋体" w:cs="宋体"/>
          <w:color w:val="auto"/>
          <w:sz w:val="20"/>
          <w:szCs w:val="20"/>
          <w:highlight w:val="none"/>
        </w:rPr>
      </w:pPr>
      <w:bookmarkStart w:id="34" w:name="_Toc9888_WPSOffice_Level1"/>
      <w:bookmarkStart w:id="35" w:name="_Toc25290_WPSOffice_Level1"/>
      <w:r>
        <w:rPr>
          <w:rFonts w:hint="eastAsia" w:ascii="宋体" w:hAnsi="宋体" w:eastAsia="宋体" w:cs="宋体"/>
          <w:b/>
          <w:bCs/>
          <w:color w:val="auto"/>
          <w:sz w:val="32"/>
          <w:szCs w:val="32"/>
          <w:highlight w:val="none"/>
        </w:rPr>
        <w:t>第三章</w:t>
      </w:r>
      <w:r>
        <w:rPr>
          <w:rFonts w:hint="eastAsia" w:ascii="宋体" w:hAnsi="宋体" w:eastAsia="宋体" w:cs="宋体"/>
          <w:b/>
          <w:bCs/>
          <w:color w:val="auto"/>
          <w:sz w:val="32"/>
          <w:szCs w:val="32"/>
          <w:highlight w:val="none"/>
        </w:rPr>
        <w:t xml:space="preserve">  </w:t>
      </w:r>
      <w:r>
        <w:rPr>
          <w:rFonts w:hint="eastAsia" w:ascii="宋体" w:hAnsi="宋体" w:eastAsia="宋体" w:cs="宋体"/>
          <w:b/>
          <w:bCs/>
          <w:color w:val="auto"/>
          <w:sz w:val="32"/>
          <w:szCs w:val="32"/>
          <w:highlight w:val="none"/>
        </w:rPr>
        <w:t>供应商须知</w:t>
      </w:r>
      <w:bookmarkEnd w:id="34"/>
      <w:bookmarkEnd w:id="35"/>
    </w:p>
    <w:p>
      <w:pPr>
        <w:spacing w:line="256" w:lineRule="exact"/>
        <w:rPr>
          <w:rFonts w:hint="eastAsia" w:ascii="宋体" w:hAnsi="宋体" w:eastAsia="宋体" w:cs="宋体"/>
          <w:color w:val="auto"/>
          <w:sz w:val="20"/>
          <w:szCs w:val="20"/>
          <w:highlight w:val="none"/>
        </w:rPr>
      </w:pPr>
    </w:p>
    <w:p>
      <w:pPr>
        <w:spacing w:line="240" w:lineRule="exact"/>
        <w:ind w:firstLine="422" w:firstLineChars="200"/>
        <w:rPr>
          <w:rFonts w:hint="eastAsia" w:ascii="宋体" w:hAnsi="宋体" w:eastAsia="宋体" w:cs="宋体"/>
          <w:color w:val="auto"/>
          <w:sz w:val="20"/>
          <w:szCs w:val="20"/>
          <w:highlight w:val="none"/>
        </w:rPr>
      </w:pPr>
      <w:bookmarkStart w:id="36" w:name="_Toc28392_WPSOffice_Level2"/>
      <w:bookmarkStart w:id="37" w:name="_Toc22915_WPSOffice_Level2"/>
      <w:r>
        <w:rPr>
          <w:rFonts w:hint="eastAsia" w:ascii="宋体" w:hAnsi="宋体" w:eastAsia="宋体" w:cs="宋体"/>
          <w:b/>
          <w:bCs/>
          <w:color w:val="auto"/>
          <w:sz w:val="21"/>
          <w:szCs w:val="21"/>
          <w:highlight w:val="none"/>
        </w:rPr>
        <w:t>一、总则</w:t>
      </w:r>
      <w:bookmarkEnd w:id="36"/>
      <w:bookmarkEnd w:id="37"/>
    </w:p>
    <w:p>
      <w:pPr>
        <w:spacing w:line="172" w:lineRule="exact"/>
        <w:rPr>
          <w:rFonts w:hint="eastAsia" w:ascii="宋体" w:hAnsi="宋体" w:eastAsia="宋体" w:cs="宋体"/>
          <w:color w:val="auto"/>
          <w:sz w:val="20"/>
          <w:szCs w:val="20"/>
          <w:highlight w:val="none"/>
        </w:rPr>
      </w:pP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1.1</w:t>
      </w:r>
      <w:r>
        <w:rPr>
          <w:rFonts w:hint="eastAsia" w:ascii="宋体" w:hAnsi="宋体" w:eastAsia="宋体" w:cs="宋体"/>
          <w:color w:val="auto"/>
          <w:sz w:val="21"/>
          <w:szCs w:val="21"/>
          <w:highlight w:val="none"/>
        </w:rPr>
        <w:t>、实施依据</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本次采购工作是按照《中华人民共和国政府采购法》、《政府采购竞争性磋商采购方式管理暂行办法》等招标投标有关法律、法规、规章、文件的规定组织和实施。</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1.2</w:t>
      </w:r>
      <w:r>
        <w:rPr>
          <w:rFonts w:hint="eastAsia" w:ascii="宋体" w:hAnsi="宋体" w:eastAsia="宋体" w:cs="宋体"/>
          <w:color w:val="auto"/>
          <w:sz w:val="21"/>
          <w:szCs w:val="21"/>
          <w:highlight w:val="none"/>
        </w:rPr>
        <w:t>、采购方式：竞争性磋商</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1.3</w:t>
      </w:r>
      <w:r>
        <w:rPr>
          <w:rFonts w:hint="eastAsia" w:ascii="宋体" w:hAnsi="宋体" w:eastAsia="宋体" w:cs="宋体"/>
          <w:color w:val="auto"/>
          <w:sz w:val="21"/>
          <w:szCs w:val="21"/>
          <w:highlight w:val="none"/>
        </w:rPr>
        <w:t>、定义</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采购人：是指依法进行政府采购的国家机关、事业单位、团体组织，见“供应商须知前附表”；</w:t>
      </w:r>
    </w:p>
    <w:p>
      <w:pPr>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采购代理机构：受采购人委托，在委托的范围内办理政府采购事宜的机构，见“供应商须知前附表”；</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供应商：是指参加本政府采购项目磋商的供应商；</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供应商代表：是指参加本项目磋商活动的供应商法定代表人或法定代表人授权代表；</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磋商联合体：是指两个以上供应商组成联合体，以一个供应商的身份参加磋商；</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甲方：是指合同签订的一方，一般与采购人、用户相同；</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乙方：是指合同签订的另一方，与成交人相同；</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制造商：是指拥有响应产品自主知识产权的单位；</w:t>
      </w:r>
    </w:p>
    <w:p>
      <w:pPr>
        <w:spacing w:line="360" w:lineRule="auto"/>
        <w:ind w:right="346" w:firstLine="420" w:firstLineChars="200"/>
        <w:jc w:val="both"/>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中小企业（含中型、小型、微型）：符合中小企业划分标准（工信部联企业</w:t>
      </w:r>
      <w:r>
        <w:rPr>
          <w:rFonts w:hint="eastAsia" w:ascii="宋体" w:hAnsi="宋体" w:eastAsia="宋体" w:cs="宋体"/>
          <w:color w:val="auto"/>
          <w:sz w:val="21"/>
          <w:szCs w:val="21"/>
          <w:highlight w:val="none"/>
        </w:rPr>
        <w:t>[2011]300</w:t>
      </w:r>
      <w:r>
        <w:rPr>
          <w:rFonts w:hint="eastAsia" w:ascii="宋体" w:hAnsi="宋体" w:eastAsia="宋体" w:cs="宋体"/>
          <w:color w:val="auto"/>
          <w:sz w:val="21"/>
          <w:szCs w:val="21"/>
          <w:highlight w:val="none"/>
        </w:rPr>
        <w:t>号）的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残疾人福利性单位：符合《财政部</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t>民政部</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t>中国残疾人联合会关于促进残疾人就业政府采购政策的通知》（财库〔</w:t>
      </w:r>
      <w:r>
        <w:rPr>
          <w:rFonts w:hint="eastAsia" w:ascii="宋体" w:hAnsi="宋体" w:eastAsia="宋体" w:cs="宋体"/>
          <w:color w:val="auto"/>
          <w:sz w:val="21"/>
          <w:szCs w:val="21"/>
          <w:highlight w:val="none"/>
        </w:rPr>
        <w:t>2018</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 xml:space="preserve"> 141 </w:t>
      </w:r>
      <w:r>
        <w:rPr>
          <w:rFonts w:hint="eastAsia" w:ascii="宋体" w:hAnsi="宋体" w:eastAsia="宋体" w:cs="宋体"/>
          <w:color w:val="auto"/>
          <w:sz w:val="21"/>
          <w:szCs w:val="21"/>
          <w:highlight w:val="none"/>
        </w:rPr>
        <w:t>号）的规定的单位；</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政府采购监管部门：浙江省财政厅政府采购监管处。</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1.4</w:t>
      </w:r>
      <w:r>
        <w:rPr>
          <w:rFonts w:hint="eastAsia" w:ascii="宋体" w:hAnsi="宋体" w:eastAsia="宋体" w:cs="宋体"/>
          <w:color w:val="auto"/>
          <w:sz w:val="21"/>
          <w:szCs w:val="21"/>
          <w:highlight w:val="none"/>
        </w:rPr>
        <w:t>、供应商须知前附表规定接受联合体磋商的，应遵守以下规定：（本工程不适用）</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rPr>
        <w:t>）两个以上供应商可以组成一个联合体，以一个供应商的身份共同参加磋商；</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rPr>
        <w:t>）组成联合体参加本项目磋商的，供应商须在购买竞争性磋商文件时向采购代理机构</w:t>
      </w:r>
    </w:p>
    <w:p>
      <w:pPr>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作出相关书面说明，否则响应无效；</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rPr>
        <w:t>）以联合体形式参加本项目磋商的，联合体的各成员均应当具备《中华人民共和国政府采购法》第二十二条规定的条件及采购人规定的特定条件，联合体中有同类资质的供应商按照联合体分工承担相同工作的，按照资质等级较低的供应商确定资质等级；</w:t>
      </w:r>
    </w:p>
    <w:p>
      <w:pPr>
        <w:spacing w:line="360" w:lineRule="auto"/>
        <w:ind w:firstLine="420" w:firstLineChars="200"/>
        <w:rPr>
          <w:rFonts w:hint="eastAsia" w:ascii="宋体" w:hAnsi="宋体" w:eastAsia="宋体" w:cs="宋体"/>
          <w:color w:val="auto"/>
          <w:highlight w:val="none"/>
        </w:rPr>
        <w:sectPr>
          <w:pgSz w:w="11900" w:h="16838"/>
          <w:pgMar w:top="1440" w:right="1440" w:bottom="401" w:left="1440" w:header="567" w:footer="567" w:gutter="0"/>
          <w:cols w:equalWidth="0" w:num="1">
            <w:col w:w="9026"/>
          </w:cols>
        </w:sect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rPr>
        <w:t>）联合体各方之间须签订磋商联合协议，明确约定联合体各方承担的工作和相应的责</w:t>
      </w:r>
    </w:p>
    <w:p>
      <w:pPr>
        <w:spacing w:line="360" w:lineRule="auto"/>
        <w:rPr>
          <w:rFonts w:hint="eastAsia" w:ascii="宋体" w:hAnsi="宋体" w:eastAsia="宋体" w:cs="宋体"/>
          <w:color w:val="auto"/>
          <w:sz w:val="21"/>
          <w:szCs w:val="21"/>
          <w:highlight w:val="none"/>
        </w:rPr>
      </w:pPr>
      <w:bookmarkStart w:id="38" w:name="page10"/>
      <w:bookmarkEnd w:id="38"/>
      <w:r>
        <w:rPr>
          <w:rFonts w:hint="eastAsia" w:ascii="宋体" w:hAnsi="宋体" w:eastAsia="宋体" w:cs="宋体"/>
          <w:color w:val="auto"/>
          <w:sz w:val="21"/>
          <w:szCs w:val="21"/>
          <w:highlight w:val="none"/>
        </w:rPr>
        <w:t>任，在磋商联合协议中指定本项目主办人，并将磋商联合协议作为响应文件组成的一部分；本项目的主体、关键性工作须由主办人完成，并在磋商联合协议中进行说明；</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rPr>
        <w:t>）联合体各方签订磋商联合协议后，不得再以自己名义单独在本项目中参加磋商，也不得组成新的联合体参加本项目磋商；</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rPr>
        <w:t>）联合体各方共同与采购人签订采购合同，就采购合同约定的事项对采购人承担连带责任；</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rPr>
        <w:t>）响应文件须由主办人盖章及其全权代表签署。</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r>
        <w:rPr>
          <w:rFonts w:hint="eastAsia" w:ascii="宋体" w:hAnsi="宋体" w:eastAsia="宋体" w:cs="宋体"/>
          <w:color w:val="auto"/>
          <w:sz w:val="21"/>
          <w:szCs w:val="21"/>
          <w:highlight w:val="none"/>
        </w:rPr>
        <w:t>、费用</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无论磋商过程中的做法和结果如何，供应商自行承担磋商活动中所发生的全部费用。</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rPr>
        <w:t>、保密</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参与磋商活动的各方应对竞争性磋商文件和响应文件中的商业和技术等秘密保密，违者应对此造成的后果承担法律责任。</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r>
        <w:rPr>
          <w:rFonts w:hint="eastAsia" w:ascii="宋体" w:hAnsi="宋体" w:eastAsia="宋体" w:cs="宋体"/>
          <w:color w:val="auto"/>
          <w:sz w:val="21"/>
          <w:szCs w:val="21"/>
          <w:highlight w:val="none"/>
        </w:rPr>
        <w:t>、语言文字</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除专用术语外，与磋商有关的语言使用中文。专用术语应附有中文注释。</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r>
        <w:rPr>
          <w:rFonts w:hint="eastAsia" w:ascii="宋体" w:hAnsi="宋体" w:eastAsia="宋体" w:cs="宋体"/>
          <w:color w:val="auto"/>
          <w:sz w:val="21"/>
          <w:szCs w:val="21"/>
          <w:highlight w:val="none"/>
        </w:rPr>
        <w:t>、计量单位</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所有计量均采用中华人民共和国法定计量单位。</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r>
        <w:rPr>
          <w:rFonts w:hint="eastAsia" w:ascii="宋体" w:hAnsi="宋体" w:eastAsia="宋体" w:cs="宋体"/>
          <w:color w:val="auto"/>
          <w:sz w:val="21"/>
          <w:szCs w:val="21"/>
          <w:highlight w:val="none"/>
        </w:rPr>
        <w:t>、踏勘现场</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1.9.1 </w:t>
      </w:r>
      <w:r>
        <w:rPr>
          <w:rFonts w:hint="eastAsia" w:ascii="宋体" w:hAnsi="宋体" w:eastAsia="宋体" w:cs="宋体"/>
          <w:color w:val="auto"/>
          <w:sz w:val="21"/>
          <w:szCs w:val="21"/>
          <w:highlight w:val="none"/>
        </w:rPr>
        <w:t>供应商须知前附表规定组织踏勘现场的，采购人按供应商须知前附表规定的时间、地点组织供应商踏勘项目现场。</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1.9.2 </w:t>
      </w:r>
      <w:r>
        <w:rPr>
          <w:rFonts w:hint="eastAsia" w:ascii="宋体" w:hAnsi="宋体" w:eastAsia="宋体" w:cs="宋体"/>
          <w:color w:val="auto"/>
          <w:sz w:val="21"/>
          <w:szCs w:val="21"/>
          <w:highlight w:val="none"/>
        </w:rPr>
        <w:t>供应商踏勘现场发生的费用自理。</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1.9.3 </w:t>
      </w:r>
      <w:r>
        <w:rPr>
          <w:rFonts w:hint="eastAsia" w:ascii="宋体" w:hAnsi="宋体" w:eastAsia="宋体" w:cs="宋体"/>
          <w:color w:val="auto"/>
          <w:sz w:val="21"/>
          <w:szCs w:val="21"/>
          <w:highlight w:val="none"/>
        </w:rPr>
        <w:t>除采购人的原因外，供应商自行负责在踏勘现场中所发生的人员伤亡和财产损失。</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1.9.4 </w:t>
      </w:r>
      <w:r>
        <w:rPr>
          <w:rFonts w:hint="eastAsia" w:ascii="宋体" w:hAnsi="宋体" w:eastAsia="宋体" w:cs="宋体"/>
          <w:color w:val="auto"/>
          <w:sz w:val="21"/>
          <w:szCs w:val="21"/>
          <w:highlight w:val="none"/>
        </w:rPr>
        <w:t>采购人在踏勘现场中介绍的场地和相关的周边环境情况，供供应商在编制响应文</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件时参考，采购人不对供应商据此作出的判断和决策负责。</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1.10</w:t>
      </w:r>
      <w:r>
        <w:rPr>
          <w:rFonts w:hint="eastAsia" w:ascii="宋体" w:hAnsi="宋体" w:eastAsia="宋体" w:cs="宋体"/>
          <w:color w:val="auto"/>
          <w:sz w:val="21"/>
          <w:szCs w:val="21"/>
          <w:highlight w:val="none"/>
        </w:rPr>
        <w:t>、答疑会</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1.10.1 </w:t>
      </w:r>
      <w:r>
        <w:rPr>
          <w:rFonts w:hint="eastAsia" w:ascii="宋体" w:hAnsi="宋体" w:eastAsia="宋体" w:cs="宋体"/>
          <w:color w:val="auto"/>
          <w:sz w:val="21"/>
          <w:szCs w:val="21"/>
          <w:highlight w:val="none"/>
        </w:rPr>
        <w:t>供应商须知前附表规定召开答疑会的，采购人按供应商须知前附表规定的时间和</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地点召开答疑会，澄清供应商提出的问题。</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1.10.2 </w:t>
      </w:r>
      <w:r>
        <w:rPr>
          <w:rFonts w:hint="eastAsia" w:ascii="宋体" w:hAnsi="宋体" w:eastAsia="宋体" w:cs="宋体"/>
          <w:color w:val="auto"/>
          <w:sz w:val="21"/>
          <w:szCs w:val="21"/>
          <w:highlight w:val="none"/>
        </w:rPr>
        <w:t>供应商应在答疑会时间的前一天，以书面形式将提出的问题送达采购人，以便采</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购人在会议期间澄清。</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1.10.3 </w:t>
      </w:r>
      <w:r>
        <w:rPr>
          <w:rFonts w:hint="eastAsia" w:ascii="宋体" w:hAnsi="宋体" w:eastAsia="宋体" w:cs="宋体"/>
          <w:color w:val="auto"/>
          <w:sz w:val="21"/>
          <w:szCs w:val="21"/>
          <w:highlight w:val="none"/>
        </w:rPr>
        <w:t>答疑会后，采购人按本章</w:t>
      </w:r>
      <w:r>
        <w:rPr>
          <w:rFonts w:hint="eastAsia" w:ascii="宋体" w:hAnsi="宋体" w:eastAsia="宋体" w:cs="宋体"/>
          <w:color w:val="auto"/>
          <w:sz w:val="21"/>
          <w:szCs w:val="21"/>
          <w:highlight w:val="none"/>
        </w:rPr>
        <w:t xml:space="preserve"> 2.4 </w:t>
      </w:r>
      <w:r>
        <w:rPr>
          <w:rFonts w:hint="eastAsia" w:ascii="宋体" w:hAnsi="宋体" w:eastAsia="宋体" w:cs="宋体"/>
          <w:color w:val="auto"/>
          <w:sz w:val="21"/>
          <w:szCs w:val="21"/>
          <w:highlight w:val="none"/>
        </w:rPr>
        <w:t>款规定对供应商所提问题进行澄清答复。</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w:t>
      </w:r>
      <w:r>
        <w:rPr>
          <w:rFonts w:hint="eastAsia" w:ascii="宋体" w:hAnsi="宋体" w:eastAsia="宋体" w:cs="宋体"/>
          <w:color w:val="auto"/>
          <w:sz w:val="21"/>
          <w:szCs w:val="21"/>
          <w:highlight w:val="none"/>
        </w:rPr>
        <w:t>、分包</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供应商须知前附表规定允许分包的，供应商应当在响应文件载明分包的具体情况，应符合采购人在供应商须知前附表规定的分包内容、分包金额和接受分包的第三人资质要求等限制条件。</w:t>
      </w:r>
    </w:p>
    <w:p>
      <w:pPr>
        <w:spacing w:line="200" w:lineRule="exact"/>
        <w:rPr>
          <w:rFonts w:hint="eastAsia" w:ascii="宋体" w:hAnsi="宋体" w:eastAsia="宋体" w:cs="宋体"/>
          <w:color w:val="auto"/>
          <w:sz w:val="20"/>
          <w:szCs w:val="20"/>
          <w:highlight w:val="none"/>
        </w:rPr>
      </w:pPr>
    </w:p>
    <w:p>
      <w:pPr>
        <w:spacing w:line="304" w:lineRule="exact"/>
        <w:rPr>
          <w:rFonts w:hint="eastAsia" w:ascii="宋体" w:hAnsi="宋体" w:eastAsia="宋体" w:cs="宋体"/>
          <w:color w:val="auto"/>
          <w:sz w:val="20"/>
          <w:szCs w:val="20"/>
          <w:highlight w:val="none"/>
        </w:rPr>
      </w:pPr>
    </w:p>
    <w:p>
      <w:pPr>
        <w:rPr>
          <w:rFonts w:hint="eastAsia" w:ascii="宋体" w:hAnsi="宋体" w:eastAsia="宋体" w:cs="宋体"/>
          <w:color w:val="auto"/>
          <w:highlight w:val="none"/>
        </w:rPr>
        <w:sectPr>
          <w:pgSz w:w="11900" w:h="16838"/>
          <w:pgMar w:top="1440" w:right="1440" w:bottom="401" w:left="1440" w:header="567" w:footer="567" w:gutter="0"/>
          <w:cols w:equalWidth="0" w:num="1">
            <w:col w:w="9026"/>
          </w:cols>
        </w:sectPr>
      </w:pPr>
    </w:p>
    <w:p>
      <w:pPr>
        <w:spacing w:line="1" w:lineRule="exact"/>
        <w:rPr>
          <w:rFonts w:hint="eastAsia" w:ascii="宋体" w:hAnsi="宋体" w:eastAsia="宋体" w:cs="宋体"/>
          <w:color w:val="auto"/>
          <w:sz w:val="20"/>
          <w:szCs w:val="20"/>
          <w:highlight w:val="none"/>
        </w:rPr>
      </w:pPr>
      <w:bookmarkStart w:id="39" w:name="page11"/>
      <w:bookmarkEnd w:id="39"/>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1.12</w:t>
      </w:r>
      <w:r>
        <w:rPr>
          <w:rFonts w:hint="eastAsia" w:ascii="宋体" w:hAnsi="宋体" w:eastAsia="宋体" w:cs="宋体"/>
          <w:color w:val="auto"/>
          <w:sz w:val="21"/>
          <w:szCs w:val="21"/>
          <w:highlight w:val="none"/>
        </w:rPr>
        <w:t>、偏离</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响应文件应完全响应竞争性磋商文件规定的实质性内容和条件。</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1.13</w:t>
      </w:r>
      <w:r>
        <w:rPr>
          <w:rFonts w:hint="eastAsia" w:ascii="宋体" w:hAnsi="宋体" w:eastAsia="宋体" w:cs="宋体"/>
          <w:color w:val="auto"/>
          <w:sz w:val="21"/>
          <w:szCs w:val="21"/>
          <w:highlight w:val="none"/>
        </w:rPr>
        <w:t>、其他</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1.13.1</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u w:val="single"/>
        </w:rPr>
        <w:t>供应商的法定代表人作为磋商全权代表参加磋商的，供应商须在响应文件中提供《法定代表人资格证明书》；法定代表人授权供应商在职职工作为磋商全权代表参加磋商的，供应商须在响应文件中提供附有《法定代表人资格证明书》的《法定代表人授权书》。</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1.13.2</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u w:val="single"/>
        </w:rPr>
        <w:t>供应商对所响应标项内的采购内容必须全部进行响应。</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 xml:space="preserve">1.13.4 </w:t>
      </w:r>
      <w:r>
        <w:rPr>
          <w:rFonts w:hint="eastAsia" w:ascii="宋体" w:hAnsi="宋体" w:eastAsia="宋体" w:cs="宋体"/>
          <w:color w:val="auto"/>
          <w:sz w:val="21"/>
          <w:szCs w:val="21"/>
          <w:highlight w:val="none"/>
        </w:rPr>
        <w:t>竞争性磋商文件中所涉及的产品品牌或型号均为建议性要求或为档次选择要求或为代替部分技术指标描述，供应商可以选择其他品牌型号的产品参加磋商但响应产品须具有相当于或优于竞争性磋商文件要求的指标、性能、档次。否则，磋商小组将对其作出不利的评审。</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 xml:space="preserve">1.13.5 </w:t>
      </w:r>
      <w:r>
        <w:rPr>
          <w:rFonts w:hint="eastAsia" w:ascii="宋体" w:hAnsi="宋体" w:eastAsia="宋体" w:cs="宋体"/>
          <w:color w:val="auto"/>
          <w:sz w:val="21"/>
          <w:szCs w:val="21"/>
          <w:highlight w:val="none"/>
        </w:rPr>
        <w:t>竞争性磋商文件中如有描述歧义或前后不一致的地方，磋商小组有权按公平、合理的原则进行评判，但对同一条款的评判适用于每个供应商。</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 xml:space="preserve">1.13.6 </w:t>
      </w:r>
      <w:r>
        <w:rPr>
          <w:rFonts w:hint="eastAsia" w:ascii="宋体" w:hAnsi="宋体" w:eastAsia="宋体" w:cs="宋体"/>
          <w:color w:val="auto"/>
          <w:sz w:val="21"/>
          <w:szCs w:val="21"/>
          <w:highlight w:val="none"/>
        </w:rPr>
        <w:t>响应文件的响应内容必须真实、明确、准确。否则，磋商小组将对其作出不利的评审。</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 xml:space="preserve">1.13.7 </w:t>
      </w:r>
      <w:r>
        <w:rPr>
          <w:rFonts w:hint="eastAsia" w:ascii="宋体" w:hAnsi="宋体" w:eastAsia="宋体" w:cs="宋体"/>
          <w:color w:val="auto"/>
          <w:sz w:val="21"/>
          <w:szCs w:val="21"/>
          <w:highlight w:val="none"/>
        </w:rPr>
        <w:t>乙方为履行合同引起的相关人员的差旅费、食宿费以及其它不可预知的费用由乙方自理。合同实施过程中，须与甲方积极配合。</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 xml:space="preserve">1.13.8 </w:t>
      </w:r>
      <w:r>
        <w:rPr>
          <w:rFonts w:hint="eastAsia" w:ascii="宋体" w:hAnsi="宋体" w:eastAsia="宋体" w:cs="宋体"/>
          <w:color w:val="auto"/>
          <w:sz w:val="21"/>
          <w:szCs w:val="21"/>
          <w:highlight w:val="none"/>
        </w:rPr>
        <w:t>项目资金为财政性投资，资金已落实。</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 xml:space="preserve">1.13.9 </w:t>
      </w:r>
      <w:r>
        <w:rPr>
          <w:rFonts w:hint="eastAsia" w:ascii="宋体" w:hAnsi="宋体" w:eastAsia="宋体" w:cs="宋体"/>
          <w:color w:val="auto"/>
          <w:sz w:val="21"/>
          <w:szCs w:val="21"/>
          <w:highlight w:val="none"/>
        </w:rPr>
        <w:t>供应商须对所提供产品、方案、技术、服务等拥有合法的占有和处置权，并对涉及项目的所有内容可能侵权行为指控负责，保证不伤害采购人的利益。在法律范围内，如果</w:t>
      </w:r>
      <w:r>
        <w:rPr>
          <w:rFonts w:hint="eastAsia" w:ascii="宋体" w:hAnsi="宋体" w:eastAsia="宋体" w:cs="宋体"/>
          <w:color w:val="auto"/>
          <w:sz w:val="20"/>
          <w:szCs w:val="20"/>
          <w:highlight w:val="none"/>
        </w:rPr>
        <w:t>出现文字、图片、商标和技术等侵权行为而造成的纠纷和产生的一切费用，采购人概不负责，</w:t>
      </w:r>
      <w:r>
        <w:rPr>
          <w:rFonts w:hint="eastAsia" w:ascii="宋体" w:hAnsi="宋体" w:eastAsia="宋体" w:cs="宋体"/>
          <w:color w:val="auto"/>
          <w:sz w:val="21"/>
          <w:szCs w:val="21"/>
          <w:highlight w:val="none"/>
        </w:rPr>
        <w:t>由此给采购人造成损失的，供应商应承担相应后果，并负责赔偿。供应商为执行本项目合同而提供的技术资料等归采购人所有。</w:t>
      </w:r>
    </w:p>
    <w:p>
      <w:pPr>
        <w:spacing w:line="360" w:lineRule="auto"/>
        <w:ind w:firstLine="422" w:firstLineChars="200"/>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 xml:space="preserve">1.13.10 </w:t>
      </w:r>
      <w:r>
        <w:rPr>
          <w:rFonts w:hint="eastAsia" w:ascii="宋体" w:hAnsi="宋体" w:eastAsia="宋体" w:cs="宋体"/>
          <w:b/>
          <w:bCs/>
          <w:color w:val="auto"/>
          <w:sz w:val="21"/>
          <w:szCs w:val="21"/>
          <w:highlight w:val="none"/>
          <w:u w:val="single"/>
        </w:rPr>
        <w:t>磋商所使用的资格、信誉、荣誉、业绩、企业认证等证明材料必须为供应商自身所拥有，不同法人、其他组织资料与供应商无关，评审时不作为该供应商的依据。</w:t>
      </w:r>
    </w:p>
    <w:p>
      <w:pPr>
        <w:spacing w:line="360" w:lineRule="auto"/>
        <w:ind w:firstLine="211" w:firstLineChars="100"/>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“▲”系指实质性要求条款，磋商响应供应商必须做出实质性响应，不满足则按无效标处理。</w:t>
      </w:r>
    </w:p>
    <w:p>
      <w:pPr>
        <w:spacing w:line="360" w:lineRule="auto"/>
        <w:ind w:firstLine="211" w:firstLineChars="1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u w:val="single"/>
        </w:rPr>
        <w:t>“★”系指重要条款，磋商响应供应商应满足或者优于指标要求，否则按照负偏离计算。</w:t>
      </w:r>
    </w:p>
    <w:p>
      <w:pPr>
        <w:spacing w:line="360" w:lineRule="auto"/>
        <w:ind w:firstLine="422" w:firstLineChars="200"/>
        <w:rPr>
          <w:rFonts w:hint="eastAsia" w:ascii="宋体" w:hAnsi="宋体" w:eastAsia="宋体" w:cs="宋体"/>
          <w:color w:val="auto"/>
          <w:sz w:val="20"/>
          <w:szCs w:val="20"/>
          <w:highlight w:val="none"/>
        </w:rPr>
      </w:pPr>
      <w:bookmarkStart w:id="40" w:name="_Toc11507_WPSOffice_Level2"/>
      <w:bookmarkStart w:id="41" w:name="_Toc29859_WPSOffice_Level2"/>
      <w:r>
        <w:rPr>
          <w:rFonts w:hint="eastAsia" w:ascii="宋体" w:hAnsi="宋体" w:eastAsia="宋体" w:cs="宋体"/>
          <w:b/>
          <w:bCs/>
          <w:color w:val="auto"/>
          <w:sz w:val="21"/>
          <w:szCs w:val="21"/>
          <w:highlight w:val="none"/>
        </w:rPr>
        <w:t>二、竞争性磋商文件</w:t>
      </w:r>
      <w:bookmarkEnd w:id="40"/>
      <w:bookmarkEnd w:id="41"/>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rPr>
        <w:t>、竞争性磋商文件组成</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 xml:space="preserve">2.1.1 </w:t>
      </w:r>
      <w:r>
        <w:rPr>
          <w:rFonts w:hint="eastAsia" w:ascii="宋体" w:hAnsi="宋体" w:eastAsia="宋体" w:cs="宋体"/>
          <w:color w:val="auto"/>
          <w:sz w:val="21"/>
          <w:szCs w:val="21"/>
          <w:highlight w:val="none"/>
        </w:rPr>
        <w:t>第一章</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t>竞争性磋商公告</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 xml:space="preserve">2.1.2 </w:t>
      </w:r>
      <w:r>
        <w:rPr>
          <w:rFonts w:hint="eastAsia" w:ascii="宋体" w:hAnsi="宋体" w:eastAsia="宋体" w:cs="宋体"/>
          <w:color w:val="auto"/>
          <w:sz w:val="21"/>
          <w:szCs w:val="21"/>
          <w:highlight w:val="none"/>
        </w:rPr>
        <w:t>第二章</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t>供应商须知前附表</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 xml:space="preserve">2.1.3 </w:t>
      </w:r>
      <w:r>
        <w:rPr>
          <w:rFonts w:hint="eastAsia" w:ascii="宋体" w:hAnsi="宋体" w:eastAsia="宋体" w:cs="宋体"/>
          <w:color w:val="auto"/>
          <w:sz w:val="21"/>
          <w:szCs w:val="21"/>
          <w:highlight w:val="none"/>
        </w:rPr>
        <w:t>第三章</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t>供应商须知</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 xml:space="preserve">2.1.4 </w:t>
      </w:r>
      <w:r>
        <w:rPr>
          <w:rFonts w:hint="eastAsia" w:ascii="宋体" w:hAnsi="宋体" w:eastAsia="宋体" w:cs="宋体"/>
          <w:color w:val="auto"/>
          <w:sz w:val="21"/>
          <w:szCs w:val="21"/>
          <w:highlight w:val="none"/>
        </w:rPr>
        <w:t>第四章</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t>采购内容及技术要求</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 xml:space="preserve">2.1.5 </w:t>
      </w:r>
      <w:r>
        <w:rPr>
          <w:rFonts w:hint="eastAsia" w:ascii="宋体" w:hAnsi="宋体" w:eastAsia="宋体" w:cs="宋体"/>
          <w:color w:val="auto"/>
          <w:sz w:val="21"/>
          <w:szCs w:val="21"/>
          <w:highlight w:val="none"/>
        </w:rPr>
        <w:t>第五章</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t>合同</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 xml:space="preserve">2.1.6 </w:t>
      </w:r>
      <w:r>
        <w:rPr>
          <w:rFonts w:hint="eastAsia" w:ascii="宋体" w:hAnsi="宋体" w:eastAsia="宋体" w:cs="宋体"/>
          <w:color w:val="auto"/>
          <w:sz w:val="21"/>
          <w:szCs w:val="21"/>
          <w:highlight w:val="none"/>
        </w:rPr>
        <w:t>第六章</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t>响应文件格式</w:t>
      </w:r>
    </w:p>
    <w:p>
      <w:pPr>
        <w:spacing w:line="1" w:lineRule="exact"/>
        <w:rPr>
          <w:rFonts w:hint="eastAsia" w:ascii="宋体" w:hAnsi="宋体" w:eastAsia="宋体" w:cs="宋体"/>
          <w:color w:val="auto"/>
          <w:sz w:val="20"/>
          <w:szCs w:val="20"/>
          <w:highlight w:val="none"/>
        </w:rPr>
      </w:pPr>
      <w:bookmarkStart w:id="42" w:name="page12"/>
      <w:bookmarkEnd w:id="42"/>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 xml:space="preserve">2.1.7 </w:t>
      </w:r>
      <w:r>
        <w:rPr>
          <w:rFonts w:hint="eastAsia" w:ascii="宋体" w:hAnsi="宋体" w:eastAsia="宋体" w:cs="宋体"/>
          <w:color w:val="auto"/>
          <w:sz w:val="21"/>
          <w:szCs w:val="21"/>
          <w:highlight w:val="none"/>
        </w:rPr>
        <w:t>第七章</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t>评审办法</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 xml:space="preserve">2.1.8 </w:t>
      </w:r>
      <w:r>
        <w:rPr>
          <w:rFonts w:hint="eastAsia" w:ascii="宋体" w:hAnsi="宋体" w:eastAsia="宋体" w:cs="宋体"/>
          <w:color w:val="auto"/>
          <w:sz w:val="21"/>
          <w:szCs w:val="21"/>
          <w:highlight w:val="none"/>
        </w:rPr>
        <w:t>补充文件（如有）</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2.2</w:t>
      </w:r>
      <w:r>
        <w:rPr>
          <w:rFonts w:hint="eastAsia" w:ascii="宋体" w:hAnsi="宋体" w:eastAsia="宋体" w:cs="宋体"/>
          <w:color w:val="auto"/>
          <w:sz w:val="21"/>
          <w:szCs w:val="21"/>
          <w:highlight w:val="none"/>
        </w:rPr>
        <w:t>、竞争性磋商文件的解释权</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竞争性磋商文件的解释权归采购人和采购代理机构所有。</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2.3</w:t>
      </w:r>
      <w:r>
        <w:rPr>
          <w:rFonts w:hint="eastAsia" w:ascii="宋体" w:hAnsi="宋体" w:eastAsia="宋体" w:cs="宋体"/>
          <w:color w:val="auto"/>
          <w:sz w:val="21"/>
          <w:szCs w:val="21"/>
          <w:highlight w:val="none"/>
        </w:rPr>
        <w:t>、竞争性磋商文件的质疑</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 xml:space="preserve">2.3.1 </w:t>
      </w:r>
      <w:r>
        <w:rPr>
          <w:rFonts w:hint="eastAsia" w:ascii="宋体" w:hAnsi="宋体" w:eastAsia="宋体" w:cs="宋体"/>
          <w:color w:val="auto"/>
          <w:sz w:val="21"/>
          <w:szCs w:val="21"/>
          <w:highlight w:val="none"/>
        </w:rPr>
        <w:t>供应商认为竞争性磋商文件规定内容使自己的合法权益受到损害的，供应商可以提出书面质疑。</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 xml:space="preserve">2.3.2 </w:t>
      </w:r>
      <w:r>
        <w:rPr>
          <w:rFonts w:hint="eastAsia" w:ascii="宋体" w:hAnsi="宋体" w:eastAsia="宋体" w:cs="宋体"/>
          <w:color w:val="auto"/>
          <w:sz w:val="21"/>
          <w:szCs w:val="21"/>
          <w:highlight w:val="none"/>
        </w:rPr>
        <w:t>质疑书须包括以下内容：</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（一）质疑人的名称、地址、邮政编码、联系人、联系电话；</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（二）被质疑采购项目名称、编号及采购内容；</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（三）具体的质疑事项及事实依据；</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（四）认为自己合法权益受到损害或可能受到损害的相关证据材料；</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（五）提出质疑的日期。</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 xml:space="preserve">2.3.3 </w:t>
      </w:r>
      <w:r>
        <w:rPr>
          <w:rFonts w:hint="eastAsia" w:ascii="宋体" w:hAnsi="宋体" w:eastAsia="宋体" w:cs="宋体"/>
          <w:color w:val="auto"/>
          <w:sz w:val="21"/>
          <w:szCs w:val="21"/>
          <w:highlight w:val="none"/>
        </w:rPr>
        <w:t>质疑期限自供应商获得竞争性磋商文件之日起</w:t>
      </w:r>
      <w:r>
        <w:rPr>
          <w:rFonts w:hint="eastAsia" w:ascii="宋体" w:hAnsi="宋体" w:eastAsia="宋体" w:cs="宋体"/>
          <w:color w:val="auto"/>
          <w:sz w:val="21"/>
          <w:szCs w:val="21"/>
          <w:highlight w:val="none"/>
        </w:rPr>
        <w:t xml:space="preserve"> 3 </w:t>
      </w:r>
      <w:r>
        <w:rPr>
          <w:rFonts w:hint="eastAsia" w:ascii="宋体" w:hAnsi="宋体" w:eastAsia="宋体" w:cs="宋体"/>
          <w:color w:val="auto"/>
          <w:sz w:val="21"/>
          <w:szCs w:val="21"/>
          <w:highlight w:val="none"/>
        </w:rPr>
        <w:t>个工作日内且在响应文件递交截止时间前向采购代理机构提出。</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 xml:space="preserve">2.3.4 </w:t>
      </w:r>
      <w:r>
        <w:rPr>
          <w:rFonts w:hint="eastAsia" w:ascii="宋体" w:hAnsi="宋体" w:eastAsia="宋体" w:cs="宋体"/>
          <w:color w:val="auto"/>
          <w:sz w:val="21"/>
          <w:szCs w:val="21"/>
          <w:highlight w:val="none"/>
        </w:rPr>
        <w:t>质疑书中涉及的相关材料中有外文资料的，应当将与质疑相关的外文资料完整、客观、真实地翻译为中文，并注明翻译人员姓名、工作单位、联系方式等信息。</w:t>
      </w:r>
    </w:p>
    <w:p>
      <w:pPr>
        <w:spacing w:line="360" w:lineRule="auto"/>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2.3.5 </w:t>
      </w:r>
      <w:r>
        <w:rPr>
          <w:rFonts w:hint="eastAsia" w:ascii="宋体" w:hAnsi="宋体" w:eastAsia="宋体" w:cs="宋体"/>
          <w:color w:val="auto"/>
          <w:sz w:val="21"/>
          <w:szCs w:val="21"/>
          <w:highlight w:val="none"/>
        </w:rPr>
        <w:t>质疑书必须署名，由法定代表人签字（或盖章）并加盖单位公章，否则不予受理。</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 xml:space="preserve">2.3.6 </w:t>
      </w:r>
      <w:r>
        <w:rPr>
          <w:rFonts w:hint="eastAsia" w:ascii="宋体" w:hAnsi="宋体" w:eastAsia="宋体" w:cs="宋体"/>
          <w:color w:val="auto"/>
          <w:sz w:val="21"/>
          <w:szCs w:val="21"/>
          <w:highlight w:val="none"/>
        </w:rPr>
        <w:t>质疑书以直接提交、传真或邮寄方式提交（一式三份）。</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 xml:space="preserve">2.3.7 </w:t>
      </w:r>
      <w:r>
        <w:rPr>
          <w:rFonts w:hint="eastAsia" w:ascii="宋体" w:hAnsi="宋体" w:eastAsia="宋体" w:cs="宋体"/>
          <w:color w:val="auto"/>
          <w:sz w:val="21"/>
          <w:szCs w:val="21"/>
          <w:highlight w:val="none"/>
        </w:rPr>
        <w:t>质疑书以传真形式提交后，同时须向采购代理机构提交质疑书原件，实际收到原件之日作为收到质疑的日期。</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2.4</w:t>
      </w:r>
      <w:r>
        <w:rPr>
          <w:rFonts w:hint="eastAsia" w:ascii="宋体" w:hAnsi="宋体" w:eastAsia="宋体" w:cs="宋体"/>
          <w:color w:val="auto"/>
          <w:sz w:val="21"/>
          <w:szCs w:val="21"/>
          <w:highlight w:val="none"/>
        </w:rPr>
        <w:t>、竞争性磋商文件的澄清</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2.4.1 </w:t>
      </w:r>
      <w:r>
        <w:rPr>
          <w:rFonts w:hint="eastAsia" w:ascii="宋体" w:hAnsi="宋体" w:eastAsia="宋体" w:cs="宋体"/>
          <w:color w:val="auto"/>
          <w:sz w:val="21"/>
          <w:szCs w:val="21"/>
          <w:highlight w:val="none"/>
        </w:rPr>
        <w:t>供应商对竞争性磋商文件如有疑问要求澄清，或认为有必要与采购代理机构进行技术交流，供应商需将书面资料在“供应商须知前附表”规定询疑截止时间前传真或送达至采购代理机构，同时将电子文件发至供应商须知前附表注明的邮箱（电子邮件与书面文件有不一致的，以书面文件为准），并与采购代理机构进行确认。采购代理机构有权对询疑截止时间后的收到疑问将不予受理、答复。</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 xml:space="preserve">2.4.2 </w:t>
      </w:r>
      <w:r>
        <w:rPr>
          <w:rFonts w:hint="eastAsia" w:ascii="宋体" w:hAnsi="宋体" w:eastAsia="宋体" w:cs="宋体"/>
          <w:color w:val="auto"/>
          <w:sz w:val="21"/>
          <w:szCs w:val="21"/>
          <w:highlight w:val="none"/>
        </w:rPr>
        <w:t>供应商要求澄清的资料应加盖单位公章、写明日期。</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 xml:space="preserve">2.4.3 </w:t>
      </w:r>
      <w:r>
        <w:rPr>
          <w:rFonts w:hint="eastAsia" w:ascii="宋体" w:hAnsi="宋体" w:eastAsia="宋体" w:cs="宋体"/>
          <w:color w:val="auto"/>
          <w:sz w:val="21"/>
          <w:szCs w:val="21"/>
          <w:highlight w:val="none"/>
        </w:rPr>
        <w:t>如有必要，采购代理机构和采购人对供应商所有要求澄清的问题都予以解答，澄清答复的文件为补充文件，作为竞争性磋商文件的组成部分，补充文件将以传真、网上公告等形式告知所有购买竞争性磋商文件的供应商，补充文件对供应商均有约束力。</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2.4.4 </w:t>
      </w:r>
      <w:r>
        <w:rPr>
          <w:rFonts w:hint="eastAsia" w:ascii="宋体" w:hAnsi="宋体" w:eastAsia="宋体" w:cs="宋体"/>
          <w:color w:val="auto"/>
          <w:sz w:val="21"/>
          <w:szCs w:val="21"/>
          <w:highlight w:val="none"/>
        </w:rPr>
        <w:t>补充文件发出后，采购人原则上不改变竞争性磋商文件规定的响应文件递交截止时间及开标时间。供应商如认为补充文件内容影响响应文件编制，须延长响应文件递交截止时间的，必须在收到补充文件后</w:t>
      </w:r>
      <w:r>
        <w:rPr>
          <w:rFonts w:hint="eastAsia" w:ascii="宋体" w:hAnsi="宋体" w:eastAsia="宋体" w:cs="宋体"/>
          <w:color w:val="auto"/>
          <w:sz w:val="21"/>
          <w:szCs w:val="21"/>
          <w:highlight w:val="none"/>
        </w:rPr>
        <w:t xml:space="preserve"> 24 </w:t>
      </w:r>
      <w:r>
        <w:rPr>
          <w:rFonts w:hint="eastAsia" w:ascii="宋体" w:hAnsi="宋体" w:eastAsia="宋体" w:cs="宋体"/>
          <w:color w:val="auto"/>
          <w:sz w:val="21"/>
          <w:szCs w:val="21"/>
          <w:highlight w:val="none"/>
        </w:rPr>
        <w:t>小时内将意见和理由以书面形式向采购代理机构提出，否则，采购代理机构视供应商完全接受并有足够的时间编制响应文件且按规定时间进行磋商。</w:t>
      </w:r>
    </w:p>
    <w:p>
      <w:pPr>
        <w:spacing w:line="360" w:lineRule="auto"/>
        <w:ind w:firstLine="420" w:firstLineChars="200"/>
        <w:rPr>
          <w:rFonts w:hint="eastAsia" w:ascii="宋体" w:hAnsi="宋体" w:eastAsia="宋体" w:cs="宋体"/>
          <w:color w:val="auto"/>
          <w:sz w:val="20"/>
          <w:szCs w:val="20"/>
          <w:highlight w:val="none"/>
        </w:rPr>
      </w:pPr>
      <w:bookmarkStart w:id="43" w:name="page13"/>
      <w:bookmarkEnd w:id="43"/>
      <w:r>
        <w:rPr>
          <w:rFonts w:hint="eastAsia" w:ascii="宋体" w:hAnsi="宋体" w:eastAsia="宋体" w:cs="宋体"/>
          <w:color w:val="auto"/>
          <w:sz w:val="21"/>
          <w:szCs w:val="21"/>
          <w:highlight w:val="none"/>
        </w:rPr>
        <w:t xml:space="preserve">2.4.5 </w:t>
      </w:r>
      <w:r>
        <w:rPr>
          <w:rFonts w:hint="eastAsia" w:ascii="宋体" w:hAnsi="宋体" w:eastAsia="宋体" w:cs="宋体"/>
          <w:color w:val="auto"/>
          <w:sz w:val="21"/>
          <w:szCs w:val="21"/>
          <w:highlight w:val="none"/>
        </w:rPr>
        <w:t>供应商在收到补充文件后，应在</w:t>
      </w:r>
      <w:r>
        <w:rPr>
          <w:rFonts w:hint="eastAsia" w:ascii="宋体" w:hAnsi="宋体" w:eastAsia="宋体" w:cs="宋体"/>
          <w:color w:val="auto"/>
          <w:sz w:val="21"/>
          <w:szCs w:val="21"/>
          <w:highlight w:val="none"/>
        </w:rPr>
        <w:t xml:space="preserve"> 24 </w:t>
      </w:r>
      <w:r>
        <w:rPr>
          <w:rFonts w:hint="eastAsia" w:ascii="宋体" w:hAnsi="宋体" w:eastAsia="宋体" w:cs="宋体"/>
          <w:color w:val="auto"/>
          <w:sz w:val="21"/>
          <w:szCs w:val="21"/>
          <w:highlight w:val="none"/>
        </w:rPr>
        <w:t>小时内以书面形式向采购代理机构确认已收到该补充文件。</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 xml:space="preserve">2.4.6 </w:t>
      </w:r>
      <w:r>
        <w:rPr>
          <w:rFonts w:hint="eastAsia" w:ascii="宋体" w:hAnsi="宋体" w:eastAsia="宋体" w:cs="宋体"/>
          <w:color w:val="auto"/>
          <w:sz w:val="21"/>
          <w:szCs w:val="21"/>
          <w:highlight w:val="none"/>
        </w:rPr>
        <w:t>供应商在竞争性磋商文件规定的询疑截止时间前内未对竞争性磋商文件提出疑问的，采购代理机构将视其为无异议。</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 xml:space="preserve">2.4.7 </w:t>
      </w:r>
      <w:r>
        <w:rPr>
          <w:rFonts w:hint="eastAsia" w:ascii="宋体" w:hAnsi="宋体" w:eastAsia="宋体" w:cs="宋体"/>
          <w:color w:val="auto"/>
          <w:sz w:val="21"/>
          <w:szCs w:val="21"/>
          <w:highlight w:val="none"/>
        </w:rPr>
        <w:t>当竞争性磋商文件与补充文件就同一内容的表述不一致时，以最后发出的书面文件为准。</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2.5</w:t>
      </w:r>
      <w:r>
        <w:rPr>
          <w:rFonts w:hint="eastAsia" w:ascii="宋体" w:hAnsi="宋体" w:eastAsia="宋体" w:cs="宋体"/>
          <w:color w:val="auto"/>
          <w:sz w:val="21"/>
          <w:szCs w:val="21"/>
          <w:highlight w:val="none"/>
        </w:rPr>
        <w:t>、竞争性磋商文件的修改</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 xml:space="preserve">2.5.1 </w:t>
      </w:r>
      <w:r>
        <w:rPr>
          <w:rFonts w:hint="eastAsia" w:ascii="宋体" w:hAnsi="宋体" w:eastAsia="宋体" w:cs="宋体"/>
          <w:color w:val="auto"/>
          <w:sz w:val="21"/>
          <w:szCs w:val="21"/>
          <w:highlight w:val="none"/>
        </w:rPr>
        <w:t>在响应文件提交的截止时间前，由于各种原因采购人可能以补充文件的形式修改完善竞争性磋商文件。</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 xml:space="preserve">2.5.2 </w:t>
      </w:r>
      <w:r>
        <w:rPr>
          <w:rFonts w:hint="eastAsia" w:ascii="宋体" w:hAnsi="宋体" w:eastAsia="宋体" w:cs="宋体"/>
          <w:color w:val="auto"/>
          <w:sz w:val="21"/>
          <w:szCs w:val="21"/>
          <w:highlight w:val="none"/>
        </w:rPr>
        <w:t>补充文件作为竞争性磋商文件组成部分，补充文件将以传真、网上公告等形式告知所有购买竞争性磋商文件的供应商，补充文件对供应商均有约束力。</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 xml:space="preserve">2.5.3 </w:t>
      </w:r>
      <w:r>
        <w:rPr>
          <w:rFonts w:hint="eastAsia" w:ascii="宋体" w:hAnsi="宋体" w:eastAsia="宋体" w:cs="宋体"/>
          <w:color w:val="auto"/>
          <w:sz w:val="21"/>
          <w:szCs w:val="21"/>
          <w:highlight w:val="none"/>
        </w:rPr>
        <w:t>补充文件发出后，采购人原则上不改变本文件规定的响应文件递交截止时间及开启时间。供应商如认为补充文件内容影响响应文件编制，须延长响应文件递交截止时间的，必须在收到补充文件后</w:t>
      </w:r>
      <w:r>
        <w:rPr>
          <w:rFonts w:hint="eastAsia" w:ascii="宋体" w:hAnsi="宋体" w:eastAsia="宋体" w:cs="宋体"/>
          <w:color w:val="auto"/>
          <w:sz w:val="21"/>
          <w:szCs w:val="21"/>
          <w:highlight w:val="none"/>
        </w:rPr>
        <w:t xml:space="preserve"> 24 </w:t>
      </w:r>
      <w:r>
        <w:rPr>
          <w:rFonts w:hint="eastAsia" w:ascii="宋体" w:hAnsi="宋体" w:eastAsia="宋体" w:cs="宋体"/>
          <w:color w:val="auto"/>
          <w:sz w:val="21"/>
          <w:szCs w:val="21"/>
          <w:highlight w:val="none"/>
        </w:rPr>
        <w:t>小时内将意见和理由以书面形式向采购代理机构提出，否则，采购代理机构视供应商完全接受并有足够的时间编制响应文件且按规定时间进行磋商。</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 xml:space="preserve">2.5.4 </w:t>
      </w:r>
      <w:r>
        <w:rPr>
          <w:rFonts w:hint="eastAsia" w:ascii="宋体" w:hAnsi="宋体" w:eastAsia="宋体" w:cs="宋体"/>
          <w:color w:val="auto"/>
          <w:sz w:val="21"/>
          <w:szCs w:val="21"/>
          <w:highlight w:val="none"/>
        </w:rPr>
        <w:t>供应商在收到补充文件后，应在</w:t>
      </w:r>
      <w:r>
        <w:rPr>
          <w:rFonts w:hint="eastAsia" w:ascii="宋体" w:hAnsi="宋体" w:eastAsia="宋体" w:cs="宋体"/>
          <w:color w:val="auto"/>
          <w:sz w:val="21"/>
          <w:szCs w:val="21"/>
          <w:highlight w:val="none"/>
        </w:rPr>
        <w:t xml:space="preserve"> 24 </w:t>
      </w:r>
      <w:r>
        <w:rPr>
          <w:rFonts w:hint="eastAsia" w:ascii="宋体" w:hAnsi="宋体" w:eastAsia="宋体" w:cs="宋体"/>
          <w:color w:val="auto"/>
          <w:sz w:val="21"/>
          <w:szCs w:val="21"/>
          <w:highlight w:val="none"/>
        </w:rPr>
        <w:t>小时内以书面形式向采购代理机构确认已收到该补充文件。</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 xml:space="preserve">2.5.5 </w:t>
      </w:r>
      <w:r>
        <w:rPr>
          <w:rFonts w:hint="eastAsia" w:ascii="宋体" w:hAnsi="宋体" w:eastAsia="宋体" w:cs="宋体"/>
          <w:color w:val="auto"/>
          <w:sz w:val="21"/>
          <w:szCs w:val="21"/>
          <w:highlight w:val="none"/>
        </w:rPr>
        <w:t>供应商收到补充文件后，对补充文件如有疑问要求澄清，应在</w:t>
      </w:r>
      <w:r>
        <w:rPr>
          <w:rFonts w:hint="eastAsia" w:ascii="宋体" w:hAnsi="宋体" w:eastAsia="宋体" w:cs="宋体"/>
          <w:color w:val="auto"/>
          <w:sz w:val="21"/>
          <w:szCs w:val="21"/>
          <w:highlight w:val="none"/>
        </w:rPr>
        <w:t xml:space="preserve"> 24 </w:t>
      </w:r>
      <w:r>
        <w:rPr>
          <w:rFonts w:hint="eastAsia" w:ascii="宋体" w:hAnsi="宋体" w:eastAsia="宋体" w:cs="宋体"/>
          <w:color w:val="auto"/>
          <w:sz w:val="21"/>
          <w:szCs w:val="21"/>
          <w:highlight w:val="none"/>
        </w:rPr>
        <w:t>小时内将书面</w:t>
      </w:r>
      <w:r>
        <w:rPr>
          <w:rFonts w:hint="eastAsia" w:ascii="宋体" w:hAnsi="宋体" w:eastAsia="宋体" w:cs="宋体"/>
          <w:color w:val="auto"/>
          <w:sz w:val="20"/>
          <w:szCs w:val="20"/>
          <w:highlight w:val="none"/>
        </w:rPr>
        <w:t>资料传</w:t>
      </w:r>
      <w:r>
        <w:rPr>
          <w:rFonts w:hint="eastAsia" w:ascii="宋体" w:hAnsi="宋体" w:eastAsia="宋体" w:cs="宋体"/>
          <w:color w:val="auto"/>
          <w:sz w:val="21"/>
          <w:szCs w:val="21"/>
          <w:highlight w:val="none"/>
        </w:rPr>
        <w:t>真或送达至采购代理机构，同时将电子文件发至供应商须知前附表注明的邮箱（</w:t>
      </w:r>
      <w:r>
        <w:rPr>
          <w:rFonts w:hint="eastAsia" w:ascii="宋体" w:hAnsi="宋体" w:eastAsia="宋体" w:cs="宋体"/>
          <w:color w:val="auto"/>
          <w:sz w:val="20"/>
          <w:szCs w:val="20"/>
          <w:highlight w:val="none"/>
        </w:rPr>
        <w:t>电子</w:t>
      </w:r>
      <w:r>
        <w:rPr>
          <w:rFonts w:hint="eastAsia" w:ascii="宋体" w:hAnsi="宋体" w:eastAsia="宋体" w:cs="宋体"/>
          <w:color w:val="auto"/>
          <w:sz w:val="21"/>
          <w:szCs w:val="21"/>
          <w:highlight w:val="none"/>
        </w:rPr>
        <w:t>邮件与书面文件有不一致的，以书面文件为准），并与采购代理机构进行确认。</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 xml:space="preserve">2.5.6 </w:t>
      </w:r>
      <w:r>
        <w:rPr>
          <w:rFonts w:hint="eastAsia" w:ascii="宋体" w:hAnsi="宋体" w:eastAsia="宋体" w:cs="宋体"/>
          <w:color w:val="auto"/>
          <w:sz w:val="21"/>
          <w:szCs w:val="21"/>
          <w:highlight w:val="none"/>
        </w:rPr>
        <w:t>供应商要求澄清的资料应加盖单位公章、写明日期。</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 xml:space="preserve">2.5.7 </w:t>
      </w:r>
      <w:r>
        <w:rPr>
          <w:rFonts w:hint="eastAsia" w:ascii="宋体" w:hAnsi="宋体" w:eastAsia="宋体" w:cs="宋体"/>
          <w:color w:val="auto"/>
          <w:sz w:val="21"/>
          <w:szCs w:val="21"/>
          <w:highlight w:val="none"/>
        </w:rPr>
        <w:t>对补充文件的澄清答复按</w:t>
      </w:r>
      <w:r>
        <w:rPr>
          <w:rFonts w:hint="eastAsia" w:ascii="宋体" w:hAnsi="宋体" w:eastAsia="宋体" w:cs="宋体"/>
          <w:color w:val="auto"/>
          <w:sz w:val="21"/>
          <w:szCs w:val="21"/>
          <w:highlight w:val="none"/>
        </w:rPr>
        <w:t xml:space="preserve"> 2.4 </w:t>
      </w:r>
      <w:r>
        <w:rPr>
          <w:rFonts w:hint="eastAsia" w:ascii="宋体" w:hAnsi="宋体" w:eastAsia="宋体" w:cs="宋体"/>
          <w:color w:val="auto"/>
          <w:sz w:val="21"/>
          <w:szCs w:val="21"/>
          <w:highlight w:val="none"/>
        </w:rPr>
        <w:t>款规定。</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 xml:space="preserve">2.5.8 </w:t>
      </w:r>
      <w:r>
        <w:rPr>
          <w:rFonts w:hint="eastAsia" w:ascii="宋体" w:hAnsi="宋体" w:eastAsia="宋体" w:cs="宋体"/>
          <w:color w:val="auto"/>
          <w:sz w:val="21"/>
          <w:szCs w:val="21"/>
          <w:highlight w:val="none"/>
        </w:rPr>
        <w:t>当竞争性磋商文件与补充文件就同一内容的表述不一致时，以最后发出的书面文件为准。</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 xml:space="preserve">2.5.9 </w:t>
      </w:r>
      <w:r>
        <w:rPr>
          <w:rFonts w:hint="eastAsia" w:ascii="宋体" w:hAnsi="宋体" w:eastAsia="宋体" w:cs="宋体"/>
          <w:color w:val="auto"/>
          <w:sz w:val="21"/>
          <w:szCs w:val="21"/>
          <w:highlight w:val="none"/>
        </w:rPr>
        <w:t>任何口头答复均不属于竞争性磋商文件的组成部分。</w:t>
      </w:r>
    </w:p>
    <w:p>
      <w:pPr>
        <w:spacing w:line="360" w:lineRule="auto"/>
        <w:ind w:firstLine="422" w:firstLineChars="200"/>
        <w:rPr>
          <w:rFonts w:hint="eastAsia" w:ascii="宋体" w:hAnsi="宋体" w:eastAsia="宋体" w:cs="宋体"/>
          <w:color w:val="auto"/>
          <w:sz w:val="20"/>
          <w:szCs w:val="20"/>
          <w:highlight w:val="none"/>
        </w:rPr>
      </w:pPr>
      <w:bookmarkStart w:id="44" w:name="_Toc3166_WPSOffice_Level2"/>
      <w:bookmarkStart w:id="45" w:name="_Toc27277_WPSOffice_Level2"/>
      <w:r>
        <w:rPr>
          <w:rFonts w:hint="eastAsia" w:ascii="宋体" w:hAnsi="宋体" w:eastAsia="宋体" w:cs="宋体"/>
          <w:b/>
          <w:bCs/>
          <w:color w:val="auto"/>
          <w:sz w:val="21"/>
          <w:szCs w:val="21"/>
          <w:highlight w:val="none"/>
        </w:rPr>
        <w:t>三、响应文件</w:t>
      </w:r>
      <w:bookmarkEnd w:id="44"/>
      <w:bookmarkEnd w:id="45"/>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rPr>
        <w:t>、响应文件</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 xml:space="preserve">3.1.1 </w:t>
      </w:r>
      <w:r>
        <w:rPr>
          <w:rFonts w:hint="eastAsia" w:ascii="宋体" w:hAnsi="宋体" w:eastAsia="宋体" w:cs="宋体"/>
          <w:color w:val="auto"/>
          <w:sz w:val="21"/>
          <w:szCs w:val="21"/>
          <w:highlight w:val="none"/>
        </w:rPr>
        <w:t>供应商应仔细阅读竞争性磋商文件规定的所有内容，以保证能全面准确理解竞争性磋商文件，并按照竞争性磋商文件要求，详细编制响应文件，响应文件内容必须针对本次磋商响应。</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3.1.2 </w:t>
      </w:r>
      <w:r>
        <w:rPr>
          <w:rFonts w:hint="eastAsia" w:ascii="宋体" w:hAnsi="宋体" w:eastAsia="宋体" w:cs="宋体"/>
          <w:color w:val="auto"/>
          <w:sz w:val="21"/>
          <w:szCs w:val="21"/>
          <w:highlight w:val="none"/>
        </w:rPr>
        <w:t>供应商必须按竞争性磋商文件的要求提供相关资料，并对竞争性磋商文件中提出的所有内容要求给予实质性响应，须保证响应文件的准确、真实、明确。响应文件响应内容对竞争性磋商文件要求如有偏离均应填写偏离表，如不填写，采购人有权视作响应文件完全响应竞争性磋商文件要求。</w:t>
      </w:r>
    </w:p>
    <w:p>
      <w:pPr>
        <w:spacing w:line="360" w:lineRule="auto"/>
        <w:ind w:firstLine="422" w:firstLineChars="200"/>
        <w:rPr>
          <w:rFonts w:hint="eastAsia" w:ascii="宋体" w:hAnsi="宋体" w:eastAsia="宋体" w:cs="宋体"/>
          <w:color w:val="auto"/>
          <w:sz w:val="20"/>
          <w:szCs w:val="20"/>
          <w:highlight w:val="none"/>
        </w:rPr>
      </w:pPr>
      <w:r>
        <w:rPr>
          <w:rFonts w:hint="eastAsia" w:ascii="宋体" w:hAnsi="宋体" w:eastAsia="宋体" w:cs="宋体"/>
          <w:b/>
          <w:bCs/>
          <w:color w:val="auto"/>
          <w:sz w:val="21"/>
          <w:szCs w:val="21"/>
          <w:highlight w:val="none"/>
        </w:rPr>
        <w:t>3.2</w:t>
      </w:r>
      <w:r>
        <w:rPr>
          <w:rFonts w:hint="eastAsia" w:ascii="宋体" w:hAnsi="宋体" w:eastAsia="宋体" w:cs="宋体"/>
          <w:b/>
          <w:bCs/>
          <w:color w:val="auto"/>
          <w:sz w:val="21"/>
          <w:szCs w:val="21"/>
          <w:highlight w:val="none"/>
        </w:rPr>
        <w:t>、响应文件组成</w:t>
      </w:r>
    </w:p>
    <w:p>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3.2.1 </w:t>
      </w:r>
      <w:r>
        <w:rPr>
          <w:rFonts w:hint="eastAsia" w:ascii="宋体" w:hAnsi="宋体" w:eastAsia="宋体" w:cs="宋体"/>
          <w:b/>
          <w:bCs/>
          <w:color w:val="auto"/>
          <w:sz w:val="21"/>
          <w:szCs w:val="21"/>
          <w:highlight w:val="none"/>
        </w:rPr>
        <w:t>投标文件报价文件</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t>报价函；</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t>初次报价一览表；</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t>工程量清单报价</w:t>
      </w:r>
      <w:bookmarkStart w:id="46" w:name="page14"/>
      <w:bookmarkEnd w:id="46"/>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t>中小企业（监狱）声明函及其相关的充分的证明材料、残疾人福利性单位声明函。</w:t>
      </w:r>
    </w:p>
    <w:p>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3.2.2 </w:t>
      </w:r>
      <w:r>
        <w:rPr>
          <w:rFonts w:hint="eastAsia" w:ascii="宋体" w:hAnsi="宋体" w:eastAsia="宋体" w:cs="宋体"/>
          <w:b/>
          <w:bCs/>
          <w:color w:val="auto"/>
          <w:sz w:val="21"/>
          <w:szCs w:val="21"/>
          <w:highlight w:val="none"/>
        </w:rPr>
        <w:t>投标文件商务、技术文件</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商务文件：</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rPr>
        <w:t>）法定代表人资格证明书或附有法定代表人资格证明书的法定代表人授权书；</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rPr>
        <w:t>）资格审查资料；</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rPr>
        <w:t>）供应商声明函；</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rPr>
        <w:t>）公司基本情况介绍；</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rPr>
        <w:t>）供应商类似工程业绩；</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技术文件：</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rPr>
        <w:t>）施工方案；</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rPr>
        <w:t>）质量保证措施；（根据评分表要求制作、格式自拟）</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rPr>
        <w:t>）拟投入的主要施工机械设备情况、主要施工机械计划；</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rPr>
        <w:t>）工期承诺、进度控制措施及施工质量控制措施；</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rPr>
        <w:t>）投入本项目的工程技术管理人员的专业配置情况；附表三、附表四、附表五</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rPr>
        <w:t>）关键工序、复杂环节的相应技术措施；</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rPr>
        <w:t>）安全文明施工保证措施；</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rPr>
        <w:t>）材料设备进场计划及施工计划情况；</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rPr>
        <w:t>）应急处置方案及售后服务；</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rPr>
        <w:t>）主要材料品牌表；</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11</w:t>
      </w:r>
      <w:r>
        <w:rPr>
          <w:rFonts w:hint="eastAsia" w:ascii="宋体" w:hAnsi="宋体" w:eastAsia="宋体" w:cs="宋体"/>
          <w:color w:val="auto"/>
          <w:sz w:val="21"/>
          <w:szCs w:val="21"/>
          <w:highlight w:val="none"/>
        </w:rPr>
        <w:t>）供应商认为需要提供的资料。</w:t>
      </w:r>
    </w:p>
    <w:p>
      <w:pPr>
        <w:spacing w:line="360" w:lineRule="auto"/>
        <w:ind w:firstLine="422" w:firstLineChars="200"/>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采用文字表述外可附下列图表，图表及格式要求附后，没有图表的可格式自拟。</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附表一</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t>拟投入的主要施工设备表</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附表二</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t>拟配备的试验和检测仪器设备表</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附表三</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t>项目管理班子配备情况表</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附表四、项目经理简历表</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附表五、技术负责人简历表</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附表六、劳动力计划表</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附表七、计划开、竣工日期和施工进度网络图或横道图</w:t>
      </w:r>
    </w:p>
    <w:p>
      <w:pPr>
        <w:spacing w:line="360" w:lineRule="auto"/>
        <w:ind w:firstLine="422" w:firstLineChars="200"/>
        <w:rPr>
          <w:rFonts w:hint="eastAsia" w:ascii="宋体" w:hAnsi="宋体" w:eastAsia="宋体" w:cs="宋体"/>
          <w:b/>
          <w:bCs/>
          <w:color w:val="auto"/>
          <w:sz w:val="20"/>
          <w:szCs w:val="20"/>
          <w:highlight w:val="none"/>
        </w:rPr>
      </w:pPr>
      <w:r>
        <w:rPr>
          <w:rFonts w:hint="eastAsia" w:ascii="宋体" w:hAnsi="宋体" w:eastAsia="宋体" w:cs="宋体"/>
          <w:b/>
          <w:bCs/>
          <w:color w:val="auto"/>
          <w:sz w:val="21"/>
          <w:szCs w:val="21"/>
          <w:highlight w:val="none"/>
        </w:rPr>
        <w:t>3.3</w:t>
      </w:r>
      <w:r>
        <w:rPr>
          <w:rFonts w:hint="eastAsia" w:ascii="宋体" w:hAnsi="宋体" w:eastAsia="宋体" w:cs="宋体"/>
          <w:b/>
          <w:bCs/>
          <w:color w:val="auto"/>
          <w:sz w:val="21"/>
          <w:szCs w:val="21"/>
          <w:highlight w:val="none"/>
        </w:rPr>
        <w:t>、响应文件的编制</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 xml:space="preserve">3.3.1 </w:t>
      </w:r>
      <w:r>
        <w:rPr>
          <w:rFonts w:hint="eastAsia" w:ascii="宋体" w:hAnsi="宋体" w:eastAsia="宋体" w:cs="宋体"/>
          <w:color w:val="auto"/>
          <w:sz w:val="21"/>
          <w:szCs w:val="21"/>
          <w:highlight w:val="none"/>
        </w:rPr>
        <w:t>响应文件应按照本章</w:t>
      </w:r>
      <w:r>
        <w:rPr>
          <w:rFonts w:hint="eastAsia" w:ascii="宋体" w:hAnsi="宋体" w:eastAsia="宋体" w:cs="宋体"/>
          <w:color w:val="auto"/>
          <w:sz w:val="21"/>
          <w:szCs w:val="21"/>
          <w:highlight w:val="none"/>
        </w:rPr>
        <w:t xml:space="preserve"> 3.2 </w:t>
      </w:r>
      <w:r>
        <w:rPr>
          <w:rFonts w:hint="eastAsia" w:ascii="宋体" w:hAnsi="宋体" w:eastAsia="宋体" w:cs="宋体"/>
          <w:color w:val="auto"/>
          <w:sz w:val="21"/>
          <w:szCs w:val="21"/>
          <w:highlight w:val="none"/>
        </w:rPr>
        <w:t>款中规定的顺序及采用“响应文件格式”中提供的格式进行编制。</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 xml:space="preserve">3.3.2 </w:t>
      </w:r>
      <w:r>
        <w:rPr>
          <w:rFonts w:hint="eastAsia" w:ascii="宋体" w:hAnsi="宋体" w:eastAsia="宋体" w:cs="宋体"/>
          <w:color w:val="auto"/>
          <w:sz w:val="21"/>
          <w:szCs w:val="21"/>
          <w:highlight w:val="none"/>
        </w:rPr>
        <w:t>响应文件应当对竞争性磋商文件规定的内容进行明确，对竞争性磋商文件规定的实质性内容应当作出响应。</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 xml:space="preserve">3.3.3 </w:t>
      </w:r>
      <w:r>
        <w:rPr>
          <w:rFonts w:hint="eastAsia" w:ascii="宋体" w:hAnsi="宋体" w:eastAsia="宋体" w:cs="宋体"/>
          <w:color w:val="auto"/>
          <w:sz w:val="21"/>
          <w:szCs w:val="21"/>
          <w:highlight w:val="none"/>
        </w:rPr>
        <w:t>响应文件的正本需打印或用不退色的墨水填写，并注明“正本”字样。副本可以复印，并注明“副本”字样。当副本和正本不一致时，以正本为准。</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3.3.4 </w:t>
      </w:r>
      <w:r>
        <w:rPr>
          <w:rFonts w:hint="eastAsia" w:ascii="宋体" w:hAnsi="宋体" w:eastAsia="宋体" w:cs="宋体"/>
          <w:color w:val="auto"/>
          <w:sz w:val="21"/>
          <w:szCs w:val="21"/>
          <w:highlight w:val="none"/>
        </w:rPr>
        <w:t>响应文件由供应商的法定代表人或其委托代理人签字（或盖章）、盖单位公章。响应文件应尽量避免涂改、行间插字或删除，如果出现上述情况，改动之处应加盖单位公章或由响应文件签署人签字（或盖章）确认。签字或盖章的具体要求见“供应商须知前附表”。</w:t>
      </w:r>
      <w:bookmarkStart w:id="47" w:name="page15"/>
      <w:bookmarkEnd w:id="47"/>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 xml:space="preserve">3.3.5 </w:t>
      </w:r>
      <w:r>
        <w:rPr>
          <w:rFonts w:hint="eastAsia" w:ascii="宋体" w:hAnsi="宋体" w:eastAsia="宋体" w:cs="宋体"/>
          <w:color w:val="auto"/>
          <w:sz w:val="21"/>
          <w:szCs w:val="21"/>
          <w:highlight w:val="none"/>
        </w:rPr>
        <w:t>响应文件份数要求详见“供应商须知前附表”。</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 xml:space="preserve">3.3.6 </w:t>
      </w:r>
      <w:r>
        <w:rPr>
          <w:rFonts w:hint="eastAsia" w:ascii="宋体" w:hAnsi="宋体" w:eastAsia="宋体" w:cs="宋体"/>
          <w:color w:val="auto"/>
          <w:sz w:val="21"/>
          <w:szCs w:val="21"/>
          <w:highlight w:val="none"/>
        </w:rPr>
        <w:t>响应文件应编制目录，响应文件装订要求详见“供应商须知前附表”。</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 xml:space="preserve">3.3.7 </w:t>
      </w:r>
      <w:r>
        <w:rPr>
          <w:rFonts w:hint="eastAsia" w:ascii="宋体" w:hAnsi="宋体" w:eastAsia="宋体" w:cs="宋体"/>
          <w:color w:val="auto"/>
          <w:sz w:val="21"/>
          <w:szCs w:val="21"/>
          <w:highlight w:val="none"/>
        </w:rPr>
        <w:t>由于字迹模糊或表达不清引起的后果由供应商负责。</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3.4</w:t>
      </w:r>
      <w:r>
        <w:rPr>
          <w:rFonts w:hint="eastAsia" w:ascii="宋体" w:hAnsi="宋体" w:eastAsia="宋体" w:cs="宋体"/>
          <w:color w:val="auto"/>
          <w:sz w:val="21"/>
          <w:szCs w:val="21"/>
          <w:highlight w:val="none"/>
        </w:rPr>
        <w:t>、磋商报价</w:t>
      </w:r>
    </w:p>
    <w:p>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3.4.1 </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u w:val="single"/>
        </w:rPr>
        <w:t>本项目以含税人民币报价</w:t>
      </w:r>
      <w:r>
        <w:rPr>
          <w:rFonts w:hint="eastAsia" w:ascii="宋体" w:hAnsi="宋体" w:eastAsia="宋体" w:cs="宋体"/>
          <w:color w:val="auto"/>
          <w:sz w:val="21"/>
          <w:szCs w:val="21"/>
          <w:highlight w:val="none"/>
          <w:u w:val="single"/>
        </w:rPr>
        <w:t>。</w:t>
      </w:r>
    </w:p>
    <w:p>
      <w:pPr>
        <w:pStyle w:val="39"/>
        <w:adjustRightInd w:val="0"/>
        <w:snapToGrid w:val="0"/>
        <w:spacing w:before="0"/>
        <w:ind w:firstLine="31680"/>
        <w:rPr>
          <w:rFonts w:hint="eastAsia" w:ascii="宋体" w:hAnsi="宋体" w:eastAsia="宋体" w:cs="宋体"/>
          <w:color w:val="auto"/>
          <w:sz w:val="21"/>
          <w:szCs w:val="21"/>
          <w:highlight w:val="none"/>
          <w:u w:val="single"/>
        </w:rPr>
      </w:pPr>
      <w:r>
        <w:rPr>
          <w:rFonts w:hint="eastAsia" w:ascii="宋体" w:hAnsi="宋体" w:eastAsia="宋体" w:cs="宋体"/>
          <w:b/>
          <w:color w:val="auto"/>
          <w:sz w:val="21"/>
          <w:szCs w:val="21"/>
          <w:highlight w:val="none"/>
          <w:u w:val="single"/>
        </w:rPr>
        <w:t>招标文件中明确的采购内容的采购、运输以及施工安装期间潜可能产生的费用、设计费（含施工图优化）、凡在投标报价中涉及到企业管理费、利润、措施费、规费、税金等国家、省、市强制性要求的费用，若投标人报价不足或未报价，则视作优惠，一旦中标，投标人自行承担该费用。投标人对合同内容的费用、质量、安全、文明服务等实行全面承包。最后磋商报价是履行合同的最终价格。</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 xml:space="preserve">3.4.2 </w:t>
      </w:r>
      <w:r>
        <w:rPr>
          <w:rFonts w:hint="eastAsia" w:ascii="宋体" w:hAnsi="宋体" w:eastAsia="宋体" w:cs="宋体"/>
          <w:color w:val="auto"/>
          <w:sz w:val="21"/>
          <w:szCs w:val="21"/>
          <w:highlight w:val="none"/>
        </w:rPr>
        <w:t>供应商应按</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t>“工程量清单”的要求填写相应表格，请供应商详细阅读采购文件工程量清单编制说明。</w:t>
      </w:r>
    </w:p>
    <w:p>
      <w:pPr>
        <w:spacing w:line="360" w:lineRule="auto"/>
        <w:ind w:firstLine="420" w:firstLineChars="200"/>
        <w:rPr>
          <w:rFonts w:hint="eastAsia" w:ascii="宋体" w:hAnsi="宋体" w:eastAsia="宋体" w:cs="宋体"/>
          <w:b/>
          <w:bCs/>
          <w:color w:val="auto"/>
          <w:sz w:val="21"/>
          <w:szCs w:val="21"/>
          <w:highlight w:val="none"/>
          <w:u w:val="single"/>
        </w:rPr>
      </w:pPr>
      <w:r>
        <w:rPr>
          <w:rFonts w:hint="eastAsia" w:ascii="宋体" w:hAnsi="宋体" w:eastAsia="宋体" w:cs="宋体"/>
          <w:color w:val="auto"/>
          <w:sz w:val="21"/>
          <w:szCs w:val="21"/>
          <w:highlight w:val="none"/>
        </w:rPr>
        <w:t xml:space="preserve">3.4.3 </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u w:val="single"/>
        </w:rPr>
        <w:t>所投标项最后一轮报价只允许有一个报价，不接受有选择报价的响应文件。</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3.4.4 </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u w:val="single"/>
        </w:rPr>
        <w:t>造价人员签字及盖章要求：详见前附表要求。</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3.5</w:t>
      </w:r>
      <w:r>
        <w:rPr>
          <w:rFonts w:hint="eastAsia" w:ascii="宋体" w:hAnsi="宋体" w:eastAsia="宋体" w:cs="宋体"/>
          <w:color w:val="auto"/>
          <w:sz w:val="21"/>
          <w:szCs w:val="21"/>
          <w:highlight w:val="none"/>
        </w:rPr>
        <w:t>、磋商保证金：本项目不提交；</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 xml:space="preserve">3.6 </w:t>
      </w:r>
      <w:r>
        <w:rPr>
          <w:rFonts w:hint="eastAsia" w:ascii="宋体" w:hAnsi="宋体" w:eastAsia="宋体" w:cs="宋体"/>
          <w:color w:val="auto"/>
          <w:sz w:val="21"/>
          <w:szCs w:val="21"/>
          <w:highlight w:val="none"/>
        </w:rPr>
        <w:t>响应文件有效期</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 xml:space="preserve">3.6.1 </w:t>
      </w:r>
      <w:r>
        <w:rPr>
          <w:rFonts w:hint="eastAsia" w:ascii="宋体" w:hAnsi="宋体" w:eastAsia="宋体" w:cs="宋体"/>
          <w:color w:val="auto"/>
          <w:sz w:val="21"/>
          <w:szCs w:val="21"/>
          <w:highlight w:val="none"/>
        </w:rPr>
        <w:t>响应文件有效期按“供应商须知前附表”规定，响应文件应在该有效期内保持有效。合同签订后，响应文件作为合同附件，响应文件有效期同合同有效期。</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 xml:space="preserve">3.6.2 </w:t>
      </w:r>
      <w:r>
        <w:rPr>
          <w:rFonts w:hint="eastAsia" w:ascii="宋体" w:hAnsi="宋体" w:eastAsia="宋体" w:cs="宋体"/>
          <w:color w:val="auto"/>
          <w:sz w:val="21"/>
          <w:szCs w:val="21"/>
          <w:highlight w:val="none"/>
        </w:rPr>
        <w:t>在特殊情况下，采购人可与供应商协商延长响应文件有效期，这种要求和答复均应以书面形式进行。</w:t>
      </w:r>
    </w:p>
    <w:p>
      <w:pPr>
        <w:spacing w:line="1" w:lineRule="exact"/>
        <w:rPr>
          <w:rFonts w:hint="eastAsia" w:ascii="宋体" w:hAnsi="宋体" w:eastAsia="宋体" w:cs="宋体"/>
          <w:color w:val="auto"/>
          <w:sz w:val="20"/>
          <w:szCs w:val="20"/>
          <w:highlight w:val="none"/>
        </w:rPr>
      </w:pPr>
      <w:bookmarkStart w:id="48" w:name="page16"/>
      <w:bookmarkEnd w:id="48"/>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 xml:space="preserve">3.6.3 </w:t>
      </w:r>
      <w:r>
        <w:rPr>
          <w:rFonts w:hint="eastAsia" w:ascii="宋体" w:hAnsi="宋体" w:eastAsia="宋体" w:cs="宋体"/>
          <w:color w:val="auto"/>
          <w:sz w:val="21"/>
          <w:szCs w:val="21"/>
          <w:highlight w:val="none"/>
        </w:rPr>
        <w:t>供应商可拒绝接受延期要求。同意延长有效期的供应商不能修改响应文件。</w:t>
      </w:r>
    </w:p>
    <w:p>
      <w:pPr>
        <w:spacing w:line="360" w:lineRule="auto"/>
        <w:ind w:firstLine="422" w:firstLineChars="200"/>
        <w:rPr>
          <w:rFonts w:hint="eastAsia" w:ascii="宋体" w:hAnsi="宋体" w:eastAsia="宋体" w:cs="宋体"/>
          <w:color w:val="auto"/>
          <w:sz w:val="20"/>
          <w:szCs w:val="20"/>
          <w:highlight w:val="none"/>
        </w:rPr>
      </w:pPr>
      <w:bookmarkStart w:id="49" w:name="_Toc10590_WPSOffice_Level2"/>
      <w:bookmarkStart w:id="50" w:name="_Toc18155_WPSOffice_Level2"/>
      <w:r>
        <w:rPr>
          <w:rFonts w:hint="eastAsia" w:ascii="宋体" w:hAnsi="宋体" w:eastAsia="宋体" w:cs="宋体"/>
          <w:b/>
          <w:bCs/>
          <w:color w:val="auto"/>
          <w:sz w:val="21"/>
          <w:szCs w:val="21"/>
          <w:highlight w:val="none"/>
        </w:rPr>
        <w:t>四、磋商响应</w:t>
      </w:r>
      <w:bookmarkEnd w:id="49"/>
      <w:bookmarkEnd w:id="50"/>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4.1</w:t>
      </w:r>
      <w:r>
        <w:rPr>
          <w:rFonts w:hint="eastAsia" w:ascii="宋体" w:hAnsi="宋体" w:eastAsia="宋体" w:cs="宋体"/>
          <w:color w:val="auto"/>
          <w:sz w:val="21"/>
          <w:szCs w:val="21"/>
          <w:highlight w:val="none"/>
        </w:rPr>
        <w:t>、响应文件的密封及标记：</w:t>
      </w:r>
      <w:r>
        <w:rPr>
          <w:rFonts w:hint="eastAsia" w:ascii="宋体" w:hAnsi="宋体" w:eastAsia="宋体" w:cs="宋体"/>
          <w:b/>
          <w:bCs/>
          <w:color w:val="auto"/>
          <w:sz w:val="21"/>
          <w:szCs w:val="21"/>
          <w:highlight w:val="none"/>
        </w:rPr>
        <w:t>详见前附表中要求。</w:t>
      </w:r>
    </w:p>
    <w:p>
      <w:pPr>
        <w:spacing w:line="360" w:lineRule="auto"/>
        <w:ind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 xml:space="preserve">4.1.1 </w:t>
      </w:r>
      <w:r>
        <w:rPr>
          <w:rFonts w:hint="eastAsia" w:ascii="宋体" w:hAnsi="宋体" w:eastAsia="宋体" w:cs="宋体"/>
          <w:color w:val="auto"/>
          <w:sz w:val="21"/>
          <w:szCs w:val="21"/>
          <w:highlight w:val="none"/>
        </w:rPr>
        <w:t>响应文件应按以下方法装袋密封：</w:t>
      </w:r>
      <w:r>
        <w:rPr>
          <w:rFonts w:hint="eastAsia" w:ascii="宋体" w:hAnsi="宋体" w:eastAsia="宋体" w:cs="宋体"/>
          <w:b/>
          <w:bCs/>
          <w:color w:val="auto"/>
          <w:sz w:val="21"/>
          <w:szCs w:val="21"/>
          <w:highlight w:val="none"/>
        </w:rPr>
        <w:t>详见前附表中要求。</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 xml:space="preserve">4.1.2 </w:t>
      </w:r>
      <w:r>
        <w:rPr>
          <w:rFonts w:hint="eastAsia" w:ascii="宋体" w:hAnsi="宋体" w:eastAsia="宋体" w:cs="宋体"/>
          <w:b/>
          <w:bCs/>
          <w:color w:val="auto"/>
          <w:sz w:val="21"/>
          <w:szCs w:val="21"/>
          <w:highlight w:val="none"/>
        </w:rPr>
        <w:t>如果供应商未按上述要求加写标记，采购人对响应文件的误投和提前启封不负责任。</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4.2</w:t>
      </w:r>
      <w:r>
        <w:rPr>
          <w:rFonts w:hint="eastAsia" w:ascii="宋体" w:hAnsi="宋体" w:eastAsia="宋体" w:cs="宋体"/>
          <w:color w:val="auto"/>
          <w:sz w:val="21"/>
          <w:szCs w:val="21"/>
          <w:highlight w:val="none"/>
        </w:rPr>
        <w:t>、响应文件的提交</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 xml:space="preserve">4.2.1 </w:t>
      </w:r>
      <w:r>
        <w:rPr>
          <w:rFonts w:hint="eastAsia" w:ascii="宋体" w:hAnsi="宋体" w:eastAsia="宋体" w:cs="宋体"/>
          <w:color w:val="auto"/>
          <w:sz w:val="21"/>
          <w:szCs w:val="21"/>
          <w:highlight w:val="none"/>
        </w:rPr>
        <w:t>供应商应在“供应商须知前附表”规定响应文件提交的截止时间前提交响应文件。</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 xml:space="preserve">4.2.2 </w:t>
      </w:r>
      <w:r>
        <w:rPr>
          <w:rFonts w:hint="eastAsia" w:ascii="宋体" w:hAnsi="宋体" w:eastAsia="宋体" w:cs="宋体"/>
          <w:color w:val="auto"/>
          <w:sz w:val="21"/>
          <w:szCs w:val="21"/>
          <w:highlight w:val="none"/>
        </w:rPr>
        <w:t>供应商提交响应文件地点见“供应商须知前附表”。</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 xml:space="preserve">4.2.3 </w:t>
      </w:r>
      <w:r>
        <w:rPr>
          <w:rFonts w:hint="eastAsia" w:ascii="宋体" w:hAnsi="宋体" w:eastAsia="宋体" w:cs="宋体"/>
          <w:color w:val="auto"/>
          <w:sz w:val="21"/>
          <w:szCs w:val="21"/>
          <w:highlight w:val="none"/>
        </w:rPr>
        <w:t>供应商提交的响应文件均不予退还。</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 xml:space="preserve">4.2.4 </w:t>
      </w:r>
      <w:r>
        <w:rPr>
          <w:rFonts w:hint="eastAsia" w:ascii="宋体" w:hAnsi="宋体" w:eastAsia="宋体" w:cs="宋体"/>
          <w:color w:val="auto"/>
          <w:sz w:val="21"/>
          <w:szCs w:val="21"/>
          <w:highlight w:val="none"/>
        </w:rPr>
        <w:t>逾期送达的或者未送达指定地点的响应文件，采购人将不予受理。</w:t>
      </w:r>
    </w:p>
    <w:p>
      <w:pPr>
        <w:spacing w:line="360" w:lineRule="auto"/>
        <w:ind w:right="346"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 xml:space="preserve">4.2.5 </w:t>
      </w:r>
      <w:r>
        <w:rPr>
          <w:rFonts w:hint="eastAsia" w:ascii="宋体" w:hAnsi="宋体" w:eastAsia="宋体" w:cs="宋体"/>
          <w:color w:val="auto"/>
          <w:sz w:val="21"/>
          <w:szCs w:val="21"/>
          <w:highlight w:val="none"/>
        </w:rPr>
        <w:t>采购人如因故推迟响应文件递交截止时间，应以书面形式通知所有供应商。在这种情况下，采购人和供应商的权利和义务将受到新的</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t>响应文件提交的截止时间的约束。</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4.3</w:t>
      </w:r>
      <w:r>
        <w:rPr>
          <w:rFonts w:hint="eastAsia" w:ascii="宋体" w:hAnsi="宋体" w:eastAsia="宋体" w:cs="宋体"/>
          <w:color w:val="auto"/>
          <w:sz w:val="21"/>
          <w:szCs w:val="21"/>
          <w:highlight w:val="none"/>
        </w:rPr>
        <w:t>、响应文件的修改和撤回</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 xml:space="preserve">4.3.1 </w:t>
      </w:r>
      <w:r>
        <w:rPr>
          <w:rFonts w:hint="eastAsia" w:ascii="宋体" w:hAnsi="宋体" w:eastAsia="宋体" w:cs="宋体"/>
          <w:color w:val="auto"/>
          <w:sz w:val="21"/>
          <w:szCs w:val="21"/>
          <w:highlight w:val="none"/>
        </w:rPr>
        <w:t>供应商在递交响应文件以后如必须修改或撤回响应文件，必须在响应文件提交的截止时间以前将书面的磋商修改文件或撤标通知邮寄到达或送达采购代理机构。</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4.3.2 </w:t>
      </w:r>
      <w:r>
        <w:rPr>
          <w:rFonts w:hint="eastAsia" w:ascii="宋体" w:hAnsi="宋体" w:eastAsia="宋体" w:cs="宋体"/>
          <w:color w:val="auto"/>
          <w:sz w:val="21"/>
          <w:szCs w:val="21"/>
          <w:highlight w:val="none"/>
        </w:rPr>
        <w:t>磋商修改文件必须密封，在密封袋上写明磋商项目编号、磋商项目名称、供应商名称、所响应标项名称，并注明“修改文件”、“磋商时启封”字样。</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4.3.3 </w:t>
      </w:r>
      <w:r>
        <w:rPr>
          <w:rFonts w:hint="eastAsia" w:ascii="宋体" w:hAnsi="宋体" w:eastAsia="宋体" w:cs="宋体"/>
          <w:color w:val="auto"/>
          <w:sz w:val="21"/>
          <w:szCs w:val="21"/>
          <w:highlight w:val="none"/>
        </w:rPr>
        <w:t>供应商以传真或电报形式通知采购人撤标时，必须在响应文件提交的截止时间以前补充由法定代表人或法定代表人授权代表签署的正式文件。</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 xml:space="preserve">4.4 </w:t>
      </w:r>
      <w:r>
        <w:rPr>
          <w:rFonts w:hint="eastAsia" w:ascii="宋体" w:hAnsi="宋体" w:eastAsia="宋体" w:cs="宋体"/>
          <w:color w:val="auto"/>
          <w:sz w:val="21"/>
          <w:szCs w:val="21"/>
          <w:highlight w:val="none"/>
        </w:rPr>
        <w:t>备选磋商方案</w:t>
      </w:r>
    </w:p>
    <w:p>
      <w:pPr>
        <w:spacing w:line="240" w:lineRule="exact"/>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供应商不得提交备选磋商方案，否则，响应文件将被判定为无效标。</w:t>
      </w:r>
    </w:p>
    <w:p>
      <w:pPr>
        <w:spacing w:line="168" w:lineRule="exact"/>
        <w:rPr>
          <w:rFonts w:hint="eastAsia" w:ascii="宋体" w:hAnsi="宋体" w:eastAsia="宋体" w:cs="宋体"/>
          <w:color w:val="auto"/>
          <w:sz w:val="20"/>
          <w:szCs w:val="20"/>
          <w:highlight w:val="none"/>
        </w:rPr>
      </w:pPr>
    </w:p>
    <w:p>
      <w:pPr>
        <w:spacing w:line="360" w:lineRule="auto"/>
        <w:ind w:firstLine="422" w:firstLineChars="200"/>
        <w:rPr>
          <w:rFonts w:hint="eastAsia" w:ascii="宋体" w:hAnsi="宋体" w:eastAsia="宋体" w:cs="宋体"/>
          <w:color w:val="auto"/>
          <w:sz w:val="20"/>
          <w:szCs w:val="20"/>
          <w:highlight w:val="none"/>
        </w:rPr>
      </w:pPr>
      <w:bookmarkStart w:id="51" w:name="_Toc23684_WPSOffice_Level2"/>
      <w:bookmarkStart w:id="52" w:name="_Toc26605_WPSOffice_Level2"/>
      <w:r>
        <w:rPr>
          <w:rFonts w:hint="eastAsia" w:ascii="宋体" w:hAnsi="宋体" w:eastAsia="宋体" w:cs="宋体"/>
          <w:b/>
          <w:bCs/>
          <w:color w:val="auto"/>
          <w:sz w:val="21"/>
          <w:szCs w:val="21"/>
          <w:highlight w:val="none"/>
        </w:rPr>
        <w:t>五、响应文件的开启、评审及合同签订</w:t>
      </w:r>
      <w:bookmarkEnd w:id="51"/>
      <w:bookmarkEnd w:id="52"/>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5.1</w:t>
      </w:r>
      <w:r>
        <w:rPr>
          <w:rFonts w:hint="eastAsia" w:ascii="宋体" w:hAnsi="宋体" w:eastAsia="宋体" w:cs="宋体"/>
          <w:color w:val="auto"/>
          <w:sz w:val="21"/>
          <w:szCs w:val="21"/>
          <w:highlight w:val="none"/>
        </w:rPr>
        <w:t>、开启</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 xml:space="preserve">5.1.1 </w:t>
      </w:r>
      <w:r>
        <w:rPr>
          <w:rFonts w:hint="eastAsia" w:ascii="宋体" w:hAnsi="宋体" w:eastAsia="宋体" w:cs="宋体"/>
          <w:color w:val="auto"/>
          <w:sz w:val="21"/>
          <w:szCs w:val="21"/>
          <w:highlight w:val="none"/>
        </w:rPr>
        <w:t>采购人按“供应商须知前附表”规定的时间、地点公开开启，并邀请所有供应商代表准时参加。</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 xml:space="preserve">5.1.2 </w:t>
      </w:r>
      <w:r>
        <w:rPr>
          <w:rFonts w:hint="eastAsia" w:ascii="宋体" w:hAnsi="宋体" w:eastAsia="宋体" w:cs="宋体"/>
          <w:color w:val="auto"/>
          <w:sz w:val="21"/>
          <w:szCs w:val="21"/>
          <w:highlight w:val="none"/>
        </w:rPr>
        <w:t>供应商代表为法定代表人或其委托代理人，供应商代表必须出席开标大会，并签</w:t>
      </w:r>
      <w:r>
        <w:rPr>
          <w:rFonts w:hint="eastAsia" w:ascii="宋体" w:hAnsi="宋体" w:eastAsia="宋体" w:cs="宋体"/>
          <w:color w:val="auto"/>
          <w:sz w:val="20"/>
          <w:szCs w:val="20"/>
          <w:highlight w:val="none"/>
        </w:rPr>
        <w:t>名报</w:t>
      </w:r>
      <w:r>
        <w:rPr>
          <w:rFonts w:hint="eastAsia" w:ascii="宋体" w:hAnsi="宋体" w:eastAsia="宋体" w:cs="宋体"/>
          <w:color w:val="auto"/>
          <w:sz w:val="21"/>
          <w:szCs w:val="21"/>
          <w:highlight w:val="none"/>
        </w:rPr>
        <w:t>到，以证明其出席磋商会议，且随身携带有效身份证原件（或采购人认可的其他身份证</w:t>
      </w:r>
      <w:bookmarkStart w:id="53" w:name="page17"/>
      <w:bookmarkEnd w:id="53"/>
      <w:r>
        <w:rPr>
          <w:rFonts w:hint="eastAsia" w:ascii="宋体" w:hAnsi="宋体" w:eastAsia="宋体" w:cs="宋体"/>
          <w:color w:val="auto"/>
          <w:sz w:val="21"/>
          <w:szCs w:val="21"/>
          <w:highlight w:val="none"/>
        </w:rPr>
        <w:t>明原件）。法定代表人须提供（现场出示或在响应文件中提供）法定代表人资格证明书，委托代理人须提供（现场出示或在响应文件中提供）附有法定代表人资格证明书的授权委托书。</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 xml:space="preserve">5.1.3 </w:t>
      </w:r>
      <w:r>
        <w:rPr>
          <w:rFonts w:hint="eastAsia" w:ascii="宋体" w:hAnsi="宋体" w:eastAsia="宋体" w:cs="宋体"/>
          <w:color w:val="auto"/>
          <w:sz w:val="21"/>
          <w:szCs w:val="21"/>
          <w:highlight w:val="none"/>
        </w:rPr>
        <w:t>核验出席开标活动现场的各授权供应商代表及相关单位人员身份，并组织其登记、签到。对现场接受采购响应文件的，由现场工作人员接收采购响应文件并登记，请供应商代表对采购响应文件的递交记录情况进行签字确认。</w:t>
      </w:r>
    </w:p>
    <w:p>
      <w:pPr>
        <w:spacing w:line="360" w:lineRule="auto"/>
        <w:ind w:right="346"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持人宣布开标，介绍开标现场的人员情况，宣读递交采购响应文件的供应商名单、开标纪律、应当回避的情形等注意事项，组织供应商签署《政府采购活动现场确认声明书》。提请供应商代表或公证人员查验采购响应文件密封情况。</w:t>
      </w:r>
    </w:p>
    <w:p>
      <w:pPr>
        <w:spacing w:line="360" w:lineRule="auto"/>
        <w:ind w:right="346"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按供应商提交投标文件的先后顺序当众拆封、清点投标文件（包括正本、副本）数量，将拆封后的响应文件由现场工作人员护送至指定的评审地点。对不符合装订要求的投标文件，由现场工作人员退还供应商代表。</w:t>
      </w:r>
    </w:p>
    <w:p>
      <w:pPr>
        <w:spacing w:line="360" w:lineRule="auto"/>
        <w:ind w:right="346" w:firstLine="420" w:firstLineChars="200"/>
        <w:jc w:val="both"/>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商务技术评审结束后，主持人宣告评审无效供应商名称及理由并签字确认；进行二次报价填写。统一收取最终报价。评审结束后，主持人公布中标候选供应商名单，及采购人最终确定中标供应商名单的时间和公告方式等。</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 xml:space="preserve">5.1.4 </w:t>
      </w:r>
      <w:r>
        <w:rPr>
          <w:rFonts w:hint="eastAsia" w:ascii="宋体" w:hAnsi="宋体" w:eastAsia="宋体" w:cs="宋体"/>
          <w:color w:val="auto"/>
          <w:sz w:val="21"/>
          <w:szCs w:val="21"/>
          <w:highlight w:val="none"/>
        </w:rPr>
        <w:t>供应商在响应文件提交的截止时间前提交响应文件撤回函的，采购人将在开启时宣读撤回函，并将其响应文件及时退还供应商。</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 xml:space="preserve">5.1.5 </w:t>
      </w:r>
      <w:r>
        <w:rPr>
          <w:rFonts w:hint="eastAsia" w:ascii="宋体" w:hAnsi="宋体" w:eastAsia="宋体" w:cs="宋体"/>
          <w:color w:val="auto"/>
          <w:sz w:val="21"/>
          <w:szCs w:val="21"/>
          <w:highlight w:val="none"/>
        </w:rPr>
        <w:t>开启结束后，供应商代表应在开启记录上签字确认。唱标人、记录人、监督人均应在开启记录上签字。供应商代表未在开启记录上签字的，均视为对开启结果予以默认。</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5.1.6 </w:t>
      </w:r>
      <w:r>
        <w:rPr>
          <w:rFonts w:hint="eastAsia" w:ascii="宋体" w:hAnsi="宋体" w:eastAsia="宋体" w:cs="宋体"/>
          <w:color w:val="auto"/>
          <w:sz w:val="21"/>
          <w:szCs w:val="21"/>
          <w:highlight w:val="none"/>
        </w:rPr>
        <w:t>开启结束后，如发现开启结果与响应文件不一致者，除磋商小组认定的特殊情况应另行处理外，其开启结果不予纠正。</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 xml:space="preserve">5.1.7 </w:t>
      </w:r>
      <w:r>
        <w:rPr>
          <w:rFonts w:hint="eastAsia" w:ascii="宋体" w:hAnsi="宋体" w:eastAsia="宋体" w:cs="宋体"/>
          <w:color w:val="auto"/>
          <w:sz w:val="21"/>
          <w:szCs w:val="21"/>
          <w:highlight w:val="none"/>
        </w:rPr>
        <w:t>如供应商不派代表参加开标会（未到场或者不能出示其身份证件或者未按时签到的），投标人不得对采购相关人员、开标过程和开标结果提出异议。</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 xml:space="preserve">5.2 </w:t>
      </w:r>
      <w:r>
        <w:rPr>
          <w:rFonts w:hint="eastAsia" w:ascii="宋体" w:hAnsi="宋体" w:eastAsia="宋体" w:cs="宋体"/>
          <w:color w:val="auto"/>
          <w:sz w:val="21"/>
          <w:szCs w:val="21"/>
          <w:highlight w:val="none"/>
        </w:rPr>
        <w:t>不予接收的响应文件</w:t>
      </w:r>
    </w:p>
    <w:p>
      <w:pPr>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rPr>
        <w:t>）在响应文件提交的截止时间以后送达的响应文件；</w:t>
      </w:r>
    </w:p>
    <w:p>
      <w:pPr>
        <w:spacing w:line="1" w:lineRule="exact"/>
        <w:rPr>
          <w:rFonts w:hint="eastAsia" w:ascii="宋体" w:hAnsi="宋体" w:eastAsia="宋体" w:cs="宋体"/>
          <w:color w:val="auto"/>
          <w:sz w:val="20"/>
          <w:szCs w:val="20"/>
          <w:highlight w:val="none"/>
        </w:rPr>
      </w:pPr>
      <w:bookmarkStart w:id="54" w:name="page18"/>
      <w:bookmarkEnd w:id="54"/>
    </w:p>
    <w:p>
      <w:pPr>
        <w:spacing w:line="255" w:lineRule="exact"/>
        <w:ind w:firstLine="210" w:firstLineChars="1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rPr>
        <w:t>）未密封的响应文件。</w:t>
      </w:r>
    </w:p>
    <w:p>
      <w:pPr>
        <w:spacing w:line="153" w:lineRule="exact"/>
        <w:rPr>
          <w:rFonts w:hint="eastAsia" w:ascii="宋体" w:hAnsi="宋体" w:eastAsia="宋体" w:cs="宋体"/>
          <w:color w:val="auto"/>
          <w:sz w:val="20"/>
          <w:szCs w:val="20"/>
          <w:highlight w:val="none"/>
        </w:rPr>
      </w:pP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5.3</w:t>
      </w:r>
      <w:r>
        <w:rPr>
          <w:rFonts w:hint="eastAsia" w:ascii="宋体" w:hAnsi="宋体" w:eastAsia="宋体" w:cs="宋体"/>
          <w:color w:val="auto"/>
          <w:sz w:val="21"/>
          <w:szCs w:val="21"/>
          <w:highlight w:val="none"/>
        </w:rPr>
        <w:t>、响应文件初步评审</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5.3.1 </w:t>
      </w:r>
      <w:r>
        <w:rPr>
          <w:rFonts w:hint="eastAsia" w:ascii="宋体" w:hAnsi="宋体" w:eastAsia="宋体" w:cs="宋体"/>
          <w:color w:val="auto"/>
          <w:sz w:val="21"/>
          <w:szCs w:val="21"/>
          <w:highlight w:val="none"/>
        </w:rPr>
        <w:t>磋商小组将首先审查每份响应文件是否实质上响应了竞争性磋商文件的要求，实质性响应的响应文件是指响应文件符合竞争性磋商文件规定的实质性内容、条件和规定。</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 xml:space="preserve">5.3.2 </w:t>
      </w:r>
      <w:r>
        <w:rPr>
          <w:rFonts w:hint="eastAsia" w:ascii="宋体" w:hAnsi="宋体" w:eastAsia="宋体" w:cs="宋体"/>
          <w:color w:val="auto"/>
          <w:sz w:val="21"/>
          <w:szCs w:val="21"/>
          <w:highlight w:val="none"/>
        </w:rPr>
        <w:t>重大偏离或保留是指将会影响到竞争性磋商文件规定的服务范围、质量标准，或会给合同中规定的采购人的权利和供应商的责任造成实质性限制，而纠正这些偏离或保留将对其他提交了实质性响应的响应文件的供应商产生不公平影响的。</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 xml:space="preserve">5.3.3 </w:t>
      </w:r>
      <w:r>
        <w:rPr>
          <w:rFonts w:hint="eastAsia" w:ascii="宋体" w:hAnsi="宋体" w:eastAsia="宋体" w:cs="宋体"/>
          <w:color w:val="auto"/>
          <w:sz w:val="21"/>
          <w:szCs w:val="21"/>
          <w:highlight w:val="none"/>
        </w:rPr>
        <w:t>细微偏离是指响应文件对竞争性磋商文件的非实质性内容存在不完全响应或不响应。</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 xml:space="preserve">5.3.4 </w:t>
      </w:r>
      <w:r>
        <w:rPr>
          <w:rFonts w:hint="eastAsia" w:ascii="宋体" w:hAnsi="宋体" w:eastAsia="宋体" w:cs="宋体"/>
          <w:color w:val="auto"/>
          <w:sz w:val="21"/>
          <w:szCs w:val="21"/>
          <w:highlight w:val="none"/>
        </w:rPr>
        <w:t>重大偏离和保留、细微偏离由磋商小组界定。初步评审时如发现响应文件与竞争性磋商文件要求有重大偏离和保留，其响应文件将被作无效标处理。供应商不得通过修正或撤消不符合竞争性磋商文件要求的重大偏离和保留从而使其响应文件实质性响应竞争性磋商文件要求。但允许响应文件在实质性满足竞争性磋商文件要求的前提下出现的细微偏差，在详细评审时可按评审办法对细微偏差做出不利于该供应商的评审。</w:t>
      </w:r>
    </w:p>
    <w:p>
      <w:pPr>
        <w:spacing w:line="360" w:lineRule="auto"/>
        <w:ind w:firstLine="422" w:firstLineChars="200"/>
        <w:rPr>
          <w:rFonts w:hint="eastAsia" w:ascii="宋体" w:hAnsi="宋体" w:eastAsia="宋体" w:cs="宋体"/>
          <w:color w:val="auto"/>
          <w:sz w:val="20"/>
          <w:szCs w:val="20"/>
          <w:highlight w:val="none"/>
        </w:rPr>
      </w:pPr>
      <w:bookmarkStart w:id="55" w:name="_Toc25899_WPSOffice_Level2"/>
      <w:bookmarkStart w:id="56" w:name="_Toc7403_WPSOffice_Level2"/>
      <w:r>
        <w:rPr>
          <w:rFonts w:hint="eastAsia" w:ascii="宋体" w:hAnsi="宋体" w:eastAsia="宋体" w:cs="宋体"/>
          <w:b/>
          <w:bCs/>
          <w:color w:val="auto"/>
          <w:sz w:val="21"/>
          <w:szCs w:val="21"/>
          <w:highlight w:val="none"/>
        </w:rPr>
        <w:t>六、磋商</w:t>
      </w:r>
      <w:bookmarkEnd w:id="55"/>
      <w:bookmarkEnd w:id="56"/>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6.1</w:t>
      </w:r>
      <w:r>
        <w:rPr>
          <w:rFonts w:hint="eastAsia" w:ascii="宋体" w:hAnsi="宋体" w:eastAsia="宋体" w:cs="宋体"/>
          <w:color w:val="auto"/>
          <w:sz w:val="21"/>
          <w:szCs w:val="21"/>
          <w:highlight w:val="none"/>
        </w:rPr>
        <w:t>、初步评审工作内容</w:t>
      </w:r>
    </w:p>
    <w:p>
      <w:pPr>
        <w:spacing w:line="360" w:lineRule="auto"/>
        <w:ind w:firstLine="210" w:firstLineChars="1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rPr>
        <w:t>）资格性检查</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依据法律法规及竞争性磋商文件的规定，采购人授权磋商小组对供应商的资格进行审查</w:t>
      </w:r>
      <w:r>
        <w:rPr>
          <w:rFonts w:hint="eastAsia" w:ascii="宋体" w:hAnsi="宋体" w:eastAsia="宋体" w:cs="宋体"/>
          <w:color w:val="auto"/>
          <w:sz w:val="24"/>
          <w:szCs w:val="24"/>
          <w:highlight w:val="none"/>
        </w:rPr>
        <w:t>,</w:t>
      </w:r>
      <w:r>
        <w:rPr>
          <w:rFonts w:hint="eastAsia" w:ascii="宋体" w:hAnsi="宋体" w:eastAsia="宋体" w:cs="宋体"/>
          <w:color w:val="auto"/>
          <w:sz w:val="21"/>
          <w:szCs w:val="21"/>
          <w:highlight w:val="none"/>
        </w:rPr>
        <w:t>评审小组对响应文件中的提供的资格证明材料进行审查，以确定供应商是否具备磋商资格。</w:t>
      </w:r>
    </w:p>
    <w:p>
      <w:pPr>
        <w:spacing w:line="360" w:lineRule="auto"/>
        <w:ind w:firstLine="210" w:firstLineChars="1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rPr>
        <w:t>）符合性检查</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依据竞争性磋商文件的规定，从响应文件的有效性、完整性和对竞争性磋商文件的响应程度进行审查，以确定是否对竞争性磋商文件的实质性要求作出响应。</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6.2</w:t>
      </w:r>
      <w:r>
        <w:rPr>
          <w:rFonts w:hint="eastAsia" w:ascii="宋体" w:hAnsi="宋体" w:eastAsia="宋体" w:cs="宋体"/>
          <w:color w:val="auto"/>
          <w:sz w:val="21"/>
          <w:szCs w:val="21"/>
          <w:highlight w:val="none"/>
        </w:rPr>
        <w:t>、响应文件的澄清</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 xml:space="preserve">6.2.1 </w:t>
      </w:r>
      <w:r>
        <w:rPr>
          <w:rFonts w:hint="eastAsia" w:ascii="宋体" w:hAnsi="宋体" w:eastAsia="宋体" w:cs="宋体"/>
          <w:color w:val="auto"/>
          <w:sz w:val="21"/>
          <w:szCs w:val="21"/>
          <w:highlight w:val="none"/>
        </w:rPr>
        <w:t>磋商小组可要求供应商对响应文件中含义不明确、同类问题表述不一致、有明显的文字和计算错误的内容等进行澄清并做出书面答复。书面答复须由供应商代表签字（或盖章）并作为响应文件的一部分。</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 xml:space="preserve">6.2.2 </w:t>
      </w:r>
      <w:r>
        <w:rPr>
          <w:rFonts w:hint="eastAsia" w:ascii="宋体" w:hAnsi="宋体" w:eastAsia="宋体" w:cs="宋体"/>
          <w:color w:val="auto"/>
          <w:sz w:val="21"/>
          <w:szCs w:val="21"/>
          <w:highlight w:val="none"/>
        </w:rPr>
        <w:t>供应商对响应文件的澄清不得超出响应文件的范围或者改变响应文件的实质性内容。</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6.3</w:t>
      </w:r>
      <w:r>
        <w:rPr>
          <w:rFonts w:hint="eastAsia" w:ascii="宋体" w:hAnsi="宋体" w:eastAsia="宋体" w:cs="宋体"/>
          <w:color w:val="auto"/>
          <w:sz w:val="21"/>
          <w:szCs w:val="21"/>
          <w:highlight w:val="none"/>
        </w:rPr>
        <w:t>、错误修正</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磋商小组将对确定为实质上响应竞争性磋商文件要求的响应文件进行校核，看其在磋商报价方面是否有计算、累计或表达上的错误，修正错误的原则及顺序如下：</w:t>
      </w:r>
    </w:p>
    <w:p>
      <w:pPr>
        <w:spacing w:line="360" w:lineRule="auto"/>
        <w:ind w:firstLine="210" w:firstLineChars="1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rPr>
        <w:t>）正本与副本不一致时，以正本为准；</w:t>
      </w:r>
    </w:p>
    <w:p>
      <w:pPr>
        <w:spacing w:line="360" w:lineRule="auto"/>
        <w:ind w:firstLine="210" w:firstLineChars="1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rPr>
        <w:t>）响应文件中开标一览表（报价表）内容与响应文件中相应内容不一致的，以开标</w:t>
      </w:r>
      <w:bookmarkStart w:id="57" w:name="page19"/>
      <w:bookmarkEnd w:id="57"/>
      <w:r>
        <w:rPr>
          <w:rFonts w:hint="eastAsia" w:ascii="宋体" w:hAnsi="宋体" w:eastAsia="宋体" w:cs="宋体"/>
          <w:color w:val="auto"/>
          <w:sz w:val="21"/>
          <w:szCs w:val="21"/>
          <w:highlight w:val="none"/>
        </w:rPr>
        <w:t>一览表（报价表）为准；</w:t>
      </w:r>
    </w:p>
    <w:p>
      <w:pPr>
        <w:spacing w:line="360" w:lineRule="auto"/>
        <w:ind w:firstLine="210" w:firstLineChars="1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rPr>
        <w:t>）响应文件的大写金额和小写金额不一致的，以大写金额为准；</w:t>
      </w:r>
    </w:p>
    <w:p>
      <w:pPr>
        <w:spacing w:line="360" w:lineRule="auto"/>
        <w:ind w:right="346" w:firstLine="210" w:firstLineChars="100"/>
        <w:jc w:val="both"/>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rPr>
        <w:t>）单价金额小数点或者百分比有明显错位的，以开标一览表的总价为准，并修改单价；</w:t>
      </w:r>
    </w:p>
    <w:p>
      <w:pPr>
        <w:spacing w:line="360" w:lineRule="auto"/>
        <w:ind w:firstLine="210" w:firstLineChars="1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rPr>
        <w:t>）总价金额与按单价汇总金额不一致的，以单价金额计算结果为准；</w:t>
      </w:r>
    </w:p>
    <w:p>
      <w:pPr>
        <w:spacing w:line="360" w:lineRule="auto"/>
        <w:ind w:firstLine="210" w:firstLineChars="1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rPr>
        <w:t>）对不同文字文本响应文件的解释发生异议的，以中文文本为准；</w:t>
      </w:r>
    </w:p>
    <w:p>
      <w:pPr>
        <w:spacing w:line="360" w:lineRule="auto"/>
        <w:ind w:right="346" w:firstLine="210" w:firstLineChars="100"/>
        <w:jc w:val="both"/>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rPr>
        <w:t>）如响应文件中报价（清单报价）分项价格或单价有遗报，应视作已含在磋商报价总价中；其磋商报价总价在评审过程中不予调整。其分项价或单价由磋商小组在磋商报价总价不变的前提下根据合理的原则对其予以确定。</w:t>
      </w:r>
    </w:p>
    <w:p>
      <w:pPr>
        <w:spacing w:line="359" w:lineRule="exact"/>
        <w:ind w:right="346" w:firstLine="420" w:firstLineChars="200"/>
        <w:jc w:val="both"/>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按上述修正错误的原则，调整或修正响应文件的磋商报价。经供应商确认后，调整后的磋商报价对供应商起约束作用。如果供应商不接受或者供应商在评审结束之前不能到场确认的，磋商小组将把调整或修正后的磋商报价作为该供应商的磋商报价，进入商务报价评审，但不接受修正的供应商最终将丧失其成交候选人资格。</w:t>
      </w:r>
    </w:p>
    <w:p>
      <w:pPr>
        <w:spacing w:line="170" w:lineRule="exact"/>
        <w:rPr>
          <w:rFonts w:hint="eastAsia" w:ascii="宋体" w:hAnsi="宋体" w:eastAsia="宋体" w:cs="宋体"/>
          <w:color w:val="auto"/>
          <w:sz w:val="20"/>
          <w:szCs w:val="20"/>
          <w:highlight w:val="none"/>
        </w:rPr>
      </w:pP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磋商小组认为投标人的报价明显低于其他通过符合性审查投标人的报价，有可能影响产品质量或者不能诚信履约的，应当要求其在评标现场</w:t>
      </w:r>
      <w:r>
        <w:rPr>
          <w:rFonts w:hint="eastAsia" w:ascii="宋体" w:hAnsi="宋体" w:eastAsia="宋体" w:cs="宋体"/>
          <w:color w:val="auto"/>
          <w:sz w:val="21"/>
          <w:szCs w:val="21"/>
          <w:highlight w:val="none"/>
          <w:u w:val="single"/>
        </w:rPr>
        <w:t xml:space="preserve"> 30 </w:t>
      </w:r>
      <w:r>
        <w:rPr>
          <w:rFonts w:hint="eastAsia" w:ascii="宋体" w:hAnsi="宋体" w:eastAsia="宋体" w:cs="宋体"/>
          <w:color w:val="auto"/>
          <w:sz w:val="21"/>
          <w:szCs w:val="21"/>
          <w:highlight w:val="none"/>
          <w:u w:val="single"/>
        </w:rPr>
        <w:t>分钟内提供书面说明，必要时提交相关证明材料；投标人不能证明其报价合理性的，评标委员会应当将其作为无效投标处理。</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6.5</w:t>
      </w:r>
      <w:r>
        <w:rPr>
          <w:rFonts w:hint="eastAsia" w:ascii="宋体" w:hAnsi="宋体" w:eastAsia="宋体" w:cs="宋体"/>
          <w:color w:val="auto"/>
          <w:sz w:val="21"/>
          <w:szCs w:val="21"/>
          <w:highlight w:val="none"/>
        </w:rPr>
        <w:t>、无效标</w:t>
      </w:r>
    </w:p>
    <w:p>
      <w:pPr>
        <w:spacing w:line="360" w:lineRule="auto"/>
        <w:ind w:firstLine="422" w:firstLineChars="200"/>
        <w:rPr>
          <w:rFonts w:hint="eastAsia" w:ascii="宋体" w:hAnsi="宋体" w:eastAsia="宋体" w:cs="宋体"/>
          <w:color w:val="auto"/>
          <w:sz w:val="20"/>
          <w:szCs w:val="20"/>
          <w:highlight w:val="none"/>
        </w:rPr>
      </w:pPr>
      <w:r>
        <w:rPr>
          <w:rFonts w:hint="eastAsia" w:ascii="宋体" w:hAnsi="宋体" w:eastAsia="宋体" w:cs="宋体"/>
          <w:b/>
          <w:bCs/>
          <w:color w:val="auto"/>
          <w:sz w:val="21"/>
          <w:szCs w:val="21"/>
          <w:highlight w:val="none"/>
          <w:u w:val="single"/>
        </w:rPr>
        <w:t>有下列情形之一的响应文件，由磋商小组按少数服从多数原则进行认定，经认定属实后将该响应文件作无效标处理</w:t>
      </w:r>
      <w:r>
        <w:rPr>
          <w:rFonts w:hint="eastAsia" w:ascii="宋体" w:hAnsi="宋体" w:eastAsia="宋体" w:cs="宋体"/>
          <w:b/>
          <w:bCs/>
          <w:color w:val="auto"/>
          <w:sz w:val="21"/>
          <w:szCs w:val="21"/>
          <w:highlight w:val="none"/>
        </w:rPr>
        <w:t>：</w:t>
      </w:r>
    </w:p>
    <w:p>
      <w:pPr>
        <w:spacing w:line="360" w:lineRule="auto"/>
        <w:ind w:firstLine="210" w:firstLineChars="1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rPr>
        <w:t>）供应商不符合磋商资格条件的；</w:t>
      </w:r>
    </w:p>
    <w:p>
      <w:pPr>
        <w:spacing w:line="360" w:lineRule="auto"/>
        <w:ind w:firstLine="210" w:firstLineChars="1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rPr>
        <w:t>）报名的供应商与参加磋商的供应商发生实质性变更的且未提供有效证明的；</w:t>
      </w:r>
    </w:p>
    <w:p>
      <w:pPr>
        <w:spacing w:line="360" w:lineRule="auto"/>
        <w:ind w:firstLine="210" w:firstLineChars="1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rPr>
        <w:t>）供应商提交两份或两份以上内容不同的响应文件，未声明哪一份有效的；</w:t>
      </w:r>
    </w:p>
    <w:p>
      <w:pPr>
        <w:spacing w:line="360" w:lineRule="auto"/>
        <w:ind w:firstLine="210" w:firstLineChars="1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rPr>
        <w:t>）响应文件中未提供或提供无效的法定代表人资格证明书或附法定代表人资格证明书的法定代表人授权书；</w:t>
      </w:r>
    </w:p>
    <w:p>
      <w:pPr>
        <w:spacing w:line="360" w:lineRule="auto"/>
        <w:ind w:firstLine="210" w:firstLineChars="1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rPr>
        <w:t>）未按竞争性磋商文件规定装订；</w:t>
      </w:r>
    </w:p>
    <w:p>
      <w:pPr>
        <w:spacing w:line="360" w:lineRule="auto"/>
        <w:ind w:firstLine="210" w:firstLineChars="1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rPr>
        <w:t>）响应文件内容未按竞争性磋商文件规定签字或盖章的；</w:t>
      </w:r>
    </w:p>
    <w:p>
      <w:pPr>
        <w:spacing w:line="360" w:lineRule="auto"/>
        <w:ind w:firstLine="210" w:firstLineChars="1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rPr>
        <w:t>）响应文件组成漏项或未按规定的格式编制或响应文件正、副本份数不足，内容不全或内容字迹模糊辨认不清的而导致评审活动无法正常进行；</w:t>
      </w:r>
    </w:p>
    <w:p>
      <w:pPr>
        <w:spacing w:line="360" w:lineRule="auto"/>
        <w:ind w:firstLine="210" w:firstLineChars="1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rPr>
        <w:t>）供应商未按竞争性磋商文件变更通知更改响应文件的；</w:t>
      </w:r>
    </w:p>
    <w:p>
      <w:pPr>
        <w:spacing w:line="360" w:lineRule="auto"/>
        <w:ind w:firstLine="210" w:firstLineChars="1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rPr>
        <w:t>）磋商最终报价超过最高限价的；</w:t>
      </w:r>
    </w:p>
    <w:p>
      <w:pPr>
        <w:spacing w:line="360" w:lineRule="auto"/>
        <w:ind w:firstLine="210" w:firstLineChars="1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rPr>
        <w:t>）磋商最终报价明显高于其市场报价或某些分项报价明显不合理或者低于成本，或明显低于其他通过符合性审查投标人的报价，且在规定时间内不能合理说明原因并提</w:t>
      </w:r>
      <w:bookmarkStart w:id="58" w:name="page20"/>
      <w:bookmarkEnd w:id="58"/>
      <w:r>
        <w:rPr>
          <w:rFonts w:hint="eastAsia" w:ascii="宋体" w:hAnsi="宋体" w:eastAsia="宋体" w:cs="宋体"/>
          <w:color w:val="auto"/>
          <w:sz w:val="21"/>
          <w:szCs w:val="21"/>
          <w:highlight w:val="none"/>
        </w:rPr>
        <w:t>供证明材料的；</w:t>
      </w:r>
    </w:p>
    <w:p>
      <w:pPr>
        <w:spacing w:line="360" w:lineRule="auto"/>
        <w:ind w:firstLine="210" w:firstLineChars="1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11</w:t>
      </w:r>
      <w:r>
        <w:rPr>
          <w:rFonts w:hint="eastAsia" w:ascii="宋体" w:hAnsi="宋体" w:eastAsia="宋体" w:cs="宋体"/>
          <w:color w:val="auto"/>
          <w:sz w:val="21"/>
          <w:szCs w:val="21"/>
          <w:highlight w:val="none"/>
        </w:rPr>
        <w:t>）未实质性响应竞争性磋商文件中带“▲”条款要求的响应文件；</w:t>
      </w:r>
    </w:p>
    <w:p>
      <w:pPr>
        <w:spacing w:line="360" w:lineRule="auto"/>
        <w:ind w:firstLine="210" w:firstLineChars="1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12</w:t>
      </w:r>
      <w:r>
        <w:rPr>
          <w:rFonts w:hint="eastAsia" w:ascii="宋体" w:hAnsi="宋体" w:eastAsia="宋体" w:cs="宋体"/>
          <w:color w:val="auto"/>
          <w:sz w:val="21"/>
          <w:szCs w:val="21"/>
          <w:highlight w:val="none"/>
        </w:rPr>
        <w:t>）不符合磋商范围、技术规格、技术标准的要求无法满足采购人使用要求；</w:t>
      </w:r>
    </w:p>
    <w:p>
      <w:pPr>
        <w:spacing w:line="360" w:lineRule="auto"/>
        <w:ind w:firstLine="210" w:firstLineChars="1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13</w:t>
      </w:r>
      <w:r>
        <w:rPr>
          <w:rFonts w:hint="eastAsia" w:ascii="宋体" w:hAnsi="宋体" w:eastAsia="宋体" w:cs="宋体"/>
          <w:color w:val="auto"/>
          <w:sz w:val="21"/>
          <w:szCs w:val="21"/>
          <w:highlight w:val="none"/>
        </w:rPr>
        <w:t>）响应文件附有采购人不能接受的条款；</w:t>
      </w:r>
    </w:p>
    <w:p>
      <w:pPr>
        <w:spacing w:line="360" w:lineRule="auto"/>
        <w:ind w:firstLine="210" w:firstLineChars="1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14</w:t>
      </w:r>
      <w:r>
        <w:rPr>
          <w:rFonts w:hint="eastAsia" w:ascii="宋体" w:hAnsi="宋体" w:eastAsia="宋体" w:cs="宋体"/>
          <w:color w:val="auto"/>
          <w:sz w:val="21"/>
          <w:szCs w:val="21"/>
          <w:highlight w:val="none"/>
        </w:rPr>
        <w:t>）存在串标、抬标或弄虚作假情况的；</w:t>
      </w:r>
    </w:p>
    <w:p>
      <w:pPr>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r>
        <w:rPr>
          <w:rFonts w:hint="eastAsia" w:ascii="宋体" w:hAnsi="宋体" w:eastAsia="宋体" w:cs="宋体"/>
          <w:color w:val="auto"/>
          <w:sz w:val="21"/>
          <w:szCs w:val="21"/>
          <w:highlight w:val="none"/>
        </w:rPr>
        <w:t>）违反国家及政府部门相关法律、法规、文件规定或经磋商小组认定的其他属于重大偏离。</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6.6</w:t>
      </w:r>
      <w:r>
        <w:rPr>
          <w:rFonts w:hint="eastAsia" w:ascii="宋体" w:hAnsi="宋体" w:eastAsia="宋体" w:cs="宋体"/>
          <w:color w:val="auto"/>
          <w:sz w:val="21"/>
          <w:szCs w:val="21"/>
          <w:highlight w:val="none"/>
        </w:rPr>
        <w:t>、磋商</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 xml:space="preserve">6.6.1 </w:t>
      </w:r>
      <w:r>
        <w:rPr>
          <w:rFonts w:hint="eastAsia" w:ascii="宋体" w:hAnsi="宋体" w:eastAsia="宋体" w:cs="宋体"/>
          <w:color w:val="auto"/>
          <w:sz w:val="21"/>
          <w:szCs w:val="21"/>
          <w:highlight w:val="none"/>
        </w:rPr>
        <w:t>采购人将按相关规定组织磋商小组，对响应文件进行审查、比较和评价。</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 xml:space="preserve">6.6.2 </w:t>
      </w:r>
      <w:r>
        <w:rPr>
          <w:rFonts w:hint="eastAsia" w:ascii="宋体" w:hAnsi="宋体" w:eastAsia="宋体" w:cs="宋体"/>
          <w:color w:val="auto"/>
          <w:sz w:val="21"/>
          <w:szCs w:val="21"/>
          <w:highlight w:val="none"/>
        </w:rPr>
        <w:t>评审原则</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本次评审采用综合评分法，在最大限度的满足竞争性磋商文件实质性要求的前提下，按竞争性磋商文件中规定各项评审因素进行综合评审后，以评审总得分最高的供应商作为成交候选供应商或成交供应商。采购人将把成交通知书授予最佳供应商，但最低报价不是成交的保证。</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 xml:space="preserve">6.6.3 </w:t>
      </w:r>
      <w:r>
        <w:rPr>
          <w:rFonts w:hint="eastAsia" w:ascii="宋体" w:hAnsi="宋体" w:eastAsia="宋体" w:cs="宋体"/>
          <w:color w:val="auto"/>
          <w:sz w:val="21"/>
          <w:szCs w:val="21"/>
          <w:highlight w:val="none"/>
        </w:rPr>
        <w:t>评审办法</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评审办法详见第七章。</w:t>
      </w:r>
    </w:p>
    <w:p>
      <w:pPr>
        <w:spacing w:line="360" w:lineRule="auto"/>
        <w:ind w:firstLine="422" w:firstLineChars="200"/>
        <w:rPr>
          <w:rFonts w:hint="eastAsia" w:ascii="宋体" w:hAnsi="宋体" w:eastAsia="宋体" w:cs="宋体"/>
          <w:color w:val="auto"/>
          <w:sz w:val="20"/>
          <w:szCs w:val="20"/>
          <w:highlight w:val="none"/>
        </w:rPr>
      </w:pPr>
      <w:r>
        <w:rPr>
          <w:rFonts w:hint="eastAsia" w:ascii="宋体" w:hAnsi="宋体" w:eastAsia="宋体" w:cs="宋体"/>
          <w:b/>
          <w:bCs/>
          <w:color w:val="auto"/>
          <w:sz w:val="21"/>
          <w:szCs w:val="21"/>
          <w:highlight w:val="none"/>
        </w:rPr>
        <w:t>6.7</w:t>
      </w:r>
      <w:r>
        <w:rPr>
          <w:rFonts w:hint="eastAsia" w:ascii="宋体" w:hAnsi="宋体" w:eastAsia="宋体" w:cs="宋体"/>
          <w:b/>
          <w:bCs/>
          <w:color w:val="auto"/>
          <w:sz w:val="21"/>
          <w:szCs w:val="21"/>
          <w:highlight w:val="none"/>
        </w:rPr>
        <w:t>、废标</w:t>
      </w:r>
    </w:p>
    <w:p>
      <w:pPr>
        <w:spacing w:line="360" w:lineRule="auto"/>
        <w:ind w:firstLine="422" w:firstLineChars="200"/>
        <w:rPr>
          <w:rFonts w:hint="eastAsia" w:ascii="宋体" w:hAnsi="宋体" w:eastAsia="宋体" w:cs="宋体"/>
          <w:color w:val="auto"/>
          <w:sz w:val="20"/>
          <w:szCs w:val="20"/>
          <w:highlight w:val="none"/>
        </w:rPr>
      </w:pPr>
      <w:r>
        <w:rPr>
          <w:rFonts w:hint="eastAsia" w:ascii="宋体" w:hAnsi="宋体" w:eastAsia="宋体" w:cs="宋体"/>
          <w:b/>
          <w:bCs/>
          <w:color w:val="auto"/>
          <w:sz w:val="21"/>
          <w:szCs w:val="21"/>
          <w:highlight w:val="none"/>
        </w:rPr>
        <w:t>在采购中，出现下列情形之一的，应予废标：</w:t>
      </w:r>
    </w:p>
    <w:p>
      <w:pPr>
        <w:spacing w:line="360" w:lineRule="auto"/>
        <w:ind w:firstLine="211" w:firstLineChars="100"/>
        <w:rPr>
          <w:rFonts w:hint="eastAsia" w:ascii="宋体" w:hAnsi="宋体" w:eastAsia="宋体" w:cs="宋体"/>
          <w:color w:val="auto"/>
          <w:sz w:val="20"/>
          <w:szCs w:val="20"/>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rPr>
        <w:t>）出现影响采购公正的违法、违规行为的；</w:t>
      </w:r>
    </w:p>
    <w:p>
      <w:pPr>
        <w:spacing w:line="360" w:lineRule="auto"/>
        <w:ind w:firstLine="211" w:firstLineChars="100"/>
        <w:rPr>
          <w:rFonts w:hint="eastAsia" w:ascii="宋体" w:hAnsi="宋体" w:eastAsia="宋体" w:cs="宋体"/>
          <w:color w:val="auto"/>
          <w:sz w:val="20"/>
          <w:szCs w:val="20"/>
          <w:highlight w:val="none"/>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rPr>
        <w:t>）符合专业条件的供应商或者对采购文件作实质响应的供应商不足三家的；</w:t>
      </w:r>
    </w:p>
    <w:p>
      <w:pPr>
        <w:spacing w:line="360" w:lineRule="auto"/>
        <w:ind w:firstLine="211" w:firstLineChars="100"/>
        <w:rPr>
          <w:rFonts w:hint="eastAsia" w:ascii="宋体" w:hAnsi="宋体" w:eastAsia="宋体" w:cs="宋体"/>
          <w:color w:val="auto"/>
          <w:sz w:val="20"/>
          <w:szCs w:val="20"/>
          <w:highlight w:val="none"/>
        </w:rPr>
      </w:pPr>
      <w:r>
        <w:rPr>
          <w:rFonts w:hint="eastAsia" w:ascii="宋体" w:hAnsi="宋体" w:eastAsia="宋体" w:cs="宋体"/>
          <w:b/>
          <w:bCs/>
          <w:color w:val="auto"/>
          <w:sz w:val="21"/>
          <w:szCs w:val="21"/>
          <w:highlight w:val="none"/>
        </w:rPr>
        <w:t>3</w:t>
      </w:r>
      <w:r>
        <w:rPr>
          <w:rFonts w:hint="eastAsia" w:ascii="宋体" w:hAnsi="宋体" w:eastAsia="宋体" w:cs="宋体"/>
          <w:b/>
          <w:bCs/>
          <w:color w:val="auto"/>
          <w:sz w:val="21"/>
          <w:szCs w:val="21"/>
          <w:highlight w:val="none"/>
        </w:rPr>
        <w:t>）供应商的报价均超过了最高限价的，采购人不能支付的；</w:t>
      </w:r>
    </w:p>
    <w:p>
      <w:pPr>
        <w:spacing w:line="360" w:lineRule="auto"/>
        <w:ind w:firstLine="211" w:firstLineChars="100"/>
        <w:rPr>
          <w:rFonts w:hint="eastAsia" w:ascii="宋体" w:hAnsi="宋体" w:eastAsia="宋体" w:cs="宋体"/>
          <w:color w:val="auto"/>
          <w:sz w:val="20"/>
          <w:szCs w:val="20"/>
          <w:highlight w:val="none"/>
        </w:rPr>
      </w:pPr>
      <w:r>
        <w:rPr>
          <w:rFonts w:hint="eastAsia" w:ascii="宋体" w:hAnsi="宋体" w:eastAsia="宋体" w:cs="宋体"/>
          <w:b/>
          <w:bCs/>
          <w:color w:val="auto"/>
          <w:sz w:val="21"/>
          <w:szCs w:val="21"/>
          <w:highlight w:val="none"/>
        </w:rPr>
        <w:t>4</w:t>
      </w:r>
      <w:r>
        <w:rPr>
          <w:rFonts w:hint="eastAsia" w:ascii="宋体" w:hAnsi="宋体" w:eastAsia="宋体" w:cs="宋体"/>
          <w:b/>
          <w:bCs/>
          <w:color w:val="auto"/>
          <w:sz w:val="21"/>
          <w:szCs w:val="21"/>
          <w:highlight w:val="none"/>
        </w:rPr>
        <w:t>）因重大变故，采购任务取消的。</w:t>
      </w:r>
    </w:p>
    <w:p>
      <w:pPr>
        <w:spacing w:line="360" w:lineRule="auto"/>
        <w:ind w:firstLine="422" w:firstLineChars="200"/>
        <w:rPr>
          <w:rFonts w:hint="eastAsia" w:ascii="宋体" w:hAnsi="宋体" w:eastAsia="宋体" w:cs="宋体"/>
          <w:b/>
          <w:bCs/>
          <w:color w:val="auto"/>
          <w:sz w:val="20"/>
          <w:szCs w:val="20"/>
          <w:highlight w:val="none"/>
        </w:rPr>
      </w:pPr>
      <w:r>
        <w:rPr>
          <w:rFonts w:hint="eastAsia" w:ascii="宋体" w:hAnsi="宋体" w:eastAsia="宋体" w:cs="宋体"/>
          <w:b/>
          <w:bCs/>
          <w:color w:val="auto"/>
          <w:sz w:val="21"/>
          <w:szCs w:val="21"/>
          <w:highlight w:val="none"/>
        </w:rPr>
        <w:t>6.8</w:t>
      </w:r>
      <w:r>
        <w:rPr>
          <w:rFonts w:hint="eastAsia" w:ascii="宋体" w:hAnsi="宋体" w:eastAsia="宋体" w:cs="宋体"/>
          <w:b/>
          <w:bCs/>
          <w:color w:val="auto"/>
          <w:sz w:val="21"/>
          <w:szCs w:val="21"/>
          <w:highlight w:val="none"/>
        </w:rPr>
        <w:t>、确认采购结果</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评审结束后，根据磋商小组推荐，采购人按政府采购有关规定确定成交人。</w:t>
      </w:r>
    </w:p>
    <w:p>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6.9</w:t>
      </w:r>
      <w:r>
        <w:rPr>
          <w:rFonts w:hint="eastAsia" w:ascii="宋体" w:hAnsi="宋体" w:eastAsia="宋体" w:cs="宋体"/>
          <w:b/>
          <w:bCs/>
          <w:color w:val="auto"/>
          <w:sz w:val="21"/>
          <w:szCs w:val="21"/>
          <w:highlight w:val="none"/>
        </w:rPr>
        <w:t>、结果公告</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在采购人确认采购结果后，采购代理机构按相关政府采购规定将成交结果发布在政府采购网上进行公示，公示期为</w:t>
      </w:r>
      <w:r>
        <w:rPr>
          <w:rFonts w:hint="eastAsia" w:ascii="宋体" w:hAnsi="宋体" w:eastAsia="宋体" w:cs="宋体"/>
          <w:color w:val="auto"/>
          <w:sz w:val="21"/>
          <w:szCs w:val="21"/>
          <w:highlight w:val="none"/>
        </w:rPr>
        <w:t xml:space="preserve"> 1 </w:t>
      </w:r>
      <w:r>
        <w:rPr>
          <w:rFonts w:hint="eastAsia" w:ascii="宋体" w:hAnsi="宋体" w:eastAsia="宋体" w:cs="宋体"/>
          <w:color w:val="auto"/>
          <w:sz w:val="21"/>
          <w:szCs w:val="21"/>
          <w:highlight w:val="none"/>
        </w:rPr>
        <w:t>个工作日。采购人、采购代理机构及磋商小组对未成交的供应商不作落标原因解释。</w:t>
      </w:r>
    </w:p>
    <w:p>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6.10</w:t>
      </w:r>
      <w:r>
        <w:rPr>
          <w:rFonts w:hint="eastAsia" w:ascii="宋体" w:hAnsi="宋体" w:eastAsia="宋体" w:cs="宋体"/>
          <w:b/>
          <w:bCs/>
          <w:color w:val="auto"/>
          <w:sz w:val="21"/>
          <w:szCs w:val="21"/>
          <w:highlight w:val="none"/>
        </w:rPr>
        <w:t>、采购过程、采购结果质疑</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 xml:space="preserve">6.10.1 </w:t>
      </w:r>
      <w:r>
        <w:rPr>
          <w:rFonts w:hint="eastAsia" w:ascii="宋体" w:hAnsi="宋体" w:eastAsia="宋体" w:cs="宋体"/>
          <w:color w:val="auto"/>
          <w:sz w:val="21"/>
          <w:szCs w:val="21"/>
          <w:highlight w:val="none"/>
        </w:rPr>
        <w:t>供应商认为采购过程、采购结果使自己的合法权益受到损害的，供应商可以提出书面质疑。</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 xml:space="preserve">6.10.2 </w:t>
      </w:r>
      <w:r>
        <w:rPr>
          <w:rFonts w:hint="eastAsia" w:ascii="宋体" w:hAnsi="宋体" w:eastAsia="宋体" w:cs="宋体"/>
          <w:color w:val="auto"/>
          <w:sz w:val="21"/>
          <w:szCs w:val="21"/>
          <w:highlight w:val="none"/>
        </w:rPr>
        <w:t>质疑书须包括以下内容：</w:t>
      </w:r>
    </w:p>
    <w:p>
      <w:pPr>
        <w:spacing w:line="360" w:lineRule="auto"/>
        <w:ind w:firstLine="200" w:firstLineChars="1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rPr>
        <w:t>1</w:t>
      </w:r>
      <w:r>
        <w:rPr>
          <w:rFonts w:hint="eastAsia" w:ascii="宋体" w:hAnsi="宋体" w:eastAsia="宋体" w:cs="宋体"/>
          <w:color w:val="auto"/>
          <w:sz w:val="20"/>
          <w:szCs w:val="20"/>
          <w:highlight w:val="none"/>
        </w:rPr>
        <w:t>）</w:t>
      </w:r>
      <w:r>
        <w:rPr>
          <w:rFonts w:hint="eastAsia" w:ascii="宋体" w:hAnsi="宋体" w:eastAsia="宋体" w:cs="宋体"/>
          <w:color w:val="auto"/>
          <w:sz w:val="21"/>
          <w:szCs w:val="21"/>
          <w:highlight w:val="none"/>
        </w:rPr>
        <w:t>质疑人的名称、地址、邮政编码、联系人、联系电话，以及被质疑人名称及联系方式；</w:t>
      </w:r>
    </w:p>
    <w:p>
      <w:pPr>
        <w:spacing w:line="360" w:lineRule="auto"/>
        <w:ind w:firstLine="210" w:firstLineChars="100"/>
        <w:rPr>
          <w:rFonts w:hint="eastAsia" w:ascii="宋体" w:hAnsi="宋体" w:eastAsia="宋体" w:cs="宋体"/>
          <w:color w:val="auto"/>
          <w:sz w:val="20"/>
          <w:szCs w:val="20"/>
          <w:highlight w:val="none"/>
        </w:rPr>
      </w:pPr>
      <w:bookmarkStart w:id="59" w:name="page21"/>
      <w:bookmarkEnd w:id="59"/>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rPr>
        <w:t>）被质疑采购项目名称、编号及采购内容；</w:t>
      </w:r>
    </w:p>
    <w:p>
      <w:pPr>
        <w:spacing w:line="360" w:lineRule="auto"/>
        <w:ind w:firstLine="210" w:firstLineChars="1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rPr>
        <w:t>）具体的质疑事项及事实依据；</w:t>
      </w:r>
    </w:p>
    <w:p>
      <w:pPr>
        <w:spacing w:line="360" w:lineRule="auto"/>
        <w:ind w:firstLine="210" w:firstLineChars="1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rPr>
        <w:t>）认为自己合法权益受到损害或可能受到损害的相关证据材料；</w:t>
      </w:r>
    </w:p>
    <w:p>
      <w:pPr>
        <w:spacing w:line="360" w:lineRule="auto"/>
        <w:ind w:firstLine="210" w:firstLineChars="1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rPr>
        <w:t>）提出质疑的日期。</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6.10.3 </w:t>
      </w:r>
      <w:r>
        <w:rPr>
          <w:rFonts w:hint="eastAsia" w:ascii="宋体" w:hAnsi="宋体" w:eastAsia="宋体" w:cs="宋体"/>
          <w:color w:val="auto"/>
          <w:sz w:val="21"/>
          <w:szCs w:val="21"/>
          <w:highlight w:val="none"/>
        </w:rPr>
        <w:t>采购过程的质疑期限自各采购程序环节结束之日起计算，</w:t>
      </w:r>
      <w:r>
        <w:rPr>
          <w:rFonts w:hint="eastAsia" w:ascii="宋体" w:hAnsi="宋体" w:eastAsia="宋体" w:cs="宋体"/>
          <w:color w:val="auto"/>
          <w:sz w:val="21"/>
          <w:szCs w:val="21"/>
          <w:highlight w:val="none"/>
        </w:rPr>
        <w:t xml:space="preserve">7 </w:t>
      </w:r>
      <w:r>
        <w:rPr>
          <w:rFonts w:hint="eastAsia" w:ascii="宋体" w:hAnsi="宋体" w:eastAsia="宋体" w:cs="宋体"/>
          <w:color w:val="auto"/>
          <w:sz w:val="21"/>
          <w:szCs w:val="21"/>
          <w:highlight w:val="none"/>
        </w:rPr>
        <w:t>个工作日内向采购代理机构提出，逾期提出不予受理。采购结果的质疑期限自采购结果公告（包括结果公示、结果变更公告等）之日起计算，</w:t>
      </w: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rPr>
        <w:t>个工作日内向采购代理机构提出，逾期提出不予受理。</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 xml:space="preserve">6.10.4 </w:t>
      </w:r>
      <w:r>
        <w:rPr>
          <w:rFonts w:hint="eastAsia" w:ascii="宋体" w:hAnsi="宋体" w:eastAsia="宋体" w:cs="宋体"/>
          <w:color w:val="auto"/>
          <w:sz w:val="21"/>
          <w:szCs w:val="21"/>
          <w:highlight w:val="none"/>
        </w:rPr>
        <w:t>质疑书中涉及的相关材料中有外文资料的，应当将与质疑相关的外文资料完整、客观、真实地翻译为中文，并注明翻译人员姓名、工作单位、联系方式等信息。</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 xml:space="preserve">6.10.5 </w:t>
      </w:r>
      <w:r>
        <w:rPr>
          <w:rFonts w:hint="eastAsia" w:ascii="宋体" w:hAnsi="宋体" w:eastAsia="宋体" w:cs="宋体"/>
          <w:color w:val="auto"/>
          <w:sz w:val="21"/>
          <w:szCs w:val="21"/>
          <w:highlight w:val="none"/>
        </w:rPr>
        <w:t>质疑书必须署名，由法定代表人签字（或盖章）并加盖单位公章，否则不予受理。</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 xml:space="preserve">6.10.6 </w:t>
      </w:r>
      <w:r>
        <w:rPr>
          <w:rFonts w:hint="eastAsia" w:ascii="宋体" w:hAnsi="宋体" w:eastAsia="宋体" w:cs="宋体"/>
          <w:color w:val="auto"/>
          <w:sz w:val="21"/>
          <w:szCs w:val="21"/>
          <w:highlight w:val="none"/>
        </w:rPr>
        <w:t>质疑书以直接提交、传真或邮寄方式提交（一式三份）。</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 xml:space="preserve">6.10.7 </w:t>
      </w:r>
      <w:r>
        <w:rPr>
          <w:rFonts w:hint="eastAsia" w:ascii="宋体" w:hAnsi="宋体" w:eastAsia="宋体" w:cs="宋体"/>
          <w:color w:val="auto"/>
          <w:sz w:val="21"/>
          <w:szCs w:val="21"/>
          <w:highlight w:val="none"/>
        </w:rPr>
        <w:t>质疑书以传真形式提交后，同时须向采购代理机构提交质疑书原件，采购代理机构以收到原件之日作为收到质疑日。</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6.11</w:t>
      </w:r>
      <w:r>
        <w:rPr>
          <w:rFonts w:hint="eastAsia" w:ascii="宋体" w:hAnsi="宋体" w:eastAsia="宋体" w:cs="宋体"/>
          <w:color w:val="auto"/>
          <w:sz w:val="21"/>
          <w:szCs w:val="21"/>
          <w:highlight w:val="none"/>
        </w:rPr>
        <w:t>、发出成交通知书</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 xml:space="preserve">6.11.1 </w:t>
      </w:r>
      <w:r>
        <w:rPr>
          <w:rFonts w:hint="eastAsia" w:ascii="宋体" w:hAnsi="宋体" w:eastAsia="宋体" w:cs="宋体"/>
          <w:color w:val="auto"/>
          <w:sz w:val="21"/>
          <w:szCs w:val="21"/>
          <w:highlight w:val="none"/>
        </w:rPr>
        <w:t>采购人及采购代理机构将以书面形式向成交人发出成交通知书。</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6.12</w:t>
      </w:r>
      <w:r>
        <w:rPr>
          <w:rFonts w:hint="eastAsia" w:ascii="宋体" w:hAnsi="宋体" w:eastAsia="宋体" w:cs="宋体"/>
          <w:color w:val="auto"/>
          <w:sz w:val="21"/>
          <w:szCs w:val="21"/>
          <w:highlight w:val="none"/>
        </w:rPr>
        <w:t>、签订合同</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 xml:space="preserve">6.12.1 </w:t>
      </w:r>
      <w:r>
        <w:rPr>
          <w:rFonts w:hint="eastAsia" w:ascii="宋体" w:hAnsi="宋体" w:eastAsia="宋体" w:cs="宋体"/>
          <w:color w:val="auto"/>
          <w:sz w:val="21"/>
          <w:szCs w:val="21"/>
          <w:highlight w:val="none"/>
        </w:rPr>
        <w:t>成交人应在接到成交通知书后按成交通知书规定的时间、地点与采购人签订合同。</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6.12.2 </w:t>
      </w:r>
      <w:r>
        <w:rPr>
          <w:rFonts w:hint="eastAsia" w:ascii="宋体" w:hAnsi="宋体" w:eastAsia="宋体" w:cs="宋体"/>
          <w:color w:val="auto"/>
          <w:sz w:val="21"/>
          <w:szCs w:val="21"/>
          <w:highlight w:val="none"/>
        </w:rPr>
        <w:t>竞争性磋商文件及补充文件、成交人的响应文件及磋商修改文件、评审过程中有关澄清文件和成交通知书均作为合同附件。</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6.12.3 </w:t>
      </w:r>
      <w:r>
        <w:rPr>
          <w:rFonts w:hint="eastAsia" w:ascii="宋体" w:hAnsi="宋体" w:eastAsia="宋体" w:cs="宋体"/>
          <w:color w:val="auto"/>
          <w:sz w:val="21"/>
          <w:szCs w:val="21"/>
          <w:highlight w:val="none"/>
        </w:rPr>
        <w:t>拒签合同的责任</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成交人接到成交通知书后，在规定时间内借故否认已经承诺的条件而拒签合同者，以磋商违约处理，并赔偿采购人由此造成的直接经济损失。采购人将向政府采购监管部门进行汇报。</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6.13</w:t>
      </w:r>
      <w:r>
        <w:rPr>
          <w:rFonts w:hint="eastAsia" w:ascii="宋体" w:hAnsi="宋体" w:eastAsia="宋体" w:cs="宋体"/>
          <w:color w:val="auto"/>
          <w:sz w:val="21"/>
          <w:szCs w:val="21"/>
          <w:highlight w:val="none"/>
        </w:rPr>
        <w:t>、履约保证金</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成交人在签订合同后按“供应商须知前附表”规定的缴纳履约保证金。</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6.14</w:t>
      </w:r>
      <w:r>
        <w:rPr>
          <w:rFonts w:hint="eastAsia" w:ascii="宋体" w:hAnsi="宋体" w:eastAsia="宋体" w:cs="宋体"/>
          <w:color w:val="auto"/>
          <w:sz w:val="21"/>
          <w:szCs w:val="21"/>
          <w:highlight w:val="none"/>
        </w:rPr>
        <w:t>、采购代理服务费</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本次采购代理服务费按“供应商须知前附表”规定收取。</w:t>
      </w:r>
    </w:p>
    <w:p>
      <w:pPr>
        <w:rPr>
          <w:rFonts w:hint="eastAsia" w:ascii="宋体" w:hAnsi="宋体" w:eastAsia="宋体" w:cs="宋体"/>
          <w:color w:val="auto"/>
          <w:highlight w:val="none"/>
        </w:rPr>
        <w:sectPr>
          <w:pgSz w:w="11900" w:h="16838"/>
          <w:pgMar w:top="1440" w:right="1440" w:bottom="401" w:left="1440" w:header="567" w:footer="567" w:gutter="0"/>
          <w:cols w:equalWidth="0" w:num="1">
            <w:col w:w="9026"/>
          </w:cols>
        </w:sectPr>
      </w:pPr>
    </w:p>
    <w:p>
      <w:pPr>
        <w:spacing w:line="1" w:lineRule="exact"/>
        <w:rPr>
          <w:rFonts w:hint="eastAsia" w:ascii="宋体" w:hAnsi="宋体" w:eastAsia="宋体" w:cs="宋体"/>
          <w:color w:val="auto"/>
          <w:sz w:val="20"/>
          <w:szCs w:val="20"/>
          <w:highlight w:val="none"/>
        </w:rPr>
      </w:pPr>
      <w:bookmarkStart w:id="60" w:name="page22"/>
      <w:bookmarkEnd w:id="60"/>
    </w:p>
    <w:p>
      <w:pPr>
        <w:tabs>
          <w:tab w:val="left" w:pos="320"/>
        </w:tabs>
        <w:spacing w:line="366" w:lineRule="exact"/>
        <w:jc w:val="center"/>
        <w:rPr>
          <w:rFonts w:hint="eastAsia" w:ascii="宋体" w:hAnsi="宋体" w:eastAsia="宋体" w:cs="宋体"/>
          <w:color w:val="auto"/>
          <w:sz w:val="20"/>
          <w:szCs w:val="20"/>
          <w:highlight w:val="none"/>
        </w:rPr>
      </w:pPr>
      <w:bookmarkStart w:id="61" w:name="_Toc9552_WPSOffice_Level1"/>
      <w:bookmarkStart w:id="62" w:name="_Toc5609_WPSOffice_Level1"/>
      <w:r>
        <w:rPr>
          <w:rFonts w:hint="eastAsia" w:ascii="宋体" w:hAnsi="宋体" w:eastAsia="宋体" w:cs="宋体"/>
          <w:b/>
          <w:bCs/>
          <w:color w:val="auto"/>
          <w:sz w:val="32"/>
          <w:szCs w:val="32"/>
          <w:highlight w:val="none"/>
        </w:rPr>
        <w:t>第四章</w:t>
      </w:r>
      <w:r>
        <w:rPr>
          <w:rFonts w:hint="eastAsia" w:ascii="宋体" w:hAnsi="宋体" w:eastAsia="宋体" w:cs="宋体"/>
          <w:b/>
          <w:bCs/>
          <w:color w:val="auto"/>
          <w:sz w:val="32"/>
          <w:szCs w:val="32"/>
          <w:highlight w:val="none"/>
        </w:rPr>
        <w:t xml:space="preserve">  </w:t>
      </w:r>
      <w:r>
        <w:rPr>
          <w:rFonts w:hint="eastAsia" w:ascii="宋体" w:hAnsi="宋体" w:eastAsia="宋体" w:cs="宋体"/>
          <w:b/>
          <w:bCs/>
          <w:color w:val="auto"/>
          <w:sz w:val="32"/>
          <w:szCs w:val="32"/>
          <w:highlight w:val="none"/>
        </w:rPr>
        <w:t>采购内容及技术要求</w:t>
      </w:r>
      <w:bookmarkEnd w:id="61"/>
      <w:bookmarkEnd w:id="62"/>
    </w:p>
    <w:p>
      <w:pPr>
        <w:spacing w:line="298" w:lineRule="exact"/>
        <w:rPr>
          <w:rFonts w:hint="eastAsia" w:ascii="宋体" w:hAnsi="宋体" w:eastAsia="宋体" w:cs="宋体"/>
          <w:color w:val="auto"/>
          <w:sz w:val="20"/>
          <w:szCs w:val="20"/>
          <w:highlight w:val="none"/>
        </w:rPr>
      </w:pPr>
    </w:p>
    <w:p>
      <w:pPr>
        <w:pStyle w:val="4"/>
        <w:rPr>
          <w:rFonts w:hint="eastAsia" w:ascii="宋体" w:hAnsi="宋体" w:eastAsia="宋体" w:cs="宋体"/>
          <w:color w:val="auto"/>
          <w:sz w:val="21"/>
          <w:szCs w:val="21"/>
          <w:highlight w:val="none"/>
        </w:rPr>
      </w:pPr>
      <w:bookmarkStart w:id="63" w:name="_Toc1984_WPSOffice_Level2"/>
      <w:bookmarkStart w:id="64" w:name="_Toc1247_WPSOffice_Level2"/>
      <w:bookmarkStart w:id="65" w:name="_Toc442102512"/>
      <w:bookmarkStart w:id="66" w:name="_Toc519000561"/>
      <w:bookmarkStart w:id="67" w:name="_Toc420505109"/>
      <w:bookmarkStart w:id="68" w:name="_Toc14746_WPSOffice_Level2"/>
      <w:r>
        <w:rPr>
          <w:rFonts w:hint="eastAsia" w:ascii="宋体" w:hAnsi="宋体" w:eastAsia="宋体" w:cs="宋体"/>
          <w:color w:val="auto"/>
          <w:sz w:val="21"/>
          <w:szCs w:val="21"/>
          <w:highlight w:val="none"/>
        </w:rPr>
        <w:t>（一）项目概况</w:t>
      </w:r>
      <w:bookmarkEnd w:id="63"/>
      <w:bookmarkEnd w:id="64"/>
    </w:p>
    <w:p>
      <w:pPr>
        <w:spacing w:line="360" w:lineRule="auto"/>
        <w:ind w:firstLine="42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项目简介</w:t>
      </w:r>
    </w:p>
    <w:p>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本项目为浙江农林大学</w:t>
      </w:r>
      <w:r>
        <w:rPr>
          <w:rFonts w:hint="eastAsia" w:ascii="宋体" w:hAnsi="宋体" w:eastAsia="宋体" w:cs="宋体"/>
          <w:color w:val="auto"/>
          <w:sz w:val="21"/>
          <w:szCs w:val="21"/>
          <w:highlight w:val="none"/>
          <w:lang w:eastAsia="zh-CN"/>
        </w:rPr>
        <w:t>动物科技学院三楼、六楼卫生间改造工程</w:t>
      </w:r>
      <w:r>
        <w:rPr>
          <w:rFonts w:hint="eastAsia" w:ascii="宋体" w:hAnsi="宋体" w:eastAsia="宋体" w:cs="宋体"/>
          <w:color w:val="auto"/>
          <w:sz w:val="21"/>
          <w:szCs w:val="21"/>
          <w:highlight w:val="none"/>
        </w:rPr>
        <w:t>，位于浙江农林大学东湖校区（杭州市临安区武肃街</w:t>
      </w:r>
      <w:r>
        <w:rPr>
          <w:rFonts w:hint="eastAsia" w:ascii="宋体" w:hAnsi="宋体" w:eastAsia="宋体" w:cs="宋体"/>
          <w:color w:val="auto"/>
          <w:sz w:val="21"/>
          <w:szCs w:val="21"/>
          <w:highlight w:val="none"/>
        </w:rPr>
        <w:t>666</w:t>
      </w:r>
      <w:r>
        <w:rPr>
          <w:rFonts w:hint="eastAsia" w:ascii="宋体" w:hAnsi="宋体" w:eastAsia="宋体" w:cs="宋体"/>
          <w:color w:val="auto"/>
          <w:sz w:val="21"/>
          <w:szCs w:val="21"/>
          <w:highlight w:val="none"/>
        </w:rPr>
        <w:t>号），主要内容为</w:t>
      </w:r>
      <w:r>
        <w:rPr>
          <w:rFonts w:hint="eastAsia" w:ascii="宋体" w:hAnsi="宋体" w:eastAsia="宋体" w:cs="宋体"/>
          <w:color w:val="auto"/>
          <w:sz w:val="21"/>
          <w:szCs w:val="21"/>
          <w:highlight w:val="none"/>
          <w:lang w:eastAsia="zh-CN"/>
        </w:rPr>
        <w:t>动物科技学院三楼、六楼卫生间改造</w:t>
      </w:r>
      <w:r>
        <w:rPr>
          <w:rFonts w:hint="eastAsia" w:ascii="宋体" w:hAnsi="宋体" w:eastAsia="宋体" w:cs="宋体"/>
          <w:color w:val="auto"/>
          <w:sz w:val="21"/>
          <w:szCs w:val="21"/>
          <w:highlight w:val="none"/>
        </w:rPr>
        <w:t>。</w:t>
      </w:r>
    </w:p>
    <w:p>
      <w:pPr>
        <w:spacing w:line="360" w:lineRule="auto"/>
        <w:ind w:firstLine="42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2、施工工期</w:t>
      </w:r>
    </w:p>
    <w:p>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工期为</w:t>
      </w:r>
      <w:r>
        <w:rPr>
          <w:rFonts w:hint="eastAsia" w:ascii="宋体" w:hAnsi="宋体" w:eastAsia="宋体" w:cs="宋体"/>
          <w:color w:val="auto"/>
          <w:sz w:val="21"/>
          <w:szCs w:val="21"/>
          <w:highlight w:val="none"/>
        </w:rPr>
        <w:t>30</w:t>
      </w:r>
      <w:r>
        <w:rPr>
          <w:rFonts w:hint="eastAsia" w:ascii="宋体" w:hAnsi="宋体" w:eastAsia="宋体" w:cs="宋体"/>
          <w:color w:val="auto"/>
          <w:sz w:val="21"/>
          <w:szCs w:val="21"/>
          <w:highlight w:val="none"/>
          <w:lang w:eastAsia="zh-CN"/>
        </w:rPr>
        <w:t>日历</w:t>
      </w:r>
      <w:r>
        <w:rPr>
          <w:rFonts w:hint="eastAsia" w:ascii="宋体" w:hAnsi="宋体" w:eastAsia="宋体" w:cs="宋体"/>
          <w:color w:val="auto"/>
          <w:sz w:val="21"/>
          <w:szCs w:val="21"/>
          <w:highlight w:val="none"/>
        </w:rPr>
        <w:t>天</w:t>
      </w:r>
      <w:r>
        <w:rPr>
          <w:rFonts w:hint="eastAsia" w:ascii="宋体" w:hAnsi="宋体" w:eastAsia="宋体" w:cs="宋体"/>
          <w:color w:val="auto"/>
          <w:sz w:val="21"/>
          <w:szCs w:val="21"/>
          <w:highlight w:val="none"/>
        </w:rPr>
        <w:t>。</w:t>
      </w:r>
    </w:p>
    <w:p>
      <w:pPr>
        <w:spacing w:line="360" w:lineRule="auto"/>
        <w:ind w:firstLine="42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、工程内容</w:t>
      </w:r>
    </w:p>
    <w:p>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详见图纸及工程量清单。</w:t>
      </w:r>
    </w:p>
    <w:p>
      <w:pPr>
        <w:spacing w:line="360" w:lineRule="auto"/>
        <w:ind w:firstLine="42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4、质保期</w:t>
      </w:r>
    </w:p>
    <w:p>
      <w:pPr>
        <w:spacing w:line="360" w:lineRule="auto"/>
        <w:ind w:firstLine="819" w:firstLineChars="39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2年（防水防漏5年，</w:t>
      </w:r>
      <w:r>
        <w:rPr>
          <w:rFonts w:hint="eastAsia" w:ascii="宋体" w:hAnsi="宋体" w:eastAsia="宋体" w:cs="宋体"/>
          <w:color w:val="auto"/>
          <w:spacing w:val="-6"/>
          <w:sz w:val="21"/>
          <w:szCs w:val="21"/>
          <w:highlight w:val="none"/>
        </w:rPr>
        <w:t>技术要求里另有注明的以技术要求为准</w:t>
      </w:r>
      <w:r>
        <w:rPr>
          <w:rFonts w:hint="eastAsia" w:ascii="宋体" w:hAnsi="宋体" w:eastAsia="宋体" w:cs="宋体"/>
          <w:color w:val="auto"/>
          <w:sz w:val="21"/>
          <w:szCs w:val="21"/>
          <w:highlight w:val="none"/>
          <w:lang w:val="en-US" w:eastAsia="zh-CN"/>
        </w:rPr>
        <w:t>）</w:t>
      </w:r>
    </w:p>
    <w:p>
      <w:pPr>
        <w:spacing w:line="360" w:lineRule="auto"/>
        <w:ind w:firstLine="42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5、履约保证金</w:t>
      </w:r>
    </w:p>
    <w:p>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）成交人</w:t>
      </w:r>
      <w:r>
        <w:rPr>
          <w:rFonts w:hint="eastAsia" w:ascii="宋体" w:hAnsi="宋体" w:eastAsia="宋体" w:cs="宋体"/>
          <w:color w:val="auto"/>
          <w:sz w:val="21"/>
          <w:szCs w:val="21"/>
          <w:highlight w:val="none"/>
        </w:rPr>
        <w:t>向采购方提供履约担保，担保方式为：</w:t>
      </w:r>
      <w:r>
        <w:rPr>
          <w:rFonts w:hint="eastAsia" w:ascii="宋体" w:hAnsi="宋体" w:eastAsia="宋体" w:cs="宋体"/>
          <w:color w:val="auto"/>
          <w:sz w:val="21"/>
          <w:szCs w:val="21"/>
          <w:highlight w:val="none"/>
          <w:u w:val="single"/>
        </w:rPr>
        <w:t xml:space="preserve">  银行汇票或转帐支票或现金支票  </w:t>
      </w:r>
      <w:r>
        <w:rPr>
          <w:rFonts w:hint="eastAsia" w:ascii="宋体" w:hAnsi="宋体" w:eastAsia="宋体" w:cs="宋体"/>
          <w:color w:val="auto"/>
          <w:sz w:val="21"/>
          <w:szCs w:val="21"/>
          <w:highlight w:val="none"/>
        </w:rPr>
        <w:t>担保合同作为本合同附件。担保额度：合同价的2.5%。</w:t>
      </w:r>
      <w:r>
        <w:rPr>
          <w:rFonts w:hint="eastAsia" w:ascii="宋体" w:hAnsi="宋体" w:eastAsia="宋体" w:cs="宋体"/>
          <w:color w:val="auto"/>
          <w:sz w:val="21"/>
          <w:szCs w:val="21"/>
          <w:highlight w:val="none"/>
          <w:lang w:eastAsia="zh-CN"/>
        </w:rPr>
        <w:t>成交人</w:t>
      </w:r>
      <w:r>
        <w:rPr>
          <w:rFonts w:hint="eastAsia" w:ascii="宋体" w:hAnsi="宋体" w:eastAsia="宋体" w:cs="宋体"/>
          <w:color w:val="auto"/>
          <w:sz w:val="21"/>
          <w:szCs w:val="21"/>
          <w:highlight w:val="none"/>
        </w:rPr>
        <w:t>在合同协议签订前3天内，应按合同规定向</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提交履约保证金。</w:t>
      </w:r>
    </w:p>
    <w:p>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双方约定的其他担保事项：履约担保金中40%作为质量担保，30%作为工期进度担保，剩余30%作为文明施工担保。</w:t>
      </w:r>
    </w:p>
    <w:p>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如</w:t>
      </w:r>
      <w:r>
        <w:rPr>
          <w:rFonts w:hint="eastAsia" w:ascii="宋体" w:hAnsi="宋体" w:eastAsia="宋体" w:cs="宋体"/>
          <w:color w:val="auto"/>
          <w:sz w:val="21"/>
          <w:szCs w:val="21"/>
          <w:highlight w:val="none"/>
          <w:lang w:eastAsia="zh-CN"/>
        </w:rPr>
        <w:t>成交人</w:t>
      </w:r>
      <w:r>
        <w:rPr>
          <w:rFonts w:hint="eastAsia" w:ascii="宋体" w:hAnsi="宋体" w:eastAsia="宋体" w:cs="宋体"/>
          <w:color w:val="auto"/>
          <w:sz w:val="21"/>
          <w:szCs w:val="21"/>
          <w:highlight w:val="none"/>
        </w:rPr>
        <w:t>原因造成合同中止，履约担保金不返还。</w:t>
      </w:r>
    </w:p>
    <w:p>
      <w:pPr>
        <w:spacing w:line="360" w:lineRule="auto"/>
        <w:ind w:firstLine="42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如</w:t>
      </w:r>
      <w:r>
        <w:rPr>
          <w:rFonts w:hint="eastAsia" w:ascii="宋体" w:hAnsi="宋体" w:eastAsia="宋体" w:cs="宋体"/>
          <w:color w:val="auto"/>
          <w:sz w:val="21"/>
          <w:szCs w:val="21"/>
          <w:highlight w:val="none"/>
          <w:lang w:eastAsia="zh-CN"/>
        </w:rPr>
        <w:t>成交人</w:t>
      </w:r>
      <w:r>
        <w:rPr>
          <w:rFonts w:hint="eastAsia" w:ascii="宋体" w:hAnsi="宋体" w:eastAsia="宋体" w:cs="宋体"/>
          <w:color w:val="auto"/>
          <w:sz w:val="21"/>
          <w:szCs w:val="21"/>
          <w:highlight w:val="none"/>
        </w:rPr>
        <w:t>不能按磋商承诺和合同要求履约，</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将有权扣除相应甚至全部履约保证金。</w:t>
      </w:r>
    </w:p>
    <w:p>
      <w:pPr>
        <w:spacing w:line="360" w:lineRule="auto"/>
        <w:ind w:firstLine="42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6、付款方式</w:t>
      </w:r>
    </w:p>
    <w:p>
      <w:pPr>
        <w:spacing w:line="360" w:lineRule="auto"/>
        <w:ind w:firstLine="42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u w:val="single"/>
          <w:lang w:eastAsia="zh-CN"/>
        </w:rPr>
        <w:t>承包人实际完成合同工程量60%时（经监理及发包人审定）支付合同金额的20%的进度款，工程竣工验收合格后支付至合同金额的80%，</w:t>
      </w:r>
      <w:r>
        <w:rPr>
          <w:rFonts w:hint="eastAsia" w:ascii="宋体" w:hAnsi="宋体" w:eastAsia="宋体" w:cs="宋体"/>
          <w:color w:val="auto"/>
          <w:sz w:val="21"/>
          <w:szCs w:val="21"/>
          <w:highlight w:val="none"/>
          <w:u w:val="single"/>
        </w:rPr>
        <w:t>待竣工结算审计后以结算审计为准支付至审计价格的</w:t>
      </w:r>
      <w:r>
        <w:rPr>
          <w:rFonts w:hint="eastAsia" w:ascii="宋体" w:hAnsi="宋体" w:eastAsia="宋体" w:cs="宋体"/>
          <w:color w:val="auto"/>
          <w:sz w:val="21"/>
          <w:szCs w:val="21"/>
          <w:highlight w:val="none"/>
          <w:u w:val="single"/>
          <w:lang w:val="en-US" w:eastAsia="zh-CN"/>
        </w:rPr>
        <w:t>97.5</w:t>
      </w:r>
      <w:r>
        <w:rPr>
          <w:rFonts w:hint="eastAsia" w:ascii="宋体" w:hAnsi="宋体" w:eastAsia="宋体" w:cs="宋体"/>
          <w:color w:val="auto"/>
          <w:sz w:val="21"/>
          <w:szCs w:val="21"/>
          <w:highlight w:val="none"/>
          <w:u w:val="single"/>
        </w:rPr>
        <w:t>%；同时按合同履约核实情况，结算并返回履约保证金（无息，如有违约并扣除违约款）；审计价2.5%作为质量保修金，保修期满二年后无质量问题返回1.5%质保金，剩余1%在保修期结束后（5年后）全额返回（均不计利息）。</w:t>
      </w:r>
    </w:p>
    <w:p>
      <w:pPr>
        <w:pStyle w:val="4"/>
        <w:rPr>
          <w:rFonts w:hint="eastAsia" w:ascii="宋体" w:hAnsi="宋体" w:eastAsia="宋体" w:cs="宋体"/>
          <w:color w:val="auto"/>
          <w:sz w:val="21"/>
          <w:szCs w:val="21"/>
          <w:highlight w:val="none"/>
        </w:rPr>
      </w:pPr>
      <w:bookmarkStart w:id="69" w:name="_Toc9286_WPSOffice_Level2"/>
      <w:bookmarkStart w:id="70" w:name="_Toc22756_WPSOffice_Level2"/>
      <w:r>
        <w:rPr>
          <w:rFonts w:hint="eastAsia" w:ascii="宋体" w:hAnsi="宋体" w:eastAsia="宋体" w:cs="宋体"/>
          <w:color w:val="auto"/>
          <w:sz w:val="21"/>
          <w:szCs w:val="21"/>
          <w:highlight w:val="none"/>
        </w:rPr>
        <w:t>（二）规范要求</w:t>
      </w:r>
      <w:bookmarkEnd w:id="65"/>
      <w:bookmarkEnd w:id="66"/>
      <w:bookmarkEnd w:id="67"/>
      <w:bookmarkEnd w:id="69"/>
      <w:bookmarkEnd w:id="70"/>
    </w:p>
    <w:p>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rPr>
        <w:t>、依据设计施工图纸和技术文件要求，本工程项目的材料、设备、施工必须达到以下现行中华人民共和国及省、市、行业的一切有关法规、规范的要求，如下述标准及规范要求有出入则以较严格者为准。</w:t>
      </w:r>
    </w:p>
    <w:p>
      <w:pPr>
        <w:pStyle w:val="9"/>
        <w:tabs>
          <w:tab w:val="left" w:pos="0"/>
        </w:tabs>
        <w:spacing w:before="120" w:after="12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r>
        <w:rPr>
          <w:rFonts w:hint="eastAsia" w:ascii="宋体" w:hAnsi="宋体" w:eastAsia="宋体" w:cs="宋体"/>
          <w:color w:val="auto"/>
          <w:sz w:val="21"/>
          <w:szCs w:val="21"/>
          <w:highlight w:val="none"/>
        </w:rPr>
        <w:t>、以及其它的相关规范。</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r>
        <w:rPr>
          <w:rFonts w:hint="eastAsia" w:ascii="宋体" w:hAnsi="宋体" w:eastAsia="宋体" w:cs="宋体"/>
          <w:color w:val="auto"/>
          <w:sz w:val="21"/>
          <w:szCs w:val="21"/>
          <w:highlight w:val="none"/>
        </w:rPr>
        <w:t>、以上技术规范由乙方自备，如有不足之处或未能达到国家最新标准时，乙方应使施工及选用的设备和材料符合最新版本的国家标准、规范。</w:t>
      </w:r>
    </w:p>
    <w:p>
      <w:pPr>
        <w:pStyle w:val="4"/>
        <w:rPr>
          <w:rFonts w:hint="eastAsia" w:ascii="宋体" w:hAnsi="宋体" w:eastAsia="宋体" w:cs="宋体"/>
          <w:color w:val="auto"/>
          <w:sz w:val="21"/>
          <w:szCs w:val="21"/>
          <w:highlight w:val="none"/>
        </w:rPr>
      </w:pPr>
      <w:bookmarkStart w:id="71" w:name="_Toc66769195"/>
      <w:bookmarkStart w:id="72" w:name="_Toc442102513"/>
      <w:bookmarkStart w:id="73" w:name="_Toc5922_WPSOffice_Level2"/>
      <w:bookmarkStart w:id="74" w:name="_Toc7970_WPSOffice_Level2"/>
      <w:bookmarkStart w:id="75" w:name="_Toc229386804"/>
      <w:bookmarkStart w:id="76" w:name="_Toc519000562"/>
      <w:bookmarkStart w:id="77" w:name="_Toc420505110"/>
      <w:r>
        <w:rPr>
          <w:rFonts w:hint="eastAsia" w:ascii="宋体" w:hAnsi="宋体" w:eastAsia="宋体" w:cs="宋体"/>
          <w:color w:val="auto"/>
          <w:sz w:val="21"/>
          <w:szCs w:val="21"/>
          <w:highlight w:val="none"/>
        </w:rPr>
        <w:t>（三）施工要求</w:t>
      </w:r>
      <w:bookmarkEnd w:id="71"/>
      <w:bookmarkEnd w:id="72"/>
      <w:bookmarkEnd w:id="73"/>
      <w:bookmarkEnd w:id="74"/>
      <w:bookmarkEnd w:id="75"/>
      <w:bookmarkEnd w:id="76"/>
      <w:bookmarkEnd w:id="77"/>
    </w:p>
    <w:p>
      <w:pPr>
        <w:pStyle w:val="46"/>
        <w:pageBreakBefore w:val="0"/>
        <w:widowControl/>
        <w:kinsoku/>
        <w:wordWrap/>
        <w:overflowPunct/>
        <w:topLinePunct w:val="0"/>
        <w:autoSpaceDE/>
        <w:autoSpaceDN/>
        <w:bidi w:val="0"/>
        <w:spacing w:before="120" w:after="120" w:line="360" w:lineRule="auto"/>
        <w:ind w:firstLine="31680"/>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1</w:t>
      </w:r>
      <w:r>
        <w:rPr>
          <w:rFonts w:hint="eastAsia" w:ascii="宋体" w:hAnsi="宋体" w:eastAsia="宋体" w:cs="宋体"/>
          <w:color w:val="auto"/>
          <w:sz w:val="21"/>
          <w:highlight w:val="none"/>
        </w:rPr>
        <w:t>、本工程施工严格按照规范要求进行施工，达到各项拟定的设计指标。</w:t>
      </w:r>
    </w:p>
    <w:p>
      <w:pPr>
        <w:pStyle w:val="46"/>
        <w:pageBreakBefore w:val="0"/>
        <w:widowControl/>
        <w:kinsoku/>
        <w:wordWrap/>
        <w:overflowPunct/>
        <w:topLinePunct w:val="0"/>
        <w:autoSpaceDE/>
        <w:autoSpaceDN/>
        <w:bidi w:val="0"/>
        <w:spacing w:before="120" w:after="120" w:line="360" w:lineRule="auto"/>
        <w:ind w:firstLine="31680"/>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rPr>
        <w:t>、本工程施工必须严格按照招标说明、工程技术要求及行业规范进行施工，并无条件地接受采购人全方位、全过程的监督管理。</w:t>
      </w:r>
    </w:p>
    <w:p>
      <w:pPr>
        <w:pStyle w:val="46"/>
        <w:pageBreakBefore w:val="0"/>
        <w:widowControl/>
        <w:kinsoku/>
        <w:wordWrap/>
        <w:overflowPunct/>
        <w:topLinePunct w:val="0"/>
        <w:autoSpaceDE/>
        <w:autoSpaceDN/>
        <w:bidi w:val="0"/>
        <w:spacing w:before="120" w:after="120" w:line="360" w:lineRule="auto"/>
        <w:ind w:firstLine="31680"/>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3</w:t>
      </w:r>
      <w:r>
        <w:rPr>
          <w:rFonts w:hint="eastAsia" w:ascii="宋体" w:hAnsi="宋体" w:eastAsia="宋体" w:cs="宋体"/>
          <w:color w:val="auto"/>
          <w:sz w:val="21"/>
          <w:highlight w:val="none"/>
        </w:rPr>
        <w:t>、所有材料设备必须在检验合格经采购人同意后，方可用于本工程。</w:t>
      </w:r>
    </w:p>
    <w:p>
      <w:pPr>
        <w:pStyle w:val="46"/>
        <w:pageBreakBefore w:val="0"/>
        <w:widowControl/>
        <w:kinsoku/>
        <w:wordWrap/>
        <w:overflowPunct/>
        <w:topLinePunct w:val="0"/>
        <w:autoSpaceDE/>
        <w:autoSpaceDN/>
        <w:bidi w:val="0"/>
        <w:spacing w:before="120" w:after="120" w:line="360" w:lineRule="auto"/>
        <w:ind w:firstLine="31680"/>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4</w:t>
      </w:r>
      <w:r>
        <w:rPr>
          <w:rFonts w:hint="eastAsia" w:ascii="宋体" w:hAnsi="宋体" w:eastAsia="宋体" w:cs="宋体"/>
          <w:color w:val="auto"/>
          <w:sz w:val="21"/>
          <w:highlight w:val="none"/>
        </w:rPr>
        <w:t>、隐蔽工程必须经采购人检查、验收后，方可进行下一道工序。</w:t>
      </w:r>
    </w:p>
    <w:p>
      <w:pPr>
        <w:pStyle w:val="46"/>
        <w:pageBreakBefore w:val="0"/>
        <w:widowControl/>
        <w:kinsoku/>
        <w:wordWrap/>
        <w:overflowPunct/>
        <w:topLinePunct w:val="0"/>
        <w:autoSpaceDE/>
        <w:autoSpaceDN/>
        <w:bidi w:val="0"/>
        <w:spacing w:before="120" w:after="120" w:line="360" w:lineRule="auto"/>
        <w:ind w:firstLine="31680"/>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5</w:t>
      </w:r>
      <w:r>
        <w:rPr>
          <w:rFonts w:hint="eastAsia" w:ascii="宋体" w:hAnsi="宋体" w:eastAsia="宋体" w:cs="宋体"/>
          <w:color w:val="auto"/>
          <w:sz w:val="21"/>
          <w:highlight w:val="none"/>
        </w:rPr>
        <w:t>、在免费保修期内，中标人对有缺陷的部位必须无偿地给予修理与更换，并承担一切由此引起的对采购人或第三者的直接损失，除非该缺陷是由于人为破坏或合同规定的不可抗因素造成的损坏。</w:t>
      </w:r>
    </w:p>
    <w:p>
      <w:pPr>
        <w:pStyle w:val="46"/>
        <w:pageBreakBefore w:val="0"/>
        <w:widowControl/>
        <w:kinsoku/>
        <w:wordWrap/>
        <w:overflowPunct/>
        <w:topLinePunct w:val="0"/>
        <w:autoSpaceDE/>
        <w:autoSpaceDN/>
        <w:bidi w:val="0"/>
        <w:spacing w:before="120" w:after="120" w:line="360" w:lineRule="auto"/>
        <w:ind w:firstLine="31680"/>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6</w:t>
      </w:r>
      <w:r>
        <w:rPr>
          <w:rFonts w:hint="eastAsia" w:ascii="宋体" w:hAnsi="宋体" w:eastAsia="宋体" w:cs="宋体"/>
          <w:color w:val="auto"/>
          <w:sz w:val="21"/>
          <w:highlight w:val="none"/>
        </w:rPr>
        <w:t>、中标人必须对所承包的工程的质量负全部责任，其责任不因其他材料生产商提供的保证书而减轻或更改。</w:t>
      </w:r>
    </w:p>
    <w:p>
      <w:pPr>
        <w:pStyle w:val="46"/>
        <w:pageBreakBefore w:val="0"/>
        <w:widowControl/>
        <w:kinsoku/>
        <w:wordWrap/>
        <w:overflowPunct/>
        <w:topLinePunct w:val="0"/>
        <w:autoSpaceDE/>
        <w:autoSpaceDN/>
        <w:bidi w:val="0"/>
        <w:spacing w:before="120" w:after="120" w:line="360" w:lineRule="auto"/>
        <w:ind w:firstLine="31680"/>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7</w:t>
      </w:r>
      <w:r>
        <w:rPr>
          <w:rFonts w:hint="eastAsia" w:ascii="宋体" w:hAnsi="宋体" w:eastAsia="宋体" w:cs="宋体"/>
          <w:color w:val="auto"/>
          <w:sz w:val="21"/>
          <w:highlight w:val="none"/>
        </w:rPr>
        <w:t>、施工时注意做好必要的劳动保护工作。</w:t>
      </w:r>
    </w:p>
    <w:p>
      <w:pPr>
        <w:pStyle w:val="4"/>
        <w:pageBreakBefore w:val="0"/>
        <w:widowControl/>
        <w:kinsoku/>
        <w:wordWrap/>
        <w:overflowPunct/>
        <w:topLinePunct w:val="0"/>
        <w:autoSpaceDE/>
        <w:autoSpaceDN/>
        <w:bidi w:val="0"/>
        <w:ind w:firstLine="422"/>
        <w:textAlignment w:val="auto"/>
        <w:rPr>
          <w:rFonts w:hint="eastAsia" w:ascii="宋体" w:hAnsi="宋体" w:eastAsia="宋体" w:cs="宋体"/>
          <w:color w:val="auto"/>
          <w:sz w:val="21"/>
          <w:szCs w:val="21"/>
          <w:highlight w:val="none"/>
        </w:rPr>
      </w:pPr>
      <w:bookmarkStart w:id="78" w:name="_Toc420505111"/>
      <w:bookmarkStart w:id="79" w:name="_Toc519000563"/>
      <w:bookmarkStart w:id="80" w:name="_Toc10614_WPSOffice_Level2"/>
      <w:bookmarkStart w:id="81" w:name="_Toc29299_WPSOffice_Level2"/>
      <w:bookmarkStart w:id="82" w:name="_Toc66769196"/>
      <w:bookmarkStart w:id="83" w:name="_Toc442102514"/>
      <w:bookmarkStart w:id="84" w:name="_Toc229386805"/>
      <w:r>
        <w:rPr>
          <w:rFonts w:hint="eastAsia" w:ascii="宋体" w:hAnsi="宋体" w:eastAsia="宋体" w:cs="宋体"/>
          <w:color w:val="auto"/>
          <w:sz w:val="21"/>
          <w:szCs w:val="21"/>
          <w:highlight w:val="none"/>
        </w:rPr>
        <w:t>（四）材料质量要求</w:t>
      </w:r>
      <w:bookmarkEnd w:id="78"/>
      <w:bookmarkEnd w:id="79"/>
      <w:bookmarkEnd w:id="80"/>
      <w:bookmarkEnd w:id="81"/>
      <w:bookmarkEnd w:id="82"/>
      <w:bookmarkEnd w:id="83"/>
      <w:bookmarkEnd w:id="84"/>
    </w:p>
    <w:p>
      <w:pPr>
        <w:pStyle w:val="46"/>
        <w:pageBreakBefore w:val="0"/>
        <w:widowControl/>
        <w:kinsoku/>
        <w:wordWrap/>
        <w:overflowPunct/>
        <w:topLinePunct w:val="0"/>
        <w:autoSpaceDE/>
        <w:autoSpaceDN/>
        <w:bidi w:val="0"/>
        <w:spacing w:before="120" w:after="120" w:line="360" w:lineRule="auto"/>
        <w:ind w:firstLine="31680"/>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1</w:t>
      </w:r>
      <w:r>
        <w:rPr>
          <w:rFonts w:hint="eastAsia" w:ascii="宋体" w:hAnsi="宋体" w:eastAsia="宋体" w:cs="宋体"/>
          <w:color w:val="auto"/>
          <w:sz w:val="21"/>
          <w:highlight w:val="none"/>
        </w:rPr>
        <w:t>、本工程使用的原材料必须符合设计要求和施工规范的规定。</w:t>
      </w:r>
    </w:p>
    <w:p>
      <w:pPr>
        <w:pStyle w:val="46"/>
        <w:pageBreakBefore w:val="0"/>
        <w:widowControl/>
        <w:numPr>
          <w:ilvl w:val="1"/>
          <w:numId w:val="0"/>
        </w:numPr>
        <w:tabs>
          <w:tab w:val="left" w:pos="780"/>
        </w:tabs>
        <w:kinsoku/>
        <w:wordWrap/>
        <w:overflowPunct/>
        <w:topLinePunct w:val="0"/>
        <w:autoSpaceDE/>
        <w:autoSpaceDN/>
        <w:bidi w:val="0"/>
        <w:spacing w:before="120" w:after="120" w:line="360" w:lineRule="auto"/>
        <w:ind w:firstLine="420" w:firstLineChars="200"/>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rPr>
        <w:t>实际施工过程中，采购方将严格检查验收进场原材料的合格证及质保书，如发现实样与质保书不符，应立即取样进行复查，对不合格的材料严禁用于本工程。</w:t>
      </w:r>
    </w:p>
    <w:p>
      <w:pPr>
        <w:pStyle w:val="46"/>
        <w:pageBreakBefore w:val="0"/>
        <w:widowControl/>
        <w:kinsoku/>
        <w:wordWrap/>
        <w:overflowPunct/>
        <w:topLinePunct w:val="0"/>
        <w:autoSpaceDE/>
        <w:autoSpaceDN/>
        <w:bidi w:val="0"/>
        <w:spacing w:before="120" w:after="120" w:line="360" w:lineRule="auto"/>
        <w:ind w:firstLine="31680"/>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3、</w:t>
      </w:r>
      <w:r>
        <w:rPr>
          <w:rFonts w:hint="eastAsia" w:ascii="宋体" w:hAnsi="宋体" w:eastAsia="宋体" w:cs="宋体"/>
          <w:color w:val="auto"/>
          <w:sz w:val="21"/>
          <w:highlight w:val="none"/>
        </w:rPr>
        <w:t>本工程涉及的主要材料及零星材料，各磋商供应商须根据采购人要求及规范进行选材并报价，所有材料要求采用在行业内有一定知名度的品牌</w:t>
      </w:r>
      <w:r>
        <w:rPr>
          <w:rFonts w:hint="eastAsia" w:ascii="宋体" w:hAnsi="宋体" w:eastAsia="宋体" w:cs="宋体"/>
          <w:color w:val="auto"/>
          <w:sz w:val="21"/>
          <w:highlight w:val="none"/>
        </w:rPr>
        <w:t>(</w:t>
      </w:r>
      <w:r>
        <w:rPr>
          <w:rFonts w:hint="eastAsia" w:ascii="宋体" w:hAnsi="宋体" w:eastAsia="宋体" w:cs="宋体"/>
          <w:color w:val="auto"/>
          <w:sz w:val="21"/>
          <w:highlight w:val="none"/>
        </w:rPr>
        <w:t>招标文件已定品牌的按招标文件</w:t>
      </w:r>
      <w:r>
        <w:rPr>
          <w:rFonts w:hint="eastAsia" w:ascii="宋体" w:hAnsi="宋体" w:eastAsia="宋体" w:cs="宋体"/>
          <w:color w:val="auto"/>
          <w:sz w:val="21"/>
          <w:highlight w:val="none"/>
        </w:rPr>
        <w:t>)</w:t>
      </w:r>
      <w:r>
        <w:rPr>
          <w:rFonts w:hint="eastAsia" w:ascii="宋体" w:hAnsi="宋体" w:eastAsia="宋体" w:cs="宋体"/>
          <w:color w:val="auto"/>
          <w:sz w:val="21"/>
          <w:highlight w:val="none"/>
        </w:rPr>
        <w:t>，材料生产厂家必须通过</w:t>
      </w:r>
      <w:r>
        <w:rPr>
          <w:rFonts w:hint="eastAsia" w:ascii="宋体" w:hAnsi="宋体" w:eastAsia="宋体" w:cs="宋体"/>
          <w:color w:val="auto"/>
          <w:sz w:val="21"/>
          <w:highlight w:val="none"/>
        </w:rPr>
        <w:t>ISO</w:t>
      </w:r>
      <w:r>
        <w:rPr>
          <w:rFonts w:hint="eastAsia" w:ascii="宋体" w:hAnsi="宋体" w:eastAsia="宋体" w:cs="宋体"/>
          <w:color w:val="auto"/>
          <w:sz w:val="21"/>
          <w:highlight w:val="none"/>
        </w:rPr>
        <w:t>质量认证，并符合环保要求，严禁选择不合设计要求的低档材料进行投标报价及组织施工实施。</w:t>
      </w:r>
    </w:p>
    <w:p>
      <w:pPr>
        <w:pStyle w:val="46"/>
        <w:pageBreakBefore w:val="0"/>
        <w:widowControl/>
        <w:kinsoku/>
        <w:wordWrap/>
        <w:overflowPunct/>
        <w:topLinePunct w:val="0"/>
        <w:autoSpaceDE/>
        <w:autoSpaceDN/>
        <w:bidi w:val="0"/>
        <w:spacing w:before="120" w:after="120" w:line="360" w:lineRule="auto"/>
        <w:ind w:firstLine="31680"/>
        <w:textAlignment w:val="auto"/>
        <w:rPr>
          <w:rFonts w:hint="eastAsia" w:ascii="宋体" w:hAnsi="宋体" w:eastAsia="宋体" w:cs="宋体"/>
          <w:b/>
          <w:color w:val="auto"/>
          <w:sz w:val="21"/>
          <w:highlight w:val="none"/>
        </w:rPr>
      </w:pPr>
      <w:r>
        <w:rPr>
          <w:rFonts w:hint="eastAsia" w:ascii="宋体" w:hAnsi="宋体" w:eastAsia="宋体" w:cs="宋体"/>
          <w:b/>
          <w:color w:val="auto"/>
          <w:sz w:val="21"/>
          <w:highlight w:val="none"/>
          <w:lang w:val="en-US" w:eastAsia="zh-CN"/>
        </w:rPr>
        <w:t>4</w:t>
      </w:r>
      <w:r>
        <w:rPr>
          <w:rFonts w:hint="eastAsia" w:ascii="宋体" w:hAnsi="宋体" w:eastAsia="宋体" w:cs="宋体"/>
          <w:b/>
          <w:color w:val="auto"/>
          <w:sz w:val="21"/>
          <w:highlight w:val="none"/>
        </w:rPr>
        <w:t>、磋商供应商应按“主要材料（设备）推荐品牌”要求投标报价，并在响应文件主要材料品牌表里明确品牌、规格、型号、单位等。如磋商供应商没有按招标文件要求进行选择，或没有明确注明，或所选材料设备的材质、规格、档次与招标文件要求的存在明显差别，或虽按招标文件推荐的材料品牌选择但该材料因某种原因停产或其他原因而不能供应的，或虽注明品牌未注明型号、规格的，则实际施工过程中采购人有权在招标文件推荐的材料品牌范围内自行确定品牌和规格，且投标价格不予调整。</w:t>
      </w:r>
    </w:p>
    <w:p>
      <w:pPr>
        <w:pStyle w:val="46"/>
        <w:spacing w:before="120" w:after="120" w:line="360" w:lineRule="auto"/>
        <w:ind w:firstLine="31680"/>
        <w:jc w:val="center"/>
        <w:rPr>
          <w:rFonts w:hint="eastAsia" w:ascii="宋体" w:hAnsi="宋体" w:eastAsia="宋体" w:cs="宋体"/>
          <w:b/>
          <w:color w:val="auto"/>
          <w:sz w:val="21"/>
          <w:highlight w:val="none"/>
        </w:rPr>
      </w:pPr>
    </w:p>
    <w:p>
      <w:pPr>
        <w:pStyle w:val="46"/>
        <w:spacing w:before="120" w:after="120" w:line="360" w:lineRule="auto"/>
        <w:ind w:firstLine="31680"/>
        <w:jc w:val="center"/>
        <w:rPr>
          <w:rFonts w:hint="eastAsia" w:ascii="宋体" w:hAnsi="宋体" w:eastAsia="宋体" w:cs="宋体"/>
          <w:b/>
          <w:color w:val="auto"/>
          <w:sz w:val="21"/>
          <w:highlight w:val="none"/>
        </w:rPr>
      </w:pPr>
    </w:p>
    <w:p>
      <w:pPr>
        <w:pStyle w:val="46"/>
        <w:spacing w:before="120" w:after="120" w:line="360" w:lineRule="auto"/>
        <w:ind w:firstLine="31680"/>
        <w:jc w:val="center"/>
        <w:rPr>
          <w:rFonts w:hint="eastAsia" w:ascii="宋体" w:hAnsi="宋体" w:eastAsia="宋体" w:cs="宋体"/>
          <w:color w:val="auto"/>
          <w:sz w:val="21"/>
          <w:highlight w:val="none"/>
        </w:rPr>
      </w:pPr>
      <w:r>
        <w:rPr>
          <w:rFonts w:hint="eastAsia" w:ascii="宋体" w:hAnsi="宋体" w:eastAsia="宋体" w:cs="宋体"/>
          <w:b/>
          <w:color w:val="auto"/>
          <w:sz w:val="21"/>
          <w:highlight w:val="none"/>
        </w:rPr>
        <w:t>主要材料推荐品牌表</w:t>
      </w:r>
    </w:p>
    <w:tbl>
      <w:tblPr>
        <w:tblStyle w:val="19"/>
        <w:tblW w:w="8647" w:type="dxa"/>
        <w:jc w:val="center"/>
        <w:tblInd w:w="2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980"/>
        <w:gridCol w:w="4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9"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980"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主要材料</w:t>
            </w:r>
          </w:p>
        </w:tc>
        <w:tc>
          <w:tcPr>
            <w:tcW w:w="4958"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推荐品牌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9" w:type="dxa"/>
            <w:vAlign w:val="center"/>
          </w:tcPr>
          <w:p>
            <w:pPr>
              <w:topLinePunct/>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980" w:type="dxa"/>
            <w:vAlign w:val="top"/>
          </w:tcPr>
          <w:p>
            <w:pPr>
              <w:numPr>
                <w:ilvl w:val="0"/>
                <w:numId w:val="0"/>
              </w:numPr>
              <w:spacing w:line="36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rPr>
              <w:t>乳胶漆</w:t>
            </w:r>
          </w:p>
        </w:tc>
        <w:tc>
          <w:tcPr>
            <w:tcW w:w="4958" w:type="dxa"/>
            <w:vAlign w:val="top"/>
          </w:tcPr>
          <w:p>
            <w:pPr>
              <w:numPr>
                <w:ilvl w:val="0"/>
                <w:numId w:val="0"/>
              </w:numPr>
              <w:spacing w:line="36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rPr>
              <w:t>三棵树、</w:t>
            </w:r>
            <w:r>
              <w:rPr>
                <w:rFonts w:hint="eastAsia" w:ascii="宋体" w:hAnsi="宋体" w:eastAsia="宋体" w:cs="宋体"/>
                <w:color w:val="auto"/>
                <w:sz w:val="21"/>
                <w:szCs w:val="21"/>
                <w:highlight w:val="none"/>
                <w:vertAlign w:val="baseline"/>
                <w:lang w:eastAsia="zh-CN"/>
              </w:rPr>
              <w:t>多乐士</w:t>
            </w:r>
            <w:r>
              <w:rPr>
                <w:rFonts w:hint="eastAsia" w:ascii="宋体" w:hAnsi="宋体" w:eastAsia="宋体" w:cs="宋体"/>
                <w:color w:val="auto"/>
                <w:sz w:val="21"/>
                <w:szCs w:val="21"/>
                <w:highlight w:val="none"/>
                <w:vertAlign w:val="baseline"/>
              </w:rPr>
              <w:t>、</w:t>
            </w:r>
            <w:r>
              <w:rPr>
                <w:rFonts w:hint="eastAsia" w:ascii="宋体" w:hAnsi="宋体" w:eastAsia="宋体" w:cs="宋体"/>
                <w:color w:val="auto"/>
                <w:sz w:val="21"/>
                <w:szCs w:val="21"/>
                <w:highlight w:val="none"/>
                <w:vertAlign w:val="baseline"/>
                <w:lang w:eastAsia="zh-CN"/>
              </w:rPr>
              <w:t>立邦</w:t>
            </w:r>
            <w:r>
              <w:rPr>
                <w:rFonts w:hint="eastAsia" w:ascii="宋体" w:hAnsi="宋体" w:eastAsia="宋体" w:cs="宋体"/>
                <w:color w:val="auto"/>
                <w:sz w:val="21"/>
                <w:szCs w:val="21"/>
                <w:highlight w:val="none"/>
                <w:vertAlign w:val="baseline"/>
              </w:rPr>
              <w:t>或相当于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9" w:type="dxa"/>
            <w:vAlign w:val="center"/>
          </w:tcPr>
          <w:p>
            <w:pPr>
              <w:topLinePunct/>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980" w:type="dxa"/>
            <w:vAlign w:val="top"/>
          </w:tcPr>
          <w:p>
            <w:pPr>
              <w:numPr>
                <w:ilvl w:val="0"/>
                <w:numId w:val="0"/>
              </w:numPr>
              <w:spacing w:line="36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rPr>
              <w:t>仿大理石</w:t>
            </w:r>
            <w:r>
              <w:rPr>
                <w:rFonts w:hint="eastAsia" w:ascii="宋体" w:hAnsi="宋体" w:eastAsia="宋体" w:cs="宋体"/>
                <w:color w:val="auto"/>
                <w:sz w:val="21"/>
                <w:szCs w:val="21"/>
                <w:highlight w:val="none"/>
                <w:vertAlign w:val="baseline"/>
                <w:lang w:eastAsia="zh-CN"/>
              </w:rPr>
              <w:t>瓷</w:t>
            </w:r>
            <w:r>
              <w:rPr>
                <w:rFonts w:hint="eastAsia" w:ascii="宋体" w:hAnsi="宋体" w:eastAsia="宋体" w:cs="宋体"/>
                <w:color w:val="auto"/>
                <w:sz w:val="21"/>
                <w:szCs w:val="21"/>
                <w:highlight w:val="none"/>
                <w:vertAlign w:val="baseline"/>
              </w:rPr>
              <w:t>砖</w:t>
            </w:r>
            <w:r>
              <w:rPr>
                <w:rFonts w:hint="eastAsia" w:ascii="宋体" w:hAnsi="宋体" w:eastAsia="宋体" w:cs="宋体"/>
                <w:color w:val="auto"/>
                <w:sz w:val="21"/>
                <w:szCs w:val="21"/>
                <w:highlight w:val="none"/>
                <w:vertAlign w:val="baseline"/>
                <w:lang w:eastAsia="zh-CN"/>
              </w:rPr>
              <w:t>、釉面砖</w:t>
            </w:r>
          </w:p>
        </w:tc>
        <w:tc>
          <w:tcPr>
            <w:tcW w:w="4958" w:type="dxa"/>
            <w:vAlign w:val="top"/>
          </w:tcPr>
          <w:p>
            <w:pPr>
              <w:numPr>
                <w:ilvl w:val="0"/>
                <w:numId w:val="0"/>
              </w:numPr>
              <w:spacing w:line="36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rPr>
              <w:t>东鹏、诺贝尔、马可波罗或相当于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9" w:type="dxa"/>
            <w:vAlign w:val="center"/>
          </w:tcPr>
          <w:p>
            <w:pPr>
              <w:topLinePunct/>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980" w:type="dxa"/>
            <w:vAlign w:val="top"/>
          </w:tcPr>
          <w:p>
            <w:pPr>
              <w:numPr>
                <w:ilvl w:val="0"/>
                <w:numId w:val="0"/>
              </w:numPr>
              <w:spacing w:line="36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lang w:eastAsia="zh-CN"/>
              </w:rPr>
              <w:t>干混砂浆</w:t>
            </w:r>
          </w:p>
        </w:tc>
        <w:tc>
          <w:tcPr>
            <w:tcW w:w="4958" w:type="dxa"/>
            <w:vAlign w:val="top"/>
          </w:tcPr>
          <w:p>
            <w:pPr>
              <w:numPr>
                <w:ilvl w:val="0"/>
                <w:numId w:val="0"/>
              </w:numPr>
              <w:spacing w:line="36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rPr>
              <w:t>杭州市建委、质监总站、杭州市散装水泥办公室认可名录中且近二年未发生商品砼生产责任事故的企业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9" w:type="dxa"/>
            <w:vAlign w:val="center"/>
          </w:tcPr>
          <w:p>
            <w:pPr>
              <w:topLinePunct/>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980" w:type="dxa"/>
            <w:vAlign w:val="top"/>
          </w:tcPr>
          <w:p>
            <w:pPr>
              <w:numPr>
                <w:ilvl w:val="0"/>
                <w:numId w:val="0"/>
              </w:numPr>
              <w:spacing w:line="36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lang w:eastAsia="zh-CN"/>
              </w:rPr>
              <w:t>木材、木饰面</w:t>
            </w:r>
          </w:p>
        </w:tc>
        <w:tc>
          <w:tcPr>
            <w:tcW w:w="4958" w:type="dxa"/>
            <w:vAlign w:val="top"/>
          </w:tcPr>
          <w:p>
            <w:pPr>
              <w:numPr>
                <w:ilvl w:val="0"/>
                <w:numId w:val="0"/>
              </w:numPr>
              <w:spacing w:line="36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rPr>
              <w:t>兔宝宝、莫干山、千年舟或相当于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9" w:type="dxa"/>
            <w:vAlign w:val="center"/>
          </w:tcPr>
          <w:p>
            <w:pPr>
              <w:topLinePunct/>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2980" w:type="dxa"/>
            <w:vAlign w:val="top"/>
          </w:tcPr>
          <w:p>
            <w:pPr>
              <w:numPr>
                <w:ilvl w:val="0"/>
                <w:numId w:val="0"/>
              </w:numPr>
              <w:spacing w:line="36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rPr>
              <w:t>配线</w:t>
            </w:r>
          </w:p>
        </w:tc>
        <w:tc>
          <w:tcPr>
            <w:tcW w:w="4958" w:type="dxa"/>
            <w:vAlign w:val="top"/>
          </w:tcPr>
          <w:p>
            <w:pPr>
              <w:numPr>
                <w:ilvl w:val="0"/>
                <w:numId w:val="0"/>
              </w:numPr>
              <w:spacing w:line="36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rPr>
              <w:t>杭州中策、永通、浙江万马或相当于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9" w:type="dxa"/>
            <w:vAlign w:val="center"/>
          </w:tcPr>
          <w:p>
            <w:pPr>
              <w:topLinePunct/>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2980" w:type="dxa"/>
            <w:vAlign w:val="top"/>
          </w:tcPr>
          <w:p>
            <w:pPr>
              <w:numPr>
                <w:ilvl w:val="0"/>
                <w:numId w:val="0"/>
              </w:numPr>
              <w:spacing w:line="36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rPr>
              <w:t>灯具</w:t>
            </w:r>
          </w:p>
        </w:tc>
        <w:tc>
          <w:tcPr>
            <w:tcW w:w="4958" w:type="dxa"/>
            <w:vAlign w:val="top"/>
          </w:tcPr>
          <w:p>
            <w:pPr>
              <w:numPr>
                <w:ilvl w:val="0"/>
                <w:numId w:val="0"/>
              </w:numPr>
              <w:spacing w:line="36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rPr>
              <w:t>欧普、雷士照明、三雄极光或相当于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9" w:type="dxa"/>
            <w:vAlign w:val="center"/>
          </w:tcPr>
          <w:p>
            <w:pPr>
              <w:topLinePunct/>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2980" w:type="dxa"/>
            <w:vAlign w:val="top"/>
          </w:tcPr>
          <w:p>
            <w:pPr>
              <w:numPr>
                <w:ilvl w:val="0"/>
                <w:numId w:val="0"/>
              </w:numPr>
              <w:spacing w:line="36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rPr>
              <w:t>洁具</w:t>
            </w:r>
          </w:p>
        </w:tc>
        <w:tc>
          <w:tcPr>
            <w:tcW w:w="4958" w:type="dxa"/>
            <w:vAlign w:val="top"/>
          </w:tcPr>
          <w:p>
            <w:pPr>
              <w:numPr>
                <w:ilvl w:val="0"/>
                <w:numId w:val="0"/>
              </w:numPr>
              <w:spacing w:line="36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rPr>
              <w:t>科勒、TOTO、箭牌或相当于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9" w:type="dxa"/>
            <w:vAlign w:val="center"/>
          </w:tcPr>
          <w:p>
            <w:pPr>
              <w:topLinePunct/>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2980" w:type="dxa"/>
            <w:vAlign w:val="top"/>
          </w:tcPr>
          <w:p>
            <w:pPr>
              <w:numPr>
                <w:ilvl w:val="0"/>
                <w:numId w:val="0"/>
              </w:numPr>
              <w:spacing w:line="36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rPr>
              <w:t>开关</w:t>
            </w:r>
          </w:p>
        </w:tc>
        <w:tc>
          <w:tcPr>
            <w:tcW w:w="4958" w:type="dxa"/>
            <w:vAlign w:val="top"/>
          </w:tcPr>
          <w:p>
            <w:pPr>
              <w:numPr>
                <w:ilvl w:val="0"/>
                <w:numId w:val="0"/>
              </w:numPr>
              <w:spacing w:line="36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rPr>
              <w:t>松下、鸿雁、西蒙或相当于</w:t>
            </w:r>
          </w:p>
        </w:tc>
      </w:tr>
    </w:tbl>
    <w:p>
      <w:pPr>
        <w:spacing w:line="320" w:lineRule="exact"/>
        <w:rPr>
          <w:rFonts w:hint="eastAsia" w:ascii="宋体" w:hAnsi="宋体" w:eastAsia="宋体" w:cs="宋体"/>
          <w:b/>
          <w:bCs/>
          <w:color w:val="auto"/>
          <w:sz w:val="20"/>
          <w:szCs w:val="20"/>
          <w:highlight w:val="none"/>
          <w:u w:val="single"/>
        </w:rPr>
      </w:pPr>
      <w:bookmarkStart w:id="85" w:name="_Toc91422889"/>
      <w:bookmarkStart w:id="86" w:name="_Toc519000564"/>
      <w:bookmarkStart w:id="87" w:name="_Toc229386806"/>
      <w:bookmarkStart w:id="88" w:name="_Toc442102515"/>
      <w:bookmarkStart w:id="89" w:name="_Toc420505112"/>
      <w:r>
        <w:rPr>
          <w:rFonts w:hint="eastAsia" w:ascii="宋体" w:hAnsi="宋体" w:eastAsia="宋体" w:cs="宋体"/>
          <w:b/>
          <w:bCs/>
          <w:color w:val="auto"/>
          <w:sz w:val="20"/>
          <w:szCs w:val="20"/>
          <w:highlight w:val="none"/>
          <w:u w:val="single"/>
        </w:rPr>
        <w:t>关于推荐品牌：</w:t>
      </w:r>
    </w:p>
    <w:p>
      <w:pPr>
        <w:spacing w:line="320" w:lineRule="exact"/>
        <w:ind w:firstLine="402" w:firstLineChars="200"/>
        <w:rPr>
          <w:rFonts w:hint="eastAsia" w:ascii="宋体" w:hAnsi="宋体" w:eastAsia="宋体" w:cs="宋体"/>
          <w:b/>
          <w:bCs/>
          <w:color w:val="auto"/>
          <w:sz w:val="20"/>
          <w:szCs w:val="20"/>
          <w:highlight w:val="none"/>
          <w:u w:val="single"/>
        </w:rPr>
      </w:pPr>
      <w:r>
        <w:rPr>
          <w:rFonts w:hint="eastAsia" w:ascii="宋体" w:hAnsi="宋体" w:eastAsia="宋体" w:cs="宋体"/>
          <w:b/>
          <w:bCs/>
          <w:color w:val="auto"/>
          <w:sz w:val="20"/>
          <w:szCs w:val="20"/>
          <w:highlight w:val="none"/>
          <w:u w:val="single"/>
        </w:rPr>
        <w:t>①招标文件中对主要材料设备品牌、厂家、规格、型号有推荐的，投标人应采用并选用其中高档产品，或选用与招标人推荐的品牌相当及以上的中高档产品，如投标人所选材料设备的材质、规格、颜色、档次与招标文件及施工图纸要求的存在明显差别，或虽按招标文件推荐的材料品牌选择但该材料因某种原因停产或其他原因而不能供应的，则实际施工过程中招标人有权在招标文件推荐的材料品牌中自行确定，且投标价格不予调整。</w:t>
      </w:r>
    </w:p>
    <w:p>
      <w:pPr>
        <w:spacing w:line="320" w:lineRule="exact"/>
        <w:ind w:firstLine="402" w:firstLineChars="200"/>
        <w:rPr>
          <w:rFonts w:hint="eastAsia" w:ascii="宋体" w:hAnsi="宋体" w:eastAsia="宋体" w:cs="宋体"/>
          <w:b/>
          <w:bCs/>
          <w:color w:val="auto"/>
          <w:sz w:val="20"/>
          <w:szCs w:val="20"/>
          <w:highlight w:val="none"/>
          <w:u w:val="single"/>
        </w:rPr>
      </w:pPr>
      <w:r>
        <w:rPr>
          <w:rFonts w:hint="eastAsia" w:ascii="宋体" w:hAnsi="宋体" w:eastAsia="宋体" w:cs="宋体"/>
          <w:b/>
          <w:bCs/>
          <w:color w:val="auto"/>
          <w:sz w:val="20"/>
          <w:szCs w:val="20"/>
          <w:highlight w:val="none"/>
          <w:u w:val="single"/>
        </w:rPr>
        <w:t>②招标文件中对材料的品牌、规格、型号没有具体规定的，由投标人按招标文件及施工图的要求按中高档进行投标报价，并在“</w:t>
      </w:r>
      <w:r>
        <w:rPr>
          <w:rFonts w:hint="eastAsia" w:ascii="宋体" w:hAnsi="宋体" w:eastAsia="宋体" w:cs="宋体"/>
          <w:b/>
          <w:bCs/>
          <w:color w:val="auto"/>
          <w:sz w:val="20"/>
          <w:szCs w:val="20"/>
          <w:highlight w:val="none"/>
          <w:u w:val="single"/>
        </w:rPr>
        <w:t xml:space="preserve"> </w:t>
      </w:r>
      <w:r>
        <w:rPr>
          <w:rFonts w:hint="eastAsia" w:ascii="宋体" w:hAnsi="宋体" w:eastAsia="宋体" w:cs="宋体"/>
          <w:b/>
          <w:bCs/>
          <w:color w:val="auto"/>
          <w:sz w:val="20"/>
          <w:szCs w:val="20"/>
          <w:highlight w:val="none"/>
          <w:u w:val="single"/>
        </w:rPr>
        <w:t>主要材料品牌一览表“的投标品牌一栏里注明所选材料设备的品牌、规格、型号，若投标人没有进行注明的，则招标人有权指定品牌，投标价格不调整。</w:t>
      </w:r>
    </w:p>
    <w:p>
      <w:pPr>
        <w:spacing w:line="320" w:lineRule="exact"/>
        <w:ind w:firstLine="402" w:firstLineChars="200"/>
        <w:rPr>
          <w:rFonts w:hint="eastAsia" w:ascii="宋体" w:hAnsi="宋体" w:eastAsia="宋体" w:cs="宋体"/>
          <w:b/>
          <w:bCs/>
          <w:color w:val="auto"/>
          <w:sz w:val="20"/>
          <w:szCs w:val="20"/>
          <w:highlight w:val="none"/>
          <w:u w:val="single"/>
        </w:rPr>
      </w:pPr>
      <w:r>
        <w:rPr>
          <w:rFonts w:hint="eastAsia" w:ascii="宋体" w:hAnsi="宋体" w:eastAsia="宋体" w:cs="宋体"/>
          <w:b/>
          <w:bCs/>
          <w:color w:val="auto"/>
          <w:sz w:val="20"/>
          <w:szCs w:val="20"/>
          <w:highlight w:val="none"/>
          <w:u w:val="single"/>
        </w:rPr>
        <w:t>③发包人有权根据实际情况在发包人推荐的供应商（厂家）或品牌范围内进行调整，承包人须接受调整，并不得因此而要求调价。</w:t>
      </w:r>
    </w:p>
    <w:p>
      <w:pPr>
        <w:spacing w:line="320" w:lineRule="exact"/>
        <w:ind w:firstLine="402" w:firstLineChars="200"/>
        <w:rPr>
          <w:rFonts w:hint="eastAsia" w:ascii="宋体" w:hAnsi="宋体" w:eastAsia="宋体" w:cs="宋体"/>
          <w:b/>
          <w:bCs/>
          <w:color w:val="auto"/>
          <w:sz w:val="20"/>
          <w:szCs w:val="20"/>
          <w:highlight w:val="none"/>
          <w:u w:val="single"/>
        </w:rPr>
      </w:pPr>
      <w:r>
        <w:rPr>
          <w:rFonts w:hint="eastAsia" w:ascii="宋体" w:hAnsi="宋体" w:eastAsia="宋体" w:cs="宋体"/>
          <w:b/>
          <w:bCs/>
          <w:color w:val="auto"/>
          <w:sz w:val="20"/>
          <w:szCs w:val="20"/>
          <w:highlight w:val="none"/>
          <w:u w:val="single"/>
        </w:rPr>
        <w:t>④若投标人未明确品牌，招标人将在此表</w:t>
      </w:r>
      <w:r>
        <w:rPr>
          <w:rFonts w:hint="eastAsia" w:ascii="宋体" w:hAnsi="宋体" w:eastAsia="宋体" w:cs="宋体"/>
          <w:b/>
          <w:bCs/>
          <w:color w:val="auto"/>
          <w:sz w:val="20"/>
          <w:szCs w:val="20"/>
          <w:highlight w:val="none"/>
          <w:u w:val="single"/>
        </w:rPr>
        <w:t xml:space="preserve"> </w:t>
      </w:r>
      <w:r>
        <w:rPr>
          <w:rFonts w:hint="eastAsia" w:ascii="宋体" w:hAnsi="宋体" w:eastAsia="宋体" w:cs="宋体"/>
          <w:b/>
          <w:bCs/>
          <w:color w:val="auto"/>
          <w:sz w:val="20"/>
          <w:szCs w:val="20"/>
          <w:highlight w:val="none"/>
          <w:u w:val="single"/>
        </w:rPr>
        <w:t>“推荐品牌或厂家”中指定品牌及型号，投标报价不予调整。</w:t>
      </w:r>
    </w:p>
    <w:p>
      <w:pPr>
        <w:spacing w:line="320" w:lineRule="exact"/>
        <w:ind w:firstLine="402" w:firstLineChars="200"/>
        <w:rPr>
          <w:rFonts w:hint="eastAsia" w:ascii="宋体" w:hAnsi="宋体" w:eastAsia="宋体" w:cs="宋体"/>
          <w:b/>
          <w:bCs/>
          <w:color w:val="auto"/>
          <w:sz w:val="20"/>
          <w:szCs w:val="20"/>
          <w:highlight w:val="none"/>
          <w:u w:val="single"/>
        </w:rPr>
      </w:pPr>
      <w:r>
        <w:rPr>
          <w:rFonts w:hint="eastAsia" w:ascii="宋体" w:hAnsi="宋体" w:eastAsia="宋体" w:cs="宋体"/>
          <w:b/>
          <w:bCs/>
          <w:color w:val="auto"/>
          <w:sz w:val="20"/>
          <w:szCs w:val="20"/>
          <w:highlight w:val="none"/>
          <w:u w:val="single"/>
        </w:rPr>
        <w:t>⑤如本表选型与设计说明及招标图有矛盾的，一律以本表为准；</w:t>
      </w:r>
    </w:p>
    <w:p>
      <w:pPr>
        <w:spacing w:line="320" w:lineRule="exact"/>
        <w:ind w:firstLine="402" w:firstLineChars="200"/>
        <w:rPr>
          <w:rFonts w:hint="eastAsia" w:ascii="宋体" w:hAnsi="宋体" w:eastAsia="宋体" w:cs="宋体"/>
          <w:b/>
          <w:bCs/>
          <w:color w:val="auto"/>
          <w:sz w:val="32"/>
          <w:szCs w:val="32"/>
          <w:highlight w:val="none"/>
        </w:rPr>
      </w:pPr>
      <w:r>
        <w:rPr>
          <w:rFonts w:hint="eastAsia" w:ascii="宋体" w:hAnsi="宋体" w:eastAsia="宋体" w:cs="宋体"/>
          <w:b/>
          <w:bCs/>
          <w:color w:val="auto"/>
          <w:sz w:val="20"/>
          <w:szCs w:val="20"/>
          <w:highlight w:val="none"/>
          <w:u w:val="single"/>
        </w:rPr>
        <w:t>⑦投标人在投标文件中若提供了招标人推荐品牌外的产品，应同时提供相当于招标人推荐品牌产品的证明材料。评标时，评标专家应根据投标人的证明材料及专业水平进行谨慎评标，对推荐品牌外产品能否满足招标人要求作出明确说明，对于未提供相关证明材料或提供的证明材料依据不足时，评标专家在详细说明的情况下可认定技术参数不满足。</w:t>
      </w:r>
    </w:p>
    <w:p>
      <w:pPr>
        <w:tabs>
          <w:tab w:val="left" w:pos="300"/>
        </w:tabs>
        <w:spacing w:line="366" w:lineRule="exact"/>
        <w:rPr>
          <w:rFonts w:hint="eastAsia" w:ascii="宋体" w:hAnsi="宋体" w:eastAsia="宋体" w:cs="宋体"/>
          <w:b/>
          <w:bCs/>
          <w:color w:val="auto"/>
          <w:sz w:val="32"/>
          <w:szCs w:val="32"/>
          <w:highlight w:val="none"/>
        </w:rPr>
      </w:pPr>
    </w:p>
    <w:p>
      <w:pPr>
        <w:pStyle w:val="4"/>
        <w:ind w:firstLine="422"/>
        <w:rPr>
          <w:rFonts w:hint="eastAsia" w:ascii="宋体" w:hAnsi="宋体" w:eastAsia="宋体" w:cs="宋体"/>
          <w:color w:val="auto"/>
          <w:sz w:val="21"/>
          <w:szCs w:val="21"/>
          <w:highlight w:val="none"/>
        </w:rPr>
      </w:pPr>
      <w:bookmarkStart w:id="90" w:name="_Toc3986_WPSOffice_Level2"/>
      <w:bookmarkStart w:id="91" w:name="_Toc5425_WPSOffice_Level2"/>
      <w:r>
        <w:rPr>
          <w:rFonts w:hint="eastAsia" w:ascii="宋体" w:hAnsi="宋体" w:eastAsia="宋体" w:cs="宋体"/>
          <w:color w:val="auto"/>
          <w:sz w:val="21"/>
          <w:szCs w:val="21"/>
          <w:highlight w:val="none"/>
        </w:rPr>
        <w:t>（五）工程管理的要求</w:t>
      </w:r>
      <w:bookmarkEnd w:id="85"/>
      <w:bookmarkEnd w:id="86"/>
      <w:bookmarkEnd w:id="87"/>
      <w:bookmarkEnd w:id="88"/>
      <w:bookmarkEnd w:id="89"/>
      <w:bookmarkEnd w:id="90"/>
      <w:bookmarkEnd w:id="91"/>
    </w:p>
    <w:p>
      <w:pPr>
        <w:pStyle w:val="46"/>
        <w:spacing w:before="120" w:after="120" w:line="360" w:lineRule="auto"/>
        <w:ind w:firstLine="31680"/>
        <w:rPr>
          <w:rFonts w:hint="eastAsia" w:ascii="宋体" w:hAnsi="宋体" w:eastAsia="宋体" w:cs="宋体"/>
          <w:color w:val="auto"/>
          <w:sz w:val="21"/>
          <w:highlight w:val="none"/>
        </w:rPr>
      </w:pPr>
      <w:r>
        <w:rPr>
          <w:rFonts w:hint="eastAsia" w:ascii="宋体" w:hAnsi="宋体" w:eastAsia="宋体" w:cs="宋体"/>
          <w:color w:val="auto"/>
          <w:sz w:val="21"/>
          <w:highlight w:val="none"/>
        </w:rPr>
        <w:t>1</w:t>
      </w:r>
      <w:r>
        <w:rPr>
          <w:rFonts w:hint="eastAsia" w:ascii="宋体" w:hAnsi="宋体" w:eastAsia="宋体" w:cs="宋体"/>
          <w:color w:val="auto"/>
          <w:sz w:val="21"/>
          <w:highlight w:val="none"/>
        </w:rPr>
        <w:t>、本工程发包范围内的工程项目，未经采购人同意一律不得分包。一经发现立即取消承包资格，作违约处理，并承担由此引起的一切经济损失。</w:t>
      </w:r>
    </w:p>
    <w:p>
      <w:pPr>
        <w:pStyle w:val="46"/>
        <w:spacing w:before="120" w:after="120" w:line="360" w:lineRule="auto"/>
        <w:ind w:firstLine="31680"/>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rPr>
        <w:t>、中标人应严格按已确认施工技术方案组织施工，并无条件地接受采购人代表对施工质量的监督和管理。</w:t>
      </w:r>
    </w:p>
    <w:p>
      <w:pPr>
        <w:pStyle w:val="46"/>
        <w:spacing w:before="120" w:after="120" w:line="360" w:lineRule="auto"/>
        <w:ind w:firstLine="31680"/>
        <w:rPr>
          <w:rFonts w:hint="eastAsia" w:ascii="宋体" w:hAnsi="宋体" w:eastAsia="宋体" w:cs="宋体"/>
          <w:color w:val="auto"/>
          <w:sz w:val="21"/>
          <w:highlight w:val="none"/>
        </w:rPr>
      </w:pPr>
      <w:r>
        <w:rPr>
          <w:rFonts w:hint="eastAsia" w:ascii="宋体" w:hAnsi="宋体" w:eastAsia="宋体" w:cs="宋体"/>
          <w:color w:val="auto"/>
          <w:sz w:val="21"/>
          <w:highlight w:val="none"/>
        </w:rPr>
        <w:t>3</w:t>
      </w:r>
      <w:r>
        <w:rPr>
          <w:rFonts w:hint="eastAsia" w:ascii="宋体" w:hAnsi="宋体" w:eastAsia="宋体" w:cs="宋体"/>
          <w:color w:val="auto"/>
          <w:sz w:val="21"/>
          <w:highlight w:val="none"/>
        </w:rPr>
        <w:t>、中标人在工程施工全过程中要认真做好产品保护。因失窃或失火造成的损失均由承包方负责，凡由此而损及采购人利益时，采购人将向中标施工单位索赔。</w:t>
      </w:r>
    </w:p>
    <w:p>
      <w:pPr>
        <w:pStyle w:val="4"/>
        <w:ind w:firstLine="422"/>
        <w:rPr>
          <w:rFonts w:hint="eastAsia" w:ascii="宋体" w:hAnsi="宋体" w:eastAsia="宋体" w:cs="宋体"/>
          <w:color w:val="auto"/>
          <w:sz w:val="21"/>
          <w:szCs w:val="21"/>
          <w:highlight w:val="none"/>
        </w:rPr>
      </w:pPr>
      <w:bookmarkStart w:id="92" w:name="_Toc6004_WPSOffice_Level2"/>
      <w:bookmarkStart w:id="93" w:name="_Toc32648_WPSOffice_Level2"/>
      <w:r>
        <w:rPr>
          <w:rFonts w:hint="eastAsia" w:ascii="宋体" w:hAnsi="宋体" w:eastAsia="宋体" w:cs="宋体"/>
          <w:color w:val="auto"/>
          <w:sz w:val="21"/>
          <w:szCs w:val="21"/>
          <w:highlight w:val="none"/>
        </w:rPr>
        <w:t>（六）其它要求</w:t>
      </w:r>
      <w:bookmarkEnd w:id="92"/>
      <w:bookmarkEnd w:id="93"/>
    </w:p>
    <w:p>
      <w:pPr>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u w:val="single"/>
        </w:rPr>
        <w:t>清单中计量单位为“项”的子目请投标单位自行踏勘现场综合报价，作为专业承包商</w:t>
      </w:r>
      <w:bookmarkStart w:id="94" w:name="page23"/>
      <w:bookmarkEnd w:id="94"/>
      <w:r>
        <w:rPr>
          <w:rFonts w:hint="eastAsia" w:ascii="宋体" w:hAnsi="宋体" w:eastAsia="宋体" w:cs="宋体"/>
          <w:b/>
          <w:bCs/>
          <w:color w:val="auto"/>
          <w:sz w:val="21"/>
          <w:szCs w:val="21"/>
          <w:highlight w:val="none"/>
          <w:u w:val="single"/>
        </w:rPr>
        <w:t>投标时有义务和责任认真踏勘施工现场，认真核对工程量清单中施工内容和工程量，对项目需求进行深化、细化、完善和调整，中标后任何因现场勘查不足、图纸、工程量清单等不足或深化后的方案而造成的额外工程量变更均不得调整中标金额。</w:t>
      </w:r>
    </w:p>
    <w:p>
      <w:pPr>
        <w:spacing w:line="360" w:lineRule="auto"/>
        <w:ind w:right="366"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rPr>
        <w:t>、中标人施工前，要制定详细的施工方案和进度计划，经建设单位批准后方可开工。否则不允许开工，造成工期延误由施工方负责。</w:t>
      </w:r>
    </w:p>
    <w:p>
      <w:pPr>
        <w:spacing w:line="360" w:lineRule="auto"/>
        <w:ind w:right="346"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rPr>
        <w:t>、施工过程做好隐蔽工程的验收，每个分项工程、检验批经建设单位验收合格后方可隐蔽。未经隐蔽工程验收就擅自隐蔽，建设单位有权进行剥露检查，发生费用由施工方负责。</w:t>
      </w:r>
    </w:p>
    <w:p>
      <w:pPr>
        <w:spacing w:line="360" w:lineRule="auto"/>
        <w:ind w:right="346"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rPr>
        <w:t>、工程中使用材料必须是环保无污染材料，并进行防火处理。进场必须提供合格证和检测报告，按照验收规范要求进行材料复试的，由建设单位抽样进行复试，确保材料符合设计要求，达到防火、环保要求。</w:t>
      </w:r>
    </w:p>
    <w:p>
      <w:pPr>
        <w:spacing w:line="360" w:lineRule="auto"/>
        <w:ind w:right="346"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rPr>
        <w:t>、工程中使用材料在施工前，必须向建设单位提供样品、做样板，经建设单位确认后方可施工。否则返工发生费用施工方自付。</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rPr>
        <w:t>、工程使用材料、设备要建立档案，分部分项工程建立工程验收档案。工程完工后，向建设单位移交工程档案，档案资料不齐全、不符合要求，工程不予结算。</w:t>
      </w:r>
    </w:p>
    <w:p>
      <w:pPr>
        <w:spacing w:line="360" w:lineRule="auto"/>
        <w:ind w:right="6"/>
        <w:jc w:val="center"/>
        <w:rPr>
          <w:rFonts w:hint="eastAsia" w:ascii="宋体" w:hAnsi="宋体" w:eastAsia="宋体" w:cs="宋体"/>
          <w:color w:val="auto"/>
          <w:sz w:val="21"/>
          <w:szCs w:val="21"/>
          <w:highlight w:val="none"/>
        </w:rPr>
        <w:sectPr>
          <w:pgSz w:w="11900" w:h="16838"/>
          <w:pgMar w:top="1440" w:right="1440" w:bottom="158" w:left="1440" w:header="567" w:footer="567" w:gutter="0"/>
          <w:cols w:equalWidth="0" w:num="1">
            <w:col w:w="9026"/>
          </w:cols>
        </w:sectPr>
      </w:pPr>
      <w:bookmarkStart w:id="95" w:name="page25"/>
      <w:bookmarkEnd w:id="95"/>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rPr>
        <w:t>、工程结束后施工方在自检合格基础上，报建设单位验收。建设单位组织设计、施工相关参与方进行验收，相关设备、仪器等功能检测要求进行现场试验和检测，验收合格方可投入使用。</w:t>
      </w:r>
    </w:p>
    <w:p>
      <w:pPr>
        <w:spacing w:line="360" w:lineRule="auto"/>
        <w:ind w:right="6"/>
        <w:jc w:val="center"/>
        <w:rPr>
          <w:rFonts w:hint="eastAsia" w:ascii="宋体" w:hAnsi="宋体" w:eastAsia="宋体" w:cs="宋体"/>
          <w:color w:val="auto"/>
          <w:sz w:val="21"/>
          <w:szCs w:val="21"/>
          <w:highlight w:val="none"/>
        </w:rPr>
      </w:pPr>
      <w:bookmarkStart w:id="96" w:name="_Toc23745_WPSOffice_Level2"/>
      <w:bookmarkStart w:id="97" w:name="_Toc3801_WPSOffice_Level2"/>
      <w:r>
        <w:rPr>
          <w:rFonts w:hint="eastAsia" w:ascii="宋体" w:hAnsi="宋体" w:eastAsia="宋体" w:cs="宋体"/>
          <w:b/>
          <w:bCs/>
          <w:color w:val="auto"/>
          <w:sz w:val="32"/>
          <w:szCs w:val="32"/>
          <w:highlight w:val="none"/>
        </w:rPr>
        <w:t>工程量清单编制说明</w:t>
      </w:r>
      <w:bookmarkEnd w:id="68"/>
      <w:bookmarkEnd w:id="96"/>
      <w:bookmarkEnd w:id="97"/>
    </w:p>
    <w:p>
      <w:pPr>
        <w:numPr>
          <w:ilvl w:val="0"/>
          <w:numId w:val="2"/>
        </w:numPr>
        <w:spacing w:line="360" w:lineRule="auto"/>
        <w:jc w:val="left"/>
        <w:rPr>
          <w:rFonts w:hint="eastAsia" w:ascii="宋体" w:hAnsi="宋体" w:eastAsia="宋体" w:cs="宋体"/>
          <w:b/>
          <w:color w:val="auto"/>
          <w:kern w:val="24"/>
          <w:sz w:val="21"/>
          <w:szCs w:val="21"/>
          <w:highlight w:val="none"/>
        </w:rPr>
      </w:pPr>
      <w:r>
        <w:rPr>
          <w:rFonts w:hint="eastAsia" w:ascii="宋体" w:hAnsi="宋体" w:eastAsia="宋体" w:cs="宋体"/>
          <w:b/>
          <w:color w:val="auto"/>
          <w:kern w:val="24"/>
          <w:sz w:val="21"/>
          <w:szCs w:val="21"/>
          <w:highlight w:val="none"/>
        </w:rPr>
        <w:t>工程概况</w:t>
      </w:r>
    </w:p>
    <w:p>
      <w:pPr>
        <w:keepNext w:val="0"/>
        <w:keepLines w:val="0"/>
        <w:widowControl/>
        <w:suppressLineNumbers w:val="0"/>
        <w:ind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本工程为</w:t>
      </w:r>
      <w:r>
        <w:rPr>
          <w:rFonts w:hint="eastAsia" w:ascii="宋体" w:hAnsi="宋体" w:eastAsia="宋体" w:cs="宋体"/>
          <w:color w:val="auto"/>
          <w:kern w:val="0"/>
          <w:sz w:val="21"/>
          <w:szCs w:val="21"/>
          <w:highlight w:val="none"/>
          <w:lang w:val="en-US" w:eastAsia="zh-CN"/>
        </w:rPr>
        <w:t>动物科技学院三楼、六楼卫生间改造工程。</w:t>
      </w:r>
    </w:p>
    <w:p>
      <w:pPr>
        <w:spacing w:line="360" w:lineRule="auto"/>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二、工程量清单编制范围</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招标图范围</w:t>
      </w:r>
      <w:r>
        <w:rPr>
          <w:rFonts w:hint="eastAsia" w:ascii="宋体" w:hAnsi="宋体" w:eastAsia="宋体" w:cs="宋体"/>
          <w:color w:val="auto"/>
          <w:sz w:val="21"/>
          <w:szCs w:val="21"/>
          <w:highlight w:val="none"/>
        </w:rPr>
        <w:t>内的装修</w:t>
      </w:r>
      <w:r>
        <w:rPr>
          <w:rFonts w:hint="eastAsia" w:ascii="宋体" w:hAnsi="宋体" w:eastAsia="宋体" w:cs="宋体"/>
          <w:color w:val="auto"/>
          <w:sz w:val="21"/>
          <w:szCs w:val="21"/>
          <w:highlight w:val="none"/>
          <w:lang w:eastAsia="zh-CN"/>
        </w:rPr>
        <w:t>、安装</w:t>
      </w:r>
      <w:r>
        <w:rPr>
          <w:rFonts w:hint="eastAsia" w:ascii="宋体" w:hAnsi="宋体" w:eastAsia="宋体" w:cs="宋体"/>
          <w:color w:val="auto"/>
          <w:sz w:val="21"/>
          <w:szCs w:val="21"/>
          <w:highlight w:val="none"/>
        </w:rPr>
        <w:t>工程。</w:t>
      </w:r>
    </w:p>
    <w:p>
      <w:pPr>
        <w:spacing w:line="360" w:lineRule="auto"/>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三、工程量清单编制依据</w:t>
      </w:r>
    </w:p>
    <w:p>
      <w:pPr>
        <w:numPr>
          <w:ilvl w:val="0"/>
          <w:numId w:val="0"/>
        </w:numPr>
        <w:spacing w:line="360" w:lineRule="auto"/>
        <w:ind w:left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1.浙江农林大学园林设计院有限公司</w:t>
      </w:r>
      <w:r>
        <w:rPr>
          <w:rFonts w:hint="eastAsia" w:ascii="宋体" w:hAnsi="宋体" w:eastAsia="宋体" w:cs="宋体"/>
          <w:color w:val="auto"/>
          <w:sz w:val="21"/>
          <w:szCs w:val="21"/>
          <w:highlight w:val="none"/>
          <w:lang w:eastAsia="zh-CN"/>
        </w:rPr>
        <w:t>设计</w:t>
      </w:r>
      <w:r>
        <w:rPr>
          <w:rFonts w:hint="eastAsia" w:ascii="宋体" w:hAnsi="宋体" w:eastAsia="宋体" w:cs="宋体"/>
          <w:color w:val="auto"/>
          <w:sz w:val="21"/>
          <w:szCs w:val="21"/>
          <w:highlight w:val="none"/>
        </w:rPr>
        <w:t>的图纸</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2019年6月版）</w:t>
      </w:r>
      <w:r>
        <w:rPr>
          <w:rFonts w:hint="eastAsia" w:ascii="宋体" w:hAnsi="宋体" w:eastAsia="宋体" w:cs="宋体"/>
          <w:color w:val="auto"/>
          <w:kern w:val="0"/>
          <w:sz w:val="21"/>
          <w:szCs w:val="21"/>
          <w:highlight w:val="none"/>
        </w:rPr>
        <w:t>；</w:t>
      </w:r>
    </w:p>
    <w:p>
      <w:pPr>
        <w:numPr>
          <w:ilvl w:val="0"/>
          <w:numId w:val="0"/>
        </w:numPr>
        <w:spacing w:line="360" w:lineRule="auto"/>
        <w:ind w:left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2.《建设工程工程量清单计价规范》（GB50500—2013）、《建设工程工程量清单计价规范(2013)浙江省补充规定》；</w:t>
      </w:r>
    </w:p>
    <w:p>
      <w:pPr>
        <w:numPr>
          <w:ilvl w:val="0"/>
          <w:numId w:val="0"/>
        </w:numPr>
        <w:spacing w:line="360" w:lineRule="auto"/>
        <w:ind w:left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3.《杭州市建设工程工程量清单计价实施细则》（2018年修订）；</w:t>
      </w:r>
    </w:p>
    <w:p>
      <w:pPr>
        <w:numPr>
          <w:ilvl w:val="0"/>
          <w:numId w:val="0"/>
        </w:numPr>
        <w:spacing w:line="360" w:lineRule="auto"/>
        <w:ind w:left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4.《关于颁发浙江省建设工程计价依据（2018版）的通知》(浙建建﹝2018﹞61号)；</w:t>
      </w:r>
    </w:p>
    <w:p>
      <w:pPr>
        <w:numPr>
          <w:ilvl w:val="0"/>
          <w:numId w:val="0"/>
        </w:numPr>
        <w:spacing w:line="360" w:lineRule="auto"/>
        <w:ind w:left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5.《关于增值税调整后我省建设工程计价依据增值税税率及有关计价调整的通知》（浙建建发[2019]92号）</w:t>
      </w:r>
    </w:p>
    <w:p>
      <w:pPr>
        <w:numPr>
          <w:ilvl w:val="0"/>
          <w:numId w:val="0"/>
        </w:numPr>
        <w:spacing w:line="360" w:lineRule="auto"/>
        <w:ind w:left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6.《浙江省建设工程计价规则》（2018版）、《浙江省房屋建筑与装饰工程预算定额》（2018版）、《浙江省通用安装工程预算定额》（2018版）等</w:t>
      </w:r>
      <w:r>
        <w:rPr>
          <w:rFonts w:hint="eastAsia" w:ascii="宋体" w:hAnsi="宋体" w:eastAsia="宋体" w:cs="宋体"/>
          <w:color w:val="auto"/>
          <w:sz w:val="21"/>
          <w:szCs w:val="21"/>
          <w:highlight w:val="none"/>
          <w:lang w:val="zh-CN" w:eastAsia="zh-CN"/>
        </w:rPr>
        <w:t>有关规定。</w:t>
      </w:r>
    </w:p>
    <w:p>
      <w:pPr>
        <w:numPr>
          <w:ilvl w:val="0"/>
          <w:numId w:val="0"/>
        </w:numPr>
        <w:spacing w:line="360" w:lineRule="auto"/>
        <w:ind w:left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工作联系函及相关回复等。</w:t>
      </w:r>
    </w:p>
    <w:p>
      <w:pPr>
        <w:spacing w:line="360" w:lineRule="auto"/>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四、暂列金额 ：0元。</w:t>
      </w:r>
    </w:p>
    <w:p>
      <w:pPr>
        <w:spacing w:line="360" w:lineRule="auto"/>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五、创标化工地增加费：0元。</w:t>
      </w:r>
    </w:p>
    <w:p>
      <w:pPr>
        <w:spacing w:line="360" w:lineRule="auto"/>
        <w:jc w:val="left"/>
        <w:rPr>
          <w:rFonts w:hint="eastAsia" w:ascii="宋体" w:hAnsi="宋体" w:eastAsia="宋体" w:cs="宋体"/>
          <w:b/>
          <w:color w:val="auto"/>
          <w:kern w:val="0"/>
          <w:sz w:val="21"/>
          <w:szCs w:val="21"/>
          <w:highlight w:val="none"/>
          <w:u w:val="single"/>
        </w:rPr>
      </w:pPr>
      <w:r>
        <w:rPr>
          <w:rFonts w:hint="eastAsia" w:ascii="宋体" w:hAnsi="宋体" w:eastAsia="宋体" w:cs="宋体"/>
          <w:b/>
          <w:color w:val="auto"/>
          <w:kern w:val="0"/>
          <w:sz w:val="21"/>
          <w:szCs w:val="21"/>
          <w:highlight w:val="none"/>
        </w:rPr>
        <w:t>六、总包服务费：无。</w:t>
      </w:r>
    </w:p>
    <w:p>
      <w:pPr>
        <w:spacing w:line="360" w:lineRule="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七、安全文明施工措施费用、规费及税金等要求：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安全文明施工基本费以（工程量清单分部分项工程费及施工技术措施项目费内的定额人工费+定额机械费）为基数，费率不得低于省建设行政主管部门颁发的施工费用定额和相关取费计价文件规定的弹性费率下限的计算值。建筑工程（单独装饰）费率不得低于5.14%（按市区工程考虑）；安装工程（通用安装）费率不得低于6.39%（按市区工程考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规费根据《浙江省建设工程计价规则》（2018版），规费由投标人自主确定投标费率，但在规费正常平稳过渡期内不得低于标准费率的 30%，不得竞争；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建筑工程（单独装饰）：取费基数为人工费＋机械费，最低费率8.38%；</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安装工程（通用安装）：取费基数为人工费＋机械费，最低费率9.189%；</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税金按《浙江省建设工程计价规则》（2018版）的规定报价，费用不得竞争，费率为9%。</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八、企业管理费投标报价要求：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杭州市建设工程工程量清单计价实施细则》（2018年修订），投标报价时，企业管理费中应包括施工企业现场监控和现场临时宿舍取暖降温费用，以及施工企业对建筑以及材料、构件和建筑安装物进行一般鉴定、检查所发生的检验试验费等相关费用。为保障工程质量和安全，企业管理费报价不得低于省建设行政主管部门颁发的施工费用定额和相关取费计价文件规定的对应专业工程企业管理费弹性费率下限乘以20%的计算值，其中：建筑工程（单独装饰）费率工程不得</w:t>
      </w:r>
      <w:r>
        <w:rPr>
          <w:rFonts w:hint="eastAsia" w:ascii="宋体" w:hAnsi="宋体" w:eastAsia="宋体" w:cs="宋体"/>
          <w:color w:val="auto"/>
          <w:sz w:val="21"/>
          <w:szCs w:val="21"/>
          <w:highlight w:val="none"/>
          <w:lang w:val="en-US" w:eastAsia="zh-CN"/>
        </w:rPr>
        <w:t>低于2.27%；安</w:t>
      </w:r>
      <w:r>
        <w:rPr>
          <w:rFonts w:hint="eastAsia" w:ascii="宋体" w:hAnsi="宋体" w:eastAsia="宋体" w:cs="宋体"/>
          <w:color w:val="auto"/>
          <w:sz w:val="21"/>
          <w:szCs w:val="21"/>
          <w:highlight w:val="none"/>
          <w:lang w:val="en-US" w:eastAsia="zh-CN"/>
        </w:rPr>
        <w:t>装工程（通用安装）费率工程不得低于</w:t>
      </w:r>
      <w:r>
        <w:rPr>
          <w:rFonts w:hint="eastAsia" w:ascii="宋体" w:hAnsi="宋体" w:eastAsia="宋体" w:cs="宋体"/>
          <w:color w:val="auto"/>
          <w:sz w:val="21"/>
          <w:szCs w:val="21"/>
          <w:highlight w:val="none"/>
          <w:lang w:val="en-US" w:eastAsia="zh-CN"/>
        </w:rPr>
        <w:t>3.258%。同时，投</w:t>
      </w:r>
      <w:r>
        <w:rPr>
          <w:rFonts w:hint="eastAsia" w:ascii="宋体" w:hAnsi="宋体" w:eastAsia="宋体" w:cs="宋体"/>
          <w:color w:val="auto"/>
          <w:sz w:val="21"/>
          <w:szCs w:val="21"/>
          <w:highlight w:val="none"/>
          <w:lang w:val="en-US" w:eastAsia="zh-CN"/>
        </w:rPr>
        <w:t>标人必须对企业管理费中所包含的施工企业的现场监控、现场临时宿舍取暖降温费用，在相应的清单明细表中进行单独费用报价分析。</w:t>
      </w:r>
    </w:p>
    <w:p>
      <w:pPr>
        <w:numPr>
          <w:ilvl w:val="0"/>
          <w:numId w:val="0"/>
        </w:numPr>
        <w:spacing w:line="360" w:lineRule="auto"/>
        <w:ind w:leftChars="200"/>
        <w:jc w:val="left"/>
        <w:rPr>
          <w:rFonts w:hint="eastAsia" w:ascii="宋体" w:hAnsi="宋体" w:eastAsia="宋体" w:cs="宋体"/>
          <w:color w:val="auto"/>
          <w:sz w:val="21"/>
          <w:szCs w:val="21"/>
          <w:highlight w:val="none"/>
        </w:rPr>
      </w:pPr>
    </w:p>
    <w:p>
      <w:pPr>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lang w:eastAsia="zh-CN"/>
        </w:rPr>
        <w:t>九</w:t>
      </w:r>
      <w:r>
        <w:rPr>
          <w:rFonts w:hint="eastAsia" w:ascii="宋体" w:hAnsi="宋体" w:eastAsia="宋体" w:cs="宋体"/>
          <w:b/>
          <w:color w:val="auto"/>
          <w:kern w:val="0"/>
          <w:sz w:val="21"/>
          <w:szCs w:val="21"/>
          <w:highlight w:val="none"/>
        </w:rPr>
        <w:t>、</w:t>
      </w:r>
      <w:r>
        <w:rPr>
          <w:rFonts w:hint="eastAsia" w:ascii="宋体" w:hAnsi="宋体" w:eastAsia="宋体" w:cs="宋体"/>
          <w:b/>
          <w:snapToGrid w:val="0"/>
          <w:color w:val="auto"/>
          <w:sz w:val="21"/>
          <w:szCs w:val="21"/>
          <w:highlight w:val="none"/>
        </w:rPr>
        <w:t>相关事项说明</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1.分部分项工程量清单中的工程量是按实物净量计算的，一切损耗均应在投标报价内。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投标人综合单价组价时必须依据施工图、图集及施工规范，以综合考虑完成每项工作内容应记取的全部费用，中标后不得以清单编码及项目特征描述不全为由调整综合单价。若特征描述未全但涉及金额较大，对投标人自主报价有影响，则投标人必须以规定方式提出答疑要求，否则视同理解。</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3.报价应参考图纸说明及图纸做法，图纸设计冲突处以大样为准。凡清单说明与图纸冲突处以清单说明为准。图纸中材料规格不明确的如清单有描述的按清单描述的材料考虑。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4.清单中涉及到有关标准图集的以标准图集做法为准，投标时综合单价应包含标准图集做法中所有工作内容。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5.“措施项目清单”所列措施项目内容及数量仅供参考，投标人应根据本工程情况、现场条件、相关的图纸、施工组织设计及公司实力综合考虑，如需增加，投标人在相应子目报价时综合考虑，中标后不作调整。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6.风险金由投标人自行报价计入总价中，中标后不作调整。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7.工程中所有的孔洞须修补完毕并满足建筑、防渗水、防火要求，费用投标单位自行计算并计入报价中，中标后不做调整。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8.建安工程有相关检测内容的检测费用由投标单位自行考虑报价中，以后不作调整。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9.下列子项不再单独计列或在特征描述中描述，应综合考虑计入相应项目报价：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（1）门洞的阳角水泥砂浆做暗护角；</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（2）做装饰构造层前的素土夯实及基层表面清理；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（3）除已在清单(安装部分)内列出预留套管以外的其他预留套管、预留孔的预留、开孔及封堵；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（4）板底下批刮腻子前的打磨与平整修补；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（5）石材、块料面层（如花岗岩、地砖、墙砖）的磨边、倒角、割槽、六面防护等后期加工。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10.下列项目由投标单位自行现场勘察并结合本工程实际情况、计算并计入项目措施费中，若不报价视作优惠处理，今后一律不得调整；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（1）与其他专业工程的配合费；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（2）临时用电、接线等产生的费用；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（3）因电力紧张或配备施工变压器容量不足等因素所发生的费用；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（4）场地内的二次搬运费。</w:t>
      </w:r>
    </w:p>
    <w:p>
      <w:pPr>
        <w:pStyle w:val="2"/>
        <w:rPr>
          <w:rFonts w:hint="eastAsia" w:ascii="宋体" w:hAnsi="宋体" w:eastAsia="宋体" w:cs="宋体"/>
          <w:color w:val="auto"/>
          <w:highlight w:val="none"/>
        </w:rPr>
      </w:pPr>
    </w:p>
    <w:p>
      <w:pPr>
        <w:spacing w:line="360" w:lineRule="auto"/>
        <w:jc w:val="left"/>
        <w:rPr>
          <w:rFonts w:hint="eastAsia" w:ascii="宋体" w:hAnsi="宋体" w:eastAsia="宋体" w:cs="宋体"/>
          <w:b/>
          <w:snapToGrid w:val="0"/>
          <w:color w:val="auto"/>
          <w:sz w:val="21"/>
          <w:szCs w:val="21"/>
          <w:highlight w:val="none"/>
        </w:rPr>
      </w:pPr>
      <w:r>
        <w:rPr>
          <w:rFonts w:hint="eastAsia" w:ascii="宋体" w:hAnsi="宋体" w:eastAsia="宋体" w:cs="宋体"/>
          <w:b/>
          <w:color w:val="auto"/>
          <w:kern w:val="0"/>
          <w:sz w:val="21"/>
          <w:szCs w:val="21"/>
          <w:highlight w:val="none"/>
          <w:lang w:eastAsia="zh-CN"/>
        </w:rPr>
        <w:t>十</w:t>
      </w:r>
      <w:r>
        <w:rPr>
          <w:rFonts w:hint="eastAsia" w:ascii="宋体" w:hAnsi="宋体" w:eastAsia="宋体" w:cs="宋体"/>
          <w:b/>
          <w:color w:val="auto"/>
          <w:kern w:val="0"/>
          <w:sz w:val="21"/>
          <w:szCs w:val="21"/>
          <w:highlight w:val="none"/>
        </w:rPr>
        <w:t>、</w:t>
      </w:r>
      <w:r>
        <w:rPr>
          <w:rFonts w:hint="eastAsia" w:ascii="宋体" w:hAnsi="宋体" w:eastAsia="宋体" w:cs="宋体"/>
          <w:b/>
          <w:snapToGrid w:val="0"/>
          <w:color w:val="auto"/>
          <w:sz w:val="21"/>
          <w:szCs w:val="21"/>
          <w:highlight w:val="none"/>
        </w:rPr>
        <w:t>编制口径</w:t>
      </w:r>
    </w:p>
    <w:p>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（一）建筑</w:t>
      </w:r>
      <w:r>
        <w:rPr>
          <w:rFonts w:hint="eastAsia" w:ascii="宋体" w:hAnsi="宋体" w:eastAsia="宋体" w:cs="宋体"/>
          <w:b/>
          <w:color w:val="auto"/>
          <w:sz w:val="21"/>
          <w:szCs w:val="21"/>
          <w:highlight w:val="none"/>
        </w:rPr>
        <w:t>装饰工程：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1.分部分项工程量清单中的工程量是按实物净量计算的，一切损耗均应在投标报价内，请投标人综合考虑报价。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2.本清单中未单列的预埋件请投标人自行考虑计入相应子目进行综合报价。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3.本清单中各种门窗、各类栏杆均需含预埋件、所有大小五金件及油漆处理等综合报价。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4.因框架混凝土构件尺寸和砌体引起的墙体厚度差异而增加的粉刷厚度，在相应的单价中综合考虑，不再另行计算。</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5.石材、铝板等装饰面层、门窗五金材料、各类连接件等材料的选用及表面处理均应符合规范与设计要求，请投标人结合设计说明及品牌要求综合考虑报价。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6.所有木基层均刷防火除料三遍（符合项目所在地的消防验收要求），且必须进行防潮、防腐处理，费用计入综合单价内。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7.所有采用石膏板装饰的清单，报价中均应包括板面点锈、贴绷带及补缝等工作内容的费用。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8.所有石材、墙地砖、地毯、金属板等仅描述规格，包含但不限于倒边、抛光、开孔、细部拼缝、弧形加工等相应工作内容，排版需以排版图为准，损耗包括在综合单价内。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9.所有石材铺装或干挂各子目中均应包含石材的六面防护、打磨及镜面处理费用，且施工时的损耗也包含在石材各项综合单价内。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招标文件、技术规范要求和设计施工图中所列的施工要求所产生的费用均应包括在投标报价中。上述要求凡招标人提供的工程量清单中未列入的，由投标人在相应的分部分项工程量清单项目的综合单价中考虑，招标人不单独列项支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11.投标单位应充分考虑材料的二次搬运、成品保护、建筑垃圾的清理及外运处理，费用综合考虑计入措施项目费。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12.本工程按杭州市建委的《关于在杭州市建设工程中推广使用预拌砂浆》的通知要求使用预拌砂浆计入相应子目。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13.石材综合单价已包含六面防护、晶面处理、块料倒角磨边、开孔等所有加工费用。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14.所有木基层均刷防火除料三遍（符合项目所在地的消防验收要求），且必须进行防潮、防腐处理，费用已计入综合单价内。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15.垃圾外运运距按15km计入。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16.经设计确认，男女卫生间隔板做法：轻钢龙骨，10mm水泥板基层，专用粘结剂粘贴UV大理石板面层。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17.经设计确认，卫生间成品门按仿实木复合门计入。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18.经设计确认，新砌墙体做法按加气混凝土砌块(B06 A3.5)专用砌筑砂浆砌筑计入。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19.经设计确认，地面防水做法按1.5厚聚氨酯防水层两道（四周上翻不小于300）</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20.经设计确认，小便斗隔板按400*1200*20mm仿实木复合板计入。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21.卫生间四周墙面吊顶下按瓷砖计入；隔断上饰面按UV大理石板计入；前室墙面按竹木纤维板计入；吊顶上墙面按涂料饰面计入；</w:t>
      </w:r>
    </w:p>
    <w:p>
      <w:pPr>
        <w:spacing w:line="360" w:lineRule="auto"/>
        <w:rPr>
          <w:rFonts w:hint="eastAsia" w:ascii="宋体" w:hAnsi="宋体" w:eastAsia="宋体" w:cs="宋体"/>
          <w:color w:val="auto"/>
          <w:sz w:val="21"/>
          <w:szCs w:val="21"/>
          <w:highlight w:val="none"/>
          <w:lang w:val="zh-CN" w:eastAsia="zh-CN"/>
        </w:rPr>
      </w:pPr>
      <w:r>
        <w:rPr>
          <w:rFonts w:hint="eastAsia" w:ascii="宋体" w:hAnsi="宋体" w:eastAsia="宋体" w:cs="宋体"/>
          <w:b/>
          <w:color w:val="auto"/>
          <w:kern w:val="0"/>
          <w:sz w:val="21"/>
          <w:szCs w:val="21"/>
          <w:highlight w:val="none"/>
          <w:lang w:eastAsia="zh-CN"/>
        </w:rPr>
        <w:t>（二）安装</w:t>
      </w:r>
      <w:r>
        <w:rPr>
          <w:rFonts w:hint="eastAsia" w:ascii="宋体" w:hAnsi="宋体" w:eastAsia="宋体" w:cs="宋体"/>
          <w:b/>
          <w:color w:val="auto"/>
          <w:kern w:val="0"/>
          <w:sz w:val="21"/>
          <w:szCs w:val="21"/>
          <w:highlight w:val="none"/>
        </w:rPr>
        <w:t>工程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1.所有电气配管、配线均根据平面图所示从开关处开始计入。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2.卫生间给排水仅计入平面图所示卫生洁具，给排水管道均考虑原有本次预算未计入。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3.根据设计口径，五层走廊照明普通照明管线考虑按BV2*2.5+BVR2.5配PC20的电线管，应急照明管线考虑按BV3*2.5+BVR2.5配PC20的电线管。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4.根据业主要求，所有灯具均为LED光源。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5.经设计确认，小厨宝电热水器按功率6.6L、功率1500W计入。</w:t>
      </w:r>
    </w:p>
    <w:p>
      <w:pPr>
        <w:tabs>
          <w:tab w:val="left" w:pos="543"/>
          <w:tab w:val="left" w:pos="723"/>
        </w:tabs>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b/>
          <w:color w:val="auto"/>
          <w:kern w:val="0"/>
          <w:sz w:val="21"/>
          <w:szCs w:val="21"/>
          <w:highlight w:val="none"/>
        </w:rPr>
        <w:t>十</w:t>
      </w:r>
      <w:r>
        <w:rPr>
          <w:rFonts w:hint="eastAsia" w:ascii="宋体" w:hAnsi="宋体" w:eastAsia="宋体" w:cs="宋体"/>
          <w:b/>
          <w:color w:val="auto"/>
          <w:kern w:val="0"/>
          <w:sz w:val="21"/>
          <w:szCs w:val="21"/>
          <w:highlight w:val="none"/>
          <w:lang w:eastAsia="zh-CN"/>
        </w:rPr>
        <w:t>一</w:t>
      </w:r>
      <w:r>
        <w:rPr>
          <w:rFonts w:hint="eastAsia" w:ascii="宋体" w:hAnsi="宋体" w:eastAsia="宋体" w:cs="宋体"/>
          <w:b/>
          <w:color w:val="auto"/>
          <w:kern w:val="0"/>
          <w:sz w:val="21"/>
          <w:szCs w:val="21"/>
          <w:highlight w:val="none"/>
        </w:rPr>
        <w:t>、</w:t>
      </w:r>
      <w:r>
        <w:rPr>
          <w:rFonts w:hint="eastAsia" w:ascii="宋体" w:hAnsi="宋体" w:eastAsia="宋体" w:cs="宋体"/>
          <w:b/>
          <w:color w:val="auto"/>
          <w:sz w:val="21"/>
          <w:szCs w:val="21"/>
          <w:highlight w:val="none"/>
        </w:rPr>
        <w:t>主要材料（设备）品牌与要求</w:t>
      </w:r>
      <w:r>
        <w:rPr>
          <w:rFonts w:hint="eastAsia" w:ascii="宋体" w:hAnsi="宋体" w:eastAsia="宋体" w:cs="宋体"/>
          <w:b/>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1.招标人在工程量清单表1-6及材料品牌推荐表中对材料设备品牌及系列、规格、型号等有要求的，投标人应按要求选择，并在“备注栏”中注明。如未标明，则由招标人在要求范围内指定。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2.投标单位如在施工过程中若采用与招标同档次品牌，必须经发包人签证同意后实施，否则不予以实施和结算。</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3.招标文件未提供品牌的材料，施工单位须报产地、品牌、规格。未推荐品牌的材料设备应采用市场中档品牌的国标产品，必须经发包人签证同意后实施，否则不予以实施和结算。</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4.主材推荐表如下：</w:t>
      </w:r>
    </w:p>
    <w:tbl>
      <w:tblPr>
        <w:tblStyle w:val="20"/>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2417"/>
        <w:gridCol w:w="3690"/>
        <w:gridCol w:w="2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0" w:type="dxa"/>
            <w:noWrap w:val="0"/>
            <w:vAlign w:val="top"/>
          </w:tcPr>
          <w:p>
            <w:pPr>
              <w:widowControl w:val="0"/>
              <w:numPr>
                <w:ilvl w:val="0"/>
                <w:numId w:val="0"/>
              </w:numPr>
              <w:spacing w:line="360" w:lineRule="auto"/>
              <w:ind w:left="420" w:leftChars="0"/>
              <w:jc w:val="center"/>
              <w:rPr>
                <w:rFonts w:hint="eastAsia" w:ascii="宋体" w:hAnsi="宋体" w:eastAsia="宋体" w:cs="宋体"/>
                <w:color w:val="auto"/>
                <w:sz w:val="21"/>
                <w:szCs w:val="21"/>
                <w:highlight w:val="none"/>
                <w:vertAlign w:val="baseline"/>
              </w:rPr>
            </w:pPr>
            <w:r>
              <w:rPr>
                <w:rFonts w:hint="eastAsia" w:ascii="宋体" w:hAnsi="宋体" w:eastAsia="宋体" w:cs="宋体"/>
                <w:b/>
                <w:i w:val="0"/>
                <w:color w:val="auto"/>
                <w:kern w:val="0"/>
                <w:sz w:val="21"/>
                <w:szCs w:val="21"/>
                <w:highlight w:val="none"/>
                <w:u w:val="none"/>
                <w:lang w:val="en-US" w:eastAsia="zh-CN" w:bidi="ar"/>
              </w:rPr>
              <w:t>序号</w:t>
            </w:r>
          </w:p>
        </w:tc>
        <w:tc>
          <w:tcPr>
            <w:tcW w:w="2417" w:type="dxa"/>
            <w:noWrap w:val="0"/>
            <w:vAlign w:val="top"/>
          </w:tcPr>
          <w:p>
            <w:pPr>
              <w:widowControl w:val="0"/>
              <w:numPr>
                <w:ilvl w:val="0"/>
                <w:numId w:val="0"/>
              </w:numPr>
              <w:spacing w:line="360" w:lineRule="auto"/>
              <w:ind w:left="420" w:leftChars="0"/>
              <w:jc w:val="center"/>
              <w:rPr>
                <w:rFonts w:hint="eastAsia" w:ascii="宋体" w:hAnsi="宋体" w:eastAsia="宋体" w:cs="宋体"/>
                <w:color w:val="auto"/>
                <w:sz w:val="21"/>
                <w:szCs w:val="21"/>
                <w:highlight w:val="none"/>
                <w:vertAlign w:val="baseline"/>
              </w:rPr>
            </w:pPr>
            <w:r>
              <w:rPr>
                <w:rFonts w:hint="eastAsia" w:ascii="宋体" w:hAnsi="宋体" w:eastAsia="宋体" w:cs="宋体"/>
                <w:b/>
                <w:i w:val="0"/>
                <w:color w:val="auto"/>
                <w:kern w:val="0"/>
                <w:sz w:val="21"/>
                <w:szCs w:val="21"/>
                <w:highlight w:val="none"/>
                <w:u w:val="none"/>
                <w:lang w:val="en-US" w:eastAsia="zh-CN" w:bidi="ar"/>
              </w:rPr>
              <w:t>材料名称</w:t>
            </w:r>
          </w:p>
        </w:tc>
        <w:tc>
          <w:tcPr>
            <w:tcW w:w="3690" w:type="dxa"/>
            <w:noWrap w:val="0"/>
            <w:vAlign w:val="top"/>
          </w:tcPr>
          <w:p>
            <w:pPr>
              <w:widowControl w:val="0"/>
              <w:numPr>
                <w:ilvl w:val="0"/>
                <w:numId w:val="0"/>
              </w:numPr>
              <w:spacing w:line="360" w:lineRule="auto"/>
              <w:ind w:left="420" w:leftChars="0"/>
              <w:jc w:val="center"/>
              <w:rPr>
                <w:rFonts w:hint="eastAsia" w:ascii="宋体" w:hAnsi="宋体" w:eastAsia="宋体" w:cs="宋体"/>
                <w:color w:val="auto"/>
                <w:sz w:val="21"/>
                <w:szCs w:val="21"/>
                <w:highlight w:val="none"/>
                <w:vertAlign w:val="baseline"/>
              </w:rPr>
            </w:pPr>
            <w:r>
              <w:rPr>
                <w:rFonts w:hint="eastAsia" w:ascii="宋体" w:hAnsi="宋体" w:eastAsia="宋体" w:cs="宋体"/>
                <w:b/>
                <w:i w:val="0"/>
                <w:color w:val="auto"/>
                <w:kern w:val="0"/>
                <w:sz w:val="21"/>
                <w:szCs w:val="21"/>
                <w:highlight w:val="none"/>
                <w:u w:val="none"/>
                <w:lang w:val="en-US" w:eastAsia="zh-CN" w:bidi="ar"/>
              </w:rPr>
              <w:t>备注 (厂家和产地)</w:t>
            </w:r>
          </w:p>
        </w:tc>
        <w:tc>
          <w:tcPr>
            <w:tcW w:w="2393" w:type="dxa"/>
            <w:noWrap w:val="0"/>
            <w:vAlign w:val="top"/>
          </w:tcPr>
          <w:p>
            <w:pPr>
              <w:widowControl w:val="0"/>
              <w:numPr>
                <w:ilvl w:val="0"/>
                <w:numId w:val="0"/>
              </w:numPr>
              <w:spacing w:line="360" w:lineRule="auto"/>
              <w:ind w:left="420" w:leftChars="0"/>
              <w:jc w:val="center"/>
              <w:rPr>
                <w:rFonts w:hint="eastAsia" w:ascii="宋体" w:hAnsi="宋体" w:eastAsia="宋体" w:cs="宋体"/>
                <w:color w:val="auto"/>
                <w:sz w:val="21"/>
                <w:szCs w:val="21"/>
                <w:highlight w:val="none"/>
                <w:vertAlign w:val="baseline"/>
              </w:rPr>
            </w:pPr>
            <w:r>
              <w:rPr>
                <w:rFonts w:hint="eastAsia" w:ascii="宋体" w:hAnsi="宋体" w:eastAsia="宋体" w:cs="宋体"/>
                <w:b/>
                <w:i w:val="0"/>
                <w:color w:val="auto"/>
                <w:kern w:val="0"/>
                <w:sz w:val="21"/>
                <w:szCs w:val="21"/>
                <w:highlight w:val="none"/>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0" w:type="dxa"/>
            <w:noWrap w:val="0"/>
            <w:vAlign w:val="top"/>
          </w:tcPr>
          <w:p>
            <w:pPr>
              <w:widowControl w:val="0"/>
              <w:numPr>
                <w:ilvl w:val="0"/>
                <w:numId w:val="0"/>
              </w:numPr>
              <w:spacing w:line="360" w:lineRule="auto"/>
              <w:jc w:val="center"/>
              <w:rPr>
                <w:rFonts w:hint="eastAsia" w:ascii="宋体" w:hAnsi="宋体" w:eastAsia="宋体" w:cs="宋体"/>
                <w:color w:val="auto"/>
                <w:sz w:val="21"/>
                <w:szCs w:val="21"/>
                <w:highlight w:val="none"/>
                <w:vertAlign w:val="baseline"/>
                <w:lang w:val="en-US"/>
              </w:rPr>
            </w:pPr>
            <w:r>
              <w:rPr>
                <w:rFonts w:hint="eastAsia" w:ascii="宋体" w:hAnsi="宋体" w:eastAsia="宋体" w:cs="宋体"/>
                <w:color w:val="auto"/>
                <w:sz w:val="21"/>
                <w:szCs w:val="21"/>
                <w:highlight w:val="none"/>
                <w:vertAlign w:val="baseline"/>
                <w:lang w:val="en-US"/>
              </w:rPr>
              <w:t>1</w:t>
            </w:r>
          </w:p>
        </w:tc>
        <w:tc>
          <w:tcPr>
            <w:tcW w:w="2417" w:type="dxa"/>
            <w:noWrap w:val="0"/>
            <w:vAlign w:val="top"/>
          </w:tcPr>
          <w:p>
            <w:pPr>
              <w:widowControl w:val="0"/>
              <w:numPr>
                <w:ilvl w:val="0"/>
                <w:numId w:val="0"/>
              </w:numPr>
              <w:spacing w:line="360" w:lineRule="auto"/>
              <w:ind w:left="0" w:leftChars="0" w:firstLine="0" w:firstLineChars="0"/>
              <w:jc w:val="both"/>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乳胶漆</w:t>
            </w:r>
          </w:p>
        </w:tc>
        <w:tc>
          <w:tcPr>
            <w:tcW w:w="3690" w:type="dxa"/>
            <w:noWrap w:val="0"/>
            <w:vAlign w:val="top"/>
          </w:tcPr>
          <w:p>
            <w:pPr>
              <w:widowControl w:val="0"/>
              <w:numPr>
                <w:ilvl w:val="0"/>
                <w:numId w:val="0"/>
              </w:numPr>
              <w:spacing w:line="360" w:lineRule="auto"/>
              <w:ind w:left="0" w:leftChars="0" w:firstLine="0" w:firstLineChars="0"/>
              <w:jc w:val="both"/>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三棵树、</w:t>
            </w:r>
            <w:r>
              <w:rPr>
                <w:rFonts w:hint="eastAsia" w:ascii="宋体" w:hAnsi="宋体" w:eastAsia="宋体" w:cs="宋体"/>
                <w:color w:val="auto"/>
                <w:sz w:val="21"/>
                <w:szCs w:val="21"/>
                <w:highlight w:val="none"/>
                <w:vertAlign w:val="baseline"/>
                <w:lang w:eastAsia="zh-CN"/>
              </w:rPr>
              <w:t>多乐士</w:t>
            </w:r>
            <w:r>
              <w:rPr>
                <w:rFonts w:hint="eastAsia" w:ascii="宋体" w:hAnsi="宋体" w:eastAsia="宋体" w:cs="宋体"/>
                <w:color w:val="auto"/>
                <w:sz w:val="21"/>
                <w:szCs w:val="21"/>
                <w:highlight w:val="none"/>
                <w:vertAlign w:val="baseline"/>
              </w:rPr>
              <w:t>、</w:t>
            </w:r>
            <w:r>
              <w:rPr>
                <w:rFonts w:hint="eastAsia" w:ascii="宋体" w:hAnsi="宋体" w:eastAsia="宋体" w:cs="宋体"/>
                <w:color w:val="auto"/>
                <w:sz w:val="21"/>
                <w:szCs w:val="21"/>
                <w:highlight w:val="none"/>
                <w:vertAlign w:val="baseline"/>
                <w:lang w:eastAsia="zh-CN"/>
              </w:rPr>
              <w:t>立邦</w:t>
            </w:r>
            <w:r>
              <w:rPr>
                <w:rFonts w:hint="eastAsia" w:ascii="宋体" w:hAnsi="宋体" w:eastAsia="宋体" w:cs="宋体"/>
                <w:color w:val="auto"/>
                <w:sz w:val="21"/>
                <w:szCs w:val="21"/>
                <w:highlight w:val="none"/>
                <w:vertAlign w:val="baseline"/>
              </w:rPr>
              <w:t>或相当于</w:t>
            </w:r>
          </w:p>
        </w:tc>
        <w:tc>
          <w:tcPr>
            <w:tcW w:w="2393" w:type="dxa"/>
            <w:noWrap w:val="0"/>
            <w:vAlign w:val="top"/>
          </w:tcPr>
          <w:p>
            <w:pPr>
              <w:widowControl w:val="0"/>
              <w:numPr>
                <w:ilvl w:val="0"/>
                <w:numId w:val="0"/>
              </w:numPr>
              <w:spacing w:line="360" w:lineRule="auto"/>
              <w:ind w:left="420" w:leftChars="0"/>
              <w:jc w:val="center"/>
              <w:rPr>
                <w:rFonts w:hint="eastAsia" w:ascii="宋体" w:hAnsi="宋体" w:eastAsia="宋体" w:cs="宋体"/>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0" w:type="dxa"/>
            <w:noWrap w:val="0"/>
            <w:vAlign w:val="top"/>
          </w:tcPr>
          <w:p>
            <w:pPr>
              <w:widowControl w:val="0"/>
              <w:numPr>
                <w:ilvl w:val="0"/>
                <w:numId w:val="0"/>
              </w:numPr>
              <w:spacing w:line="360" w:lineRule="auto"/>
              <w:jc w:val="center"/>
              <w:rPr>
                <w:rFonts w:hint="eastAsia" w:ascii="宋体" w:hAnsi="宋体" w:eastAsia="宋体" w:cs="宋体"/>
                <w:color w:val="auto"/>
                <w:sz w:val="21"/>
                <w:szCs w:val="21"/>
                <w:highlight w:val="none"/>
                <w:vertAlign w:val="baseline"/>
                <w:lang w:val="en-US"/>
              </w:rPr>
            </w:pPr>
            <w:r>
              <w:rPr>
                <w:rFonts w:hint="eastAsia" w:ascii="宋体" w:hAnsi="宋体" w:eastAsia="宋体" w:cs="宋体"/>
                <w:color w:val="auto"/>
                <w:sz w:val="21"/>
                <w:szCs w:val="21"/>
                <w:highlight w:val="none"/>
                <w:vertAlign w:val="baseline"/>
                <w:lang w:val="en-US"/>
              </w:rPr>
              <w:t>2</w:t>
            </w:r>
          </w:p>
        </w:tc>
        <w:tc>
          <w:tcPr>
            <w:tcW w:w="2417" w:type="dxa"/>
            <w:noWrap w:val="0"/>
            <w:vAlign w:val="top"/>
          </w:tcPr>
          <w:p>
            <w:pPr>
              <w:widowControl w:val="0"/>
              <w:numPr>
                <w:ilvl w:val="0"/>
                <w:numId w:val="0"/>
              </w:numPr>
              <w:spacing w:line="360" w:lineRule="auto"/>
              <w:ind w:left="0" w:leftChars="0" w:firstLine="0" w:firstLineChars="0"/>
              <w:jc w:val="both"/>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仿大理石</w:t>
            </w:r>
            <w:r>
              <w:rPr>
                <w:rFonts w:hint="eastAsia" w:ascii="宋体" w:hAnsi="宋体" w:eastAsia="宋体" w:cs="宋体"/>
                <w:color w:val="auto"/>
                <w:sz w:val="21"/>
                <w:szCs w:val="21"/>
                <w:highlight w:val="none"/>
                <w:vertAlign w:val="baseline"/>
                <w:lang w:eastAsia="zh-CN"/>
              </w:rPr>
              <w:t>瓷</w:t>
            </w:r>
            <w:r>
              <w:rPr>
                <w:rFonts w:hint="eastAsia" w:ascii="宋体" w:hAnsi="宋体" w:eastAsia="宋体" w:cs="宋体"/>
                <w:color w:val="auto"/>
                <w:sz w:val="21"/>
                <w:szCs w:val="21"/>
                <w:highlight w:val="none"/>
                <w:vertAlign w:val="baseline"/>
              </w:rPr>
              <w:t>砖</w:t>
            </w:r>
            <w:r>
              <w:rPr>
                <w:rFonts w:hint="eastAsia" w:ascii="宋体" w:hAnsi="宋体" w:eastAsia="宋体" w:cs="宋体"/>
                <w:color w:val="auto"/>
                <w:sz w:val="21"/>
                <w:szCs w:val="21"/>
                <w:highlight w:val="none"/>
                <w:vertAlign w:val="baseline"/>
                <w:lang w:eastAsia="zh-CN"/>
              </w:rPr>
              <w:t>、釉面砖</w:t>
            </w:r>
          </w:p>
        </w:tc>
        <w:tc>
          <w:tcPr>
            <w:tcW w:w="3690" w:type="dxa"/>
            <w:noWrap w:val="0"/>
            <w:vAlign w:val="top"/>
          </w:tcPr>
          <w:p>
            <w:pPr>
              <w:widowControl w:val="0"/>
              <w:numPr>
                <w:ilvl w:val="0"/>
                <w:numId w:val="0"/>
              </w:numPr>
              <w:spacing w:line="360" w:lineRule="auto"/>
              <w:ind w:left="0" w:leftChars="0" w:firstLine="0" w:firstLineChars="0"/>
              <w:jc w:val="both"/>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东鹏、诺贝尔、马可波罗或相当于</w:t>
            </w:r>
          </w:p>
        </w:tc>
        <w:tc>
          <w:tcPr>
            <w:tcW w:w="2393" w:type="dxa"/>
            <w:noWrap w:val="0"/>
            <w:vAlign w:val="top"/>
          </w:tcPr>
          <w:p>
            <w:pPr>
              <w:widowControl w:val="0"/>
              <w:numPr>
                <w:ilvl w:val="0"/>
                <w:numId w:val="0"/>
              </w:numPr>
              <w:spacing w:line="360" w:lineRule="auto"/>
              <w:ind w:left="420" w:leftChars="0"/>
              <w:jc w:val="center"/>
              <w:rPr>
                <w:rFonts w:hint="eastAsia" w:ascii="宋体" w:hAnsi="宋体" w:eastAsia="宋体" w:cs="宋体"/>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0" w:type="dxa"/>
            <w:noWrap w:val="0"/>
            <w:vAlign w:val="top"/>
          </w:tcPr>
          <w:p>
            <w:pPr>
              <w:widowControl w:val="0"/>
              <w:numPr>
                <w:ilvl w:val="0"/>
                <w:numId w:val="0"/>
              </w:numPr>
              <w:spacing w:line="360" w:lineRule="auto"/>
              <w:jc w:val="center"/>
              <w:rPr>
                <w:rFonts w:hint="eastAsia" w:ascii="宋体" w:hAnsi="宋体" w:eastAsia="宋体" w:cs="宋体"/>
                <w:color w:val="auto"/>
                <w:sz w:val="21"/>
                <w:szCs w:val="21"/>
                <w:highlight w:val="none"/>
                <w:vertAlign w:val="baseline"/>
                <w:lang w:val="en-US"/>
              </w:rPr>
            </w:pPr>
            <w:r>
              <w:rPr>
                <w:rFonts w:hint="eastAsia" w:ascii="宋体" w:hAnsi="宋体" w:eastAsia="宋体" w:cs="宋体"/>
                <w:color w:val="auto"/>
                <w:sz w:val="21"/>
                <w:szCs w:val="21"/>
                <w:highlight w:val="none"/>
                <w:vertAlign w:val="baseline"/>
                <w:lang w:val="en-US"/>
              </w:rPr>
              <w:t>3</w:t>
            </w:r>
          </w:p>
        </w:tc>
        <w:tc>
          <w:tcPr>
            <w:tcW w:w="2417" w:type="dxa"/>
            <w:noWrap w:val="0"/>
            <w:vAlign w:val="top"/>
          </w:tcPr>
          <w:p>
            <w:pPr>
              <w:widowControl w:val="0"/>
              <w:numPr>
                <w:ilvl w:val="0"/>
                <w:numId w:val="0"/>
              </w:numPr>
              <w:spacing w:line="360" w:lineRule="auto"/>
              <w:ind w:left="0" w:leftChars="0" w:firstLine="0" w:firstLineChars="0"/>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eastAsia="zh-CN"/>
              </w:rPr>
              <w:t>干混砂浆</w:t>
            </w:r>
          </w:p>
        </w:tc>
        <w:tc>
          <w:tcPr>
            <w:tcW w:w="3690" w:type="dxa"/>
            <w:noWrap w:val="0"/>
            <w:vAlign w:val="top"/>
          </w:tcPr>
          <w:p>
            <w:pPr>
              <w:widowControl w:val="0"/>
              <w:numPr>
                <w:ilvl w:val="0"/>
                <w:numId w:val="0"/>
              </w:numPr>
              <w:spacing w:line="360" w:lineRule="auto"/>
              <w:ind w:left="0" w:leftChars="0" w:firstLine="0" w:firstLineChars="0"/>
              <w:jc w:val="both"/>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杭州市建委、质监总站、杭州市散装水泥办公室认可名录中且近二年未发生商品砼生产责任事故的企业</w:t>
            </w:r>
          </w:p>
        </w:tc>
        <w:tc>
          <w:tcPr>
            <w:tcW w:w="2393" w:type="dxa"/>
            <w:noWrap w:val="0"/>
            <w:vAlign w:val="top"/>
          </w:tcPr>
          <w:p>
            <w:pPr>
              <w:widowControl w:val="0"/>
              <w:numPr>
                <w:ilvl w:val="0"/>
                <w:numId w:val="0"/>
              </w:numPr>
              <w:spacing w:line="360" w:lineRule="auto"/>
              <w:ind w:left="420" w:leftChars="0"/>
              <w:jc w:val="center"/>
              <w:rPr>
                <w:rFonts w:hint="eastAsia" w:ascii="宋体" w:hAnsi="宋体" w:eastAsia="宋体" w:cs="宋体"/>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0" w:type="dxa"/>
            <w:noWrap w:val="0"/>
            <w:vAlign w:val="top"/>
          </w:tcPr>
          <w:p>
            <w:pPr>
              <w:widowControl w:val="0"/>
              <w:numPr>
                <w:ilvl w:val="0"/>
                <w:numId w:val="0"/>
              </w:numPr>
              <w:spacing w:line="360" w:lineRule="auto"/>
              <w:jc w:val="center"/>
              <w:rPr>
                <w:rFonts w:hint="eastAsia" w:ascii="宋体" w:hAnsi="宋体" w:eastAsia="宋体" w:cs="宋体"/>
                <w:color w:val="auto"/>
                <w:sz w:val="21"/>
                <w:szCs w:val="21"/>
                <w:highlight w:val="none"/>
                <w:vertAlign w:val="baseline"/>
                <w:lang w:val="en-US"/>
              </w:rPr>
            </w:pPr>
            <w:r>
              <w:rPr>
                <w:rFonts w:hint="eastAsia" w:ascii="宋体" w:hAnsi="宋体" w:eastAsia="宋体" w:cs="宋体"/>
                <w:color w:val="auto"/>
                <w:sz w:val="21"/>
                <w:szCs w:val="21"/>
                <w:highlight w:val="none"/>
                <w:vertAlign w:val="baseline"/>
                <w:lang w:val="en-US"/>
              </w:rPr>
              <w:t>4</w:t>
            </w:r>
          </w:p>
        </w:tc>
        <w:tc>
          <w:tcPr>
            <w:tcW w:w="2417" w:type="dxa"/>
            <w:noWrap w:val="0"/>
            <w:vAlign w:val="top"/>
          </w:tcPr>
          <w:p>
            <w:pPr>
              <w:widowControl w:val="0"/>
              <w:numPr>
                <w:ilvl w:val="0"/>
                <w:numId w:val="0"/>
              </w:numPr>
              <w:spacing w:line="360" w:lineRule="auto"/>
              <w:ind w:left="0" w:leftChars="0" w:firstLine="0" w:firstLineChars="0"/>
              <w:jc w:val="both"/>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木材、木饰面</w:t>
            </w:r>
          </w:p>
        </w:tc>
        <w:tc>
          <w:tcPr>
            <w:tcW w:w="3690" w:type="dxa"/>
            <w:noWrap w:val="0"/>
            <w:vAlign w:val="top"/>
          </w:tcPr>
          <w:p>
            <w:pPr>
              <w:widowControl w:val="0"/>
              <w:numPr>
                <w:ilvl w:val="0"/>
                <w:numId w:val="0"/>
              </w:numPr>
              <w:spacing w:line="360" w:lineRule="auto"/>
              <w:ind w:left="0" w:leftChars="0" w:firstLine="0" w:firstLineChars="0"/>
              <w:jc w:val="both"/>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兔宝宝、莫干山、千年舟或相当于</w:t>
            </w:r>
          </w:p>
        </w:tc>
        <w:tc>
          <w:tcPr>
            <w:tcW w:w="2393" w:type="dxa"/>
            <w:noWrap w:val="0"/>
            <w:vAlign w:val="top"/>
          </w:tcPr>
          <w:p>
            <w:pPr>
              <w:widowControl w:val="0"/>
              <w:numPr>
                <w:ilvl w:val="0"/>
                <w:numId w:val="0"/>
              </w:numPr>
              <w:spacing w:line="360" w:lineRule="auto"/>
              <w:ind w:left="420" w:leftChars="0"/>
              <w:jc w:val="center"/>
              <w:rPr>
                <w:rFonts w:hint="eastAsia" w:ascii="宋体" w:hAnsi="宋体" w:eastAsia="宋体" w:cs="宋体"/>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0" w:type="dxa"/>
            <w:noWrap w:val="0"/>
            <w:vAlign w:val="top"/>
          </w:tcPr>
          <w:p>
            <w:pPr>
              <w:widowControl w:val="0"/>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w:t>
            </w:r>
          </w:p>
        </w:tc>
        <w:tc>
          <w:tcPr>
            <w:tcW w:w="2417" w:type="dxa"/>
            <w:noWrap w:val="0"/>
            <w:vAlign w:val="top"/>
          </w:tcPr>
          <w:p>
            <w:pPr>
              <w:widowControl w:val="0"/>
              <w:numPr>
                <w:ilvl w:val="0"/>
                <w:numId w:val="0"/>
              </w:numPr>
              <w:spacing w:line="360" w:lineRule="auto"/>
              <w:ind w:left="0" w:leftChars="0" w:firstLine="0" w:firstLineChars="0"/>
              <w:jc w:val="both"/>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配线</w:t>
            </w:r>
          </w:p>
        </w:tc>
        <w:tc>
          <w:tcPr>
            <w:tcW w:w="3690" w:type="dxa"/>
            <w:noWrap w:val="0"/>
            <w:vAlign w:val="top"/>
          </w:tcPr>
          <w:p>
            <w:pPr>
              <w:widowControl w:val="0"/>
              <w:numPr>
                <w:ilvl w:val="0"/>
                <w:numId w:val="0"/>
              </w:numPr>
              <w:spacing w:line="360" w:lineRule="auto"/>
              <w:ind w:left="0" w:leftChars="0" w:firstLine="0" w:firstLineChars="0"/>
              <w:jc w:val="both"/>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杭州中策、永通、浙江万马或相当于</w:t>
            </w:r>
          </w:p>
        </w:tc>
        <w:tc>
          <w:tcPr>
            <w:tcW w:w="2393" w:type="dxa"/>
            <w:noWrap w:val="0"/>
            <w:vAlign w:val="top"/>
          </w:tcPr>
          <w:p>
            <w:pPr>
              <w:widowControl w:val="0"/>
              <w:numPr>
                <w:ilvl w:val="0"/>
                <w:numId w:val="0"/>
              </w:numPr>
              <w:spacing w:line="360" w:lineRule="auto"/>
              <w:ind w:left="420" w:leftChars="0"/>
              <w:jc w:val="center"/>
              <w:rPr>
                <w:rFonts w:hint="eastAsia" w:ascii="宋体" w:hAnsi="宋体" w:eastAsia="宋体" w:cs="宋体"/>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0" w:type="dxa"/>
            <w:noWrap w:val="0"/>
            <w:vAlign w:val="top"/>
          </w:tcPr>
          <w:p>
            <w:pPr>
              <w:widowControl w:val="0"/>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6</w:t>
            </w:r>
          </w:p>
        </w:tc>
        <w:tc>
          <w:tcPr>
            <w:tcW w:w="2417" w:type="dxa"/>
            <w:noWrap w:val="0"/>
            <w:vAlign w:val="top"/>
          </w:tcPr>
          <w:p>
            <w:pPr>
              <w:widowControl w:val="0"/>
              <w:numPr>
                <w:ilvl w:val="0"/>
                <w:numId w:val="0"/>
              </w:numPr>
              <w:spacing w:line="360" w:lineRule="auto"/>
              <w:ind w:left="0" w:leftChars="0" w:firstLine="0" w:firstLineChars="0"/>
              <w:jc w:val="both"/>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灯具</w:t>
            </w:r>
          </w:p>
        </w:tc>
        <w:tc>
          <w:tcPr>
            <w:tcW w:w="3690" w:type="dxa"/>
            <w:noWrap w:val="0"/>
            <w:vAlign w:val="top"/>
          </w:tcPr>
          <w:p>
            <w:pPr>
              <w:widowControl w:val="0"/>
              <w:numPr>
                <w:ilvl w:val="0"/>
                <w:numId w:val="0"/>
              </w:numPr>
              <w:spacing w:line="360" w:lineRule="auto"/>
              <w:ind w:left="0" w:leftChars="0" w:firstLine="0" w:firstLineChars="0"/>
              <w:jc w:val="both"/>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欧普、雷士照明、三雄极光或相当于</w:t>
            </w:r>
          </w:p>
        </w:tc>
        <w:tc>
          <w:tcPr>
            <w:tcW w:w="2393" w:type="dxa"/>
            <w:noWrap w:val="0"/>
            <w:vAlign w:val="top"/>
          </w:tcPr>
          <w:p>
            <w:pPr>
              <w:widowControl w:val="0"/>
              <w:numPr>
                <w:ilvl w:val="0"/>
                <w:numId w:val="0"/>
              </w:numPr>
              <w:spacing w:line="360" w:lineRule="auto"/>
              <w:ind w:left="420" w:leftChars="0"/>
              <w:jc w:val="center"/>
              <w:rPr>
                <w:rFonts w:hint="eastAsia" w:ascii="宋体" w:hAnsi="宋体" w:eastAsia="宋体" w:cs="宋体"/>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0" w:type="dxa"/>
            <w:noWrap w:val="0"/>
            <w:vAlign w:val="top"/>
          </w:tcPr>
          <w:p>
            <w:pPr>
              <w:widowControl w:val="0"/>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7</w:t>
            </w:r>
          </w:p>
        </w:tc>
        <w:tc>
          <w:tcPr>
            <w:tcW w:w="2417" w:type="dxa"/>
            <w:noWrap w:val="0"/>
            <w:vAlign w:val="top"/>
          </w:tcPr>
          <w:p>
            <w:pPr>
              <w:widowControl w:val="0"/>
              <w:numPr>
                <w:ilvl w:val="0"/>
                <w:numId w:val="0"/>
              </w:numPr>
              <w:spacing w:line="360" w:lineRule="auto"/>
              <w:ind w:left="0" w:leftChars="0" w:firstLine="0" w:firstLineChars="0"/>
              <w:jc w:val="both"/>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洁具</w:t>
            </w:r>
          </w:p>
        </w:tc>
        <w:tc>
          <w:tcPr>
            <w:tcW w:w="3690" w:type="dxa"/>
            <w:noWrap w:val="0"/>
            <w:vAlign w:val="top"/>
          </w:tcPr>
          <w:p>
            <w:pPr>
              <w:widowControl w:val="0"/>
              <w:numPr>
                <w:ilvl w:val="0"/>
                <w:numId w:val="0"/>
              </w:numPr>
              <w:spacing w:line="360" w:lineRule="auto"/>
              <w:ind w:left="0" w:leftChars="0" w:firstLine="0" w:firstLineChars="0"/>
              <w:jc w:val="both"/>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科勒、TOTO、箭牌或相当于</w:t>
            </w:r>
          </w:p>
        </w:tc>
        <w:tc>
          <w:tcPr>
            <w:tcW w:w="2393" w:type="dxa"/>
            <w:noWrap w:val="0"/>
            <w:vAlign w:val="top"/>
          </w:tcPr>
          <w:p>
            <w:pPr>
              <w:widowControl w:val="0"/>
              <w:numPr>
                <w:ilvl w:val="0"/>
                <w:numId w:val="0"/>
              </w:numPr>
              <w:spacing w:line="360" w:lineRule="auto"/>
              <w:ind w:left="420" w:leftChars="0"/>
              <w:jc w:val="center"/>
              <w:rPr>
                <w:rFonts w:hint="eastAsia" w:ascii="宋体" w:hAnsi="宋体" w:eastAsia="宋体" w:cs="宋体"/>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0" w:type="dxa"/>
            <w:noWrap w:val="0"/>
            <w:vAlign w:val="top"/>
          </w:tcPr>
          <w:p>
            <w:pPr>
              <w:widowControl w:val="0"/>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w:t>
            </w:r>
          </w:p>
        </w:tc>
        <w:tc>
          <w:tcPr>
            <w:tcW w:w="2417" w:type="dxa"/>
            <w:noWrap w:val="0"/>
            <w:vAlign w:val="top"/>
          </w:tcPr>
          <w:p>
            <w:pPr>
              <w:widowControl w:val="0"/>
              <w:numPr>
                <w:ilvl w:val="0"/>
                <w:numId w:val="0"/>
              </w:numPr>
              <w:spacing w:line="360" w:lineRule="auto"/>
              <w:ind w:left="0" w:leftChars="0" w:firstLine="0" w:firstLineChars="0"/>
              <w:jc w:val="both"/>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开关</w:t>
            </w:r>
          </w:p>
        </w:tc>
        <w:tc>
          <w:tcPr>
            <w:tcW w:w="3690" w:type="dxa"/>
            <w:noWrap w:val="0"/>
            <w:vAlign w:val="top"/>
          </w:tcPr>
          <w:p>
            <w:pPr>
              <w:widowControl w:val="0"/>
              <w:numPr>
                <w:ilvl w:val="0"/>
                <w:numId w:val="0"/>
              </w:numPr>
              <w:spacing w:line="360" w:lineRule="auto"/>
              <w:ind w:left="0" w:leftChars="0" w:firstLine="0" w:firstLineChars="0"/>
              <w:jc w:val="both"/>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松下、鸿雁、西蒙或相当于</w:t>
            </w:r>
          </w:p>
        </w:tc>
        <w:tc>
          <w:tcPr>
            <w:tcW w:w="2393" w:type="dxa"/>
            <w:noWrap w:val="0"/>
            <w:vAlign w:val="top"/>
          </w:tcPr>
          <w:p>
            <w:pPr>
              <w:widowControl w:val="0"/>
              <w:numPr>
                <w:ilvl w:val="0"/>
                <w:numId w:val="0"/>
              </w:numPr>
              <w:spacing w:line="360" w:lineRule="auto"/>
              <w:ind w:left="420" w:leftChars="0"/>
              <w:jc w:val="center"/>
              <w:rPr>
                <w:rFonts w:hint="eastAsia" w:ascii="宋体" w:hAnsi="宋体" w:eastAsia="宋体" w:cs="宋体"/>
                <w:color w:val="auto"/>
                <w:sz w:val="21"/>
                <w:szCs w:val="21"/>
                <w:highlight w:val="none"/>
                <w:vertAlign w:val="baseline"/>
              </w:rPr>
            </w:pPr>
          </w:p>
        </w:tc>
      </w:tr>
    </w:tbl>
    <w:p>
      <w:pPr>
        <w:pStyle w:val="2"/>
        <w:rPr>
          <w:rFonts w:hint="eastAsia" w:ascii="宋体" w:hAnsi="宋体" w:eastAsia="宋体" w:cs="宋体"/>
          <w:b/>
          <w:bCs/>
          <w:color w:val="auto"/>
          <w:sz w:val="21"/>
          <w:szCs w:val="21"/>
          <w:highlight w:val="none"/>
        </w:rPr>
      </w:pPr>
    </w:p>
    <w:p>
      <w:pPr>
        <w:rPr>
          <w:rFonts w:hint="eastAsia" w:ascii="宋体" w:hAnsi="宋体" w:eastAsia="宋体" w:cs="宋体"/>
          <w:color w:val="auto"/>
          <w:sz w:val="21"/>
          <w:szCs w:val="21"/>
          <w:highlight w:val="none"/>
        </w:rPr>
      </w:pPr>
    </w:p>
    <w:p>
      <w:pPr>
        <w:rPr>
          <w:rFonts w:hint="eastAsia" w:ascii="宋体" w:hAnsi="宋体" w:eastAsia="宋体" w:cs="宋体"/>
          <w:b/>
          <w:bCs/>
          <w:color w:val="auto"/>
          <w:sz w:val="21"/>
          <w:szCs w:val="21"/>
          <w:highlight w:val="none"/>
        </w:rPr>
      </w:pPr>
      <w:bookmarkStart w:id="98" w:name="page95"/>
      <w:bookmarkEnd w:id="98"/>
      <w:bookmarkStart w:id="99" w:name="page100"/>
      <w:bookmarkEnd w:id="99"/>
      <w:bookmarkStart w:id="100" w:name="page98"/>
      <w:bookmarkEnd w:id="100"/>
      <w:bookmarkStart w:id="101" w:name="page101"/>
      <w:bookmarkEnd w:id="101"/>
      <w:bookmarkStart w:id="102" w:name="page102"/>
      <w:bookmarkEnd w:id="102"/>
      <w:bookmarkStart w:id="103" w:name="page99"/>
      <w:bookmarkEnd w:id="103"/>
      <w:bookmarkStart w:id="104" w:name="page97"/>
      <w:bookmarkEnd w:id="104"/>
      <w:bookmarkStart w:id="105" w:name="page96"/>
      <w:bookmarkEnd w:id="105"/>
      <w:r>
        <w:rPr>
          <w:rFonts w:hint="eastAsia" w:ascii="宋体" w:hAnsi="宋体" w:eastAsia="宋体" w:cs="宋体"/>
          <w:b/>
          <w:bCs/>
          <w:color w:val="auto"/>
          <w:sz w:val="21"/>
          <w:szCs w:val="21"/>
          <w:highlight w:val="none"/>
        </w:rPr>
        <w:t>注：图纸及工程量清单另附</w:t>
      </w:r>
    </w:p>
    <w:p>
      <w:pPr>
        <w:rPr>
          <w:rFonts w:hint="eastAsia" w:ascii="宋体" w:hAnsi="宋体" w:eastAsia="宋体" w:cs="宋体"/>
          <w:color w:val="auto"/>
          <w:highlight w:val="none"/>
        </w:rPr>
      </w:pPr>
    </w:p>
    <w:p>
      <w:pPr>
        <w:spacing w:line="360" w:lineRule="auto"/>
        <w:ind w:firstLine="440" w:firstLineChars="200"/>
        <w:rPr>
          <w:rFonts w:hint="eastAsia" w:ascii="宋体" w:hAnsi="宋体" w:eastAsia="宋体" w:cs="宋体"/>
          <w:color w:val="auto"/>
          <w:highlight w:val="none"/>
        </w:rPr>
        <w:sectPr>
          <w:pgSz w:w="11900" w:h="16838"/>
          <w:pgMar w:top="1440" w:right="1440" w:bottom="158" w:left="1440" w:header="567" w:footer="567" w:gutter="0"/>
          <w:cols w:equalWidth="0" w:num="1">
            <w:col w:w="9026"/>
          </w:cols>
        </w:sectPr>
      </w:pPr>
    </w:p>
    <w:p>
      <w:pPr>
        <w:tabs>
          <w:tab w:val="left" w:pos="300"/>
        </w:tabs>
        <w:spacing w:line="366" w:lineRule="exact"/>
        <w:jc w:val="center"/>
        <w:rPr>
          <w:rFonts w:hint="eastAsia" w:ascii="宋体" w:hAnsi="宋体" w:eastAsia="宋体" w:cs="宋体"/>
          <w:color w:val="auto"/>
          <w:sz w:val="20"/>
          <w:szCs w:val="20"/>
          <w:highlight w:val="none"/>
        </w:rPr>
      </w:pPr>
      <w:bookmarkStart w:id="106" w:name="_Toc9896_WPSOffice_Level1"/>
      <w:bookmarkStart w:id="107" w:name="_Toc23564_WPSOffice_Level1"/>
      <w:r>
        <w:rPr>
          <w:rFonts w:hint="eastAsia" w:ascii="宋体" w:hAnsi="宋体" w:eastAsia="宋体" w:cs="宋体"/>
          <w:b/>
          <w:bCs/>
          <w:color w:val="auto"/>
          <w:sz w:val="32"/>
          <w:szCs w:val="32"/>
          <w:highlight w:val="none"/>
        </w:rPr>
        <w:t>第五章</w:t>
      </w:r>
      <w:r>
        <w:rPr>
          <w:rFonts w:hint="eastAsia" w:ascii="宋体" w:hAnsi="宋体" w:eastAsia="宋体" w:cs="宋体"/>
          <w:b/>
          <w:bCs/>
          <w:color w:val="auto"/>
          <w:sz w:val="32"/>
          <w:szCs w:val="32"/>
          <w:highlight w:val="none"/>
        </w:rPr>
        <w:t xml:space="preserve">  </w:t>
      </w:r>
      <w:r>
        <w:rPr>
          <w:rFonts w:hint="eastAsia" w:ascii="宋体" w:hAnsi="宋体" w:eastAsia="宋体" w:cs="宋体"/>
          <w:b/>
          <w:bCs/>
          <w:color w:val="auto"/>
          <w:sz w:val="32"/>
          <w:szCs w:val="32"/>
          <w:highlight w:val="none"/>
        </w:rPr>
        <w:t>合同条款</w:t>
      </w:r>
      <w:bookmarkEnd w:id="106"/>
      <w:bookmarkEnd w:id="107"/>
    </w:p>
    <w:p>
      <w:pPr>
        <w:bidi w:val="0"/>
        <w:ind w:left="0" w:leftChars="0" w:right="0" w:rightChars="0" w:firstLine="0" w:firstLineChars="0"/>
        <w:jc w:val="center"/>
        <w:rPr>
          <w:rFonts w:hint="eastAsia" w:ascii="宋体" w:hAnsi="宋体" w:eastAsia="宋体" w:cs="宋体"/>
          <w:b/>
          <w:bCs/>
          <w:color w:val="auto"/>
          <w:sz w:val="32"/>
          <w:szCs w:val="32"/>
          <w:highlight w:val="none"/>
        </w:rPr>
      </w:pPr>
      <w:bookmarkStart w:id="108" w:name="_Toc5281"/>
      <w:bookmarkStart w:id="109" w:name="_Toc5198_WPSOffice_Level2"/>
      <w:bookmarkStart w:id="110" w:name="_Toc534620501"/>
      <w:bookmarkStart w:id="111" w:name="_Toc359576784"/>
      <w:bookmarkStart w:id="112" w:name="_Toc359576785"/>
    </w:p>
    <w:p>
      <w:pPr>
        <w:bidi w:val="0"/>
        <w:ind w:left="0" w:leftChars="0" w:right="0" w:rightChars="0" w:firstLine="0" w:firstLineChars="0"/>
        <w:jc w:val="center"/>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rPr>
        <w:t>浙江农林大学</w:t>
      </w:r>
      <w:r>
        <w:rPr>
          <w:rFonts w:hint="eastAsia" w:ascii="宋体" w:hAnsi="宋体" w:eastAsia="宋体" w:cs="宋体"/>
          <w:b/>
          <w:bCs/>
          <w:color w:val="auto"/>
          <w:sz w:val="32"/>
          <w:szCs w:val="32"/>
          <w:highlight w:val="none"/>
          <w:lang w:eastAsia="zh-CN"/>
        </w:rPr>
        <w:t xml:space="preserve">                    项目政府采购</w:t>
      </w:r>
      <w:r>
        <w:rPr>
          <w:rFonts w:hint="eastAsia" w:ascii="宋体" w:hAnsi="宋体" w:eastAsia="宋体" w:cs="宋体"/>
          <w:b/>
          <w:bCs/>
          <w:color w:val="auto"/>
          <w:sz w:val="32"/>
          <w:szCs w:val="32"/>
          <w:highlight w:val="none"/>
        </w:rPr>
        <w:t>合同</w:t>
      </w:r>
      <w:bookmarkEnd w:id="108"/>
      <w:bookmarkEnd w:id="109"/>
    </w:p>
    <w:p>
      <w:pPr>
        <w:ind w:firstLine="45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项目编号：                           合同编号:  </w:t>
      </w:r>
    </w:p>
    <w:p>
      <w:pPr>
        <w:ind w:firstLine="45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确认书编号： </w:t>
      </w:r>
    </w:p>
    <w:p>
      <w:pPr>
        <w:ind w:firstLine="45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甲方（采购人）：浙江农林大学</w:t>
      </w:r>
    </w:p>
    <w:p>
      <w:pPr>
        <w:ind w:firstLine="45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乙方（中标人）：  </w:t>
      </w:r>
    </w:p>
    <w:p>
      <w:pPr>
        <w:ind w:firstLine="45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鉴证方（采购代理机构）：  </w:t>
      </w:r>
    </w:p>
    <w:p>
      <w:pPr>
        <w:spacing w:line="4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签约时间、地点： 年   月    日，浙江农林大学</w:t>
      </w:r>
    </w:p>
    <w:p>
      <w:pPr>
        <w:ind w:firstLine="45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浙江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sz w:val="21"/>
          <w:szCs w:val="21"/>
          <w:highlight w:val="none"/>
        </w:rPr>
        <w:t>受浙江农林大学委托公开招标</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sz w:val="21"/>
          <w:szCs w:val="21"/>
          <w:highlight w:val="none"/>
        </w:rPr>
        <w:t>，经过招标，确定为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sz w:val="21"/>
          <w:szCs w:val="21"/>
          <w:highlight w:val="none"/>
        </w:rPr>
        <w:t>供货单位。经协商双方就本采购事项达成以下条款：</w:t>
      </w:r>
    </w:p>
    <w:p>
      <w:pPr>
        <w:spacing w:line="440" w:lineRule="exact"/>
        <w:jc w:val="center"/>
        <w:rPr>
          <w:rFonts w:hint="eastAsia" w:ascii="宋体" w:hAnsi="宋体" w:eastAsia="宋体" w:cs="宋体"/>
          <w:color w:val="auto"/>
          <w:sz w:val="21"/>
          <w:szCs w:val="21"/>
          <w:highlight w:val="none"/>
        </w:rPr>
      </w:pPr>
      <w:bookmarkStart w:id="113" w:name="_Toc11422_WPSOffice_Level2"/>
      <w:r>
        <w:rPr>
          <w:rFonts w:hint="eastAsia" w:ascii="宋体" w:hAnsi="宋体" w:eastAsia="宋体" w:cs="宋体"/>
          <w:color w:val="auto"/>
          <w:sz w:val="21"/>
          <w:szCs w:val="21"/>
          <w:highlight w:val="none"/>
        </w:rPr>
        <w:t>第一节</w:t>
      </w:r>
      <w:r>
        <w:rPr>
          <w:rFonts w:hint="eastAsia" w:ascii="宋体" w:hAnsi="宋体" w:eastAsia="宋体" w:cs="宋体"/>
          <w:color w:val="auto"/>
          <w:sz w:val="21"/>
          <w:szCs w:val="21"/>
          <w:highlight w:val="none"/>
        </w:rPr>
        <w:t>合同协议书</w:t>
      </w:r>
      <w:bookmarkEnd w:id="113"/>
    </w:p>
    <w:p>
      <w:pPr>
        <w:tabs>
          <w:tab w:val="left" w:pos="1134"/>
        </w:tabs>
        <w:spacing w:line="360" w:lineRule="auto"/>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u w:val="single"/>
        </w:rPr>
        <w:t>浙江农林大学</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rPr>
        <w:t>以下简称“发包人”</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rPr>
        <w:t>为实施</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，已接受</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rPr>
        <w:t>以下简称“承包人”</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rPr>
        <w:t>对该项目施工的投标。发包人和承包人共同达成如下协议。</w:t>
      </w:r>
    </w:p>
    <w:p>
      <w:pPr>
        <w:spacing w:line="360" w:lineRule="auto"/>
        <w:ind w:left="426"/>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rPr>
        <w:t>工程概况：</w:t>
      </w:r>
    </w:p>
    <w:p>
      <w:pPr>
        <w:spacing w:line="360" w:lineRule="auto"/>
        <w:ind w:left="426"/>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1.1工程名称： </w:t>
      </w:r>
    </w:p>
    <w:p>
      <w:pPr>
        <w:spacing w:line="360" w:lineRule="auto"/>
        <w:ind w:left="426"/>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1.2资金来源： </w:t>
      </w:r>
    </w:p>
    <w:p>
      <w:pPr>
        <w:spacing w:line="360" w:lineRule="auto"/>
        <w:ind w:left="426"/>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1.3工程地点： </w:t>
      </w:r>
    </w:p>
    <w:p>
      <w:pPr>
        <w:spacing w:line="360" w:lineRule="auto"/>
        <w:ind w:left="426"/>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1.4承包范围： </w:t>
      </w:r>
    </w:p>
    <w:p>
      <w:pPr>
        <w:spacing w:line="360" w:lineRule="auto"/>
        <w:ind w:left="426"/>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1.5承包方式： </w:t>
      </w:r>
    </w:p>
    <w:p>
      <w:pPr>
        <w:spacing w:line="360" w:lineRule="auto"/>
        <w:ind w:left="426"/>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rPr>
        <w:t>签约合同价：人民币</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rPr>
        <w:t>大写</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元</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spacing w:line="360" w:lineRule="auto"/>
        <w:ind w:left="426"/>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rPr>
        <w:t xml:space="preserve">承包人项目负责人： </w:t>
      </w:r>
    </w:p>
    <w:p>
      <w:pPr>
        <w:spacing w:line="360" w:lineRule="auto"/>
        <w:ind w:left="426"/>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rPr>
        <w:t>工程质量符合</w:t>
      </w:r>
      <w:r>
        <w:rPr>
          <w:rFonts w:hint="eastAsia" w:ascii="宋体" w:hAnsi="宋体" w:eastAsia="宋体" w:cs="宋体"/>
          <w:color w:val="auto"/>
          <w:kern w:val="0"/>
          <w:sz w:val="21"/>
          <w:szCs w:val="21"/>
          <w:highlight w:val="none"/>
          <w:u w:val="single"/>
        </w:rPr>
        <w:t>合格</w:t>
      </w:r>
      <w:r>
        <w:rPr>
          <w:rFonts w:hint="eastAsia" w:ascii="宋体" w:hAnsi="宋体" w:eastAsia="宋体" w:cs="宋体"/>
          <w:color w:val="auto"/>
          <w:kern w:val="0"/>
          <w:sz w:val="21"/>
          <w:szCs w:val="21"/>
          <w:highlight w:val="none"/>
        </w:rPr>
        <w:t>标准。</w:t>
      </w:r>
    </w:p>
    <w:p>
      <w:pPr>
        <w:spacing w:line="360" w:lineRule="auto"/>
        <w:ind w:left="426"/>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rPr>
        <w:t>承包人承诺按合同约定承担工程的实施、完成及缺陷修复。</w:t>
      </w:r>
    </w:p>
    <w:p>
      <w:pPr>
        <w:spacing w:line="360" w:lineRule="auto"/>
        <w:ind w:left="426"/>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rPr>
        <w:t>发包人承诺按合同约定的条件、时间和方式向承包人支付合同价款。</w:t>
      </w:r>
    </w:p>
    <w:p>
      <w:pPr>
        <w:spacing w:line="360" w:lineRule="auto"/>
        <w:ind w:left="426"/>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rPr>
        <w:t>承包人应按照监理人指示开工，工期为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日历天。</w:t>
      </w:r>
    </w:p>
    <w:p>
      <w:pPr>
        <w:spacing w:line="360" w:lineRule="auto"/>
        <w:ind w:left="426"/>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rPr>
        <w:t>本协议书与下列文件一起构成合同文件</w:t>
      </w:r>
    </w:p>
    <w:p>
      <w:pPr>
        <w:spacing w:line="360" w:lineRule="auto"/>
        <w:ind w:left="426"/>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8.1中标通知书；</w:t>
      </w:r>
    </w:p>
    <w:p>
      <w:pPr>
        <w:tabs>
          <w:tab w:val="left" w:pos="1134"/>
        </w:tabs>
        <w:ind w:left="7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8.2采购文件及其补充文件；</w:t>
      </w:r>
    </w:p>
    <w:p>
      <w:pPr>
        <w:tabs>
          <w:tab w:val="left" w:pos="1134"/>
        </w:tabs>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8.3投标函及投标函附录；</w:t>
      </w:r>
    </w:p>
    <w:p>
      <w:pPr>
        <w:tabs>
          <w:tab w:val="left" w:pos="1134"/>
        </w:tabs>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8.</w:t>
      </w:r>
      <w:r>
        <w:rPr>
          <w:rFonts w:hint="eastAsia" w:ascii="宋体" w:hAnsi="宋体" w:eastAsia="宋体" w:cs="宋体"/>
          <w:color w:val="auto"/>
          <w:kern w:val="0"/>
          <w:sz w:val="21"/>
          <w:szCs w:val="21"/>
          <w:highlight w:val="none"/>
        </w:rPr>
        <w:t>4专用合同条款；</w:t>
      </w:r>
    </w:p>
    <w:p>
      <w:pPr>
        <w:tabs>
          <w:tab w:val="left" w:pos="1134"/>
        </w:tabs>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8.5通用合同条款；</w:t>
      </w:r>
    </w:p>
    <w:p>
      <w:pPr>
        <w:tabs>
          <w:tab w:val="left" w:pos="1134"/>
        </w:tabs>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8.6标准、规范及有关技术文件；</w:t>
      </w:r>
    </w:p>
    <w:p>
      <w:pPr>
        <w:tabs>
          <w:tab w:val="left" w:pos="1134"/>
        </w:tabs>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rPr>
        <w:t>8.7变更文件；</w:t>
      </w:r>
    </w:p>
    <w:p>
      <w:pPr>
        <w:tabs>
          <w:tab w:val="left" w:pos="1134"/>
        </w:tabs>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rPr>
        <w:t>8.8已标价工程量清单；</w:t>
      </w:r>
      <w:r>
        <w:rPr>
          <w:rFonts w:hint="eastAsia" w:ascii="宋体" w:hAnsi="宋体" w:eastAsia="宋体" w:cs="宋体"/>
          <w:color w:val="auto"/>
          <w:kern w:val="0"/>
          <w:sz w:val="21"/>
          <w:szCs w:val="21"/>
          <w:highlight w:val="none"/>
        </w:rPr>
        <w:t xml:space="preserve"> </w:t>
      </w:r>
    </w:p>
    <w:p>
      <w:pPr>
        <w:tabs>
          <w:tab w:val="left" w:pos="1134"/>
        </w:tabs>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rPr>
        <w:t>8.9响应文件；</w:t>
      </w:r>
    </w:p>
    <w:p>
      <w:pPr>
        <w:tabs>
          <w:tab w:val="left" w:pos="1134"/>
        </w:tabs>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8.10其他合同文件。</w:t>
      </w:r>
    </w:p>
    <w:p>
      <w:pPr>
        <w:spacing w:line="360" w:lineRule="auto"/>
        <w:ind w:left="426"/>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rPr>
        <w:t xml:space="preserve"> 上述文件互相补充和解释，如有不明确或不一致之处，以合同约定次序在先者为准。</w:t>
      </w:r>
    </w:p>
    <w:p>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rPr>
        <w:t>10本协议书一</w:t>
      </w:r>
      <w:r>
        <w:rPr>
          <w:rFonts w:hint="eastAsia" w:ascii="宋体" w:hAnsi="宋体" w:eastAsia="宋体" w:cs="宋体"/>
          <w:color w:val="auto"/>
          <w:sz w:val="21"/>
          <w:szCs w:val="21"/>
          <w:highlight w:val="none"/>
          <w:u w:val="single"/>
        </w:rPr>
        <w:t>一式玖份，甲方柒份，乙方壹份，招标代理机构壹份。</w:t>
      </w:r>
    </w:p>
    <w:p>
      <w:pPr>
        <w:spacing w:line="360" w:lineRule="auto"/>
        <w:ind w:left="426"/>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rPr>
        <w:t>合同未尽事宜，双方另行签订补充协议。补充协议是合同的组成部分。</w:t>
      </w:r>
    </w:p>
    <w:p>
      <w:pPr>
        <w:spacing w:line="360" w:lineRule="auto"/>
        <w:ind w:left="426"/>
        <w:rPr>
          <w:rFonts w:hint="eastAsia" w:ascii="宋体" w:hAnsi="宋体" w:eastAsia="宋体" w:cs="宋体"/>
          <w:color w:val="auto"/>
          <w:kern w:val="0"/>
          <w:sz w:val="21"/>
          <w:szCs w:val="21"/>
          <w:highlight w:val="none"/>
        </w:rPr>
      </w:pPr>
    </w:p>
    <w:p>
      <w:pPr>
        <w:spacing w:line="360" w:lineRule="auto"/>
        <w:ind w:left="426"/>
        <w:rPr>
          <w:rFonts w:hint="eastAsia" w:ascii="宋体" w:hAnsi="宋体" w:eastAsia="宋体" w:cs="宋体"/>
          <w:color w:val="auto"/>
          <w:kern w:val="0"/>
          <w:sz w:val="21"/>
          <w:szCs w:val="21"/>
          <w:highlight w:val="none"/>
        </w:rPr>
      </w:pPr>
    </w:p>
    <w:p>
      <w:pPr>
        <w:spacing w:line="360" w:lineRule="auto"/>
        <w:ind w:left="426"/>
        <w:rPr>
          <w:rFonts w:hint="eastAsia" w:ascii="宋体" w:hAnsi="宋体" w:eastAsia="宋体" w:cs="宋体"/>
          <w:color w:val="auto"/>
          <w:kern w:val="0"/>
          <w:sz w:val="21"/>
          <w:szCs w:val="21"/>
          <w:highlight w:val="none"/>
        </w:rPr>
      </w:pPr>
    </w:p>
    <w:tbl>
      <w:tblPr>
        <w:tblStyle w:val="19"/>
        <w:tblW w:w="9240" w:type="dxa"/>
        <w:tblInd w:w="288" w:type="dxa"/>
        <w:tblLayout w:type="fixed"/>
        <w:tblCellMar>
          <w:top w:w="0" w:type="dxa"/>
          <w:left w:w="108" w:type="dxa"/>
          <w:bottom w:w="0" w:type="dxa"/>
          <w:right w:w="108" w:type="dxa"/>
        </w:tblCellMar>
      </w:tblPr>
      <w:tblGrid>
        <w:gridCol w:w="4581"/>
        <w:gridCol w:w="4659"/>
      </w:tblGrid>
      <w:tr>
        <w:tblPrEx>
          <w:tblLayout w:type="fixed"/>
        </w:tblPrEx>
        <w:trPr>
          <w:trHeight w:val="513" w:hRule="atLeast"/>
        </w:trPr>
        <w:tc>
          <w:tcPr>
            <w:tcW w:w="4581" w:type="dxa"/>
            <w:noWrap w:val="0"/>
            <w:vAlign w:val="bottom"/>
          </w:tcPr>
          <w:p>
            <w:pPr>
              <w:pStyle w:val="50"/>
              <w:tabs>
                <w:tab w:val="left" w:pos="8100"/>
              </w:tabs>
              <w:ind w:left="0" w:right="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盖章</w:t>
            </w:r>
            <w:r>
              <w:rPr>
                <w:rFonts w:hint="eastAsia" w:ascii="宋体" w:hAnsi="宋体" w:eastAsia="宋体" w:cs="宋体"/>
                <w:color w:val="auto"/>
                <w:sz w:val="21"/>
                <w:szCs w:val="21"/>
                <w:highlight w:val="none"/>
                <w:u w:val="single"/>
              </w:rPr>
              <w:t>)</w:t>
            </w:r>
          </w:p>
        </w:tc>
        <w:tc>
          <w:tcPr>
            <w:tcW w:w="4659" w:type="dxa"/>
            <w:noWrap w:val="0"/>
            <w:vAlign w:val="bottom"/>
          </w:tcPr>
          <w:p>
            <w:pPr>
              <w:pStyle w:val="50"/>
              <w:tabs>
                <w:tab w:val="left" w:pos="8100"/>
              </w:tabs>
              <w:ind w:left="0" w:right="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盖章</w:t>
            </w:r>
            <w:r>
              <w:rPr>
                <w:rFonts w:hint="eastAsia" w:ascii="宋体" w:hAnsi="宋体" w:eastAsia="宋体" w:cs="宋体"/>
                <w:color w:val="auto"/>
                <w:sz w:val="21"/>
                <w:szCs w:val="21"/>
                <w:highlight w:val="none"/>
                <w:u w:val="single"/>
              </w:rPr>
              <w:t>)</w:t>
            </w:r>
          </w:p>
        </w:tc>
      </w:tr>
      <w:tr>
        <w:tblPrEx>
          <w:tblLayout w:type="fixed"/>
        </w:tblPrEx>
        <w:trPr>
          <w:trHeight w:val="513" w:hRule="atLeast"/>
        </w:trPr>
        <w:tc>
          <w:tcPr>
            <w:tcW w:w="4581" w:type="dxa"/>
            <w:noWrap w:val="0"/>
            <w:vAlign w:val="bottom"/>
          </w:tcPr>
          <w:p>
            <w:pPr>
              <w:pStyle w:val="50"/>
              <w:tabs>
                <w:tab w:val="left" w:pos="8100"/>
              </w:tabs>
              <w:ind w:left="0" w:right="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签字</w:t>
            </w:r>
            <w:r>
              <w:rPr>
                <w:rFonts w:hint="eastAsia" w:ascii="宋体" w:hAnsi="宋体" w:eastAsia="宋体" w:cs="宋体"/>
                <w:color w:val="auto"/>
                <w:sz w:val="21"/>
                <w:szCs w:val="21"/>
                <w:highlight w:val="none"/>
                <w:u w:val="single"/>
              </w:rPr>
              <w:t>)</w:t>
            </w:r>
          </w:p>
        </w:tc>
        <w:tc>
          <w:tcPr>
            <w:tcW w:w="4659" w:type="dxa"/>
            <w:noWrap w:val="0"/>
            <w:vAlign w:val="bottom"/>
          </w:tcPr>
          <w:p>
            <w:pPr>
              <w:pStyle w:val="50"/>
              <w:tabs>
                <w:tab w:val="left" w:pos="8100"/>
              </w:tabs>
              <w:ind w:left="0" w:right="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签字</w:t>
            </w:r>
            <w:r>
              <w:rPr>
                <w:rFonts w:hint="eastAsia" w:ascii="宋体" w:hAnsi="宋体" w:eastAsia="宋体" w:cs="宋体"/>
                <w:color w:val="auto"/>
                <w:sz w:val="21"/>
                <w:szCs w:val="21"/>
                <w:highlight w:val="none"/>
                <w:u w:val="single"/>
              </w:rPr>
              <w:t>)</w:t>
            </w:r>
          </w:p>
        </w:tc>
      </w:tr>
      <w:tr>
        <w:tblPrEx>
          <w:tblLayout w:type="fixed"/>
          <w:tblCellMar>
            <w:top w:w="0" w:type="dxa"/>
            <w:left w:w="108" w:type="dxa"/>
            <w:bottom w:w="0" w:type="dxa"/>
            <w:right w:w="108" w:type="dxa"/>
          </w:tblCellMar>
        </w:tblPrEx>
        <w:trPr>
          <w:trHeight w:val="513" w:hRule="atLeast"/>
        </w:trPr>
        <w:tc>
          <w:tcPr>
            <w:tcW w:w="4581" w:type="dxa"/>
            <w:noWrap w:val="0"/>
            <w:vAlign w:val="bottom"/>
          </w:tcPr>
          <w:p>
            <w:pPr>
              <w:pStyle w:val="50"/>
              <w:tabs>
                <w:tab w:val="left" w:pos="8100"/>
              </w:tabs>
              <w:ind w:left="0" w:right="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w:t>
            </w:r>
          </w:p>
        </w:tc>
        <w:tc>
          <w:tcPr>
            <w:tcW w:w="4659" w:type="dxa"/>
            <w:noWrap w:val="0"/>
            <w:vAlign w:val="bottom"/>
          </w:tcPr>
          <w:p>
            <w:pPr>
              <w:pStyle w:val="50"/>
              <w:tabs>
                <w:tab w:val="left" w:pos="8100"/>
              </w:tabs>
              <w:ind w:left="0" w:right="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w:t>
            </w:r>
          </w:p>
        </w:tc>
      </w:tr>
      <w:tr>
        <w:tblPrEx>
          <w:tblLayout w:type="fixed"/>
          <w:tblCellMar>
            <w:top w:w="0" w:type="dxa"/>
            <w:left w:w="108" w:type="dxa"/>
            <w:bottom w:w="0" w:type="dxa"/>
            <w:right w:w="108" w:type="dxa"/>
          </w:tblCellMar>
        </w:tblPrEx>
        <w:trPr>
          <w:gridAfter w:val="1"/>
          <w:wAfter w:w="4659" w:type="dxa"/>
          <w:trHeight w:val="658" w:hRule="atLeast"/>
        </w:trPr>
        <w:tc>
          <w:tcPr>
            <w:tcW w:w="4581" w:type="dxa"/>
            <w:noWrap w:val="0"/>
            <w:vAlign w:val="bottom"/>
          </w:tcPr>
          <w:p>
            <w:pPr>
              <w:pStyle w:val="50"/>
              <w:tabs>
                <w:tab w:val="left" w:pos="8100"/>
              </w:tabs>
              <w:ind w:left="0" w:right="77"/>
              <w:jc w:val="both"/>
              <w:rPr>
                <w:rFonts w:hint="eastAsia" w:ascii="宋体" w:hAnsi="宋体" w:eastAsia="宋体" w:cs="宋体"/>
                <w:color w:val="auto"/>
                <w:sz w:val="21"/>
                <w:szCs w:val="21"/>
                <w:highlight w:val="none"/>
              </w:rPr>
            </w:pPr>
          </w:p>
          <w:p>
            <w:pPr>
              <w:pStyle w:val="50"/>
              <w:tabs>
                <w:tab w:val="left" w:pos="8100"/>
              </w:tabs>
              <w:ind w:left="0" w:right="77"/>
              <w:jc w:val="both"/>
              <w:rPr>
                <w:rFonts w:hint="eastAsia" w:ascii="宋体" w:hAnsi="宋体" w:eastAsia="宋体" w:cs="宋体"/>
                <w:color w:val="auto"/>
                <w:sz w:val="21"/>
                <w:szCs w:val="21"/>
                <w:highlight w:val="none"/>
              </w:rPr>
            </w:pPr>
          </w:p>
          <w:p>
            <w:pPr>
              <w:pStyle w:val="50"/>
              <w:tabs>
                <w:tab w:val="left" w:pos="8100"/>
              </w:tabs>
              <w:ind w:left="0" w:right="77"/>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采购代理机构： </w:t>
            </w:r>
          </w:p>
        </w:tc>
      </w:tr>
      <w:tr>
        <w:tblPrEx>
          <w:tblLayout w:type="fixed"/>
          <w:tblCellMar>
            <w:top w:w="0" w:type="dxa"/>
            <w:left w:w="108" w:type="dxa"/>
            <w:bottom w:w="0" w:type="dxa"/>
            <w:right w:w="108" w:type="dxa"/>
          </w:tblCellMar>
        </w:tblPrEx>
        <w:trPr>
          <w:gridAfter w:val="1"/>
          <w:wAfter w:w="4659" w:type="dxa"/>
          <w:trHeight w:val="513" w:hRule="atLeast"/>
        </w:trPr>
        <w:tc>
          <w:tcPr>
            <w:tcW w:w="4581" w:type="dxa"/>
            <w:noWrap w:val="0"/>
            <w:vAlign w:val="bottom"/>
          </w:tcPr>
          <w:p>
            <w:pPr>
              <w:pStyle w:val="50"/>
              <w:tabs>
                <w:tab w:val="left" w:pos="8100"/>
              </w:tabs>
              <w:ind w:left="0" w:right="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采购代理机构代表：</w:t>
            </w:r>
            <w:r>
              <w:rPr>
                <w:rFonts w:hint="eastAsia" w:ascii="宋体" w:hAnsi="宋体" w:eastAsia="宋体" w:cs="宋体"/>
                <w:color w:val="auto"/>
                <w:sz w:val="21"/>
                <w:szCs w:val="21"/>
                <w:highlight w:val="none"/>
                <w:u w:val="single"/>
              </w:rPr>
              <w:t>（签字）</w:t>
            </w:r>
          </w:p>
        </w:tc>
      </w:tr>
      <w:tr>
        <w:tblPrEx>
          <w:tblLayout w:type="fixed"/>
          <w:tblCellMar>
            <w:top w:w="0" w:type="dxa"/>
            <w:left w:w="108" w:type="dxa"/>
            <w:bottom w:w="0" w:type="dxa"/>
            <w:right w:w="108" w:type="dxa"/>
          </w:tblCellMar>
        </w:tblPrEx>
        <w:trPr>
          <w:gridAfter w:val="1"/>
          <w:wAfter w:w="4659" w:type="dxa"/>
          <w:trHeight w:val="513" w:hRule="atLeast"/>
        </w:trPr>
        <w:tc>
          <w:tcPr>
            <w:tcW w:w="4581" w:type="dxa"/>
            <w:noWrap w:val="0"/>
            <w:vAlign w:val="bottom"/>
          </w:tcPr>
          <w:p>
            <w:pPr>
              <w:pStyle w:val="50"/>
              <w:tabs>
                <w:tab w:val="left" w:pos="8100"/>
              </w:tabs>
              <w:ind w:left="0" w:right="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年    月   日</w:t>
            </w:r>
          </w:p>
        </w:tc>
      </w:tr>
    </w:tbl>
    <w:p>
      <w:pPr>
        <w:pStyle w:val="51"/>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br w:type="page"/>
      </w:r>
      <w:bookmarkStart w:id="114" w:name="_Toc23766_WPSOffice_Level2"/>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eastAsia="zh-CN"/>
        </w:rPr>
        <w:t>二</w:t>
      </w:r>
      <w:r>
        <w:rPr>
          <w:rFonts w:hint="eastAsia" w:ascii="宋体" w:hAnsi="宋体" w:eastAsia="宋体" w:cs="宋体"/>
          <w:color w:val="auto"/>
          <w:sz w:val="21"/>
          <w:szCs w:val="21"/>
          <w:highlight w:val="none"/>
        </w:rPr>
        <w:t>节通用合同条款</w:t>
      </w:r>
      <w:bookmarkEnd w:id="114"/>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一、词语定义及合同文件</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1.词语定义</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下列词语除专用条款另有约定外，应具有本条所赋予的定义：</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1.1通用条款：是根据法律、行政法规规定及建设工程施工的需要订方，通用于建设工程施工的条款。</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1.2专用条款：是发包人与承包人根据法律、行政法规规定，结合具体工程实际，经协商达成一致意见的条款，是对通用条款的具体化、补充或修改。</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1.3发包人：指在协议书中约定，具有工程发包主体资格和支付工程价款能力的当事人以及取得该当事人资格的合法继承人。</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1.4承包人：指在协议书中约定，被发包人接受的具有工程施工承包主体资格的当事人以及取得该当事人资格的合法继承人。</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1.5项目经理：指承包人在专用条款中指定的负责施工管理和合同履行的代表。</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1.6设计单位：指发包人委托的负责本工程设计并取得相应工程设计资质等级证书的单位。</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1.7监理单位：指发包人委托的负责本工程监理并取得相应工程监理资质等级证书的单位。</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1.8工程师：指本工程监理单位委派的总监理工程师或发包人指定的履行本合同的代表，其具体身份和职权由发包人承包人在专用条款中约定。</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1.9工程造价管理部门：指国务院有关部门、县级以上人民政府建设行政主管部门或其委托的工程造价管理机构。</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1.10工程：指发包人承包人在协议书中约定的承包范围内的工程。</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1.11合同价款：指发包人承包人在协议书中约定，发包人用以支付承包人按照合同约定完成承包范围内全部工程并承担质量保修责任的款项。</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1.12追加合同价款：指在合同履行中发生需要增加合同价款的情况，经发包人确认后按计算合同价款的方法增加的合同价款。</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1.13费用：指不包含在合同价款之内的应当由发包人或承包人承担的经济支出。</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1.14工期；指发包人承包人在协议书中约定，按总日历天数（包括法定节假日）计算的承包天数。</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1.15开工日期：指发包人承包人在协议书中约定，承包人开始施工的绝对或相对的日期。</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1.16竣工日期：指发包人承包人在协议书中约定，承包人完成承包范围内工程的绝对或相对的日期。</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1.17图纸：指由发包人提供或由承包人提供并经发包人批准，满足承包人施工需要的所有图纸（包括配套说明和有关资料）。</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1.18施工场地：指由发包人提供的用于工程施工的场所以及发包人在图纸中具体指定的供施工使用的任何其他场所。</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1.19书面形式：指合同书、信件和数据电文（包括电报、电传、传真、电子数据交换和电子邮件）等可以有形地表现所载内容的形式。</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1.20违约责任：指合同一方不履行合同义务或履行合同义务不符合约定所应承担的责任。</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1.21索赔：指在合同履行过程中，对于并非自己的过错，而是应由对方承担责任的情况造成的实际损失，向对方提出经济补偿和（或）工期顺延的要求。</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1.22不可抗力：指不能预见、不能避免并不能克服的客观情况。</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1.23小时或天：本合同中规定按小时计算时间的，从事件有效开始时计算（不扣除休息时间）；规定按天计算时间的，开始当天不计入，从次日开始计算。时限的最后一天是休息日或者其他法定节假日的，以节假日次日为时限的最后一天，但竣工日期除外。时限的最后一天的截止时间为当日24时。</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2.合同文件及解释顺序</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xml:space="preserve">    2.1合同文件应能相互解释，互为说明。除专用条款另有约定外，组成本合同的文件及优先解释顺序如下：</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（1）本合同协议书</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（2）中标通知书</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（3）投标书及其附件</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（4）本合同专用条款</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（5）本合同通用条款</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（6）标准、规范及有关技术文件</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（7）图纸</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（8）工程量清单</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（9）工程报价单或预算书</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合同履行中，发包人承包人有关工程的洽商、变更等书面协议或文件视为本合同的组成部分。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2.2当合同文件内容含糊不清或不相一致时，在不影响工程正常进行的情况下，由发包人承包人协商解决。双方也可以提请负责监理的工程师作出解释。双方协商不成或不同意负责监理的工程师的解释时，按本通用条款条37条关于争议的约定处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3.语言文字和适用法律、标准及规范</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3.1语言文字</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本合同文件使用汉语语言文字书写、解释和说明。如专用条款约定使用两种以上（含两种）语言文字时，汉语应为解释和说明本合同的标准语言文字。</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在少数民族地区，双方可以约定使用少数民族语言文字书写和解释、说明本合同。</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3.2适用法律和法规</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本合同文件适用国家的法律和行政法规。需要明示的法律、行政法规，由双方在专用条款中约定。</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3.3适用标准、规范</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双方在专用条款内约定适用国家标准、规范的名称；没有国家标准、规范但有行业标准、规范的，约定适用行业标准、规范的名称；没有国家和行业标准、规范的，约定适用工程所在地地方标准、规范的名称。发包人应按专用条款约定的时间向承包人提供一式两份约定的标准、规范。</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国内没有相应标准、规范的，由发包人按专用条款约定的时间向承包人提出施工技术要求，承包人按约定的时间和要求提出施工工艺，经发包人认可后执行。发包人要求使用国外标准、规范的，应负责提供中文译本。</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本条所发生的购买、翻译标准、规范或制定施工工艺的费用，由发包人承担。</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4.图纸</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4.1发包人应按专用条款约定的日期和套数，向承包人提供图纸。承包人需要增加图纸套数的，发包人应代为复制，复制费用由承包人承担。发包人对工程有保密要求的，应在专用条款中提出保密要求，保密措施费用由发包人承担，承包人在约定保密期限内履行保密义务。</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4.2承包人未经发包人同意，不得将本工程图纸转给第三人。工程质量保修期满后，除承包人存档需要的图纸外，应将全部图纸退还给发包人。</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4.3承包人应在施工现场保留一套完整图纸，供工程师及有关人员进行工程检查时使用。</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二、双方一般权利和义务</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5.工程师</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5.1实行工程监理的，发包人应在实施监理前将委托的监理单位名称、监理内容及监理权限以书面形式通知承包人。</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5.2监理单位委派的总监理工程师在本合同中称工程师，其姓名、职务、职权由发包人承包人在专用条款内写明。工程师按合同约定行使职权，发包人在专用条款内要求工程师在行使某些职权前需要征得发包人批准的，工程师应征得发包人批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5.3发包人派驻施工场地履行合同的代表在本合同中也称工程师，其姓名、职务、职权由发包人在专用条款内写明，但职权不得与监理单位委派的总监理工程师职权相互交叉。双方职权发生交叉或不明确时，由发包人予以明确，并以书面形式通知承包人。</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5.4合同履行中，发生影响发包人承包人双方权利或义务的事件时，负责监理的工程师应依据合同在其职权范围内客观公正地进行处理。一方对工程师的处理有异议时，按本通用条款条37条关于争议的约定处理。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5.5除合同内有明确约定或经发包人同意外，负责监理的工程师无权解除本合同约定的承包人的任何权利与义务。</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5.6不实行工程监理的，本合同中工程师专指发包人派驻施工场地履行合同的代表，其具体职权由发包人在专用条款内写明。</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6.工程师的委派和指令</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6.1工程师可委派工程师代表，行使合同约定的自己的职权，并可在认为必要时撤回委派。委派和撤回均应提前7天以书面形式通知承包人，负责监理的工程师还应将委派和撤回通知发包人。委派书和撤回通知作为本合同附件。</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工程师代表在工程师授权范围内向承包人发出的任何书面形式的函件，与工程师发出的函件具有同等效力。承包人对工程师代表向其发出的任何书面形式的函件有疑问时，可将此函件提交工程师，工程师应进行确认。工程师代表发出指令有失误时，工程师应进行纠正。</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除工程师或工程师代表外，发包人派驻工地的其他人员均无权向承包人发出任何指令。</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6.2工程师的指令、通知由其本人签字后，以书面形式交给项目经理，项目经理在回执上签署姓名和收到时间后生效。确有必要时，工程师可发出口头指令，并在48小时内给予书面确认，承包人对工程师的指令应予执行。工程师不能及时给予书面确认的，承包人应于工程师发出口头指令后7天内提出书面确认要求。工程师在承包人提出确认要求后48小时内不予答复的，视为口头指令已被确认。</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承包人认为工程师指令不合理，应在收到指令后24小时内向工程师提出修改指令的书面报告，工程师在收到承包人报告后24小时内作出修改指令或继续执行原指令的决定，并以书面形式通知承包人。紧急情况下，工程师要求承包人立即执行的指令或承包人虽有异议，但工程师决定仍继续执行的指令，承包人应予执行。因指令错误发生的追加合同价款和给承包人造成的损失由发包人承担，延误的工期相应顺延。</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本款规定同样适用于由工程师代表发出的指令、通知。</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6.3工程师应按合同约定，及时向承包人提供所需指令、批准并履行约定的其他义务。由于工程师未能按合同约定履行义务造成工期延误，发包人应承担延误造成的追加合同价款，并赔偿承包人有关损失，顺延延误的工期。</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6.4如需更换工程师，发包人应至少提前7天以书面形式通知承包人，后任继续行使合同文件约定的前任的职权，履行前任的义务。</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7.项目经理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7.1项目经理的姓名、职务在专用条款内写明。</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7.2承包人依据合同发出的通知，以书面形式由项目经理签字后送交工程师，工程师在回执上签署姓名和收到时间后生效。</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7.3项目经理按发包人认可的施工组织设计（施工方案）和工程师依据合同发出的指令组织施工。在情况紧急且无法与工程师联系时，项目经理应当采取保证人员生命和工程、财产安全的紧急措施，并在采取措施后48小时内向工程师送交报告。责任在发包人或第三人，由发包人承担由此发生的追加合同价款，相应顺延工期；责任在承包人，由承包人承担费用，不顺延工期。</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7.4承包人如需更换项目经理，应至少提前7天以书面形式通知发包人，并征得发包人同意。后任继续行使合同文件约定的前任的职权，履行前任的义务。</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7.5发包人可以与承包人协商，建议更换其认为不称职的项目经理。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8.发包人工作</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8.1发包人按专用条款约定的内容和时间完成以下工作：</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（1）办理土地征用、拆迁补偿、平整施工场地等工作，使施工场地具备施工条件，在开工后继续负责解决以上事项遗留问题；</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（2）将施工所需水、电、电讯线路从施工场地外部接至专用条款约定地点，保证施工期间的需要；</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（3）开通施工场地与城乡公共道路的通道，以及专用条款约定的施工场地内的主要道路，满足施工运输的需要，保证施工期间的畅通；</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（4）向承包人提供施工场地的工程地质和地下管线资料，对资料的真实准确性负责；</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（5）办理施工许可证及其他施工所需证件、批件和临时用地、停水、停电、中断道路交通、爆破作业等的申请批准手续（证明承包人自身资质的证件除外）；</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xml:space="preserve">    （6）确定水准点与座标控制点，以书面形式交给承包人，进行现场交验；</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（7）组织承包人和设计单位进行图纸会审和设计交底；</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（8）协调处理施工场地周围地下管线和邻近建筑物、构筑物（包括文物保护建筑）、古树名木的保护工作，承担有关费用；</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8.2发包人可以将8.1款部分工作委托承包人办理，双方在专用条款内约定，其费用由发包人承担。</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8.3发包人未能履行8.1款各项义务，导致工期延误或给承包人造成损失的，发包人赔偿承包人有关损失，顺延延误的工期。</w:t>
      </w:r>
    </w:p>
    <w:p>
      <w:pPr>
        <w:spacing w:line="360" w:lineRule="auto"/>
        <w:ind w:firstLine="420" w:firstLineChars="200"/>
        <w:rPr>
          <w:rFonts w:hint="eastAsia" w:ascii="宋体" w:hAnsi="宋体" w:eastAsia="宋体" w:cs="宋体"/>
          <w:color w:val="auto"/>
          <w:sz w:val="21"/>
          <w:szCs w:val="21"/>
          <w:highlight w:val="none"/>
        </w:rPr>
        <w:sectPr>
          <w:footerReference r:id="rId8" w:type="default"/>
          <w:pgSz w:w="11900" w:h="16838"/>
          <w:pgMar w:top="1440" w:right="1440" w:bottom="158" w:left="1440" w:header="567" w:footer="567" w:gutter="0"/>
          <w:cols w:equalWidth="0" w:num="1">
            <w:col w:w="9026"/>
          </w:cols>
        </w:sectPr>
      </w:pPr>
      <w:r>
        <w:rPr>
          <w:rFonts w:hint="eastAsia" w:ascii="宋体" w:hAnsi="宋体" w:eastAsia="宋体" w:cs="宋体"/>
          <w:color w:val="auto"/>
          <w:sz w:val="21"/>
          <w:szCs w:val="21"/>
          <w:highlight w:val="none"/>
        </w:rPr>
        <w:t>（9）发包人应做的其他工作，双方在专用条款内约定。</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9.承包人工作</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9.1承包人按专用条款约定的内容和时间完成以下工作：</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（1）根据发包人委托，在其设计资质等级和业务允许的范围内，完成施工图设计或与工程配套的设计，经工程师确认后使用，发包人承担由此发生的费用；</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（2）向工程师提供年、季、月度工程进度计划及相应进度统计报表；</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（3）根据工程需要，提供和维修非夜间施工使用的照明、围栏设施，并负责安全保卫；</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（4）按专用条款约定的数量和要求，向发包人提供施工场地办公和生活的房屋及设施，发包人承担由此发生的费用；</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（5）遵守政府有关主管部门对施工场地交通、施工噪音以及环境保护和安全生产等的管理规定，按规定办理有关手续，并以书面形式通知发包人，发包人承担由此发生的费用，因承包人责任造成的罚款除外；</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6）已竣工工程未交付发包人之前，承包人按专用条款约定负责已完工程的保护工作，保护期间发生损坏，承包人自费予以修复；发包人要求承包人采取特殊措施保护的工程部位和相应的追加合同价款，双方在专用条款内约定；</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（7）按专用条款约定做好施工场地地下管线和邻近建筑物、构筑物（包括文物保护建筑）、古树名木的保护工作；</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（8）保证施工场地清洁符合环境卫生管理的有关规定，交工前清理现场达到专用条款约定的要求，承担因自身原因违反有关规定造成的损失和罚款；</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（9）承包人应做的其他工作，双方在专用条款内约定。</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9.2承包人未能履行9.1款各项义务，造成发包人损失的，承包人赔偿发包人有关损失。</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三、施工组织设计和工期</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10.进度计划</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10.1承包人应按专用条款约定的日期，将施工组织设计和工程进度计划提交工程师，工程师按专用条款约定的时间予以确认或提出修改意见，逾期不确认也不提出书面意见的，视为同意。</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10.2群体工程中单位工程分期进行施工的，承包人应按照发包人提供图纸及有关资料的时间，按单位工程编制进度计划，其具体内容双方在专用条款中约定。</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xml:space="preserve">    10.3承包人必须按工程师确认的进度计划组织施工，接受工程师对进度的检查、监督。工程实际进度与经确认的进度计划不符时，承包人应按工程师的要求提出改进措施，经工程师确认后执行。因承包人的原因导致实际进度与进度计划不符，承包人无权就改进措施提出追加合同价款。</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11.开工及延期开工</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11.1承包人应当按照协议书约定的开工日期开工。承包人不能按时开工，应当不迟于协议书约定的开工日期前7天，以书面形式向工程师提出延期开工的理由和要求。工程师应当在接到延期开工申请后的48小时内以书面形式答复承包人。工程师在接到延期开工申请后48小时内不答复，视为同意承包人要求，工期相应顺延。工程师不同意延期要求或承包人未在规定时间内提出延期开工要求，工期不予顺延。</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11.2因发包人原因不能按照协议书约定的开工日期开工，工程师应以书面形式通知承包人，推迟开工日期。发包人赔偿承包人因延期开工造成的损失，并相应顺延工期。</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12.暂停施工</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工程师认为确有必要暂停施工时，应当以书面形式要求承包人暂停施工，并在提出要求后48小时内提出书面处理意见。承包人应当按工程师要求停止施工，并妥善保护已完工程。承包人实施工程师作出的处理意见后，可以书面形式提出复工要求，工程师应当在48小时内给予答复。工程师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13.工期延误</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13.1因以下原因造成工期延误，经工程师确认，工期相应顺延：</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（1）发包人未能按专用条款的约定提供图纸及开工条件；</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（2）发包人未能按约定日期支付工程预付款、进度款，致使施工不能正常进行；</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（3）工程师未按合同约定提供所需指令、批准等，致使施工不能正常地行；</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（4）设计变更和工程量增加；</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（5）一周内非承包人原因停水、停电、停气造成停工累计超过8小时；</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（6）不可抗力；</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（7）专用条款中约定或工程师同意工期顺延的其他情况。</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13.2承包人在13.1款情况发生后14天内，就延误的工期以书面形式向工程师提出报告。工程师在收到报告后14天内予以确认，逾期不予确认也不提出修改意见，视为同意顺延工期。</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14工程竣工</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14.1承包人必须按照协议书约定的竣工日期或工程师同意顺延的工期竣工。</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14.2因承包人原因不能按照协议书约定的竣工日期或工程师同意顺延的工期竣工的，承包人承担违约责任。</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xml:space="preserve">    14.3施工中发包人如需提前竣工，双方协商一致后应签订提前竣工协议，作为合同文件组成部分。提前竣工协议应包括承包人为保证工程质量和安全采取的措施、发包人为提前竣工提供的条件以及提前竣工所需的追加合同价款等内容。</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四、质量与检验</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15.工程质量</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15.1工程质量应当达到协议书约定的质量标准，质量标准的评定以国家或行业的质量检验评定标准为依据。因承包人原因工程质量达不到约定的质量标准，承包人承担违约责任。</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15.2双方对工程质量有争议，由双方同意的工程质量检测机构鉴定，所需费用及因此造成的损失，由责任方承担。双方均有责任，由双方根据其责任分别承担。</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16.检查和返工</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16.1承包人应认真按照标准、规范和设计图纸要求以及工程师依据合同发出的指令施工，随时接受工程师的检查检验，为检查检验提供便利条件。</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16.2工程质量达不到约定标准的部分，工程师一经发现，应要求承包人拆除和重新施工，承包人应按工程师的要求拆除和重新施工，直到符合约定标准。因承包人原因达不到约定标准，由承包人承担拆除和重新施工的费用，工期不予顺延。</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16.3工程师的检查检验不应影响施工正常进行。如影响施工正常进行，检查检验不合格时，影响正常施工的费用由承包人承担。除此之外影响正常施工的追加合同价款由发包人承担，相应顺延工期。</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16.4因工程师指令失误或其他非承包人原因发生的追加合同价款，由发包人承担。</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17.隐蔽工程和中间验收</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17.1工程具备隐蔽条件或达到专用条款约定的中间验收部位，承包人进行自检，并在隐蔽或中间验收前48小时以书面形式通知工程师验收。通知包括隐蔽和中间验收的内容、验收时间和地点。承包人准备验收记录，验收合格，工程师在验收记录上签字后，承包人可进行隐蔽和继续施工。验收不合格，承包人在工程师限定的时间内修改后重新验收。</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17.2工程师不能按时进行验收，应在验收前24小时以书面形式向承包人提出延期要求，延期不能超过48小时。工程师未能按以上时间提出延期要求，不进行验收，承包人可自行组织验收，工程师应承认验收记录。</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17.3经工程师验收，工程质量符合标准、规范和设计图纸等要求，验收24小时后，工程师不在验收记录上签字，视为工程师已经认可验收记录，承包人可进行隐蔽或继续施工。</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18.重新检验</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无论工程师是否进行验收，当其要求对已经隐蔽的工程重新检验时，承包人应按要求进行剥离或开孔，并在检验后重新覆盖或修复。检验合格，发包人承担由此发生的全部追加合同价款，赔偿承包人损失，并相应顺延工期。检验不合格，承包人承担发生的全部费用，工期不予顺延。</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19.工程试车</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xml:space="preserve">    19.1双方约定需要试车的，试车内容应与承包人承包的安装范围相一致。</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19.2设备安装工程具备单机无负荷试车条件，承包人组织试车，并在试车前48小时以书面形式通知工程师。通知包括试车内容、时间、地点。承包人准备试车记录，发包人根据承包人要求为试车提供必要条件。试车合格，工程师在试车记录上签字。</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19.3工程师不能按时参加试车，须在开始试车前24小时以书面形式向承包人提出延期要求，延期不能超过48小时。工程师未能按以上时间提出延期要求，不参加试车，应承认试车记录。</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19.4设备安装工程具备无负荷联动试车条件，发包人组织试车，并在试车前48小时以书面形式通知承包人。通知包括试车内容、时间、地点和对承包人的要求，承包人按要求做好准备工作。试车合格，双方在试车记录上签字。</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19.5双方责任</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（1）由于设计原因试车达不到验收要求，发包人应要求设计单位修改设计，承包人按修改后的设计重新安装。发包人承担修改设计、拆除及重新安装的全部费用和追加合同价款，工期相应顺延。</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2）由于设备制造原因试车达不到验收要求，由该设备采购一方负责重新购置或修理，承包人负责拆除和重新安装。设备由承包人采购的，由承包人承担修理或重新购置、拆除及重新安装的费用，工期不予顺延；设备由发包人采购的，发包人承担上述各项追加合同价款，工期相应顺延。</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（3）由于承包人施工原因试车达不到验收要求，承包人按工程师要求重新安装和试车，并承担重新安装和试车的费用，工期不予顺延。</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（4）试车费用除已包括在合同价款之内或专用条款另有约定外，均由发包人承担。</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（5）工程师在试车合格后不在试车记录上签字，试车结束24小时后，视为工程师已经认可试车记录，承包人可继续施工或办理竣工手续。</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19.6投料试车应在工程竣工验收后由发包人负责，如发包人要求在工程竣工验收前进行或需要承包人配合时，应征得承包人同意，另行签订补充协议。</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五、安全施工</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20.安全施工与检查</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20.1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20.2发包人应对其在施工场地的工作人员进行安全教育，并对他们的安全负责。发包人不得要求承包人违反安全管理的规定进行施工。因发包人原因导致的安全事故，由发包人承担相应责任及发生的费用。</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21.安全防护</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21.1承包人在动力设备、输电线路、地下管道、密封防震车间、易燃易爆地段以及临街交通要道附近施工时，施工开始前应向工程师提出安全防护措施，经工程师认可后实施，防护措施费用由发包人承担。</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21.2实施爆破作业，在放射、毒害性环境中施工（含储存、运输、使用）及使用毒害性、腐蚀性物品施工时，承包人应在施工前14天以书面形式通知工程师，并提出相应的安全防护措施，经工程师认可后实施，由发包人承担安全防护措施费用。</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22.事故处理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22.1发生重大伤亡及其他安全事故，承包人应按有关规定立即上报有关部门并通知工程师，同时按政府有关部门要求处理，由事故责任方承担发生的费用。</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22.2发包人承包人对事故责任有争议时，应按政府有关部门的认定处理。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六、合同价款与支付</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23.合同价款及调整</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23.1招标工程的合同价款由发包人承包人依据中标通知书中的中标价格在协议书内约定。非招标工程的合同价款由发包人承包人依据工程预算书在协议书内约定。</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23.2合同价款在协议书内约定后，任何一方不得擅自改变。下列三种确定合同价款的方式，双方可在专用条款内约定采用其中一种：</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（1）固定价格合同。双方在专用条款内约定合同价款包含的风险范围和风险费用的计算方法，在约定的风险范围内合同价款不再调整。风险范围以外的合同价款调整方法，应当在专用条款内约定。</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（2）可调价格合同。合同价款可根据双方的约定而调整，双方在专用条款内约定合同价款调整方法。</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（3）成本加酬金合同。合同价款包括成本和酬金两部分，双方在专用条款内约定成本构成和酬金的计算方法。</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23.3可调价格合同中合同价款的调整因素包括：</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（1）法律、行政法规和国家有关政策变化影响合同价款；</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（2）工程造价管理部门公布的价格调整；</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（3）一周内非承包人原因停水、停电、停气造成停工累计超过8时；</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（4）双方约定的其他因素。</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23.4承包人应当在23.3款情况发生后14天内，将调整原因、金额以书面形式通知工程师，工程师确认调整金额后作为追加合同价款，与工程款同期支付。工程师收到承包人通知后14天内不予确认也不提出修改意见，视为已经同意该项调整。</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24.工程预付款</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实行工程预付款的，双方应当在专用条款内约定发包人向承包人预付工程款的时间和数额，开工后按约定的时间和比例逐次扣回。预付时间应不迟于约定的开工日期前7天。发包人不按约定预付，承包人在约定预付时间7天后向发包人发出要求预付的通知，发包人收到通知后仍不能按要求预付，承包人可在发出通知后7天停止施工，发包人应从约定应付之日起向承包人支付应付款的贷款利息，并承担违约责任。</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25.工程量的确认</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25.1承包人应按专用条款约定的时间，向工程师提交已完工程量的报告。工程师接到报告后7天内按设计图纸核实已完工程量（以下称计量），并在计量前24小时通知承包人，承包人为计量提供便利条件并派人参加。承包人收到通知后不参加计量，计量结果有效，作为工程价款支付的依据。</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25.2工程师收到承包人报告后７天内未进行计量，从第8天起，承包人报告中开列的工程量即视为被确认，作为工程价款支付的依据。工程师不按约定时间通知承包人，致使承包人未能参加计量，计量结果无效。</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25.3对承包人超出设计图纸范围和因承包人原因造成返工的工程量，工程师不予计量。</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26.工程款（进度款）支付</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26.1在确认计量结果后14天内，发包人应向承包人支付工程款（进度款）。按约定时间发包人应扣回的预付款，与工程款（进度款）同期结算。</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26.2本通用条款第23条确定调整的合同价款，第31条工程变更调整的合同价款及其他条款中约定的追加合同价款，应与工程款（进度款）同期调整支付。</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26.3发包人超过约定的支付时间不支付工程款（进度款），承包人可向发包人发出要求付款的通知，发包人收到承包人通知后仍不能按要求付款，可与承包人协商签订延期付款协议，经承包人同意后可延期支付。协议应明确延期支付的时间和从计量结果确认后第15天起应付款的贷款利息。</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26.4发包人不按合同约定支付工程款（进度款），双方又未达成延期付款协议，导致施工无法进行，承包人可停止施工，由发包人承担违约责任。</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七、材料设备供应</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27.发包人供应材料设备</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27.1实行发包人供应材料设备的，双方应当约定发包人供应材料设备的一览表，作为本合同附件（附件2）。一览表包括发包人供应材料设备的品种、规格、型号、数量、单价、质量等级、提供时间和地点。</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27.2发包人按一览表约定的内容提供材料设备，并向承包人提供产品合格证明，对其质量负责。发包人在所供材料设备到货前24小时，以书面形式通知承包人，由承包人派人与发包人共同清点。</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27.3发包人供应的材料设备，承包人派人参加清点后由承包人妥善保管，发包人支付相应保管费用。因承包人原因发生丢失损坏，由承包人负责赔偿。</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发包人未通知承包人清点，承包人不负责材料设备的保管，丢失损坏由发包人负责。</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27.4发包人供应的材料设备与一览表不符时，发包人承担有关责任。发包人应承担责任的具体内容，双方根据下列情况在专用条款内约定：</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（1）材料设备单价与一览表不符，由发包人承担所有价差；</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xml:space="preserve">    （2）材料设备的品种、规格、型号、质量等级与一览表不符，承包人可拒绝接收保管，由发包人运出施工场地并重新采购；</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（3）发包人供应的材料规格、型号与一览表不符，经发包人同意，承包人可代为调剂串换，由发包人承担相应费用；</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（4）到货地点与一览表不符，由发包人负责运至一览表指定地点；</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（5）供应数量少于一览表约定的数量时，由发包人补齐，多于一览表约定数量时，发包人负责将多出部分运出施工场地；</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（6）到货时间早于一览表约定时间，由发包人承担因此发生的保管费用；到货时间迟于一览表约定的供应时间，发包人赔偿由此造成的承包人损失，造成工期延误的，相应顺延工期；</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27.5发包人供应的材料设备使用前，由承包人负责检验或试验，不合格的不得使用，检验或试验费用由发包人承担。</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27.6发包人供应材料设备的结算方法，双方在专用条款内约定。</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28.承包人采购材料设备</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28.1承包人负责采购材料设备的，应按照专用条款约定及设计和有关标准要求采购，并提供产品合格证明，对材料设备质量负责。承包人在材料设备到货前24小时通知工程师清点。</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28.2承包人采购的材料设备与设计或标准要求不符时，承包人应按工程师要求的时间运出施工场地，重新采购符合要求的产品，承担由此发生的费用，由此延误的工期不予顺延。</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28.3承包人采购的材料设备在使用前，承包人应按工程师的要求进行检验或试验，不合格的不得使用，检验或试验费用由承包人承担。</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28.4工程师发现承包人采购并使用不符合设计和标准要求的材料设备时，应要求承包人负责修复、拆除或重新采购，由承包人承担发生的费用，由此延误的工期不予顺延。</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28.5承包人需要使用代用材料时，应经工程师认可后才能使用，由此增减的合同价款双方以书面形式议定。</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28.6由承包人采购的材料设备，发包人不得指定生产厂或供应商。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八、工程变更</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29.工程设计变更</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29.1施工中发包人需对原工程设计进行变更，应提前14天以书面形式向承包人发出变更通知。变更超过原设计标准或批准的建设规模时，发包人应报规划管理部门和其他有关部门重新审查批准，并由原设计单位提供变更的相应图纸和说明。承包人按照工程师发出的变更通知及有关要求，进行下列需要的变更：</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（1）更改工程有关部分的标高、基线、位置和尺寸；</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（2）增减合同中约定的工程量；</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（3）改变有关工程的施工时间和顺序；</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w:t>
      </w:r>
      <w:r>
        <w:rPr>
          <w:rFonts w:hint="eastAsia" w:ascii="宋体" w:hAnsi="宋体" w:eastAsia="宋体" w:cs="宋体"/>
          <w:color w:val="auto"/>
          <w:sz w:val="21"/>
          <w:szCs w:val="21"/>
          <w:highlight w:val="none"/>
        </w:rPr>
        <w:t>（4）其他有关工程变更需要的附加工作。</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因变更导致合同价款的增减及造成的承包人损失，由发包人承担，延误的工期相应顺延。</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29.2施工中承包人不得对原工程设计进行变更。因承包人擅自变更设计发生的费用和由此导致发包人的直接损失，由承包人承担，延误的工期不予顺延。</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29.3承包人在施工中提出的合理化建议涉及到对设计图纸或施工组织设计的更改及对材料、设备的换用，须经工程师同意，未经同意擅自更改或换用时，承包人承担由此发生的费用，并赔偿发包人的有关损失，延误的工期不予顺延。</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工程师同意采用承包人合理化建议，所发生的费用和获得的收益，发包人承包人另行约定分担或分享。</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30.其他变更</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合同履行中发包人要求变更工程质量标准及发生其他实质性变更，由双方协商解决。</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31.确定变更价款</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31.1承包人在工程变更确定后14天内，提出变更工程价款的报告，经工程师确认后调整合同价款。变更合同价款按下列方法进行：</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（1）合同中已有适用于变更工程的价格，按合同已有的价格变更合同价款；</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（2）合同中只有类似于变更工程的价格，可以参照类似价格变更合同价款；</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（3）合同中没有适用或类似于变更工程的价格，由承包人提出适当的变更价格，经工程师确认后执行。</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31.2承包人在双方确定变更后14天内不向工程师提出变更工程价款报告时，视为该项变更不涉及合同价款的变更。</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31.3工程师应在收到变更工程价款报告之日起14天内予以确认，工程师无正当理由不确认时，自变更工程价款报告送达之日起14天后视为变更工程价款报告已被确认。</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31.4工程师不同意承包人提出的变更价款，按本通用条款第37条关于争议的约定处理。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31.5工程师确认增加的工程变更价款作为追加合同价款，与工程款同期支付。</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31.6因承包人自身原因导致的工程变更，承包人无权要求追加合同价款。</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九、竣工验收与结算</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32.竣工验收</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32.1工程具备竣工验收条件，承包人按国家工程竣工验收有关规定，向发包人提供完整竣工资料及竣工验收报告。双方约定由承包人提供竣工图的，应当在专用条款内约定提供的日期和份数。</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32.2发包人收到竣工验收报告后28天内组织有关单位验收，并在验收后14天内给予认可或提出修改意见。承包人按要求修改，并承担由自身原因造成修改的费用。</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32.3发包人收到承包人送交的竣工验收报告后28天内不组织验收，或验收后14天内不提出修改意见，视为竣工验收报告已被认可。</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xml:space="preserve">    32.4工程竣工验收通过，承包人送交竣工验收报告的日期为实际竣工日期。工程按发包人要求修改后通过竣工验收的，实际竣工日期为承包人修改后提请发包人验收的日期。</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32.5发包人收到承包人竣工验收报告后28天内不组织验收，从第29天起承担工程保管及一切意外责任。</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32.6中间交工工程的范围和竣工时间，双方在专用条款内约定，其验收程序按本通用条款32.1款至32.4款办理。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32.7因特殊原因，发包人要求部分单位工程或工程部位甩项竣工的，双方另行签订甩项竣工协议，明确双方责任和工程价款的支付方法。</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32.8工程未经竣工验收或竣工验收未通过的，发包人不得使用。发包人强行使用时，由此发生的质量问题及其他问题，由发包人承担责任。</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33.竣工结算</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33.1工程竣工验收报告经发包人认可后28天内，承包人向发包人递交竣工结算报告及完整的结算资料，双方按照协议书约定的合同价款及专用条款约定的合同价款调整内容，进行工程竣工结算。</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33.2发包人收到承包人递交的竣工结算报告及结算资料后28天内进行核实，给予确认或者提出修改意见。发包人确认竣工结算报告后通知经办银行向承包人支付工程竣工结算价款。承包人收到竣工结算价款后14天内将竣工工程交付发包人。</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33.3发包人收到竣工结算报告及结算资料后28天内无正当理由不支付工程竣工结算价款，从第29天起按承包人同期向银行贷款利率支付拖欠工程价款的利息，并承担违约责任。</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33.4发包人收到竣工结算报告及结算资料后28天内不支付工程竣工结算价款，承包人可以催告发包人支付结算价款。发包人在收到竣工结算报告及结算资料后56天内仍不支付的，承包人可以与发包人协议将该工程折价，也可以由承包人申请人民法院将该工程依法拍卖，承包人就该工程折价或者拍卖的价款优先受偿。</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33.5工程竣工验收报告经发包人认可后28天内，承包人未能向发包人递交竣工结算报告及完整的结算资料，造成工程竣工结算不能正常进行或工程竣工结算价款不能及时支付，发包人要求交付工程的，承包人应当交付；发包人不要求交付工程的，承包人承担保管责任。</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33.6发包人承包人对工程竣工结算价款发生争议时，按本通用条款第37条关于争议的约定处理。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34.质量保修</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34.1承包人应按法律、行政法规或国家关于工程质量保修的有关规定，对交付发包人使用的工程在质量保修期内承担质量保修责任。</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34.2质量保修工作的实施。承包人应在工程竣工验收之前，与发包人签订质量保修书，作为本合同附件（附件3）。</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34.3质量保修书的主要内容包括：</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（1）质量保修项目内容及范围；</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xml:space="preserve">    （2）质理保修期；</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（3）质量保修责任；</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（4）质量保修金的支付方法。</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十、违约、索赔和争议</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35.违约</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35.1发包人违约。当发生下列情况时：</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（1）本通用条款第24条提到的发包人不按时支付工程预付款；</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（2）本通用条款第26.4款提到的发包人不按合同约定支付工程款，导致施工无法进行；</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（3）本通用条款第33.3款提到的发包人无正当理由不支付工程竣工结算价款；</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（4）发包人不履行合同义务或不按合同约定履行义务的其他情况。</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发包人承担违约责任，赔偿因其违约给承包人造成的经济损失，顺延延误的工期。双方在专用条款内约定发包人赔偿承包人损失的计算方法或者发包人应当支付违约金的数额或计算方法。</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35.2承包人违约。当发生下列情况时：</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（1）本通用条款第14.2款提到的因承包人原因不能按照协议书约定的竣工日期或工程师同意顺延的工期竣工；</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（2）本通用条款第15.1款提到的因承包人原因工程质量达不到协议书约定的质量标准；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（3）承包人不履行合同义务或不按合同约定履行义务的其他情况。</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承包人承担违约责任，赔偿因其违约给发包人造成的损失。双方在专用条款内约定承包人赔偿发包人损失的计算方法或者承包人应当支付违约金的数额或计算方法。</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35.3一方违约后，另一方要求违约方继续履行合同时，违约方承担上述违约责任后仍应继续履行合同。</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36.索赔</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36.1当一方向另一方提出索赔时，要有正当索赔理由，且有索赔事件发生时的有效证据。</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36.2发包人未能按合同约定履行自己的各项义务或发生错误以及应由发包人承担责任的其他情况，造成工期延误和（或）承包人不能及时得到合同价款及承包人的其他经济损失，承包人可按下列程序以书面形式向发包人索赔：</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（1）索赔事件发生后28天内，向工程师发出索赔意向通知；</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（2）发出索赔意向通知后28天内，向工程师提出延长工期和（或）补偿经济损失的索赔报告及有关资料；</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（3）工程师在收到承包人送交的索赔报告和有关资料后，于28天内给予答复，或要求承包人进一步补充索赔理由和证据；</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（4）工程师在收到承包人送交的索赔报告和有关资料后28天内未予答复或未对承包人作进一步要求，视为该项索赔已经认可；</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（5）当该索赔事件持续进行时，承包人应当阶段性向工程师发出索赔意向，在索赔事件终了后28天内，向工程师送交索赔的有关资料和最终索赔报告。索赔答复程序与（3）、（4）规定相同。</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36.3承包人未能按合同约定履行自己的各项义务或发生错误，给发包人造成经济损失，发包人可按36.2款确定的时限向承包人提出索赔。</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37.争议</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37.1发包人承包人在履行合同时发生争议，可以和解或者要求有关主管部门调解。当事人不愿和解、调解或者和解、调解不成的，双方可以在专用条款内约定以下一种方式解决争议：</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第一种解决方式：双方达成仲裁协议，向约定的仲裁委员会申请仲裁；</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第二种解决方式；向有管辖权的人民法院起诉。</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37.2发生争议后，除非出现下列情况的，双方都应继续履行合同，保持施工连续，保护好已完工程：</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（1）单方违约导致合同确已无法履行，双方协议停止施工；</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（2）调解要求停止施工，且为双方接受；</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（3）仲裁机构要求停止施工；</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（4）法院要求停止施工。</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十一、其他</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38.工程分包</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38.1承包人按专用条款的约定分包所承包的部分工程，并与分包单位签订分包合同。非经发包人同意，承包人不得将承包工程的任何部分分包。</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38.2承包人不得将其承包的全部工程转包给他人，也不得将其承包的全部工程肢解以后以分包的名义分别转包给他人。</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38.3工程分包不能解除承包人任何责任与义务。承包人应在分包场地派驻相应管理人员，保证本合同的履行。分包单位的任何违约行为或疏忽导致工程损害或给发包人造成其他损失，承包人承担连带责任。</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38.4分包工程价款由承包人与分包单位结算。发包人未经承包人同意不得以任何形式向分包单位支付各种工程款项。</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39.不可抗力</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39.1不可抗力包括因战争、动乱、空中飞行物体坠落或其他非发包人承包人责任造成的爆炸、火灾，以及专用条款约定的风、雨、雪、洪、震等自然灾害。</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39.2不可抗力事件发生后，承包人应立即通知工程师，并在力所能及的条件下迅速采取措施，尽力减少损失，发包人应协助承包人采取措施。工程师认为应当暂停施工的，承包人应暂停施工。不可抗力事件结束后48小时内承包人向工程师通报受害情况和损失情况，及预计清理和修复的费用。不可抗力事件持续发生，承包人应每隔7天向工程师报告一次受害情况。不可抗力事件结束后14天内，承包人向工程师提交清理和修复费用的正式报告及有关资料。</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39.3因不可抗力事件导致的费用及延误的工期由双方按以下方法分别承担：</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（1）工程本身的损害、因工程损害导致第三人人员伤亡和财产损失以及运至施工场地用于施工的材料和待安装的设备的损害，由发包人承担；</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（2）发包人承包人人员伤亡由其所在单位负责，并承担相应费用；</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（3）承包人机械设备损坏及停工损失，由承包人承担；</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（4）停工期间，承包人应工程师要求留在施工场地的必要的管理人员及保卫人员的费用由发包人承担；</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（5）工程所需清理、修复费用，由发包人承担；</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（6）延误的工期相应顺延。</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39.4因合同一方迟延履行合同后发生不可抗力的，不能免除迟延履行方的相应责任。</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40.保险</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40.1工程开工前，发包人为建设工程和施工场地内的自有人员及第三人人员生命财产办理保险，支付保险费用。</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40.2运至施工场地内用于工程的材料和待安装设备，由发包人办理保险，并支付保险费用。</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40.3发包人可以将有关保险事项委托承包人办理，费用由发包人承担。</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40.4承包人必须为从事危险作业的职工办理意外伤害保险，并为施工场地内自有人员生命财产和施工机械设备办理保险，支付保险费用。</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40.5保险事故发生时，发包人承包人有责任尽力采取必要的措施，防止或者减少损失。</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40.6具体投保内容和相关责任，发包人承包人在专用条款中约定。</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41.担保</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41.1发包人承包人为了全面履行合同，应互相提供以下担保：</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（1）发包人向承包人提供履约担保，按合同约定支付工程价款及履行合同约定的其他义务。</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（2）承包人向发包人提供履约担保，按合同约定履行自己的各项义务。</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41.2一方违约后，另一方可要求提供担保的第三人承担相应责任。</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41.3提供担保的内容、方式和相关责任，发包人承包人除在专用条款中约定外，被担保方与担保方还应签订担保合同，作为本合同附件。</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42.专利技术及特殊工艺</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42.1发包人要求使用专利技术或特殊工艺，应负责办理相应的申报手续，承担申报、试验、使用等费用；承包人提出使用专利技术或特殊工艺，应取得工程师认可，承包人负责办理申报手续并承担有关费用。</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42.2擅自使用专利技术侵犯他人专利权的，责任者依法承担相应责任。</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43.文物和地下障碍物</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43.1在施工中发现古墓、古建筑遗址等文物及化石或其他有考古、地质研究等价值的物品时，承包人应立即保护好现场并于4小时内以书面形式通知工程师，工程师应于收到书面通知后24小时内报告当地文物管理部门，发包人承包人按文物管理部门的要求采取妥善保护措施。发包人承担由此发生的费用，顺延延误的工期。</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如发现后隐瞒不报，致使文物遭受破坏，责任者依法承担相应责任。</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43.2施工中发现影响施工的地下障碍物时，承包人应于8小时内以书面形式通知工程师，同时提出处置方案，工程师收到处置方案后24小时内予以认可或提出修正方案。发包人承担由此发生的费用，顺延延误的工期。</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所发现的地下障碍物有归属单位时，发包人应报请有关部门协同处置</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44.合同解除</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44.1发包人承包人协商一致，可以解除合同。</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44.2发生本通用条款第26.4款情况，停止施工超过56天，发包人仍不支付工程款（进度款），承包人有权解除合同。</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44.3发生本通用条款第38.2款禁止的情况，承包人将其承包的全部工程转包给他人或者肢解以后以分包的包义分别转包给他人，发包人有权解除合同。</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44.4有下列情形之一的，发包人承包人可以解除合同：</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（1）因不可抗力致使合同无法履行；</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（2）因一方违约（包括因发包人原因造成工程停建或缓建）致使合同无法履行。</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44.5一方依据44.2、44.3、44.4款约定要求解除合同的，应以书面形式向对方发出解除合同的通知，并在发出通知前7天告知对方，通知到达对方时合同解除。对解除合同有争议的，按本通用条款第37条关于争议的约定处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44.6合同解除后，承包人应妥善做好已完工程和已购材料、设备的保护和移交工作，按发包人要求将自有机械设备和人员撤出施工场地。发包人应为承包人撤出提供必要条件，支付以上所发生的费用，并按合同约定支付已完工程价款。已经订货的材料、设备由订货方负责退货或解除订货合同，不能退还的货款和因退货、解除订货合同发生的费用，由发包人承担，因未及时退货造成的损失由责任方承担。除此之外，有过错的一方应当赔偿因合同解除给对方造成的损失。</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44.7合同解除后，不影响双方在合同中约定的结算和清理条款的效力。</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45.合同生效与终止</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45.1双方在协议书中约定合同生效方式。</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45.2除本通用条款第34条外，发包人承包人履行合同全部义务，竣工结算价款支付完毕，承包人向发包人交付竣工工程后，本合同即告终止。</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45.3合同的权利义务终止后，发包人承包人应当遵循诚实信用原则，履行通知、协助、保密等义务。</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46.合同份数</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46.1本合同正本两份，具有同等效力，由发包人承包人分别保存一份。</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w:t>
      </w:r>
      <w:r>
        <w:rPr>
          <w:rFonts w:hint="eastAsia" w:ascii="宋体" w:hAnsi="宋体" w:eastAsia="宋体" w:cs="宋体"/>
          <w:color w:val="auto"/>
          <w:sz w:val="21"/>
          <w:szCs w:val="21"/>
          <w:highlight w:val="none"/>
        </w:rPr>
        <w:t>46.2本合同副本份数，由双方根据需要在专用条款内约定。</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47.补充条款。</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双方根据有关法律、行政法规规定，结合工程实际，经协商一致后，可对本通用条款内容具体化、补充或修改，在专用条款内约定。</w:t>
      </w:r>
    </w:p>
    <w:p>
      <w:pPr>
        <w:pStyle w:val="51"/>
        <w:jc w:val="center"/>
        <w:rPr>
          <w:rFonts w:hint="eastAsia" w:ascii="宋体" w:hAnsi="宋体" w:eastAsia="宋体" w:cs="宋体"/>
          <w:color w:val="auto"/>
          <w:sz w:val="21"/>
          <w:szCs w:val="21"/>
          <w:highlight w:val="none"/>
        </w:rPr>
      </w:pPr>
      <w:bookmarkStart w:id="115" w:name="_Toc18917_WPSOffice_Level2"/>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eastAsia="zh-CN"/>
        </w:rPr>
        <w:t>三</w:t>
      </w:r>
      <w:r>
        <w:rPr>
          <w:rFonts w:hint="eastAsia" w:ascii="宋体" w:hAnsi="宋体" w:eastAsia="宋体" w:cs="宋体"/>
          <w:color w:val="auto"/>
          <w:sz w:val="21"/>
          <w:szCs w:val="21"/>
          <w:highlight w:val="none"/>
        </w:rPr>
        <w:t>节专用合同条款</w:t>
      </w:r>
      <w:bookmarkEnd w:id="115"/>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一、词语定义及合同文件</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rPr>
        <w:t>．合同文件及解释顺序</w:t>
      </w:r>
    </w:p>
    <w:p>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合同文件组成及解释顺序：（</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本合同协议书（</w:t>
      </w:r>
      <w:r>
        <w:rPr>
          <w:rFonts w:hint="eastAsia" w:ascii="宋体" w:hAnsi="宋体" w:eastAsia="宋体" w:cs="宋体"/>
          <w:color w:val="auto"/>
          <w:sz w:val="21"/>
          <w:szCs w:val="21"/>
          <w:highlight w:val="none"/>
          <w:u w:val="single"/>
        </w:rPr>
        <w:t>2</w:t>
      </w:r>
      <w:r>
        <w:rPr>
          <w:rFonts w:hint="eastAsia" w:ascii="宋体" w:hAnsi="宋体" w:eastAsia="宋体" w:cs="宋体"/>
          <w:color w:val="auto"/>
          <w:sz w:val="21"/>
          <w:szCs w:val="21"/>
          <w:highlight w:val="none"/>
          <w:u w:val="single"/>
        </w:rPr>
        <w:t>）中标通知书（</w:t>
      </w:r>
      <w:r>
        <w:rPr>
          <w:rFonts w:hint="eastAsia" w:ascii="宋体" w:hAnsi="宋体" w:eastAsia="宋体" w:cs="宋体"/>
          <w:color w:val="auto"/>
          <w:sz w:val="21"/>
          <w:szCs w:val="21"/>
          <w:highlight w:val="none"/>
          <w:u w:val="single"/>
        </w:rPr>
        <w:t>3</w:t>
      </w:r>
      <w:r>
        <w:rPr>
          <w:rFonts w:hint="eastAsia" w:ascii="宋体" w:hAnsi="宋体" w:eastAsia="宋体" w:cs="宋体"/>
          <w:color w:val="auto"/>
          <w:sz w:val="21"/>
          <w:szCs w:val="21"/>
          <w:highlight w:val="none"/>
          <w:u w:val="single"/>
        </w:rPr>
        <w:t>）本合同专用条款（</w:t>
      </w:r>
      <w:r>
        <w:rPr>
          <w:rFonts w:hint="eastAsia" w:ascii="宋体" w:hAnsi="宋体" w:eastAsia="宋体" w:cs="宋体"/>
          <w:color w:val="auto"/>
          <w:sz w:val="21"/>
          <w:szCs w:val="21"/>
          <w:highlight w:val="none"/>
          <w:u w:val="single"/>
        </w:rPr>
        <w:t>4</w:t>
      </w:r>
      <w:r>
        <w:rPr>
          <w:rFonts w:hint="eastAsia" w:ascii="宋体" w:hAnsi="宋体" w:eastAsia="宋体" w:cs="宋体"/>
          <w:color w:val="auto"/>
          <w:sz w:val="21"/>
          <w:szCs w:val="21"/>
          <w:highlight w:val="none"/>
          <w:u w:val="single"/>
        </w:rPr>
        <w:t>）补充协议（</w:t>
      </w:r>
      <w:r>
        <w:rPr>
          <w:rFonts w:hint="eastAsia" w:ascii="宋体" w:hAnsi="宋体" w:eastAsia="宋体" w:cs="宋体"/>
          <w:color w:val="auto"/>
          <w:sz w:val="21"/>
          <w:szCs w:val="21"/>
          <w:highlight w:val="none"/>
          <w:u w:val="single"/>
        </w:rPr>
        <w:t>5</w:t>
      </w:r>
      <w:r>
        <w:rPr>
          <w:rFonts w:hint="eastAsia" w:ascii="宋体" w:hAnsi="宋体" w:eastAsia="宋体" w:cs="宋体"/>
          <w:color w:val="auto"/>
          <w:sz w:val="21"/>
          <w:szCs w:val="21"/>
          <w:highlight w:val="none"/>
          <w:u w:val="single"/>
        </w:rPr>
        <w:t>）采购文件及附件（</w:t>
      </w:r>
      <w:r>
        <w:rPr>
          <w:rFonts w:hint="eastAsia" w:ascii="宋体" w:hAnsi="宋体" w:eastAsia="宋体" w:cs="宋体"/>
          <w:color w:val="auto"/>
          <w:sz w:val="21"/>
          <w:szCs w:val="21"/>
          <w:highlight w:val="none"/>
          <w:u w:val="single"/>
        </w:rPr>
        <w:t>6</w:t>
      </w:r>
      <w:r>
        <w:rPr>
          <w:rFonts w:hint="eastAsia" w:ascii="宋体" w:hAnsi="宋体" w:eastAsia="宋体" w:cs="宋体"/>
          <w:color w:val="auto"/>
          <w:sz w:val="21"/>
          <w:szCs w:val="21"/>
          <w:highlight w:val="none"/>
          <w:u w:val="single"/>
        </w:rPr>
        <w:t>）响应文件及附件（</w:t>
      </w:r>
      <w:r>
        <w:rPr>
          <w:rFonts w:hint="eastAsia" w:ascii="宋体" w:hAnsi="宋体" w:eastAsia="宋体" w:cs="宋体"/>
          <w:color w:val="auto"/>
          <w:sz w:val="21"/>
          <w:szCs w:val="21"/>
          <w:highlight w:val="none"/>
          <w:u w:val="single"/>
        </w:rPr>
        <w:t>7</w:t>
      </w:r>
      <w:r>
        <w:rPr>
          <w:rFonts w:hint="eastAsia" w:ascii="宋体" w:hAnsi="宋体" w:eastAsia="宋体" w:cs="宋体"/>
          <w:color w:val="auto"/>
          <w:sz w:val="21"/>
          <w:szCs w:val="21"/>
          <w:highlight w:val="none"/>
          <w:u w:val="single"/>
        </w:rPr>
        <w:t>）本合同通用条款（8）技术标准及规范等。</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rPr>
        <w:t>语言文字和适用法律、标准及规范</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3.1 </w:t>
      </w:r>
      <w:r>
        <w:rPr>
          <w:rFonts w:hint="eastAsia" w:ascii="宋体" w:hAnsi="宋体" w:eastAsia="宋体" w:cs="宋体"/>
          <w:color w:val="auto"/>
          <w:sz w:val="21"/>
          <w:szCs w:val="21"/>
          <w:highlight w:val="none"/>
        </w:rPr>
        <w:t>本合同除使用汉语外，还使用</w:t>
      </w:r>
      <w:r>
        <w:rPr>
          <w:rFonts w:hint="eastAsia" w:ascii="宋体" w:hAnsi="宋体" w:eastAsia="宋体" w:cs="宋体"/>
          <w:color w:val="auto"/>
          <w:sz w:val="21"/>
          <w:szCs w:val="21"/>
          <w:highlight w:val="none"/>
          <w:u w:val="single"/>
        </w:rPr>
        <w:t>无</w:t>
      </w:r>
      <w:r>
        <w:rPr>
          <w:rFonts w:hint="eastAsia" w:ascii="宋体" w:hAnsi="宋体" w:eastAsia="宋体" w:cs="宋体"/>
          <w:color w:val="auto"/>
          <w:sz w:val="21"/>
          <w:szCs w:val="21"/>
          <w:highlight w:val="none"/>
        </w:rPr>
        <w:t>语言文字。</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rPr>
        <w:t>适用法律和法规</w:t>
      </w:r>
    </w:p>
    <w:p>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需要明示的法律、行政法规：</w:t>
      </w:r>
      <w:r>
        <w:rPr>
          <w:rFonts w:hint="eastAsia" w:ascii="宋体" w:hAnsi="宋体" w:eastAsia="宋体" w:cs="宋体"/>
          <w:color w:val="auto"/>
          <w:sz w:val="21"/>
          <w:szCs w:val="21"/>
          <w:highlight w:val="none"/>
          <w:u w:val="single"/>
        </w:rPr>
        <w:t>《中华人民共和国建筑法》、《中华人民共和国合同法》、《中华人民共和国招标投标法》、《中华人民共和国安全生产法》、《建筑工程质量管理条例》、《建设工程安全生产管理条例》及现行相关法律、法规。</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w:t>
      </w:r>
      <w:r>
        <w:rPr>
          <w:rFonts w:hint="eastAsia" w:ascii="宋体" w:hAnsi="宋体" w:eastAsia="宋体" w:cs="宋体"/>
          <w:color w:val="auto"/>
          <w:sz w:val="21"/>
          <w:szCs w:val="21"/>
          <w:highlight w:val="none"/>
        </w:rPr>
        <w:t>适用标准、规范</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适用标准、规范的名称：</w:t>
      </w:r>
      <w:r>
        <w:rPr>
          <w:rFonts w:hint="eastAsia" w:ascii="宋体" w:hAnsi="宋体" w:eastAsia="宋体" w:cs="宋体"/>
          <w:color w:val="auto"/>
          <w:sz w:val="21"/>
          <w:szCs w:val="21"/>
          <w:highlight w:val="none"/>
          <w:u w:val="single"/>
        </w:rPr>
        <w:t>现行的国家、地方和行业质量标准、规范、《建筑工程施工质量验收统一标准</w:t>
      </w:r>
      <w:r>
        <w:rPr>
          <w:rFonts w:hint="eastAsia" w:ascii="宋体" w:hAnsi="宋体" w:eastAsia="宋体" w:cs="宋体"/>
          <w:color w:val="auto"/>
          <w:sz w:val="21"/>
          <w:szCs w:val="21"/>
          <w:highlight w:val="none"/>
          <w:u w:val="single"/>
        </w:rPr>
        <w:t>GB50300-2013</w:t>
      </w:r>
      <w:r>
        <w:rPr>
          <w:rFonts w:hint="eastAsia" w:ascii="宋体" w:hAnsi="宋体" w:eastAsia="宋体" w:cs="宋体"/>
          <w:color w:val="auto"/>
          <w:sz w:val="21"/>
          <w:szCs w:val="21"/>
          <w:highlight w:val="none"/>
          <w:u w:val="singl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发包人提供标准、规范的时间：</w:t>
      </w:r>
      <w:r>
        <w:rPr>
          <w:rFonts w:hint="eastAsia" w:ascii="宋体" w:hAnsi="宋体" w:eastAsia="宋体" w:cs="宋体"/>
          <w:color w:val="auto"/>
          <w:sz w:val="21"/>
          <w:szCs w:val="21"/>
          <w:highlight w:val="none"/>
          <w:u w:val="single"/>
        </w:rPr>
        <w:t>本合同签订之日。</w:t>
      </w:r>
    </w:p>
    <w:p>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国内没有相应标准、规范的约定：</w:t>
      </w:r>
      <w:r>
        <w:rPr>
          <w:rFonts w:hint="eastAsia" w:ascii="宋体" w:hAnsi="宋体" w:eastAsia="宋体" w:cs="宋体"/>
          <w:color w:val="auto"/>
          <w:sz w:val="21"/>
          <w:szCs w:val="21"/>
          <w:highlight w:val="none"/>
          <w:u w:val="single"/>
        </w:rPr>
        <w:t>按地方、行业协会及企业标准、规范、规定、经发包人、承包人双方确认后执行。</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rPr>
        <w:t>．图纸</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w:t>
      </w:r>
      <w:r>
        <w:rPr>
          <w:rFonts w:hint="eastAsia" w:ascii="宋体" w:hAnsi="宋体" w:eastAsia="宋体" w:cs="宋体"/>
          <w:color w:val="auto"/>
          <w:sz w:val="21"/>
          <w:szCs w:val="21"/>
          <w:highlight w:val="none"/>
        </w:rPr>
        <w:t>发包人向承包人提供图纸日期和套数：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 xml:space="preserve">开工前提供蓝图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发包人对图纸的保密要求：</w:t>
      </w:r>
      <w:r>
        <w:rPr>
          <w:rFonts w:hint="eastAsia" w:ascii="宋体" w:hAnsi="宋体" w:eastAsia="宋体" w:cs="宋体"/>
          <w:color w:val="auto"/>
          <w:sz w:val="21"/>
          <w:szCs w:val="21"/>
          <w:highlight w:val="none"/>
          <w:u w:val="single"/>
        </w:rPr>
        <w:t xml:space="preserve">   /    </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使用国外图纸的要求及费用承担：</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二、双方一般权利和义务</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rPr>
        <w:t>工程师</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w:t>
      </w:r>
      <w:r>
        <w:rPr>
          <w:rFonts w:hint="eastAsia" w:ascii="宋体" w:hAnsi="宋体" w:eastAsia="宋体" w:cs="宋体"/>
          <w:color w:val="auto"/>
          <w:sz w:val="21"/>
          <w:szCs w:val="21"/>
          <w:highlight w:val="none"/>
        </w:rPr>
        <w:t>监理单位委派的工程师</w:t>
      </w:r>
    </w:p>
    <w:p>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姓名：         职务：</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发包人委托的职权：</w:t>
      </w:r>
      <w:r>
        <w:rPr>
          <w:rFonts w:hint="eastAsia" w:ascii="宋体" w:hAnsi="宋体" w:eastAsia="宋体" w:cs="宋体"/>
          <w:color w:val="auto"/>
          <w:sz w:val="21"/>
          <w:szCs w:val="21"/>
          <w:highlight w:val="none"/>
          <w:u w:val="single"/>
        </w:rPr>
        <w:t xml:space="preserve">         /              </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需要取得发包人批准才能行使的职权：</w:t>
      </w:r>
      <w:r>
        <w:rPr>
          <w:rFonts w:hint="eastAsia" w:ascii="宋体" w:hAnsi="宋体" w:eastAsia="宋体" w:cs="宋体"/>
          <w:color w:val="auto"/>
          <w:sz w:val="21"/>
          <w:szCs w:val="21"/>
          <w:highlight w:val="none"/>
          <w:u w:val="single"/>
        </w:rPr>
        <w:t xml:space="preserve">             /                  </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w:t>
      </w:r>
      <w:r>
        <w:rPr>
          <w:rFonts w:hint="eastAsia" w:ascii="宋体" w:hAnsi="宋体" w:eastAsia="宋体" w:cs="宋体"/>
          <w:color w:val="auto"/>
          <w:sz w:val="21"/>
          <w:szCs w:val="21"/>
          <w:highlight w:val="none"/>
        </w:rPr>
        <w:t>发包人派驻的工程师</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姓名：            职务：  </w:t>
      </w:r>
    </w:p>
    <w:p>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职权：</w:t>
      </w:r>
    </w:p>
    <w:p>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5.6</w:t>
      </w:r>
      <w:r>
        <w:rPr>
          <w:rFonts w:hint="eastAsia" w:ascii="宋体" w:hAnsi="宋体" w:eastAsia="宋体" w:cs="宋体"/>
          <w:color w:val="auto"/>
          <w:sz w:val="21"/>
          <w:szCs w:val="21"/>
          <w:highlight w:val="none"/>
        </w:rPr>
        <w:t>工程师的职权：</w:t>
      </w:r>
      <w:r>
        <w:rPr>
          <w:rFonts w:hint="eastAsia" w:ascii="宋体" w:hAnsi="宋体" w:eastAsia="宋体" w:cs="宋体"/>
          <w:color w:val="auto"/>
          <w:sz w:val="21"/>
          <w:szCs w:val="21"/>
          <w:highlight w:val="none"/>
          <w:u w:val="single"/>
        </w:rPr>
        <w:t>督促本合同的实施，协调处理工程施工中出现的问题，签证并确认施工中变更联系单和相关费用，负责施工全过程质量监督和检验，签署工序验收单，隐蔽工程验收单，审核工程进度和竣工验收报告，按合同条款签付工程进度款，监督施工进度和督促资料的完成。</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7</w:t>
      </w:r>
      <w:r>
        <w:rPr>
          <w:rFonts w:hint="eastAsia" w:ascii="宋体" w:hAnsi="宋体" w:eastAsia="宋体" w:cs="宋体"/>
          <w:color w:val="auto"/>
          <w:sz w:val="21"/>
          <w:szCs w:val="21"/>
          <w:highlight w:val="none"/>
        </w:rPr>
        <w:t>．项目负责人</w:t>
      </w:r>
    </w:p>
    <w:p>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姓名：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职务：</w:t>
      </w:r>
      <w:r>
        <w:rPr>
          <w:rFonts w:hint="eastAsia" w:ascii="宋体" w:hAnsi="宋体" w:eastAsia="宋体" w:cs="宋体"/>
          <w:color w:val="auto"/>
          <w:sz w:val="21"/>
          <w:szCs w:val="21"/>
          <w:highlight w:val="none"/>
          <w:u w:val="single"/>
        </w:rPr>
        <w:t>项目负责人</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rPr>
        <w:t>．发包人工作</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w:t>
      </w:r>
      <w:r>
        <w:rPr>
          <w:rFonts w:hint="eastAsia" w:ascii="宋体" w:hAnsi="宋体" w:eastAsia="宋体" w:cs="宋体"/>
          <w:color w:val="auto"/>
          <w:sz w:val="21"/>
          <w:szCs w:val="21"/>
          <w:highlight w:val="none"/>
        </w:rPr>
        <w:t>发包人应按约定的时间和要求完成以下工作：</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rPr>
        <w:t>）施工场地具备施工条件的要求及完成的时间：</w:t>
      </w:r>
      <w:r>
        <w:rPr>
          <w:rFonts w:hint="eastAsia" w:ascii="宋体" w:hAnsi="宋体" w:eastAsia="宋体" w:cs="宋体"/>
          <w:color w:val="auto"/>
          <w:sz w:val="21"/>
          <w:szCs w:val="21"/>
          <w:highlight w:val="none"/>
          <w:u w:val="single"/>
        </w:rPr>
        <w:t>已具备。</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rPr>
        <w:t>）将施工所需的水、电、电讯线路接至施工场地的时间、地点和供应要求：</w:t>
      </w:r>
      <w:r>
        <w:rPr>
          <w:rFonts w:hint="eastAsia" w:ascii="宋体" w:hAnsi="宋体" w:eastAsia="宋体" w:cs="宋体"/>
          <w:color w:val="auto"/>
          <w:sz w:val="21"/>
          <w:szCs w:val="21"/>
          <w:highlight w:val="none"/>
          <w:u w:val="single"/>
        </w:rPr>
        <w:t>发包人提供施工所需的水、电、电讯线路的接入口，承包人负责安装单独计量表接入，产生的水电等一切费用由承包人自行承担，并另行向发包人支付。如无法安装水电表，则按规定将从工程款中扣除水电费（按定额含量扣除）</w:t>
      </w:r>
    </w:p>
    <w:p>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rPr>
        <w:t>）施工场地与公共道路的通道开通时间和要求：</w:t>
      </w:r>
      <w:r>
        <w:rPr>
          <w:rFonts w:hint="eastAsia" w:ascii="宋体" w:hAnsi="宋体" w:eastAsia="宋体" w:cs="宋体"/>
          <w:color w:val="auto"/>
          <w:sz w:val="21"/>
          <w:szCs w:val="21"/>
          <w:highlight w:val="none"/>
          <w:u w:val="single"/>
        </w:rPr>
        <w:t>已开通。</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rPr>
        <w:t>）工程地质和地下管线资料的提供时间：</w:t>
      </w:r>
      <w:r>
        <w:rPr>
          <w:rFonts w:hint="eastAsia" w:ascii="宋体" w:hAnsi="宋体" w:eastAsia="宋体" w:cs="宋体"/>
          <w:color w:val="auto"/>
          <w:sz w:val="21"/>
          <w:szCs w:val="21"/>
          <w:highlight w:val="none"/>
          <w:u w:val="single"/>
        </w:rPr>
        <w:t xml:space="preserve">          /              </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rPr>
        <w:t>）由发包人办理的施工所需证件、批件的名称和完成时间：</w:t>
      </w:r>
      <w:r>
        <w:rPr>
          <w:rFonts w:hint="eastAsia" w:ascii="宋体" w:hAnsi="宋体" w:eastAsia="宋体" w:cs="宋体"/>
          <w:color w:val="auto"/>
          <w:sz w:val="21"/>
          <w:szCs w:val="21"/>
          <w:highlight w:val="none"/>
          <w:u w:val="single"/>
        </w:rPr>
        <w:t xml:space="preserve">   /     </w:t>
      </w:r>
    </w:p>
    <w:p>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rPr>
        <w:t>）水准点与座标控制点交验要求：</w:t>
      </w:r>
      <w:r>
        <w:rPr>
          <w:rFonts w:hint="eastAsia" w:ascii="宋体" w:hAnsi="宋体" w:eastAsia="宋体" w:cs="宋体"/>
          <w:color w:val="auto"/>
          <w:sz w:val="21"/>
          <w:szCs w:val="21"/>
          <w:highlight w:val="none"/>
          <w:u w:val="single"/>
        </w:rPr>
        <w:t xml:space="preserve">       /          </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rPr>
        <w:t>）图纸会审和设计交底时间：</w:t>
      </w:r>
      <w:r>
        <w:rPr>
          <w:rFonts w:hint="eastAsia" w:ascii="宋体" w:hAnsi="宋体" w:eastAsia="宋体" w:cs="宋体"/>
          <w:color w:val="auto"/>
          <w:sz w:val="21"/>
          <w:szCs w:val="21"/>
          <w:highlight w:val="none"/>
          <w:u w:val="single"/>
        </w:rPr>
        <w:t xml:space="preserve">            /          </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rPr>
        <w:t>）协调处理施工场地周围地下管线和邻近建筑物、构筑物（含文物保护建筑）、古树名木的保护工作.</w:t>
      </w:r>
    </w:p>
    <w:p>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rPr>
        <w:t>）双方约定发包工应做的其他工作：</w:t>
      </w:r>
      <w:r>
        <w:rPr>
          <w:rFonts w:hint="eastAsia" w:ascii="宋体" w:hAnsi="宋体" w:eastAsia="宋体" w:cs="宋体"/>
          <w:color w:val="auto"/>
          <w:sz w:val="21"/>
          <w:szCs w:val="21"/>
          <w:highlight w:val="none"/>
          <w:u w:val="single"/>
        </w:rPr>
        <w:t xml:space="preserve">       /    </w:t>
      </w:r>
    </w:p>
    <w:p>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8.2</w:t>
      </w:r>
      <w:r>
        <w:rPr>
          <w:rFonts w:hint="eastAsia" w:ascii="宋体" w:hAnsi="宋体" w:eastAsia="宋体" w:cs="宋体"/>
          <w:color w:val="auto"/>
          <w:sz w:val="21"/>
          <w:szCs w:val="21"/>
          <w:highlight w:val="none"/>
        </w:rPr>
        <w:t>发包人委托承包人办理的工作：</w:t>
      </w:r>
      <w:r>
        <w:rPr>
          <w:rFonts w:hint="eastAsia" w:ascii="宋体" w:hAnsi="宋体" w:eastAsia="宋体" w:cs="宋体"/>
          <w:color w:val="auto"/>
          <w:sz w:val="21"/>
          <w:szCs w:val="21"/>
          <w:highlight w:val="none"/>
          <w:u w:val="single"/>
        </w:rPr>
        <w:t xml:space="preserve">         /      </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rPr>
        <w:t>．承包人工作</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w:t>
      </w:r>
      <w:r>
        <w:rPr>
          <w:rFonts w:hint="eastAsia" w:ascii="宋体" w:hAnsi="宋体" w:eastAsia="宋体" w:cs="宋体"/>
          <w:color w:val="auto"/>
          <w:sz w:val="21"/>
          <w:szCs w:val="21"/>
          <w:highlight w:val="none"/>
        </w:rPr>
        <w:t>承包人应按约定时间和要求，完成以下工作：</w:t>
      </w:r>
    </w:p>
    <w:p>
      <w:pPr>
        <w:spacing w:line="360" w:lineRule="auto"/>
        <w:ind w:left="125" w:leftChars="57" w:firstLine="333" w:firstLineChars="15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rPr>
        <w:t>）需由设计资质等级和业务范围允许的承包人完成的设计文件提交时间：</w:t>
      </w:r>
      <w:r>
        <w:rPr>
          <w:rFonts w:hint="eastAsia" w:ascii="宋体" w:hAnsi="宋体" w:eastAsia="宋体" w:cs="宋体"/>
          <w:color w:val="auto"/>
          <w:sz w:val="21"/>
          <w:szCs w:val="21"/>
          <w:highlight w:val="none"/>
          <w:u w:val="single"/>
        </w:rPr>
        <w:t xml:space="preserve">  /   </w:t>
      </w:r>
    </w:p>
    <w:p>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rPr>
        <w:t>）应提供计划、报表的名称及完成时间：</w:t>
      </w:r>
      <w:r>
        <w:rPr>
          <w:rFonts w:hint="eastAsia" w:ascii="宋体" w:hAnsi="宋体" w:eastAsia="宋体" w:cs="宋体"/>
          <w:color w:val="auto"/>
          <w:sz w:val="21"/>
          <w:szCs w:val="21"/>
          <w:highlight w:val="none"/>
          <w:u w:val="single"/>
        </w:rPr>
        <w:t xml:space="preserve">     /     </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rPr>
        <w:t>）承担施工安全保卫工作及非夜间施工照明的责任和要求：</w:t>
      </w:r>
      <w:r>
        <w:rPr>
          <w:rFonts w:hint="eastAsia" w:ascii="宋体" w:hAnsi="宋体" w:eastAsia="宋体" w:cs="宋体"/>
          <w:color w:val="auto"/>
          <w:sz w:val="21"/>
          <w:szCs w:val="21"/>
          <w:highlight w:val="none"/>
          <w:u w:val="single"/>
        </w:rPr>
        <w:t>承包人施工过程中负责安全保卫，确保场内人员及过路行人的安全。</w:t>
      </w:r>
    </w:p>
    <w:p>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rPr>
        <w:t>）向发包人提供的办公和生活房屋及设施的要求：</w:t>
      </w:r>
      <w:r>
        <w:rPr>
          <w:rFonts w:hint="eastAsia" w:ascii="宋体" w:hAnsi="宋体" w:eastAsia="宋体" w:cs="宋体"/>
          <w:color w:val="auto"/>
          <w:sz w:val="21"/>
          <w:szCs w:val="21"/>
          <w:highlight w:val="none"/>
          <w:u w:val="single"/>
        </w:rPr>
        <w:t xml:space="preserve">     /   </w:t>
      </w:r>
    </w:p>
    <w:p>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rPr>
        <w:t>）需承包人办理的有关施工场地交通、环卫和施工噪音管理等手续：</w:t>
      </w:r>
      <w:r>
        <w:rPr>
          <w:rFonts w:hint="eastAsia" w:ascii="宋体" w:hAnsi="宋体" w:eastAsia="宋体" w:cs="宋体"/>
          <w:color w:val="auto"/>
          <w:sz w:val="21"/>
          <w:szCs w:val="21"/>
          <w:highlight w:val="none"/>
          <w:u w:val="single"/>
        </w:rPr>
        <w:t xml:space="preserve"> / </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rPr>
        <w:t>）已完工程成品保护的特殊要求及费用承担：</w:t>
      </w:r>
      <w:r>
        <w:rPr>
          <w:rFonts w:hint="eastAsia" w:ascii="宋体" w:hAnsi="宋体" w:eastAsia="宋体" w:cs="宋体"/>
          <w:color w:val="auto"/>
          <w:sz w:val="21"/>
          <w:szCs w:val="21"/>
          <w:highlight w:val="none"/>
          <w:u w:val="single"/>
        </w:rPr>
        <w:t>在未竣工验收交货前，成品保护及费用均由承包人承担。</w:t>
      </w:r>
    </w:p>
    <w:p>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rPr>
        <w:t>）施工场地周围地下管线和邻近建筑物、构筑物（含文物保护建筑）、古树名木的保护要求及费用承担：</w:t>
      </w:r>
      <w:r>
        <w:rPr>
          <w:rFonts w:hint="eastAsia" w:ascii="宋体" w:hAnsi="宋体" w:eastAsia="宋体" w:cs="宋体"/>
          <w:color w:val="auto"/>
          <w:sz w:val="21"/>
          <w:szCs w:val="21"/>
          <w:highlight w:val="none"/>
          <w:u w:val="single"/>
        </w:rPr>
        <w:t>由承包人负责保护并承担费用。</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rPr>
        <w:t>）施工场地清洁卫生的要求：</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每天清扫一次，现场公共部位的清洁工作，工程完工后</w:t>
      </w:r>
      <w:r>
        <w:rPr>
          <w:rFonts w:hint="eastAsia" w:ascii="宋体" w:hAnsi="宋体" w:eastAsia="宋体" w:cs="宋体"/>
          <w:color w:val="auto"/>
          <w:sz w:val="21"/>
          <w:szCs w:val="21"/>
          <w:highlight w:val="none"/>
          <w:u w:val="single"/>
        </w:rPr>
        <w:t>2</w:t>
      </w:r>
      <w:r>
        <w:rPr>
          <w:rFonts w:hint="eastAsia" w:ascii="宋体" w:hAnsi="宋体" w:eastAsia="宋体" w:cs="宋体"/>
          <w:color w:val="auto"/>
          <w:sz w:val="21"/>
          <w:szCs w:val="21"/>
          <w:highlight w:val="none"/>
          <w:u w:val="single"/>
        </w:rPr>
        <w:t>天内现场应清除所有不再需要的临时工程，承包人的设备和多余材料，全部建筑和生活垃圾。</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rPr>
        <w:t>）双方约定承包人应做的其他工作：</w:t>
      </w:r>
    </w:p>
    <w:p>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施工期间，休息时段（早、中、晚）施工场地应不影响学校正常通行。</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三、施工组织设计和工期</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rPr>
        <w:t>．进度计划</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w:t>
      </w:r>
      <w:r>
        <w:rPr>
          <w:rFonts w:hint="eastAsia" w:ascii="宋体" w:hAnsi="宋体" w:eastAsia="宋体" w:cs="宋体"/>
          <w:color w:val="auto"/>
          <w:sz w:val="21"/>
          <w:szCs w:val="21"/>
          <w:highlight w:val="none"/>
        </w:rPr>
        <w:t>承包人提供施工组织设计（施工方案）和进度计划的时间：</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开工前              天提交施工组织设计，并同时提交进度计划。</w:t>
      </w:r>
    </w:p>
    <w:p>
      <w:pPr>
        <w:spacing w:line="360" w:lineRule="auto"/>
        <w:ind w:firstLine="420" w:firstLineChars="200"/>
        <w:rPr>
          <w:rFonts w:hint="eastAsia" w:ascii="宋体" w:hAnsi="宋体" w:eastAsia="宋体" w:cs="宋体"/>
          <w:i/>
          <w:iCs/>
          <w:color w:val="auto"/>
          <w:sz w:val="21"/>
          <w:szCs w:val="21"/>
          <w:highlight w:val="none"/>
          <w:u w:val="single"/>
        </w:rPr>
      </w:pPr>
      <w:r>
        <w:rPr>
          <w:rFonts w:hint="eastAsia" w:ascii="宋体" w:hAnsi="宋体" w:eastAsia="宋体" w:cs="宋体"/>
          <w:color w:val="auto"/>
          <w:sz w:val="21"/>
          <w:szCs w:val="21"/>
          <w:highlight w:val="none"/>
        </w:rPr>
        <w:t>工程师确认的时间：</w:t>
      </w:r>
      <w:r>
        <w:rPr>
          <w:rFonts w:hint="eastAsia" w:ascii="宋体" w:hAnsi="宋体" w:eastAsia="宋体" w:cs="宋体"/>
          <w:color w:val="auto"/>
          <w:sz w:val="21"/>
          <w:szCs w:val="21"/>
          <w:highlight w:val="none"/>
          <w:u w:val="single"/>
        </w:rPr>
        <w:t>收到完整资料后一周。</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10.2</w:t>
      </w:r>
      <w:r>
        <w:rPr>
          <w:rFonts w:hint="eastAsia" w:ascii="宋体" w:hAnsi="宋体" w:eastAsia="宋体" w:cs="宋体"/>
          <w:color w:val="auto"/>
          <w:sz w:val="21"/>
          <w:szCs w:val="21"/>
          <w:highlight w:val="none"/>
        </w:rPr>
        <w:t>群体工程中有关进度计划的要求：</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r>
        <w:rPr>
          <w:rFonts w:hint="eastAsia" w:ascii="宋体" w:hAnsi="宋体" w:eastAsia="宋体" w:cs="宋体"/>
          <w:color w:val="auto"/>
          <w:sz w:val="21"/>
          <w:szCs w:val="21"/>
          <w:highlight w:val="none"/>
        </w:rPr>
        <w:t>．工期延误</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w:t>
      </w:r>
      <w:r>
        <w:rPr>
          <w:rFonts w:hint="eastAsia" w:ascii="宋体" w:hAnsi="宋体" w:eastAsia="宋体" w:cs="宋体"/>
          <w:color w:val="auto"/>
          <w:sz w:val="21"/>
          <w:szCs w:val="21"/>
          <w:highlight w:val="none"/>
        </w:rPr>
        <w:t>双方约定工期顺延的其他情况：</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遇不可抗力情况，国家法规规定可顺延条件及发包人责任引起的工期延误，经承包人申报，发包人批准后，可顺延工期。设计变更或者甲方原因引起的延期。</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非上述原因引起的工期延误，</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rPr>
        <w:t>天以内的按</w:t>
      </w:r>
      <w:r>
        <w:rPr>
          <w:rFonts w:hint="eastAsia" w:ascii="宋体" w:hAnsi="宋体" w:eastAsia="宋体" w:cs="宋体"/>
          <w:color w:val="auto"/>
          <w:sz w:val="21"/>
          <w:szCs w:val="21"/>
          <w:highlight w:val="none"/>
        </w:rPr>
        <w:t>3000</w:t>
      </w:r>
      <w:r>
        <w:rPr>
          <w:rFonts w:hint="eastAsia" w:ascii="宋体" w:hAnsi="宋体" w:eastAsia="宋体" w:cs="宋体"/>
          <w:color w:val="auto"/>
          <w:sz w:val="21"/>
          <w:szCs w:val="21"/>
          <w:highlight w:val="none"/>
        </w:rPr>
        <w:t>元人民币</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天扣除工期延误费，</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rPr>
        <w:t>天以上的，则以上天数按</w:t>
      </w:r>
      <w:r>
        <w:rPr>
          <w:rFonts w:hint="eastAsia" w:ascii="宋体" w:hAnsi="宋体" w:eastAsia="宋体" w:cs="宋体"/>
          <w:color w:val="auto"/>
          <w:sz w:val="21"/>
          <w:szCs w:val="21"/>
          <w:highlight w:val="none"/>
        </w:rPr>
        <w:t>5000</w:t>
      </w:r>
      <w:r>
        <w:rPr>
          <w:rFonts w:hint="eastAsia" w:ascii="宋体" w:hAnsi="宋体" w:eastAsia="宋体" w:cs="宋体"/>
          <w:color w:val="auto"/>
          <w:sz w:val="21"/>
          <w:szCs w:val="21"/>
          <w:highlight w:val="none"/>
        </w:rPr>
        <w:t>元人民币</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天计算。</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四、质量与验收</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r>
        <w:rPr>
          <w:rFonts w:hint="eastAsia" w:ascii="宋体" w:hAnsi="宋体" w:eastAsia="宋体" w:cs="宋体"/>
          <w:color w:val="auto"/>
          <w:sz w:val="21"/>
          <w:szCs w:val="21"/>
          <w:highlight w:val="none"/>
        </w:rPr>
        <w:t>隐蔽工程和中间验收</w:t>
      </w:r>
    </w:p>
    <w:p>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17.1</w:t>
      </w:r>
      <w:r>
        <w:rPr>
          <w:rFonts w:hint="eastAsia" w:ascii="宋体" w:hAnsi="宋体" w:eastAsia="宋体" w:cs="宋体"/>
          <w:color w:val="auto"/>
          <w:sz w:val="21"/>
          <w:szCs w:val="21"/>
          <w:highlight w:val="none"/>
        </w:rPr>
        <w:t>双方约定中间验收部位：</w:t>
      </w:r>
      <w:r>
        <w:rPr>
          <w:rFonts w:hint="eastAsia" w:ascii="宋体" w:hAnsi="宋体" w:eastAsia="宋体" w:cs="宋体"/>
          <w:color w:val="auto"/>
          <w:sz w:val="21"/>
          <w:szCs w:val="21"/>
          <w:highlight w:val="none"/>
          <w:u w:val="single"/>
        </w:rPr>
        <w:t>由建设单位跟踪验收，总体工程质量符合《工程施工质量验收规范</w:t>
      </w:r>
      <w:r>
        <w:rPr>
          <w:rFonts w:hint="eastAsia" w:ascii="宋体" w:hAnsi="宋体" w:eastAsia="宋体" w:cs="宋体"/>
          <w:color w:val="auto"/>
          <w:sz w:val="21"/>
          <w:szCs w:val="21"/>
          <w:highlight w:val="none"/>
          <w:u w:val="single"/>
        </w:rPr>
        <w:t>GB50300-2013</w:t>
      </w:r>
      <w:r>
        <w:rPr>
          <w:rFonts w:hint="eastAsia" w:ascii="宋体" w:hAnsi="宋体" w:eastAsia="宋体" w:cs="宋体"/>
          <w:color w:val="auto"/>
          <w:sz w:val="21"/>
          <w:szCs w:val="21"/>
          <w:highlight w:val="none"/>
          <w:u w:val="single"/>
        </w:rPr>
        <w:t>》标准。</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r>
        <w:rPr>
          <w:rFonts w:hint="eastAsia" w:ascii="宋体" w:hAnsi="宋体" w:eastAsia="宋体" w:cs="宋体"/>
          <w:color w:val="auto"/>
          <w:sz w:val="21"/>
          <w:szCs w:val="21"/>
          <w:highlight w:val="none"/>
        </w:rPr>
        <w:t>．工程试车</w:t>
      </w:r>
    </w:p>
    <w:p>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19.5</w:t>
      </w:r>
      <w:r>
        <w:rPr>
          <w:rFonts w:hint="eastAsia" w:ascii="宋体" w:hAnsi="宋体" w:eastAsia="宋体" w:cs="宋体"/>
          <w:color w:val="auto"/>
          <w:sz w:val="21"/>
          <w:szCs w:val="21"/>
          <w:highlight w:val="none"/>
        </w:rPr>
        <w:t>试车费用的承担：</w:t>
      </w:r>
      <w:r>
        <w:rPr>
          <w:rFonts w:hint="eastAsia" w:ascii="宋体" w:hAnsi="宋体" w:eastAsia="宋体" w:cs="宋体"/>
          <w:color w:val="auto"/>
          <w:sz w:val="21"/>
          <w:szCs w:val="21"/>
          <w:highlight w:val="none"/>
          <w:u w:val="single"/>
        </w:rPr>
        <w:t xml:space="preserve">  /  </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五、安全施工</w:t>
      </w:r>
    </w:p>
    <w:p>
      <w:pPr>
        <w:adjustRightInd w:val="0"/>
        <w:snapToGrid w:val="0"/>
        <w:spacing w:line="44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严格执行</w:t>
      </w:r>
      <w:r>
        <w:rPr>
          <w:rFonts w:hint="eastAsia" w:ascii="宋体" w:hAnsi="宋体" w:eastAsia="宋体" w:cs="宋体"/>
          <w:color w:val="auto"/>
          <w:sz w:val="21"/>
          <w:szCs w:val="21"/>
          <w:highlight w:val="none"/>
          <w:u w:val="single"/>
        </w:rPr>
        <w:t>JG59-99</w:t>
      </w:r>
      <w:r>
        <w:rPr>
          <w:rFonts w:hint="eastAsia" w:ascii="宋体" w:hAnsi="宋体" w:eastAsia="宋体" w:cs="宋体"/>
          <w:color w:val="auto"/>
          <w:sz w:val="21"/>
          <w:szCs w:val="21"/>
          <w:highlight w:val="none"/>
          <w:u w:val="single"/>
        </w:rPr>
        <w:t>标准并参照通用条款第</w:t>
      </w:r>
      <w:r>
        <w:rPr>
          <w:rFonts w:hint="eastAsia" w:ascii="宋体" w:hAnsi="宋体" w:eastAsia="宋体" w:cs="宋体"/>
          <w:color w:val="auto"/>
          <w:sz w:val="21"/>
          <w:szCs w:val="21"/>
          <w:highlight w:val="none"/>
          <w:u w:val="single"/>
        </w:rPr>
        <w:t>20</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rPr>
        <w:t>21</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rPr>
        <w:t>22</w:t>
      </w:r>
      <w:r>
        <w:rPr>
          <w:rFonts w:hint="eastAsia" w:ascii="宋体" w:hAnsi="宋体" w:eastAsia="宋体" w:cs="宋体"/>
          <w:color w:val="auto"/>
          <w:sz w:val="21"/>
          <w:szCs w:val="21"/>
          <w:highlight w:val="none"/>
          <w:u w:val="single"/>
        </w:rPr>
        <w:t>条及国家建设工程安全管理条例。（</w:t>
      </w:r>
      <w:r>
        <w:rPr>
          <w:rFonts w:hint="eastAsia" w:ascii="宋体" w:hAnsi="宋体" w:eastAsia="宋体" w:cs="宋体"/>
          <w:color w:val="auto"/>
          <w:sz w:val="21"/>
          <w:szCs w:val="21"/>
          <w:highlight w:val="none"/>
          <w:u w:val="single"/>
        </w:rPr>
        <w:t>1</w:t>
      </w:r>
      <w:r>
        <w:rPr>
          <w:rFonts w:hint="eastAsia" w:ascii="宋体" w:hAnsi="宋体" w:eastAsia="宋体" w:cs="宋体"/>
          <w:color w:val="auto"/>
          <w:sz w:val="21"/>
          <w:szCs w:val="21"/>
          <w:highlight w:val="none"/>
          <w:u w:val="single"/>
        </w:rPr>
        <w:t>）承包人应对施工安全负全责，在施工过程中要实现“五无”、“两控制”目标，确保安全。“五无”即无职工死亡，无重大行车交通事故，无压力容器爆炸，无重大质量事故，无火灾事故。（</w:t>
      </w:r>
      <w:r>
        <w:rPr>
          <w:rFonts w:hint="eastAsia" w:ascii="宋体" w:hAnsi="宋体" w:eastAsia="宋体" w:cs="宋体"/>
          <w:color w:val="auto"/>
          <w:sz w:val="21"/>
          <w:szCs w:val="21"/>
          <w:highlight w:val="none"/>
          <w:u w:val="single"/>
        </w:rPr>
        <w:t>2</w:t>
      </w:r>
      <w:r>
        <w:rPr>
          <w:rFonts w:hint="eastAsia" w:ascii="宋体" w:hAnsi="宋体" w:eastAsia="宋体" w:cs="宋体"/>
          <w:color w:val="auto"/>
          <w:sz w:val="21"/>
          <w:szCs w:val="21"/>
          <w:highlight w:val="none"/>
          <w:u w:val="single"/>
        </w:rPr>
        <w:t>）承包人应配备专职安全负责人，以确保生产安全。（</w:t>
      </w:r>
      <w:r>
        <w:rPr>
          <w:rFonts w:hint="eastAsia" w:ascii="宋体" w:hAnsi="宋体" w:eastAsia="宋体" w:cs="宋体"/>
          <w:color w:val="auto"/>
          <w:sz w:val="21"/>
          <w:szCs w:val="21"/>
          <w:highlight w:val="none"/>
          <w:u w:val="single"/>
        </w:rPr>
        <w:t>3</w:t>
      </w:r>
      <w:r>
        <w:rPr>
          <w:rFonts w:hint="eastAsia" w:ascii="宋体" w:hAnsi="宋体" w:eastAsia="宋体" w:cs="宋体"/>
          <w:color w:val="auto"/>
          <w:sz w:val="21"/>
          <w:szCs w:val="21"/>
          <w:highlight w:val="none"/>
          <w:u w:val="single"/>
        </w:rPr>
        <w:t>）承包人应服从当地政府有关部门在社会治安、综合治理、计划生育、交通管理、环境保护等的管理规定，承包人应该专职人员负责条款的执行，发包人有权对此进行监督、检查。（</w:t>
      </w:r>
      <w:r>
        <w:rPr>
          <w:rFonts w:hint="eastAsia" w:ascii="宋体" w:hAnsi="宋体" w:eastAsia="宋体" w:cs="宋体"/>
          <w:color w:val="auto"/>
          <w:sz w:val="21"/>
          <w:szCs w:val="21"/>
          <w:highlight w:val="none"/>
          <w:u w:val="single"/>
        </w:rPr>
        <w:t>4</w:t>
      </w:r>
      <w:r>
        <w:rPr>
          <w:rFonts w:hint="eastAsia" w:ascii="宋体" w:hAnsi="宋体" w:eastAsia="宋体" w:cs="宋体"/>
          <w:color w:val="auto"/>
          <w:sz w:val="21"/>
          <w:szCs w:val="21"/>
          <w:highlight w:val="none"/>
          <w:u w:val="single"/>
        </w:rPr>
        <w:t>）承包人在工程施工期间，必须配备专职用电管理员，全面负责施工用电的管理。</w:t>
      </w:r>
    </w:p>
    <w:p>
      <w:pPr>
        <w:adjustRightInd w:val="0"/>
        <w:snapToGrid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六、合同价款与支付</w:t>
      </w:r>
    </w:p>
    <w:p>
      <w:pPr>
        <w:adjustRightInd w:val="0"/>
        <w:snapToGrid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r>
        <w:rPr>
          <w:rFonts w:hint="eastAsia" w:ascii="宋体" w:hAnsi="宋体" w:eastAsia="宋体" w:cs="宋体"/>
          <w:color w:val="auto"/>
          <w:sz w:val="21"/>
          <w:szCs w:val="21"/>
          <w:highlight w:val="none"/>
        </w:rPr>
        <w:t>．合同价款及调整</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23.2</w:t>
      </w:r>
      <w:r>
        <w:rPr>
          <w:rFonts w:hint="eastAsia" w:ascii="宋体" w:hAnsi="宋体" w:eastAsia="宋体" w:cs="宋体"/>
          <w:bCs/>
          <w:color w:val="auto"/>
          <w:kern w:val="0"/>
          <w:sz w:val="21"/>
          <w:szCs w:val="21"/>
          <w:highlight w:val="none"/>
        </w:rPr>
        <w:t>本合同价款采用</w:t>
      </w:r>
      <w:r>
        <w:rPr>
          <w:rFonts w:hint="eastAsia" w:ascii="宋体" w:hAnsi="宋体" w:eastAsia="宋体" w:cs="宋体"/>
          <w:bCs/>
          <w:color w:val="auto"/>
          <w:kern w:val="0"/>
          <w:sz w:val="21"/>
          <w:szCs w:val="21"/>
          <w:highlight w:val="none"/>
          <w:u w:val="single"/>
        </w:rPr>
        <w:t xml:space="preserve">     (1)     </w:t>
      </w:r>
      <w:r>
        <w:rPr>
          <w:rFonts w:hint="eastAsia" w:ascii="宋体" w:hAnsi="宋体" w:eastAsia="宋体" w:cs="宋体"/>
          <w:bCs/>
          <w:color w:val="auto"/>
          <w:kern w:val="0"/>
          <w:sz w:val="21"/>
          <w:szCs w:val="21"/>
          <w:highlight w:val="none"/>
        </w:rPr>
        <w:t>方式确定。本工程结算下浮率</w:t>
      </w:r>
      <w:r>
        <w:rPr>
          <w:rFonts w:hint="eastAsia" w:ascii="宋体" w:hAnsi="宋体" w:eastAsia="宋体" w:cs="宋体"/>
          <w:bCs/>
          <w:color w:val="auto"/>
          <w:kern w:val="0"/>
          <w:sz w:val="21"/>
          <w:szCs w:val="21"/>
          <w:highlight w:val="none"/>
          <w:u w:val="single"/>
        </w:rPr>
        <w:t xml:space="preserve">     %  </w:t>
      </w:r>
      <w:r>
        <w:rPr>
          <w:rFonts w:hint="eastAsia" w:ascii="宋体" w:hAnsi="宋体" w:eastAsia="宋体" w:cs="宋体"/>
          <w:bCs/>
          <w:color w:val="auto"/>
          <w:kern w:val="0"/>
          <w:sz w:val="21"/>
          <w:szCs w:val="21"/>
          <w:highlight w:val="none"/>
        </w:rPr>
        <w:t>。</w:t>
      </w:r>
      <w:r>
        <w:rPr>
          <w:rFonts w:hint="eastAsia" w:ascii="宋体" w:hAnsi="宋体" w:eastAsia="宋体" w:cs="宋体"/>
          <w:color w:val="auto"/>
          <w:sz w:val="21"/>
          <w:szCs w:val="21"/>
          <w:highlight w:val="none"/>
        </w:rPr>
        <w:t xml:space="preserve"> </w:t>
      </w:r>
    </w:p>
    <w:p>
      <w:pPr>
        <w:autoSpaceDE w:val="0"/>
        <w:autoSpaceDN w:val="0"/>
        <w:adjustRightInd w:val="0"/>
        <w:spacing w:line="360" w:lineRule="auto"/>
        <w:ind w:firstLine="210" w:firstLineChars="100"/>
        <w:jc w:val="left"/>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u w:val="single"/>
        </w:rPr>
        <w:t>(1)</w:t>
      </w:r>
      <w:r>
        <w:rPr>
          <w:rFonts w:hint="eastAsia" w:ascii="宋体" w:hAnsi="宋体" w:eastAsia="宋体" w:cs="宋体"/>
          <w:color w:val="auto"/>
          <w:kern w:val="0"/>
          <w:sz w:val="21"/>
          <w:szCs w:val="21"/>
          <w:highlight w:val="none"/>
          <w:u w:val="single"/>
        </w:rPr>
        <w:t>采用固定综合单价合同，合同价款中包括的风险范围</w:t>
      </w:r>
      <w:r>
        <w:rPr>
          <w:rFonts w:hint="eastAsia" w:ascii="宋体" w:hAnsi="宋体" w:eastAsia="宋体" w:cs="宋体"/>
          <w:color w:val="auto"/>
          <w:kern w:val="0"/>
          <w:sz w:val="21"/>
          <w:szCs w:val="21"/>
          <w:highlight w:val="none"/>
          <w:u w:val="single"/>
        </w:rPr>
        <w:t xml:space="preserve">: 1 </w:t>
      </w:r>
      <w:r>
        <w:rPr>
          <w:rFonts w:hint="eastAsia" w:ascii="宋体" w:hAnsi="宋体" w:eastAsia="宋体" w:cs="宋体"/>
          <w:color w:val="auto"/>
          <w:kern w:val="0"/>
          <w:sz w:val="21"/>
          <w:szCs w:val="21"/>
          <w:highlight w:val="none"/>
          <w:u w:val="single"/>
        </w:rPr>
        <w:t>、合同履行期间物价上涨</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rPr>
        <w:t>另有约定除外</w:t>
      </w:r>
      <w:r>
        <w:rPr>
          <w:rFonts w:hint="eastAsia" w:ascii="宋体" w:hAnsi="宋体" w:eastAsia="宋体" w:cs="宋体"/>
          <w:color w:val="auto"/>
          <w:kern w:val="0"/>
          <w:sz w:val="21"/>
          <w:szCs w:val="21"/>
          <w:highlight w:val="none"/>
          <w:u w:val="single"/>
        </w:rPr>
        <w:t>)</w:t>
      </w:r>
      <w:r>
        <w:rPr>
          <w:rFonts w:hint="eastAsia" w:ascii="宋体" w:hAnsi="宋体" w:eastAsia="宋体" w:cs="宋体"/>
          <w:color w:val="auto"/>
          <w:kern w:val="0"/>
          <w:sz w:val="21"/>
          <w:szCs w:val="21"/>
          <w:highlight w:val="none"/>
          <w:u w:val="single"/>
        </w:rPr>
        <w:t>；</w:t>
      </w:r>
      <w:r>
        <w:rPr>
          <w:rFonts w:hint="eastAsia" w:ascii="宋体" w:hAnsi="宋体" w:eastAsia="宋体" w:cs="宋体"/>
          <w:color w:val="auto"/>
          <w:kern w:val="0"/>
          <w:sz w:val="21"/>
          <w:szCs w:val="21"/>
          <w:highlight w:val="none"/>
          <w:u w:val="single"/>
        </w:rPr>
        <w:t xml:space="preserve">2 </w:t>
      </w:r>
      <w:r>
        <w:rPr>
          <w:rFonts w:hint="eastAsia" w:ascii="宋体" w:hAnsi="宋体" w:eastAsia="宋体" w:cs="宋体"/>
          <w:color w:val="auto"/>
          <w:kern w:val="0"/>
          <w:sz w:val="21"/>
          <w:szCs w:val="21"/>
          <w:highlight w:val="none"/>
          <w:u w:val="single"/>
        </w:rPr>
        <w:t>、定额、标准及规范调整</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rPr>
        <w:t>国家政策变化以及一个有经验的承包人可以或应该预见的风险。</w:t>
      </w:r>
      <w:r>
        <w:rPr>
          <w:rFonts w:hint="eastAsia" w:ascii="宋体" w:hAnsi="宋体" w:eastAsia="宋体" w:cs="宋体"/>
          <w:color w:val="auto"/>
          <w:kern w:val="0"/>
          <w:sz w:val="21"/>
          <w:szCs w:val="21"/>
          <w:highlight w:val="none"/>
          <w:u w:val="single"/>
        </w:rPr>
        <w:t>3</w:t>
      </w:r>
      <w:r>
        <w:rPr>
          <w:rFonts w:hint="eastAsia" w:ascii="宋体" w:hAnsi="宋体" w:eastAsia="宋体" w:cs="宋体"/>
          <w:color w:val="auto"/>
          <w:kern w:val="0"/>
          <w:sz w:val="21"/>
          <w:szCs w:val="21"/>
          <w:highlight w:val="none"/>
          <w:u w:val="single"/>
        </w:rPr>
        <w:t>、因临时停电、停水引起的费用增加。</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u w:val="single"/>
        </w:rPr>
        <w:t>风险费用的计算方法</w:t>
      </w:r>
      <w:r>
        <w:rPr>
          <w:rFonts w:hint="eastAsia" w:ascii="宋体" w:hAnsi="宋体" w:eastAsia="宋体" w:cs="宋体"/>
          <w:color w:val="auto"/>
          <w:kern w:val="0"/>
          <w:sz w:val="21"/>
          <w:szCs w:val="21"/>
          <w:highlight w:val="none"/>
          <w:u w:val="single"/>
        </w:rPr>
        <w:t>:</w:t>
      </w:r>
      <w:r>
        <w:rPr>
          <w:rFonts w:hint="eastAsia" w:ascii="宋体" w:hAnsi="宋体" w:eastAsia="宋体" w:cs="宋体"/>
          <w:color w:val="auto"/>
          <w:kern w:val="0"/>
          <w:sz w:val="21"/>
          <w:szCs w:val="21"/>
          <w:highlight w:val="none"/>
          <w:u w:val="single"/>
        </w:rPr>
        <w:t>以上风险费用已在投标报价时考虑，不再另行计取。如因此而造成停工、罢工的，除按工期有关条款外，还须没收全部履约保证金，罚没的保证金归甲方所有</w:t>
      </w:r>
      <w:r>
        <w:rPr>
          <w:rFonts w:hint="eastAsia" w:ascii="宋体" w:hAnsi="宋体" w:eastAsia="宋体" w:cs="宋体"/>
          <w:color w:val="auto"/>
          <w:kern w:val="0"/>
          <w:sz w:val="21"/>
          <w:szCs w:val="21"/>
          <w:highlight w:val="none"/>
          <w:u w:val="single"/>
        </w:rPr>
        <w:t>(</w:t>
      </w:r>
      <w:r>
        <w:rPr>
          <w:rFonts w:hint="eastAsia" w:ascii="宋体" w:hAnsi="宋体" w:eastAsia="宋体" w:cs="宋体"/>
          <w:color w:val="auto"/>
          <w:kern w:val="0"/>
          <w:sz w:val="21"/>
          <w:szCs w:val="21"/>
          <w:highlight w:val="none"/>
          <w:u w:val="single"/>
        </w:rPr>
        <w:t>在工程款中扣除〉。</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u w:val="single"/>
        </w:rPr>
        <w:t>风险范围以外合同价款调整方法</w:t>
      </w:r>
      <w:r>
        <w:rPr>
          <w:rFonts w:hint="eastAsia" w:ascii="宋体" w:hAnsi="宋体" w:eastAsia="宋体" w:cs="宋体"/>
          <w:color w:val="auto"/>
          <w:kern w:val="0"/>
          <w:sz w:val="21"/>
          <w:szCs w:val="21"/>
          <w:highlight w:val="none"/>
          <w:u w:val="single"/>
        </w:rPr>
        <w:t>:</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u w:val="single"/>
        </w:rPr>
        <w:t>1)</w:t>
      </w:r>
      <w:r>
        <w:rPr>
          <w:rFonts w:hint="eastAsia" w:ascii="宋体" w:hAnsi="宋体" w:eastAsia="宋体" w:cs="宋体"/>
          <w:color w:val="auto"/>
          <w:kern w:val="0"/>
          <w:sz w:val="21"/>
          <w:szCs w:val="21"/>
          <w:highlight w:val="none"/>
          <w:u w:val="single"/>
        </w:rPr>
        <w:t>因发包人提供的工程量清单有数量误差，或设计变更引起工程量清单项目工程数量的增减，按原有合同价格执行。</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u w:val="single"/>
        </w:rPr>
        <w:t xml:space="preserve">2) </w:t>
      </w:r>
      <w:r>
        <w:rPr>
          <w:rFonts w:hint="eastAsia" w:ascii="宋体" w:hAnsi="宋体" w:eastAsia="宋体" w:cs="宋体"/>
          <w:color w:val="auto"/>
          <w:kern w:val="0"/>
          <w:sz w:val="21"/>
          <w:szCs w:val="21"/>
          <w:highlight w:val="none"/>
          <w:u w:val="single"/>
        </w:rPr>
        <w:t>因发包人提供的工程量清单项目漏项，或设计变更引起的新增工程项目，其相应单价的确定方法为</w:t>
      </w:r>
      <w:r>
        <w:rPr>
          <w:rFonts w:hint="eastAsia" w:ascii="宋体" w:hAnsi="宋体" w:eastAsia="宋体" w:cs="宋体"/>
          <w:color w:val="auto"/>
          <w:kern w:val="0"/>
          <w:sz w:val="21"/>
          <w:szCs w:val="21"/>
          <w:highlight w:val="none"/>
          <w:u w:val="single"/>
        </w:rPr>
        <w:t>:</w:t>
      </w:r>
      <w:r>
        <w:rPr>
          <w:rFonts w:hint="eastAsia" w:ascii="宋体" w:hAnsi="宋体" w:eastAsia="宋体" w:cs="宋体"/>
          <w:color w:val="auto"/>
          <w:kern w:val="0"/>
          <w:sz w:val="21"/>
          <w:szCs w:val="21"/>
          <w:highlight w:val="none"/>
          <w:u w:val="single"/>
        </w:rPr>
        <w:t>合同中己有适用于变更工程的单价的，按合同已有单价计</w:t>
      </w:r>
      <w:r>
        <w:rPr>
          <w:rFonts w:hint="eastAsia" w:ascii="宋体" w:hAnsi="宋体" w:eastAsia="宋体" w:cs="宋体"/>
          <w:color w:val="auto"/>
          <w:kern w:val="0"/>
          <w:sz w:val="21"/>
          <w:szCs w:val="21"/>
          <w:highlight w:val="none"/>
          <w:u w:val="single"/>
        </w:rPr>
        <w:t>:</w:t>
      </w:r>
      <w:r>
        <w:rPr>
          <w:rFonts w:hint="eastAsia" w:ascii="宋体" w:hAnsi="宋体" w:eastAsia="宋体" w:cs="宋体"/>
          <w:color w:val="auto"/>
          <w:kern w:val="0"/>
          <w:sz w:val="21"/>
          <w:szCs w:val="21"/>
          <w:highlight w:val="none"/>
          <w:u w:val="single"/>
        </w:rPr>
        <w:t>合同中有类似适用于变更工程的单价的，参照该单价确定</w:t>
      </w:r>
      <w:r>
        <w:rPr>
          <w:rFonts w:hint="eastAsia" w:ascii="宋体" w:hAnsi="宋体" w:eastAsia="宋体" w:cs="宋体"/>
          <w:color w:val="auto"/>
          <w:kern w:val="0"/>
          <w:sz w:val="21"/>
          <w:szCs w:val="21"/>
          <w:highlight w:val="none"/>
          <w:u w:val="single"/>
        </w:rPr>
        <w:t>:</w:t>
      </w:r>
      <w:r>
        <w:rPr>
          <w:rFonts w:hint="eastAsia" w:ascii="宋体" w:hAnsi="宋体" w:eastAsia="宋体" w:cs="宋体"/>
          <w:color w:val="auto"/>
          <w:kern w:val="0"/>
          <w:sz w:val="21"/>
          <w:szCs w:val="21"/>
          <w:highlight w:val="none"/>
          <w:u w:val="single"/>
        </w:rPr>
        <w:t>合同无参考单价的，其综合单价按浙江省18版定额计算的直接工程费</w:t>
      </w:r>
      <w:r>
        <w:rPr>
          <w:rFonts w:hint="eastAsia" w:ascii="宋体" w:hAnsi="宋体" w:eastAsia="宋体" w:cs="宋体"/>
          <w:color w:val="auto"/>
          <w:kern w:val="0"/>
          <w:sz w:val="21"/>
          <w:szCs w:val="21"/>
          <w:highlight w:val="none"/>
          <w:u w:val="single"/>
        </w:rPr>
        <w:t>(</w:t>
      </w:r>
      <w:r>
        <w:rPr>
          <w:rFonts w:hint="eastAsia" w:ascii="宋体" w:hAnsi="宋体" w:eastAsia="宋体" w:cs="宋体"/>
          <w:color w:val="auto"/>
          <w:kern w:val="0"/>
          <w:sz w:val="21"/>
          <w:szCs w:val="21"/>
          <w:highlight w:val="none"/>
          <w:u w:val="single"/>
        </w:rPr>
        <w:t>主材价格确定方法</w:t>
      </w:r>
      <w:r>
        <w:rPr>
          <w:rFonts w:hint="eastAsia" w:ascii="宋体" w:hAnsi="宋体" w:eastAsia="宋体" w:cs="宋体"/>
          <w:color w:val="auto"/>
          <w:kern w:val="0"/>
          <w:sz w:val="21"/>
          <w:szCs w:val="21"/>
          <w:highlight w:val="none"/>
          <w:u w:val="single"/>
        </w:rPr>
        <w:t>:</w:t>
      </w:r>
      <w:r>
        <w:rPr>
          <w:rFonts w:hint="eastAsia" w:ascii="宋体" w:hAnsi="宋体" w:eastAsia="宋体" w:cs="宋体"/>
          <w:color w:val="auto"/>
          <w:kern w:val="0"/>
          <w:sz w:val="21"/>
          <w:szCs w:val="21"/>
          <w:highlight w:val="none"/>
          <w:u w:val="single"/>
        </w:rPr>
        <w:t>有信息价的按发生当月的浙江省、杭州市工程造价信息正刊的信息价计取</w:t>
      </w:r>
      <w:r>
        <w:rPr>
          <w:rFonts w:hint="eastAsia" w:ascii="宋体" w:hAnsi="宋体" w:eastAsia="宋体" w:cs="宋体"/>
          <w:color w:val="auto"/>
          <w:kern w:val="0"/>
          <w:sz w:val="21"/>
          <w:szCs w:val="21"/>
          <w:highlight w:val="none"/>
          <w:u w:val="single"/>
        </w:rPr>
        <w:t>:</w:t>
      </w:r>
      <w:r>
        <w:rPr>
          <w:rFonts w:hint="eastAsia" w:ascii="宋体" w:hAnsi="宋体" w:eastAsia="宋体" w:cs="宋体"/>
          <w:color w:val="auto"/>
          <w:kern w:val="0"/>
          <w:sz w:val="21"/>
          <w:szCs w:val="21"/>
          <w:highlight w:val="none"/>
          <w:u w:val="single"/>
        </w:rPr>
        <w:t>当主材无信息价时按发包人确认的市场价格为准</w:t>
      </w:r>
      <w:r>
        <w:rPr>
          <w:rFonts w:hint="eastAsia" w:ascii="宋体" w:hAnsi="宋体" w:eastAsia="宋体" w:cs="宋体"/>
          <w:color w:val="auto"/>
          <w:kern w:val="0"/>
          <w:sz w:val="21"/>
          <w:szCs w:val="21"/>
          <w:highlight w:val="none"/>
          <w:u w:val="single"/>
        </w:rPr>
        <w:t>) +</w:t>
      </w:r>
      <w:r>
        <w:rPr>
          <w:rFonts w:hint="eastAsia" w:ascii="宋体" w:hAnsi="宋体" w:eastAsia="宋体" w:cs="宋体"/>
          <w:color w:val="auto"/>
          <w:kern w:val="0"/>
          <w:sz w:val="21"/>
          <w:szCs w:val="21"/>
          <w:highlight w:val="none"/>
          <w:u w:val="single"/>
        </w:rPr>
        <w:t>综合费用</w:t>
      </w:r>
      <w:r>
        <w:rPr>
          <w:rFonts w:hint="eastAsia" w:ascii="宋体" w:hAnsi="宋体" w:eastAsia="宋体" w:cs="宋体"/>
          <w:color w:val="auto"/>
          <w:kern w:val="0"/>
          <w:sz w:val="21"/>
          <w:szCs w:val="21"/>
          <w:highlight w:val="none"/>
          <w:u w:val="single"/>
        </w:rPr>
        <w:t>(</w:t>
      </w:r>
      <w:r>
        <w:rPr>
          <w:rFonts w:hint="eastAsia" w:ascii="宋体" w:hAnsi="宋体" w:eastAsia="宋体" w:cs="宋体"/>
          <w:color w:val="auto"/>
          <w:kern w:val="0"/>
          <w:sz w:val="21"/>
          <w:szCs w:val="21"/>
          <w:highlight w:val="none"/>
          <w:u w:val="single"/>
        </w:rPr>
        <w:t>按下限计取</w:t>
      </w:r>
      <w:r>
        <w:rPr>
          <w:rFonts w:hint="eastAsia" w:ascii="宋体" w:hAnsi="宋体" w:eastAsia="宋体" w:cs="宋体"/>
          <w:color w:val="auto"/>
          <w:kern w:val="0"/>
          <w:sz w:val="21"/>
          <w:szCs w:val="21"/>
          <w:highlight w:val="none"/>
          <w:u w:val="single"/>
        </w:rPr>
        <w:t>)+</w:t>
      </w:r>
      <w:r>
        <w:rPr>
          <w:rFonts w:hint="eastAsia" w:ascii="宋体" w:hAnsi="宋体" w:eastAsia="宋体" w:cs="宋体"/>
          <w:color w:val="auto"/>
          <w:kern w:val="0"/>
          <w:sz w:val="21"/>
          <w:szCs w:val="21"/>
          <w:highlight w:val="none"/>
          <w:u w:val="single"/>
        </w:rPr>
        <w:t>规费</w:t>
      </w:r>
      <w:r>
        <w:rPr>
          <w:rFonts w:hint="eastAsia" w:ascii="宋体" w:hAnsi="宋体" w:eastAsia="宋体" w:cs="宋体"/>
          <w:color w:val="auto"/>
          <w:kern w:val="0"/>
          <w:sz w:val="21"/>
          <w:szCs w:val="21"/>
          <w:highlight w:val="none"/>
          <w:u w:val="single"/>
        </w:rPr>
        <w:t>+</w:t>
      </w:r>
      <w:r>
        <w:rPr>
          <w:rFonts w:hint="eastAsia" w:ascii="宋体" w:hAnsi="宋体" w:eastAsia="宋体" w:cs="宋体"/>
          <w:color w:val="auto"/>
          <w:kern w:val="0"/>
          <w:sz w:val="21"/>
          <w:szCs w:val="21"/>
          <w:highlight w:val="none"/>
          <w:u w:val="single"/>
        </w:rPr>
        <w:t>税金确定。当工程量清单编制明显错误或当响应方报价明显高于同期市场价格水平，并且增加工程量与清单同比超过</w:t>
      </w:r>
      <w:r>
        <w:rPr>
          <w:rFonts w:hint="eastAsia" w:ascii="宋体" w:hAnsi="宋体" w:eastAsia="宋体" w:cs="宋体"/>
          <w:color w:val="auto"/>
          <w:kern w:val="0"/>
          <w:sz w:val="21"/>
          <w:szCs w:val="21"/>
          <w:highlight w:val="none"/>
          <w:u w:val="single"/>
        </w:rPr>
        <w:t>15 %</w:t>
      </w:r>
      <w:r>
        <w:rPr>
          <w:rFonts w:hint="eastAsia" w:ascii="宋体" w:hAnsi="宋体" w:eastAsia="宋体" w:cs="宋体"/>
          <w:color w:val="auto"/>
          <w:kern w:val="0"/>
          <w:sz w:val="21"/>
          <w:szCs w:val="21"/>
          <w:highlight w:val="none"/>
          <w:u w:val="single"/>
        </w:rPr>
        <w:t>的，采购人将保留重新估价的权力，单价确定的方法同前。</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u w:val="single"/>
        </w:rPr>
        <w:t xml:space="preserve">3) </w:t>
      </w:r>
      <w:r>
        <w:rPr>
          <w:rFonts w:hint="eastAsia" w:ascii="宋体" w:hAnsi="宋体" w:eastAsia="宋体" w:cs="宋体"/>
          <w:color w:val="auto"/>
          <w:kern w:val="0"/>
          <w:sz w:val="21"/>
          <w:szCs w:val="21"/>
          <w:highlight w:val="none"/>
          <w:u w:val="single"/>
        </w:rPr>
        <w:t>发包人根据工程的需要可能对承包范围内的数量和内容进行调整，所涉及的费用按投标报价进行相应的调整。</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u w:val="single"/>
        </w:rPr>
        <w:t xml:space="preserve">4) </w:t>
      </w:r>
      <w:r>
        <w:rPr>
          <w:rFonts w:hint="eastAsia" w:ascii="宋体" w:hAnsi="宋体" w:eastAsia="宋体" w:cs="宋体"/>
          <w:color w:val="auto"/>
          <w:kern w:val="0"/>
          <w:sz w:val="21"/>
          <w:szCs w:val="21"/>
          <w:highlight w:val="none"/>
          <w:u w:val="single"/>
        </w:rPr>
        <w:t>发包人签证认可的其他增减。</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u w:val="single"/>
        </w:rPr>
        <w:t xml:space="preserve">5) </w:t>
      </w:r>
      <w:r>
        <w:rPr>
          <w:rFonts w:hint="eastAsia" w:ascii="宋体" w:hAnsi="宋体" w:eastAsia="宋体" w:cs="宋体"/>
          <w:color w:val="auto"/>
          <w:kern w:val="0"/>
          <w:sz w:val="21"/>
          <w:szCs w:val="21"/>
          <w:highlight w:val="none"/>
          <w:u w:val="single"/>
        </w:rPr>
        <w:t>经发包人签证同意的材料变更、价格调整，仅调整差价及差价的税金；</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rPr>
        <w:t>）采用可调价格合同，合同价款调整方法：</w:t>
      </w:r>
    </w:p>
    <w:p>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rPr>
        <w:t>）采用成本加酬金合同，有关成本和酬金的约定：</w:t>
      </w:r>
    </w:p>
    <w:p>
      <w:pPr>
        <w:spacing w:line="44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23.3</w:t>
      </w:r>
      <w:r>
        <w:rPr>
          <w:rFonts w:hint="eastAsia" w:ascii="宋体" w:hAnsi="宋体" w:eastAsia="宋体" w:cs="宋体"/>
          <w:color w:val="auto"/>
          <w:sz w:val="21"/>
          <w:szCs w:val="21"/>
          <w:highlight w:val="none"/>
        </w:rPr>
        <w:t>双方约定合同价款的其他调整因素：</w:t>
      </w:r>
      <w:r>
        <w:rPr>
          <w:rFonts w:hint="eastAsia" w:ascii="宋体" w:hAnsi="宋体" w:eastAsia="宋体" w:cs="宋体"/>
          <w:color w:val="auto"/>
          <w:sz w:val="21"/>
          <w:szCs w:val="21"/>
          <w:highlight w:val="none"/>
          <w:u w:val="single"/>
        </w:rPr>
        <w:t>①发包人同意的设计变更②发包人要求增加的施工图范围外的内容（施工单位投标时漏报甲方要求做的内容，不作为调整决算内容。）③当结算子项实际数量变化超过工程量清单内数量</w:t>
      </w:r>
      <w:r>
        <w:rPr>
          <w:rFonts w:hint="eastAsia" w:ascii="宋体" w:hAnsi="宋体" w:eastAsia="宋体" w:cs="宋体"/>
          <w:color w:val="auto"/>
          <w:sz w:val="21"/>
          <w:szCs w:val="21"/>
          <w:highlight w:val="none"/>
          <w:u w:val="single"/>
        </w:rPr>
        <w:t>10%</w:t>
      </w:r>
      <w:r>
        <w:rPr>
          <w:rFonts w:hint="eastAsia" w:ascii="宋体" w:hAnsi="宋体" w:eastAsia="宋体" w:cs="宋体"/>
          <w:color w:val="auto"/>
          <w:sz w:val="21"/>
          <w:szCs w:val="21"/>
          <w:highlight w:val="none"/>
          <w:u w:val="single"/>
        </w:rPr>
        <w:t>以上且满足以下条件之一时</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rPr>
        <w:t>业主有权调整工程量增减部分的综合单价：</w:t>
      </w:r>
      <w:r>
        <w:rPr>
          <w:rFonts w:hint="eastAsia" w:ascii="宋体" w:hAnsi="宋体" w:eastAsia="宋体" w:cs="宋体"/>
          <w:color w:val="auto"/>
          <w:sz w:val="21"/>
          <w:szCs w:val="21"/>
          <w:highlight w:val="none"/>
          <w:u w:val="single"/>
        </w:rPr>
        <w:t>A</w:t>
      </w:r>
      <w:r>
        <w:rPr>
          <w:rFonts w:hint="eastAsia" w:ascii="宋体" w:hAnsi="宋体" w:eastAsia="宋体" w:cs="宋体"/>
          <w:color w:val="auto"/>
          <w:sz w:val="21"/>
          <w:szCs w:val="21"/>
          <w:highlight w:val="none"/>
          <w:u w:val="single"/>
        </w:rPr>
        <w:t>、结算子项综合单价超过正常水平的±</w:t>
      </w:r>
      <w:r>
        <w:rPr>
          <w:rFonts w:hint="eastAsia" w:ascii="宋体" w:hAnsi="宋体" w:eastAsia="宋体" w:cs="宋体"/>
          <w:color w:val="auto"/>
          <w:sz w:val="21"/>
          <w:szCs w:val="21"/>
          <w:highlight w:val="none"/>
          <w:u w:val="single"/>
        </w:rPr>
        <w:t>20%</w:t>
      </w:r>
      <w:r>
        <w:rPr>
          <w:rFonts w:hint="eastAsia" w:ascii="宋体" w:hAnsi="宋体" w:eastAsia="宋体" w:cs="宋体"/>
          <w:color w:val="auto"/>
          <w:sz w:val="21"/>
          <w:szCs w:val="21"/>
          <w:highlight w:val="none"/>
          <w:u w:val="single"/>
        </w:rPr>
        <w:t>以上，</w:t>
      </w:r>
      <w:r>
        <w:rPr>
          <w:rFonts w:hint="eastAsia" w:ascii="宋体" w:hAnsi="宋体" w:eastAsia="宋体" w:cs="宋体"/>
          <w:color w:val="auto"/>
          <w:sz w:val="21"/>
          <w:szCs w:val="21"/>
          <w:highlight w:val="none"/>
          <w:u w:val="single"/>
        </w:rPr>
        <w:t>B</w:t>
      </w:r>
      <w:r>
        <w:rPr>
          <w:rFonts w:hint="eastAsia" w:ascii="宋体" w:hAnsi="宋体" w:eastAsia="宋体" w:cs="宋体"/>
          <w:color w:val="auto"/>
          <w:sz w:val="21"/>
          <w:szCs w:val="21"/>
          <w:highlight w:val="none"/>
          <w:u w:val="single"/>
        </w:rPr>
        <w:t>：结算子项实际变化金额超过合同金额±</w:t>
      </w:r>
      <w:r>
        <w:rPr>
          <w:rFonts w:hint="eastAsia" w:ascii="宋体" w:hAnsi="宋体" w:eastAsia="宋体" w:cs="宋体"/>
          <w:color w:val="auto"/>
          <w:sz w:val="21"/>
          <w:szCs w:val="21"/>
          <w:highlight w:val="none"/>
          <w:u w:val="single"/>
        </w:rPr>
        <w:t>0.1%</w:t>
      </w:r>
      <w:r>
        <w:rPr>
          <w:rFonts w:hint="eastAsia" w:ascii="宋体" w:hAnsi="宋体" w:eastAsia="宋体" w:cs="宋体"/>
          <w:color w:val="auto"/>
          <w:sz w:val="21"/>
          <w:szCs w:val="21"/>
          <w:highlight w:val="none"/>
          <w:u w:val="single"/>
        </w:rPr>
        <w:t>以上。</w:t>
      </w:r>
    </w:p>
    <w:p>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r>
        <w:rPr>
          <w:rFonts w:hint="eastAsia" w:ascii="宋体" w:hAnsi="宋体" w:eastAsia="宋体" w:cs="宋体"/>
          <w:color w:val="auto"/>
          <w:sz w:val="21"/>
          <w:szCs w:val="21"/>
          <w:highlight w:val="none"/>
        </w:rPr>
        <w:t>．工程预付款</w:t>
      </w:r>
    </w:p>
    <w:p>
      <w:pPr>
        <w:spacing w:line="44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lang w:val="en-US" w:eastAsia="zh-CN"/>
        </w:rPr>
        <w:t xml:space="preserve">      /     </w:t>
      </w:r>
      <w:r>
        <w:rPr>
          <w:rFonts w:hint="eastAsia" w:ascii="宋体" w:hAnsi="宋体" w:eastAsia="宋体" w:cs="宋体"/>
          <w:color w:val="auto"/>
          <w:sz w:val="21"/>
          <w:szCs w:val="21"/>
          <w:highlight w:val="none"/>
          <w:u w:val="single"/>
        </w:rPr>
        <w:t>。</w:t>
      </w:r>
    </w:p>
    <w:p>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r>
        <w:rPr>
          <w:rFonts w:hint="eastAsia" w:ascii="宋体" w:hAnsi="宋体" w:eastAsia="宋体" w:cs="宋体"/>
          <w:color w:val="auto"/>
          <w:sz w:val="21"/>
          <w:szCs w:val="21"/>
          <w:highlight w:val="none"/>
        </w:rPr>
        <w:t>．工程量确认</w:t>
      </w:r>
    </w:p>
    <w:p>
      <w:pPr>
        <w:spacing w:line="44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25.1</w:t>
      </w:r>
      <w:r>
        <w:rPr>
          <w:rFonts w:hint="eastAsia" w:ascii="宋体" w:hAnsi="宋体" w:eastAsia="宋体" w:cs="宋体"/>
          <w:color w:val="auto"/>
          <w:sz w:val="21"/>
          <w:szCs w:val="21"/>
          <w:highlight w:val="none"/>
        </w:rPr>
        <w:t>承包人向工程师提交已完工程量报告的时间：</w:t>
      </w:r>
      <w:r>
        <w:rPr>
          <w:rFonts w:hint="eastAsia" w:ascii="宋体" w:hAnsi="宋体" w:eastAsia="宋体" w:cs="宋体"/>
          <w:color w:val="auto"/>
          <w:sz w:val="21"/>
          <w:szCs w:val="21"/>
          <w:highlight w:val="none"/>
          <w:u w:val="single"/>
        </w:rPr>
        <w:t>每月</w:t>
      </w:r>
      <w:r>
        <w:rPr>
          <w:rFonts w:hint="eastAsia" w:ascii="宋体" w:hAnsi="宋体" w:eastAsia="宋体" w:cs="宋体"/>
          <w:color w:val="auto"/>
          <w:sz w:val="21"/>
          <w:szCs w:val="21"/>
          <w:highlight w:val="none"/>
          <w:u w:val="single"/>
        </w:rPr>
        <w:t>25</w:t>
      </w:r>
      <w:r>
        <w:rPr>
          <w:rFonts w:hint="eastAsia" w:ascii="宋体" w:hAnsi="宋体" w:eastAsia="宋体" w:cs="宋体"/>
          <w:color w:val="auto"/>
          <w:sz w:val="21"/>
          <w:szCs w:val="21"/>
          <w:highlight w:val="none"/>
          <w:u w:val="single"/>
        </w:rPr>
        <w:t>日前承包方向发包方提交已完成工程量报告。</w:t>
      </w:r>
    </w:p>
    <w:p>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w:t>
      </w:r>
      <w:r>
        <w:rPr>
          <w:rFonts w:hint="eastAsia" w:ascii="宋体" w:hAnsi="宋体" w:eastAsia="宋体" w:cs="宋体"/>
          <w:color w:val="auto"/>
          <w:sz w:val="21"/>
          <w:szCs w:val="21"/>
          <w:highlight w:val="none"/>
        </w:rPr>
        <w:t>．工程款（进度款）支付</w:t>
      </w:r>
    </w:p>
    <w:p>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双方约定的工程款（进度款）支付的方式和时间：</w:t>
      </w:r>
    </w:p>
    <w:p>
      <w:pPr>
        <w:spacing w:line="44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承包人实际完成合同工程量60%时（经监理及发包人审定）支付合同金额的20%的进度款，工程竣工验收合格后支付至合同金额的80%，待竣工结算审计后以结算审计为准支付至审计价格的97.5%；同时按合同履约核实情况，结算并返回履约保证金（无息，如有违约并扣除违约款）；审计价2.5%作为质量保修金，保修期满二年后无质量问题返回1.5%质保金，剩余1%在保修期结束后（5年后）全额返回（均不计利息）。</w:t>
      </w:r>
    </w:p>
    <w:p>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七、材料设备供应</w:t>
      </w:r>
    </w:p>
    <w:p>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w:t>
      </w:r>
      <w:r>
        <w:rPr>
          <w:rFonts w:hint="eastAsia" w:ascii="宋体" w:hAnsi="宋体" w:eastAsia="宋体" w:cs="宋体"/>
          <w:color w:val="auto"/>
          <w:sz w:val="21"/>
          <w:szCs w:val="21"/>
          <w:highlight w:val="none"/>
        </w:rPr>
        <w:t>．发包人供应材料设计</w:t>
      </w:r>
    </w:p>
    <w:p>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27.4</w:t>
      </w:r>
      <w:r>
        <w:rPr>
          <w:rFonts w:hint="eastAsia" w:ascii="宋体" w:hAnsi="宋体" w:eastAsia="宋体" w:cs="宋体"/>
          <w:color w:val="auto"/>
          <w:sz w:val="21"/>
          <w:szCs w:val="21"/>
          <w:highlight w:val="none"/>
        </w:rPr>
        <w:t>发包人供应的材料设备与一览表不符时，双方约定发包人承担责任如下：</w:t>
      </w:r>
    </w:p>
    <w:p>
      <w:pPr>
        <w:spacing w:line="44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rPr>
        <w:t>）材料设备单价与一览表不符：</w:t>
      </w:r>
      <w:r>
        <w:rPr>
          <w:rFonts w:hint="eastAsia" w:ascii="宋体" w:hAnsi="宋体" w:eastAsia="宋体" w:cs="宋体"/>
          <w:color w:val="auto"/>
          <w:sz w:val="21"/>
          <w:szCs w:val="21"/>
          <w:highlight w:val="none"/>
          <w:u w:val="single"/>
        </w:rPr>
        <w:t xml:space="preserve">  / </w:t>
      </w:r>
    </w:p>
    <w:p>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rPr>
        <w:t>）材料设备的品种、规格、型号、质量等级与一览表不符：</w:t>
      </w:r>
      <w:r>
        <w:rPr>
          <w:rFonts w:hint="eastAsia" w:ascii="宋体" w:hAnsi="宋体" w:eastAsia="宋体" w:cs="宋体"/>
          <w:color w:val="auto"/>
          <w:sz w:val="21"/>
          <w:szCs w:val="21"/>
          <w:highlight w:val="none"/>
          <w:u w:val="single"/>
        </w:rPr>
        <w:t xml:space="preserve">  / </w:t>
      </w:r>
    </w:p>
    <w:p>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rPr>
        <w:t>）承包人可代为调剂串换的材料：</w:t>
      </w:r>
      <w:r>
        <w:rPr>
          <w:rFonts w:hint="eastAsia" w:ascii="宋体" w:hAnsi="宋体" w:eastAsia="宋体" w:cs="宋体"/>
          <w:color w:val="auto"/>
          <w:sz w:val="21"/>
          <w:szCs w:val="21"/>
          <w:highlight w:val="none"/>
          <w:u w:val="single"/>
        </w:rPr>
        <w:t xml:space="preserve">  / </w:t>
      </w:r>
    </w:p>
    <w:p>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rPr>
        <w:t>）到货地点与一览表不符：</w:t>
      </w:r>
      <w:r>
        <w:rPr>
          <w:rFonts w:hint="eastAsia" w:ascii="宋体" w:hAnsi="宋体" w:eastAsia="宋体" w:cs="宋体"/>
          <w:color w:val="auto"/>
          <w:sz w:val="21"/>
          <w:szCs w:val="21"/>
          <w:highlight w:val="none"/>
          <w:u w:val="single"/>
        </w:rPr>
        <w:t xml:space="preserve">  / </w:t>
      </w:r>
    </w:p>
    <w:p>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rPr>
        <w:t>）供应数量与一览表不符：</w:t>
      </w:r>
      <w:r>
        <w:rPr>
          <w:rFonts w:hint="eastAsia" w:ascii="宋体" w:hAnsi="宋体" w:eastAsia="宋体" w:cs="宋体"/>
          <w:color w:val="auto"/>
          <w:sz w:val="21"/>
          <w:szCs w:val="21"/>
          <w:highlight w:val="none"/>
          <w:u w:val="single"/>
        </w:rPr>
        <w:t xml:space="preserve">  / </w:t>
      </w:r>
    </w:p>
    <w:p>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rPr>
        <w:t>）到货时间与一览表不符：</w:t>
      </w:r>
      <w:r>
        <w:rPr>
          <w:rFonts w:hint="eastAsia" w:ascii="宋体" w:hAnsi="宋体" w:eastAsia="宋体" w:cs="宋体"/>
          <w:color w:val="auto"/>
          <w:sz w:val="21"/>
          <w:szCs w:val="21"/>
          <w:highlight w:val="none"/>
          <w:u w:val="single"/>
        </w:rPr>
        <w:t xml:space="preserve">  / </w:t>
      </w:r>
    </w:p>
    <w:p>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27.6</w:t>
      </w:r>
      <w:r>
        <w:rPr>
          <w:rFonts w:hint="eastAsia" w:ascii="宋体" w:hAnsi="宋体" w:eastAsia="宋体" w:cs="宋体"/>
          <w:color w:val="auto"/>
          <w:sz w:val="21"/>
          <w:szCs w:val="21"/>
          <w:highlight w:val="none"/>
        </w:rPr>
        <w:t>发包人供应材料设备的结算方法：</w:t>
      </w:r>
      <w:r>
        <w:rPr>
          <w:rFonts w:hint="eastAsia" w:ascii="宋体" w:hAnsi="宋体" w:eastAsia="宋体" w:cs="宋体"/>
          <w:color w:val="auto"/>
          <w:sz w:val="21"/>
          <w:szCs w:val="21"/>
          <w:highlight w:val="none"/>
          <w:u w:val="single"/>
        </w:rPr>
        <w:t xml:space="preserve">  / </w:t>
      </w:r>
    </w:p>
    <w:p>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w:t>
      </w:r>
      <w:r>
        <w:rPr>
          <w:rFonts w:hint="eastAsia" w:ascii="宋体" w:hAnsi="宋体" w:eastAsia="宋体" w:cs="宋体"/>
          <w:color w:val="auto"/>
          <w:sz w:val="21"/>
          <w:szCs w:val="21"/>
          <w:highlight w:val="none"/>
        </w:rPr>
        <w:t>．承包人采购材料设备</w:t>
      </w:r>
    </w:p>
    <w:p>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28.1</w:t>
      </w:r>
      <w:r>
        <w:rPr>
          <w:rFonts w:hint="eastAsia" w:ascii="宋体" w:hAnsi="宋体" w:eastAsia="宋体" w:cs="宋体"/>
          <w:color w:val="auto"/>
          <w:sz w:val="21"/>
          <w:szCs w:val="21"/>
          <w:highlight w:val="none"/>
        </w:rPr>
        <w:t>承包人采购材料设备的约定：</w:t>
      </w:r>
    </w:p>
    <w:p>
      <w:pPr>
        <w:spacing w:line="44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由承包人自行采购，所有材料均应有合格证和质保书，并符合国家规定的技术标准和设计要求。施工前须经发包方验收。承包人使用不合格产品无条件返工，并承担发包人由此造成的损失。</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八、工程变更</w:t>
      </w:r>
    </w:p>
    <w:p>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设计变更必须经设计单位确认；因工程变更而产生的新增减工程量，经发包人工程联系单盖章签复意见后，方可作为决算依据。</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九、竣工验收与结算</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工程具备竣工验收条件，承包人按国家工程验收有关规定，向发包人提供完整竣工资料及竣工验收报告；工程价款结算最终以审计部门审定结果为支付依据。在竣工验收后一个月内提交完整的结算资料送交发包人审计。</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rPr>
        <w:t>．竣工验收</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32.1</w:t>
      </w:r>
      <w:r>
        <w:rPr>
          <w:rFonts w:hint="eastAsia" w:ascii="宋体" w:hAnsi="宋体" w:eastAsia="宋体" w:cs="宋体"/>
          <w:color w:val="auto"/>
          <w:sz w:val="21"/>
          <w:szCs w:val="21"/>
          <w:highlight w:val="none"/>
        </w:rPr>
        <w:t>承包人提供竣工图的约定：</w:t>
      </w:r>
      <w:r>
        <w:rPr>
          <w:rFonts w:hint="eastAsia" w:ascii="宋体" w:hAnsi="宋体" w:eastAsia="宋体" w:cs="宋体"/>
          <w:color w:val="auto"/>
          <w:sz w:val="21"/>
          <w:szCs w:val="21"/>
          <w:highlight w:val="none"/>
          <w:u w:val="single"/>
        </w:rPr>
        <w:t>工程竣工验收一个月内提交发包方完整的竣工图伍套、技术资料伍套及全套电子文档一份。</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32.6</w:t>
      </w:r>
      <w:r>
        <w:rPr>
          <w:rFonts w:hint="eastAsia" w:ascii="宋体" w:hAnsi="宋体" w:eastAsia="宋体" w:cs="宋体"/>
          <w:color w:val="auto"/>
          <w:sz w:val="21"/>
          <w:szCs w:val="21"/>
          <w:highlight w:val="none"/>
        </w:rPr>
        <w:t>中间交工工程的范围和竣工时间：</w:t>
      </w:r>
      <w:r>
        <w:rPr>
          <w:rFonts w:hint="eastAsia" w:ascii="宋体" w:hAnsi="宋体" w:eastAsia="宋体" w:cs="宋体"/>
          <w:color w:val="auto"/>
          <w:sz w:val="21"/>
          <w:szCs w:val="21"/>
          <w:highlight w:val="none"/>
          <w:u w:val="single"/>
        </w:rPr>
        <w:t>按签订工程合同为准。</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十、违约、索赔和争议</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w:t>
      </w:r>
      <w:r>
        <w:rPr>
          <w:rFonts w:hint="eastAsia" w:ascii="宋体" w:hAnsi="宋体" w:eastAsia="宋体" w:cs="宋体"/>
          <w:color w:val="auto"/>
          <w:sz w:val="21"/>
          <w:szCs w:val="21"/>
          <w:highlight w:val="none"/>
        </w:rPr>
        <w:t>．违约</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35.1</w:t>
      </w:r>
      <w:r>
        <w:rPr>
          <w:rFonts w:hint="eastAsia" w:ascii="宋体" w:hAnsi="宋体" w:eastAsia="宋体" w:cs="宋体"/>
          <w:color w:val="auto"/>
          <w:sz w:val="21"/>
          <w:szCs w:val="21"/>
          <w:highlight w:val="none"/>
        </w:rPr>
        <w:t>本合同中关于发包人违约的具体责任如下：</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本合同通用条款第</w:t>
      </w:r>
      <w:r>
        <w:rPr>
          <w:rFonts w:hint="eastAsia" w:ascii="宋体" w:hAnsi="宋体" w:eastAsia="宋体" w:cs="宋体"/>
          <w:color w:val="auto"/>
          <w:sz w:val="21"/>
          <w:szCs w:val="21"/>
          <w:highlight w:val="none"/>
        </w:rPr>
        <w:t>24</w:t>
      </w:r>
      <w:r>
        <w:rPr>
          <w:rFonts w:hint="eastAsia" w:ascii="宋体" w:hAnsi="宋体" w:eastAsia="宋体" w:cs="宋体"/>
          <w:color w:val="auto"/>
          <w:sz w:val="21"/>
          <w:szCs w:val="21"/>
          <w:highlight w:val="none"/>
        </w:rPr>
        <w:t>条约定发包人违约应承担的违约责任：</w:t>
      </w:r>
      <w:r>
        <w:rPr>
          <w:rFonts w:hint="eastAsia" w:ascii="宋体" w:hAnsi="宋体" w:eastAsia="宋体" w:cs="宋体"/>
          <w:color w:val="auto"/>
          <w:sz w:val="21"/>
          <w:szCs w:val="21"/>
          <w:highlight w:val="none"/>
          <w:u w:val="single"/>
        </w:rPr>
        <w:t>无</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本合同通用条款第</w:t>
      </w:r>
      <w:r>
        <w:rPr>
          <w:rFonts w:hint="eastAsia" w:ascii="宋体" w:hAnsi="宋体" w:eastAsia="宋体" w:cs="宋体"/>
          <w:color w:val="auto"/>
          <w:sz w:val="21"/>
          <w:szCs w:val="21"/>
          <w:highlight w:val="none"/>
        </w:rPr>
        <w:t xml:space="preserve">26.4 </w:t>
      </w:r>
      <w:r>
        <w:rPr>
          <w:rFonts w:hint="eastAsia" w:ascii="宋体" w:hAnsi="宋体" w:eastAsia="宋体" w:cs="宋体"/>
          <w:color w:val="auto"/>
          <w:sz w:val="21"/>
          <w:szCs w:val="21"/>
          <w:highlight w:val="none"/>
        </w:rPr>
        <w:t>款约定发包人违约应承担的违约责任：</w:t>
      </w:r>
      <w:r>
        <w:rPr>
          <w:rFonts w:hint="eastAsia" w:ascii="宋体" w:hAnsi="宋体" w:eastAsia="宋体" w:cs="宋体"/>
          <w:color w:val="auto"/>
          <w:sz w:val="21"/>
          <w:szCs w:val="21"/>
          <w:highlight w:val="none"/>
          <w:u w:val="single"/>
        </w:rPr>
        <w:t>无</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本合同通用条款第</w:t>
      </w:r>
      <w:r>
        <w:rPr>
          <w:rFonts w:hint="eastAsia" w:ascii="宋体" w:hAnsi="宋体" w:eastAsia="宋体" w:cs="宋体"/>
          <w:color w:val="auto"/>
          <w:sz w:val="21"/>
          <w:szCs w:val="21"/>
          <w:highlight w:val="none"/>
        </w:rPr>
        <w:t xml:space="preserve">33.3 </w:t>
      </w:r>
      <w:r>
        <w:rPr>
          <w:rFonts w:hint="eastAsia" w:ascii="宋体" w:hAnsi="宋体" w:eastAsia="宋体" w:cs="宋体"/>
          <w:color w:val="auto"/>
          <w:sz w:val="21"/>
          <w:szCs w:val="21"/>
          <w:highlight w:val="none"/>
        </w:rPr>
        <w:t>款约定发包人违约应承担的违约责任：</w:t>
      </w:r>
      <w:r>
        <w:rPr>
          <w:rFonts w:hint="eastAsia" w:ascii="宋体" w:hAnsi="宋体" w:eastAsia="宋体" w:cs="宋体"/>
          <w:color w:val="auto"/>
          <w:sz w:val="21"/>
          <w:szCs w:val="21"/>
          <w:highlight w:val="none"/>
          <w:u w:val="single"/>
        </w:rPr>
        <w:t>无</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双方约定的发包人其他违约责任：</w:t>
      </w:r>
      <w:r>
        <w:rPr>
          <w:rFonts w:hint="eastAsia" w:ascii="宋体" w:hAnsi="宋体" w:eastAsia="宋体" w:cs="宋体"/>
          <w:color w:val="auto"/>
          <w:sz w:val="21"/>
          <w:szCs w:val="21"/>
          <w:highlight w:val="none"/>
          <w:u w:val="single"/>
        </w:rPr>
        <w:t>由于发包人的原因造成的工期延误，工期顺延天数由现场监理及发包签证确定。</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35.2</w:t>
      </w:r>
      <w:r>
        <w:rPr>
          <w:rFonts w:hint="eastAsia" w:ascii="宋体" w:hAnsi="宋体" w:eastAsia="宋体" w:cs="宋体"/>
          <w:color w:val="auto"/>
          <w:sz w:val="21"/>
          <w:szCs w:val="21"/>
          <w:highlight w:val="none"/>
        </w:rPr>
        <w:t>本合同中关于承包人违约的具体责任如下：</w:t>
      </w:r>
    </w:p>
    <w:p>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因承包人原因造成工程质量问题，由承包人负责整改工作及相关费用，直至达到合格标准。因此造成的工期延误和损失，由承包人承担一切后果。承包人不修复或无法修复的</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rPr>
        <w:t>发包人有权自行委托有资质单位修复</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rPr>
        <w:t>修复费用及造成的损失由承包人承担。</w:t>
      </w:r>
    </w:p>
    <w:p>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双方约定的承包人其他违约责任：</w:t>
      </w:r>
      <w:r>
        <w:rPr>
          <w:rFonts w:hint="eastAsia" w:ascii="宋体" w:hAnsi="宋体" w:eastAsia="宋体" w:cs="宋体"/>
          <w:color w:val="auto"/>
          <w:sz w:val="21"/>
          <w:szCs w:val="21"/>
          <w:highlight w:val="none"/>
          <w:u w:val="single"/>
        </w:rPr>
        <w:t>以签订合同为准。</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r>
        <w:rPr>
          <w:rFonts w:hint="eastAsia" w:ascii="宋体" w:hAnsi="宋体" w:eastAsia="宋体" w:cs="宋体"/>
          <w:color w:val="auto"/>
          <w:sz w:val="21"/>
          <w:szCs w:val="21"/>
          <w:highlight w:val="none"/>
        </w:rPr>
        <w:t>．争议</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37.1</w:t>
      </w:r>
      <w:r>
        <w:rPr>
          <w:rFonts w:hint="eastAsia" w:ascii="宋体" w:hAnsi="宋体" w:eastAsia="宋体" w:cs="宋体"/>
          <w:color w:val="auto"/>
          <w:sz w:val="21"/>
          <w:szCs w:val="21"/>
          <w:highlight w:val="none"/>
        </w:rPr>
        <w:t>本合同在履行过程中发生的争议，由双方当事人协商解决，协商不成的，按下列第</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rPr>
        <w:t>2</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种方式解决：</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rPr>
        <w:t>）提交</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种裁委员会仲裁；</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rPr>
        <w:t>）依法向</w:t>
      </w:r>
      <w:r>
        <w:rPr>
          <w:rFonts w:hint="eastAsia" w:ascii="宋体" w:hAnsi="宋体" w:eastAsia="宋体" w:cs="宋体"/>
          <w:color w:val="auto"/>
          <w:sz w:val="21"/>
          <w:szCs w:val="21"/>
          <w:highlight w:val="none"/>
          <w:u w:val="single"/>
        </w:rPr>
        <w:t>杭州市</w:t>
      </w:r>
      <w:r>
        <w:rPr>
          <w:rFonts w:hint="eastAsia" w:ascii="宋体" w:hAnsi="宋体" w:eastAsia="宋体" w:cs="宋体"/>
          <w:color w:val="auto"/>
          <w:sz w:val="21"/>
          <w:szCs w:val="21"/>
          <w:highlight w:val="none"/>
        </w:rPr>
        <w:t>仲裁委员会提请仲裁或向</w:t>
      </w:r>
      <w:r>
        <w:rPr>
          <w:rFonts w:hint="eastAsia" w:ascii="宋体" w:hAnsi="宋体" w:eastAsia="宋体" w:cs="宋体"/>
          <w:color w:val="auto"/>
          <w:sz w:val="21"/>
          <w:szCs w:val="21"/>
          <w:highlight w:val="none"/>
          <w:u w:val="single"/>
        </w:rPr>
        <w:t>杭州市</w:t>
      </w:r>
      <w:r>
        <w:rPr>
          <w:rFonts w:hint="eastAsia" w:ascii="宋体" w:hAnsi="宋体" w:eastAsia="宋体" w:cs="宋体"/>
          <w:color w:val="auto"/>
          <w:sz w:val="21"/>
          <w:szCs w:val="21"/>
          <w:highlight w:val="none"/>
        </w:rPr>
        <w:t>人民法院提起诉讼。</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十一、其他</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w:t>
      </w:r>
      <w:r>
        <w:rPr>
          <w:rFonts w:hint="eastAsia" w:ascii="宋体" w:hAnsi="宋体" w:eastAsia="宋体" w:cs="宋体"/>
          <w:color w:val="auto"/>
          <w:sz w:val="21"/>
          <w:szCs w:val="21"/>
          <w:highlight w:val="none"/>
        </w:rPr>
        <w:t>．工程分包</w:t>
      </w:r>
    </w:p>
    <w:p>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38.1</w:t>
      </w:r>
      <w:r>
        <w:rPr>
          <w:rFonts w:hint="eastAsia" w:ascii="宋体" w:hAnsi="宋体" w:eastAsia="宋体" w:cs="宋体"/>
          <w:color w:val="auto"/>
          <w:sz w:val="21"/>
          <w:szCs w:val="21"/>
          <w:highlight w:val="none"/>
        </w:rPr>
        <w:t>本工程发包人同意承包人分包的工程：</w:t>
      </w:r>
      <w:r>
        <w:rPr>
          <w:rFonts w:hint="eastAsia" w:ascii="宋体" w:hAnsi="宋体" w:eastAsia="宋体" w:cs="宋体"/>
          <w:color w:val="auto"/>
          <w:sz w:val="21"/>
          <w:szCs w:val="21"/>
          <w:highlight w:val="none"/>
          <w:u w:val="single"/>
        </w:rPr>
        <w:t xml:space="preserve">  /  </w:t>
      </w:r>
    </w:p>
    <w:p>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分包施工单位为：</w:t>
      </w:r>
      <w:r>
        <w:rPr>
          <w:rFonts w:hint="eastAsia" w:ascii="宋体" w:hAnsi="宋体" w:eastAsia="宋体" w:cs="宋体"/>
          <w:color w:val="auto"/>
          <w:sz w:val="21"/>
          <w:szCs w:val="21"/>
          <w:highlight w:val="none"/>
          <w:u w:val="single"/>
        </w:rPr>
        <w:t xml:space="preserve">  /  </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w:t>
      </w:r>
      <w:r>
        <w:rPr>
          <w:rFonts w:hint="eastAsia" w:ascii="宋体" w:hAnsi="宋体" w:eastAsia="宋体" w:cs="宋体"/>
          <w:color w:val="auto"/>
          <w:sz w:val="21"/>
          <w:szCs w:val="21"/>
          <w:highlight w:val="none"/>
        </w:rPr>
        <w:t>．不可抗力</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39.1</w:t>
      </w:r>
      <w:r>
        <w:rPr>
          <w:rFonts w:hint="eastAsia" w:ascii="宋体" w:hAnsi="宋体" w:eastAsia="宋体" w:cs="宋体"/>
          <w:color w:val="auto"/>
          <w:sz w:val="21"/>
          <w:szCs w:val="21"/>
          <w:highlight w:val="none"/>
        </w:rPr>
        <w:t>双方关于不可抗力的约定：</w:t>
      </w:r>
      <w:r>
        <w:rPr>
          <w:rFonts w:hint="eastAsia" w:ascii="宋体" w:hAnsi="宋体" w:eastAsia="宋体" w:cs="宋体"/>
          <w:color w:val="auto"/>
          <w:sz w:val="21"/>
          <w:szCs w:val="21"/>
          <w:highlight w:val="none"/>
          <w:u w:val="single"/>
        </w:rPr>
        <w:t>按通用条款的相应条款执行</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w:t>
      </w:r>
      <w:r>
        <w:rPr>
          <w:rFonts w:hint="eastAsia" w:ascii="宋体" w:hAnsi="宋体" w:eastAsia="宋体" w:cs="宋体"/>
          <w:color w:val="auto"/>
          <w:sz w:val="21"/>
          <w:szCs w:val="21"/>
          <w:highlight w:val="none"/>
        </w:rPr>
        <w:t>．保险</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40.6</w:t>
      </w:r>
      <w:r>
        <w:rPr>
          <w:rFonts w:hint="eastAsia" w:ascii="宋体" w:hAnsi="宋体" w:eastAsia="宋体" w:cs="宋体"/>
          <w:color w:val="auto"/>
          <w:sz w:val="21"/>
          <w:szCs w:val="21"/>
          <w:highlight w:val="none"/>
        </w:rPr>
        <w:t>本工程双方约定投保内容如下：</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rPr>
        <w:t>）发包人投保内容：</w:t>
      </w:r>
      <w:r>
        <w:rPr>
          <w:rFonts w:hint="eastAsia" w:ascii="宋体" w:hAnsi="宋体" w:eastAsia="宋体" w:cs="宋体"/>
          <w:color w:val="auto"/>
          <w:sz w:val="21"/>
          <w:szCs w:val="21"/>
          <w:highlight w:val="none"/>
          <w:u w:val="single"/>
        </w:rPr>
        <w:t>发包人工地自身人员和第三者人身意外伤害保险。</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发包人委托承包人办理的保险事项：</w:t>
      </w:r>
      <w:r>
        <w:rPr>
          <w:rFonts w:hint="eastAsia" w:ascii="宋体" w:hAnsi="宋体" w:eastAsia="宋体" w:cs="宋体"/>
          <w:color w:val="auto"/>
          <w:sz w:val="21"/>
          <w:szCs w:val="21"/>
          <w:highlight w:val="none"/>
          <w:u w:val="single"/>
        </w:rPr>
        <w:t>按通用条款办理。</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rPr>
        <w:t>）承包人保内容：</w:t>
      </w:r>
      <w:r>
        <w:rPr>
          <w:rFonts w:hint="eastAsia" w:ascii="宋体" w:hAnsi="宋体" w:eastAsia="宋体" w:cs="宋体"/>
          <w:color w:val="auto"/>
          <w:sz w:val="21"/>
          <w:szCs w:val="21"/>
          <w:highlight w:val="none"/>
          <w:u w:val="single"/>
        </w:rPr>
        <w:t>承包人必须为施工场地内自有人员办理意外伤害保险，并为施工机械设备办理保险，支付相关保险费用。</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w:t>
      </w:r>
      <w:r>
        <w:rPr>
          <w:rFonts w:hint="eastAsia" w:ascii="宋体" w:hAnsi="宋体" w:eastAsia="宋体" w:cs="宋体"/>
          <w:color w:val="auto"/>
          <w:sz w:val="21"/>
          <w:szCs w:val="21"/>
          <w:highlight w:val="none"/>
        </w:rPr>
        <w:t>．担保</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41.3</w:t>
      </w:r>
      <w:r>
        <w:rPr>
          <w:rFonts w:hint="eastAsia" w:ascii="宋体" w:hAnsi="宋体" w:eastAsia="宋体" w:cs="宋体"/>
          <w:color w:val="auto"/>
          <w:sz w:val="21"/>
          <w:szCs w:val="21"/>
          <w:highlight w:val="none"/>
        </w:rPr>
        <w:t>本工程双方约定担保事项如下：</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rPr>
        <w:t>）发包人向承包人提供履约担保，担保方式为：</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rPr>
        <w:t>）承包人向发包人提供履约担保，担保方式为</w:t>
      </w:r>
      <w:r>
        <w:rPr>
          <w:rFonts w:hint="eastAsia" w:ascii="宋体" w:hAnsi="宋体" w:eastAsia="宋体" w:cs="宋体"/>
          <w:color w:val="auto"/>
          <w:sz w:val="21"/>
          <w:szCs w:val="21"/>
          <w:highlight w:val="none"/>
          <w:u w:val="single"/>
        </w:rPr>
        <w:t>合同总价2.5</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rPr>
        <w:t>的银行汇票或转帐支票或现金支票，</w:t>
      </w:r>
      <w:r>
        <w:rPr>
          <w:rFonts w:hint="eastAsia" w:ascii="宋体" w:hAnsi="宋体" w:eastAsia="宋体" w:cs="宋体"/>
          <w:color w:val="auto"/>
          <w:sz w:val="21"/>
          <w:szCs w:val="21"/>
          <w:highlight w:val="none"/>
        </w:rPr>
        <w:t>担保合同作为本合同附件。</w:t>
      </w:r>
    </w:p>
    <w:p>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rPr>
        <w:t>）双方约定的其他担保事项：</w:t>
      </w:r>
      <w:r>
        <w:rPr>
          <w:rFonts w:hint="eastAsia" w:ascii="宋体" w:hAnsi="宋体" w:eastAsia="宋体" w:cs="宋体"/>
          <w:color w:val="auto"/>
          <w:sz w:val="21"/>
          <w:szCs w:val="21"/>
          <w:highlight w:val="none"/>
          <w:u w:val="single"/>
        </w:rPr>
        <w:t xml:space="preserve">         /                 </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46</w:t>
      </w:r>
      <w:r>
        <w:rPr>
          <w:rFonts w:hint="eastAsia" w:ascii="宋体" w:hAnsi="宋体" w:eastAsia="宋体" w:cs="宋体"/>
          <w:color w:val="auto"/>
          <w:sz w:val="21"/>
          <w:szCs w:val="21"/>
          <w:highlight w:val="none"/>
        </w:rPr>
        <w:t>．合同份数</w:t>
      </w:r>
    </w:p>
    <w:p>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46.1</w:t>
      </w:r>
      <w:r>
        <w:rPr>
          <w:rFonts w:hint="eastAsia" w:ascii="宋体" w:hAnsi="宋体" w:eastAsia="宋体" w:cs="宋体"/>
          <w:color w:val="auto"/>
          <w:sz w:val="21"/>
          <w:szCs w:val="21"/>
          <w:highlight w:val="none"/>
        </w:rPr>
        <w:t>双方约定合同副本份数：</w:t>
      </w:r>
      <w:r>
        <w:rPr>
          <w:rFonts w:hint="eastAsia" w:ascii="宋体" w:hAnsi="宋体" w:eastAsia="宋体" w:cs="宋体"/>
          <w:color w:val="auto"/>
          <w:sz w:val="21"/>
          <w:szCs w:val="21"/>
          <w:highlight w:val="none"/>
          <w:u w:val="single"/>
        </w:rPr>
        <w:t>一式玖份，甲方柒份，乙方壹份，招标代理机构壹份。</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47</w:t>
      </w:r>
      <w:r>
        <w:rPr>
          <w:rFonts w:hint="eastAsia" w:ascii="宋体" w:hAnsi="宋体" w:eastAsia="宋体" w:cs="宋体"/>
          <w:color w:val="auto"/>
          <w:sz w:val="21"/>
          <w:szCs w:val="21"/>
          <w:highlight w:val="none"/>
        </w:rPr>
        <w:t>．补充条款</w:t>
      </w:r>
    </w:p>
    <w:p>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 xml:space="preserve"> 47.1</w:t>
      </w:r>
      <w:r>
        <w:rPr>
          <w:rFonts w:hint="eastAsia" w:ascii="宋体" w:hAnsi="宋体" w:eastAsia="宋体" w:cs="宋体"/>
          <w:color w:val="auto"/>
          <w:sz w:val="21"/>
          <w:szCs w:val="21"/>
          <w:highlight w:val="none"/>
          <w:u w:val="single"/>
        </w:rPr>
        <w:t>合同双方确认，本合同及本合同约定的其它文件组成部分中的各项约定都是通过法定招标过程形成的合法成果，不存在与采购文件和中标人响应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w:t>
      </w:r>
    </w:p>
    <w:p>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47.2</w:t>
      </w:r>
      <w:r>
        <w:rPr>
          <w:rFonts w:hint="eastAsia" w:ascii="宋体" w:hAnsi="宋体" w:eastAsia="宋体" w:cs="宋体"/>
          <w:color w:val="auto"/>
          <w:sz w:val="21"/>
          <w:szCs w:val="21"/>
          <w:highlight w:val="none"/>
          <w:u w:val="single"/>
        </w:rPr>
        <w:t>承包人必须按期如实支付工人的劳动工资，发包人有权监督承包人对工人工资的发放。如若发生因承包人拖欠民工工资导致民工到发包人处闹事，造成阻挠施工进度、扰乱发包人正常的工作秩序及校园环境，每发生一次，发包人有权扣罚承包人2.5</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rPr>
        <w:t>的履约保证金。并且由承包人承担由此造成的损失和责任，由此导致的工期拖延，发包人不顺延工期。</w:t>
      </w:r>
    </w:p>
    <w:p>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47.3</w:t>
      </w:r>
      <w:r>
        <w:rPr>
          <w:rFonts w:hint="eastAsia" w:ascii="宋体" w:hAnsi="宋体" w:eastAsia="宋体" w:cs="宋体"/>
          <w:color w:val="auto"/>
          <w:sz w:val="21"/>
          <w:szCs w:val="21"/>
          <w:highlight w:val="none"/>
          <w:u w:val="single"/>
        </w:rPr>
        <w:t>履约保证金分为三部分，其中履约担保金中</w:t>
      </w:r>
      <w:r>
        <w:rPr>
          <w:rFonts w:hint="eastAsia" w:ascii="宋体" w:hAnsi="宋体" w:eastAsia="宋体" w:cs="宋体"/>
          <w:color w:val="auto"/>
          <w:sz w:val="21"/>
          <w:szCs w:val="21"/>
          <w:highlight w:val="none"/>
          <w:u w:val="single"/>
        </w:rPr>
        <w:t>40%</w:t>
      </w:r>
      <w:r>
        <w:rPr>
          <w:rFonts w:hint="eastAsia" w:ascii="宋体" w:hAnsi="宋体" w:eastAsia="宋体" w:cs="宋体"/>
          <w:color w:val="auto"/>
          <w:sz w:val="21"/>
          <w:szCs w:val="21"/>
          <w:highlight w:val="none"/>
          <w:u w:val="single"/>
        </w:rPr>
        <w:t>作为质量担保，</w:t>
      </w:r>
      <w:r>
        <w:rPr>
          <w:rFonts w:hint="eastAsia" w:ascii="宋体" w:hAnsi="宋体" w:eastAsia="宋体" w:cs="宋体"/>
          <w:color w:val="auto"/>
          <w:sz w:val="21"/>
          <w:szCs w:val="21"/>
          <w:highlight w:val="none"/>
          <w:u w:val="single"/>
        </w:rPr>
        <w:t>30%</w:t>
      </w:r>
      <w:r>
        <w:rPr>
          <w:rFonts w:hint="eastAsia" w:ascii="宋体" w:hAnsi="宋体" w:eastAsia="宋体" w:cs="宋体"/>
          <w:color w:val="auto"/>
          <w:sz w:val="21"/>
          <w:szCs w:val="21"/>
          <w:highlight w:val="none"/>
          <w:u w:val="single"/>
        </w:rPr>
        <w:t>作为工期进度担保，剩余</w:t>
      </w:r>
      <w:r>
        <w:rPr>
          <w:rFonts w:hint="eastAsia" w:ascii="宋体" w:hAnsi="宋体" w:eastAsia="宋体" w:cs="宋体"/>
          <w:color w:val="auto"/>
          <w:sz w:val="21"/>
          <w:szCs w:val="21"/>
          <w:highlight w:val="none"/>
          <w:u w:val="single"/>
        </w:rPr>
        <w:t>30%</w:t>
      </w:r>
      <w:r>
        <w:rPr>
          <w:rFonts w:hint="eastAsia" w:ascii="宋体" w:hAnsi="宋体" w:eastAsia="宋体" w:cs="宋体"/>
          <w:color w:val="auto"/>
          <w:sz w:val="21"/>
          <w:szCs w:val="21"/>
          <w:highlight w:val="none"/>
          <w:u w:val="single"/>
        </w:rPr>
        <w:t>作为文明施工担保。</w:t>
      </w:r>
    </w:p>
    <w:p>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 xml:space="preserve">47.4 </w:t>
      </w:r>
      <w:r>
        <w:rPr>
          <w:rFonts w:hint="eastAsia" w:ascii="宋体" w:hAnsi="宋体" w:eastAsia="宋体" w:cs="宋体"/>
          <w:color w:val="auto"/>
          <w:sz w:val="21"/>
          <w:szCs w:val="21"/>
          <w:highlight w:val="none"/>
          <w:u w:val="single"/>
        </w:rPr>
        <w:t>主材的相关要求：乙方提供的施工材料必须全部符合绿色环保规定要求，不得使用任何三无产品。施工时，必须按照响应文件中确定的材料进行，未经甲方同意不得更换已确定的装修材料。</w:t>
      </w:r>
    </w:p>
    <w:p>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47.5</w:t>
      </w:r>
      <w:r>
        <w:rPr>
          <w:rFonts w:hint="eastAsia" w:ascii="宋体" w:hAnsi="宋体" w:eastAsia="宋体" w:cs="宋体"/>
          <w:color w:val="auto"/>
          <w:sz w:val="21"/>
          <w:szCs w:val="21"/>
          <w:highlight w:val="none"/>
          <w:u w:val="single"/>
        </w:rPr>
        <w:t>结算审核费用由发包人、承包人按“浙价服（</w:t>
      </w:r>
      <w:r>
        <w:rPr>
          <w:rFonts w:hint="eastAsia" w:ascii="宋体" w:hAnsi="宋体" w:eastAsia="宋体" w:cs="宋体"/>
          <w:color w:val="auto"/>
          <w:sz w:val="21"/>
          <w:szCs w:val="21"/>
          <w:highlight w:val="none"/>
          <w:u w:val="single"/>
        </w:rPr>
        <w:t>2009</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rPr>
        <w:t>84</w:t>
      </w:r>
      <w:r>
        <w:rPr>
          <w:rFonts w:hint="eastAsia" w:ascii="宋体" w:hAnsi="宋体" w:eastAsia="宋体" w:cs="宋体"/>
          <w:color w:val="auto"/>
          <w:sz w:val="21"/>
          <w:szCs w:val="21"/>
          <w:highlight w:val="none"/>
          <w:u w:val="single"/>
        </w:rPr>
        <w:t>号”文件计取，其中核增额、超过</w:t>
      </w:r>
      <w:r>
        <w:rPr>
          <w:rFonts w:hint="eastAsia" w:ascii="宋体" w:hAnsi="宋体" w:eastAsia="宋体" w:cs="宋体"/>
          <w:color w:val="auto"/>
          <w:sz w:val="21"/>
          <w:szCs w:val="21"/>
          <w:highlight w:val="none"/>
          <w:u w:val="single"/>
        </w:rPr>
        <w:t>5%</w:t>
      </w:r>
      <w:r>
        <w:rPr>
          <w:rFonts w:hint="eastAsia" w:ascii="宋体" w:hAnsi="宋体" w:eastAsia="宋体" w:cs="宋体"/>
          <w:color w:val="auto"/>
          <w:sz w:val="21"/>
          <w:szCs w:val="21"/>
          <w:highlight w:val="none"/>
          <w:u w:val="single"/>
        </w:rPr>
        <w:t>以上的核减额产生的追加费用由承包人支付。审计机构对承包人提交的竣工结算报告进行审核时，承包人须根据发包人及审计机构的要求履行配合义务，因承包人不配合导致审计机构无法及时完成造价审核的，责任由承包人承担，承包人不得要求发包人承担逾期付款违约责任。</w:t>
      </w:r>
    </w:p>
    <w:p>
      <w:pPr>
        <w:pStyle w:val="51"/>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br w:type="page"/>
      </w:r>
      <w:bookmarkStart w:id="116" w:name="_Toc3589_WPSOffice_Level2"/>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eastAsia="zh-CN"/>
        </w:rPr>
        <w:t>四</w:t>
      </w:r>
      <w:r>
        <w:rPr>
          <w:rFonts w:hint="eastAsia" w:ascii="宋体" w:hAnsi="宋体" w:eastAsia="宋体" w:cs="宋体"/>
          <w:color w:val="auto"/>
          <w:sz w:val="21"/>
          <w:szCs w:val="21"/>
          <w:highlight w:val="none"/>
        </w:rPr>
        <w:t>节合同附件</w:t>
      </w:r>
      <w:bookmarkEnd w:id="110"/>
      <w:bookmarkEnd w:id="111"/>
      <w:bookmarkEnd w:id="112"/>
      <w:bookmarkEnd w:id="116"/>
      <w:r>
        <w:rPr>
          <w:rFonts w:hint="eastAsia" w:ascii="宋体" w:hAnsi="宋体" w:eastAsia="宋体" w:cs="宋体"/>
          <w:color w:val="auto"/>
          <w:sz w:val="21"/>
          <w:szCs w:val="21"/>
          <w:highlight w:val="none"/>
          <w:lang w:eastAsia="zh-CN"/>
        </w:rPr>
        <w:t xml:space="preserve"> </w:t>
      </w:r>
    </w:p>
    <w:p>
      <w:pPr>
        <w:pStyle w:val="50"/>
        <w:tabs>
          <w:tab w:val="left" w:pos="8100"/>
        </w:tabs>
        <w:ind w:left="0" w:right="77"/>
        <w:outlineLvl w:val="2"/>
        <w:rPr>
          <w:rFonts w:hint="eastAsia" w:ascii="宋体" w:hAnsi="宋体" w:eastAsia="宋体" w:cs="宋体"/>
          <w:snapToGrid w:val="0"/>
          <w:color w:val="auto"/>
          <w:sz w:val="21"/>
          <w:szCs w:val="21"/>
          <w:highlight w:val="none"/>
        </w:rPr>
      </w:pPr>
      <w:bookmarkStart w:id="117" w:name="_Toc534620509"/>
      <w:bookmarkStart w:id="118" w:name="_Toc249091536"/>
      <w:bookmarkStart w:id="119" w:name="_Toc21100_WPSOffice_Level2"/>
      <w:r>
        <w:rPr>
          <w:rFonts w:hint="eastAsia" w:ascii="宋体" w:hAnsi="宋体" w:eastAsia="宋体" w:cs="宋体"/>
          <w:snapToGrid w:val="0"/>
          <w:color w:val="auto"/>
          <w:sz w:val="21"/>
          <w:szCs w:val="21"/>
          <w:highlight w:val="none"/>
        </w:rPr>
        <w:t>附件一：质量保修书</w:t>
      </w:r>
      <w:bookmarkEnd w:id="117"/>
      <w:bookmarkEnd w:id="118"/>
      <w:bookmarkEnd w:id="119"/>
      <w:r>
        <w:rPr>
          <w:rFonts w:hint="eastAsia" w:ascii="宋体" w:hAnsi="宋体" w:eastAsia="宋体" w:cs="宋体"/>
          <w:snapToGrid w:val="0"/>
          <w:color w:val="auto"/>
          <w:sz w:val="21"/>
          <w:szCs w:val="21"/>
          <w:highlight w:val="none"/>
        </w:rPr>
        <w:t xml:space="preserve"> </w:t>
      </w:r>
    </w:p>
    <w:p>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房屋建筑工程质量保修书</w:t>
      </w:r>
    </w:p>
    <w:p>
      <w:pPr>
        <w:pStyle w:val="50"/>
        <w:tabs>
          <w:tab w:val="left" w:pos="7920"/>
          <w:tab w:val="left" w:pos="8640"/>
        </w:tabs>
        <w:ind w:left="0" w:right="7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发包人（全称）：</w:t>
      </w:r>
      <w:r>
        <w:rPr>
          <w:rFonts w:hint="eastAsia" w:ascii="宋体" w:hAnsi="宋体" w:eastAsia="宋体" w:cs="宋体"/>
          <w:color w:val="auto"/>
          <w:sz w:val="21"/>
          <w:szCs w:val="21"/>
          <w:highlight w:val="none"/>
          <w:u w:val="single"/>
        </w:rPr>
        <w:t>___浙江农林大学_____</w:t>
      </w:r>
    </w:p>
    <w:p>
      <w:pPr>
        <w:pStyle w:val="50"/>
        <w:tabs>
          <w:tab w:val="left" w:pos="7920"/>
          <w:tab w:val="left" w:pos="8640"/>
        </w:tabs>
        <w:ind w:left="0" w:right="7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承包人（全称）：</w:t>
      </w:r>
      <w:r>
        <w:rPr>
          <w:rFonts w:hint="eastAsia" w:ascii="宋体" w:hAnsi="宋体" w:eastAsia="宋体" w:cs="宋体"/>
          <w:color w:val="auto"/>
          <w:sz w:val="21"/>
          <w:szCs w:val="21"/>
          <w:highlight w:val="none"/>
          <w:u w:val="single"/>
        </w:rPr>
        <w:t>__</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___</w:t>
      </w:r>
      <w:r>
        <w:rPr>
          <w:rFonts w:hint="eastAsia" w:ascii="宋体" w:hAnsi="宋体" w:eastAsia="宋体" w:cs="宋体"/>
          <w:color w:val="auto"/>
          <w:sz w:val="21"/>
          <w:szCs w:val="21"/>
          <w:highlight w:val="none"/>
        </w:rPr>
        <w:t>_</w:t>
      </w:r>
    </w:p>
    <w:p>
      <w:pPr>
        <w:pStyle w:val="50"/>
        <w:tabs>
          <w:tab w:val="left" w:pos="7920"/>
          <w:tab w:val="left" w:pos="8640"/>
        </w:tabs>
        <w:spacing w:before="0" w:after="0" w:line="480" w:lineRule="auto"/>
        <w:ind w:left="0" w:right="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发包人、承包人根据《中华人民共和国建筑法》、《建设工程质量管理条例》和《房屋建筑工程质量保修办法》，经协商一致，对</w:t>
      </w:r>
      <w:r>
        <w:rPr>
          <w:rFonts w:hint="eastAsia" w:ascii="宋体" w:hAnsi="宋体" w:eastAsia="宋体" w:cs="宋体"/>
          <w:color w:val="auto"/>
          <w:sz w:val="21"/>
          <w:szCs w:val="21"/>
          <w:highlight w:val="none"/>
          <w:u w:val="single"/>
        </w:rPr>
        <w:t>_</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__</w:t>
      </w:r>
      <w:r>
        <w:rPr>
          <w:rFonts w:hint="eastAsia" w:ascii="宋体" w:hAnsi="宋体" w:eastAsia="宋体" w:cs="宋体"/>
          <w:color w:val="auto"/>
          <w:sz w:val="21"/>
          <w:szCs w:val="21"/>
          <w:highlight w:val="none"/>
        </w:rPr>
        <w:t>（工程全称）签定工程质量保修书。</w:t>
      </w:r>
    </w:p>
    <w:p>
      <w:pPr>
        <w:pStyle w:val="50"/>
        <w:tabs>
          <w:tab w:val="left" w:pos="7920"/>
          <w:tab w:val="left" w:pos="8640"/>
        </w:tabs>
        <w:spacing w:before="0" w:after="0" w:line="480" w:lineRule="auto"/>
        <w:ind w:left="0" w:right="7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一、工程质量保修范围和内容</w:t>
      </w:r>
    </w:p>
    <w:p>
      <w:pPr>
        <w:pStyle w:val="50"/>
        <w:tabs>
          <w:tab w:val="left" w:pos="7920"/>
          <w:tab w:val="left" w:pos="8640"/>
        </w:tabs>
        <w:spacing w:before="0" w:after="0" w:line="480" w:lineRule="auto"/>
        <w:ind w:left="0" w:right="77"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承包人在质量保修期内，按照有关法律、法规、规章的管理规定和双方约定，承担本工程质量保修责任。</w:t>
      </w:r>
    </w:p>
    <w:p>
      <w:pPr>
        <w:pStyle w:val="50"/>
        <w:tabs>
          <w:tab w:val="left" w:pos="7920"/>
          <w:tab w:val="left" w:pos="8640"/>
        </w:tabs>
        <w:spacing w:before="0" w:after="0" w:line="480" w:lineRule="auto"/>
        <w:ind w:left="0" w:right="72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保修范围为承包人所承包项目的全部内容。</w:t>
      </w:r>
    </w:p>
    <w:p>
      <w:pPr>
        <w:pStyle w:val="50"/>
        <w:tabs>
          <w:tab w:val="left" w:pos="7920"/>
          <w:tab w:val="left" w:pos="8640"/>
        </w:tabs>
        <w:spacing w:before="0" w:after="0" w:line="480" w:lineRule="auto"/>
        <w:ind w:left="0" w:right="720"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二、保修期</w:t>
      </w:r>
    </w:p>
    <w:p>
      <w:pPr>
        <w:pStyle w:val="50"/>
        <w:tabs>
          <w:tab w:val="left" w:pos="7920"/>
          <w:tab w:val="left" w:pos="8640"/>
        </w:tabs>
        <w:spacing w:before="0" w:after="0" w:line="480" w:lineRule="auto"/>
        <w:ind w:left="0" w:right="7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双方根据《建设工程质量管理条例》及有关规定，约定本工程的质量保修期如下：</w:t>
      </w:r>
    </w:p>
    <w:p>
      <w:pPr>
        <w:pStyle w:val="50"/>
        <w:tabs>
          <w:tab w:val="left" w:pos="7920"/>
          <w:tab w:val="left" w:pos="8640"/>
        </w:tabs>
        <w:spacing w:before="0" w:after="0" w:line="480" w:lineRule="auto"/>
        <w:ind w:left="0" w:right="7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rPr>
        <w:t>屋面防水工程、房间和外墙面的防渗漏为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p>
    <w:p>
      <w:pPr>
        <w:pStyle w:val="50"/>
        <w:tabs>
          <w:tab w:val="left" w:pos="7920"/>
          <w:tab w:val="left" w:pos="8640"/>
        </w:tabs>
        <w:spacing w:before="0" w:after="0" w:line="480" w:lineRule="auto"/>
        <w:ind w:left="0" w:right="720"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rPr>
        <w:t>其他项目保修期限约定如下：</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p>
    <w:p>
      <w:pPr>
        <w:pStyle w:val="50"/>
        <w:tabs>
          <w:tab w:val="left" w:pos="7768"/>
          <w:tab w:val="left" w:pos="7920"/>
          <w:tab w:val="left" w:pos="8640"/>
        </w:tabs>
        <w:snapToGrid w:val="0"/>
        <w:spacing w:before="0" w:after="0" w:line="480" w:lineRule="auto"/>
        <w:ind w:left="0" w:right="0"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质量保修期自工程竣工验收合格之日起计算。</w:t>
      </w:r>
    </w:p>
    <w:p>
      <w:pPr>
        <w:pStyle w:val="50"/>
        <w:tabs>
          <w:tab w:val="left" w:pos="7920"/>
          <w:tab w:val="left" w:pos="8640"/>
        </w:tabs>
        <w:spacing w:before="0" w:after="0" w:line="480" w:lineRule="auto"/>
        <w:ind w:left="0" w:right="7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三、质量保修责任</w:t>
      </w:r>
    </w:p>
    <w:p>
      <w:pPr>
        <w:pStyle w:val="50"/>
        <w:tabs>
          <w:tab w:val="left" w:pos="7920"/>
          <w:tab w:val="left" w:pos="8640"/>
        </w:tabs>
        <w:spacing w:before="0" w:after="0" w:line="480" w:lineRule="auto"/>
        <w:ind w:left="0" w:right="77"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⒈属于保修范围、内容的项目，承包人应当在接到保修通知之日起</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rPr>
        <w:t>天内派人保修。承包人不在约定期限内派人保修的，发包人可以委托他人修理，费用可直接从质保金中扣除。如质量保修金金额不足以支付工程保修及赔偿等费用，承包人应在接到发包人通知后15天内将差额补齐。</w:t>
      </w:r>
    </w:p>
    <w:p>
      <w:pPr>
        <w:pStyle w:val="50"/>
        <w:tabs>
          <w:tab w:val="left" w:pos="7920"/>
          <w:tab w:val="left" w:pos="8640"/>
        </w:tabs>
        <w:spacing w:before="0" w:after="0" w:line="480" w:lineRule="auto"/>
        <w:ind w:left="0" w:right="77"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⒉发生紧急抢修事故的，承包人在接到事故通知后，应当立即到达事故现场抢修。</w:t>
      </w:r>
    </w:p>
    <w:p>
      <w:pPr>
        <w:pStyle w:val="50"/>
        <w:tabs>
          <w:tab w:val="left" w:pos="7920"/>
          <w:tab w:val="left" w:pos="8640"/>
        </w:tabs>
        <w:spacing w:before="0" w:after="0" w:line="480" w:lineRule="auto"/>
        <w:ind w:left="0" w:right="77"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⒊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pStyle w:val="50"/>
        <w:tabs>
          <w:tab w:val="left" w:pos="7920"/>
          <w:tab w:val="left" w:pos="8640"/>
        </w:tabs>
        <w:spacing w:before="0" w:after="0" w:line="480" w:lineRule="auto"/>
        <w:ind w:left="0" w:right="77"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⒋质量保修完成后，由发包人组织验收。</w:t>
      </w:r>
    </w:p>
    <w:p>
      <w:pPr>
        <w:pStyle w:val="50"/>
        <w:tabs>
          <w:tab w:val="left" w:pos="7920"/>
          <w:tab w:val="left" w:pos="8640"/>
        </w:tabs>
        <w:spacing w:before="0" w:after="0" w:line="480" w:lineRule="auto"/>
        <w:ind w:left="0" w:right="7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四、保修费用</w:t>
      </w:r>
    </w:p>
    <w:p>
      <w:pPr>
        <w:pStyle w:val="50"/>
        <w:tabs>
          <w:tab w:val="left" w:pos="7920"/>
          <w:tab w:val="left" w:pos="8640"/>
        </w:tabs>
        <w:spacing w:before="0" w:after="0" w:line="480" w:lineRule="auto"/>
        <w:ind w:left="0" w:right="7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保修费用由造成质量缺陷的责任方承担。</w:t>
      </w:r>
    </w:p>
    <w:p>
      <w:pPr>
        <w:pStyle w:val="50"/>
        <w:tabs>
          <w:tab w:val="left" w:pos="7920"/>
          <w:tab w:val="left" w:pos="8640"/>
        </w:tabs>
        <w:spacing w:before="0" w:after="0" w:line="480" w:lineRule="auto"/>
        <w:ind w:left="0" w:right="7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五、其他</w:t>
      </w:r>
    </w:p>
    <w:p>
      <w:pPr>
        <w:pStyle w:val="50"/>
        <w:tabs>
          <w:tab w:val="left" w:pos="7920"/>
          <w:tab w:val="left" w:pos="8640"/>
        </w:tabs>
        <w:spacing w:before="0" w:after="0" w:line="480" w:lineRule="auto"/>
        <w:ind w:left="0" w:right="720"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双方约定的其他工程质量保修事项：</w:t>
      </w:r>
    </w:p>
    <w:p>
      <w:pPr>
        <w:pStyle w:val="50"/>
        <w:tabs>
          <w:tab w:val="left" w:pos="7920"/>
          <w:tab w:val="left" w:pos="8640"/>
        </w:tabs>
        <w:spacing w:before="0" w:after="0" w:line="480" w:lineRule="auto"/>
        <w:ind w:left="0" w:right="77"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本工程质量保修书，由施工合同发包人、承包人双方在竣工验收前共同签署，作为施工合同附件，其有效期限至保修期满。</w:t>
      </w:r>
    </w:p>
    <w:p>
      <w:pPr>
        <w:pStyle w:val="50"/>
        <w:tabs>
          <w:tab w:val="left" w:pos="8100"/>
        </w:tabs>
        <w:ind w:left="0" w:right="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　包　人（公章）：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承　包　人（公章）：</w:t>
      </w:r>
    </w:p>
    <w:p>
      <w:pPr>
        <w:pStyle w:val="50"/>
        <w:ind w:left="0" w:right="7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法定地址：浙江农林大学东湖校区             法定地址：</w:t>
      </w:r>
    </w:p>
    <w:p>
      <w:pPr>
        <w:pStyle w:val="50"/>
        <w:ind w:left="0" w:right="77"/>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法定代表人或其委托代理人：</w:t>
      </w:r>
      <w:r>
        <w:rPr>
          <w:rFonts w:hint="eastAsia" w:ascii="宋体" w:hAnsi="宋体" w:eastAsia="宋体" w:cs="宋体"/>
          <w:color w:val="auto"/>
          <w:sz w:val="21"/>
          <w:szCs w:val="21"/>
          <w:highlight w:val="none"/>
          <w:u w:val="single"/>
        </w:rPr>
        <w:t xml:space="preserve">（签字或盖章）   </w:t>
      </w:r>
      <w:r>
        <w:rPr>
          <w:rFonts w:hint="eastAsia" w:ascii="宋体" w:hAnsi="宋体" w:eastAsia="宋体" w:cs="宋体"/>
          <w:color w:val="auto"/>
          <w:sz w:val="21"/>
          <w:szCs w:val="21"/>
          <w:highlight w:val="none"/>
        </w:rPr>
        <w:t>法定代表人或其委托代理人：</w:t>
      </w:r>
      <w:r>
        <w:rPr>
          <w:rFonts w:hint="eastAsia" w:ascii="宋体" w:hAnsi="宋体" w:eastAsia="宋体" w:cs="宋体"/>
          <w:color w:val="auto"/>
          <w:sz w:val="21"/>
          <w:szCs w:val="21"/>
          <w:highlight w:val="none"/>
          <w:u w:val="single"/>
        </w:rPr>
        <w:t>（签字或盖章）</w:t>
      </w:r>
    </w:p>
    <w:p>
      <w:pPr>
        <w:pStyle w:val="50"/>
        <w:ind w:left="0" w:right="77"/>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电话： </w:t>
      </w:r>
      <w:r>
        <w:rPr>
          <w:rFonts w:hint="eastAsia" w:ascii="宋体" w:hAnsi="宋体" w:eastAsia="宋体" w:cs="宋体"/>
          <w:color w:val="auto"/>
          <w:sz w:val="21"/>
          <w:szCs w:val="21"/>
          <w:highlight w:val="none"/>
        </w:rPr>
        <w:t>0571-63740768</w:t>
      </w:r>
      <w:r>
        <w:rPr>
          <w:rFonts w:hint="eastAsia" w:ascii="宋体" w:hAnsi="宋体" w:eastAsia="宋体" w:cs="宋体"/>
          <w:color w:val="auto"/>
          <w:sz w:val="21"/>
          <w:szCs w:val="21"/>
          <w:highlight w:val="none"/>
        </w:rPr>
        <w:t xml:space="preserve">                       电话：</w:t>
      </w:r>
    </w:p>
    <w:p>
      <w:pPr>
        <w:pStyle w:val="50"/>
        <w:ind w:left="0" w:right="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                                     传真：</w:t>
      </w:r>
    </w:p>
    <w:p>
      <w:pPr>
        <w:pStyle w:val="50"/>
        <w:ind w:left="0" w:right="77"/>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电子邮箱：                                 电子邮箱：</w:t>
      </w:r>
    </w:p>
    <w:p>
      <w:pPr>
        <w:pStyle w:val="50"/>
        <w:ind w:left="0" w:right="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开户银行：建行临安市支行营业部             开户银行：</w:t>
      </w:r>
    </w:p>
    <w:p>
      <w:pPr>
        <w:pStyle w:val="50"/>
        <w:ind w:left="0" w:right="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帐号：</w:t>
      </w:r>
      <w:r>
        <w:rPr>
          <w:rFonts w:hint="eastAsia" w:ascii="宋体" w:hAnsi="宋体" w:eastAsia="宋体" w:cs="宋体"/>
          <w:color w:val="auto"/>
          <w:sz w:val="21"/>
          <w:szCs w:val="21"/>
          <w:highlight w:val="none"/>
        </w:rPr>
        <w:t>3300 1617 3350 5001 8761</w:t>
      </w:r>
      <w:r>
        <w:rPr>
          <w:rFonts w:hint="eastAsia" w:ascii="宋体" w:hAnsi="宋体" w:eastAsia="宋体" w:cs="宋体"/>
          <w:color w:val="auto"/>
          <w:sz w:val="21"/>
          <w:szCs w:val="21"/>
          <w:highlight w:val="none"/>
        </w:rPr>
        <w:t xml:space="preserve">             帐号：</w:t>
      </w:r>
    </w:p>
    <w:p>
      <w:pPr>
        <w:pStyle w:val="50"/>
        <w:ind w:left="0" w:right="7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rPr>
        <w:t xml:space="preserve">311300  </w:t>
      </w:r>
      <w:r>
        <w:rPr>
          <w:rFonts w:hint="eastAsia" w:ascii="宋体" w:hAnsi="宋体" w:eastAsia="宋体" w:cs="宋体"/>
          <w:color w:val="auto"/>
          <w:sz w:val="21"/>
          <w:szCs w:val="21"/>
          <w:highlight w:val="none"/>
        </w:rPr>
        <w:t xml:space="preserve">                         邮政编码：</w:t>
      </w:r>
    </w:p>
    <w:p>
      <w:pPr>
        <w:pStyle w:val="50"/>
        <w:ind w:left="0" w:right="7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年　月　日　　　　　　　　　　                            　年　月　日</w:t>
      </w:r>
    </w:p>
    <w:p>
      <w:pPr>
        <w:pStyle w:val="52"/>
        <w:numPr>
          <w:ilvl w:val="0"/>
          <w:numId w:val="0"/>
        </w:numPr>
        <w:rPr>
          <w:rFonts w:hint="eastAsia" w:ascii="宋体" w:hAnsi="宋体" w:eastAsia="宋体" w:cs="宋体"/>
          <w:b w:val="0"/>
          <w:snapToGrid w:val="0"/>
          <w:color w:val="auto"/>
          <w:kern w:val="0"/>
          <w:sz w:val="21"/>
          <w:szCs w:val="21"/>
          <w:highlight w:val="none"/>
        </w:rPr>
      </w:pPr>
      <w:r>
        <w:rPr>
          <w:rFonts w:hint="eastAsia" w:ascii="宋体" w:hAnsi="宋体" w:eastAsia="宋体" w:cs="宋体"/>
          <w:color w:val="auto"/>
          <w:sz w:val="21"/>
          <w:szCs w:val="21"/>
          <w:highlight w:val="none"/>
        </w:rPr>
        <w:br w:type="page"/>
      </w:r>
      <w:bookmarkStart w:id="120" w:name="_Toc31436_WPSOffice_Level2"/>
      <w:r>
        <w:rPr>
          <w:rFonts w:hint="eastAsia" w:ascii="宋体" w:hAnsi="宋体" w:eastAsia="宋体" w:cs="宋体"/>
          <w:b w:val="0"/>
          <w:snapToGrid w:val="0"/>
          <w:color w:val="auto"/>
          <w:kern w:val="0"/>
          <w:sz w:val="21"/>
          <w:szCs w:val="21"/>
          <w:highlight w:val="none"/>
        </w:rPr>
        <w:t>附件</w:t>
      </w:r>
      <w:r>
        <w:rPr>
          <w:rFonts w:hint="eastAsia" w:ascii="宋体" w:hAnsi="宋体" w:eastAsia="宋体" w:cs="宋体"/>
          <w:b w:val="0"/>
          <w:snapToGrid w:val="0"/>
          <w:color w:val="auto"/>
          <w:kern w:val="0"/>
          <w:sz w:val="21"/>
          <w:szCs w:val="21"/>
          <w:highlight w:val="none"/>
          <w:lang w:eastAsia="zh-CN"/>
        </w:rPr>
        <w:t>二</w:t>
      </w:r>
      <w:r>
        <w:rPr>
          <w:rFonts w:hint="eastAsia" w:ascii="宋体" w:hAnsi="宋体" w:eastAsia="宋体" w:cs="宋体"/>
          <w:b w:val="0"/>
          <w:snapToGrid w:val="0"/>
          <w:color w:val="auto"/>
          <w:kern w:val="0"/>
          <w:sz w:val="21"/>
          <w:szCs w:val="21"/>
          <w:highlight w:val="none"/>
        </w:rPr>
        <w:t>：廉政协议书</w:t>
      </w:r>
      <w:bookmarkEnd w:id="120"/>
    </w:p>
    <w:p>
      <w:pPr>
        <w:spacing w:line="4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廉政协议书</w:t>
      </w:r>
    </w:p>
    <w:p>
      <w:pPr>
        <w:rPr>
          <w:rFonts w:hint="eastAsia" w:ascii="宋体" w:hAnsi="宋体" w:eastAsia="宋体" w:cs="宋体"/>
          <w:color w:val="auto"/>
          <w:sz w:val="21"/>
          <w:szCs w:val="21"/>
          <w:highlight w:val="none"/>
        </w:rPr>
      </w:pPr>
    </w:p>
    <w:p>
      <w:pPr>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建设单位（甲方）：</w:t>
      </w:r>
      <w:r>
        <w:rPr>
          <w:rFonts w:hint="eastAsia" w:ascii="宋体" w:hAnsi="宋体" w:eastAsia="宋体" w:cs="宋体"/>
          <w:color w:val="auto"/>
          <w:kern w:val="0"/>
          <w:sz w:val="21"/>
          <w:szCs w:val="21"/>
          <w:highlight w:val="none"/>
          <w:u w:val="single"/>
        </w:rPr>
        <w:t>浙江农林大学</w:t>
      </w:r>
    </w:p>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施工单位（乙方）： </w:t>
      </w:r>
    </w:p>
    <w:p>
      <w:pPr>
        <w:ind w:firstLine="420" w:firstLineChars="200"/>
        <w:rPr>
          <w:rFonts w:hint="eastAsia" w:ascii="宋体" w:hAnsi="宋体" w:eastAsia="宋体" w:cs="宋体"/>
          <w:color w:val="auto"/>
          <w:kern w:val="0"/>
          <w:sz w:val="21"/>
          <w:szCs w:val="21"/>
          <w:highlight w:val="none"/>
        </w:rPr>
      </w:pPr>
    </w:p>
    <w:p>
      <w:pPr>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为加强工程建设中的廉政建设，规范工程建设项目甲乙双方的各项活动，防止发生各种谋取不正当利益的违法违纪行为，保护国家、集体和当事人的合法权益，根据国家有关工程建设的法律法规和廉政建设责任制规定，特订立本廉政协议书。</w:t>
      </w:r>
    </w:p>
    <w:p>
      <w:pP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第一条　甲乙双方的责任</w:t>
      </w:r>
    </w:p>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（一）应严格遵守国家关于市场准入、项目招标投标、工程建设、施工安装和市场活动等有关法律、法规，相关政策，以及廉政建设的各项规定。</w:t>
      </w:r>
    </w:p>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（二）严格执行建设工程项目施工合同文件，自觉履行合同的约定。</w:t>
      </w:r>
    </w:p>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（三）工程建设的业务活动必须坚持公平、公正、公开、诚信、透明的原则（除法律法规另有规定者外），不得为获取不正当的利益而损害国家、集体和对方利益；不得违反工程建设管理、施工安装的规章制度。</w:t>
      </w:r>
    </w:p>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（四）发现对方在工程建设业务活动中有违规、违纪、违法行为的，应及时纠正对方，情节严重的，应向其上级主管部门或院校纪检监察、司法等有关机关举报。</w:t>
      </w:r>
    </w:p>
    <w:p>
      <w:pP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第二条　甲方的责任</w:t>
      </w:r>
    </w:p>
    <w:p>
      <w:pPr>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甲方的领导和从事该工程建设项目的管理部门及工作人员，在工程建设业务活动的事前、事中、事后应遵守以下规定：</w:t>
      </w:r>
    </w:p>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（一）不准向乙方和相关单位索要或接受回扣、礼金、有价证券、贵重物品和好处费、感谢费等。</w:t>
      </w:r>
    </w:p>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（二）不准在乙方和相关单位报销任何应由甲方或个人支付的费用。</w:t>
      </w:r>
    </w:p>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（三）不准要求、暗示和接受乙方和相关单位为个人装修住房、婚丧嫁娶、配偶子女的工作安排以及出国（境）、旅游等提供方便。</w:t>
      </w:r>
    </w:p>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（四）不准参加有可能影响公正执行公务的乙方和相关单位的宴请和健身、娱乐等活动。</w:t>
      </w:r>
    </w:p>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不准向乙方推介或为配偶、子女、亲属参与同甲方项目工程施工合同有关的设备、材料、工程分包、劳务等经济活动。不得以任何理由向乙方和相关单位推荐分包单位和要求乙方购买项目工程施工合同规定以外的材料、设备等。</w:t>
      </w:r>
    </w:p>
    <w:p>
      <w:pP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第三条　乙方的责任</w:t>
      </w:r>
    </w:p>
    <w:p>
      <w:pPr>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应与甲方保持正常的业务交往，按照有关法律法规和程序开展业务工作，严格执行工程建设的有关方针、政策，尤其是有关建筑施工安装的强制性标准和规范，并遵守以下规定：</w:t>
      </w:r>
    </w:p>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（一）不准以任何理由向甲方、相关单位及其工作人员赠送礼金、有价证券、贵重物品和回扣、好处费、感谢费等。</w:t>
      </w:r>
    </w:p>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（二）不准以任何理由为甲方和相关单位报销应由对方或个人支付的费用。</w:t>
      </w:r>
    </w:p>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（三）不准接受或暗示为甲方、相关单位或个人装修住房、婚丧嫁娶、配偶子女的工作安排以及出国（境）、旅游等提供方便。</w:t>
      </w:r>
    </w:p>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（四）不准以任何理由为甲方、相关单位或个人组织有可能影响公正执行公务的宴请、健身、娱乐等活动。</w:t>
      </w:r>
    </w:p>
    <w:p>
      <w:pP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第四条　违约责任</w:t>
      </w:r>
    </w:p>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（一）甲方及其工作人员有违反本协议书第一、二条责任行为的，按照管理权限，依据有关法律法规和规定，给予党纪、政纪处分或组织处理；涉嫌犯罪的，移交司法机关追究刑事责任。</w:t>
      </w:r>
    </w:p>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（二）乙方及其工作人员有违反本协议书第一、三条责任行为的，按照管理权限，依据有关法律法规和规定，给予党纪、政纪处分或组织处理；涉嫌犯罪的，移交司法机关追究刑事责任。</w:t>
      </w:r>
    </w:p>
    <w:p>
      <w:pP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第五条　本协议书作为工程建设施工合同的附件，与工程建设施工合同具有同等法律效力。经双方签署后立即生效。</w:t>
      </w:r>
    </w:p>
    <w:p>
      <w:pP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第六条　本协议书的有效期为双方签署之日起至该工程项目竣工验收合格时止。</w:t>
      </w:r>
    </w:p>
    <w:p>
      <w:pP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第七条　本协议书一式四份，由甲乙双方各执一份，送交双方监督单位各一份。</w:t>
      </w:r>
    </w:p>
    <w:p>
      <w:pPr>
        <w:rPr>
          <w:rFonts w:hint="eastAsia" w:ascii="宋体" w:hAnsi="宋体" w:eastAsia="宋体" w:cs="宋体"/>
          <w:b/>
          <w:bCs/>
          <w:color w:val="auto"/>
          <w:kern w:val="0"/>
          <w:sz w:val="21"/>
          <w:szCs w:val="21"/>
          <w:highlight w:val="none"/>
        </w:rPr>
      </w:pPr>
    </w:p>
    <w:p>
      <w:pPr>
        <w:rPr>
          <w:rFonts w:hint="eastAsia" w:ascii="宋体" w:hAnsi="宋体" w:eastAsia="宋体" w:cs="宋体"/>
          <w:color w:val="auto"/>
          <w:kern w:val="0"/>
          <w:sz w:val="21"/>
          <w:szCs w:val="21"/>
          <w:highlight w:val="none"/>
        </w:rPr>
      </w:pPr>
    </w:p>
    <w:p>
      <w:pPr>
        <w:rPr>
          <w:rFonts w:hint="eastAsia" w:ascii="宋体" w:hAnsi="宋体" w:eastAsia="宋体" w:cs="宋体"/>
          <w:color w:val="auto"/>
          <w:kern w:val="0"/>
          <w:sz w:val="21"/>
          <w:szCs w:val="21"/>
          <w:highlight w:val="none"/>
        </w:rPr>
      </w:pPr>
    </w:p>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甲方单位：（盖章）                               乙方单位：（盖章）</w:t>
      </w:r>
    </w:p>
    <w:p>
      <w:pPr>
        <w:rPr>
          <w:rFonts w:hint="eastAsia" w:ascii="宋体" w:hAnsi="宋体" w:eastAsia="宋体" w:cs="宋体"/>
          <w:color w:val="auto"/>
          <w:kern w:val="0"/>
          <w:sz w:val="21"/>
          <w:szCs w:val="21"/>
          <w:highlight w:val="none"/>
        </w:rPr>
      </w:pPr>
    </w:p>
    <w:p>
      <w:pPr>
        <w:rPr>
          <w:rFonts w:hint="eastAsia" w:ascii="宋体" w:hAnsi="宋体" w:eastAsia="宋体" w:cs="宋体"/>
          <w:color w:val="auto"/>
          <w:kern w:val="0"/>
          <w:sz w:val="21"/>
          <w:szCs w:val="21"/>
          <w:highlight w:val="none"/>
        </w:rPr>
      </w:pPr>
    </w:p>
    <w:p>
      <w:pPr>
        <w:rPr>
          <w:rFonts w:hint="eastAsia" w:ascii="宋体" w:hAnsi="宋体" w:eastAsia="宋体" w:cs="宋体"/>
          <w:color w:val="auto"/>
          <w:kern w:val="0"/>
          <w:sz w:val="21"/>
          <w:szCs w:val="21"/>
          <w:highlight w:val="none"/>
        </w:rPr>
      </w:pPr>
    </w:p>
    <w:p>
      <w:pPr>
        <w:rPr>
          <w:rFonts w:hint="eastAsia" w:ascii="宋体" w:hAnsi="宋体" w:eastAsia="宋体" w:cs="宋体"/>
          <w:color w:val="auto"/>
          <w:kern w:val="0"/>
          <w:sz w:val="21"/>
          <w:szCs w:val="21"/>
          <w:highlight w:val="none"/>
        </w:rPr>
      </w:pPr>
    </w:p>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法定代表人或其委托代理人：                        法定代表人或其委托代理人：</w:t>
      </w:r>
    </w:p>
    <w:p>
      <w:pPr>
        <w:rPr>
          <w:rFonts w:hint="eastAsia" w:ascii="宋体" w:hAnsi="宋体" w:eastAsia="宋体" w:cs="宋体"/>
          <w:color w:val="auto"/>
          <w:kern w:val="0"/>
          <w:sz w:val="21"/>
          <w:szCs w:val="21"/>
          <w:highlight w:val="none"/>
        </w:rPr>
      </w:pPr>
    </w:p>
    <w:p>
      <w:pPr>
        <w:rPr>
          <w:rFonts w:hint="eastAsia" w:ascii="宋体" w:hAnsi="宋体" w:eastAsia="宋体" w:cs="宋体"/>
          <w:color w:val="auto"/>
          <w:kern w:val="0"/>
          <w:sz w:val="21"/>
          <w:szCs w:val="21"/>
          <w:highlight w:val="none"/>
        </w:rPr>
      </w:pPr>
    </w:p>
    <w:p>
      <w:pPr>
        <w:widowControl/>
        <w:spacing w:line="288" w:lineRule="auto"/>
        <w:jc w:val="left"/>
        <w:rPr>
          <w:rFonts w:hint="eastAsia" w:ascii="宋体" w:hAnsi="宋体" w:eastAsia="宋体" w:cs="宋体"/>
          <w:color w:val="auto"/>
          <w:kern w:val="0"/>
          <w:sz w:val="21"/>
          <w:szCs w:val="21"/>
          <w:highlight w:val="none"/>
        </w:rPr>
        <w:sectPr>
          <w:pgSz w:w="11900" w:h="16838"/>
          <w:pgMar w:top="1440" w:right="1440" w:bottom="158" w:left="1440" w:header="567" w:footer="567" w:gutter="0"/>
          <w:cols w:equalWidth="0" w:num="1">
            <w:col w:w="9026"/>
          </w:cols>
        </w:sectPr>
      </w:pPr>
      <w:r>
        <w:rPr>
          <w:rFonts w:hint="eastAsia" w:ascii="宋体" w:hAnsi="宋体" w:eastAsia="宋体" w:cs="宋体"/>
          <w:color w:val="auto"/>
          <w:kern w:val="0"/>
          <w:sz w:val="21"/>
          <w:szCs w:val="21"/>
          <w:highlight w:val="none"/>
        </w:rPr>
        <w:t>年　月　日                                             年　月　日</w:t>
      </w:r>
    </w:p>
    <w:p>
      <w:pPr>
        <w:tabs>
          <w:tab w:val="left" w:pos="300"/>
        </w:tabs>
        <w:spacing w:line="366" w:lineRule="exact"/>
        <w:jc w:val="center"/>
        <w:rPr>
          <w:rFonts w:hint="eastAsia" w:ascii="宋体" w:hAnsi="宋体" w:eastAsia="宋体" w:cs="宋体"/>
          <w:b/>
          <w:bCs/>
          <w:color w:val="auto"/>
          <w:sz w:val="32"/>
          <w:szCs w:val="32"/>
          <w:highlight w:val="none"/>
        </w:rPr>
      </w:pPr>
      <w:bookmarkStart w:id="121" w:name="_Toc12050_WPSOffice_Level1"/>
      <w:bookmarkStart w:id="122" w:name="_Toc26912_WPSOffice_Level1"/>
      <w:r>
        <w:rPr>
          <w:rFonts w:hint="eastAsia" w:ascii="宋体" w:hAnsi="宋体" w:eastAsia="宋体" w:cs="宋体"/>
          <w:b/>
          <w:bCs/>
          <w:color w:val="auto"/>
          <w:sz w:val="32"/>
          <w:szCs w:val="32"/>
          <w:highlight w:val="none"/>
        </w:rPr>
        <w:t>第六章</w:t>
      </w:r>
      <w:r>
        <w:rPr>
          <w:rFonts w:hint="eastAsia" w:ascii="宋体" w:hAnsi="宋体" w:eastAsia="宋体" w:cs="宋体"/>
          <w:b/>
          <w:bCs/>
          <w:color w:val="auto"/>
          <w:sz w:val="32"/>
          <w:szCs w:val="32"/>
          <w:highlight w:val="none"/>
        </w:rPr>
        <w:t xml:space="preserve">  </w:t>
      </w:r>
      <w:r>
        <w:rPr>
          <w:rFonts w:hint="eastAsia" w:ascii="宋体" w:hAnsi="宋体" w:eastAsia="宋体" w:cs="宋体"/>
          <w:b/>
          <w:bCs/>
          <w:color w:val="auto"/>
          <w:sz w:val="32"/>
          <w:szCs w:val="32"/>
          <w:highlight w:val="none"/>
        </w:rPr>
        <w:t>响应文件格式</w:t>
      </w:r>
      <w:bookmarkEnd w:id="121"/>
      <w:bookmarkEnd w:id="122"/>
    </w:p>
    <w:p>
      <w:pPr>
        <w:spacing w:line="256" w:lineRule="exact"/>
        <w:rPr>
          <w:rFonts w:hint="eastAsia" w:ascii="宋体" w:hAnsi="宋体" w:eastAsia="宋体" w:cs="宋体"/>
          <w:color w:val="auto"/>
          <w:sz w:val="20"/>
          <w:szCs w:val="20"/>
          <w:highlight w:val="none"/>
        </w:rPr>
      </w:pPr>
    </w:p>
    <w:p>
      <w:pPr>
        <w:spacing w:line="240" w:lineRule="exact"/>
        <w:ind w:right="-13"/>
        <w:jc w:val="center"/>
        <w:rPr>
          <w:rFonts w:hint="eastAsia" w:ascii="宋体" w:hAnsi="宋体" w:eastAsia="宋体" w:cs="宋体"/>
          <w:color w:val="auto"/>
          <w:sz w:val="20"/>
          <w:szCs w:val="20"/>
          <w:highlight w:val="none"/>
        </w:rPr>
      </w:pPr>
      <w:bookmarkStart w:id="123" w:name="_Toc20282_WPSOffice_Level2"/>
      <w:bookmarkStart w:id="124" w:name="_Toc23816_WPSOffice_Level2"/>
      <w:r>
        <w:rPr>
          <w:rFonts w:hint="eastAsia" w:ascii="宋体" w:hAnsi="宋体" w:eastAsia="宋体" w:cs="宋体"/>
          <w:color w:val="auto"/>
          <w:sz w:val="21"/>
          <w:szCs w:val="21"/>
          <w:highlight w:val="none"/>
        </w:rPr>
        <w:t>（未提供格式的由供应商自拟）</w:t>
      </w:r>
      <w:bookmarkEnd w:id="123"/>
      <w:bookmarkEnd w:id="124"/>
    </w:p>
    <w:p>
      <w:pPr>
        <w:tabs>
          <w:tab w:val="left" w:pos="300"/>
        </w:tabs>
        <w:spacing w:line="366" w:lineRule="exact"/>
        <w:jc w:val="center"/>
        <w:rPr>
          <w:rFonts w:hint="eastAsia" w:ascii="宋体" w:hAnsi="宋体" w:eastAsia="宋体" w:cs="宋体"/>
          <w:b/>
          <w:bCs/>
          <w:color w:val="auto"/>
          <w:sz w:val="32"/>
          <w:szCs w:val="32"/>
          <w:highlight w:val="none"/>
        </w:rPr>
      </w:pPr>
    </w:p>
    <w:p>
      <w:pPr>
        <w:pStyle w:val="7"/>
        <w:rPr>
          <w:rFonts w:hint="eastAsia" w:ascii="宋体" w:hAnsi="宋体" w:eastAsia="宋体" w:cs="宋体"/>
          <w:color w:val="auto"/>
          <w:highlight w:val="none"/>
        </w:rPr>
      </w:pPr>
    </w:p>
    <w:p>
      <w:pPr>
        <w:spacing w:line="320" w:lineRule="exact"/>
        <w:ind w:left="360"/>
        <w:rPr>
          <w:rFonts w:hint="eastAsia" w:ascii="宋体" w:hAnsi="宋体" w:eastAsia="宋体" w:cs="宋体"/>
          <w:color w:val="auto"/>
          <w:sz w:val="20"/>
          <w:szCs w:val="20"/>
          <w:highlight w:val="none"/>
        </w:rPr>
      </w:pPr>
      <w:bookmarkStart w:id="125" w:name="_Toc22347_WPSOffice_Level2"/>
      <w:r>
        <w:rPr>
          <w:rFonts w:hint="eastAsia" w:ascii="宋体" w:hAnsi="宋体" w:eastAsia="宋体" w:cs="宋体"/>
          <w:color w:val="auto"/>
          <w:sz w:val="28"/>
          <w:szCs w:val="28"/>
          <w:highlight w:val="none"/>
        </w:rPr>
        <w:t>外包装封面</w:t>
      </w:r>
      <w:bookmarkEnd w:id="125"/>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308" w:lineRule="exact"/>
        <w:rPr>
          <w:rFonts w:hint="eastAsia" w:ascii="宋体" w:hAnsi="宋体" w:eastAsia="宋体" w:cs="宋体"/>
          <w:color w:val="auto"/>
          <w:sz w:val="20"/>
          <w:szCs w:val="20"/>
          <w:highlight w:val="none"/>
        </w:rPr>
      </w:pPr>
    </w:p>
    <w:p>
      <w:pPr>
        <w:spacing w:line="320" w:lineRule="exact"/>
        <w:ind w:left="1340"/>
        <w:rPr>
          <w:rFonts w:hint="eastAsia" w:ascii="宋体" w:hAnsi="宋体" w:eastAsia="宋体" w:cs="宋体"/>
          <w:color w:val="auto"/>
          <w:sz w:val="20"/>
          <w:szCs w:val="20"/>
          <w:highlight w:val="none"/>
        </w:rPr>
      </w:pPr>
      <w:bookmarkStart w:id="126" w:name="_Toc10074_WPSOffice_Level2"/>
      <w:r>
        <w:rPr>
          <w:rFonts w:hint="eastAsia" w:ascii="宋体" w:hAnsi="宋体" w:eastAsia="宋体" w:cs="宋体"/>
          <w:color w:val="auto"/>
          <w:sz w:val="28"/>
          <w:szCs w:val="28"/>
          <w:highlight w:val="none"/>
        </w:rPr>
        <w:t>项目名称：</w:t>
      </w:r>
      <w:bookmarkEnd w:id="126"/>
    </w:p>
    <w:p>
      <w:pPr>
        <w:spacing w:line="20" w:lineRule="exact"/>
        <w:rPr>
          <w:rFonts w:hint="eastAsia" w:ascii="宋体" w:hAnsi="宋体" w:eastAsia="宋体" w:cs="宋体"/>
          <w:color w:val="auto"/>
          <w:sz w:val="20"/>
          <w:szCs w:val="20"/>
          <w:highlight w:val="none"/>
        </w:rPr>
      </w:pPr>
      <w:r>
        <w:rPr>
          <w:rFonts w:hint="eastAsia" w:ascii="宋体" w:hAnsi="宋体" w:eastAsia="宋体" w:cs="宋体"/>
          <w:color w:val="auto"/>
          <w:highlight w:val="none"/>
        </w:rPr>
        <w:pict>
          <v:line id="_x0000_s1035" o:spid="_x0000_s1035" o:spt="20" style="position:absolute;left:0pt;margin-left:136.95pt;margin-top:0.05pt;height:0pt;width:287.1pt;z-index:-251650048;mso-width-relative:page;mso-height-relative:page;" filled="t" coordsize="21600,21600" o:allowincell="f">
            <v:path arrowok="t"/>
            <v:fill on="t" focussize="0,0"/>
            <v:stroke weight="1.08pt" joinstyle="miter"/>
            <v:imagedata o:title=""/>
            <o:lock v:ext="edit"/>
          </v:line>
        </w:pict>
      </w: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88" w:lineRule="exact"/>
        <w:rPr>
          <w:rFonts w:hint="eastAsia" w:ascii="宋体" w:hAnsi="宋体" w:eastAsia="宋体" w:cs="宋体"/>
          <w:color w:val="auto"/>
          <w:sz w:val="20"/>
          <w:szCs w:val="20"/>
          <w:highlight w:val="none"/>
        </w:rPr>
      </w:pPr>
    </w:p>
    <w:p>
      <w:pPr>
        <w:spacing w:line="320" w:lineRule="exact"/>
        <w:ind w:left="1340"/>
        <w:rPr>
          <w:rFonts w:hint="eastAsia" w:ascii="宋体" w:hAnsi="宋体" w:eastAsia="宋体" w:cs="宋体"/>
          <w:color w:val="auto"/>
          <w:sz w:val="20"/>
          <w:szCs w:val="20"/>
          <w:highlight w:val="none"/>
        </w:rPr>
      </w:pPr>
      <w:bookmarkStart w:id="127" w:name="_Toc27691_WPSOffice_Level2"/>
      <w:r>
        <w:rPr>
          <w:rFonts w:hint="eastAsia" w:ascii="宋体" w:hAnsi="宋体" w:eastAsia="宋体" w:cs="宋体"/>
          <w:color w:val="auto"/>
          <w:sz w:val="28"/>
          <w:szCs w:val="28"/>
          <w:highlight w:val="none"/>
        </w:rPr>
        <w:t>项目编号：</w:t>
      </w:r>
      <w:bookmarkEnd w:id="127"/>
    </w:p>
    <w:p>
      <w:pPr>
        <w:spacing w:line="20" w:lineRule="exact"/>
        <w:rPr>
          <w:rFonts w:hint="eastAsia" w:ascii="宋体" w:hAnsi="宋体" w:eastAsia="宋体" w:cs="宋体"/>
          <w:color w:val="auto"/>
          <w:sz w:val="20"/>
          <w:szCs w:val="20"/>
          <w:highlight w:val="none"/>
        </w:rPr>
      </w:pPr>
      <w:r>
        <w:rPr>
          <w:rFonts w:hint="eastAsia" w:ascii="宋体" w:hAnsi="宋体" w:eastAsia="宋体" w:cs="宋体"/>
          <w:color w:val="auto"/>
          <w:highlight w:val="none"/>
        </w:rPr>
        <w:pict>
          <v:line id="_x0000_s1036" o:spid="_x0000_s1036" o:spt="20" style="position:absolute;left:0pt;margin-left:136.95pt;margin-top:0.05pt;height:0pt;width:287.1pt;z-index:-251649024;mso-width-relative:page;mso-height-relative:page;" filled="t" coordsize="21600,21600" o:allowincell="f">
            <v:path arrowok="t"/>
            <v:fill on="t" focussize="0,0"/>
            <v:stroke weight="1.08pt" joinstyle="miter"/>
            <v:imagedata o:title=""/>
            <o:lock v:ext="edit"/>
          </v:line>
        </w:pict>
      </w: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25" w:lineRule="exact"/>
        <w:rPr>
          <w:rFonts w:hint="eastAsia" w:ascii="宋体" w:hAnsi="宋体" w:eastAsia="宋体" w:cs="宋体"/>
          <w:color w:val="auto"/>
          <w:sz w:val="20"/>
          <w:szCs w:val="20"/>
          <w:highlight w:val="none"/>
        </w:rPr>
      </w:pPr>
    </w:p>
    <w:p>
      <w:pPr>
        <w:spacing w:line="822" w:lineRule="exact"/>
        <w:ind w:right="-33"/>
        <w:jc w:val="center"/>
        <w:rPr>
          <w:rFonts w:hint="eastAsia" w:ascii="宋体" w:hAnsi="宋体" w:eastAsia="宋体" w:cs="宋体"/>
          <w:color w:val="auto"/>
          <w:sz w:val="20"/>
          <w:szCs w:val="20"/>
          <w:highlight w:val="none"/>
        </w:rPr>
      </w:pPr>
      <w:r>
        <w:rPr>
          <w:rFonts w:hint="eastAsia" w:ascii="宋体" w:hAnsi="宋体" w:eastAsia="宋体" w:cs="宋体"/>
          <w:color w:val="auto"/>
          <w:sz w:val="72"/>
          <w:szCs w:val="72"/>
          <w:highlight w:val="none"/>
        </w:rPr>
        <w:t>投</w:t>
      </w:r>
      <w:r>
        <w:rPr>
          <w:rFonts w:hint="eastAsia" w:ascii="宋体" w:hAnsi="宋体" w:eastAsia="宋体" w:cs="宋体"/>
          <w:color w:val="auto"/>
          <w:sz w:val="72"/>
          <w:szCs w:val="72"/>
          <w:highlight w:val="none"/>
        </w:rPr>
        <w:t xml:space="preserve"> </w:t>
      </w:r>
      <w:r>
        <w:rPr>
          <w:rFonts w:hint="eastAsia" w:ascii="宋体" w:hAnsi="宋体" w:eastAsia="宋体" w:cs="宋体"/>
          <w:color w:val="auto"/>
          <w:sz w:val="72"/>
          <w:szCs w:val="72"/>
          <w:highlight w:val="none"/>
        </w:rPr>
        <w:t>标</w:t>
      </w:r>
      <w:r>
        <w:rPr>
          <w:rFonts w:hint="eastAsia" w:ascii="宋体" w:hAnsi="宋体" w:eastAsia="宋体" w:cs="宋体"/>
          <w:color w:val="auto"/>
          <w:sz w:val="72"/>
          <w:szCs w:val="72"/>
          <w:highlight w:val="none"/>
        </w:rPr>
        <w:t xml:space="preserve"> </w:t>
      </w:r>
      <w:r>
        <w:rPr>
          <w:rFonts w:hint="eastAsia" w:ascii="宋体" w:hAnsi="宋体" w:eastAsia="宋体" w:cs="宋体"/>
          <w:color w:val="auto"/>
          <w:sz w:val="72"/>
          <w:szCs w:val="72"/>
          <w:highlight w:val="none"/>
        </w:rPr>
        <w:t>文</w:t>
      </w:r>
      <w:r>
        <w:rPr>
          <w:rFonts w:hint="eastAsia" w:ascii="宋体" w:hAnsi="宋体" w:eastAsia="宋体" w:cs="宋体"/>
          <w:color w:val="auto"/>
          <w:sz w:val="72"/>
          <w:szCs w:val="72"/>
          <w:highlight w:val="none"/>
        </w:rPr>
        <w:t xml:space="preserve"> </w:t>
      </w:r>
      <w:r>
        <w:rPr>
          <w:rFonts w:hint="eastAsia" w:ascii="宋体" w:hAnsi="宋体" w:eastAsia="宋体" w:cs="宋体"/>
          <w:color w:val="auto"/>
          <w:sz w:val="72"/>
          <w:szCs w:val="72"/>
          <w:highlight w:val="none"/>
        </w:rPr>
        <w:t>件</w:t>
      </w:r>
    </w:p>
    <w:p>
      <w:pPr>
        <w:spacing w:line="200" w:lineRule="exact"/>
        <w:rPr>
          <w:rFonts w:hint="eastAsia" w:ascii="宋体" w:hAnsi="宋体" w:eastAsia="宋体" w:cs="宋体"/>
          <w:color w:val="auto"/>
          <w:sz w:val="20"/>
          <w:szCs w:val="20"/>
          <w:highlight w:val="none"/>
        </w:rPr>
      </w:pPr>
    </w:p>
    <w:p>
      <w:pPr>
        <w:spacing w:line="381" w:lineRule="exact"/>
        <w:rPr>
          <w:rFonts w:hint="eastAsia" w:ascii="宋体" w:hAnsi="宋体" w:eastAsia="宋体" w:cs="宋体"/>
          <w:color w:val="auto"/>
          <w:sz w:val="20"/>
          <w:szCs w:val="20"/>
          <w:highlight w:val="none"/>
        </w:rPr>
      </w:pPr>
    </w:p>
    <w:p>
      <w:pPr>
        <w:spacing w:line="822" w:lineRule="exact"/>
        <w:ind w:right="-33"/>
        <w:jc w:val="center"/>
        <w:rPr>
          <w:rFonts w:hint="eastAsia" w:ascii="宋体" w:hAnsi="宋体" w:eastAsia="宋体" w:cs="宋体"/>
          <w:color w:val="auto"/>
          <w:sz w:val="20"/>
          <w:szCs w:val="20"/>
          <w:highlight w:val="none"/>
        </w:rPr>
      </w:pPr>
      <w:r>
        <w:rPr>
          <w:rFonts w:hint="eastAsia" w:ascii="宋体" w:hAnsi="宋体" w:eastAsia="宋体" w:cs="宋体"/>
          <w:color w:val="auto"/>
          <w:sz w:val="72"/>
          <w:szCs w:val="72"/>
          <w:highlight w:val="none"/>
        </w:rPr>
        <w:t>（报价、商务技术文件）</w:t>
      </w: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67" w:lineRule="exact"/>
        <w:rPr>
          <w:rFonts w:hint="eastAsia" w:ascii="宋体" w:hAnsi="宋体" w:eastAsia="宋体" w:cs="宋体"/>
          <w:color w:val="auto"/>
          <w:sz w:val="20"/>
          <w:szCs w:val="20"/>
          <w:highlight w:val="none"/>
        </w:rPr>
      </w:pPr>
    </w:p>
    <w:p>
      <w:pPr>
        <w:tabs>
          <w:tab w:val="left" w:pos="5880"/>
        </w:tabs>
        <w:spacing w:line="320" w:lineRule="exact"/>
        <w:ind w:left="1140"/>
        <w:jc w:val="both"/>
        <w:rPr>
          <w:rFonts w:hint="eastAsia" w:ascii="宋体" w:hAnsi="宋体" w:eastAsia="宋体" w:cs="宋体"/>
          <w:color w:val="auto"/>
          <w:sz w:val="20"/>
          <w:szCs w:val="20"/>
          <w:highlight w:val="none"/>
        </w:rPr>
      </w:pPr>
      <w:bookmarkStart w:id="128" w:name="_Toc15720_WPSOffice_Level2"/>
      <w:r>
        <w:rPr>
          <w:rFonts w:hint="eastAsia" w:ascii="宋体" w:hAnsi="宋体" w:eastAsia="宋体" w:cs="宋体"/>
          <w:color w:val="auto"/>
          <w:sz w:val="28"/>
          <w:szCs w:val="28"/>
          <w:highlight w:val="none"/>
        </w:rPr>
        <w:t>供应商：</w:t>
      </w:r>
      <w:r>
        <w:rPr>
          <w:rFonts w:hint="eastAsia" w:ascii="宋体" w:hAnsi="宋体" w:eastAsia="宋体" w:cs="宋体"/>
          <w:color w:val="auto"/>
          <w:sz w:val="20"/>
          <w:szCs w:val="20"/>
          <w:highlight w:val="none"/>
        </w:rPr>
        <w:tab/>
      </w:r>
      <w:r>
        <w:rPr>
          <w:rFonts w:hint="eastAsia" w:ascii="宋体" w:hAnsi="宋体" w:eastAsia="宋体" w:cs="宋体"/>
          <w:color w:val="auto"/>
          <w:sz w:val="28"/>
          <w:szCs w:val="28"/>
          <w:highlight w:val="none"/>
        </w:rPr>
        <w:t>（盖单位公章）</w:t>
      </w:r>
      <w:bookmarkEnd w:id="128"/>
    </w:p>
    <w:p>
      <w:pPr>
        <w:spacing w:line="20" w:lineRule="exact"/>
        <w:rPr>
          <w:rFonts w:hint="eastAsia" w:ascii="宋体" w:hAnsi="宋体" w:eastAsia="宋体" w:cs="宋体"/>
          <w:color w:val="auto"/>
          <w:sz w:val="20"/>
          <w:szCs w:val="20"/>
          <w:highlight w:val="none"/>
        </w:rPr>
      </w:pPr>
      <w:r>
        <w:rPr>
          <w:rFonts w:hint="eastAsia" w:ascii="宋体" w:hAnsi="宋体" w:eastAsia="宋体" w:cs="宋体"/>
          <w:color w:val="auto"/>
          <w:highlight w:val="none"/>
        </w:rPr>
        <w:pict>
          <v:line id="_x0000_s1037" o:spid="_x0000_s1037" o:spt="20" style="position:absolute;left:0pt;margin-left:112.6pt;margin-top:0.05pt;height:0pt;width:182.05pt;z-index:-251648000;mso-width-relative:page;mso-height-relative:page;" filled="t" coordsize="21600,21600" o:allowincell="f">
            <v:path arrowok="t"/>
            <v:fill on="t" focussize="0,0"/>
            <v:stroke weight="1.08pt" joinstyle="miter"/>
            <v:imagedata o:title=""/>
            <o:lock v:ext="edit"/>
          </v:line>
        </w:pict>
      </w:r>
    </w:p>
    <w:p>
      <w:pPr>
        <w:spacing w:line="205" w:lineRule="exact"/>
        <w:rPr>
          <w:rFonts w:hint="eastAsia" w:ascii="宋体" w:hAnsi="宋体" w:eastAsia="宋体" w:cs="宋体"/>
          <w:color w:val="auto"/>
          <w:sz w:val="20"/>
          <w:szCs w:val="20"/>
          <w:highlight w:val="none"/>
        </w:rPr>
      </w:pPr>
    </w:p>
    <w:p>
      <w:pPr>
        <w:tabs>
          <w:tab w:val="left" w:pos="5460"/>
        </w:tabs>
        <w:spacing w:line="320" w:lineRule="exact"/>
        <w:ind w:left="1140"/>
        <w:rPr>
          <w:rFonts w:hint="eastAsia" w:ascii="宋体" w:hAnsi="宋体" w:eastAsia="宋体" w:cs="宋体"/>
          <w:color w:val="auto"/>
          <w:sz w:val="20"/>
          <w:szCs w:val="20"/>
          <w:highlight w:val="none"/>
        </w:rPr>
      </w:pPr>
      <w:bookmarkStart w:id="129" w:name="_Toc28306_WPSOffice_Level2"/>
      <w:r>
        <w:rPr>
          <w:rFonts w:hint="eastAsia" w:ascii="宋体" w:hAnsi="宋体" w:eastAsia="宋体" w:cs="宋体"/>
          <w:color w:val="auto"/>
          <w:sz w:val="28"/>
          <w:szCs w:val="28"/>
          <w:highlight w:val="none"/>
        </w:rPr>
        <w:t>响应文件签署人：</w:t>
      </w:r>
      <w:r>
        <w:rPr>
          <w:rFonts w:hint="eastAsia" w:ascii="宋体" w:hAnsi="宋体" w:eastAsia="宋体" w:cs="宋体"/>
          <w:color w:val="auto"/>
          <w:sz w:val="20"/>
          <w:szCs w:val="20"/>
          <w:highlight w:val="none"/>
        </w:rPr>
        <w:tab/>
      </w:r>
      <w:r>
        <w:rPr>
          <w:rFonts w:hint="eastAsia" w:ascii="宋体" w:hAnsi="宋体" w:eastAsia="宋体" w:cs="宋体"/>
          <w:color w:val="auto"/>
          <w:sz w:val="28"/>
          <w:szCs w:val="28"/>
          <w:highlight w:val="none"/>
        </w:rPr>
        <w:t>（签字或盖章）</w:t>
      </w:r>
      <w:bookmarkEnd w:id="129"/>
    </w:p>
    <w:p>
      <w:pPr>
        <w:spacing w:line="20" w:lineRule="exact"/>
        <w:rPr>
          <w:rFonts w:hint="eastAsia" w:ascii="宋体" w:hAnsi="宋体" w:eastAsia="宋体" w:cs="宋体"/>
          <w:color w:val="auto"/>
          <w:sz w:val="20"/>
          <w:szCs w:val="20"/>
          <w:highlight w:val="none"/>
        </w:rPr>
      </w:pPr>
      <w:r>
        <w:rPr>
          <w:rFonts w:hint="eastAsia" w:ascii="宋体" w:hAnsi="宋体" w:eastAsia="宋体" w:cs="宋体"/>
          <w:color w:val="auto"/>
          <w:highlight w:val="none"/>
        </w:rPr>
        <w:pict>
          <v:line id="_x0000_s1038" o:spid="_x0000_s1038" o:spt="20" style="position:absolute;left:0pt;margin-left:168.65pt;margin-top:0.05pt;height:0pt;width:105pt;z-index:-251646976;mso-width-relative:page;mso-height-relative:page;" filled="t" coordsize="21600,21600" o:allowincell="f">
            <v:path arrowok="t"/>
            <v:fill on="t" focussize="0,0"/>
            <v:stroke weight="1.08pt" joinstyle="miter"/>
            <v:imagedata o:title=""/>
            <o:lock v:ext="edit"/>
          </v:line>
        </w:pict>
      </w: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88" w:lineRule="exact"/>
        <w:rPr>
          <w:rFonts w:hint="eastAsia" w:ascii="宋体" w:hAnsi="宋体" w:eastAsia="宋体" w:cs="宋体"/>
          <w:color w:val="auto"/>
          <w:sz w:val="20"/>
          <w:szCs w:val="20"/>
          <w:highlight w:val="none"/>
        </w:rPr>
      </w:pPr>
    </w:p>
    <w:p>
      <w:pPr>
        <w:tabs>
          <w:tab w:val="left" w:pos="4600"/>
          <w:tab w:val="left" w:pos="5300"/>
        </w:tabs>
        <w:spacing w:line="320" w:lineRule="exact"/>
        <w:ind w:left="3920"/>
        <w:rPr>
          <w:rFonts w:hint="eastAsia" w:ascii="宋体" w:hAnsi="宋体" w:eastAsia="宋体" w:cs="宋体"/>
          <w:color w:val="auto"/>
          <w:sz w:val="20"/>
          <w:szCs w:val="20"/>
          <w:highlight w:val="none"/>
        </w:rPr>
      </w:pPr>
      <w:bookmarkStart w:id="130" w:name="_Toc8356_WPSOffice_Level2"/>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日</w:t>
      </w:r>
      <w:bookmarkEnd w:id="130"/>
    </w:p>
    <w:p>
      <w:pPr>
        <w:rPr>
          <w:rFonts w:hint="eastAsia" w:ascii="宋体" w:hAnsi="宋体" w:eastAsia="宋体" w:cs="宋体"/>
          <w:color w:val="auto"/>
          <w:highlight w:val="none"/>
        </w:rPr>
        <w:sectPr>
          <w:pgSz w:w="11900" w:h="16838"/>
          <w:pgMar w:top="1440" w:right="1440" w:bottom="158" w:left="1440" w:header="567" w:footer="567" w:gutter="0"/>
          <w:cols w:equalWidth="0" w:num="1">
            <w:col w:w="9026"/>
          </w:cols>
        </w:sectPr>
      </w:pPr>
    </w:p>
    <w:p>
      <w:pPr>
        <w:tabs>
          <w:tab w:val="left" w:pos="300"/>
        </w:tabs>
        <w:spacing w:line="366" w:lineRule="exact"/>
        <w:jc w:val="center"/>
        <w:rPr>
          <w:rFonts w:hint="eastAsia" w:ascii="宋体" w:hAnsi="宋体" w:eastAsia="宋体" w:cs="宋体"/>
          <w:b/>
          <w:bCs/>
          <w:color w:val="auto"/>
          <w:sz w:val="32"/>
          <w:szCs w:val="32"/>
          <w:highlight w:val="none"/>
        </w:rPr>
      </w:pPr>
    </w:p>
    <w:p>
      <w:pPr>
        <w:spacing w:line="168" w:lineRule="exact"/>
        <w:rPr>
          <w:rFonts w:hint="eastAsia" w:ascii="宋体" w:hAnsi="宋体" w:eastAsia="宋体" w:cs="宋体"/>
          <w:color w:val="auto"/>
          <w:sz w:val="20"/>
          <w:szCs w:val="20"/>
          <w:highlight w:val="none"/>
        </w:rPr>
      </w:pPr>
    </w:p>
    <w:p>
      <w:pPr>
        <w:spacing w:line="320" w:lineRule="exact"/>
        <w:ind w:left="360"/>
        <w:rPr>
          <w:rFonts w:hint="eastAsia" w:ascii="宋体" w:hAnsi="宋体" w:eastAsia="宋体" w:cs="宋体"/>
          <w:color w:val="auto"/>
          <w:sz w:val="20"/>
          <w:szCs w:val="20"/>
          <w:highlight w:val="none"/>
        </w:rPr>
      </w:pPr>
      <w:bookmarkStart w:id="131" w:name="_Toc23848_WPSOffice_Level2"/>
      <w:r>
        <w:rPr>
          <w:rFonts w:hint="eastAsia" w:ascii="宋体" w:hAnsi="宋体" w:eastAsia="宋体" w:cs="宋体"/>
          <w:color w:val="auto"/>
          <w:sz w:val="28"/>
          <w:szCs w:val="28"/>
          <w:highlight w:val="none"/>
        </w:rPr>
        <w:t>报价文件封面</w:t>
      </w:r>
      <w:bookmarkEnd w:id="131"/>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308" w:lineRule="exact"/>
        <w:rPr>
          <w:rFonts w:hint="eastAsia" w:ascii="宋体" w:hAnsi="宋体" w:eastAsia="宋体" w:cs="宋体"/>
          <w:color w:val="auto"/>
          <w:sz w:val="20"/>
          <w:szCs w:val="20"/>
          <w:highlight w:val="none"/>
        </w:rPr>
      </w:pPr>
    </w:p>
    <w:p>
      <w:pPr>
        <w:spacing w:line="320" w:lineRule="exact"/>
        <w:ind w:left="1340"/>
        <w:rPr>
          <w:rFonts w:hint="eastAsia" w:ascii="宋体" w:hAnsi="宋体" w:eastAsia="宋体" w:cs="宋体"/>
          <w:color w:val="auto"/>
          <w:sz w:val="20"/>
          <w:szCs w:val="20"/>
          <w:highlight w:val="none"/>
        </w:rPr>
      </w:pPr>
      <w:bookmarkStart w:id="132" w:name="_Toc1313_WPSOffice_Level2"/>
      <w:r>
        <w:rPr>
          <w:rFonts w:hint="eastAsia" w:ascii="宋体" w:hAnsi="宋体" w:eastAsia="宋体" w:cs="宋体"/>
          <w:color w:val="auto"/>
          <w:sz w:val="28"/>
          <w:szCs w:val="28"/>
          <w:highlight w:val="none"/>
        </w:rPr>
        <w:t>项目名称：</w:t>
      </w:r>
      <w:bookmarkEnd w:id="132"/>
    </w:p>
    <w:p>
      <w:pPr>
        <w:spacing w:line="20" w:lineRule="exact"/>
        <w:rPr>
          <w:rFonts w:hint="eastAsia" w:ascii="宋体" w:hAnsi="宋体" w:eastAsia="宋体" w:cs="宋体"/>
          <w:color w:val="auto"/>
          <w:sz w:val="20"/>
          <w:szCs w:val="20"/>
          <w:highlight w:val="none"/>
        </w:rPr>
      </w:pPr>
      <w:r>
        <w:rPr>
          <w:rFonts w:hint="eastAsia" w:ascii="宋体" w:hAnsi="宋体" w:eastAsia="宋体" w:cs="宋体"/>
          <w:color w:val="auto"/>
          <w:highlight w:val="none"/>
        </w:rPr>
        <w:pict>
          <v:line id="Shape 215" o:spid="_x0000_s1039" o:spt="20" style="position:absolute;left:0pt;margin-left:136.95pt;margin-top:0.05pt;height:0pt;width:287.1pt;z-index:-251669504;mso-width-relative:page;mso-height-relative:page;" filled="t" coordsize="21600,21600" o:allowincell="f">
            <v:path arrowok="t"/>
            <v:fill on="t" focussize="0,0"/>
            <v:stroke weight="1.08pt" joinstyle="miter"/>
            <v:imagedata o:title=""/>
            <o:lock v:ext="edit"/>
          </v:line>
        </w:pict>
      </w: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88" w:lineRule="exact"/>
        <w:rPr>
          <w:rFonts w:hint="eastAsia" w:ascii="宋体" w:hAnsi="宋体" w:eastAsia="宋体" w:cs="宋体"/>
          <w:color w:val="auto"/>
          <w:sz w:val="20"/>
          <w:szCs w:val="20"/>
          <w:highlight w:val="none"/>
        </w:rPr>
      </w:pPr>
    </w:p>
    <w:p>
      <w:pPr>
        <w:spacing w:line="320" w:lineRule="exact"/>
        <w:ind w:left="1340"/>
        <w:rPr>
          <w:rFonts w:hint="eastAsia" w:ascii="宋体" w:hAnsi="宋体" w:eastAsia="宋体" w:cs="宋体"/>
          <w:color w:val="auto"/>
          <w:sz w:val="20"/>
          <w:szCs w:val="20"/>
          <w:highlight w:val="none"/>
        </w:rPr>
      </w:pPr>
      <w:bookmarkStart w:id="133" w:name="_Toc13212_WPSOffice_Level2"/>
      <w:r>
        <w:rPr>
          <w:rFonts w:hint="eastAsia" w:ascii="宋体" w:hAnsi="宋体" w:eastAsia="宋体" w:cs="宋体"/>
          <w:color w:val="auto"/>
          <w:sz w:val="28"/>
          <w:szCs w:val="28"/>
          <w:highlight w:val="none"/>
        </w:rPr>
        <w:t>项目编号：</w:t>
      </w:r>
      <w:bookmarkEnd w:id="133"/>
    </w:p>
    <w:p>
      <w:pPr>
        <w:spacing w:line="20" w:lineRule="exact"/>
        <w:rPr>
          <w:rFonts w:hint="eastAsia" w:ascii="宋体" w:hAnsi="宋体" w:eastAsia="宋体" w:cs="宋体"/>
          <w:color w:val="auto"/>
          <w:sz w:val="20"/>
          <w:szCs w:val="20"/>
          <w:highlight w:val="none"/>
        </w:rPr>
      </w:pPr>
      <w:r>
        <w:rPr>
          <w:rFonts w:hint="eastAsia" w:ascii="宋体" w:hAnsi="宋体" w:eastAsia="宋体" w:cs="宋体"/>
          <w:color w:val="auto"/>
          <w:highlight w:val="none"/>
        </w:rPr>
        <w:pict>
          <v:line id="Shape 216" o:spid="_x0000_s1040" o:spt="20" style="position:absolute;left:0pt;margin-left:136.95pt;margin-top:0.05pt;height:0pt;width:287.1pt;z-index:-251668480;mso-width-relative:page;mso-height-relative:page;" filled="t" coordsize="21600,21600" o:allowincell="f">
            <v:path arrowok="t"/>
            <v:fill on="t" focussize="0,0"/>
            <v:stroke weight="1.08pt" joinstyle="miter"/>
            <v:imagedata o:title=""/>
            <o:lock v:ext="edit"/>
          </v:line>
        </w:pict>
      </w: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24" w:lineRule="exact"/>
        <w:rPr>
          <w:rFonts w:hint="eastAsia" w:ascii="宋体" w:hAnsi="宋体" w:eastAsia="宋体" w:cs="宋体"/>
          <w:color w:val="auto"/>
          <w:sz w:val="20"/>
          <w:szCs w:val="20"/>
          <w:highlight w:val="none"/>
        </w:rPr>
      </w:pPr>
    </w:p>
    <w:p>
      <w:pPr>
        <w:spacing w:line="822" w:lineRule="exact"/>
        <w:ind w:right="-33"/>
        <w:jc w:val="center"/>
        <w:rPr>
          <w:rFonts w:hint="eastAsia" w:ascii="宋体" w:hAnsi="宋体" w:eastAsia="宋体" w:cs="宋体"/>
          <w:color w:val="auto"/>
          <w:sz w:val="20"/>
          <w:szCs w:val="20"/>
          <w:highlight w:val="none"/>
        </w:rPr>
      </w:pPr>
      <w:r>
        <w:rPr>
          <w:rFonts w:hint="eastAsia" w:ascii="宋体" w:hAnsi="宋体" w:eastAsia="宋体" w:cs="宋体"/>
          <w:color w:val="auto"/>
          <w:sz w:val="72"/>
          <w:szCs w:val="72"/>
          <w:highlight w:val="none"/>
        </w:rPr>
        <w:t>投</w:t>
      </w:r>
      <w:r>
        <w:rPr>
          <w:rFonts w:hint="eastAsia" w:ascii="宋体" w:hAnsi="宋体" w:eastAsia="宋体" w:cs="宋体"/>
          <w:color w:val="auto"/>
          <w:sz w:val="72"/>
          <w:szCs w:val="72"/>
          <w:highlight w:val="none"/>
        </w:rPr>
        <w:t xml:space="preserve"> </w:t>
      </w:r>
      <w:r>
        <w:rPr>
          <w:rFonts w:hint="eastAsia" w:ascii="宋体" w:hAnsi="宋体" w:eastAsia="宋体" w:cs="宋体"/>
          <w:color w:val="auto"/>
          <w:sz w:val="72"/>
          <w:szCs w:val="72"/>
          <w:highlight w:val="none"/>
        </w:rPr>
        <w:t>标</w:t>
      </w:r>
      <w:r>
        <w:rPr>
          <w:rFonts w:hint="eastAsia" w:ascii="宋体" w:hAnsi="宋体" w:eastAsia="宋体" w:cs="宋体"/>
          <w:color w:val="auto"/>
          <w:sz w:val="72"/>
          <w:szCs w:val="72"/>
          <w:highlight w:val="none"/>
        </w:rPr>
        <w:t xml:space="preserve"> </w:t>
      </w:r>
      <w:r>
        <w:rPr>
          <w:rFonts w:hint="eastAsia" w:ascii="宋体" w:hAnsi="宋体" w:eastAsia="宋体" w:cs="宋体"/>
          <w:color w:val="auto"/>
          <w:sz w:val="72"/>
          <w:szCs w:val="72"/>
          <w:highlight w:val="none"/>
        </w:rPr>
        <w:t>文</w:t>
      </w:r>
      <w:r>
        <w:rPr>
          <w:rFonts w:hint="eastAsia" w:ascii="宋体" w:hAnsi="宋体" w:eastAsia="宋体" w:cs="宋体"/>
          <w:color w:val="auto"/>
          <w:sz w:val="72"/>
          <w:szCs w:val="72"/>
          <w:highlight w:val="none"/>
        </w:rPr>
        <w:t xml:space="preserve"> </w:t>
      </w:r>
      <w:r>
        <w:rPr>
          <w:rFonts w:hint="eastAsia" w:ascii="宋体" w:hAnsi="宋体" w:eastAsia="宋体" w:cs="宋体"/>
          <w:color w:val="auto"/>
          <w:sz w:val="72"/>
          <w:szCs w:val="72"/>
          <w:highlight w:val="none"/>
        </w:rPr>
        <w:t>件</w:t>
      </w:r>
    </w:p>
    <w:p>
      <w:pPr>
        <w:spacing w:line="200" w:lineRule="exact"/>
        <w:rPr>
          <w:rFonts w:hint="eastAsia" w:ascii="宋体" w:hAnsi="宋体" w:eastAsia="宋体" w:cs="宋体"/>
          <w:color w:val="auto"/>
          <w:sz w:val="20"/>
          <w:szCs w:val="20"/>
          <w:highlight w:val="none"/>
        </w:rPr>
      </w:pPr>
    </w:p>
    <w:p>
      <w:pPr>
        <w:spacing w:line="380" w:lineRule="exact"/>
        <w:rPr>
          <w:rFonts w:hint="eastAsia" w:ascii="宋体" w:hAnsi="宋体" w:eastAsia="宋体" w:cs="宋体"/>
          <w:color w:val="auto"/>
          <w:sz w:val="20"/>
          <w:szCs w:val="20"/>
          <w:highlight w:val="none"/>
        </w:rPr>
      </w:pPr>
    </w:p>
    <w:p>
      <w:pPr>
        <w:spacing w:line="822" w:lineRule="exact"/>
        <w:ind w:right="-33"/>
        <w:jc w:val="center"/>
        <w:rPr>
          <w:rFonts w:hint="eastAsia" w:ascii="宋体" w:hAnsi="宋体" w:eastAsia="宋体" w:cs="宋体"/>
          <w:color w:val="auto"/>
          <w:sz w:val="20"/>
          <w:szCs w:val="20"/>
          <w:highlight w:val="none"/>
        </w:rPr>
      </w:pPr>
      <w:r>
        <w:rPr>
          <w:rFonts w:hint="eastAsia" w:ascii="宋体" w:hAnsi="宋体" w:eastAsia="宋体" w:cs="宋体"/>
          <w:color w:val="auto"/>
          <w:sz w:val="72"/>
          <w:szCs w:val="72"/>
          <w:highlight w:val="none"/>
        </w:rPr>
        <w:t>（报价文件）</w:t>
      </w: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322" w:lineRule="exact"/>
        <w:rPr>
          <w:rFonts w:hint="eastAsia" w:ascii="宋体" w:hAnsi="宋体" w:eastAsia="宋体" w:cs="宋体"/>
          <w:color w:val="auto"/>
          <w:sz w:val="20"/>
          <w:szCs w:val="20"/>
          <w:highlight w:val="none"/>
        </w:rPr>
      </w:pPr>
    </w:p>
    <w:p>
      <w:pPr>
        <w:tabs>
          <w:tab w:val="left" w:pos="5880"/>
        </w:tabs>
        <w:spacing w:line="320" w:lineRule="exact"/>
        <w:ind w:left="1140"/>
        <w:jc w:val="both"/>
        <w:rPr>
          <w:rFonts w:hint="eastAsia" w:ascii="宋体" w:hAnsi="宋体" w:eastAsia="宋体" w:cs="宋体"/>
          <w:color w:val="auto"/>
          <w:sz w:val="20"/>
          <w:szCs w:val="20"/>
          <w:highlight w:val="none"/>
        </w:rPr>
      </w:pPr>
      <w:bookmarkStart w:id="134" w:name="_Toc14375_WPSOffice_Level2"/>
      <w:r>
        <w:rPr>
          <w:rFonts w:hint="eastAsia" w:ascii="宋体" w:hAnsi="宋体" w:eastAsia="宋体" w:cs="宋体"/>
          <w:color w:val="auto"/>
          <w:sz w:val="28"/>
          <w:szCs w:val="28"/>
          <w:highlight w:val="none"/>
        </w:rPr>
        <w:t>供应商：</w:t>
      </w:r>
      <w:r>
        <w:rPr>
          <w:rFonts w:hint="eastAsia" w:ascii="宋体" w:hAnsi="宋体" w:eastAsia="宋体" w:cs="宋体"/>
          <w:color w:val="auto"/>
          <w:sz w:val="20"/>
          <w:szCs w:val="20"/>
          <w:highlight w:val="none"/>
        </w:rPr>
        <w:tab/>
      </w:r>
      <w:r>
        <w:rPr>
          <w:rFonts w:hint="eastAsia" w:ascii="宋体" w:hAnsi="宋体" w:eastAsia="宋体" w:cs="宋体"/>
          <w:color w:val="auto"/>
          <w:sz w:val="28"/>
          <w:szCs w:val="28"/>
          <w:highlight w:val="none"/>
        </w:rPr>
        <w:t>（盖单位公章）</w:t>
      </w:r>
      <w:bookmarkEnd w:id="134"/>
    </w:p>
    <w:p>
      <w:pPr>
        <w:spacing w:line="20" w:lineRule="exact"/>
        <w:rPr>
          <w:rFonts w:hint="eastAsia" w:ascii="宋体" w:hAnsi="宋体" w:eastAsia="宋体" w:cs="宋体"/>
          <w:color w:val="auto"/>
          <w:sz w:val="20"/>
          <w:szCs w:val="20"/>
          <w:highlight w:val="none"/>
        </w:rPr>
      </w:pPr>
      <w:r>
        <w:rPr>
          <w:rFonts w:hint="eastAsia" w:ascii="宋体" w:hAnsi="宋体" w:eastAsia="宋体" w:cs="宋体"/>
          <w:color w:val="auto"/>
          <w:highlight w:val="none"/>
        </w:rPr>
        <w:pict>
          <v:line id="Shape 217" o:spid="_x0000_s1041" o:spt="20" style="position:absolute;left:0pt;margin-left:112.6pt;margin-top:0.05pt;height:0pt;width:182.05pt;z-index:-251667456;mso-width-relative:page;mso-height-relative:page;" filled="t" coordsize="21600,21600" o:allowincell="f">
            <v:path arrowok="t"/>
            <v:fill on="t" focussize="0,0"/>
            <v:stroke weight="1.08pt" joinstyle="miter"/>
            <v:imagedata o:title=""/>
            <o:lock v:ext="edit"/>
          </v:line>
        </w:pict>
      </w:r>
    </w:p>
    <w:p>
      <w:pPr>
        <w:spacing w:line="205" w:lineRule="exact"/>
        <w:rPr>
          <w:rFonts w:hint="eastAsia" w:ascii="宋体" w:hAnsi="宋体" w:eastAsia="宋体" w:cs="宋体"/>
          <w:color w:val="auto"/>
          <w:sz w:val="20"/>
          <w:szCs w:val="20"/>
          <w:highlight w:val="none"/>
        </w:rPr>
      </w:pPr>
    </w:p>
    <w:p>
      <w:pPr>
        <w:tabs>
          <w:tab w:val="left" w:pos="5460"/>
        </w:tabs>
        <w:spacing w:line="320" w:lineRule="exact"/>
        <w:ind w:left="1140"/>
        <w:rPr>
          <w:rFonts w:hint="eastAsia" w:ascii="宋体" w:hAnsi="宋体" w:eastAsia="宋体" w:cs="宋体"/>
          <w:color w:val="auto"/>
          <w:sz w:val="20"/>
          <w:szCs w:val="20"/>
          <w:highlight w:val="none"/>
        </w:rPr>
      </w:pPr>
      <w:bookmarkStart w:id="135" w:name="_Toc12549_WPSOffice_Level2"/>
      <w:r>
        <w:rPr>
          <w:rFonts w:hint="eastAsia" w:ascii="宋体" w:hAnsi="宋体" w:eastAsia="宋体" w:cs="宋体"/>
          <w:color w:val="auto"/>
          <w:sz w:val="28"/>
          <w:szCs w:val="28"/>
          <w:highlight w:val="none"/>
        </w:rPr>
        <w:t>响应文件签署人：</w:t>
      </w:r>
      <w:r>
        <w:rPr>
          <w:rFonts w:hint="eastAsia" w:ascii="宋体" w:hAnsi="宋体" w:eastAsia="宋体" w:cs="宋体"/>
          <w:color w:val="auto"/>
          <w:sz w:val="20"/>
          <w:szCs w:val="20"/>
          <w:highlight w:val="none"/>
        </w:rPr>
        <w:tab/>
      </w:r>
      <w:r>
        <w:rPr>
          <w:rFonts w:hint="eastAsia" w:ascii="宋体" w:hAnsi="宋体" w:eastAsia="宋体" w:cs="宋体"/>
          <w:color w:val="auto"/>
          <w:sz w:val="28"/>
          <w:szCs w:val="28"/>
          <w:highlight w:val="none"/>
        </w:rPr>
        <w:t>（签字或盖章）</w:t>
      </w:r>
      <w:bookmarkEnd w:id="135"/>
    </w:p>
    <w:p>
      <w:pPr>
        <w:spacing w:line="20" w:lineRule="exact"/>
        <w:rPr>
          <w:rFonts w:hint="eastAsia" w:ascii="宋体" w:hAnsi="宋体" w:eastAsia="宋体" w:cs="宋体"/>
          <w:color w:val="auto"/>
          <w:sz w:val="20"/>
          <w:szCs w:val="20"/>
          <w:highlight w:val="none"/>
        </w:rPr>
      </w:pPr>
      <w:r>
        <w:rPr>
          <w:rFonts w:hint="eastAsia" w:ascii="宋体" w:hAnsi="宋体" w:eastAsia="宋体" w:cs="宋体"/>
          <w:color w:val="auto"/>
          <w:highlight w:val="none"/>
        </w:rPr>
        <w:pict>
          <v:line id="Shape 218" o:spid="_x0000_s1042" o:spt="20" style="position:absolute;left:0pt;margin-left:168.65pt;margin-top:0.05pt;height:0pt;width:105pt;z-index:-251666432;mso-width-relative:page;mso-height-relative:page;" filled="t" coordsize="21600,21600" o:allowincell="f">
            <v:path arrowok="t"/>
            <v:fill on="t" focussize="0,0"/>
            <v:stroke weight="1.07992125984252pt" joinstyle="miter"/>
            <v:imagedata o:title=""/>
            <o:lock v:ext="edit"/>
          </v:line>
        </w:pict>
      </w: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88" w:lineRule="exact"/>
        <w:rPr>
          <w:rFonts w:hint="eastAsia" w:ascii="宋体" w:hAnsi="宋体" w:eastAsia="宋体" w:cs="宋体"/>
          <w:color w:val="auto"/>
          <w:sz w:val="20"/>
          <w:szCs w:val="20"/>
          <w:highlight w:val="none"/>
        </w:rPr>
      </w:pPr>
    </w:p>
    <w:p>
      <w:pPr>
        <w:tabs>
          <w:tab w:val="left" w:pos="4600"/>
          <w:tab w:val="left" w:pos="5300"/>
        </w:tabs>
        <w:spacing w:line="320" w:lineRule="exact"/>
        <w:ind w:left="3920"/>
        <w:rPr>
          <w:rFonts w:hint="eastAsia" w:ascii="宋体" w:hAnsi="宋体" w:eastAsia="宋体" w:cs="宋体"/>
          <w:color w:val="auto"/>
          <w:sz w:val="20"/>
          <w:szCs w:val="20"/>
          <w:highlight w:val="none"/>
        </w:rPr>
      </w:pPr>
      <w:bookmarkStart w:id="136" w:name="_Toc20379_WPSOffice_Level2"/>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日</w:t>
      </w:r>
      <w:bookmarkEnd w:id="136"/>
    </w:p>
    <w:p>
      <w:pPr>
        <w:spacing w:line="20" w:lineRule="exact"/>
        <w:rPr>
          <w:rFonts w:hint="eastAsia" w:ascii="宋体" w:hAnsi="宋体" w:eastAsia="宋体" w:cs="宋体"/>
          <w:color w:val="auto"/>
          <w:sz w:val="20"/>
          <w:szCs w:val="20"/>
          <w:highlight w:val="none"/>
        </w:rPr>
      </w:pPr>
      <w:r>
        <w:rPr>
          <w:rFonts w:hint="eastAsia" w:ascii="宋体" w:hAnsi="宋体" w:eastAsia="宋体" w:cs="宋体"/>
          <w:color w:val="auto"/>
          <w:highlight w:val="none"/>
        </w:rPr>
        <w:pict>
          <v:line id="Shape 219" o:spid="_x0000_s1043" o:spt="20" style="position:absolute;left:0pt;margin-left:153.85pt;margin-top:0.05pt;height:0pt;width:42.15pt;z-index:-251665408;mso-width-relative:page;mso-height-relative:page;" filled="t" coordsize="21600,21600" o:allowincell="f">
            <v:path arrowok="t"/>
            <v:fill on="t" focussize="0,0"/>
            <v:stroke weight="1.08pt" joinstyle="miter"/>
            <v:imagedata o:title=""/>
            <o:lock v:ext="edit"/>
          </v:line>
        </w:pict>
      </w:r>
      <w:r>
        <w:rPr>
          <w:rFonts w:hint="eastAsia" w:ascii="宋体" w:hAnsi="宋体" w:eastAsia="宋体" w:cs="宋体"/>
          <w:color w:val="auto"/>
          <w:highlight w:val="none"/>
        </w:rPr>
        <w:pict>
          <v:line id="Shape 220" o:spid="_x0000_s1044" o:spt="20" style="position:absolute;left:0pt;margin-left:209.9pt;margin-top:0.05pt;height:0pt;width:21.05pt;z-index:-251664384;mso-width-relative:page;mso-height-relative:page;" filled="t" coordsize="21600,21600" o:allowincell="f">
            <v:path arrowok="t"/>
            <v:fill on="t" focussize="0,0"/>
            <v:stroke weight="1.08pt" joinstyle="miter"/>
            <v:imagedata o:title=""/>
            <o:lock v:ext="edit"/>
          </v:line>
        </w:pict>
      </w:r>
      <w:r>
        <w:rPr>
          <w:rFonts w:hint="eastAsia" w:ascii="宋体" w:hAnsi="宋体" w:eastAsia="宋体" w:cs="宋体"/>
          <w:color w:val="auto"/>
          <w:highlight w:val="none"/>
        </w:rPr>
        <w:pict>
          <v:line id="Shape 221" o:spid="_x0000_s1045" o:spt="20" style="position:absolute;left:0pt;margin-left:244.95pt;margin-top:0.05pt;height:0pt;width:20.9pt;z-index:-251663360;mso-width-relative:page;mso-height-relative:page;" filled="t" coordsize="21600,21600" o:allowincell="f">
            <v:path arrowok="t"/>
            <v:fill on="t" focussize="0,0"/>
            <v:stroke weight="1.08pt" joinstyle="miter"/>
            <v:imagedata o:title=""/>
            <o:lock v:ext="edit"/>
          </v:line>
        </w:pict>
      </w: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rPr>
          <w:rFonts w:hint="eastAsia" w:ascii="宋体" w:hAnsi="宋体" w:eastAsia="宋体" w:cs="宋体"/>
          <w:color w:val="auto"/>
          <w:highlight w:val="none"/>
        </w:rPr>
        <w:sectPr>
          <w:pgSz w:w="11900" w:h="16838"/>
          <w:pgMar w:top="1440" w:right="1440" w:bottom="401" w:left="1440" w:header="567" w:footer="567" w:gutter="0"/>
          <w:cols w:equalWidth="0" w:num="1">
            <w:col w:w="9026"/>
          </w:cols>
        </w:sectPr>
      </w:pPr>
    </w:p>
    <w:p>
      <w:pPr>
        <w:spacing w:line="360" w:lineRule="auto"/>
        <w:ind w:left="782"/>
        <w:rPr>
          <w:rFonts w:hint="eastAsia" w:ascii="宋体" w:hAnsi="宋体" w:eastAsia="宋体" w:cs="宋体"/>
          <w:b/>
          <w:bCs/>
          <w:color w:val="auto"/>
          <w:sz w:val="30"/>
          <w:szCs w:val="30"/>
          <w:highlight w:val="none"/>
        </w:rPr>
      </w:pPr>
      <w:bookmarkStart w:id="137" w:name="page49"/>
      <w:bookmarkEnd w:id="137"/>
      <w:r>
        <w:rPr>
          <w:rFonts w:hint="eastAsia" w:ascii="宋体" w:hAnsi="宋体" w:eastAsia="宋体" w:cs="宋体"/>
          <w:b/>
          <w:bCs/>
          <w:color w:val="auto"/>
          <w:sz w:val="30"/>
          <w:szCs w:val="30"/>
          <w:highlight w:val="none"/>
        </w:rPr>
        <w:t>报价文件</w:t>
      </w:r>
    </w:p>
    <w:p>
      <w:pPr>
        <w:spacing w:line="169" w:lineRule="exact"/>
        <w:rPr>
          <w:rFonts w:hint="eastAsia" w:ascii="宋体" w:hAnsi="宋体" w:eastAsia="宋体" w:cs="宋体"/>
          <w:color w:val="auto"/>
          <w:sz w:val="20"/>
          <w:szCs w:val="20"/>
          <w:highlight w:val="none"/>
        </w:rPr>
      </w:pPr>
    </w:p>
    <w:p>
      <w:pPr>
        <w:spacing w:line="366" w:lineRule="exact"/>
        <w:ind w:right="6"/>
        <w:jc w:val="center"/>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一、报价函</w:t>
      </w:r>
    </w:p>
    <w:p>
      <w:pPr>
        <w:spacing w:line="258" w:lineRule="exact"/>
        <w:rPr>
          <w:rFonts w:hint="eastAsia" w:ascii="宋体" w:hAnsi="宋体" w:eastAsia="宋体" w:cs="宋体"/>
          <w:color w:val="auto"/>
          <w:sz w:val="20"/>
          <w:szCs w:val="20"/>
          <w:highlight w:val="none"/>
        </w:rPr>
      </w:pPr>
    </w:p>
    <w:p>
      <w:pPr>
        <w:spacing w:line="240" w:lineRule="exact"/>
        <w:ind w:left="36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（采购人单位名称）：</w:t>
      </w:r>
    </w:p>
    <w:p>
      <w:pPr>
        <w:spacing w:line="20" w:lineRule="exact"/>
        <w:rPr>
          <w:rFonts w:hint="eastAsia" w:ascii="宋体" w:hAnsi="宋体" w:eastAsia="宋体" w:cs="宋体"/>
          <w:color w:val="auto"/>
          <w:sz w:val="20"/>
          <w:szCs w:val="20"/>
          <w:highlight w:val="none"/>
        </w:rPr>
      </w:pPr>
      <w:r>
        <w:rPr>
          <w:rFonts w:hint="eastAsia" w:ascii="宋体" w:hAnsi="宋体" w:eastAsia="宋体" w:cs="宋体"/>
          <w:color w:val="auto"/>
          <w:highlight w:val="none"/>
        </w:rPr>
        <w:pict>
          <v:line id="Shape 223" o:spid="_x0000_s1046" o:spt="20" style="position:absolute;left:0pt;margin-left:17.9pt;margin-top:0.3pt;height:0pt;width:89.25pt;z-index:-251662336;mso-width-relative:page;mso-height-relative:page;" filled="t" coordsize="21600,21600" o:allowincell="f">
            <v:path arrowok="t"/>
            <v:fill on="t" focussize="0,0"/>
            <v:stroke weight="0.59992125984252pt" joinstyle="miter"/>
            <v:imagedata o:title=""/>
            <o:lock v:ext="edit"/>
          </v:line>
        </w:pict>
      </w:r>
    </w:p>
    <w:p>
      <w:pPr>
        <w:spacing w:line="148" w:lineRule="exact"/>
        <w:rPr>
          <w:rFonts w:hint="eastAsia" w:ascii="宋体" w:hAnsi="宋体" w:eastAsia="宋体" w:cs="宋体"/>
          <w:color w:val="auto"/>
          <w:sz w:val="20"/>
          <w:szCs w:val="20"/>
          <w:highlight w:val="none"/>
        </w:rPr>
      </w:pPr>
    </w:p>
    <w:p>
      <w:pPr>
        <w:spacing w:line="240" w:lineRule="exact"/>
        <w:ind w:left="36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u w:val="single"/>
        </w:rPr>
        <w:t>浙江五石工程咨询有限公司</w:t>
      </w:r>
      <w:r>
        <w:rPr>
          <w:rFonts w:hint="eastAsia" w:ascii="宋体" w:hAnsi="宋体" w:eastAsia="宋体" w:cs="宋体"/>
          <w:color w:val="auto"/>
          <w:sz w:val="21"/>
          <w:szCs w:val="21"/>
          <w:highlight w:val="none"/>
        </w:rPr>
        <w:t>：</w:t>
      </w:r>
    </w:p>
    <w:p>
      <w:pPr>
        <w:spacing w:line="168" w:lineRule="exact"/>
        <w:rPr>
          <w:rFonts w:hint="eastAsia" w:ascii="宋体" w:hAnsi="宋体" w:eastAsia="宋体" w:cs="宋体"/>
          <w:color w:val="auto"/>
          <w:sz w:val="20"/>
          <w:szCs w:val="20"/>
          <w:highlight w:val="none"/>
        </w:rPr>
      </w:pPr>
    </w:p>
    <w:p>
      <w:pPr>
        <w:tabs>
          <w:tab w:val="left" w:pos="7300"/>
        </w:tabs>
        <w:spacing w:line="240" w:lineRule="exact"/>
        <w:ind w:left="256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（供应商全称）参加贵方组织的</w:t>
      </w:r>
      <w:r>
        <w:rPr>
          <w:rFonts w:hint="eastAsia" w:ascii="宋体" w:hAnsi="宋体" w:eastAsia="宋体" w:cs="宋体"/>
          <w:color w:val="auto"/>
          <w:sz w:val="20"/>
          <w:szCs w:val="20"/>
          <w:highlight w:val="none"/>
        </w:rPr>
        <w:tab/>
      </w:r>
      <w:r>
        <w:rPr>
          <w:rFonts w:hint="eastAsia" w:ascii="宋体" w:hAnsi="宋体" w:eastAsia="宋体" w:cs="宋体"/>
          <w:color w:val="auto"/>
          <w:sz w:val="21"/>
          <w:szCs w:val="21"/>
          <w:highlight w:val="none"/>
        </w:rPr>
        <w:t>（项目名称）</w:t>
      </w:r>
    </w:p>
    <w:p>
      <w:pPr>
        <w:spacing w:line="20" w:lineRule="exact"/>
        <w:rPr>
          <w:rFonts w:hint="eastAsia" w:ascii="宋体" w:hAnsi="宋体" w:eastAsia="宋体" w:cs="宋体"/>
          <w:color w:val="auto"/>
          <w:sz w:val="20"/>
          <w:szCs w:val="20"/>
          <w:highlight w:val="none"/>
        </w:rPr>
      </w:pPr>
      <w:r>
        <w:rPr>
          <w:rFonts w:hint="eastAsia" w:ascii="宋体" w:hAnsi="宋体" w:eastAsia="宋体" w:cs="宋体"/>
          <w:color w:val="auto"/>
          <w:highlight w:val="none"/>
        </w:rPr>
        <w:pict>
          <v:line id="Shape 224" o:spid="_x0000_s1047" o:spt="20" style="position:absolute;left:0pt;margin-left:38.5pt;margin-top:0pt;height:0pt;width:89.2pt;z-index:-251661312;mso-width-relative:page;mso-height-relative:page;" filled="t" coordsize="21600,21600" o:allowincell="f">
            <v:path arrowok="t"/>
            <v:fill on="t" focussize="0,0"/>
            <v:stroke weight="0.71992125984252pt" joinstyle="miter"/>
            <v:imagedata o:title=""/>
            <o:lock v:ext="edit"/>
          </v:line>
        </w:pict>
      </w:r>
      <w:r>
        <w:rPr>
          <w:rFonts w:hint="eastAsia" w:ascii="宋体" w:hAnsi="宋体" w:eastAsia="宋体" w:cs="宋体"/>
          <w:color w:val="auto"/>
          <w:highlight w:val="none"/>
        </w:rPr>
        <w:pict>
          <v:line id="Shape 225" o:spid="_x0000_s1048" o:spt="20" style="position:absolute;left:0pt;margin-left:286.95pt;margin-top:0pt;height:0pt;width:79.5pt;z-index:-251660288;mso-width-relative:page;mso-height-relative:page;" filled="t" coordsize="21600,21600" o:allowincell="f">
            <v:path arrowok="t"/>
            <v:fill on="t" focussize="0,0"/>
            <v:stroke weight="0.71992125984252pt" joinstyle="miter"/>
            <v:imagedata o:title=""/>
            <o:lock v:ext="edit"/>
          </v:line>
        </w:pict>
      </w:r>
    </w:p>
    <w:p>
      <w:pPr>
        <w:spacing w:line="148" w:lineRule="exact"/>
        <w:rPr>
          <w:rFonts w:hint="eastAsia" w:ascii="宋体" w:hAnsi="宋体" w:eastAsia="宋体" w:cs="宋体"/>
          <w:color w:val="auto"/>
          <w:sz w:val="20"/>
          <w:szCs w:val="20"/>
          <w:highlight w:val="none"/>
        </w:rPr>
      </w:pPr>
    </w:p>
    <w:p>
      <w:pPr>
        <w:tabs>
          <w:tab w:val="left" w:pos="5420"/>
          <w:tab w:val="left" w:pos="7820"/>
        </w:tabs>
        <w:spacing w:line="240" w:lineRule="exact"/>
        <w:ind w:left="36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（项目编号）磋商的有关活动，并对</w:t>
      </w:r>
      <w:r>
        <w:rPr>
          <w:rFonts w:hint="eastAsia" w:ascii="宋体" w:hAnsi="宋体" w:eastAsia="宋体" w:cs="宋体"/>
          <w:color w:val="auto"/>
          <w:sz w:val="20"/>
          <w:szCs w:val="20"/>
          <w:highlight w:val="none"/>
        </w:rPr>
        <w:tab/>
      </w:r>
      <w:r>
        <w:rPr>
          <w:rFonts w:hint="eastAsia" w:ascii="宋体" w:hAnsi="宋体" w:eastAsia="宋体" w:cs="宋体"/>
          <w:color w:val="auto"/>
          <w:sz w:val="21"/>
          <w:szCs w:val="21"/>
          <w:highlight w:val="none"/>
        </w:rPr>
        <w:t>（项目名称）的</w:t>
      </w:r>
      <w:r>
        <w:rPr>
          <w:rFonts w:hint="eastAsia" w:ascii="宋体" w:hAnsi="宋体" w:eastAsia="宋体" w:cs="宋体"/>
          <w:color w:val="auto"/>
          <w:sz w:val="20"/>
          <w:szCs w:val="20"/>
          <w:highlight w:val="none"/>
        </w:rPr>
        <w:tab/>
      </w:r>
      <w:r>
        <w:rPr>
          <w:rFonts w:hint="eastAsia" w:ascii="宋体" w:hAnsi="宋体" w:eastAsia="宋体" w:cs="宋体"/>
          <w:color w:val="auto"/>
          <w:sz w:val="20"/>
          <w:szCs w:val="20"/>
          <w:highlight w:val="none"/>
        </w:rPr>
        <w:t>（标项内</w:t>
      </w:r>
    </w:p>
    <w:p>
      <w:pPr>
        <w:spacing w:line="20" w:lineRule="exact"/>
        <w:rPr>
          <w:rFonts w:hint="eastAsia" w:ascii="宋体" w:hAnsi="宋体" w:eastAsia="宋体" w:cs="宋体"/>
          <w:color w:val="auto"/>
          <w:sz w:val="20"/>
          <w:szCs w:val="20"/>
          <w:highlight w:val="none"/>
        </w:rPr>
      </w:pPr>
      <w:r>
        <w:rPr>
          <w:rFonts w:hint="eastAsia" w:ascii="宋体" w:hAnsi="宋体" w:eastAsia="宋体" w:cs="宋体"/>
          <w:color w:val="auto"/>
          <w:highlight w:val="none"/>
        </w:rPr>
        <w:pict>
          <v:line id="Shape 226" o:spid="_x0000_s1049" o:spt="20" style="position:absolute;left:0pt;margin-left:184.25pt;margin-top:0pt;height:0pt;width:89.05pt;z-index:-251659264;mso-width-relative:page;mso-height-relative:page;" filled="t" coordsize="21600,21600" o:allowincell="f">
            <v:path arrowok="t"/>
            <v:fill on="t" focussize="0,0"/>
            <v:stroke weight="0.72pt" joinstyle="miter"/>
            <v:imagedata o:title=""/>
            <o:lock v:ext="edit"/>
          </v:line>
        </w:pict>
      </w:r>
      <w:r>
        <w:rPr>
          <w:rFonts w:hint="eastAsia" w:ascii="宋体" w:hAnsi="宋体" w:eastAsia="宋体" w:cs="宋体"/>
          <w:color w:val="auto"/>
          <w:highlight w:val="none"/>
        </w:rPr>
        <w:pict>
          <v:line id="Shape 227" o:spid="_x0000_s1050" o:spt="20" style="position:absolute;left:0pt;margin-left:345.3pt;margin-top:0pt;height:0pt;width:47.05pt;z-index:-251658240;mso-width-relative:page;mso-height-relative:page;" filled="t" coordsize="21600,21600" o:allowincell="f">
            <v:path arrowok="t"/>
            <v:fill on="t" focussize="0,0"/>
            <v:stroke weight="0.72pt" joinstyle="miter"/>
            <v:imagedata o:title=""/>
            <o:lock v:ext="edit"/>
          </v:line>
        </w:pict>
      </w:r>
    </w:p>
    <w:p>
      <w:pPr>
        <w:spacing w:line="148" w:lineRule="exact"/>
        <w:rPr>
          <w:rFonts w:hint="eastAsia" w:ascii="宋体" w:hAnsi="宋体" w:eastAsia="宋体" w:cs="宋体"/>
          <w:color w:val="auto"/>
          <w:sz w:val="20"/>
          <w:szCs w:val="20"/>
          <w:highlight w:val="none"/>
        </w:rPr>
      </w:pPr>
    </w:p>
    <w:p>
      <w:pPr>
        <w:spacing w:line="240" w:lineRule="exact"/>
        <w:ind w:left="36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容）进行磋商。为此我方：</w:t>
      </w:r>
    </w:p>
    <w:p>
      <w:pPr>
        <w:spacing w:line="172" w:lineRule="exact"/>
        <w:rPr>
          <w:rFonts w:hint="eastAsia" w:ascii="宋体" w:hAnsi="宋体" w:eastAsia="宋体" w:cs="宋体"/>
          <w:color w:val="auto"/>
          <w:sz w:val="20"/>
          <w:szCs w:val="20"/>
          <w:highlight w:val="none"/>
        </w:rPr>
      </w:pPr>
    </w:p>
    <w:p>
      <w:pPr>
        <w:spacing w:line="255" w:lineRule="exact"/>
        <w:ind w:left="78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rPr>
        <w:t>、承诺在供应商须知规定的投标截止日起遵守本响应文件中的承诺，且在投标有效期</w:t>
      </w:r>
    </w:p>
    <w:p>
      <w:pPr>
        <w:spacing w:line="152" w:lineRule="exact"/>
        <w:rPr>
          <w:rFonts w:hint="eastAsia" w:ascii="宋体" w:hAnsi="宋体" w:eastAsia="宋体" w:cs="宋体"/>
          <w:color w:val="auto"/>
          <w:sz w:val="20"/>
          <w:szCs w:val="20"/>
          <w:highlight w:val="none"/>
        </w:rPr>
      </w:pPr>
    </w:p>
    <w:p>
      <w:pPr>
        <w:spacing w:line="240" w:lineRule="exact"/>
        <w:ind w:left="36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满之前均具有约束力。</w:t>
      </w:r>
    </w:p>
    <w:p>
      <w:pPr>
        <w:spacing w:line="169" w:lineRule="exact"/>
        <w:rPr>
          <w:rFonts w:hint="eastAsia" w:ascii="宋体" w:hAnsi="宋体" w:eastAsia="宋体" w:cs="宋体"/>
          <w:color w:val="auto"/>
          <w:sz w:val="20"/>
          <w:szCs w:val="20"/>
          <w:highlight w:val="none"/>
        </w:rPr>
      </w:pPr>
    </w:p>
    <w:p>
      <w:pPr>
        <w:spacing w:line="255" w:lineRule="exact"/>
        <w:ind w:left="78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rPr>
        <w:t>、承诺已经具备《中华人民共和国政府采购法》中规定的参加政府采购活动的供应商</w:t>
      </w:r>
    </w:p>
    <w:p>
      <w:pPr>
        <w:spacing w:line="152" w:lineRule="exact"/>
        <w:rPr>
          <w:rFonts w:hint="eastAsia" w:ascii="宋体" w:hAnsi="宋体" w:eastAsia="宋体" w:cs="宋体"/>
          <w:color w:val="auto"/>
          <w:sz w:val="20"/>
          <w:szCs w:val="20"/>
          <w:highlight w:val="none"/>
        </w:rPr>
      </w:pPr>
    </w:p>
    <w:p>
      <w:pPr>
        <w:spacing w:line="240" w:lineRule="exact"/>
        <w:ind w:left="36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应当具备的条件及采购人规定的特定条件。</w:t>
      </w:r>
    </w:p>
    <w:p>
      <w:pPr>
        <w:spacing w:line="184" w:lineRule="exact"/>
        <w:rPr>
          <w:rFonts w:hint="eastAsia" w:ascii="宋体" w:hAnsi="宋体" w:eastAsia="宋体" w:cs="宋体"/>
          <w:color w:val="auto"/>
          <w:sz w:val="20"/>
          <w:szCs w:val="20"/>
          <w:highlight w:val="none"/>
        </w:rPr>
      </w:pPr>
    </w:p>
    <w:p>
      <w:pPr>
        <w:spacing w:line="243" w:lineRule="exact"/>
        <w:ind w:left="78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w:t>
      </w:r>
      <w:r>
        <w:rPr>
          <w:rFonts w:hint="eastAsia" w:ascii="宋体" w:hAnsi="宋体" w:eastAsia="宋体" w:cs="宋体"/>
          <w:color w:val="auto"/>
          <w:sz w:val="20"/>
          <w:szCs w:val="20"/>
          <w:highlight w:val="none"/>
        </w:rPr>
        <w:t>、</w:t>
      </w:r>
      <w:r>
        <w:rPr>
          <w:rFonts w:hint="eastAsia" w:ascii="宋体" w:hAnsi="宋体" w:eastAsia="宋体" w:cs="宋体"/>
          <w:color w:val="auto"/>
          <w:sz w:val="21"/>
          <w:szCs w:val="21"/>
          <w:highlight w:val="none"/>
        </w:rPr>
        <w:t>已详细审核全部竞争性磋商文件，包括竞争性磋商文件补充（如果有）、参考资料及</w:t>
      </w:r>
    </w:p>
    <w:p>
      <w:pPr>
        <w:spacing w:line="152" w:lineRule="exact"/>
        <w:rPr>
          <w:rFonts w:hint="eastAsia" w:ascii="宋体" w:hAnsi="宋体" w:eastAsia="宋体" w:cs="宋体"/>
          <w:color w:val="auto"/>
          <w:sz w:val="20"/>
          <w:szCs w:val="20"/>
          <w:highlight w:val="none"/>
        </w:rPr>
      </w:pPr>
    </w:p>
    <w:p>
      <w:pPr>
        <w:spacing w:line="240" w:lineRule="exact"/>
        <w:ind w:left="36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有关附件，确认无误。</w:t>
      </w:r>
    </w:p>
    <w:p>
      <w:pPr>
        <w:spacing w:line="169" w:lineRule="exact"/>
        <w:rPr>
          <w:rFonts w:hint="eastAsia" w:ascii="宋体" w:hAnsi="宋体" w:eastAsia="宋体" w:cs="宋体"/>
          <w:color w:val="auto"/>
          <w:sz w:val="20"/>
          <w:szCs w:val="20"/>
          <w:highlight w:val="none"/>
        </w:rPr>
      </w:pPr>
    </w:p>
    <w:p>
      <w:pPr>
        <w:spacing w:line="255" w:lineRule="exact"/>
        <w:ind w:left="78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rPr>
        <w:t>、提供供应商须知规定的全部响应文件，包括响应文件</w:t>
      </w:r>
      <w:r>
        <w:rPr>
          <w:rFonts w:hint="eastAsia" w:ascii="宋体" w:hAnsi="宋体" w:eastAsia="宋体" w:cs="宋体"/>
          <w:color w:val="auto"/>
          <w:sz w:val="21"/>
          <w:szCs w:val="21"/>
          <w:highlight w:val="none"/>
          <w:u w:val="single"/>
        </w:rPr>
        <w:t>正本</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1</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份，副本</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4</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份</w:t>
      </w:r>
      <w:r>
        <w:rPr>
          <w:rFonts w:hint="eastAsia" w:ascii="宋体" w:hAnsi="宋体" w:eastAsia="宋体" w:cs="宋体"/>
          <w:color w:val="auto"/>
          <w:sz w:val="21"/>
          <w:szCs w:val="21"/>
          <w:highlight w:val="none"/>
        </w:rPr>
        <w:t>。</w:t>
      </w:r>
    </w:p>
    <w:p>
      <w:pPr>
        <w:spacing w:line="153" w:lineRule="exact"/>
        <w:rPr>
          <w:rFonts w:hint="eastAsia" w:ascii="宋体" w:hAnsi="宋体" w:eastAsia="宋体" w:cs="宋体"/>
          <w:color w:val="auto"/>
          <w:sz w:val="20"/>
          <w:szCs w:val="20"/>
          <w:highlight w:val="none"/>
        </w:rPr>
      </w:pPr>
    </w:p>
    <w:p>
      <w:pPr>
        <w:spacing w:line="255" w:lineRule="exact"/>
        <w:ind w:left="78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rPr>
        <w:t>、投标报价详见《初次报价一览表》。</w:t>
      </w:r>
    </w:p>
    <w:p>
      <w:pPr>
        <w:spacing w:line="154" w:lineRule="exact"/>
        <w:rPr>
          <w:rFonts w:hint="eastAsia" w:ascii="宋体" w:hAnsi="宋体" w:eastAsia="宋体" w:cs="宋体"/>
          <w:color w:val="auto"/>
          <w:sz w:val="20"/>
          <w:szCs w:val="20"/>
          <w:highlight w:val="none"/>
        </w:rPr>
      </w:pPr>
    </w:p>
    <w:p>
      <w:pPr>
        <w:spacing w:line="255" w:lineRule="exact"/>
        <w:ind w:left="78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rPr>
        <w:t>、保证遵守竞争性磋商文件中的其他有关规定。</w:t>
      </w:r>
    </w:p>
    <w:p>
      <w:pPr>
        <w:spacing w:line="156" w:lineRule="exact"/>
        <w:rPr>
          <w:rFonts w:hint="eastAsia" w:ascii="宋体" w:hAnsi="宋体" w:eastAsia="宋体" w:cs="宋体"/>
          <w:color w:val="auto"/>
          <w:sz w:val="20"/>
          <w:szCs w:val="20"/>
          <w:highlight w:val="none"/>
        </w:rPr>
      </w:pPr>
    </w:p>
    <w:p>
      <w:pPr>
        <w:spacing w:line="255" w:lineRule="exact"/>
        <w:ind w:left="78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rPr>
        <w:t>、完全理解不一定接受最低价中标。</w:t>
      </w:r>
    </w:p>
    <w:p>
      <w:pPr>
        <w:spacing w:line="153" w:lineRule="exact"/>
        <w:rPr>
          <w:rFonts w:hint="eastAsia" w:ascii="宋体" w:hAnsi="宋体" w:eastAsia="宋体" w:cs="宋体"/>
          <w:color w:val="auto"/>
          <w:sz w:val="20"/>
          <w:szCs w:val="20"/>
          <w:highlight w:val="none"/>
        </w:rPr>
      </w:pPr>
    </w:p>
    <w:p>
      <w:pPr>
        <w:spacing w:line="255" w:lineRule="exact"/>
        <w:ind w:left="78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rPr>
        <w:t>、愿意向贵方提供任何与该项目投标有关的数据、情况和技术资料。若贵方需要，愿</w:t>
      </w:r>
    </w:p>
    <w:p>
      <w:pPr>
        <w:spacing w:line="152" w:lineRule="exact"/>
        <w:rPr>
          <w:rFonts w:hint="eastAsia" w:ascii="宋体" w:hAnsi="宋体" w:eastAsia="宋体" w:cs="宋体"/>
          <w:color w:val="auto"/>
          <w:sz w:val="20"/>
          <w:szCs w:val="20"/>
          <w:highlight w:val="none"/>
        </w:rPr>
      </w:pPr>
    </w:p>
    <w:p>
      <w:pPr>
        <w:spacing w:line="240" w:lineRule="exact"/>
        <w:ind w:left="36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意提供我方做出的一切承诺的证明材料。</w:t>
      </w:r>
    </w:p>
    <w:p>
      <w:pPr>
        <w:spacing w:line="169" w:lineRule="exact"/>
        <w:rPr>
          <w:rFonts w:hint="eastAsia" w:ascii="宋体" w:hAnsi="宋体" w:eastAsia="宋体" w:cs="宋体"/>
          <w:color w:val="auto"/>
          <w:sz w:val="20"/>
          <w:szCs w:val="20"/>
          <w:highlight w:val="none"/>
        </w:rPr>
      </w:pPr>
    </w:p>
    <w:p>
      <w:pPr>
        <w:spacing w:line="255" w:lineRule="exact"/>
        <w:ind w:left="78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rPr>
        <w:t>、保证忠实地执行双方所签订的合同，并承担合同规定的责任和义务。</w:t>
      </w:r>
    </w:p>
    <w:p>
      <w:pPr>
        <w:spacing w:line="153" w:lineRule="exact"/>
        <w:rPr>
          <w:rFonts w:hint="eastAsia" w:ascii="宋体" w:hAnsi="宋体" w:eastAsia="宋体" w:cs="宋体"/>
          <w:color w:val="auto"/>
          <w:sz w:val="20"/>
          <w:szCs w:val="20"/>
          <w:highlight w:val="none"/>
        </w:rPr>
      </w:pPr>
    </w:p>
    <w:p>
      <w:pPr>
        <w:spacing w:line="255" w:lineRule="exact"/>
        <w:ind w:left="78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rPr>
        <w:t>、将严格遵守《中华人民共和国政府采购法》第七十七条规定，供应商有下列情形</w:t>
      </w:r>
    </w:p>
    <w:p>
      <w:pPr>
        <w:spacing w:line="156" w:lineRule="exact"/>
        <w:rPr>
          <w:rFonts w:hint="eastAsia" w:ascii="宋体" w:hAnsi="宋体" w:eastAsia="宋体" w:cs="宋体"/>
          <w:color w:val="auto"/>
          <w:sz w:val="20"/>
          <w:szCs w:val="20"/>
          <w:highlight w:val="none"/>
        </w:rPr>
      </w:pPr>
    </w:p>
    <w:p>
      <w:pPr>
        <w:spacing w:line="255" w:lineRule="exact"/>
        <w:ind w:left="36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之一的，处以采购金额</w:t>
      </w:r>
      <w:r>
        <w:rPr>
          <w:rFonts w:hint="eastAsia" w:ascii="宋体" w:hAnsi="宋体" w:eastAsia="宋体" w:cs="宋体"/>
          <w:color w:val="auto"/>
          <w:sz w:val="21"/>
          <w:szCs w:val="21"/>
          <w:highlight w:val="none"/>
        </w:rPr>
        <w:t xml:space="preserve"> 5</w:t>
      </w:r>
      <w:r>
        <w:rPr>
          <w:rFonts w:hint="eastAsia" w:ascii="宋体" w:hAnsi="宋体" w:eastAsia="宋体" w:cs="宋体"/>
          <w:color w:val="auto"/>
          <w:sz w:val="21"/>
          <w:szCs w:val="21"/>
          <w:highlight w:val="none"/>
        </w:rPr>
        <w:t>‰以上</w:t>
      </w:r>
      <w:r>
        <w:rPr>
          <w:rFonts w:hint="eastAsia" w:ascii="宋体" w:hAnsi="宋体" w:eastAsia="宋体" w:cs="宋体"/>
          <w:color w:val="auto"/>
          <w:sz w:val="21"/>
          <w:szCs w:val="21"/>
          <w:highlight w:val="none"/>
        </w:rPr>
        <w:t xml:space="preserve"> 10</w:t>
      </w:r>
      <w:r>
        <w:rPr>
          <w:rFonts w:hint="eastAsia" w:ascii="宋体" w:hAnsi="宋体" w:eastAsia="宋体" w:cs="宋体"/>
          <w:color w:val="auto"/>
          <w:sz w:val="21"/>
          <w:szCs w:val="21"/>
          <w:highlight w:val="none"/>
        </w:rPr>
        <w:t>‰以下的罚款，列入不良行为记录名单，在一至三年内</w:t>
      </w:r>
    </w:p>
    <w:p>
      <w:pPr>
        <w:spacing w:line="164" w:lineRule="exact"/>
        <w:rPr>
          <w:rFonts w:hint="eastAsia" w:ascii="宋体" w:hAnsi="宋体" w:eastAsia="宋体" w:cs="宋体"/>
          <w:color w:val="auto"/>
          <w:sz w:val="20"/>
          <w:szCs w:val="20"/>
          <w:highlight w:val="none"/>
        </w:rPr>
      </w:pPr>
    </w:p>
    <w:p>
      <w:pPr>
        <w:spacing w:line="229" w:lineRule="exact"/>
        <w:ind w:left="3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禁止参加政府采购活动；有违法所得的，并处没收违法所得；情节严重的，由工商行政管理</w:t>
      </w:r>
    </w:p>
    <w:p>
      <w:pPr>
        <w:spacing w:line="169" w:lineRule="exact"/>
        <w:rPr>
          <w:rFonts w:hint="eastAsia" w:ascii="宋体" w:hAnsi="宋体" w:eastAsia="宋体" w:cs="宋体"/>
          <w:color w:val="auto"/>
          <w:sz w:val="20"/>
          <w:szCs w:val="20"/>
          <w:highlight w:val="none"/>
        </w:rPr>
      </w:pPr>
    </w:p>
    <w:p>
      <w:pPr>
        <w:spacing w:line="240" w:lineRule="exact"/>
        <w:ind w:left="36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机关吊销营业执照；构成犯罪的，依法追究刑事责任：</w:t>
      </w:r>
    </w:p>
    <w:p>
      <w:pPr>
        <w:spacing w:line="169" w:lineRule="exact"/>
        <w:rPr>
          <w:rFonts w:hint="eastAsia" w:ascii="宋体" w:hAnsi="宋体" w:eastAsia="宋体" w:cs="宋体"/>
          <w:color w:val="auto"/>
          <w:sz w:val="20"/>
          <w:szCs w:val="20"/>
          <w:highlight w:val="none"/>
        </w:rPr>
      </w:pPr>
    </w:p>
    <w:p>
      <w:pPr>
        <w:spacing w:line="255" w:lineRule="exact"/>
        <w:ind w:left="780"/>
        <w:rPr>
          <w:rFonts w:hint="eastAsia" w:ascii="宋体" w:hAnsi="宋体" w:eastAsia="宋体" w:cs="宋体"/>
          <w:color w:val="auto"/>
          <w:sz w:val="20"/>
          <w:szCs w:val="20"/>
          <w:highlight w:val="none"/>
        </w:rPr>
      </w:pPr>
      <w:bookmarkStart w:id="138" w:name="_Toc16949_WPSOffice_Level2"/>
      <w:r>
        <w:rPr>
          <w:rFonts w:hint="eastAsia" w:ascii="宋体" w:hAnsi="宋体" w:eastAsia="宋体" w:cs="宋体"/>
          <w:color w:val="auto"/>
          <w:sz w:val="21"/>
          <w:szCs w:val="21"/>
          <w:highlight w:val="none"/>
        </w:rPr>
        <w:t>a</w:t>
      </w:r>
      <w:r>
        <w:rPr>
          <w:rFonts w:hint="eastAsia" w:ascii="宋体" w:hAnsi="宋体" w:eastAsia="宋体" w:cs="宋体"/>
          <w:color w:val="auto"/>
          <w:sz w:val="21"/>
          <w:szCs w:val="21"/>
          <w:highlight w:val="none"/>
        </w:rPr>
        <w:t>）提供虚假材料谋取中标、成交的；</w:t>
      </w:r>
      <w:bookmarkEnd w:id="138"/>
    </w:p>
    <w:p>
      <w:pPr>
        <w:spacing w:line="156" w:lineRule="exact"/>
        <w:rPr>
          <w:rFonts w:hint="eastAsia" w:ascii="宋体" w:hAnsi="宋体" w:eastAsia="宋体" w:cs="宋体"/>
          <w:color w:val="auto"/>
          <w:sz w:val="20"/>
          <w:szCs w:val="20"/>
          <w:highlight w:val="none"/>
        </w:rPr>
      </w:pPr>
    </w:p>
    <w:p>
      <w:pPr>
        <w:spacing w:line="255" w:lineRule="exact"/>
        <w:ind w:left="780"/>
        <w:rPr>
          <w:rFonts w:hint="eastAsia" w:ascii="宋体" w:hAnsi="宋体" w:eastAsia="宋体" w:cs="宋体"/>
          <w:color w:val="auto"/>
          <w:sz w:val="20"/>
          <w:szCs w:val="20"/>
          <w:highlight w:val="none"/>
        </w:rPr>
      </w:pPr>
      <w:bookmarkStart w:id="139" w:name="_Toc389_WPSOffice_Level2"/>
      <w:r>
        <w:rPr>
          <w:rFonts w:hint="eastAsia" w:ascii="宋体" w:hAnsi="宋体" w:eastAsia="宋体" w:cs="宋体"/>
          <w:color w:val="auto"/>
          <w:sz w:val="21"/>
          <w:szCs w:val="21"/>
          <w:highlight w:val="none"/>
        </w:rPr>
        <w:t>b</w:t>
      </w:r>
      <w:r>
        <w:rPr>
          <w:rFonts w:hint="eastAsia" w:ascii="宋体" w:hAnsi="宋体" w:eastAsia="宋体" w:cs="宋体"/>
          <w:color w:val="auto"/>
          <w:sz w:val="21"/>
          <w:szCs w:val="21"/>
          <w:highlight w:val="none"/>
        </w:rPr>
        <w:t>）采取不正当手段诋毁、排挤其他供应商的；</w:t>
      </w:r>
      <w:bookmarkEnd w:id="139"/>
    </w:p>
    <w:p>
      <w:pPr>
        <w:spacing w:line="153" w:lineRule="exact"/>
        <w:rPr>
          <w:rFonts w:hint="eastAsia" w:ascii="宋体" w:hAnsi="宋体" w:eastAsia="宋体" w:cs="宋体"/>
          <w:color w:val="auto"/>
          <w:sz w:val="20"/>
          <w:szCs w:val="20"/>
          <w:highlight w:val="none"/>
        </w:rPr>
      </w:pPr>
    </w:p>
    <w:p>
      <w:pPr>
        <w:spacing w:line="255" w:lineRule="exact"/>
        <w:ind w:left="780"/>
        <w:rPr>
          <w:rFonts w:hint="eastAsia" w:ascii="宋体" w:hAnsi="宋体" w:eastAsia="宋体" w:cs="宋体"/>
          <w:color w:val="auto"/>
          <w:sz w:val="20"/>
          <w:szCs w:val="20"/>
          <w:highlight w:val="none"/>
        </w:rPr>
      </w:pPr>
      <w:bookmarkStart w:id="140" w:name="_Toc14247_WPSOffice_Level2"/>
      <w:r>
        <w:rPr>
          <w:rFonts w:hint="eastAsia" w:ascii="宋体" w:hAnsi="宋体" w:eastAsia="宋体" w:cs="宋体"/>
          <w:color w:val="auto"/>
          <w:sz w:val="21"/>
          <w:szCs w:val="21"/>
          <w:highlight w:val="none"/>
        </w:rPr>
        <w:t>c</w:t>
      </w:r>
      <w:r>
        <w:rPr>
          <w:rFonts w:hint="eastAsia" w:ascii="宋体" w:hAnsi="宋体" w:eastAsia="宋体" w:cs="宋体"/>
          <w:color w:val="auto"/>
          <w:sz w:val="21"/>
          <w:szCs w:val="21"/>
          <w:highlight w:val="none"/>
        </w:rPr>
        <w:t>）与采购人、其它供应商或者采购代理机构恶意串通的；</w:t>
      </w:r>
      <w:bookmarkEnd w:id="140"/>
    </w:p>
    <w:p>
      <w:pPr>
        <w:spacing w:line="153" w:lineRule="exact"/>
        <w:rPr>
          <w:rFonts w:hint="eastAsia" w:ascii="宋体" w:hAnsi="宋体" w:eastAsia="宋体" w:cs="宋体"/>
          <w:color w:val="auto"/>
          <w:sz w:val="20"/>
          <w:szCs w:val="20"/>
          <w:highlight w:val="none"/>
        </w:rPr>
      </w:pPr>
    </w:p>
    <w:p>
      <w:pPr>
        <w:spacing w:line="255" w:lineRule="exact"/>
        <w:ind w:left="780"/>
        <w:rPr>
          <w:rFonts w:hint="eastAsia" w:ascii="宋体" w:hAnsi="宋体" w:eastAsia="宋体" w:cs="宋体"/>
          <w:color w:val="auto"/>
          <w:sz w:val="20"/>
          <w:szCs w:val="20"/>
          <w:highlight w:val="none"/>
        </w:rPr>
      </w:pPr>
      <w:bookmarkStart w:id="141" w:name="_Toc19645_WPSOffice_Level2"/>
      <w:r>
        <w:rPr>
          <w:rFonts w:hint="eastAsia" w:ascii="宋体" w:hAnsi="宋体" w:eastAsia="宋体" w:cs="宋体"/>
          <w:color w:val="auto"/>
          <w:sz w:val="21"/>
          <w:szCs w:val="21"/>
          <w:highlight w:val="none"/>
        </w:rPr>
        <w:t>d</w:t>
      </w:r>
      <w:r>
        <w:rPr>
          <w:rFonts w:hint="eastAsia" w:ascii="宋体" w:hAnsi="宋体" w:eastAsia="宋体" w:cs="宋体"/>
          <w:color w:val="auto"/>
          <w:sz w:val="21"/>
          <w:szCs w:val="21"/>
          <w:highlight w:val="none"/>
        </w:rPr>
        <w:t>）向采购人、采购代理机构行贿或者提供其他不正当利益的；</w:t>
      </w:r>
      <w:bookmarkEnd w:id="141"/>
    </w:p>
    <w:p>
      <w:pPr>
        <w:spacing w:line="153" w:lineRule="exact"/>
        <w:rPr>
          <w:rFonts w:hint="eastAsia" w:ascii="宋体" w:hAnsi="宋体" w:eastAsia="宋体" w:cs="宋体"/>
          <w:color w:val="auto"/>
          <w:sz w:val="20"/>
          <w:szCs w:val="20"/>
          <w:highlight w:val="none"/>
        </w:rPr>
      </w:pPr>
    </w:p>
    <w:p>
      <w:pPr>
        <w:spacing w:line="255" w:lineRule="exact"/>
        <w:ind w:left="780"/>
        <w:rPr>
          <w:rFonts w:hint="eastAsia" w:ascii="宋体" w:hAnsi="宋体" w:eastAsia="宋体" w:cs="宋体"/>
          <w:color w:val="auto"/>
          <w:sz w:val="20"/>
          <w:szCs w:val="20"/>
          <w:highlight w:val="none"/>
        </w:rPr>
      </w:pPr>
      <w:bookmarkStart w:id="142" w:name="_Toc27639_WPSOffice_Level2"/>
      <w:r>
        <w:rPr>
          <w:rFonts w:hint="eastAsia" w:ascii="宋体" w:hAnsi="宋体" w:eastAsia="宋体" w:cs="宋体"/>
          <w:color w:val="auto"/>
          <w:sz w:val="21"/>
          <w:szCs w:val="21"/>
          <w:highlight w:val="none"/>
        </w:rPr>
        <w:t>e</w:t>
      </w:r>
      <w:r>
        <w:rPr>
          <w:rFonts w:hint="eastAsia" w:ascii="宋体" w:hAnsi="宋体" w:eastAsia="宋体" w:cs="宋体"/>
          <w:color w:val="auto"/>
          <w:sz w:val="21"/>
          <w:szCs w:val="21"/>
          <w:highlight w:val="none"/>
        </w:rPr>
        <w:t>）在招标采购过程中与采购人进行协商谈判的；</w:t>
      </w:r>
      <w:bookmarkEnd w:id="142"/>
    </w:p>
    <w:p>
      <w:pPr>
        <w:spacing w:line="153" w:lineRule="exact"/>
        <w:rPr>
          <w:rFonts w:hint="eastAsia" w:ascii="宋体" w:hAnsi="宋体" w:eastAsia="宋体" w:cs="宋体"/>
          <w:color w:val="auto"/>
          <w:sz w:val="20"/>
          <w:szCs w:val="20"/>
          <w:highlight w:val="none"/>
        </w:rPr>
      </w:pPr>
    </w:p>
    <w:p>
      <w:pPr>
        <w:spacing w:line="255" w:lineRule="exact"/>
        <w:ind w:left="780"/>
        <w:rPr>
          <w:rFonts w:hint="eastAsia" w:ascii="宋体" w:hAnsi="宋体" w:eastAsia="宋体" w:cs="宋体"/>
          <w:color w:val="auto"/>
          <w:sz w:val="20"/>
          <w:szCs w:val="20"/>
          <w:highlight w:val="none"/>
        </w:rPr>
      </w:pPr>
      <w:bookmarkStart w:id="143" w:name="_Toc9224_WPSOffice_Level2"/>
      <w:r>
        <w:rPr>
          <w:rFonts w:hint="eastAsia" w:ascii="宋体" w:hAnsi="宋体" w:eastAsia="宋体" w:cs="宋体"/>
          <w:color w:val="auto"/>
          <w:sz w:val="21"/>
          <w:szCs w:val="21"/>
          <w:highlight w:val="none"/>
        </w:rPr>
        <w:t>f</w:t>
      </w:r>
      <w:r>
        <w:rPr>
          <w:rFonts w:hint="eastAsia" w:ascii="宋体" w:hAnsi="宋体" w:eastAsia="宋体" w:cs="宋体"/>
          <w:color w:val="auto"/>
          <w:sz w:val="21"/>
          <w:szCs w:val="21"/>
          <w:highlight w:val="none"/>
        </w:rPr>
        <w:t>）拒绝有关部门监督检查或提供虚假情况的。</w:t>
      </w:r>
      <w:bookmarkEnd w:id="143"/>
    </w:p>
    <w:p>
      <w:pPr>
        <w:spacing w:line="156" w:lineRule="exact"/>
        <w:rPr>
          <w:rFonts w:hint="eastAsia" w:ascii="宋体" w:hAnsi="宋体" w:eastAsia="宋体" w:cs="宋体"/>
          <w:color w:val="auto"/>
          <w:sz w:val="20"/>
          <w:szCs w:val="20"/>
          <w:highlight w:val="none"/>
        </w:rPr>
      </w:pPr>
    </w:p>
    <w:p>
      <w:pPr>
        <w:spacing w:line="255" w:lineRule="exact"/>
        <w:ind w:left="78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供应商有前款第</w:t>
      </w:r>
      <w:r>
        <w:rPr>
          <w:rFonts w:hint="eastAsia" w:ascii="宋体" w:hAnsi="宋体" w:eastAsia="宋体" w:cs="宋体"/>
          <w:color w:val="auto"/>
          <w:sz w:val="21"/>
          <w:szCs w:val="21"/>
          <w:highlight w:val="none"/>
        </w:rPr>
        <w:t xml:space="preserve"> a</w:t>
      </w:r>
      <w:r>
        <w:rPr>
          <w:rFonts w:hint="eastAsia" w:ascii="宋体" w:hAnsi="宋体" w:eastAsia="宋体" w:cs="宋体"/>
          <w:color w:val="auto"/>
          <w:sz w:val="21"/>
          <w:szCs w:val="21"/>
          <w:highlight w:val="none"/>
        </w:rPr>
        <w:t>）至</w:t>
      </w:r>
      <w:r>
        <w:rPr>
          <w:rFonts w:hint="eastAsia" w:ascii="宋体" w:hAnsi="宋体" w:eastAsia="宋体" w:cs="宋体"/>
          <w:color w:val="auto"/>
          <w:sz w:val="21"/>
          <w:szCs w:val="21"/>
          <w:highlight w:val="none"/>
        </w:rPr>
        <w:t xml:space="preserve"> f</w:t>
      </w:r>
      <w:r>
        <w:rPr>
          <w:rFonts w:hint="eastAsia" w:ascii="宋体" w:hAnsi="宋体" w:eastAsia="宋体" w:cs="宋体"/>
          <w:color w:val="auto"/>
          <w:sz w:val="21"/>
          <w:szCs w:val="21"/>
          <w:highlight w:val="none"/>
        </w:rPr>
        <w:t>）项情形之一的，中标、成交无效。</w:t>
      </w:r>
    </w:p>
    <w:p>
      <w:pPr>
        <w:spacing w:line="154" w:lineRule="exact"/>
        <w:rPr>
          <w:rFonts w:hint="eastAsia" w:ascii="宋体" w:hAnsi="宋体" w:eastAsia="宋体" w:cs="宋体"/>
          <w:color w:val="auto"/>
          <w:sz w:val="20"/>
          <w:szCs w:val="20"/>
          <w:highlight w:val="none"/>
        </w:rPr>
      </w:pPr>
    </w:p>
    <w:p>
      <w:pPr>
        <w:spacing w:line="255" w:lineRule="exact"/>
        <w:ind w:left="78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11</w:t>
      </w:r>
      <w:r>
        <w:rPr>
          <w:rFonts w:hint="eastAsia" w:ascii="宋体" w:hAnsi="宋体" w:eastAsia="宋体" w:cs="宋体"/>
          <w:color w:val="auto"/>
          <w:sz w:val="21"/>
          <w:szCs w:val="21"/>
          <w:highlight w:val="none"/>
        </w:rPr>
        <w:t>、本响应文件的有效期为自投标截止时间起</w:t>
      </w:r>
      <w:r>
        <w:rPr>
          <w:rFonts w:hint="eastAsia" w:ascii="宋体" w:hAnsi="宋体" w:eastAsia="宋体" w:cs="宋体"/>
          <w:color w:val="auto"/>
          <w:sz w:val="21"/>
          <w:szCs w:val="21"/>
          <w:highlight w:val="none"/>
        </w:rPr>
        <w:t xml:space="preserve"> 120 </w:t>
      </w:r>
      <w:r>
        <w:rPr>
          <w:rFonts w:hint="eastAsia" w:ascii="宋体" w:hAnsi="宋体" w:eastAsia="宋体" w:cs="宋体"/>
          <w:color w:val="auto"/>
          <w:sz w:val="21"/>
          <w:szCs w:val="21"/>
          <w:highlight w:val="none"/>
        </w:rPr>
        <w:t>天。</w:t>
      </w:r>
    </w:p>
    <w:p>
      <w:pPr>
        <w:spacing w:line="200" w:lineRule="exact"/>
        <w:rPr>
          <w:rFonts w:hint="eastAsia" w:ascii="宋体" w:hAnsi="宋体" w:eastAsia="宋体" w:cs="宋体"/>
          <w:color w:val="auto"/>
          <w:sz w:val="20"/>
          <w:szCs w:val="20"/>
          <w:highlight w:val="none"/>
        </w:rPr>
      </w:pPr>
    </w:p>
    <w:p>
      <w:pPr>
        <w:spacing w:line="315" w:lineRule="exact"/>
        <w:rPr>
          <w:rFonts w:hint="eastAsia" w:ascii="宋体" w:hAnsi="宋体" w:eastAsia="宋体" w:cs="宋体"/>
          <w:color w:val="auto"/>
          <w:sz w:val="20"/>
          <w:szCs w:val="20"/>
          <w:highlight w:val="none"/>
        </w:rPr>
      </w:pPr>
    </w:p>
    <w:p>
      <w:pPr>
        <w:spacing w:line="240" w:lineRule="exact"/>
        <w:ind w:left="840"/>
        <w:rPr>
          <w:rFonts w:hint="eastAsia" w:ascii="宋体" w:hAnsi="宋体" w:eastAsia="宋体" w:cs="宋体"/>
          <w:color w:val="auto"/>
          <w:sz w:val="21"/>
          <w:szCs w:val="21"/>
          <w:highlight w:val="none"/>
        </w:rPr>
      </w:pPr>
    </w:p>
    <w:p>
      <w:pPr>
        <w:spacing w:line="240" w:lineRule="exact"/>
        <w:ind w:left="840"/>
        <w:rPr>
          <w:rFonts w:hint="eastAsia" w:ascii="宋体" w:hAnsi="宋体" w:eastAsia="宋体" w:cs="宋体"/>
          <w:color w:val="auto"/>
          <w:sz w:val="21"/>
          <w:szCs w:val="21"/>
          <w:highlight w:val="none"/>
        </w:rPr>
      </w:pPr>
    </w:p>
    <w:p>
      <w:pPr>
        <w:spacing w:line="240" w:lineRule="exact"/>
        <w:ind w:left="840"/>
        <w:rPr>
          <w:rFonts w:hint="eastAsia" w:ascii="宋体" w:hAnsi="宋体" w:eastAsia="宋体" w:cs="宋体"/>
          <w:color w:val="auto"/>
          <w:sz w:val="21"/>
          <w:szCs w:val="21"/>
          <w:highlight w:val="none"/>
        </w:rPr>
      </w:pPr>
    </w:p>
    <w:p>
      <w:pPr>
        <w:spacing w:line="240" w:lineRule="exact"/>
        <w:ind w:left="840"/>
        <w:rPr>
          <w:rFonts w:hint="eastAsia" w:ascii="宋体" w:hAnsi="宋体" w:eastAsia="宋体" w:cs="宋体"/>
          <w:color w:val="auto"/>
          <w:sz w:val="21"/>
          <w:szCs w:val="21"/>
          <w:highlight w:val="none"/>
        </w:rPr>
      </w:pPr>
    </w:p>
    <w:p>
      <w:pPr>
        <w:spacing w:line="360" w:lineRule="auto"/>
        <w:ind w:left="84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供应商全称（盖单位公章）：</w:t>
      </w:r>
    </w:p>
    <w:p>
      <w:pPr>
        <w:spacing w:line="360" w:lineRule="auto"/>
        <w:ind w:left="840"/>
        <w:rPr>
          <w:rFonts w:hint="eastAsia" w:ascii="宋体" w:hAnsi="宋体" w:eastAsia="宋体" w:cs="宋体"/>
          <w:color w:val="auto"/>
          <w:sz w:val="20"/>
          <w:szCs w:val="20"/>
          <w:highlight w:val="none"/>
        </w:rPr>
      </w:pPr>
      <w:bookmarkStart w:id="144" w:name="page50"/>
      <w:bookmarkEnd w:id="144"/>
      <w:r>
        <w:rPr>
          <w:rFonts w:hint="eastAsia" w:ascii="宋体" w:hAnsi="宋体" w:eastAsia="宋体" w:cs="宋体"/>
          <w:color w:val="auto"/>
          <w:sz w:val="21"/>
          <w:szCs w:val="21"/>
          <w:highlight w:val="none"/>
        </w:rPr>
        <w:t>响应文件签署人（签字或盖章）：</w:t>
      </w:r>
    </w:p>
    <w:p>
      <w:pPr>
        <w:spacing w:line="360" w:lineRule="auto"/>
        <w:ind w:left="84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日期：</w:t>
      </w:r>
    </w:p>
    <w:p>
      <w:pPr>
        <w:spacing w:line="360" w:lineRule="auto"/>
        <w:ind w:left="84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单位地址：</w:t>
      </w:r>
    </w:p>
    <w:p>
      <w:pPr>
        <w:tabs>
          <w:tab w:val="left" w:pos="2700"/>
          <w:tab w:val="left" w:pos="4380"/>
        </w:tabs>
        <w:spacing w:line="360" w:lineRule="auto"/>
        <w:ind w:left="84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邮编：</w:t>
      </w:r>
      <w:r>
        <w:rPr>
          <w:rFonts w:hint="eastAsia" w:ascii="宋体" w:hAnsi="宋体" w:eastAsia="宋体" w:cs="宋体"/>
          <w:color w:val="auto"/>
          <w:sz w:val="20"/>
          <w:szCs w:val="20"/>
          <w:highlight w:val="none"/>
        </w:rPr>
        <w:tab/>
      </w:r>
      <w:r>
        <w:rPr>
          <w:rFonts w:hint="eastAsia" w:ascii="宋体" w:hAnsi="宋体" w:eastAsia="宋体" w:cs="宋体"/>
          <w:color w:val="auto"/>
          <w:sz w:val="21"/>
          <w:szCs w:val="21"/>
          <w:highlight w:val="none"/>
        </w:rPr>
        <w:t>电话：</w:t>
      </w:r>
      <w:r>
        <w:rPr>
          <w:rFonts w:hint="eastAsia" w:ascii="宋体" w:hAnsi="宋体" w:eastAsia="宋体" w:cs="宋体"/>
          <w:color w:val="auto"/>
          <w:sz w:val="20"/>
          <w:szCs w:val="20"/>
          <w:highlight w:val="none"/>
        </w:rPr>
        <w:tab/>
      </w:r>
      <w:r>
        <w:rPr>
          <w:rFonts w:hint="eastAsia" w:ascii="宋体" w:hAnsi="宋体" w:eastAsia="宋体" w:cs="宋体"/>
          <w:color w:val="auto"/>
          <w:sz w:val="21"/>
          <w:szCs w:val="21"/>
          <w:highlight w:val="none"/>
        </w:rPr>
        <w:t>传真：</w:t>
      </w:r>
    </w:p>
    <w:p>
      <w:pPr>
        <w:rPr>
          <w:rFonts w:hint="eastAsia" w:ascii="宋体" w:hAnsi="宋体" w:eastAsia="宋体" w:cs="宋体"/>
          <w:color w:val="auto"/>
          <w:highlight w:val="none"/>
        </w:rPr>
        <w:sectPr>
          <w:pgSz w:w="11900" w:h="16838"/>
          <w:pgMar w:top="1440" w:right="1440" w:bottom="401" w:left="1440" w:header="567" w:footer="567" w:gutter="0"/>
          <w:cols w:equalWidth="0" w:num="1">
            <w:col w:w="9026"/>
          </w:cols>
        </w:sectPr>
      </w:pPr>
    </w:p>
    <w:p>
      <w:pPr>
        <w:spacing w:line="366" w:lineRule="exact"/>
        <w:ind w:right="6"/>
        <w:jc w:val="center"/>
        <w:rPr>
          <w:rFonts w:hint="eastAsia" w:ascii="宋体" w:hAnsi="宋体" w:eastAsia="宋体" w:cs="宋体"/>
          <w:color w:val="auto"/>
          <w:sz w:val="28"/>
          <w:szCs w:val="28"/>
          <w:highlight w:val="none"/>
        </w:rPr>
      </w:pPr>
      <w:bookmarkStart w:id="145" w:name="page51"/>
      <w:bookmarkEnd w:id="145"/>
      <w:r>
        <w:rPr>
          <w:rFonts w:hint="eastAsia" w:ascii="宋体" w:hAnsi="宋体" w:eastAsia="宋体" w:cs="宋体"/>
          <w:b/>
          <w:bCs/>
          <w:color w:val="auto"/>
          <w:sz w:val="28"/>
          <w:szCs w:val="28"/>
          <w:highlight w:val="none"/>
        </w:rPr>
        <w:t>二、初次报价一览表</w:t>
      </w:r>
    </w:p>
    <w:p>
      <w:pPr>
        <w:spacing w:line="252" w:lineRule="exact"/>
        <w:rPr>
          <w:rFonts w:hint="eastAsia" w:ascii="宋体" w:hAnsi="宋体" w:eastAsia="宋体" w:cs="宋体"/>
          <w:color w:val="auto"/>
          <w:sz w:val="20"/>
          <w:szCs w:val="20"/>
          <w:highlight w:val="none"/>
        </w:rPr>
      </w:pPr>
    </w:p>
    <w:tbl>
      <w:tblPr>
        <w:tblStyle w:val="19"/>
        <w:tblW w:w="8960" w:type="dxa"/>
        <w:tblInd w:w="50" w:type="dxa"/>
        <w:tblLayout w:type="fixed"/>
        <w:tblCellMar>
          <w:top w:w="0" w:type="dxa"/>
          <w:left w:w="0" w:type="dxa"/>
          <w:bottom w:w="0" w:type="dxa"/>
          <w:right w:w="0" w:type="dxa"/>
        </w:tblCellMar>
      </w:tblPr>
      <w:tblGrid>
        <w:gridCol w:w="1480"/>
        <w:gridCol w:w="520"/>
        <w:gridCol w:w="1460"/>
        <w:gridCol w:w="540"/>
        <w:gridCol w:w="1700"/>
        <w:gridCol w:w="1800"/>
        <w:gridCol w:w="1460"/>
      </w:tblGrid>
      <w:tr>
        <w:tblPrEx>
          <w:tblLayout w:type="fixed"/>
          <w:tblCellMar>
            <w:top w:w="0" w:type="dxa"/>
            <w:left w:w="0" w:type="dxa"/>
            <w:bottom w:w="0" w:type="dxa"/>
            <w:right w:w="0" w:type="dxa"/>
          </w:tblCellMar>
        </w:tblPrEx>
        <w:trPr>
          <w:trHeight w:val="240" w:hRule="atLeast"/>
        </w:trPr>
        <w:tc>
          <w:tcPr>
            <w:tcW w:w="1480" w:type="dxa"/>
            <w:vAlign w:val="bottom"/>
          </w:tcPr>
          <w:p>
            <w:pPr>
              <w:spacing w:line="360" w:lineRule="auto"/>
              <w:ind w:left="32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项目名称：</w:t>
            </w:r>
          </w:p>
        </w:tc>
        <w:tc>
          <w:tcPr>
            <w:tcW w:w="520" w:type="dxa"/>
            <w:tcBorders>
              <w:bottom w:val="single" w:color="auto" w:sz="8" w:space="0"/>
            </w:tcBorders>
            <w:vAlign w:val="bottom"/>
          </w:tcPr>
          <w:p>
            <w:pPr>
              <w:spacing w:line="360" w:lineRule="auto"/>
              <w:rPr>
                <w:rFonts w:hint="eastAsia" w:ascii="宋体" w:hAnsi="宋体" w:eastAsia="宋体" w:cs="宋体"/>
                <w:color w:val="auto"/>
                <w:sz w:val="20"/>
                <w:szCs w:val="20"/>
                <w:highlight w:val="none"/>
              </w:rPr>
            </w:pPr>
          </w:p>
        </w:tc>
        <w:tc>
          <w:tcPr>
            <w:tcW w:w="1460" w:type="dxa"/>
            <w:tcBorders>
              <w:bottom w:val="single" w:color="auto" w:sz="8" w:space="0"/>
            </w:tcBorders>
            <w:vAlign w:val="bottom"/>
          </w:tcPr>
          <w:p>
            <w:pPr>
              <w:spacing w:line="360" w:lineRule="auto"/>
              <w:rPr>
                <w:rFonts w:hint="eastAsia" w:ascii="宋体" w:hAnsi="宋体" w:eastAsia="宋体" w:cs="宋体"/>
                <w:color w:val="auto"/>
                <w:sz w:val="20"/>
                <w:szCs w:val="20"/>
                <w:highlight w:val="none"/>
              </w:rPr>
            </w:pPr>
          </w:p>
        </w:tc>
        <w:tc>
          <w:tcPr>
            <w:tcW w:w="540" w:type="dxa"/>
            <w:vAlign w:val="bottom"/>
          </w:tcPr>
          <w:p>
            <w:pPr>
              <w:spacing w:line="360" w:lineRule="auto"/>
              <w:rPr>
                <w:rFonts w:hint="eastAsia" w:ascii="宋体" w:hAnsi="宋体" w:eastAsia="宋体" w:cs="宋体"/>
                <w:color w:val="auto"/>
                <w:sz w:val="20"/>
                <w:szCs w:val="20"/>
                <w:highlight w:val="none"/>
              </w:rPr>
            </w:pPr>
          </w:p>
        </w:tc>
        <w:tc>
          <w:tcPr>
            <w:tcW w:w="1700" w:type="dxa"/>
            <w:vAlign w:val="bottom"/>
          </w:tcPr>
          <w:p>
            <w:pPr>
              <w:spacing w:line="360" w:lineRule="auto"/>
              <w:rPr>
                <w:rFonts w:hint="eastAsia" w:ascii="宋体" w:hAnsi="宋体" w:eastAsia="宋体" w:cs="宋体"/>
                <w:color w:val="auto"/>
                <w:sz w:val="20"/>
                <w:szCs w:val="20"/>
                <w:highlight w:val="none"/>
              </w:rPr>
            </w:pPr>
          </w:p>
        </w:tc>
        <w:tc>
          <w:tcPr>
            <w:tcW w:w="1800" w:type="dxa"/>
            <w:vAlign w:val="bottom"/>
          </w:tcPr>
          <w:p>
            <w:pPr>
              <w:spacing w:line="360" w:lineRule="auto"/>
              <w:rPr>
                <w:rFonts w:hint="eastAsia" w:ascii="宋体" w:hAnsi="宋体" w:eastAsia="宋体" w:cs="宋体"/>
                <w:color w:val="auto"/>
                <w:sz w:val="20"/>
                <w:szCs w:val="20"/>
                <w:highlight w:val="none"/>
              </w:rPr>
            </w:pPr>
          </w:p>
        </w:tc>
        <w:tc>
          <w:tcPr>
            <w:tcW w:w="1460" w:type="dxa"/>
            <w:vAlign w:val="bottom"/>
          </w:tcPr>
          <w:p>
            <w:pPr>
              <w:spacing w:line="360" w:lineRule="auto"/>
              <w:rPr>
                <w:rFonts w:hint="eastAsia"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388" w:hRule="atLeast"/>
        </w:trPr>
        <w:tc>
          <w:tcPr>
            <w:tcW w:w="1480" w:type="dxa"/>
            <w:vAlign w:val="bottom"/>
          </w:tcPr>
          <w:p>
            <w:pPr>
              <w:spacing w:line="360" w:lineRule="auto"/>
              <w:ind w:left="32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项目编号：</w:t>
            </w:r>
          </w:p>
        </w:tc>
        <w:tc>
          <w:tcPr>
            <w:tcW w:w="520" w:type="dxa"/>
            <w:tcBorders>
              <w:bottom w:val="single" w:color="auto" w:sz="8" w:space="0"/>
            </w:tcBorders>
            <w:vAlign w:val="bottom"/>
          </w:tcPr>
          <w:p>
            <w:pPr>
              <w:spacing w:line="360" w:lineRule="auto"/>
              <w:rPr>
                <w:rFonts w:hint="eastAsia" w:ascii="宋体" w:hAnsi="宋体" w:eastAsia="宋体" w:cs="宋体"/>
                <w:color w:val="auto"/>
                <w:sz w:val="24"/>
                <w:szCs w:val="24"/>
                <w:highlight w:val="none"/>
              </w:rPr>
            </w:pPr>
          </w:p>
        </w:tc>
        <w:tc>
          <w:tcPr>
            <w:tcW w:w="1460" w:type="dxa"/>
            <w:tcBorders>
              <w:bottom w:val="single" w:color="auto" w:sz="8" w:space="0"/>
            </w:tcBorders>
            <w:vAlign w:val="bottom"/>
          </w:tcPr>
          <w:p>
            <w:pPr>
              <w:spacing w:line="360" w:lineRule="auto"/>
              <w:rPr>
                <w:rFonts w:hint="eastAsia" w:ascii="宋体" w:hAnsi="宋体" w:eastAsia="宋体" w:cs="宋体"/>
                <w:color w:val="auto"/>
                <w:sz w:val="24"/>
                <w:szCs w:val="24"/>
                <w:highlight w:val="none"/>
              </w:rPr>
            </w:pPr>
          </w:p>
        </w:tc>
        <w:tc>
          <w:tcPr>
            <w:tcW w:w="540" w:type="dxa"/>
            <w:vAlign w:val="bottom"/>
          </w:tcPr>
          <w:p>
            <w:pPr>
              <w:spacing w:line="360" w:lineRule="auto"/>
              <w:rPr>
                <w:rFonts w:hint="eastAsia" w:ascii="宋体" w:hAnsi="宋体" w:eastAsia="宋体" w:cs="宋体"/>
                <w:color w:val="auto"/>
                <w:sz w:val="24"/>
                <w:szCs w:val="24"/>
                <w:highlight w:val="none"/>
              </w:rPr>
            </w:pPr>
          </w:p>
        </w:tc>
        <w:tc>
          <w:tcPr>
            <w:tcW w:w="1700" w:type="dxa"/>
            <w:vAlign w:val="bottom"/>
          </w:tcPr>
          <w:p>
            <w:pPr>
              <w:spacing w:line="360" w:lineRule="auto"/>
              <w:rPr>
                <w:rFonts w:hint="eastAsia" w:ascii="宋体" w:hAnsi="宋体" w:eastAsia="宋体" w:cs="宋体"/>
                <w:color w:val="auto"/>
                <w:sz w:val="24"/>
                <w:szCs w:val="24"/>
                <w:highlight w:val="none"/>
              </w:rPr>
            </w:pPr>
          </w:p>
        </w:tc>
        <w:tc>
          <w:tcPr>
            <w:tcW w:w="3260" w:type="dxa"/>
            <w:gridSpan w:val="2"/>
            <w:vAlign w:val="bottom"/>
          </w:tcPr>
          <w:p>
            <w:pPr>
              <w:spacing w:line="360" w:lineRule="auto"/>
              <w:ind w:left="5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（价格单位：元人民币）</w:t>
            </w:r>
          </w:p>
        </w:tc>
      </w:tr>
      <w:tr>
        <w:tblPrEx>
          <w:tblLayout w:type="fixed"/>
          <w:tblCellMar>
            <w:top w:w="0" w:type="dxa"/>
            <w:left w:w="0" w:type="dxa"/>
            <w:bottom w:w="0" w:type="dxa"/>
            <w:right w:w="0" w:type="dxa"/>
          </w:tblCellMar>
        </w:tblPrEx>
        <w:trPr>
          <w:trHeight w:val="155" w:hRule="atLeast"/>
        </w:trPr>
        <w:tc>
          <w:tcPr>
            <w:tcW w:w="1480" w:type="dxa"/>
            <w:tcBorders>
              <w:bottom w:val="single" w:color="auto" w:sz="8" w:space="0"/>
            </w:tcBorders>
            <w:vAlign w:val="bottom"/>
          </w:tcPr>
          <w:p>
            <w:pPr>
              <w:spacing w:line="360" w:lineRule="auto"/>
              <w:rPr>
                <w:rFonts w:hint="eastAsia" w:ascii="宋体" w:hAnsi="宋体" w:eastAsia="宋体" w:cs="宋体"/>
                <w:color w:val="auto"/>
                <w:sz w:val="13"/>
                <w:szCs w:val="13"/>
                <w:highlight w:val="none"/>
              </w:rPr>
            </w:pPr>
          </w:p>
        </w:tc>
        <w:tc>
          <w:tcPr>
            <w:tcW w:w="520" w:type="dxa"/>
            <w:tcBorders>
              <w:bottom w:val="single" w:color="auto" w:sz="8" w:space="0"/>
            </w:tcBorders>
            <w:vAlign w:val="bottom"/>
          </w:tcPr>
          <w:p>
            <w:pPr>
              <w:spacing w:line="360" w:lineRule="auto"/>
              <w:rPr>
                <w:rFonts w:hint="eastAsia" w:ascii="宋体" w:hAnsi="宋体" w:eastAsia="宋体" w:cs="宋体"/>
                <w:color w:val="auto"/>
                <w:sz w:val="13"/>
                <w:szCs w:val="13"/>
                <w:highlight w:val="none"/>
              </w:rPr>
            </w:pPr>
          </w:p>
        </w:tc>
        <w:tc>
          <w:tcPr>
            <w:tcW w:w="2000" w:type="dxa"/>
            <w:gridSpan w:val="2"/>
            <w:tcBorders>
              <w:bottom w:val="single" w:color="auto" w:sz="8" w:space="0"/>
            </w:tcBorders>
            <w:vAlign w:val="bottom"/>
          </w:tcPr>
          <w:p>
            <w:pPr>
              <w:spacing w:line="360" w:lineRule="auto"/>
              <w:rPr>
                <w:rFonts w:hint="eastAsia" w:ascii="宋体" w:hAnsi="宋体" w:eastAsia="宋体" w:cs="宋体"/>
                <w:color w:val="auto"/>
                <w:sz w:val="13"/>
                <w:szCs w:val="13"/>
                <w:highlight w:val="none"/>
              </w:rPr>
            </w:pPr>
          </w:p>
        </w:tc>
        <w:tc>
          <w:tcPr>
            <w:tcW w:w="1700" w:type="dxa"/>
            <w:tcBorders>
              <w:bottom w:val="single" w:color="auto" w:sz="8" w:space="0"/>
            </w:tcBorders>
            <w:vAlign w:val="bottom"/>
          </w:tcPr>
          <w:p>
            <w:pPr>
              <w:spacing w:line="360" w:lineRule="auto"/>
              <w:rPr>
                <w:rFonts w:hint="eastAsia" w:ascii="宋体" w:hAnsi="宋体" w:eastAsia="宋体" w:cs="宋体"/>
                <w:color w:val="auto"/>
                <w:sz w:val="13"/>
                <w:szCs w:val="13"/>
                <w:highlight w:val="none"/>
              </w:rPr>
            </w:pPr>
          </w:p>
        </w:tc>
        <w:tc>
          <w:tcPr>
            <w:tcW w:w="1800" w:type="dxa"/>
            <w:tcBorders>
              <w:bottom w:val="single" w:color="auto" w:sz="8" w:space="0"/>
            </w:tcBorders>
            <w:vAlign w:val="bottom"/>
          </w:tcPr>
          <w:p>
            <w:pPr>
              <w:spacing w:line="360" w:lineRule="auto"/>
              <w:rPr>
                <w:rFonts w:hint="eastAsia" w:ascii="宋体" w:hAnsi="宋体" w:eastAsia="宋体" w:cs="宋体"/>
                <w:color w:val="auto"/>
                <w:sz w:val="13"/>
                <w:szCs w:val="13"/>
                <w:highlight w:val="none"/>
              </w:rPr>
            </w:pPr>
          </w:p>
        </w:tc>
        <w:tc>
          <w:tcPr>
            <w:tcW w:w="1460" w:type="dxa"/>
            <w:tcBorders>
              <w:bottom w:val="single" w:color="auto" w:sz="8" w:space="0"/>
            </w:tcBorders>
            <w:vAlign w:val="bottom"/>
          </w:tcPr>
          <w:p>
            <w:pPr>
              <w:spacing w:line="360" w:lineRule="auto"/>
              <w:rPr>
                <w:rFonts w:hint="eastAsia" w:ascii="宋体" w:hAnsi="宋体" w:eastAsia="宋体" w:cs="宋体"/>
                <w:color w:val="auto"/>
                <w:sz w:val="13"/>
                <w:szCs w:val="13"/>
                <w:highlight w:val="none"/>
              </w:rPr>
            </w:pPr>
          </w:p>
        </w:tc>
      </w:tr>
      <w:tr>
        <w:tblPrEx>
          <w:tblLayout w:type="fixed"/>
          <w:tblCellMar>
            <w:top w:w="0" w:type="dxa"/>
            <w:left w:w="0" w:type="dxa"/>
            <w:bottom w:w="0" w:type="dxa"/>
            <w:right w:w="0" w:type="dxa"/>
          </w:tblCellMar>
        </w:tblPrEx>
        <w:trPr>
          <w:trHeight w:val="428" w:hRule="atLeast"/>
        </w:trPr>
        <w:tc>
          <w:tcPr>
            <w:tcW w:w="1480" w:type="dxa"/>
            <w:tcBorders>
              <w:left w:val="single" w:color="auto" w:sz="8" w:space="0"/>
            </w:tcBorders>
            <w:vAlign w:val="bottom"/>
          </w:tcPr>
          <w:p>
            <w:pPr>
              <w:spacing w:line="360" w:lineRule="auto"/>
              <w:ind w:left="58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项目名称</w:t>
            </w:r>
          </w:p>
        </w:tc>
        <w:tc>
          <w:tcPr>
            <w:tcW w:w="520" w:type="dxa"/>
            <w:tcBorders>
              <w:right w:val="single" w:color="auto" w:sz="8" w:space="0"/>
            </w:tcBorders>
            <w:vAlign w:val="bottom"/>
          </w:tcPr>
          <w:p>
            <w:pPr>
              <w:spacing w:line="360" w:lineRule="auto"/>
              <w:rPr>
                <w:rFonts w:hint="eastAsia" w:ascii="宋体" w:hAnsi="宋体" w:eastAsia="宋体" w:cs="宋体"/>
                <w:color w:val="auto"/>
                <w:sz w:val="24"/>
                <w:szCs w:val="24"/>
                <w:highlight w:val="none"/>
              </w:rPr>
            </w:pPr>
          </w:p>
        </w:tc>
        <w:tc>
          <w:tcPr>
            <w:tcW w:w="2000" w:type="dxa"/>
            <w:gridSpan w:val="2"/>
            <w:tcBorders>
              <w:right w:val="single" w:color="auto" w:sz="8" w:space="0"/>
            </w:tcBorders>
            <w:vAlign w:val="bottom"/>
          </w:tcPr>
          <w:p>
            <w:pPr>
              <w:spacing w:line="360" w:lineRule="auto"/>
              <w:ind w:left="24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投标报价（元）</w:t>
            </w:r>
          </w:p>
        </w:tc>
        <w:tc>
          <w:tcPr>
            <w:tcW w:w="1700" w:type="dxa"/>
            <w:tcBorders>
              <w:right w:val="single" w:color="auto" w:sz="8" w:space="0"/>
            </w:tcBorders>
            <w:vAlign w:val="bottom"/>
          </w:tcPr>
          <w:p>
            <w:pPr>
              <w:spacing w:line="360" w:lineRule="auto"/>
              <w:ind w:left="1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工期（日历天）</w:t>
            </w:r>
          </w:p>
        </w:tc>
        <w:tc>
          <w:tcPr>
            <w:tcW w:w="1800" w:type="dxa"/>
            <w:tcBorders>
              <w:right w:val="single" w:color="auto" w:sz="8" w:space="0"/>
            </w:tcBorders>
            <w:vAlign w:val="bottom"/>
          </w:tcPr>
          <w:p>
            <w:pPr>
              <w:spacing w:line="360" w:lineRule="auto"/>
              <w:ind w:left="46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项目经理</w:t>
            </w:r>
          </w:p>
        </w:tc>
        <w:tc>
          <w:tcPr>
            <w:tcW w:w="1460" w:type="dxa"/>
            <w:tcBorders>
              <w:right w:val="single" w:color="auto" w:sz="8" w:space="0"/>
            </w:tcBorders>
            <w:vAlign w:val="bottom"/>
          </w:tcPr>
          <w:p>
            <w:pPr>
              <w:spacing w:line="360" w:lineRule="auto"/>
              <w:ind w:left="3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质量标准</w:t>
            </w:r>
          </w:p>
        </w:tc>
      </w:tr>
      <w:tr>
        <w:tblPrEx>
          <w:tblLayout w:type="fixed"/>
          <w:tblCellMar>
            <w:top w:w="0" w:type="dxa"/>
            <w:left w:w="0" w:type="dxa"/>
            <w:bottom w:w="0" w:type="dxa"/>
            <w:right w:w="0" w:type="dxa"/>
          </w:tblCellMar>
        </w:tblPrEx>
        <w:trPr>
          <w:trHeight w:val="116" w:hRule="atLeast"/>
        </w:trPr>
        <w:tc>
          <w:tcPr>
            <w:tcW w:w="1480" w:type="dxa"/>
            <w:tcBorders>
              <w:left w:val="single" w:color="auto" w:sz="8" w:space="0"/>
              <w:bottom w:val="single" w:color="auto" w:sz="8" w:space="0"/>
            </w:tcBorders>
            <w:vAlign w:val="bottom"/>
          </w:tcPr>
          <w:p>
            <w:pPr>
              <w:spacing w:line="360" w:lineRule="auto"/>
              <w:rPr>
                <w:rFonts w:hint="eastAsia" w:ascii="宋体" w:hAnsi="宋体" w:eastAsia="宋体" w:cs="宋体"/>
                <w:color w:val="auto"/>
                <w:sz w:val="10"/>
                <w:szCs w:val="10"/>
                <w:highlight w:val="none"/>
              </w:rPr>
            </w:pPr>
          </w:p>
        </w:tc>
        <w:tc>
          <w:tcPr>
            <w:tcW w:w="520" w:type="dxa"/>
            <w:tcBorders>
              <w:bottom w:val="single" w:color="auto" w:sz="8" w:space="0"/>
              <w:right w:val="single" w:color="auto" w:sz="8" w:space="0"/>
            </w:tcBorders>
            <w:vAlign w:val="bottom"/>
          </w:tcPr>
          <w:p>
            <w:pPr>
              <w:spacing w:line="360" w:lineRule="auto"/>
              <w:rPr>
                <w:rFonts w:hint="eastAsia" w:ascii="宋体" w:hAnsi="宋体" w:eastAsia="宋体" w:cs="宋体"/>
                <w:color w:val="auto"/>
                <w:sz w:val="10"/>
                <w:szCs w:val="10"/>
                <w:highlight w:val="none"/>
              </w:rPr>
            </w:pPr>
          </w:p>
        </w:tc>
        <w:tc>
          <w:tcPr>
            <w:tcW w:w="1460" w:type="dxa"/>
            <w:tcBorders>
              <w:bottom w:val="single" w:color="auto" w:sz="8" w:space="0"/>
            </w:tcBorders>
            <w:vAlign w:val="bottom"/>
          </w:tcPr>
          <w:p>
            <w:pPr>
              <w:spacing w:line="360" w:lineRule="auto"/>
              <w:rPr>
                <w:rFonts w:hint="eastAsia" w:ascii="宋体" w:hAnsi="宋体" w:eastAsia="宋体" w:cs="宋体"/>
                <w:color w:val="auto"/>
                <w:sz w:val="10"/>
                <w:szCs w:val="10"/>
                <w:highlight w:val="none"/>
              </w:rPr>
            </w:pPr>
          </w:p>
        </w:tc>
        <w:tc>
          <w:tcPr>
            <w:tcW w:w="540" w:type="dxa"/>
            <w:tcBorders>
              <w:bottom w:val="single" w:color="auto" w:sz="8" w:space="0"/>
              <w:right w:val="single" w:color="auto" w:sz="8" w:space="0"/>
            </w:tcBorders>
            <w:vAlign w:val="bottom"/>
          </w:tcPr>
          <w:p>
            <w:pPr>
              <w:spacing w:line="360" w:lineRule="auto"/>
              <w:rPr>
                <w:rFonts w:hint="eastAsia" w:ascii="宋体" w:hAnsi="宋体" w:eastAsia="宋体" w:cs="宋体"/>
                <w:color w:val="auto"/>
                <w:sz w:val="10"/>
                <w:szCs w:val="10"/>
                <w:highlight w:val="none"/>
              </w:rPr>
            </w:pPr>
          </w:p>
        </w:tc>
        <w:tc>
          <w:tcPr>
            <w:tcW w:w="1700" w:type="dxa"/>
            <w:tcBorders>
              <w:bottom w:val="single" w:color="auto" w:sz="8" w:space="0"/>
              <w:right w:val="single" w:color="auto" w:sz="8" w:space="0"/>
            </w:tcBorders>
            <w:vAlign w:val="bottom"/>
          </w:tcPr>
          <w:p>
            <w:pPr>
              <w:spacing w:line="360" w:lineRule="auto"/>
              <w:rPr>
                <w:rFonts w:hint="eastAsia" w:ascii="宋体" w:hAnsi="宋体" w:eastAsia="宋体" w:cs="宋体"/>
                <w:color w:val="auto"/>
                <w:sz w:val="10"/>
                <w:szCs w:val="10"/>
                <w:highlight w:val="none"/>
              </w:rPr>
            </w:pPr>
          </w:p>
        </w:tc>
        <w:tc>
          <w:tcPr>
            <w:tcW w:w="1800" w:type="dxa"/>
            <w:tcBorders>
              <w:bottom w:val="single" w:color="auto" w:sz="8" w:space="0"/>
              <w:right w:val="single" w:color="auto" w:sz="8" w:space="0"/>
            </w:tcBorders>
            <w:vAlign w:val="bottom"/>
          </w:tcPr>
          <w:p>
            <w:pPr>
              <w:spacing w:line="360" w:lineRule="auto"/>
              <w:rPr>
                <w:rFonts w:hint="eastAsia" w:ascii="宋体" w:hAnsi="宋体" w:eastAsia="宋体" w:cs="宋体"/>
                <w:color w:val="auto"/>
                <w:sz w:val="10"/>
                <w:szCs w:val="10"/>
                <w:highlight w:val="none"/>
              </w:rPr>
            </w:pPr>
          </w:p>
        </w:tc>
        <w:tc>
          <w:tcPr>
            <w:tcW w:w="1460" w:type="dxa"/>
            <w:tcBorders>
              <w:bottom w:val="single" w:color="auto" w:sz="8" w:space="0"/>
              <w:right w:val="single" w:color="auto" w:sz="8" w:space="0"/>
            </w:tcBorders>
            <w:vAlign w:val="bottom"/>
          </w:tcPr>
          <w:p>
            <w:pPr>
              <w:spacing w:line="360" w:lineRule="auto"/>
              <w:rPr>
                <w:rFonts w:hint="eastAsia" w:ascii="宋体" w:hAnsi="宋体" w:eastAsia="宋体" w:cs="宋体"/>
                <w:color w:val="auto"/>
                <w:sz w:val="10"/>
                <w:szCs w:val="10"/>
                <w:highlight w:val="none"/>
              </w:rPr>
            </w:pPr>
          </w:p>
        </w:tc>
      </w:tr>
      <w:tr>
        <w:tblPrEx>
          <w:tblLayout w:type="fixed"/>
          <w:tblCellMar>
            <w:top w:w="0" w:type="dxa"/>
            <w:left w:w="0" w:type="dxa"/>
            <w:bottom w:w="0" w:type="dxa"/>
            <w:right w:w="0" w:type="dxa"/>
          </w:tblCellMar>
        </w:tblPrEx>
        <w:trPr>
          <w:trHeight w:val="647" w:hRule="atLeast"/>
        </w:trPr>
        <w:tc>
          <w:tcPr>
            <w:tcW w:w="1480" w:type="dxa"/>
            <w:tcBorders>
              <w:left w:val="single" w:color="auto" w:sz="8" w:space="0"/>
              <w:bottom w:val="single" w:color="auto" w:sz="8" w:space="0"/>
            </w:tcBorders>
            <w:vAlign w:val="bottom"/>
          </w:tcPr>
          <w:p>
            <w:pPr>
              <w:spacing w:line="360" w:lineRule="auto"/>
              <w:rPr>
                <w:rFonts w:hint="eastAsia" w:ascii="宋体" w:hAnsi="宋体" w:eastAsia="宋体" w:cs="宋体"/>
                <w:color w:val="auto"/>
                <w:sz w:val="24"/>
                <w:szCs w:val="24"/>
                <w:highlight w:val="none"/>
              </w:rPr>
            </w:pPr>
          </w:p>
        </w:tc>
        <w:tc>
          <w:tcPr>
            <w:tcW w:w="520" w:type="dxa"/>
            <w:tcBorders>
              <w:bottom w:val="single" w:color="auto" w:sz="8" w:space="0"/>
              <w:right w:val="single" w:color="auto" w:sz="8" w:space="0"/>
            </w:tcBorders>
            <w:vAlign w:val="bottom"/>
          </w:tcPr>
          <w:p>
            <w:pPr>
              <w:spacing w:line="360" w:lineRule="auto"/>
              <w:rPr>
                <w:rFonts w:hint="eastAsia" w:ascii="宋体" w:hAnsi="宋体" w:eastAsia="宋体" w:cs="宋体"/>
                <w:color w:val="auto"/>
                <w:sz w:val="24"/>
                <w:szCs w:val="24"/>
                <w:highlight w:val="none"/>
              </w:rPr>
            </w:pPr>
          </w:p>
        </w:tc>
        <w:tc>
          <w:tcPr>
            <w:tcW w:w="1460" w:type="dxa"/>
            <w:tcBorders>
              <w:bottom w:val="single" w:color="auto" w:sz="8" w:space="0"/>
            </w:tcBorders>
            <w:vAlign w:val="bottom"/>
          </w:tcPr>
          <w:p>
            <w:pPr>
              <w:spacing w:line="360" w:lineRule="auto"/>
              <w:rPr>
                <w:rFonts w:hint="eastAsia" w:ascii="宋体" w:hAnsi="宋体" w:eastAsia="宋体" w:cs="宋体"/>
                <w:color w:val="auto"/>
                <w:sz w:val="24"/>
                <w:szCs w:val="24"/>
                <w:highlight w:val="none"/>
              </w:rPr>
            </w:pPr>
          </w:p>
        </w:tc>
        <w:tc>
          <w:tcPr>
            <w:tcW w:w="540" w:type="dxa"/>
            <w:tcBorders>
              <w:bottom w:val="single" w:color="auto" w:sz="8" w:space="0"/>
              <w:right w:val="single" w:color="auto" w:sz="8" w:space="0"/>
            </w:tcBorders>
            <w:vAlign w:val="bottom"/>
          </w:tcPr>
          <w:p>
            <w:pPr>
              <w:spacing w:line="360" w:lineRule="auto"/>
              <w:rPr>
                <w:rFonts w:hint="eastAsia" w:ascii="宋体" w:hAnsi="宋体" w:eastAsia="宋体" w:cs="宋体"/>
                <w:color w:val="auto"/>
                <w:sz w:val="24"/>
                <w:szCs w:val="24"/>
                <w:highlight w:val="none"/>
              </w:rPr>
            </w:pPr>
          </w:p>
        </w:tc>
        <w:tc>
          <w:tcPr>
            <w:tcW w:w="1700" w:type="dxa"/>
            <w:tcBorders>
              <w:bottom w:val="single" w:color="auto" w:sz="8" w:space="0"/>
              <w:right w:val="single" w:color="auto" w:sz="8" w:space="0"/>
            </w:tcBorders>
            <w:vAlign w:val="bottom"/>
          </w:tcPr>
          <w:p>
            <w:pPr>
              <w:spacing w:line="360" w:lineRule="auto"/>
              <w:rPr>
                <w:rFonts w:hint="eastAsia" w:ascii="宋体" w:hAnsi="宋体" w:eastAsia="宋体" w:cs="宋体"/>
                <w:color w:val="auto"/>
                <w:sz w:val="24"/>
                <w:szCs w:val="24"/>
                <w:highlight w:val="none"/>
              </w:rPr>
            </w:pPr>
          </w:p>
        </w:tc>
        <w:tc>
          <w:tcPr>
            <w:tcW w:w="1800" w:type="dxa"/>
            <w:tcBorders>
              <w:bottom w:val="single" w:color="auto" w:sz="8" w:space="0"/>
              <w:right w:val="single" w:color="auto" w:sz="8" w:space="0"/>
            </w:tcBorders>
            <w:vAlign w:val="bottom"/>
          </w:tcPr>
          <w:p>
            <w:pPr>
              <w:spacing w:line="360" w:lineRule="auto"/>
              <w:rPr>
                <w:rFonts w:hint="eastAsia" w:ascii="宋体" w:hAnsi="宋体" w:eastAsia="宋体" w:cs="宋体"/>
                <w:color w:val="auto"/>
                <w:sz w:val="24"/>
                <w:szCs w:val="24"/>
                <w:highlight w:val="none"/>
              </w:rPr>
            </w:pPr>
          </w:p>
        </w:tc>
        <w:tc>
          <w:tcPr>
            <w:tcW w:w="1460" w:type="dxa"/>
            <w:tcBorders>
              <w:bottom w:val="single" w:color="auto" w:sz="8" w:space="0"/>
              <w:right w:val="single" w:color="auto" w:sz="8" w:space="0"/>
            </w:tcBorders>
            <w:vAlign w:val="bottom"/>
          </w:tcPr>
          <w:p>
            <w:pPr>
              <w:spacing w:line="360" w:lineRule="auto"/>
              <w:rPr>
                <w:rFonts w:hint="eastAsia" w:ascii="宋体" w:hAnsi="宋体" w:eastAsia="宋体" w:cs="宋体"/>
                <w:color w:val="auto"/>
                <w:sz w:val="24"/>
                <w:szCs w:val="24"/>
                <w:highlight w:val="none"/>
              </w:rPr>
            </w:pPr>
          </w:p>
        </w:tc>
      </w:tr>
    </w:tbl>
    <w:p>
      <w:pPr>
        <w:spacing w:line="360" w:lineRule="auto"/>
        <w:ind w:left="460"/>
        <w:rPr>
          <w:rFonts w:hint="eastAsia" w:ascii="宋体" w:hAnsi="宋体" w:eastAsia="宋体" w:cs="宋体"/>
          <w:color w:val="auto"/>
          <w:sz w:val="21"/>
          <w:szCs w:val="21"/>
          <w:highlight w:val="none"/>
        </w:rPr>
      </w:pPr>
    </w:p>
    <w:p>
      <w:pPr>
        <w:spacing w:line="360" w:lineRule="auto"/>
        <w:ind w:left="46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注：大写金额与小写金额不一致时，以大写金额为准。</w:t>
      </w:r>
    </w:p>
    <w:p>
      <w:pPr>
        <w:spacing w:line="360" w:lineRule="auto"/>
        <w:rPr>
          <w:rFonts w:hint="eastAsia" w:ascii="宋体" w:hAnsi="宋体" w:eastAsia="宋体" w:cs="宋体"/>
          <w:color w:val="auto"/>
          <w:sz w:val="20"/>
          <w:szCs w:val="20"/>
          <w:highlight w:val="none"/>
        </w:rPr>
      </w:pPr>
    </w:p>
    <w:p>
      <w:pPr>
        <w:spacing w:line="360" w:lineRule="auto"/>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18" w:lineRule="exact"/>
        <w:rPr>
          <w:rFonts w:hint="eastAsia" w:ascii="宋体" w:hAnsi="宋体" w:eastAsia="宋体" w:cs="宋体"/>
          <w:color w:val="auto"/>
          <w:sz w:val="20"/>
          <w:szCs w:val="20"/>
          <w:highlight w:val="none"/>
        </w:rPr>
      </w:pPr>
    </w:p>
    <w:p>
      <w:pPr>
        <w:spacing w:line="240" w:lineRule="exact"/>
        <w:ind w:left="78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供应商全称（盖单位公章）：</w:t>
      </w:r>
    </w:p>
    <w:p>
      <w:pPr>
        <w:spacing w:line="168" w:lineRule="exact"/>
        <w:rPr>
          <w:rFonts w:hint="eastAsia" w:ascii="宋体" w:hAnsi="宋体" w:eastAsia="宋体" w:cs="宋体"/>
          <w:color w:val="auto"/>
          <w:sz w:val="20"/>
          <w:szCs w:val="20"/>
          <w:highlight w:val="none"/>
        </w:rPr>
      </w:pPr>
    </w:p>
    <w:p>
      <w:pPr>
        <w:spacing w:line="240" w:lineRule="exact"/>
        <w:ind w:left="78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响应文件签署人（签字或盖章）：</w:t>
      </w:r>
    </w:p>
    <w:p>
      <w:pPr>
        <w:spacing w:line="168" w:lineRule="exact"/>
        <w:rPr>
          <w:rFonts w:hint="eastAsia" w:ascii="宋体" w:hAnsi="宋体" w:eastAsia="宋体" w:cs="宋体"/>
          <w:color w:val="auto"/>
          <w:sz w:val="20"/>
          <w:szCs w:val="20"/>
          <w:highlight w:val="none"/>
        </w:rPr>
      </w:pPr>
    </w:p>
    <w:p>
      <w:pPr>
        <w:spacing w:line="240" w:lineRule="exact"/>
        <w:ind w:left="78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日期：</w:t>
      </w:r>
    </w:p>
    <w:p>
      <w:pPr>
        <w:spacing w:line="200" w:lineRule="exact"/>
        <w:rPr>
          <w:rFonts w:hint="eastAsia" w:ascii="宋体" w:hAnsi="宋体" w:eastAsia="宋体" w:cs="宋体"/>
          <w:color w:val="auto"/>
          <w:sz w:val="20"/>
          <w:szCs w:val="20"/>
          <w:highlight w:val="none"/>
        </w:rPr>
      </w:pPr>
    </w:p>
    <w:p>
      <w:pPr>
        <w:rPr>
          <w:rFonts w:hint="eastAsia" w:ascii="宋体" w:hAnsi="宋体" w:eastAsia="宋体" w:cs="宋体"/>
          <w:color w:val="auto"/>
          <w:highlight w:val="none"/>
        </w:rPr>
        <w:sectPr>
          <w:pgSz w:w="11900" w:h="16838"/>
          <w:pgMar w:top="1440" w:right="1440" w:bottom="401" w:left="1440" w:header="567" w:footer="567" w:gutter="0"/>
          <w:cols w:equalWidth="0" w:num="1">
            <w:col w:w="9026"/>
          </w:cols>
        </w:sectPr>
      </w:pPr>
    </w:p>
    <w:p>
      <w:pPr>
        <w:spacing w:line="360" w:lineRule="auto"/>
        <w:jc w:val="center"/>
        <w:rPr>
          <w:rFonts w:hint="eastAsia" w:ascii="宋体" w:hAnsi="宋体" w:eastAsia="宋体" w:cs="宋体"/>
          <w:color w:val="auto"/>
          <w:sz w:val="28"/>
          <w:szCs w:val="28"/>
          <w:highlight w:val="none"/>
        </w:rPr>
      </w:pPr>
      <w:bookmarkStart w:id="146" w:name="page52"/>
      <w:bookmarkEnd w:id="146"/>
      <w:r>
        <w:rPr>
          <w:rFonts w:hint="eastAsia" w:ascii="宋体" w:hAnsi="宋体" w:eastAsia="宋体" w:cs="宋体"/>
          <w:b/>
          <w:bCs/>
          <w:color w:val="auto"/>
          <w:sz w:val="28"/>
          <w:szCs w:val="28"/>
          <w:highlight w:val="none"/>
        </w:rPr>
        <w:t>三、</w:t>
      </w:r>
      <w:r>
        <w:rPr>
          <w:rFonts w:hint="eastAsia" w:ascii="宋体" w:hAnsi="宋体" w:eastAsia="宋体" w:cs="宋体"/>
          <w:b/>
          <w:color w:val="auto"/>
          <w:sz w:val="28"/>
          <w:szCs w:val="28"/>
          <w:highlight w:val="none"/>
        </w:rPr>
        <w:t>已标价工程量清单报价表格式</w:t>
      </w:r>
    </w:p>
    <w:p>
      <w:pPr>
        <w:spacing w:line="150" w:lineRule="exact"/>
        <w:rPr>
          <w:rFonts w:hint="eastAsia" w:ascii="宋体" w:hAnsi="宋体" w:eastAsia="宋体" w:cs="宋体"/>
          <w:color w:val="auto"/>
          <w:sz w:val="20"/>
          <w:szCs w:val="20"/>
          <w:highlight w:val="none"/>
        </w:rPr>
      </w:pPr>
    </w:p>
    <w:p>
      <w:pPr>
        <w:spacing w:line="240" w:lineRule="exact"/>
        <w:ind w:left="4160"/>
        <w:rPr>
          <w:rFonts w:hint="eastAsia" w:ascii="宋体" w:hAnsi="宋体" w:eastAsia="宋体" w:cs="宋体"/>
          <w:b/>
          <w:bCs/>
          <w:color w:val="auto"/>
          <w:sz w:val="21"/>
          <w:szCs w:val="21"/>
          <w:highlight w:val="none"/>
        </w:rPr>
      </w:pPr>
    </w:p>
    <w:p>
      <w:pPr>
        <w:spacing w:line="360" w:lineRule="auto"/>
        <w:jc w:val="center"/>
        <w:rPr>
          <w:rFonts w:hint="eastAsia" w:ascii="宋体" w:hAnsi="宋体" w:eastAsia="宋体" w:cs="宋体"/>
          <w:b/>
          <w:bCs/>
          <w:color w:val="auto"/>
          <w:sz w:val="28"/>
          <w:szCs w:val="28"/>
          <w:highlight w:val="none"/>
        </w:rPr>
      </w:pPr>
      <w:bookmarkStart w:id="147" w:name="_Toc26372_WPSOffice_Level2"/>
      <w:r>
        <w:rPr>
          <w:rFonts w:hint="eastAsia" w:ascii="宋体" w:hAnsi="宋体" w:eastAsia="宋体" w:cs="宋体"/>
          <w:b/>
          <w:bCs/>
          <w:color w:val="auto"/>
          <w:sz w:val="28"/>
          <w:szCs w:val="28"/>
          <w:highlight w:val="none"/>
        </w:rPr>
        <w:t>（具体请按照《浙江省建设工程计价规则》（</w:t>
      </w:r>
      <w:r>
        <w:rPr>
          <w:rFonts w:hint="eastAsia" w:ascii="宋体" w:hAnsi="宋体" w:eastAsia="宋体" w:cs="宋体"/>
          <w:b/>
          <w:bCs/>
          <w:color w:val="auto"/>
          <w:sz w:val="28"/>
          <w:szCs w:val="28"/>
          <w:highlight w:val="none"/>
        </w:rPr>
        <w:t>2018</w:t>
      </w:r>
      <w:r>
        <w:rPr>
          <w:rFonts w:hint="eastAsia" w:ascii="宋体" w:hAnsi="宋体" w:eastAsia="宋体" w:cs="宋体"/>
          <w:b/>
          <w:bCs/>
          <w:color w:val="auto"/>
          <w:sz w:val="28"/>
          <w:szCs w:val="28"/>
          <w:highlight w:val="none"/>
        </w:rPr>
        <w:t>版）投标报价格式编制）</w:t>
      </w:r>
      <w:bookmarkEnd w:id="147"/>
    </w:p>
    <w:p>
      <w:pPr>
        <w:spacing w:line="200" w:lineRule="exact"/>
        <w:rPr>
          <w:rFonts w:hint="eastAsia" w:ascii="宋体" w:hAnsi="宋体" w:eastAsia="宋体" w:cs="宋体"/>
          <w:color w:val="auto"/>
          <w:sz w:val="20"/>
          <w:szCs w:val="20"/>
          <w:highlight w:val="none"/>
        </w:rPr>
      </w:pPr>
    </w:p>
    <w:p>
      <w:pPr>
        <w:snapToGrid w:val="0"/>
        <w:spacing w:line="300" w:lineRule="exact"/>
        <w:rPr>
          <w:rFonts w:hint="eastAsia" w:ascii="宋体" w:hAnsi="宋体" w:eastAsia="宋体" w:cs="宋体"/>
          <w:bCs/>
          <w:color w:val="auto"/>
          <w:kern w:val="10"/>
          <w:sz w:val="21"/>
          <w:szCs w:val="21"/>
          <w:highlight w:val="none"/>
          <w:u w:val="single"/>
        </w:rPr>
      </w:pPr>
      <w:r>
        <w:rPr>
          <w:rFonts w:hint="eastAsia" w:ascii="宋体" w:hAnsi="宋体" w:eastAsia="宋体" w:cs="宋体"/>
          <w:b/>
          <w:bCs/>
          <w:color w:val="auto"/>
          <w:sz w:val="21"/>
          <w:szCs w:val="21"/>
          <w:highlight w:val="none"/>
        </w:rPr>
        <w:t>▲</w:t>
      </w:r>
      <w:r>
        <w:rPr>
          <w:rFonts w:hint="eastAsia" w:ascii="宋体" w:hAnsi="宋体" w:eastAsia="宋体" w:cs="宋体"/>
          <w:b/>
          <w:color w:val="auto"/>
          <w:sz w:val="21"/>
          <w:szCs w:val="21"/>
          <w:highlight w:val="none"/>
        </w:rPr>
        <w:t>造价人员签字及盖章要求：</w:t>
      </w:r>
      <w:r>
        <w:rPr>
          <w:rFonts w:hint="eastAsia" w:ascii="宋体" w:hAnsi="宋体" w:eastAsia="宋体" w:cs="宋体"/>
          <w:bCs/>
          <w:color w:val="auto"/>
          <w:kern w:val="10"/>
          <w:sz w:val="21"/>
          <w:szCs w:val="21"/>
          <w:highlight w:val="none"/>
          <w:u w:val="single"/>
        </w:rPr>
        <w:t>根据国家住建部、省级造价主管部门对造价从业人员执业管理的相关法律法规规定以及国标计价规范的规定，报价的编制必须遵守以下规定：</w:t>
      </w:r>
    </w:p>
    <w:p>
      <w:pPr>
        <w:snapToGrid w:val="0"/>
        <w:spacing w:line="300" w:lineRule="exact"/>
        <w:rPr>
          <w:rFonts w:hint="eastAsia" w:ascii="宋体" w:hAnsi="宋体" w:eastAsia="宋体" w:cs="宋体"/>
          <w:bCs/>
          <w:color w:val="auto"/>
          <w:kern w:val="10"/>
          <w:sz w:val="21"/>
          <w:szCs w:val="21"/>
          <w:highlight w:val="none"/>
          <w:u w:val="single"/>
        </w:rPr>
      </w:pPr>
      <w:r>
        <w:rPr>
          <w:rFonts w:hint="eastAsia" w:ascii="宋体" w:hAnsi="宋体" w:eastAsia="宋体" w:cs="宋体"/>
          <w:bCs/>
          <w:color w:val="auto"/>
          <w:kern w:val="10"/>
          <w:sz w:val="21"/>
          <w:szCs w:val="21"/>
          <w:highlight w:val="none"/>
          <w:u w:val="single"/>
        </w:rPr>
        <w:t>（</w:t>
      </w:r>
      <w:r>
        <w:rPr>
          <w:rFonts w:hint="eastAsia" w:ascii="宋体" w:hAnsi="宋体" w:eastAsia="宋体" w:cs="宋体"/>
          <w:bCs/>
          <w:color w:val="auto"/>
          <w:kern w:val="10"/>
          <w:sz w:val="21"/>
          <w:szCs w:val="21"/>
          <w:highlight w:val="none"/>
          <w:u w:val="single"/>
        </w:rPr>
        <w:t>1</w:t>
      </w:r>
      <w:r>
        <w:rPr>
          <w:rFonts w:hint="eastAsia" w:ascii="宋体" w:hAnsi="宋体" w:eastAsia="宋体" w:cs="宋体"/>
          <w:bCs/>
          <w:color w:val="auto"/>
          <w:kern w:val="10"/>
          <w:sz w:val="21"/>
          <w:szCs w:val="21"/>
          <w:highlight w:val="none"/>
          <w:u w:val="single"/>
        </w:rPr>
        <w:t>）报价应由供应商或受其委托具有相应资质的工程造价咨询人编制。供应商委托具有相应资质的工程造价咨询人编制报价书的，响应文件中应附情况说明、委托编制报价的咨询合同书及工程造价咨询人的咨询资质等级证书等。</w:t>
      </w:r>
    </w:p>
    <w:p>
      <w:pPr>
        <w:snapToGrid w:val="0"/>
        <w:spacing w:line="300" w:lineRule="exact"/>
        <w:rPr>
          <w:rFonts w:hint="eastAsia" w:ascii="宋体" w:hAnsi="宋体" w:eastAsia="宋体" w:cs="宋体"/>
          <w:bCs/>
          <w:color w:val="auto"/>
          <w:kern w:val="10"/>
          <w:sz w:val="21"/>
          <w:szCs w:val="21"/>
          <w:highlight w:val="none"/>
          <w:u w:val="single"/>
        </w:rPr>
      </w:pPr>
      <w:r>
        <w:rPr>
          <w:rFonts w:hint="eastAsia" w:ascii="宋体" w:hAnsi="宋体" w:eastAsia="宋体" w:cs="宋体"/>
          <w:bCs/>
          <w:color w:val="auto"/>
          <w:kern w:val="10"/>
          <w:sz w:val="21"/>
          <w:szCs w:val="21"/>
          <w:highlight w:val="none"/>
          <w:u w:val="single"/>
        </w:rPr>
        <w:t>（</w:t>
      </w:r>
      <w:r>
        <w:rPr>
          <w:rFonts w:hint="eastAsia" w:ascii="宋体" w:hAnsi="宋体" w:eastAsia="宋体" w:cs="宋体"/>
          <w:bCs/>
          <w:color w:val="auto"/>
          <w:kern w:val="10"/>
          <w:sz w:val="21"/>
          <w:szCs w:val="21"/>
          <w:highlight w:val="none"/>
          <w:u w:val="single"/>
        </w:rPr>
        <w:t>2</w:t>
      </w:r>
      <w:r>
        <w:rPr>
          <w:rFonts w:hint="eastAsia" w:ascii="宋体" w:hAnsi="宋体" w:eastAsia="宋体" w:cs="宋体"/>
          <w:bCs/>
          <w:color w:val="auto"/>
          <w:kern w:val="10"/>
          <w:sz w:val="21"/>
          <w:szCs w:val="21"/>
          <w:highlight w:val="none"/>
          <w:u w:val="single"/>
        </w:rPr>
        <w:t>）如报价由供应商编制，编制人员必须是在编制单位注册的造价工程师，并由其签字并盖执业专用章；</w:t>
      </w:r>
    </w:p>
    <w:p>
      <w:pPr>
        <w:snapToGrid w:val="0"/>
        <w:spacing w:line="300" w:lineRule="exact"/>
        <w:rPr>
          <w:rFonts w:hint="eastAsia" w:ascii="宋体" w:hAnsi="宋体" w:eastAsia="宋体" w:cs="宋体"/>
          <w:bCs/>
          <w:color w:val="auto"/>
          <w:kern w:val="10"/>
          <w:sz w:val="21"/>
          <w:szCs w:val="21"/>
          <w:highlight w:val="none"/>
          <w:u w:val="single"/>
        </w:rPr>
      </w:pPr>
      <w:r>
        <w:rPr>
          <w:rFonts w:hint="eastAsia" w:ascii="宋体" w:hAnsi="宋体" w:eastAsia="宋体" w:cs="宋体"/>
          <w:bCs/>
          <w:color w:val="auto"/>
          <w:kern w:val="10"/>
          <w:sz w:val="21"/>
          <w:szCs w:val="21"/>
          <w:highlight w:val="none"/>
          <w:u w:val="single"/>
        </w:rPr>
        <w:t>（</w:t>
      </w:r>
      <w:r>
        <w:rPr>
          <w:rFonts w:hint="eastAsia" w:ascii="宋体" w:hAnsi="宋体" w:eastAsia="宋体" w:cs="宋体"/>
          <w:bCs/>
          <w:color w:val="auto"/>
          <w:kern w:val="10"/>
          <w:sz w:val="21"/>
          <w:szCs w:val="21"/>
          <w:highlight w:val="none"/>
          <w:u w:val="single"/>
        </w:rPr>
        <w:t>3</w:t>
      </w:r>
      <w:r>
        <w:rPr>
          <w:rFonts w:hint="eastAsia" w:ascii="宋体" w:hAnsi="宋体" w:eastAsia="宋体" w:cs="宋体"/>
          <w:bCs/>
          <w:color w:val="auto"/>
          <w:kern w:val="10"/>
          <w:sz w:val="21"/>
          <w:szCs w:val="21"/>
          <w:highlight w:val="none"/>
          <w:u w:val="single"/>
        </w:rPr>
        <w:t>）如报价由供应商委托具有相应资质的工程造价咨询人编制的，编制人员必须是在编制单位注册的造价工程师，并由编制人员签字和盖执业专用章，且由本单位其他注册造价工程师复核，在成果文件相应位置签字并盖执业专用章；</w:t>
      </w:r>
    </w:p>
    <w:p>
      <w:pPr>
        <w:snapToGrid w:val="0"/>
        <w:spacing w:line="300" w:lineRule="exact"/>
        <w:rPr>
          <w:rFonts w:hint="eastAsia" w:ascii="宋体" w:hAnsi="宋体" w:eastAsia="宋体" w:cs="宋体"/>
          <w:bCs/>
          <w:color w:val="auto"/>
          <w:kern w:val="10"/>
          <w:sz w:val="21"/>
          <w:szCs w:val="21"/>
          <w:highlight w:val="none"/>
          <w:u w:val="single"/>
        </w:rPr>
      </w:pPr>
      <w:r>
        <w:rPr>
          <w:rFonts w:hint="eastAsia" w:ascii="宋体" w:hAnsi="宋体" w:eastAsia="宋体" w:cs="宋体"/>
          <w:bCs/>
          <w:color w:val="auto"/>
          <w:kern w:val="10"/>
          <w:sz w:val="21"/>
          <w:szCs w:val="21"/>
          <w:highlight w:val="none"/>
          <w:u w:val="single"/>
        </w:rPr>
        <w:t>（</w:t>
      </w:r>
      <w:r>
        <w:rPr>
          <w:rFonts w:hint="eastAsia" w:ascii="宋体" w:hAnsi="宋体" w:eastAsia="宋体" w:cs="宋体"/>
          <w:bCs/>
          <w:color w:val="auto"/>
          <w:kern w:val="10"/>
          <w:sz w:val="21"/>
          <w:szCs w:val="21"/>
          <w:highlight w:val="none"/>
          <w:u w:val="single"/>
        </w:rPr>
        <w:t>4</w:t>
      </w:r>
      <w:r>
        <w:rPr>
          <w:rFonts w:hint="eastAsia" w:ascii="宋体" w:hAnsi="宋体" w:eastAsia="宋体" w:cs="宋体"/>
          <w:bCs/>
          <w:color w:val="auto"/>
          <w:kern w:val="10"/>
          <w:sz w:val="21"/>
          <w:szCs w:val="21"/>
          <w:highlight w:val="none"/>
          <w:u w:val="single"/>
        </w:rPr>
        <w:t>）报价文件不得由供应商的造价人员和受委托的咨询公司的造价人员混合编审，报价文件封面所盖的造价工程师只能是同一单位人员；</w:t>
      </w:r>
    </w:p>
    <w:p>
      <w:pPr>
        <w:spacing w:line="296" w:lineRule="exact"/>
        <w:rPr>
          <w:rFonts w:hint="eastAsia" w:ascii="宋体" w:hAnsi="宋体" w:eastAsia="宋体" w:cs="宋体"/>
          <w:color w:val="auto"/>
          <w:sz w:val="20"/>
          <w:szCs w:val="20"/>
          <w:highlight w:val="none"/>
          <w:u w:val="single"/>
        </w:rPr>
      </w:pPr>
      <w:r>
        <w:rPr>
          <w:rFonts w:hint="eastAsia" w:ascii="宋体" w:hAnsi="宋体" w:eastAsia="宋体" w:cs="宋体"/>
          <w:bCs/>
          <w:color w:val="auto"/>
          <w:kern w:val="10"/>
          <w:sz w:val="21"/>
          <w:szCs w:val="21"/>
          <w:highlight w:val="none"/>
          <w:u w:val="single"/>
        </w:rPr>
        <w:t>工程造价咨询人不得同时接受采购人和供应商对同一工程的控制价和报价的编制。</w:t>
      </w:r>
    </w:p>
    <w:p>
      <w:pPr>
        <w:spacing w:line="366" w:lineRule="exact"/>
        <w:jc w:val="center"/>
        <w:rPr>
          <w:rFonts w:hint="eastAsia" w:ascii="宋体" w:hAnsi="宋体" w:eastAsia="宋体" w:cs="宋体"/>
          <w:b/>
          <w:bCs/>
          <w:color w:val="auto"/>
          <w:sz w:val="28"/>
          <w:szCs w:val="28"/>
          <w:highlight w:val="none"/>
        </w:rPr>
      </w:pPr>
      <w:bookmarkStart w:id="148" w:name="page73"/>
      <w:bookmarkEnd w:id="148"/>
    </w:p>
    <w:p>
      <w:pPr>
        <w:spacing w:line="366" w:lineRule="exact"/>
        <w:jc w:val="center"/>
        <w:rPr>
          <w:rFonts w:hint="eastAsia" w:ascii="宋体" w:hAnsi="宋体" w:eastAsia="宋体" w:cs="宋体"/>
          <w:b/>
          <w:bCs/>
          <w:color w:val="auto"/>
          <w:sz w:val="28"/>
          <w:szCs w:val="28"/>
          <w:highlight w:val="none"/>
        </w:rPr>
      </w:pPr>
    </w:p>
    <w:p>
      <w:pPr>
        <w:spacing w:line="366" w:lineRule="exact"/>
        <w:jc w:val="center"/>
        <w:rPr>
          <w:rFonts w:hint="eastAsia" w:ascii="宋体" w:hAnsi="宋体" w:eastAsia="宋体" w:cs="宋体"/>
          <w:b/>
          <w:bCs/>
          <w:color w:val="auto"/>
          <w:sz w:val="28"/>
          <w:szCs w:val="28"/>
          <w:highlight w:val="none"/>
        </w:rPr>
      </w:pPr>
    </w:p>
    <w:p>
      <w:pPr>
        <w:spacing w:line="366" w:lineRule="exact"/>
        <w:jc w:val="center"/>
        <w:rPr>
          <w:rFonts w:hint="eastAsia" w:ascii="宋体" w:hAnsi="宋体" w:eastAsia="宋体" w:cs="宋体"/>
          <w:b/>
          <w:bCs/>
          <w:color w:val="auto"/>
          <w:sz w:val="28"/>
          <w:szCs w:val="28"/>
          <w:highlight w:val="none"/>
        </w:rPr>
        <w:sectPr>
          <w:pgSz w:w="11900" w:h="16838"/>
          <w:pgMar w:top="1440" w:right="1440" w:bottom="158" w:left="1440" w:header="567" w:footer="567" w:gutter="0"/>
          <w:cols w:equalWidth="0" w:num="1">
            <w:col w:w="9026"/>
          </w:cols>
        </w:sectPr>
      </w:pPr>
    </w:p>
    <w:p>
      <w:pPr>
        <w:spacing w:line="366"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四、中小企业（小型、微型）、监狱企业、残疾人福利性单位声明函及其相关的充分的证明材料</w:t>
      </w:r>
    </w:p>
    <w:p>
      <w:pPr>
        <w:spacing w:line="169" w:lineRule="exact"/>
        <w:rPr>
          <w:rFonts w:hint="eastAsia" w:ascii="宋体" w:hAnsi="宋体" w:eastAsia="宋体" w:cs="宋体"/>
          <w:color w:val="auto"/>
          <w:sz w:val="20"/>
          <w:szCs w:val="20"/>
          <w:highlight w:val="none"/>
        </w:rPr>
      </w:pPr>
    </w:p>
    <w:p>
      <w:pPr>
        <w:spacing w:line="366"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中小企业声明函</w:t>
      </w:r>
    </w:p>
    <w:p>
      <w:pPr>
        <w:spacing w:line="259" w:lineRule="exact"/>
        <w:rPr>
          <w:rFonts w:hint="eastAsia" w:ascii="宋体" w:hAnsi="宋体" w:eastAsia="宋体" w:cs="宋体"/>
          <w:color w:val="auto"/>
          <w:sz w:val="24"/>
          <w:szCs w:val="24"/>
          <w:highlight w:val="none"/>
        </w:rPr>
      </w:pPr>
    </w:p>
    <w:p>
      <w:pPr>
        <w:spacing w:line="366"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4"/>
          <w:szCs w:val="24"/>
          <w:highlight w:val="none"/>
        </w:rPr>
        <w:t>（非小微企业不用提供）</w:t>
      </w:r>
    </w:p>
    <w:p>
      <w:pPr>
        <w:spacing w:line="288" w:lineRule="exact"/>
        <w:rPr>
          <w:rFonts w:hint="eastAsia" w:ascii="宋体" w:hAnsi="宋体" w:eastAsia="宋体" w:cs="宋体"/>
          <w:color w:val="auto"/>
          <w:sz w:val="20"/>
          <w:szCs w:val="20"/>
          <w:highlight w:val="none"/>
        </w:rPr>
      </w:pPr>
    </w:p>
    <w:p>
      <w:pPr>
        <w:spacing w:line="342" w:lineRule="exact"/>
        <w:ind w:left="360" w:right="306" w:firstLine="420"/>
        <w:jc w:val="both"/>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本企业郑重声明，根据《政府采购促进中小企业发展暂行办法》（财库</w:t>
      </w:r>
      <w:r>
        <w:rPr>
          <w:rFonts w:hint="eastAsia" w:ascii="宋体" w:hAnsi="宋体" w:eastAsia="宋体" w:cs="宋体"/>
          <w:color w:val="auto"/>
          <w:sz w:val="21"/>
          <w:szCs w:val="21"/>
          <w:highlight w:val="none"/>
        </w:rPr>
        <w:t xml:space="preserve">[2011]181 </w:t>
      </w:r>
      <w:r>
        <w:rPr>
          <w:rFonts w:hint="eastAsia" w:ascii="宋体" w:hAnsi="宋体" w:eastAsia="宋体" w:cs="宋体"/>
          <w:color w:val="auto"/>
          <w:sz w:val="21"/>
          <w:szCs w:val="21"/>
          <w:highlight w:val="none"/>
        </w:rPr>
        <w:t>号）的规定，本企业为（填写行业）（请填写：小型、微型）企业。即，本企业同时满足以下条件：</w:t>
      </w:r>
    </w:p>
    <w:p>
      <w:pPr>
        <w:spacing w:line="203" w:lineRule="exact"/>
        <w:rPr>
          <w:rFonts w:hint="eastAsia" w:ascii="宋体" w:hAnsi="宋体" w:eastAsia="宋体" w:cs="宋体"/>
          <w:color w:val="auto"/>
          <w:sz w:val="20"/>
          <w:szCs w:val="20"/>
          <w:highlight w:val="none"/>
        </w:rPr>
      </w:pPr>
    </w:p>
    <w:p>
      <w:pPr>
        <w:spacing w:line="341" w:lineRule="exact"/>
        <w:ind w:left="360" w:right="346" w:firstLine="420"/>
        <w:jc w:val="both"/>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rPr>
        <w:t>根据《工业和信息化部、国家统计局、国家发展和改革委员会、财政部关于印发中小企业划型标准规定的通知》（工信部联企业</w:t>
      </w:r>
      <w:r>
        <w:rPr>
          <w:rFonts w:hint="eastAsia" w:ascii="宋体" w:hAnsi="宋体" w:eastAsia="宋体" w:cs="宋体"/>
          <w:color w:val="auto"/>
          <w:sz w:val="21"/>
          <w:szCs w:val="21"/>
          <w:highlight w:val="none"/>
        </w:rPr>
        <w:t xml:space="preserve">[2011]300 </w:t>
      </w:r>
      <w:r>
        <w:rPr>
          <w:rFonts w:hint="eastAsia" w:ascii="宋体" w:hAnsi="宋体" w:eastAsia="宋体" w:cs="宋体"/>
          <w:color w:val="auto"/>
          <w:sz w:val="21"/>
          <w:szCs w:val="21"/>
          <w:highlight w:val="none"/>
        </w:rPr>
        <w:t>号）规定的划分标准，本企业为</w:t>
      </w:r>
      <w:r>
        <w:rPr>
          <w:rFonts w:hint="eastAsia" w:ascii="宋体" w:hAnsi="宋体" w:eastAsia="宋体" w:cs="宋体"/>
          <w:color w:val="auto"/>
          <w:sz w:val="21"/>
          <w:szCs w:val="21"/>
          <w:highlight w:val="none"/>
        </w:rPr>
        <w:t>______</w:t>
      </w:r>
      <w:r>
        <w:rPr>
          <w:rFonts w:hint="eastAsia" w:ascii="宋体" w:hAnsi="宋体" w:eastAsia="宋体" w:cs="宋体"/>
          <w:color w:val="auto"/>
          <w:sz w:val="21"/>
          <w:szCs w:val="21"/>
          <w:highlight w:val="none"/>
        </w:rPr>
        <w:t>（请填写：小型、微型）企业。</w:t>
      </w:r>
    </w:p>
    <w:p>
      <w:pPr>
        <w:spacing w:line="203" w:lineRule="exact"/>
        <w:rPr>
          <w:rFonts w:hint="eastAsia" w:ascii="宋体" w:hAnsi="宋体" w:eastAsia="宋体" w:cs="宋体"/>
          <w:color w:val="auto"/>
          <w:sz w:val="20"/>
          <w:szCs w:val="20"/>
          <w:highlight w:val="none"/>
        </w:rPr>
      </w:pPr>
    </w:p>
    <w:p>
      <w:pPr>
        <w:spacing w:line="359" w:lineRule="exact"/>
        <w:ind w:left="360" w:right="266" w:firstLine="420"/>
        <w:jc w:val="both"/>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rPr>
        <w:t>本企业参加</w:t>
      </w:r>
      <w:r>
        <w:rPr>
          <w:rFonts w:hint="eastAsia" w:ascii="宋体" w:hAnsi="宋体" w:eastAsia="宋体" w:cs="宋体"/>
          <w:color w:val="auto"/>
          <w:sz w:val="21"/>
          <w:szCs w:val="21"/>
          <w:highlight w:val="none"/>
        </w:rPr>
        <w:t>______</w:t>
      </w:r>
      <w:r>
        <w:rPr>
          <w:rFonts w:hint="eastAsia" w:ascii="宋体" w:hAnsi="宋体" w:eastAsia="宋体" w:cs="宋体"/>
          <w:color w:val="auto"/>
          <w:sz w:val="21"/>
          <w:szCs w:val="21"/>
          <w:highlight w:val="none"/>
        </w:rPr>
        <w:t>（采购人）的</w:t>
      </w:r>
      <w:r>
        <w:rPr>
          <w:rFonts w:hint="eastAsia" w:ascii="宋体" w:hAnsi="宋体" w:eastAsia="宋体" w:cs="宋体"/>
          <w:color w:val="auto"/>
          <w:sz w:val="21"/>
          <w:szCs w:val="21"/>
          <w:highlight w:val="none"/>
        </w:rPr>
        <w:t>______</w:t>
      </w: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rPr>
        <w:t>______</w:t>
      </w:r>
      <w:r>
        <w:rPr>
          <w:rFonts w:hint="eastAsia" w:ascii="宋体" w:hAnsi="宋体" w:eastAsia="宋体" w:cs="宋体"/>
          <w:color w:val="auto"/>
          <w:sz w:val="21"/>
          <w:szCs w:val="21"/>
          <w:highlight w:val="none"/>
        </w:rPr>
        <w:t>（标项名称）采购活动，所提供的货物为本企业制造的货物，或者由其他</w:t>
      </w:r>
      <w:r>
        <w:rPr>
          <w:rFonts w:hint="eastAsia" w:ascii="宋体" w:hAnsi="宋体" w:eastAsia="宋体" w:cs="宋体"/>
          <w:color w:val="auto"/>
          <w:sz w:val="21"/>
          <w:szCs w:val="21"/>
          <w:highlight w:val="none"/>
        </w:rPr>
        <w:t>______</w:t>
      </w:r>
      <w:r>
        <w:rPr>
          <w:rFonts w:hint="eastAsia" w:ascii="宋体" w:hAnsi="宋体" w:eastAsia="宋体" w:cs="宋体"/>
          <w:color w:val="auto"/>
          <w:sz w:val="21"/>
          <w:szCs w:val="21"/>
          <w:highlight w:val="none"/>
        </w:rPr>
        <w:t>（请填写：小型、微型）企业制造（制造商的中小企业声明函另附）。本项所称货物不包括使用大型企业注册商标的货物及进口货物。</w:t>
      </w:r>
    </w:p>
    <w:p>
      <w:pPr>
        <w:spacing w:line="169" w:lineRule="exact"/>
        <w:rPr>
          <w:rFonts w:hint="eastAsia" w:ascii="宋体" w:hAnsi="宋体" w:eastAsia="宋体" w:cs="宋体"/>
          <w:color w:val="auto"/>
          <w:sz w:val="20"/>
          <w:szCs w:val="20"/>
          <w:highlight w:val="none"/>
        </w:rPr>
      </w:pPr>
    </w:p>
    <w:p>
      <w:pPr>
        <w:spacing w:line="240" w:lineRule="exact"/>
        <w:ind w:left="78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本企业对上述声明的真实性负责。如有虚假，将依法承担相应责任。</w:t>
      </w:r>
    </w:p>
    <w:p>
      <w:pPr>
        <w:spacing w:line="200" w:lineRule="exact"/>
        <w:rPr>
          <w:rFonts w:hint="eastAsia" w:ascii="宋体" w:hAnsi="宋体" w:eastAsia="宋体" w:cs="宋体"/>
          <w:color w:val="auto"/>
          <w:sz w:val="20"/>
          <w:szCs w:val="20"/>
          <w:highlight w:val="none"/>
        </w:rPr>
      </w:pPr>
    </w:p>
    <w:p>
      <w:pPr>
        <w:spacing w:line="379" w:lineRule="exact"/>
        <w:rPr>
          <w:rFonts w:hint="eastAsia" w:ascii="宋体" w:hAnsi="宋体" w:eastAsia="宋体" w:cs="宋体"/>
          <w:color w:val="auto"/>
          <w:sz w:val="20"/>
          <w:szCs w:val="20"/>
          <w:highlight w:val="none"/>
        </w:rPr>
      </w:pPr>
    </w:p>
    <w:p>
      <w:pPr>
        <w:spacing w:line="240" w:lineRule="exact"/>
        <w:ind w:left="78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供应商全称（盖章）：</w:t>
      </w:r>
    </w:p>
    <w:p>
      <w:pPr>
        <w:spacing w:line="168" w:lineRule="exact"/>
        <w:rPr>
          <w:rFonts w:hint="eastAsia" w:ascii="宋体" w:hAnsi="宋体" w:eastAsia="宋体" w:cs="宋体"/>
          <w:color w:val="auto"/>
          <w:sz w:val="20"/>
          <w:szCs w:val="20"/>
          <w:highlight w:val="none"/>
        </w:rPr>
      </w:pPr>
    </w:p>
    <w:p>
      <w:pPr>
        <w:spacing w:line="240" w:lineRule="exact"/>
        <w:ind w:left="78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日期：年月日</w:t>
      </w:r>
    </w:p>
    <w:p>
      <w:pPr>
        <w:spacing w:line="200" w:lineRule="exact"/>
        <w:rPr>
          <w:rFonts w:hint="eastAsia" w:ascii="宋体" w:hAnsi="宋体" w:eastAsia="宋体" w:cs="宋体"/>
          <w:color w:val="auto"/>
          <w:sz w:val="20"/>
          <w:szCs w:val="20"/>
          <w:highlight w:val="none"/>
        </w:rPr>
      </w:pPr>
    </w:p>
    <w:p>
      <w:pPr>
        <w:spacing w:line="376" w:lineRule="exact"/>
        <w:rPr>
          <w:rFonts w:hint="eastAsia" w:ascii="宋体" w:hAnsi="宋体" w:eastAsia="宋体" w:cs="宋体"/>
          <w:color w:val="auto"/>
          <w:sz w:val="20"/>
          <w:szCs w:val="20"/>
          <w:highlight w:val="none"/>
        </w:rPr>
      </w:pPr>
    </w:p>
    <w:p>
      <w:pPr>
        <w:ind w:left="84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说明：</w:t>
      </w:r>
    </w:p>
    <w:p>
      <w:pPr>
        <w:rPr>
          <w:rFonts w:hint="eastAsia" w:ascii="宋体" w:hAnsi="宋体" w:eastAsia="宋体" w:cs="宋体"/>
          <w:color w:val="auto"/>
          <w:sz w:val="20"/>
          <w:szCs w:val="20"/>
          <w:highlight w:val="none"/>
        </w:rPr>
      </w:pPr>
    </w:p>
    <w:p>
      <w:pPr>
        <w:ind w:left="360"/>
        <w:rPr>
          <w:rFonts w:hint="eastAsia" w:ascii="宋体" w:hAnsi="宋体" w:eastAsia="宋体" w:cs="宋体"/>
          <w:color w:val="auto"/>
          <w:sz w:val="20"/>
          <w:szCs w:val="20"/>
          <w:highlight w:val="none"/>
          <w:u w:val="single"/>
        </w:rPr>
      </w:pPr>
      <w:r>
        <w:rPr>
          <w:rFonts w:hint="eastAsia" w:ascii="宋体" w:hAnsi="宋体" w:eastAsia="宋体" w:cs="宋体"/>
          <w:color w:val="auto"/>
          <w:sz w:val="21"/>
          <w:szCs w:val="21"/>
          <w:highlight w:val="none"/>
          <w:u w:val="single"/>
        </w:rPr>
        <w:t>1</w:t>
      </w:r>
      <w:r>
        <w:rPr>
          <w:rFonts w:hint="eastAsia" w:ascii="宋体" w:hAnsi="宋体" w:eastAsia="宋体" w:cs="宋体"/>
          <w:color w:val="auto"/>
          <w:sz w:val="21"/>
          <w:szCs w:val="21"/>
          <w:highlight w:val="none"/>
          <w:u w:val="single"/>
        </w:rPr>
        <w:t>）投标人为小型、微型企业的提供此函。</w:t>
      </w:r>
    </w:p>
    <w:p>
      <w:pPr>
        <w:ind w:left="360" w:right="346"/>
        <w:jc w:val="both"/>
        <w:rPr>
          <w:rFonts w:hint="eastAsia" w:ascii="宋体" w:hAnsi="宋体" w:eastAsia="宋体" w:cs="宋体"/>
          <w:color w:val="auto"/>
          <w:sz w:val="20"/>
          <w:szCs w:val="20"/>
          <w:highlight w:val="none"/>
          <w:u w:val="single"/>
        </w:rPr>
      </w:pPr>
      <w:r>
        <w:rPr>
          <w:rFonts w:hint="eastAsia" w:ascii="宋体" w:hAnsi="宋体" w:eastAsia="宋体" w:cs="宋体"/>
          <w:color w:val="auto"/>
          <w:sz w:val="21"/>
          <w:szCs w:val="21"/>
          <w:highlight w:val="none"/>
          <w:u w:val="single"/>
        </w:rPr>
        <w:t>2</w:t>
      </w:r>
      <w:r>
        <w:rPr>
          <w:rFonts w:hint="eastAsia" w:ascii="宋体" w:hAnsi="宋体" w:eastAsia="宋体" w:cs="宋体"/>
          <w:color w:val="auto"/>
          <w:sz w:val="21"/>
          <w:szCs w:val="21"/>
          <w:highlight w:val="none"/>
          <w:u w:val="single"/>
        </w:rPr>
        <w:t>）所投标项内的产品如由多个企业制造的，在填写企业类型时，按产品生产企业中规模最大的企业类型填写。</w:t>
      </w:r>
    </w:p>
    <w:p>
      <w:pPr>
        <w:ind w:left="360" w:right="346"/>
        <w:jc w:val="both"/>
        <w:rPr>
          <w:rFonts w:hint="eastAsia" w:ascii="宋体" w:hAnsi="宋体" w:eastAsia="宋体" w:cs="宋体"/>
          <w:color w:val="auto"/>
          <w:sz w:val="20"/>
          <w:szCs w:val="20"/>
          <w:highlight w:val="none"/>
          <w:u w:val="single"/>
        </w:rPr>
      </w:pPr>
      <w:r>
        <w:rPr>
          <w:rFonts w:hint="eastAsia" w:ascii="宋体" w:hAnsi="宋体" w:eastAsia="宋体" w:cs="宋体"/>
          <w:color w:val="auto"/>
          <w:sz w:val="21"/>
          <w:szCs w:val="21"/>
          <w:highlight w:val="none"/>
          <w:u w:val="single"/>
        </w:rPr>
        <w:t>3</w:t>
      </w:r>
      <w:r>
        <w:rPr>
          <w:rFonts w:hint="eastAsia" w:ascii="宋体" w:hAnsi="宋体" w:eastAsia="宋体" w:cs="宋体"/>
          <w:color w:val="auto"/>
          <w:sz w:val="21"/>
          <w:szCs w:val="21"/>
          <w:highlight w:val="none"/>
          <w:u w:val="single"/>
        </w:rPr>
        <w:t>）代理商投标，提供投标人及产品制造商出具的《中小企业声明函》及其相关的充分的证明材料。</w:t>
      </w:r>
    </w:p>
    <w:p>
      <w:pPr>
        <w:ind w:left="360" w:right="346"/>
        <w:jc w:val="both"/>
        <w:rPr>
          <w:rFonts w:hint="eastAsia" w:ascii="宋体" w:hAnsi="宋体" w:eastAsia="宋体" w:cs="宋体"/>
          <w:color w:val="auto"/>
          <w:sz w:val="20"/>
          <w:szCs w:val="20"/>
          <w:highlight w:val="none"/>
          <w:u w:val="single"/>
        </w:rPr>
      </w:pPr>
      <w:r>
        <w:rPr>
          <w:rFonts w:hint="eastAsia" w:ascii="宋体" w:hAnsi="宋体" w:eastAsia="宋体" w:cs="宋体"/>
          <w:color w:val="auto"/>
          <w:sz w:val="21"/>
          <w:szCs w:val="21"/>
          <w:highlight w:val="none"/>
          <w:u w:val="single"/>
        </w:rPr>
        <w:t>4</w:t>
      </w:r>
      <w:r>
        <w:rPr>
          <w:rFonts w:hint="eastAsia" w:ascii="宋体" w:hAnsi="宋体" w:eastAsia="宋体" w:cs="宋体"/>
          <w:color w:val="auto"/>
          <w:sz w:val="21"/>
          <w:szCs w:val="21"/>
          <w:highlight w:val="none"/>
          <w:u w:val="single"/>
        </w:rPr>
        <w:t>）投标产品制造商投标，提供投标人出具的《中小企业声明函》及其相关的充分的证明材料。</w:t>
      </w:r>
    </w:p>
    <w:p>
      <w:pPr>
        <w:ind w:left="360"/>
        <w:rPr>
          <w:rFonts w:hint="eastAsia" w:ascii="宋体" w:hAnsi="宋体" w:eastAsia="宋体" w:cs="宋体"/>
          <w:color w:val="auto"/>
          <w:sz w:val="20"/>
          <w:szCs w:val="20"/>
          <w:highlight w:val="none"/>
          <w:u w:val="single"/>
        </w:rPr>
      </w:pPr>
      <w:r>
        <w:rPr>
          <w:rFonts w:hint="eastAsia" w:ascii="宋体" w:hAnsi="宋体" w:eastAsia="宋体" w:cs="宋体"/>
          <w:color w:val="auto"/>
          <w:sz w:val="21"/>
          <w:szCs w:val="21"/>
          <w:highlight w:val="none"/>
          <w:u w:val="single"/>
        </w:rPr>
        <w:t>5</w:t>
      </w:r>
      <w:r>
        <w:rPr>
          <w:rFonts w:hint="eastAsia" w:ascii="宋体" w:hAnsi="宋体" w:eastAsia="宋体" w:cs="宋体"/>
          <w:color w:val="auto"/>
          <w:sz w:val="21"/>
          <w:szCs w:val="21"/>
          <w:highlight w:val="none"/>
          <w:u w:val="single"/>
        </w:rPr>
        <w:t>）为浙江省政府采购网正式入库供应商的证明材料。</w:t>
      </w:r>
    </w:p>
    <w:p>
      <w:pPr>
        <w:ind w:left="360" w:right="346"/>
        <w:jc w:val="both"/>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u w:val="single"/>
        </w:rPr>
        <w:t>6</w:t>
      </w:r>
      <w:r>
        <w:rPr>
          <w:rFonts w:hint="eastAsia" w:ascii="宋体" w:hAnsi="宋体" w:eastAsia="宋体" w:cs="宋体"/>
          <w:color w:val="auto"/>
          <w:sz w:val="21"/>
          <w:szCs w:val="21"/>
          <w:highlight w:val="none"/>
          <w:u w:val="single"/>
        </w:rPr>
        <w:t>）证明材料为企业在职员工人数（提供社保部门出具并盖章的最近一个月的单位在职员工社保缴纳凭证）、营业收入及资产总额（提供上一年度资产负债表、损益表、现金流量表或财务状况变动表）。也可提供浙江政府采购网中审核通过后显示的小型或微型企业类型信息截图代替。</w:t>
      </w: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328" w:lineRule="exact"/>
        <w:rPr>
          <w:rFonts w:hint="eastAsia" w:ascii="宋体" w:hAnsi="宋体" w:eastAsia="宋体" w:cs="宋体"/>
          <w:color w:val="auto"/>
          <w:sz w:val="20"/>
          <w:szCs w:val="20"/>
          <w:highlight w:val="none"/>
        </w:rPr>
      </w:pPr>
    </w:p>
    <w:p>
      <w:pPr>
        <w:rPr>
          <w:rFonts w:hint="eastAsia" w:ascii="宋体" w:hAnsi="宋体" w:eastAsia="宋体" w:cs="宋体"/>
          <w:color w:val="auto"/>
          <w:highlight w:val="none"/>
        </w:rPr>
        <w:sectPr>
          <w:pgSz w:w="11900" w:h="16838"/>
          <w:pgMar w:top="1440" w:right="1440" w:bottom="158" w:left="1440" w:header="567" w:footer="567" w:gutter="0"/>
          <w:cols w:equalWidth="0" w:num="1">
            <w:col w:w="9026"/>
          </w:cols>
        </w:sectPr>
      </w:pPr>
    </w:p>
    <w:p>
      <w:pPr>
        <w:spacing w:line="1" w:lineRule="exact"/>
        <w:rPr>
          <w:rFonts w:hint="eastAsia" w:ascii="宋体" w:hAnsi="宋体" w:eastAsia="宋体" w:cs="宋体"/>
          <w:color w:val="auto"/>
          <w:sz w:val="20"/>
          <w:szCs w:val="20"/>
          <w:highlight w:val="none"/>
        </w:rPr>
      </w:pPr>
      <w:bookmarkStart w:id="149" w:name="page74"/>
      <w:bookmarkEnd w:id="149"/>
    </w:p>
    <w:p>
      <w:pPr>
        <w:spacing w:line="366" w:lineRule="exact"/>
        <w:ind w:right="-13"/>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监狱企业声明函</w:t>
      </w:r>
    </w:p>
    <w:p>
      <w:pPr>
        <w:spacing w:line="256" w:lineRule="exact"/>
        <w:rPr>
          <w:rFonts w:hint="eastAsia" w:ascii="宋体" w:hAnsi="宋体" w:eastAsia="宋体" w:cs="宋体"/>
          <w:color w:val="auto"/>
          <w:sz w:val="20"/>
          <w:szCs w:val="20"/>
          <w:highlight w:val="none"/>
        </w:rPr>
      </w:pPr>
    </w:p>
    <w:p>
      <w:pPr>
        <w:spacing w:line="240" w:lineRule="exact"/>
        <w:ind w:right="-13"/>
        <w:jc w:val="center"/>
        <w:rPr>
          <w:rFonts w:hint="eastAsia" w:ascii="宋体" w:hAnsi="宋体" w:eastAsia="宋体" w:cs="宋体"/>
          <w:color w:val="auto"/>
          <w:sz w:val="20"/>
          <w:szCs w:val="20"/>
          <w:highlight w:val="none"/>
        </w:rPr>
      </w:pPr>
      <w:r>
        <w:rPr>
          <w:rFonts w:hint="eastAsia" w:ascii="宋体" w:hAnsi="宋体" w:eastAsia="宋体" w:cs="宋体"/>
          <w:b/>
          <w:bCs/>
          <w:color w:val="auto"/>
          <w:sz w:val="21"/>
          <w:szCs w:val="21"/>
          <w:highlight w:val="none"/>
          <w:u w:val="single"/>
        </w:rPr>
        <w:t>【不属于监狱企业的无需填写、递交】</w:t>
      </w:r>
    </w:p>
    <w:p>
      <w:pPr>
        <w:spacing w:line="200" w:lineRule="exact"/>
        <w:rPr>
          <w:rFonts w:hint="eastAsia" w:ascii="宋体" w:hAnsi="宋体" w:eastAsia="宋体" w:cs="宋体"/>
          <w:color w:val="auto"/>
          <w:sz w:val="20"/>
          <w:szCs w:val="20"/>
          <w:highlight w:val="none"/>
        </w:rPr>
      </w:pPr>
    </w:p>
    <w:p>
      <w:pPr>
        <w:spacing w:line="333" w:lineRule="exact"/>
        <w:rPr>
          <w:rFonts w:hint="eastAsia" w:ascii="宋体" w:hAnsi="宋体" w:eastAsia="宋体" w:cs="宋体"/>
          <w:color w:val="auto"/>
          <w:sz w:val="20"/>
          <w:szCs w:val="20"/>
          <w:highlight w:val="none"/>
        </w:rPr>
      </w:pPr>
    </w:p>
    <w:p>
      <w:pPr>
        <w:spacing w:line="240" w:lineRule="exact"/>
        <w:ind w:right="6"/>
        <w:jc w:val="center"/>
        <w:rPr>
          <w:rFonts w:hint="eastAsia" w:ascii="宋体" w:hAnsi="宋体" w:eastAsia="宋体" w:cs="宋体"/>
          <w:color w:val="auto"/>
          <w:sz w:val="20"/>
          <w:szCs w:val="20"/>
          <w:highlight w:val="none"/>
        </w:rPr>
      </w:pPr>
      <w:bookmarkStart w:id="150" w:name="_Toc17834_WPSOffice_Level2"/>
      <w:bookmarkStart w:id="151" w:name="_Toc4951_WPSOffice_Level2"/>
      <w:r>
        <w:rPr>
          <w:rFonts w:hint="eastAsia" w:ascii="宋体" w:hAnsi="宋体" w:eastAsia="宋体" w:cs="宋体"/>
          <w:color w:val="auto"/>
          <w:sz w:val="21"/>
          <w:szCs w:val="21"/>
          <w:highlight w:val="none"/>
        </w:rPr>
        <w:t>本企业郑重声明，根据《关于政府采购支持监狱企业发展有关问题的通知》（财库</w:t>
      </w:r>
      <w:bookmarkEnd w:id="150"/>
      <w:bookmarkEnd w:id="151"/>
    </w:p>
    <w:p>
      <w:pPr>
        <w:spacing w:line="168" w:lineRule="exact"/>
        <w:rPr>
          <w:rFonts w:hint="eastAsia" w:ascii="宋体" w:hAnsi="宋体" w:eastAsia="宋体" w:cs="宋体"/>
          <w:color w:val="auto"/>
          <w:sz w:val="20"/>
          <w:szCs w:val="20"/>
          <w:highlight w:val="none"/>
        </w:rPr>
      </w:pPr>
    </w:p>
    <w:tbl>
      <w:tblPr>
        <w:tblStyle w:val="19"/>
        <w:tblW w:w="8320" w:type="dxa"/>
        <w:tblInd w:w="360" w:type="dxa"/>
        <w:tblLayout w:type="fixed"/>
        <w:tblCellMar>
          <w:top w:w="0" w:type="dxa"/>
          <w:left w:w="0" w:type="dxa"/>
          <w:bottom w:w="0" w:type="dxa"/>
          <w:right w:w="0" w:type="dxa"/>
        </w:tblCellMar>
      </w:tblPr>
      <w:tblGrid>
        <w:gridCol w:w="3000"/>
        <w:gridCol w:w="780"/>
        <w:gridCol w:w="1060"/>
        <w:gridCol w:w="320"/>
        <w:gridCol w:w="840"/>
        <w:gridCol w:w="100"/>
        <w:gridCol w:w="2220"/>
      </w:tblGrid>
      <w:tr>
        <w:tblPrEx>
          <w:tblLayout w:type="fixed"/>
          <w:tblCellMar>
            <w:top w:w="0" w:type="dxa"/>
            <w:left w:w="0" w:type="dxa"/>
            <w:bottom w:w="0" w:type="dxa"/>
            <w:right w:w="0" w:type="dxa"/>
          </w:tblCellMar>
        </w:tblPrEx>
        <w:trPr>
          <w:trHeight w:val="240" w:hRule="atLeast"/>
        </w:trPr>
        <w:tc>
          <w:tcPr>
            <w:tcW w:w="6000" w:type="dxa"/>
            <w:gridSpan w:val="5"/>
            <w:vAlign w:val="bottom"/>
          </w:tcPr>
          <w:p>
            <w:pPr>
              <w:spacing w:line="240" w:lineRule="exact"/>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 xml:space="preserve">[2014]68 </w:t>
            </w:r>
            <w:r>
              <w:rPr>
                <w:rFonts w:hint="eastAsia" w:ascii="宋体" w:hAnsi="宋体" w:eastAsia="宋体" w:cs="宋体"/>
                <w:color w:val="auto"/>
                <w:sz w:val="21"/>
                <w:szCs w:val="21"/>
                <w:highlight w:val="none"/>
              </w:rPr>
              <w:t>号）的规定，本企业为监狱企业。</w:t>
            </w:r>
          </w:p>
        </w:tc>
        <w:tc>
          <w:tcPr>
            <w:tcW w:w="100" w:type="dxa"/>
            <w:vAlign w:val="bottom"/>
          </w:tcPr>
          <w:p>
            <w:pPr>
              <w:rPr>
                <w:rFonts w:hint="eastAsia" w:ascii="宋体" w:hAnsi="宋体" w:eastAsia="宋体" w:cs="宋体"/>
                <w:color w:val="auto"/>
                <w:sz w:val="20"/>
                <w:szCs w:val="20"/>
                <w:highlight w:val="none"/>
              </w:rPr>
            </w:pPr>
          </w:p>
        </w:tc>
        <w:tc>
          <w:tcPr>
            <w:tcW w:w="2220" w:type="dxa"/>
            <w:vAlign w:val="bottom"/>
          </w:tcPr>
          <w:p>
            <w:pPr>
              <w:rPr>
                <w:rFonts w:hint="eastAsia"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20" w:hRule="atLeast"/>
        </w:trPr>
        <w:tc>
          <w:tcPr>
            <w:tcW w:w="3000" w:type="dxa"/>
            <w:vAlign w:val="bottom"/>
          </w:tcPr>
          <w:p>
            <w:pPr>
              <w:spacing w:line="20" w:lineRule="exact"/>
              <w:rPr>
                <w:rFonts w:hint="eastAsia" w:ascii="宋体" w:hAnsi="宋体" w:eastAsia="宋体" w:cs="宋体"/>
                <w:color w:val="auto"/>
                <w:sz w:val="2"/>
                <w:szCs w:val="2"/>
                <w:highlight w:val="none"/>
              </w:rPr>
            </w:pPr>
          </w:p>
        </w:tc>
        <w:tc>
          <w:tcPr>
            <w:tcW w:w="780" w:type="dxa"/>
            <w:shd w:val="clear" w:color="auto" w:fill="000000"/>
            <w:vAlign w:val="bottom"/>
          </w:tcPr>
          <w:p>
            <w:pPr>
              <w:spacing w:line="20" w:lineRule="exact"/>
              <w:rPr>
                <w:rFonts w:hint="eastAsia" w:ascii="宋体" w:hAnsi="宋体" w:eastAsia="宋体" w:cs="宋体"/>
                <w:color w:val="auto"/>
                <w:sz w:val="2"/>
                <w:szCs w:val="2"/>
                <w:highlight w:val="none"/>
              </w:rPr>
            </w:pPr>
          </w:p>
        </w:tc>
        <w:tc>
          <w:tcPr>
            <w:tcW w:w="1060" w:type="dxa"/>
            <w:tcBorders>
              <w:left w:val="single" w:color="auto" w:sz="8" w:space="0"/>
            </w:tcBorders>
            <w:vAlign w:val="bottom"/>
          </w:tcPr>
          <w:p>
            <w:pPr>
              <w:spacing w:line="20" w:lineRule="exact"/>
              <w:rPr>
                <w:rFonts w:hint="eastAsia" w:ascii="宋体" w:hAnsi="宋体" w:eastAsia="宋体" w:cs="宋体"/>
                <w:color w:val="auto"/>
                <w:sz w:val="2"/>
                <w:szCs w:val="2"/>
                <w:highlight w:val="none"/>
              </w:rPr>
            </w:pPr>
          </w:p>
        </w:tc>
        <w:tc>
          <w:tcPr>
            <w:tcW w:w="320" w:type="dxa"/>
            <w:vAlign w:val="bottom"/>
          </w:tcPr>
          <w:p>
            <w:pPr>
              <w:spacing w:line="20" w:lineRule="exact"/>
              <w:rPr>
                <w:rFonts w:hint="eastAsia" w:ascii="宋体" w:hAnsi="宋体" w:eastAsia="宋体" w:cs="宋体"/>
                <w:color w:val="auto"/>
                <w:sz w:val="2"/>
                <w:szCs w:val="2"/>
                <w:highlight w:val="none"/>
              </w:rPr>
            </w:pPr>
          </w:p>
        </w:tc>
        <w:tc>
          <w:tcPr>
            <w:tcW w:w="840" w:type="dxa"/>
            <w:vAlign w:val="bottom"/>
          </w:tcPr>
          <w:p>
            <w:pPr>
              <w:spacing w:line="20" w:lineRule="exact"/>
              <w:rPr>
                <w:rFonts w:hint="eastAsia" w:ascii="宋体" w:hAnsi="宋体" w:eastAsia="宋体" w:cs="宋体"/>
                <w:color w:val="auto"/>
                <w:sz w:val="2"/>
                <w:szCs w:val="2"/>
                <w:highlight w:val="none"/>
              </w:rPr>
            </w:pPr>
          </w:p>
        </w:tc>
        <w:tc>
          <w:tcPr>
            <w:tcW w:w="100" w:type="dxa"/>
            <w:vAlign w:val="bottom"/>
          </w:tcPr>
          <w:p>
            <w:pPr>
              <w:spacing w:line="20" w:lineRule="exact"/>
              <w:rPr>
                <w:rFonts w:hint="eastAsia" w:ascii="宋体" w:hAnsi="宋体" w:eastAsia="宋体" w:cs="宋体"/>
                <w:color w:val="auto"/>
                <w:sz w:val="2"/>
                <w:szCs w:val="2"/>
                <w:highlight w:val="none"/>
              </w:rPr>
            </w:pPr>
          </w:p>
        </w:tc>
        <w:tc>
          <w:tcPr>
            <w:tcW w:w="2220" w:type="dxa"/>
            <w:vAlign w:val="bottom"/>
          </w:tcPr>
          <w:p>
            <w:pPr>
              <w:spacing w:line="20" w:lineRule="exact"/>
              <w:rPr>
                <w:rFonts w:hint="eastAsia" w:ascii="宋体" w:hAnsi="宋体" w:eastAsia="宋体" w:cs="宋体"/>
                <w:color w:val="auto"/>
                <w:sz w:val="2"/>
                <w:szCs w:val="2"/>
                <w:highlight w:val="none"/>
              </w:rPr>
            </w:pPr>
          </w:p>
        </w:tc>
      </w:tr>
      <w:tr>
        <w:tblPrEx>
          <w:tblLayout w:type="fixed"/>
          <w:tblCellMar>
            <w:top w:w="0" w:type="dxa"/>
            <w:left w:w="0" w:type="dxa"/>
            <w:bottom w:w="0" w:type="dxa"/>
            <w:right w:w="0" w:type="dxa"/>
          </w:tblCellMar>
        </w:tblPrEx>
        <w:trPr>
          <w:trHeight w:val="388" w:hRule="atLeast"/>
        </w:trPr>
        <w:tc>
          <w:tcPr>
            <w:tcW w:w="6000" w:type="dxa"/>
            <w:gridSpan w:val="5"/>
            <w:vAlign w:val="bottom"/>
          </w:tcPr>
          <w:p>
            <w:pPr>
              <w:spacing w:line="240" w:lineRule="exact"/>
              <w:ind w:left="42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根据上述标准，我企业属于监狱企业的理由为：</w:t>
            </w:r>
          </w:p>
        </w:tc>
        <w:tc>
          <w:tcPr>
            <w:tcW w:w="100" w:type="dxa"/>
            <w:vAlign w:val="bottom"/>
          </w:tcPr>
          <w:p>
            <w:pPr>
              <w:rPr>
                <w:rFonts w:hint="eastAsia" w:ascii="宋体" w:hAnsi="宋体" w:eastAsia="宋体" w:cs="宋体"/>
                <w:color w:val="auto"/>
                <w:sz w:val="24"/>
                <w:szCs w:val="24"/>
                <w:highlight w:val="none"/>
              </w:rPr>
            </w:pPr>
          </w:p>
        </w:tc>
        <w:tc>
          <w:tcPr>
            <w:tcW w:w="2220" w:type="dxa"/>
            <w:vAlign w:val="bottom"/>
          </w:tcPr>
          <w:p>
            <w:pPr>
              <w:spacing w:line="240" w:lineRule="exact"/>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w:t>
            </w:r>
          </w:p>
        </w:tc>
      </w:tr>
      <w:tr>
        <w:tblPrEx>
          <w:tblLayout w:type="fixed"/>
          <w:tblCellMar>
            <w:top w:w="0" w:type="dxa"/>
            <w:left w:w="0" w:type="dxa"/>
            <w:bottom w:w="0" w:type="dxa"/>
            <w:right w:w="0" w:type="dxa"/>
          </w:tblCellMar>
        </w:tblPrEx>
        <w:trPr>
          <w:trHeight w:val="20" w:hRule="atLeast"/>
        </w:trPr>
        <w:tc>
          <w:tcPr>
            <w:tcW w:w="3000" w:type="dxa"/>
            <w:tcBorders>
              <w:right w:val="single" w:color="auto" w:sz="8" w:space="0"/>
            </w:tcBorders>
            <w:vAlign w:val="bottom"/>
          </w:tcPr>
          <w:p>
            <w:pPr>
              <w:spacing w:line="20" w:lineRule="exact"/>
              <w:rPr>
                <w:rFonts w:hint="eastAsia" w:ascii="宋体" w:hAnsi="宋体" w:eastAsia="宋体" w:cs="宋体"/>
                <w:color w:val="auto"/>
                <w:sz w:val="2"/>
                <w:szCs w:val="2"/>
                <w:highlight w:val="none"/>
              </w:rPr>
            </w:pPr>
          </w:p>
        </w:tc>
        <w:tc>
          <w:tcPr>
            <w:tcW w:w="780" w:type="dxa"/>
            <w:shd w:val="clear" w:color="auto" w:fill="000000"/>
            <w:vAlign w:val="bottom"/>
          </w:tcPr>
          <w:p>
            <w:pPr>
              <w:spacing w:line="20" w:lineRule="exact"/>
              <w:rPr>
                <w:rFonts w:hint="eastAsia" w:ascii="宋体" w:hAnsi="宋体" w:eastAsia="宋体" w:cs="宋体"/>
                <w:color w:val="auto"/>
                <w:sz w:val="2"/>
                <w:szCs w:val="2"/>
                <w:highlight w:val="none"/>
              </w:rPr>
            </w:pPr>
          </w:p>
        </w:tc>
        <w:tc>
          <w:tcPr>
            <w:tcW w:w="1060" w:type="dxa"/>
            <w:vAlign w:val="bottom"/>
          </w:tcPr>
          <w:p>
            <w:pPr>
              <w:spacing w:line="20" w:lineRule="exact"/>
              <w:rPr>
                <w:rFonts w:hint="eastAsia" w:ascii="宋体" w:hAnsi="宋体" w:eastAsia="宋体" w:cs="宋体"/>
                <w:color w:val="auto"/>
                <w:sz w:val="2"/>
                <w:szCs w:val="2"/>
                <w:highlight w:val="none"/>
              </w:rPr>
            </w:pPr>
          </w:p>
        </w:tc>
        <w:tc>
          <w:tcPr>
            <w:tcW w:w="320" w:type="dxa"/>
            <w:shd w:val="clear" w:color="auto" w:fill="000000"/>
            <w:vAlign w:val="bottom"/>
          </w:tcPr>
          <w:p>
            <w:pPr>
              <w:spacing w:line="20" w:lineRule="exact"/>
              <w:rPr>
                <w:rFonts w:hint="eastAsia" w:ascii="宋体" w:hAnsi="宋体" w:eastAsia="宋体" w:cs="宋体"/>
                <w:color w:val="auto"/>
                <w:sz w:val="2"/>
                <w:szCs w:val="2"/>
                <w:highlight w:val="none"/>
              </w:rPr>
            </w:pPr>
          </w:p>
        </w:tc>
        <w:tc>
          <w:tcPr>
            <w:tcW w:w="840" w:type="dxa"/>
            <w:shd w:val="clear" w:color="auto" w:fill="000000"/>
            <w:vAlign w:val="bottom"/>
          </w:tcPr>
          <w:p>
            <w:pPr>
              <w:spacing w:line="20" w:lineRule="exact"/>
              <w:rPr>
                <w:rFonts w:hint="eastAsia" w:ascii="宋体" w:hAnsi="宋体" w:eastAsia="宋体" w:cs="宋体"/>
                <w:color w:val="auto"/>
                <w:sz w:val="2"/>
                <w:szCs w:val="2"/>
                <w:highlight w:val="none"/>
              </w:rPr>
            </w:pPr>
          </w:p>
        </w:tc>
        <w:tc>
          <w:tcPr>
            <w:tcW w:w="100" w:type="dxa"/>
            <w:shd w:val="clear" w:color="auto" w:fill="000000"/>
            <w:vAlign w:val="bottom"/>
          </w:tcPr>
          <w:p>
            <w:pPr>
              <w:spacing w:line="20" w:lineRule="exact"/>
              <w:rPr>
                <w:rFonts w:hint="eastAsia" w:ascii="宋体" w:hAnsi="宋体" w:eastAsia="宋体" w:cs="宋体"/>
                <w:color w:val="auto"/>
                <w:sz w:val="2"/>
                <w:szCs w:val="2"/>
                <w:highlight w:val="none"/>
              </w:rPr>
            </w:pPr>
          </w:p>
        </w:tc>
        <w:tc>
          <w:tcPr>
            <w:tcW w:w="2220" w:type="dxa"/>
            <w:vAlign w:val="bottom"/>
          </w:tcPr>
          <w:p>
            <w:pPr>
              <w:spacing w:line="20" w:lineRule="exact"/>
              <w:rPr>
                <w:rFonts w:hint="eastAsia" w:ascii="宋体" w:hAnsi="宋体" w:eastAsia="宋体" w:cs="宋体"/>
                <w:color w:val="auto"/>
                <w:sz w:val="2"/>
                <w:szCs w:val="2"/>
                <w:highlight w:val="none"/>
              </w:rPr>
            </w:pPr>
          </w:p>
        </w:tc>
      </w:tr>
      <w:tr>
        <w:tblPrEx>
          <w:tblLayout w:type="fixed"/>
          <w:tblCellMar>
            <w:top w:w="0" w:type="dxa"/>
            <w:left w:w="0" w:type="dxa"/>
            <w:bottom w:w="0" w:type="dxa"/>
            <w:right w:w="0" w:type="dxa"/>
          </w:tblCellMar>
        </w:tblPrEx>
        <w:trPr>
          <w:trHeight w:val="388" w:hRule="atLeast"/>
        </w:trPr>
        <w:tc>
          <w:tcPr>
            <w:tcW w:w="3000" w:type="dxa"/>
            <w:vAlign w:val="bottom"/>
          </w:tcPr>
          <w:p>
            <w:pPr>
              <w:spacing w:line="240" w:lineRule="exact"/>
              <w:ind w:left="42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本企业为参加（项目名称：</w:t>
            </w:r>
          </w:p>
        </w:tc>
        <w:tc>
          <w:tcPr>
            <w:tcW w:w="780" w:type="dxa"/>
            <w:tcBorders>
              <w:bottom w:val="single" w:color="auto" w:sz="8" w:space="0"/>
            </w:tcBorders>
            <w:vAlign w:val="bottom"/>
          </w:tcPr>
          <w:p>
            <w:pPr>
              <w:rPr>
                <w:rFonts w:hint="eastAsia" w:ascii="宋体" w:hAnsi="宋体" w:eastAsia="宋体" w:cs="宋体"/>
                <w:color w:val="auto"/>
                <w:sz w:val="24"/>
                <w:szCs w:val="24"/>
                <w:highlight w:val="none"/>
              </w:rPr>
            </w:pPr>
          </w:p>
        </w:tc>
        <w:tc>
          <w:tcPr>
            <w:tcW w:w="1380" w:type="dxa"/>
            <w:gridSpan w:val="2"/>
            <w:vAlign w:val="bottom"/>
          </w:tcPr>
          <w:p>
            <w:pPr>
              <w:spacing w:line="240" w:lineRule="exact"/>
              <w:rPr>
                <w:rFonts w:hint="eastAsia" w:ascii="宋体" w:hAnsi="宋体" w:eastAsia="宋体" w:cs="宋体"/>
                <w:color w:val="auto"/>
                <w:sz w:val="20"/>
                <w:szCs w:val="20"/>
                <w:highlight w:val="none"/>
              </w:rPr>
            </w:pPr>
            <w:r>
              <w:rPr>
                <w:rFonts w:hint="eastAsia" w:ascii="宋体" w:hAnsi="宋体" w:eastAsia="宋体" w:cs="宋体"/>
                <w:color w:val="auto"/>
                <w:w w:val="92"/>
                <w:sz w:val="21"/>
                <w:szCs w:val="21"/>
                <w:highlight w:val="none"/>
              </w:rPr>
              <w:t>）（项目编号：</w:t>
            </w:r>
          </w:p>
        </w:tc>
        <w:tc>
          <w:tcPr>
            <w:tcW w:w="840" w:type="dxa"/>
            <w:tcBorders>
              <w:bottom w:val="single" w:color="auto" w:sz="8" w:space="0"/>
            </w:tcBorders>
            <w:vAlign w:val="bottom"/>
          </w:tcPr>
          <w:p>
            <w:pPr>
              <w:rPr>
                <w:rFonts w:hint="eastAsia" w:ascii="宋体" w:hAnsi="宋体" w:eastAsia="宋体" w:cs="宋体"/>
                <w:color w:val="auto"/>
                <w:sz w:val="24"/>
                <w:szCs w:val="24"/>
                <w:highlight w:val="none"/>
              </w:rPr>
            </w:pPr>
          </w:p>
        </w:tc>
        <w:tc>
          <w:tcPr>
            <w:tcW w:w="2320" w:type="dxa"/>
            <w:gridSpan w:val="2"/>
            <w:vAlign w:val="bottom"/>
          </w:tcPr>
          <w:p>
            <w:pPr>
              <w:spacing w:line="240" w:lineRule="exact"/>
              <w:rPr>
                <w:rFonts w:hint="eastAsia" w:ascii="宋体" w:hAnsi="宋体" w:eastAsia="宋体" w:cs="宋体"/>
                <w:color w:val="auto"/>
                <w:sz w:val="20"/>
                <w:szCs w:val="20"/>
                <w:highlight w:val="none"/>
              </w:rPr>
            </w:pPr>
            <w:r>
              <w:rPr>
                <w:rFonts w:hint="eastAsia" w:ascii="宋体" w:hAnsi="宋体" w:eastAsia="宋体" w:cs="宋体"/>
                <w:color w:val="auto"/>
                <w:w w:val="99"/>
                <w:sz w:val="21"/>
                <w:szCs w:val="21"/>
                <w:highlight w:val="none"/>
              </w:rPr>
              <w:t>）采购活动提供本企业的</w:t>
            </w:r>
          </w:p>
        </w:tc>
      </w:tr>
      <w:tr>
        <w:tblPrEx>
          <w:tblLayout w:type="fixed"/>
          <w:tblCellMar>
            <w:top w:w="0" w:type="dxa"/>
            <w:left w:w="0" w:type="dxa"/>
            <w:bottom w:w="0" w:type="dxa"/>
            <w:right w:w="0" w:type="dxa"/>
          </w:tblCellMar>
        </w:tblPrEx>
        <w:trPr>
          <w:trHeight w:val="388" w:hRule="atLeast"/>
        </w:trPr>
        <w:tc>
          <w:tcPr>
            <w:tcW w:w="3000" w:type="dxa"/>
            <w:vAlign w:val="bottom"/>
          </w:tcPr>
          <w:p>
            <w:pPr>
              <w:spacing w:line="240" w:lineRule="exact"/>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产品。</w:t>
            </w:r>
          </w:p>
        </w:tc>
        <w:tc>
          <w:tcPr>
            <w:tcW w:w="780" w:type="dxa"/>
            <w:vAlign w:val="bottom"/>
          </w:tcPr>
          <w:p>
            <w:pPr>
              <w:rPr>
                <w:rFonts w:hint="eastAsia" w:ascii="宋体" w:hAnsi="宋体" w:eastAsia="宋体" w:cs="宋体"/>
                <w:color w:val="auto"/>
                <w:sz w:val="24"/>
                <w:szCs w:val="24"/>
                <w:highlight w:val="none"/>
              </w:rPr>
            </w:pPr>
          </w:p>
        </w:tc>
        <w:tc>
          <w:tcPr>
            <w:tcW w:w="1060" w:type="dxa"/>
            <w:vAlign w:val="bottom"/>
          </w:tcPr>
          <w:p>
            <w:pPr>
              <w:rPr>
                <w:rFonts w:hint="eastAsia" w:ascii="宋体" w:hAnsi="宋体" w:eastAsia="宋体" w:cs="宋体"/>
                <w:color w:val="auto"/>
                <w:sz w:val="24"/>
                <w:szCs w:val="24"/>
                <w:highlight w:val="none"/>
              </w:rPr>
            </w:pPr>
          </w:p>
        </w:tc>
        <w:tc>
          <w:tcPr>
            <w:tcW w:w="320" w:type="dxa"/>
            <w:vAlign w:val="bottom"/>
          </w:tcPr>
          <w:p>
            <w:pPr>
              <w:rPr>
                <w:rFonts w:hint="eastAsia" w:ascii="宋体" w:hAnsi="宋体" w:eastAsia="宋体" w:cs="宋体"/>
                <w:color w:val="auto"/>
                <w:sz w:val="24"/>
                <w:szCs w:val="24"/>
                <w:highlight w:val="none"/>
              </w:rPr>
            </w:pPr>
          </w:p>
        </w:tc>
        <w:tc>
          <w:tcPr>
            <w:tcW w:w="840" w:type="dxa"/>
            <w:vAlign w:val="bottom"/>
          </w:tcPr>
          <w:p>
            <w:pPr>
              <w:rPr>
                <w:rFonts w:hint="eastAsia" w:ascii="宋体" w:hAnsi="宋体" w:eastAsia="宋体" w:cs="宋体"/>
                <w:color w:val="auto"/>
                <w:sz w:val="24"/>
                <w:szCs w:val="24"/>
                <w:highlight w:val="none"/>
              </w:rPr>
            </w:pPr>
          </w:p>
        </w:tc>
        <w:tc>
          <w:tcPr>
            <w:tcW w:w="100" w:type="dxa"/>
            <w:vAlign w:val="bottom"/>
          </w:tcPr>
          <w:p>
            <w:pPr>
              <w:rPr>
                <w:rFonts w:hint="eastAsia" w:ascii="宋体" w:hAnsi="宋体" w:eastAsia="宋体" w:cs="宋体"/>
                <w:color w:val="auto"/>
                <w:sz w:val="24"/>
                <w:szCs w:val="24"/>
                <w:highlight w:val="none"/>
              </w:rPr>
            </w:pPr>
          </w:p>
        </w:tc>
        <w:tc>
          <w:tcPr>
            <w:tcW w:w="2220" w:type="dxa"/>
            <w:vAlign w:val="bottom"/>
          </w:tcPr>
          <w:p>
            <w:pPr>
              <w:rPr>
                <w:rFonts w:hint="eastAsia" w:ascii="宋体" w:hAnsi="宋体" w:eastAsia="宋体" w:cs="宋体"/>
                <w:color w:val="auto"/>
                <w:sz w:val="24"/>
                <w:szCs w:val="24"/>
                <w:highlight w:val="none"/>
              </w:rPr>
            </w:pPr>
          </w:p>
        </w:tc>
      </w:tr>
    </w:tbl>
    <w:p>
      <w:pPr>
        <w:spacing w:line="171" w:lineRule="exact"/>
        <w:rPr>
          <w:rFonts w:hint="eastAsia" w:ascii="宋体" w:hAnsi="宋体" w:eastAsia="宋体" w:cs="宋体"/>
          <w:color w:val="auto"/>
          <w:sz w:val="20"/>
          <w:szCs w:val="20"/>
          <w:highlight w:val="none"/>
        </w:rPr>
      </w:pPr>
    </w:p>
    <w:p>
      <w:pPr>
        <w:spacing w:line="240" w:lineRule="exact"/>
        <w:ind w:left="78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本企业对上述声明的真实性负责。如有虚假，将依法承担相应责任。</w:t>
      </w:r>
    </w:p>
    <w:p>
      <w:pPr>
        <w:spacing w:line="200" w:lineRule="exact"/>
        <w:rPr>
          <w:rFonts w:hint="eastAsia" w:ascii="宋体" w:hAnsi="宋体" w:eastAsia="宋体" w:cs="宋体"/>
          <w:color w:val="auto"/>
          <w:sz w:val="20"/>
          <w:szCs w:val="20"/>
          <w:highlight w:val="none"/>
        </w:rPr>
      </w:pPr>
    </w:p>
    <w:p>
      <w:pPr>
        <w:spacing w:line="376" w:lineRule="exact"/>
        <w:rPr>
          <w:rFonts w:hint="eastAsia" w:ascii="宋体" w:hAnsi="宋体" w:eastAsia="宋体" w:cs="宋体"/>
          <w:color w:val="auto"/>
          <w:sz w:val="20"/>
          <w:szCs w:val="20"/>
          <w:highlight w:val="none"/>
        </w:rPr>
      </w:pPr>
    </w:p>
    <w:p>
      <w:pPr>
        <w:spacing w:line="240" w:lineRule="exact"/>
        <w:ind w:left="78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供应商全称（盖章）：</w:t>
      </w:r>
    </w:p>
    <w:p>
      <w:pPr>
        <w:spacing w:line="168" w:lineRule="exact"/>
        <w:rPr>
          <w:rFonts w:hint="eastAsia" w:ascii="宋体" w:hAnsi="宋体" w:eastAsia="宋体" w:cs="宋体"/>
          <w:color w:val="auto"/>
          <w:sz w:val="20"/>
          <w:szCs w:val="20"/>
          <w:highlight w:val="none"/>
        </w:rPr>
      </w:pPr>
    </w:p>
    <w:p>
      <w:pPr>
        <w:spacing w:line="240" w:lineRule="exact"/>
        <w:ind w:left="78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日期：年月日</w:t>
      </w:r>
    </w:p>
    <w:p>
      <w:pPr>
        <w:spacing w:line="200" w:lineRule="exact"/>
        <w:rPr>
          <w:rFonts w:hint="eastAsia" w:ascii="宋体" w:hAnsi="宋体" w:eastAsia="宋体" w:cs="宋体"/>
          <w:color w:val="auto"/>
          <w:sz w:val="20"/>
          <w:szCs w:val="20"/>
          <w:highlight w:val="none"/>
        </w:rPr>
      </w:pPr>
    </w:p>
    <w:p>
      <w:pPr>
        <w:spacing w:line="360" w:lineRule="auto"/>
        <w:ind w:left="360" w:right="346" w:firstLine="420"/>
        <w:rPr>
          <w:rFonts w:hint="eastAsia" w:ascii="宋体" w:hAnsi="宋体" w:eastAsia="宋体" w:cs="宋体"/>
          <w:color w:val="auto"/>
          <w:sz w:val="21"/>
          <w:szCs w:val="21"/>
          <w:highlight w:val="none"/>
        </w:rPr>
      </w:pPr>
    </w:p>
    <w:p>
      <w:pPr>
        <w:spacing w:line="360" w:lineRule="auto"/>
        <w:ind w:left="360" w:right="346"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监狱企业参加政府采购活动时，应当提供由省级以上监狱管理局、戒毒管理局（含新疆生产建设兵团）出具的属于监狱企业的证明文件。</w:t>
      </w:r>
    </w:p>
    <w:p>
      <w:pPr>
        <w:spacing w:line="360" w:lineRule="auto"/>
        <w:ind w:left="360" w:right="266" w:firstLine="210" w:firstLineChars="100"/>
        <w:jc w:val="both"/>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u w:val="singl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366" w:lineRule="exact"/>
        <w:ind w:right="-13"/>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残疾人福利性单位声明函</w:t>
      </w:r>
    </w:p>
    <w:p>
      <w:pPr>
        <w:spacing w:line="203" w:lineRule="exact"/>
        <w:rPr>
          <w:rFonts w:hint="eastAsia" w:ascii="宋体" w:hAnsi="宋体" w:eastAsia="宋体" w:cs="宋体"/>
          <w:color w:val="auto"/>
          <w:sz w:val="20"/>
          <w:szCs w:val="20"/>
          <w:highlight w:val="none"/>
        </w:rPr>
      </w:pPr>
    </w:p>
    <w:p>
      <w:pPr>
        <w:spacing w:line="240" w:lineRule="exact"/>
        <w:ind w:right="-413"/>
        <w:jc w:val="center"/>
        <w:rPr>
          <w:rFonts w:hint="eastAsia" w:ascii="宋体" w:hAnsi="宋体" w:eastAsia="宋体" w:cs="宋体"/>
          <w:color w:val="auto"/>
          <w:sz w:val="20"/>
          <w:szCs w:val="20"/>
          <w:highlight w:val="none"/>
        </w:rPr>
      </w:pPr>
      <w:bookmarkStart w:id="152" w:name="_Toc1708_WPSOffice_Level2"/>
      <w:bookmarkStart w:id="153" w:name="_Toc20230_WPSOffice_Level2"/>
      <w:r>
        <w:rPr>
          <w:rFonts w:hint="eastAsia" w:ascii="宋体" w:hAnsi="宋体" w:eastAsia="宋体" w:cs="宋体"/>
          <w:color w:val="auto"/>
          <w:sz w:val="21"/>
          <w:szCs w:val="21"/>
          <w:highlight w:val="none"/>
        </w:rPr>
        <w:t>【不属于残疾人福利性单位的无需填写、递交】</w:t>
      </w:r>
      <w:bookmarkEnd w:id="152"/>
      <w:bookmarkEnd w:id="153"/>
    </w:p>
    <w:p>
      <w:pPr>
        <w:spacing w:line="360" w:lineRule="auto"/>
        <w:rPr>
          <w:rFonts w:hint="eastAsia" w:ascii="宋体" w:hAnsi="宋体" w:eastAsia="宋体" w:cs="宋体"/>
          <w:color w:val="auto"/>
          <w:sz w:val="20"/>
          <w:szCs w:val="20"/>
          <w:highlight w:val="none"/>
        </w:rPr>
      </w:pPr>
    </w:p>
    <w:p>
      <w:pPr>
        <w:spacing w:line="360" w:lineRule="auto"/>
        <w:ind w:right="366"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本单位郑重声明，根据《财政部</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t>民政部</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t>中国残疾人联合会关于促进残疾人就业政府采购政策的通知》（财库〔</w:t>
      </w:r>
      <w:r>
        <w:rPr>
          <w:rFonts w:hint="eastAsia" w:ascii="宋体" w:hAnsi="宋体" w:eastAsia="宋体" w:cs="宋体"/>
          <w:color w:val="auto"/>
          <w:sz w:val="21"/>
          <w:szCs w:val="21"/>
          <w:highlight w:val="none"/>
        </w:rPr>
        <w:t>2017</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 xml:space="preserve">141 </w:t>
      </w:r>
      <w:r>
        <w:rPr>
          <w:rFonts w:hint="eastAsia" w:ascii="宋体" w:hAnsi="宋体" w:eastAsia="宋体" w:cs="宋体"/>
          <w:color w:val="auto"/>
          <w:sz w:val="21"/>
          <w:szCs w:val="21"/>
          <w:highlight w:val="none"/>
        </w:rPr>
        <w:t>号）的规定，本单位为符合条件的残疾人福利性单位，且本单位参加</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t>（采购人名称）</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单位的</w:t>
      </w:r>
      <w:r>
        <w:rPr>
          <w:rFonts w:hint="eastAsia" w:ascii="宋体" w:hAnsi="宋体" w:eastAsia="宋体" w:cs="宋体"/>
          <w:color w:val="auto"/>
          <w:sz w:val="20"/>
          <w:szCs w:val="20"/>
          <w:highlight w:val="none"/>
        </w:rPr>
        <w:tab/>
      </w:r>
      <w:r>
        <w:rPr>
          <w:rFonts w:hint="eastAsia" w:ascii="宋体" w:hAnsi="宋体" w:eastAsia="宋体" w:cs="宋体"/>
          <w:color w:val="auto"/>
          <w:sz w:val="21"/>
          <w:szCs w:val="21"/>
          <w:highlight w:val="none"/>
        </w:rPr>
        <w:t>（项目名称）</w:t>
      </w:r>
      <w:r>
        <w:rPr>
          <w:rFonts w:hint="eastAsia" w:ascii="宋体" w:hAnsi="宋体" w:eastAsia="宋体" w:cs="宋体"/>
          <w:color w:val="auto"/>
          <w:sz w:val="20"/>
          <w:szCs w:val="20"/>
          <w:highlight w:val="none"/>
        </w:rPr>
        <w:tab/>
      </w:r>
      <w:r>
        <w:rPr>
          <w:rFonts w:hint="eastAsia" w:ascii="宋体" w:hAnsi="宋体" w:eastAsia="宋体" w:cs="宋体"/>
          <w:color w:val="auto"/>
          <w:sz w:val="21"/>
          <w:szCs w:val="21"/>
          <w:highlight w:val="none"/>
        </w:rPr>
        <w:t>项目采购活动提供本单位制造的货物（由本单位承担工程</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提供服务），或者提供其他残疾人福利性单位制造的货物（不包括使用非残疾人福利性单位注册商标的货物）。</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本单位对上述声明的真实性负责。如有虚假，将依法承担相应责任。</w:t>
      </w:r>
    </w:p>
    <w:p>
      <w:pPr>
        <w:spacing w:line="360" w:lineRule="auto"/>
        <w:rPr>
          <w:rFonts w:hint="eastAsia" w:ascii="宋体" w:hAnsi="宋体" w:eastAsia="宋体" w:cs="宋体"/>
          <w:color w:val="auto"/>
          <w:sz w:val="20"/>
          <w:szCs w:val="20"/>
          <w:highlight w:val="none"/>
        </w:rPr>
      </w:pPr>
    </w:p>
    <w:p>
      <w:pPr>
        <w:spacing w:line="360" w:lineRule="auto"/>
        <w:ind w:left="78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供应商名称（盖章）：</w:t>
      </w:r>
    </w:p>
    <w:p>
      <w:pPr>
        <w:spacing w:line="79" w:lineRule="exact"/>
        <w:rPr>
          <w:rFonts w:hint="eastAsia" w:ascii="宋体" w:hAnsi="宋体" w:eastAsia="宋体" w:cs="宋体"/>
          <w:color w:val="auto"/>
          <w:sz w:val="20"/>
          <w:szCs w:val="20"/>
          <w:highlight w:val="none"/>
        </w:rPr>
      </w:pPr>
    </w:p>
    <w:p>
      <w:pPr>
        <w:tabs>
          <w:tab w:val="left" w:pos="1700"/>
          <w:tab w:val="left" w:pos="2120"/>
          <w:tab w:val="left" w:pos="2540"/>
        </w:tabs>
        <w:spacing w:line="240" w:lineRule="exact"/>
        <w:ind w:left="78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日</w:t>
      </w: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320" w:lineRule="exact"/>
        <w:ind w:left="360"/>
        <w:rPr>
          <w:rFonts w:hint="eastAsia" w:ascii="宋体" w:hAnsi="宋体" w:eastAsia="宋体" w:cs="宋体"/>
          <w:color w:val="auto"/>
          <w:sz w:val="21"/>
          <w:szCs w:val="21"/>
          <w:highlight w:val="none"/>
          <w:u w:val="single"/>
        </w:rPr>
      </w:pPr>
      <w:bookmarkStart w:id="154" w:name="page75"/>
      <w:bookmarkEnd w:id="154"/>
      <w:r>
        <w:rPr>
          <w:rFonts w:hint="eastAsia" w:ascii="宋体" w:hAnsi="宋体" w:eastAsia="宋体" w:cs="宋体"/>
          <w:color w:val="auto"/>
          <w:sz w:val="21"/>
          <w:szCs w:val="21"/>
          <w:highlight w:val="none"/>
          <w:u w:val="single"/>
        </w:rPr>
        <w:t>说明：</w:t>
      </w:r>
    </w:p>
    <w:p>
      <w:pPr>
        <w:spacing w:line="320" w:lineRule="exact"/>
        <w:ind w:left="36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w:t>
      </w:r>
      <w:r>
        <w:rPr>
          <w:rFonts w:hint="eastAsia" w:ascii="宋体" w:hAnsi="宋体" w:eastAsia="宋体" w:cs="宋体"/>
          <w:color w:val="auto"/>
          <w:sz w:val="21"/>
          <w:szCs w:val="21"/>
          <w:highlight w:val="none"/>
          <w:u w:val="single"/>
        </w:rPr>
        <w:t>若投标人同时满足以下条件，则属于依法享受政府采购支持政策的残疾人福利性单位，可提供《残疾人福利性单位声明函》，并对声明的真实性负责：</w:t>
      </w:r>
    </w:p>
    <w:p>
      <w:pPr>
        <w:spacing w:line="320" w:lineRule="exact"/>
        <w:ind w:left="36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（一）安置的残疾人占本单位在职职工人数的比例不低于</w:t>
      </w:r>
      <w:r>
        <w:rPr>
          <w:rFonts w:hint="eastAsia" w:ascii="宋体" w:hAnsi="宋体" w:eastAsia="宋体" w:cs="宋体"/>
          <w:color w:val="auto"/>
          <w:sz w:val="21"/>
          <w:szCs w:val="21"/>
          <w:highlight w:val="none"/>
          <w:u w:val="single"/>
        </w:rPr>
        <w:t>25%</w:t>
      </w:r>
      <w:r>
        <w:rPr>
          <w:rFonts w:hint="eastAsia" w:ascii="宋体" w:hAnsi="宋体" w:eastAsia="宋体" w:cs="宋体"/>
          <w:color w:val="auto"/>
          <w:sz w:val="21"/>
          <w:szCs w:val="21"/>
          <w:highlight w:val="none"/>
          <w:u w:val="single"/>
        </w:rPr>
        <w:t>（含</w:t>
      </w:r>
      <w:r>
        <w:rPr>
          <w:rFonts w:hint="eastAsia" w:ascii="宋体" w:hAnsi="宋体" w:eastAsia="宋体" w:cs="宋体"/>
          <w:color w:val="auto"/>
          <w:sz w:val="21"/>
          <w:szCs w:val="21"/>
          <w:highlight w:val="none"/>
          <w:u w:val="single"/>
        </w:rPr>
        <w:t>25%</w:t>
      </w:r>
      <w:r>
        <w:rPr>
          <w:rFonts w:hint="eastAsia" w:ascii="宋体" w:hAnsi="宋体" w:eastAsia="宋体" w:cs="宋体"/>
          <w:color w:val="auto"/>
          <w:sz w:val="21"/>
          <w:szCs w:val="21"/>
          <w:highlight w:val="none"/>
          <w:u w:val="single"/>
        </w:rPr>
        <w:t>），并且安置的残疾人人数不少于</w:t>
      </w:r>
      <w:r>
        <w:rPr>
          <w:rFonts w:hint="eastAsia" w:ascii="宋体" w:hAnsi="宋体" w:eastAsia="宋体" w:cs="宋体"/>
          <w:color w:val="auto"/>
          <w:sz w:val="21"/>
          <w:szCs w:val="21"/>
          <w:highlight w:val="none"/>
          <w:u w:val="single"/>
        </w:rPr>
        <w:t>10</w:t>
      </w:r>
      <w:r>
        <w:rPr>
          <w:rFonts w:hint="eastAsia" w:ascii="宋体" w:hAnsi="宋体" w:eastAsia="宋体" w:cs="宋体"/>
          <w:color w:val="auto"/>
          <w:sz w:val="21"/>
          <w:szCs w:val="21"/>
          <w:highlight w:val="none"/>
          <w:u w:val="single"/>
        </w:rPr>
        <w:t>人（含</w:t>
      </w:r>
      <w:r>
        <w:rPr>
          <w:rFonts w:hint="eastAsia" w:ascii="宋体" w:hAnsi="宋体" w:eastAsia="宋体" w:cs="宋体"/>
          <w:color w:val="auto"/>
          <w:sz w:val="21"/>
          <w:szCs w:val="21"/>
          <w:highlight w:val="none"/>
          <w:u w:val="single"/>
        </w:rPr>
        <w:t>10</w:t>
      </w:r>
      <w:r>
        <w:rPr>
          <w:rFonts w:hint="eastAsia" w:ascii="宋体" w:hAnsi="宋体" w:eastAsia="宋体" w:cs="宋体"/>
          <w:color w:val="auto"/>
          <w:sz w:val="21"/>
          <w:szCs w:val="21"/>
          <w:highlight w:val="none"/>
          <w:u w:val="single"/>
        </w:rPr>
        <w:t>人）；</w:t>
      </w:r>
    </w:p>
    <w:p>
      <w:pPr>
        <w:spacing w:line="320" w:lineRule="exact"/>
        <w:ind w:left="36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（二）依法与安置的每位残疾人签订了一年以上（含一年）的劳动合同或服务协议；</w:t>
      </w:r>
    </w:p>
    <w:p>
      <w:pPr>
        <w:spacing w:line="320" w:lineRule="exact"/>
        <w:ind w:left="36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（三）为安置的每位残疾人按月足额缴纳了基本养老保险、基本医疗保险、失业保险、工伤保险和生育保险等社会保险费；</w:t>
      </w:r>
    </w:p>
    <w:p>
      <w:pPr>
        <w:spacing w:line="320" w:lineRule="exact"/>
        <w:ind w:left="36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（四）通过银行等金融机构向安置的每位残疾人，按月支付了不低于单位所在区县适用的经省级人民政府批准的月最低工资标准的工资；</w:t>
      </w:r>
    </w:p>
    <w:p>
      <w:pPr>
        <w:spacing w:line="320" w:lineRule="exact"/>
        <w:ind w:left="36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（五）提供本单位制造的货物、承担的工程或者服务（以下简称产品），或者提供其他残疾人福利性单位制造的货物（不包括使用非残疾人福利性单位注册商标的货物）。</w:t>
      </w:r>
    </w:p>
    <w:p>
      <w:pPr>
        <w:spacing w:line="320" w:lineRule="exact"/>
        <w:ind w:left="36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前款所称残疾人是指法定劳动年龄内，持有《中华人民共和国残疾人证》或者《中华人民共和国残疾军人证（</w:t>
      </w:r>
      <w:r>
        <w:rPr>
          <w:rFonts w:hint="eastAsia" w:ascii="宋体" w:hAnsi="宋体" w:eastAsia="宋体" w:cs="宋体"/>
          <w:color w:val="auto"/>
          <w:sz w:val="21"/>
          <w:szCs w:val="21"/>
          <w:highlight w:val="none"/>
          <w:u w:val="single"/>
        </w:rPr>
        <w:t>1</w:t>
      </w:r>
      <w:r>
        <w:rPr>
          <w:rFonts w:hint="eastAsia" w:ascii="宋体" w:hAnsi="宋体" w:eastAsia="宋体" w:cs="宋体"/>
          <w:color w:val="auto"/>
          <w:sz w:val="21"/>
          <w:szCs w:val="21"/>
          <w:highlight w:val="none"/>
          <w:u w:val="single"/>
        </w:rPr>
        <w:t>至</w:t>
      </w:r>
      <w:r>
        <w:rPr>
          <w:rFonts w:hint="eastAsia" w:ascii="宋体" w:hAnsi="宋体" w:eastAsia="宋体" w:cs="宋体"/>
          <w:color w:val="auto"/>
          <w:sz w:val="21"/>
          <w:szCs w:val="21"/>
          <w:highlight w:val="none"/>
          <w:u w:val="single"/>
        </w:rPr>
        <w:t>8</w:t>
      </w:r>
      <w:r>
        <w:rPr>
          <w:rFonts w:hint="eastAsia" w:ascii="宋体" w:hAnsi="宋体" w:eastAsia="宋体" w:cs="宋体"/>
          <w:color w:val="auto"/>
          <w:sz w:val="21"/>
          <w:szCs w:val="21"/>
          <w:highlight w:val="none"/>
          <w:u w:val="single"/>
        </w:rPr>
        <w:t>级）》的自然人，包括具有劳动条件和劳动意愿的精神残疾人。在职职工人数是指与残疾人福利性单位建立劳动关系并依法签订劳动合同或者服务协议的雇员人数。</w:t>
      </w:r>
    </w:p>
    <w:p>
      <w:pPr>
        <w:spacing w:line="320" w:lineRule="exact"/>
        <w:ind w:left="360"/>
        <w:rPr>
          <w:rFonts w:hint="eastAsia" w:ascii="宋体" w:hAnsi="宋体" w:eastAsia="宋体" w:cs="宋体"/>
          <w:color w:val="auto"/>
          <w:sz w:val="28"/>
          <w:szCs w:val="28"/>
          <w:highlight w:val="none"/>
        </w:rPr>
      </w:pPr>
      <w:r>
        <w:rPr>
          <w:rFonts w:hint="eastAsia" w:ascii="宋体" w:hAnsi="宋体" w:eastAsia="宋体" w:cs="宋体"/>
          <w:color w:val="auto"/>
          <w:sz w:val="21"/>
          <w:szCs w:val="21"/>
          <w:highlight w:val="none"/>
          <w:u w:val="single"/>
        </w:rPr>
        <w:t>2.</w:t>
      </w:r>
      <w:r>
        <w:rPr>
          <w:rFonts w:hint="eastAsia" w:ascii="宋体" w:hAnsi="宋体" w:eastAsia="宋体" w:cs="宋体"/>
          <w:color w:val="auto"/>
          <w:sz w:val="21"/>
          <w:szCs w:val="21"/>
          <w:highlight w:val="none"/>
          <w:u w:val="single"/>
        </w:rPr>
        <w:t>中标人为残疾人福利性单位的，《残疾人福利性单位声明函》随中标结果同时公告，接受社会监督。</w:t>
      </w:r>
    </w:p>
    <w:p>
      <w:pPr>
        <w:spacing w:line="320" w:lineRule="exact"/>
        <w:ind w:left="360"/>
        <w:rPr>
          <w:rFonts w:hint="eastAsia" w:ascii="宋体" w:hAnsi="宋体" w:eastAsia="宋体" w:cs="宋体"/>
          <w:color w:val="auto"/>
          <w:sz w:val="28"/>
          <w:szCs w:val="28"/>
          <w:highlight w:val="none"/>
        </w:rPr>
      </w:pPr>
    </w:p>
    <w:p>
      <w:pPr>
        <w:spacing w:line="320" w:lineRule="exact"/>
        <w:ind w:left="360"/>
        <w:rPr>
          <w:rFonts w:hint="eastAsia" w:ascii="宋体" w:hAnsi="宋体" w:eastAsia="宋体" w:cs="宋体"/>
          <w:color w:val="auto"/>
          <w:sz w:val="28"/>
          <w:szCs w:val="28"/>
          <w:highlight w:val="none"/>
        </w:rPr>
      </w:pPr>
    </w:p>
    <w:p>
      <w:pPr>
        <w:spacing w:line="320" w:lineRule="exact"/>
        <w:ind w:left="360"/>
        <w:rPr>
          <w:rFonts w:hint="eastAsia" w:ascii="宋体" w:hAnsi="宋体" w:eastAsia="宋体" w:cs="宋体"/>
          <w:color w:val="auto"/>
          <w:sz w:val="28"/>
          <w:szCs w:val="28"/>
          <w:highlight w:val="none"/>
        </w:rPr>
      </w:pPr>
    </w:p>
    <w:p>
      <w:pPr>
        <w:spacing w:line="320" w:lineRule="exact"/>
        <w:ind w:left="360"/>
        <w:rPr>
          <w:rFonts w:hint="eastAsia" w:ascii="宋体" w:hAnsi="宋体" w:eastAsia="宋体" w:cs="宋体"/>
          <w:color w:val="auto"/>
          <w:sz w:val="28"/>
          <w:szCs w:val="28"/>
          <w:highlight w:val="none"/>
        </w:rPr>
      </w:pPr>
    </w:p>
    <w:p>
      <w:pPr>
        <w:spacing w:line="320" w:lineRule="exact"/>
        <w:ind w:left="360"/>
        <w:rPr>
          <w:rFonts w:hint="eastAsia" w:ascii="宋体" w:hAnsi="宋体" w:eastAsia="宋体" w:cs="宋体"/>
          <w:color w:val="auto"/>
          <w:sz w:val="28"/>
          <w:szCs w:val="28"/>
          <w:highlight w:val="none"/>
        </w:rPr>
      </w:pPr>
    </w:p>
    <w:p>
      <w:pPr>
        <w:spacing w:line="320" w:lineRule="exact"/>
        <w:ind w:left="360"/>
        <w:rPr>
          <w:rFonts w:hint="eastAsia" w:ascii="宋体" w:hAnsi="宋体" w:eastAsia="宋体" w:cs="宋体"/>
          <w:color w:val="auto"/>
          <w:sz w:val="28"/>
          <w:szCs w:val="28"/>
          <w:highlight w:val="none"/>
        </w:rPr>
      </w:pPr>
    </w:p>
    <w:p>
      <w:pPr>
        <w:spacing w:line="320" w:lineRule="exact"/>
        <w:ind w:left="360"/>
        <w:rPr>
          <w:rFonts w:hint="eastAsia" w:ascii="宋体" w:hAnsi="宋体" w:eastAsia="宋体" w:cs="宋体"/>
          <w:color w:val="auto"/>
          <w:sz w:val="28"/>
          <w:szCs w:val="28"/>
          <w:highlight w:val="none"/>
        </w:rPr>
      </w:pPr>
    </w:p>
    <w:p>
      <w:pPr>
        <w:spacing w:line="320" w:lineRule="exact"/>
        <w:ind w:left="360"/>
        <w:rPr>
          <w:rFonts w:hint="eastAsia" w:ascii="宋体" w:hAnsi="宋体" w:eastAsia="宋体" w:cs="宋体"/>
          <w:color w:val="auto"/>
          <w:sz w:val="28"/>
          <w:szCs w:val="28"/>
          <w:highlight w:val="none"/>
        </w:rPr>
      </w:pPr>
    </w:p>
    <w:p>
      <w:pPr>
        <w:spacing w:line="320" w:lineRule="exact"/>
        <w:ind w:left="360"/>
        <w:rPr>
          <w:rFonts w:hint="eastAsia" w:ascii="宋体" w:hAnsi="宋体" w:eastAsia="宋体" w:cs="宋体"/>
          <w:color w:val="auto"/>
          <w:sz w:val="28"/>
          <w:szCs w:val="28"/>
          <w:highlight w:val="none"/>
        </w:rPr>
      </w:pPr>
    </w:p>
    <w:p>
      <w:pPr>
        <w:spacing w:line="320" w:lineRule="exact"/>
        <w:ind w:left="360"/>
        <w:rPr>
          <w:rFonts w:hint="eastAsia" w:ascii="宋体" w:hAnsi="宋体" w:eastAsia="宋体" w:cs="宋体"/>
          <w:color w:val="auto"/>
          <w:sz w:val="28"/>
          <w:szCs w:val="28"/>
          <w:highlight w:val="none"/>
        </w:rPr>
      </w:pPr>
    </w:p>
    <w:p>
      <w:pPr>
        <w:spacing w:line="320" w:lineRule="exact"/>
        <w:ind w:left="360"/>
        <w:rPr>
          <w:rFonts w:hint="eastAsia" w:ascii="宋体" w:hAnsi="宋体" w:eastAsia="宋体" w:cs="宋体"/>
          <w:color w:val="auto"/>
          <w:sz w:val="28"/>
          <w:szCs w:val="28"/>
          <w:highlight w:val="none"/>
        </w:rPr>
      </w:pPr>
    </w:p>
    <w:p>
      <w:pPr>
        <w:spacing w:line="320" w:lineRule="exact"/>
        <w:rPr>
          <w:rFonts w:hint="eastAsia" w:ascii="宋体" w:hAnsi="宋体" w:eastAsia="宋体" w:cs="宋体"/>
          <w:color w:val="auto"/>
          <w:sz w:val="28"/>
          <w:szCs w:val="28"/>
          <w:highlight w:val="none"/>
        </w:rPr>
      </w:pPr>
    </w:p>
    <w:p>
      <w:pPr>
        <w:spacing w:line="320" w:lineRule="exact"/>
        <w:ind w:left="360"/>
        <w:rPr>
          <w:rFonts w:hint="eastAsia" w:ascii="宋体" w:hAnsi="宋体" w:eastAsia="宋体" w:cs="宋体"/>
          <w:color w:val="auto"/>
          <w:sz w:val="28"/>
          <w:szCs w:val="28"/>
          <w:highlight w:val="none"/>
        </w:rPr>
      </w:pPr>
    </w:p>
    <w:p>
      <w:pPr>
        <w:spacing w:line="320" w:lineRule="exact"/>
        <w:ind w:left="360"/>
        <w:rPr>
          <w:rFonts w:hint="eastAsia" w:ascii="宋体" w:hAnsi="宋体" w:eastAsia="宋体" w:cs="宋体"/>
          <w:color w:val="auto"/>
          <w:sz w:val="28"/>
          <w:szCs w:val="28"/>
          <w:highlight w:val="none"/>
        </w:rPr>
      </w:pPr>
    </w:p>
    <w:p>
      <w:pPr>
        <w:spacing w:line="320" w:lineRule="exact"/>
        <w:ind w:left="360"/>
        <w:rPr>
          <w:rFonts w:hint="eastAsia" w:ascii="宋体" w:hAnsi="宋体" w:eastAsia="宋体" w:cs="宋体"/>
          <w:color w:val="auto"/>
          <w:sz w:val="28"/>
          <w:szCs w:val="28"/>
          <w:highlight w:val="none"/>
        </w:rPr>
        <w:sectPr>
          <w:pgSz w:w="11900" w:h="16838"/>
          <w:pgMar w:top="1440" w:right="1440" w:bottom="158" w:left="1440" w:header="567" w:footer="567" w:gutter="0"/>
          <w:cols w:equalWidth="0" w:num="1">
            <w:col w:w="9026"/>
          </w:cols>
        </w:sectPr>
      </w:pPr>
      <w:bookmarkStart w:id="155" w:name="_Toc5942_WPSOffice_Level2"/>
    </w:p>
    <w:p>
      <w:pPr>
        <w:spacing w:line="320" w:lineRule="exact"/>
        <w:ind w:left="360"/>
        <w:rPr>
          <w:rFonts w:hint="eastAsia" w:ascii="宋体" w:hAnsi="宋体" w:eastAsia="宋体" w:cs="宋体"/>
          <w:color w:val="auto"/>
          <w:sz w:val="20"/>
          <w:szCs w:val="20"/>
          <w:highlight w:val="none"/>
        </w:rPr>
      </w:pPr>
      <w:r>
        <w:rPr>
          <w:rFonts w:hint="eastAsia" w:ascii="宋体" w:hAnsi="宋体" w:eastAsia="宋体" w:cs="宋体"/>
          <w:color w:val="auto"/>
          <w:sz w:val="28"/>
          <w:szCs w:val="28"/>
          <w:highlight w:val="none"/>
        </w:rPr>
        <w:t>商务技术文件封面</w:t>
      </w:r>
      <w:bookmarkEnd w:id="155"/>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308" w:lineRule="exact"/>
        <w:rPr>
          <w:rFonts w:hint="eastAsia" w:ascii="宋体" w:hAnsi="宋体" w:eastAsia="宋体" w:cs="宋体"/>
          <w:color w:val="auto"/>
          <w:sz w:val="20"/>
          <w:szCs w:val="20"/>
          <w:highlight w:val="none"/>
        </w:rPr>
      </w:pPr>
    </w:p>
    <w:p>
      <w:pPr>
        <w:spacing w:line="320" w:lineRule="exact"/>
        <w:ind w:left="1340"/>
        <w:rPr>
          <w:rFonts w:hint="eastAsia" w:ascii="宋体" w:hAnsi="宋体" w:eastAsia="宋体" w:cs="宋体"/>
          <w:color w:val="auto"/>
          <w:sz w:val="20"/>
          <w:szCs w:val="20"/>
          <w:highlight w:val="none"/>
        </w:rPr>
      </w:pPr>
      <w:bookmarkStart w:id="156" w:name="_Toc11046_WPSOffice_Level2"/>
      <w:r>
        <w:rPr>
          <w:rFonts w:hint="eastAsia" w:ascii="宋体" w:hAnsi="宋体" w:eastAsia="宋体" w:cs="宋体"/>
          <w:color w:val="auto"/>
          <w:sz w:val="28"/>
          <w:szCs w:val="28"/>
          <w:highlight w:val="none"/>
        </w:rPr>
        <w:t>项目名称：</w:t>
      </w:r>
      <w:bookmarkEnd w:id="156"/>
    </w:p>
    <w:p>
      <w:pPr>
        <w:spacing w:line="20" w:lineRule="exact"/>
        <w:rPr>
          <w:rFonts w:hint="eastAsia" w:ascii="宋体" w:hAnsi="宋体" w:eastAsia="宋体" w:cs="宋体"/>
          <w:color w:val="auto"/>
          <w:sz w:val="20"/>
          <w:szCs w:val="20"/>
          <w:highlight w:val="none"/>
        </w:rPr>
      </w:pPr>
      <w:r>
        <w:rPr>
          <w:rFonts w:hint="eastAsia" w:ascii="宋体" w:hAnsi="宋体" w:eastAsia="宋体" w:cs="宋体"/>
          <w:color w:val="auto"/>
          <w:highlight w:val="none"/>
        </w:rPr>
        <w:pict>
          <v:line id="Shape 316" o:spid="_x0000_s1051" o:spt="20" style="position:absolute;left:0pt;margin-left:136.95pt;margin-top:0.05pt;height:0pt;width:287.1pt;z-index:-251657216;mso-width-relative:page;mso-height-relative:page;" filled="t" coordsize="21600,21600" o:allowincell="f">
            <v:path arrowok="t"/>
            <v:fill on="t" focussize="0,0"/>
            <v:stroke weight="1.08pt" joinstyle="miter"/>
            <v:imagedata o:title=""/>
            <o:lock v:ext="edit"/>
          </v:line>
        </w:pict>
      </w: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88" w:lineRule="exact"/>
        <w:rPr>
          <w:rFonts w:hint="eastAsia" w:ascii="宋体" w:hAnsi="宋体" w:eastAsia="宋体" w:cs="宋体"/>
          <w:color w:val="auto"/>
          <w:sz w:val="20"/>
          <w:szCs w:val="20"/>
          <w:highlight w:val="none"/>
        </w:rPr>
      </w:pPr>
    </w:p>
    <w:p>
      <w:pPr>
        <w:spacing w:line="320" w:lineRule="exact"/>
        <w:ind w:left="1340"/>
        <w:rPr>
          <w:rFonts w:hint="eastAsia" w:ascii="宋体" w:hAnsi="宋体" w:eastAsia="宋体" w:cs="宋体"/>
          <w:color w:val="auto"/>
          <w:sz w:val="20"/>
          <w:szCs w:val="20"/>
          <w:highlight w:val="none"/>
        </w:rPr>
      </w:pPr>
      <w:bookmarkStart w:id="157" w:name="_Toc4594_WPSOffice_Level2"/>
      <w:r>
        <w:rPr>
          <w:rFonts w:hint="eastAsia" w:ascii="宋体" w:hAnsi="宋体" w:eastAsia="宋体" w:cs="宋体"/>
          <w:color w:val="auto"/>
          <w:sz w:val="28"/>
          <w:szCs w:val="28"/>
          <w:highlight w:val="none"/>
        </w:rPr>
        <w:t>项目编号：</w:t>
      </w:r>
      <w:bookmarkEnd w:id="157"/>
    </w:p>
    <w:p>
      <w:pPr>
        <w:spacing w:line="20" w:lineRule="exact"/>
        <w:rPr>
          <w:rFonts w:hint="eastAsia" w:ascii="宋体" w:hAnsi="宋体" w:eastAsia="宋体" w:cs="宋体"/>
          <w:color w:val="auto"/>
          <w:sz w:val="20"/>
          <w:szCs w:val="20"/>
          <w:highlight w:val="none"/>
        </w:rPr>
      </w:pPr>
      <w:r>
        <w:rPr>
          <w:rFonts w:hint="eastAsia" w:ascii="宋体" w:hAnsi="宋体" w:eastAsia="宋体" w:cs="宋体"/>
          <w:color w:val="auto"/>
          <w:highlight w:val="none"/>
        </w:rPr>
        <w:pict>
          <v:line id="Shape 317" o:spid="_x0000_s1052" o:spt="20" style="position:absolute;left:0pt;margin-left:136.95pt;margin-top:0.05pt;height:0pt;width:287.1pt;z-index:-251656192;mso-width-relative:page;mso-height-relative:page;" filled="t" coordsize="21600,21600" o:allowincell="f">
            <v:path arrowok="t"/>
            <v:fill on="t" focussize="0,0"/>
            <v:stroke weight="1.08pt" joinstyle="miter"/>
            <v:imagedata o:title=""/>
            <o:lock v:ext="edit"/>
          </v:line>
        </w:pict>
      </w: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25" w:lineRule="exact"/>
        <w:rPr>
          <w:rFonts w:hint="eastAsia" w:ascii="宋体" w:hAnsi="宋体" w:eastAsia="宋体" w:cs="宋体"/>
          <w:color w:val="auto"/>
          <w:sz w:val="20"/>
          <w:szCs w:val="20"/>
          <w:highlight w:val="none"/>
        </w:rPr>
      </w:pPr>
    </w:p>
    <w:p>
      <w:pPr>
        <w:spacing w:line="822" w:lineRule="exact"/>
        <w:ind w:right="-33"/>
        <w:jc w:val="center"/>
        <w:rPr>
          <w:rFonts w:hint="eastAsia" w:ascii="宋体" w:hAnsi="宋体" w:eastAsia="宋体" w:cs="宋体"/>
          <w:color w:val="auto"/>
          <w:sz w:val="20"/>
          <w:szCs w:val="20"/>
          <w:highlight w:val="none"/>
        </w:rPr>
      </w:pPr>
      <w:r>
        <w:rPr>
          <w:rFonts w:hint="eastAsia" w:ascii="宋体" w:hAnsi="宋体" w:eastAsia="宋体" w:cs="宋体"/>
          <w:color w:val="auto"/>
          <w:sz w:val="72"/>
          <w:szCs w:val="72"/>
          <w:highlight w:val="none"/>
        </w:rPr>
        <w:t>投</w:t>
      </w:r>
      <w:r>
        <w:rPr>
          <w:rFonts w:hint="eastAsia" w:ascii="宋体" w:hAnsi="宋体" w:eastAsia="宋体" w:cs="宋体"/>
          <w:color w:val="auto"/>
          <w:sz w:val="72"/>
          <w:szCs w:val="72"/>
          <w:highlight w:val="none"/>
        </w:rPr>
        <w:t xml:space="preserve"> </w:t>
      </w:r>
      <w:r>
        <w:rPr>
          <w:rFonts w:hint="eastAsia" w:ascii="宋体" w:hAnsi="宋体" w:eastAsia="宋体" w:cs="宋体"/>
          <w:color w:val="auto"/>
          <w:sz w:val="72"/>
          <w:szCs w:val="72"/>
          <w:highlight w:val="none"/>
        </w:rPr>
        <w:t>标</w:t>
      </w:r>
      <w:r>
        <w:rPr>
          <w:rFonts w:hint="eastAsia" w:ascii="宋体" w:hAnsi="宋体" w:eastAsia="宋体" w:cs="宋体"/>
          <w:color w:val="auto"/>
          <w:sz w:val="72"/>
          <w:szCs w:val="72"/>
          <w:highlight w:val="none"/>
        </w:rPr>
        <w:t xml:space="preserve"> </w:t>
      </w:r>
      <w:r>
        <w:rPr>
          <w:rFonts w:hint="eastAsia" w:ascii="宋体" w:hAnsi="宋体" w:eastAsia="宋体" w:cs="宋体"/>
          <w:color w:val="auto"/>
          <w:sz w:val="72"/>
          <w:szCs w:val="72"/>
          <w:highlight w:val="none"/>
        </w:rPr>
        <w:t>文</w:t>
      </w:r>
      <w:r>
        <w:rPr>
          <w:rFonts w:hint="eastAsia" w:ascii="宋体" w:hAnsi="宋体" w:eastAsia="宋体" w:cs="宋体"/>
          <w:color w:val="auto"/>
          <w:sz w:val="72"/>
          <w:szCs w:val="72"/>
          <w:highlight w:val="none"/>
        </w:rPr>
        <w:t xml:space="preserve"> </w:t>
      </w:r>
      <w:r>
        <w:rPr>
          <w:rFonts w:hint="eastAsia" w:ascii="宋体" w:hAnsi="宋体" w:eastAsia="宋体" w:cs="宋体"/>
          <w:color w:val="auto"/>
          <w:sz w:val="72"/>
          <w:szCs w:val="72"/>
          <w:highlight w:val="none"/>
        </w:rPr>
        <w:t>件</w:t>
      </w:r>
    </w:p>
    <w:p>
      <w:pPr>
        <w:spacing w:line="200" w:lineRule="exact"/>
        <w:rPr>
          <w:rFonts w:hint="eastAsia" w:ascii="宋体" w:hAnsi="宋体" w:eastAsia="宋体" w:cs="宋体"/>
          <w:color w:val="auto"/>
          <w:sz w:val="20"/>
          <w:szCs w:val="20"/>
          <w:highlight w:val="none"/>
        </w:rPr>
      </w:pPr>
    </w:p>
    <w:p>
      <w:pPr>
        <w:spacing w:line="381" w:lineRule="exact"/>
        <w:rPr>
          <w:rFonts w:hint="eastAsia" w:ascii="宋体" w:hAnsi="宋体" w:eastAsia="宋体" w:cs="宋体"/>
          <w:color w:val="auto"/>
          <w:sz w:val="20"/>
          <w:szCs w:val="20"/>
          <w:highlight w:val="none"/>
        </w:rPr>
      </w:pPr>
    </w:p>
    <w:p>
      <w:pPr>
        <w:spacing w:line="822" w:lineRule="exact"/>
        <w:ind w:right="-33"/>
        <w:jc w:val="center"/>
        <w:rPr>
          <w:rFonts w:hint="eastAsia" w:ascii="宋体" w:hAnsi="宋体" w:eastAsia="宋体" w:cs="宋体"/>
          <w:color w:val="auto"/>
          <w:sz w:val="20"/>
          <w:szCs w:val="20"/>
          <w:highlight w:val="none"/>
        </w:rPr>
      </w:pPr>
      <w:r>
        <w:rPr>
          <w:rFonts w:hint="eastAsia" w:ascii="宋体" w:hAnsi="宋体" w:eastAsia="宋体" w:cs="宋体"/>
          <w:color w:val="auto"/>
          <w:sz w:val="72"/>
          <w:szCs w:val="72"/>
          <w:highlight w:val="none"/>
        </w:rPr>
        <w:t>（商务技术文件）</w:t>
      </w: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67" w:lineRule="exact"/>
        <w:rPr>
          <w:rFonts w:hint="eastAsia" w:ascii="宋体" w:hAnsi="宋体" w:eastAsia="宋体" w:cs="宋体"/>
          <w:color w:val="auto"/>
          <w:sz w:val="20"/>
          <w:szCs w:val="20"/>
          <w:highlight w:val="none"/>
        </w:rPr>
      </w:pPr>
    </w:p>
    <w:p>
      <w:pPr>
        <w:tabs>
          <w:tab w:val="left" w:pos="5880"/>
        </w:tabs>
        <w:spacing w:line="320" w:lineRule="exact"/>
        <w:ind w:left="1140"/>
        <w:jc w:val="both"/>
        <w:rPr>
          <w:rFonts w:hint="eastAsia" w:ascii="宋体" w:hAnsi="宋体" w:eastAsia="宋体" w:cs="宋体"/>
          <w:color w:val="auto"/>
          <w:sz w:val="20"/>
          <w:szCs w:val="20"/>
          <w:highlight w:val="none"/>
        </w:rPr>
      </w:pPr>
      <w:bookmarkStart w:id="158" w:name="_Toc1319_WPSOffice_Level2"/>
      <w:r>
        <w:rPr>
          <w:rFonts w:hint="eastAsia" w:ascii="宋体" w:hAnsi="宋体" w:eastAsia="宋体" w:cs="宋体"/>
          <w:color w:val="auto"/>
          <w:sz w:val="28"/>
          <w:szCs w:val="28"/>
          <w:highlight w:val="none"/>
        </w:rPr>
        <w:t>供应商：</w:t>
      </w:r>
      <w:r>
        <w:rPr>
          <w:rFonts w:hint="eastAsia" w:ascii="宋体" w:hAnsi="宋体" w:eastAsia="宋体" w:cs="宋体"/>
          <w:color w:val="auto"/>
          <w:sz w:val="20"/>
          <w:szCs w:val="20"/>
          <w:highlight w:val="none"/>
        </w:rPr>
        <w:tab/>
      </w:r>
      <w:r>
        <w:rPr>
          <w:rFonts w:hint="eastAsia" w:ascii="宋体" w:hAnsi="宋体" w:eastAsia="宋体" w:cs="宋体"/>
          <w:color w:val="auto"/>
          <w:sz w:val="28"/>
          <w:szCs w:val="28"/>
          <w:highlight w:val="none"/>
        </w:rPr>
        <w:t>（盖单位公章）</w:t>
      </w:r>
      <w:bookmarkEnd w:id="158"/>
    </w:p>
    <w:p>
      <w:pPr>
        <w:spacing w:line="20" w:lineRule="exact"/>
        <w:rPr>
          <w:rFonts w:hint="eastAsia" w:ascii="宋体" w:hAnsi="宋体" w:eastAsia="宋体" w:cs="宋体"/>
          <w:color w:val="auto"/>
          <w:sz w:val="20"/>
          <w:szCs w:val="20"/>
          <w:highlight w:val="none"/>
        </w:rPr>
      </w:pPr>
      <w:r>
        <w:rPr>
          <w:rFonts w:hint="eastAsia" w:ascii="宋体" w:hAnsi="宋体" w:eastAsia="宋体" w:cs="宋体"/>
          <w:color w:val="auto"/>
          <w:highlight w:val="none"/>
        </w:rPr>
        <w:pict>
          <v:line id="Shape 318" o:spid="_x0000_s1053" o:spt="20" style="position:absolute;left:0pt;margin-left:112.6pt;margin-top:0.05pt;height:0pt;width:182.05pt;z-index:-251655168;mso-width-relative:page;mso-height-relative:page;" filled="t" coordsize="21600,21600" o:allowincell="f">
            <v:path arrowok="t"/>
            <v:fill on="t" focussize="0,0"/>
            <v:stroke weight="1.08pt" joinstyle="miter"/>
            <v:imagedata o:title=""/>
            <o:lock v:ext="edit"/>
          </v:line>
        </w:pict>
      </w:r>
    </w:p>
    <w:p>
      <w:pPr>
        <w:spacing w:line="205" w:lineRule="exact"/>
        <w:rPr>
          <w:rFonts w:hint="eastAsia" w:ascii="宋体" w:hAnsi="宋体" w:eastAsia="宋体" w:cs="宋体"/>
          <w:color w:val="auto"/>
          <w:sz w:val="20"/>
          <w:szCs w:val="20"/>
          <w:highlight w:val="none"/>
        </w:rPr>
      </w:pPr>
    </w:p>
    <w:p>
      <w:pPr>
        <w:tabs>
          <w:tab w:val="left" w:pos="5460"/>
        </w:tabs>
        <w:spacing w:line="320" w:lineRule="exact"/>
        <w:ind w:left="1140"/>
        <w:rPr>
          <w:rFonts w:hint="eastAsia" w:ascii="宋体" w:hAnsi="宋体" w:eastAsia="宋体" w:cs="宋体"/>
          <w:color w:val="auto"/>
          <w:sz w:val="20"/>
          <w:szCs w:val="20"/>
          <w:highlight w:val="none"/>
        </w:rPr>
      </w:pPr>
      <w:bookmarkStart w:id="159" w:name="_Toc18029_WPSOffice_Level2"/>
      <w:r>
        <w:rPr>
          <w:rFonts w:hint="eastAsia" w:ascii="宋体" w:hAnsi="宋体" w:eastAsia="宋体" w:cs="宋体"/>
          <w:color w:val="auto"/>
          <w:sz w:val="28"/>
          <w:szCs w:val="28"/>
          <w:highlight w:val="none"/>
        </w:rPr>
        <w:t>响应文件签署人：</w:t>
      </w:r>
      <w:r>
        <w:rPr>
          <w:rFonts w:hint="eastAsia" w:ascii="宋体" w:hAnsi="宋体" w:eastAsia="宋体" w:cs="宋体"/>
          <w:color w:val="auto"/>
          <w:sz w:val="20"/>
          <w:szCs w:val="20"/>
          <w:highlight w:val="none"/>
        </w:rPr>
        <w:tab/>
      </w:r>
      <w:r>
        <w:rPr>
          <w:rFonts w:hint="eastAsia" w:ascii="宋体" w:hAnsi="宋体" w:eastAsia="宋体" w:cs="宋体"/>
          <w:color w:val="auto"/>
          <w:sz w:val="28"/>
          <w:szCs w:val="28"/>
          <w:highlight w:val="none"/>
        </w:rPr>
        <w:t>（签字或盖章）</w:t>
      </w:r>
      <w:bookmarkEnd w:id="159"/>
    </w:p>
    <w:p>
      <w:pPr>
        <w:spacing w:line="20" w:lineRule="exact"/>
        <w:rPr>
          <w:rFonts w:hint="eastAsia" w:ascii="宋体" w:hAnsi="宋体" w:eastAsia="宋体" w:cs="宋体"/>
          <w:color w:val="auto"/>
          <w:sz w:val="20"/>
          <w:szCs w:val="20"/>
          <w:highlight w:val="none"/>
        </w:rPr>
      </w:pPr>
      <w:r>
        <w:rPr>
          <w:rFonts w:hint="eastAsia" w:ascii="宋体" w:hAnsi="宋体" w:eastAsia="宋体" w:cs="宋体"/>
          <w:color w:val="auto"/>
          <w:highlight w:val="none"/>
        </w:rPr>
        <w:pict>
          <v:line id="Shape 319" o:spid="_x0000_s1054" o:spt="20" style="position:absolute;left:0pt;margin-left:168.65pt;margin-top:0.05pt;height:0pt;width:105pt;z-index:-251654144;mso-width-relative:page;mso-height-relative:page;" filled="t" coordsize="21600,21600" o:allowincell="f">
            <v:path arrowok="t"/>
            <v:fill on="t" focussize="0,0"/>
            <v:stroke weight="1.08pt" joinstyle="miter"/>
            <v:imagedata o:title=""/>
            <o:lock v:ext="edit"/>
          </v:line>
        </w:pict>
      </w: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88" w:lineRule="exact"/>
        <w:rPr>
          <w:rFonts w:hint="eastAsia" w:ascii="宋体" w:hAnsi="宋体" w:eastAsia="宋体" w:cs="宋体"/>
          <w:color w:val="auto"/>
          <w:sz w:val="20"/>
          <w:szCs w:val="20"/>
          <w:highlight w:val="none"/>
        </w:rPr>
      </w:pPr>
    </w:p>
    <w:p>
      <w:pPr>
        <w:tabs>
          <w:tab w:val="left" w:pos="4600"/>
          <w:tab w:val="left" w:pos="5300"/>
        </w:tabs>
        <w:spacing w:line="320" w:lineRule="exact"/>
        <w:ind w:left="3920"/>
        <w:rPr>
          <w:rFonts w:hint="eastAsia" w:ascii="宋体" w:hAnsi="宋体" w:eastAsia="宋体" w:cs="宋体"/>
          <w:color w:val="auto"/>
          <w:sz w:val="20"/>
          <w:szCs w:val="20"/>
          <w:highlight w:val="none"/>
        </w:rPr>
      </w:pPr>
      <w:bookmarkStart w:id="160" w:name="_Toc15576_WPSOffice_Level2"/>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日</w:t>
      </w:r>
      <w:bookmarkEnd w:id="160"/>
    </w:p>
    <w:p>
      <w:pPr>
        <w:spacing w:line="20" w:lineRule="exact"/>
        <w:rPr>
          <w:rFonts w:hint="eastAsia" w:ascii="宋体" w:hAnsi="宋体" w:eastAsia="宋体" w:cs="宋体"/>
          <w:color w:val="auto"/>
          <w:sz w:val="20"/>
          <w:szCs w:val="20"/>
          <w:highlight w:val="none"/>
        </w:rPr>
      </w:pPr>
      <w:r>
        <w:rPr>
          <w:rFonts w:hint="eastAsia" w:ascii="宋体" w:hAnsi="宋体" w:eastAsia="宋体" w:cs="宋体"/>
          <w:color w:val="auto"/>
          <w:highlight w:val="none"/>
        </w:rPr>
        <w:pict>
          <v:line id="Shape 320" o:spid="_x0000_s1055" o:spt="20" style="position:absolute;left:0pt;margin-left:153.85pt;margin-top:0.05pt;height:0pt;width:42.15pt;z-index:-251653120;mso-width-relative:page;mso-height-relative:page;" filled="t" coordsize="21600,21600" o:allowincell="f">
            <v:path arrowok="t"/>
            <v:fill on="t" focussize="0,0"/>
            <v:stroke weight="1.08pt" joinstyle="miter"/>
            <v:imagedata o:title=""/>
            <o:lock v:ext="edit"/>
          </v:line>
        </w:pict>
      </w:r>
      <w:r>
        <w:rPr>
          <w:rFonts w:hint="eastAsia" w:ascii="宋体" w:hAnsi="宋体" w:eastAsia="宋体" w:cs="宋体"/>
          <w:color w:val="auto"/>
          <w:highlight w:val="none"/>
        </w:rPr>
        <w:pict>
          <v:line id="Shape 321" o:spid="_x0000_s1056" o:spt="20" style="position:absolute;left:0pt;margin-left:209.9pt;margin-top:0.05pt;height:0pt;width:21.05pt;z-index:-251652096;mso-width-relative:page;mso-height-relative:page;" filled="t" coordsize="21600,21600" o:allowincell="f">
            <v:path arrowok="t"/>
            <v:fill on="t" focussize="0,0"/>
            <v:stroke weight="1.08pt" joinstyle="miter"/>
            <v:imagedata o:title=""/>
            <o:lock v:ext="edit"/>
          </v:line>
        </w:pict>
      </w:r>
      <w:r>
        <w:rPr>
          <w:rFonts w:hint="eastAsia" w:ascii="宋体" w:hAnsi="宋体" w:eastAsia="宋体" w:cs="宋体"/>
          <w:color w:val="auto"/>
          <w:highlight w:val="none"/>
        </w:rPr>
        <w:pict>
          <v:line id="Shape 322" o:spid="_x0000_s1057" o:spt="20" style="position:absolute;left:0pt;margin-left:244.95pt;margin-top:0.05pt;height:0pt;width:20.9pt;z-index:-251651072;mso-width-relative:page;mso-height-relative:page;" filled="t" coordsize="21600,21600" o:allowincell="f">
            <v:path arrowok="t"/>
            <v:fill on="t" focussize="0,0"/>
            <v:stroke weight="1.08pt" joinstyle="miter"/>
            <v:imagedata o:title=""/>
            <o:lock v:ext="edit"/>
          </v:line>
        </w:pict>
      </w: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jc w:val="center"/>
        <w:rPr>
          <w:rFonts w:hint="eastAsia" w:ascii="宋体" w:hAnsi="宋体" w:eastAsia="宋体" w:cs="宋体"/>
          <w:b/>
          <w:bCs/>
          <w:color w:val="auto"/>
          <w:sz w:val="28"/>
          <w:szCs w:val="28"/>
          <w:highlight w:val="none"/>
        </w:rPr>
      </w:pPr>
      <w:bookmarkStart w:id="161" w:name="_Toc18958_WPSOffice_Level2"/>
      <w:r>
        <w:rPr>
          <w:rFonts w:hint="eastAsia" w:ascii="宋体" w:hAnsi="宋体" w:eastAsia="宋体" w:cs="宋体"/>
          <w:b/>
          <w:bCs/>
          <w:color w:val="auto"/>
          <w:sz w:val="28"/>
          <w:szCs w:val="28"/>
          <w:highlight w:val="none"/>
        </w:rPr>
        <w:t>索</w:t>
      </w:r>
      <w:r>
        <w:rPr>
          <w:rFonts w:hint="eastAsia" w:ascii="宋体" w:hAnsi="宋体" w:eastAsia="宋体" w:cs="宋体"/>
          <w:b/>
          <w:bCs/>
          <w:color w:val="auto"/>
          <w:sz w:val="28"/>
          <w:szCs w:val="28"/>
          <w:highlight w:val="none"/>
        </w:rPr>
        <w:t xml:space="preserve">   </w:t>
      </w:r>
      <w:r>
        <w:rPr>
          <w:rFonts w:hint="eastAsia" w:ascii="宋体" w:hAnsi="宋体" w:eastAsia="宋体" w:cs="宋体"/>
          <w:b/>
          <w:bCs/>
          <w:color w:val="auto"/>
          <w:sz w:val="28"/>
          <w:szCs w:val="28"/>
          <w:highlight w:val="none"/>
        </w:rPr>
        <w:t>引</w:t>
      </w:r>
      <w:bookmarkEnd w:id="161"/>
    </w:p>
    <w:p>
      <w:pPr>
        <w:jc w:val="center"/>
        <w:rPr>
          <w:rFonts w:hint="eastAsia" w:ascii="宋体" w:hAnsi="宋体" w:eastAsia="宋体" w:cs="宋体"/>
          <w:b/>
          <w:bCs/>
          <w:color w:val="auto"/>
          <w:sz w:val="28"/>
          <w:szCs w:val="28"/>
          <w:highlight w:val="none"/>
        </w:rPr>
      </w:pPr>
    </w:p>
    <w:p>
      <w:pPr>
        <w:jc w:val="center"/>
        <w:rPr>
          <w:rFonts w:hint="eastAsia" w:ascii="宋体" w:hAnsi="宋体" w:eastAsia="宋体" w:cs="宋体"/>
          <w:b/>
          <w:bCs/>
          <w:color w:val="auto"/>
          <w:sz w:val="28"/>
          <w:szCs w:val="28"/>
          <w:highlight w:val="none"/>
        </w:rPr>
      </w:pPr>
      <w:bookmarkStart w:id="162" w:name="_Toc13178_WPSOffice_Level2"/>
      <w:r>
        <w:rPr>
          <w:rFonts w:hint="eastAsia" w:ascii="宋体" w:hAnsi="宋体" w:eastAsia="宋体" w:cs="宋体"/>
          <w:b/>
          <w:bCs/>
          <w:color w:val="auto"/>
          <w:sz w:val="28"/>
          <w:szCs w:val="28"/>
          <w:highlight w:val="none"/>
        </w:rPr>
        <w:t>（请磋商响应供应商自行在评分表基础上自拟）</w:t>
      </w:r>
      <w:bookmarkEnd w:id="162"/>
    </w:p>
    <w:p>
      <w:pPr>
        <w:spacing w:line="251" w:lineRule="exact"/>
        <w:rPr>
          <w:rFonts w:hint="eastAsia" w:ascii="宋体" w:hAnsi="宋体" w:eastAsia="宋体" w:cs="宋体"/>
          <w:color w:val="auto"/>
          <w:sz w:val="20"/>
          <w:szCs w:val="20"/>
          <w:highlight w:val="none"/>
        </w:rPr>
      </w:pPr>
    </w:p>
    <w:p>
      <w:pPr>
        <w:rPr>
          <w:rFonts w:hint="eastAsia" w:ascii="宋体" w:hAnsi="宋体" w:eastAsia="宋体" w:cs="宋体"/>
          <w:color w:val="auto"/>
          <w:highlight w:val="none"/>
        </w:rPr>
      </w:pPr>
      <w:bookmarkStart w:id="163" w:name="page76"/>
      <w:bookmarkEnd w:id="163"/>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spacing w:line="366" w:lineRule="exact"/>
        <w:rPr>
          <w:rFonts w:hint="eastAsia" w:ascii="宋体" w:hAnsi="宋体" w:eastAsia="宋体" w:cs="宋体"/>
          <w:b/>
          <w:bCs/>
          <w:color w:val="auto"/>
          <w:sz w:val="28"/>
          <w:szCs w:val="28"/>
          <w:highlight w:val="none"/>
        </w:rPr>
      </w:pPr>
    </w:p>
    <w:p>
      <w:pPr>
        <w:spacing w:line="366" w:lineRule="exact"/>
        <w:rPr>
          <w:rFonts w:hint="eastAsia" w:ascii="宋体" w:hAnsi="宋体" w:eastAsia="宋体" w:cs="宋体"/>
          <w:b/>
          <w:bCs/>
          <w:color w:val="auto"/>
          <w:sz w:val="28"/>
          <w:szCs w:val="28"/>
          <w:highlight w:val="none"/>
        </w:rPr>
        <w:sectPr>
          <w:pgSz w:w="11900" w:h="16838"/>
          <w:pgMar w:top="1440" w:right="1440" w:bottom="158" w:left="1440" w:header="567" w:footer="567" w:gutter="0"/>
          <w:cols w:equalWidth="0" w:num="1">
            <w:col w:w="9026"/>
          </w:cols>
        </w:sectPr>
      </w:pPr>
    </w:p>
    <w:p>
      <w:pPr>
        <w:spacing w:line="366" w:lineRule="exac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商务文件</w:t>
      </w:r>
    </w:p>
    <w:p>
      <w:pPr>
        <w:spacing w:line="366"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一、法定代表人资格证明书</w:t>
      </w:r>
    </w:p>
    <w:p>
      <w:pPr>
        <w:pStyle w:val="9"/>
        <w:adjustRightInd w:val="0"/>
        <w:spacing w:before="120" w:after="120" w:line="360" w:lineRule="auto"/>
        <w:ind w:firstLine="480" w:firstLineChars="22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（采购人单位名称）：</w:t>
      </w:r>
      <w:r>
        <w:rPr>
          <w:rFonts w:hint="eastAsia" w:ascii="宋体" w:hAnsi="宋体" w:eastAsia="宋体" w:cs="宋体"/>
          <w:color w:val="auto"/>
          <w:sz w:val="21"/>
          <w:szCs w:val="21"/>
          <w:highlight w:val="none"/>
          <w:u w:val="single"/>
        </w:rPr>
        <w:t xml:space="preserve">         </w:t>
      </w:r>
    </w:p>
    <w:p>
      <w:pPr>
        <w:pStyle w:val="9"/>
        <w:adjustRightInd w:val="0"/>
        <w:spacing w:before="120" w:after="120"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浙江五石工程咨询有限公司：</w:t>
      </w:r>
    </w:p>
    <w:p>
      <w:pPr>
        <w:pStyle w:val="8"/>
        <w:adjustRightInd w:val="0"/>
        <w:spacing w:line="360" w:lineRule="auto"/>
        <w:ind w:firstLine="420" w:firstLineChars="20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u w:val="single"/>
        </w:rPr>
        <w:t xml:space="preserve">     </w:t>
      </w:r>
      <w:r>
        <w:rPr>
          <w:rFonts w:hint="eastAsia" w:ascii="宋体" w:hAnsi="宋体" w:eastAsia="宋体" w:cs="宋体"/>
          <w:snapToGrid w:val="0"/>
          <w:color w:val="auto"/>
          <w:sz w:val="21"/>
          <w:szCs w:val="21"/>
          <w:highlight w:val="none"/>
          <w:u w:val="single"/>
        </w:rPr>
        <w:t>（姓名）</w:t>
      </w:r>
      <w:r>
        <w:rPr>
          <w:rFonts w:hint="eastAsia" w:ascii="宋体" w:hAnsi="宋体" w:eastAsia="宋体" w:cs="宋体"/>
          <w:snapToGrid w:val="0"/>
          <w:color w:val="auto"/>
          <w:sz w:val="21"/>
          <w:szCs w:val="21"/>
          <w:highlight w:val="none"/>
          <w:u w:val="single"/>
        </w:rPr>
        <w:t xml:space="preserve">    </w:t>
      </w:r>
      <w:r>
        <w:rPr>
          <w:rFonts w:hint="eastAsia" w:ascii="宋体" w:hAnsi="宋体" w:eastAsia="宋体" w:cs="宋体"/>
          <w:snapToGrid w:val="0"/>
          <w:color w:val="auto"/>
          <w:sz w:val="21"/>
          <w:szCs w:val="21"/>
          <w:highlight w:val="none"/>
        </w:rPr>
        <w:t>系</w:t>
      </w:r>
      <w:r>
        <w:rPr>
          <w:rFonts w:hint="eastAsia" w:ascii="宋体" w:hAnsi="宋体" w:eastAsia="宋体" w:cs="宋体"/>
          <w:snapToGrid w:val="0"/>
          <w:color w:val="auto"/>
          <w:sz w:val="21"/>
          <w:szCs w:val="21"/>
          <w:highlight w:val="none"/>
          <w:u w:val="single"/>
        </w:rPr>
        <w:t xml:space="preserve">  </w:t>
      </w:r>
      <w:r>
        <w:rPr>
          <w:rFonts w:hint="eastAsia" w:ascii="宋体" w:hAnsi="宋体" w:eastAsia="宋体" w:cs="宋体"/>
          <w:snapToGrid w:val="0"/>
          <w:color w:val="auto"/>
          <w:sz w:val="21"/>
          <w:szCs w:val="21"/>
          <w:highlight w:val="none"/>
          <w:u w:val="single"/>
        </w:rPr>
        <w:t>（单位名称）</w:t>
      </w:r>
      <w:r>
        <w:rPr>
          <w:rFonts w:hint="eastAsia" w:ascii="宋体" w:hAnsi="宋体" w:eastAsia="宋体" w:cs="宋体"/>
          <w:snapToGrid w:val="0"/>
          <w:color w:val="auto"/>
          <w:sz w:val="21"/>
          <w:szCs w:val="21"/>
          <w:highlight w:val="none"/>
          <w:u w:val="single"/>
        </w:rPr>
        <w:t xml:space="preserve">  </w:t>
      </w:r>
      <w:r>
        <w:rPr>
          <w:rFonts w:hint="eastAsia" w:ascii="宋体" w:hAnsi="宋体" w:eastAsia="宋体" w:cs="宋体"/>
          <w:snapToGrid w:val="0"/>
          <w:color w:val="auto"/>
          <w:sz w:val="21"/>
          <w:szCs w:val="21"/>
          <w:highlight w:val="none"/>
        </w:rPr>
        <w:t>的法定代表人，</w:t>
      </w:r>
      <w:r>
        <w:rPr>
          <w:rFonts w:hint="eastAsia" w:ascii="宋体" w:hAnsi="宋体" w:eastAsia="宋体" w:cs="宋体"/>
          <w:snapToGrid w:val="0"/>
          <w:color w:val="auto"/>
          <w:sz w:val="21"/>
          <w:szCs w:val="21"/>
          <w:highlight w:val="none"/>
          <w:u w:val="single"/>
        </w:rPr>
        <w:t xml:space="preserve">   </w:t>
      </w:r>
      <w:r>
        <w:rPr>
          <w:rFonts w:hint="eastAsia" w:ascii="宋体" w:hAnsi="宋体" w:eastAsia="宋体" w:cs="宋体"/>
          <w:snapToGrid w:val="0"/>
          <w:color w:val="auto"/>
          <w:sz w:val="21"/>
          <w:szCs w:val="21"/>
          <w:highlight w:val="none"/>
          <w:u w:val="single"/>
        </w:rPr>
        <w:t>（身份证号）</w:t>
      </w:r>
      <w:r>
        <w:rPr>
          <w:rFonts w:hint="eastAsia" w:ascii="宋体" w:hAnsi="宋体" w:eastAsia="宋体" w:cs="宋体"/>
          <w:snapToGrid w:val="0"/>
          <w:color w:val="auto"/>
          <w:sz w:val="21"/>
          <w:szCs w:val="21"/>
          <w:highlight w:val="none"/>
          <w:u w:val="single"/>
        </w:rPr>
        <w:t xml:space="preserve">     </w:t>
      </w:r>
      <w:r>
        <w:rPr>
          <w:rFonts w:hint="eastAsia" w:ascii="宋体" w:hAnsi="宋体" w:eastAsia="宋体" w:cs="宋体"/>
          <w:snapToGrid w:val="0"/>
          <w:color w:val="auto"/>
          <w:sz w:val="21"/>
          <w:szCs w:val="21"/>
          <w:highlight w:val="none"/>
        </w:rPr>
        <w:t>。</w:t>
      </w:r>
    </w:p>
    <w:p>
      <w:pPr>
        <w:pStyle w:val="8"/>
        <w:adjustRightInd w:val="0"/>
        <w:spacing w:line="360" w:lineRule="auto"/>
        <w:ind w:firstLine="420" w:firstLineChars="20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特此证明。</w:t>
      </w:r>
    </w:p>
    <w:p>
      <w:pPr>
        <w:pStyle w:val="8"/>
        <w:adjustRightInd w:val="0"/>
        <w:spacing w:line="360" w:lineRule="auto"/>
        <w:ind w:firstLine="420" w:firstLineChars="20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投标人：（盖单位公章）</w:t>
      </w:r>
    </w:p>
    <w:p>
      <w:pPr>
        <w:adjustRightInd w:val="0"/>
        <w:snapToGrid w:val="0"/>
        <w:spacing w:line="360" w:lineRule="auto"/>
        <w:ind w:firstLine="420" w:firstLineChars="20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日期：</w:t>
      </w:r>
      <w:r>
        <w:rPr>
          <w:rFonts w:hint="eastAsia" w:ascii="宋体" w:hAnsi="宋体" w:eastAsia="宋体" w:cs="宋体"/>
          <w:snapToGrid w:val="0"/>
          <w:color w:val="auto"/>
          <w:sz w:val="21"/>
          <w:szCs w:val="21"/>
          <w:highlight w:val="none"/>
          <w:u w:val="single"/>
        </w:rPr>
        <w:t xml:space="preserve">      </w:t>
      </w:r>
      <w:r>
        <w:rPr>
          <w:rFonts w:hint="eastAsia" w:ascii="宋体" w:hAnsi="宋体" w:eastAsia="宋体" w:cs="宋体"/>
          <w:snapToGrid w:val="0"/>
          <w:color w:val="auto"/>
          <w:sz w:val="21"/>
          <w:szCs w:val="21"/>
          <w:highlight w:val="none"/>
        </w:rPr>
        <w:t>年</w:t>
      </w:r>
      <w:r>
        <w:rPr>
          <w:rFonts w:hint="eastAsia" w:ascii="宋体" w:hAnsi="宋体" w:eastAsia="宋体" w:cs="宋体"/>
          <w:snapToGrid w:val="0"/>
          <w:color w:val="auto"/>
          <w:sz w:val="21"/>
          <w:szCs w:val="21"/>
          <w:highlight w:val="none"/>
          <w:u w:val="single"/>
        </w:rPr>
        <w:t xml:space="preserve">    </w:t>
      </w:r>
      <w:r>
        <w:rPr>
          <w:rFonts w:hint="eastAsia" w:ascii="宋体" w:hAnsi="宋体" w:eastAsia="宋体" w:cs="宋体"/>
          <w:snapToGrid w:val="0"/>
          <w:color w:val="auto"/>
          <w:sz w:val="21"/>
          <w:szCs w:val="21"/>
          <w:highlight w:val="none"/>
        </w:rPr>
        <w:t>月</w:t>
      </w:r>
      <w:r>
        <w:rPr>
          <w:rFonts w:hint="eastAsia" w:ascii="宋体" w:hAnsi="宋体" w:eastAsia="宋体" w:cs="宋体"/>
          <w:snapToGrid w:val="0"/>
          <w:color w:val="auto"/>
          <w:sz w:val="21"/>
          <w:szCs w:val="21"/>
          <w:highlight w:val="none"/>
          <w:u w:val="single"/>
        </w:rPr>
        <w:t xml:space="preserve">     </w:t>
      </w:r>
      <w:r>
        <w:rPr>
          <w:rFonts w:hint="eastAsia" w:ascii="宋体" w:hAnsi="宋体" w:eastAsia="宋体" w:cs="宋体"/>
          <w:snapToGrid w:val="0"/>
          <w:color w:val="auto"/>
          <w:sz w:val="21"/>
          <w:szCs w:val="21"/>
          <w:highlight w:val="none"/>
        </w:rPr>
        <w:t>日</w:t>
      </w:r>
    </w:p>
    <w:p>
      <w:pPr>
        <w:adjustRightInd w:val="0"/>
        <w:snapToGrid w:val="0"/>
        <w:spacing w:line="360" w:lineRule="auto"/>
        <w:ind w:firstLine="420" w:firstLineChars="20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附：</w:t>
      </w:r>
    </w:p>
    <w:p>
      <w:pPr>
        <w:adjustRightInd w:val="0"/>
        <w:snapToGrid w:val="0"/>
        <w:spacing w:line="360" w:lineRule="auto"/>
        <w:ind w:firstLine="420" w:firstLineChars="20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法定代表人联系方式及身份证复印件</w:t>
      </w:r>
    </w:p>
    <w:p>
      <w:pPr>
        <w:adjustRightInd w:val="0"/>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snapToGrid w:val="0"/>
          <w:color w:val="auto"/>
          <w:sz w:val="21"/>
          <w:szCs w:val="21"/>
          <w:highlight w:val="none"/>
        </w:rPr>
        <w:t>注：法定代表人直接签署投标文件并参加投标的，在投标文件中出具此资格证明书及身份证复印件。</w:t>
      </w:r>
    </w:p>
    <w:p>
      <w:pPr>
        <w:spacing w:line="366" w:lineRule="exact"/>
        <w:jc w:val="center"/>
        <w:rPr>
          <w:rFonts w:hint="eastAsia" w:ascii="宋体" w:hAnsi="宋体" w:eastAsia="宋体" w:cs="宋体"/>
          <w:b/>
          <w:bCs/>
          <w:color w:val="auto"/>
          <w:sz w:val="28"/>
          <w:szCs w:val="28"/>
          <w:highlight w:val="none"/>
        </w:rPr>
      </w:pPr>
      <w:bookmarkStart w:id="164" w:name="_Toc23739_WPSOffice_Level2"/>
      <w:r>
        <w:rPr>
          <w:rFonts w:hint="eastAsia" w:ascii="宋体" w:hAnsi="宋体" w:eastAsia="宋体" w:cs="宋体"/>
          <w:b/>
          <w:bCs/>
          <w:color w:val="auto"/>
          <w:sz w:val="28"/>
          <w:szCs w:val="28"/>
          <w:highlight w:val="none"/>
        </w:rPr>
        <w:t>法定代表人授权委托书</w:t>
      </w:r>
      <w:bookmarkEnd w:id="164"/>
    </w:p>
    <w:p>
      <w:pPr>
        <w:pStyle w:val="9"/>
        <w:adjustRightInd w:val="0"/>
        <w:spacing w:before="120" w:after="120"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（采购人单位名称）：</w:t>
      </w:r>
    </w:p>
    <w:p>
      <w:pPr>
        <w:pStyle w:val="9"/>
        <w:adjustRightInd w:val="0"/>
        <w:spacing w:before="120" w:after="120"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浙江五石工程咨询有限公司：</w:t>
      </w:r>
    </w:p>
    <w:p>
      <w:pPr>
        <w:pStyle w:val="9"/>
        <w:spacing w:before="120" w:after="12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我以</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（投标人全称）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法定代表人的身份授权</w:t>
      </w:r>
      <w:r>
        <w:rPr>
          <w:rFonts w:hint="eastAsia" w:ascii="宋体" w:hAnsi="宋体" w:eastAsia="宋体" w:cs="宋体"/>
          <w:color w:val="auto"/>
          <w:sz w:val="21"/>
          <w:szCs w:val="21"/>
          <w:highlight w:val="none"/>
          <w:u w:val="single"/>
        </w:rPr>
        <w:t>（全权代表姓名）</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（身份证号</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，为我单位的全权代表，参加贵处组织的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（项目名称）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招标项目编号</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（标项内容）</w:t>
      </w:r>
      <w:r>
        <w:rPr>
          <w:rFonts w:hint="eastAsia" w:ascii="宋体" w:hAnsi="宋体" w:eastAsia="宋体" w:cs="宋体"/>
          <w:color w:val="auto"/>
          <w:sz w:val="21"/>
          <w:szCs w:val="21"/>
          <w:highlight w:val="none"/>
        </w:rPr>
        <w:t>的招标，签署本项目相关投标文件并全权处理投标活动中的一切事宜。我单位承认全权代表做出的与本项目招投标活动有关的全部行为。</w:t>
      </w:r>
    </w:p>
    <w:p>
      <w:pPr>
        <w:pStyle w:val="9"/>
        <w:spacing w:before="120" w:after="12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投标人全称（盖单位公章）：</w:t>
      </w:r>
    </w:p>
    <w:p>
      <w:pPr>
        <w:pStyle w:val="9"/>
        <w:spacing w:before="120" w:after="12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法定代表人（签字或盖章）：</w:t>
      </w:r>
    </w:p>
    <w:p>
      <w:pPr>
        <w:pStyle w:val="9"/>
        <w:spacing w:before="120" w:after="12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pPr>
        <w:pStyle w:val="9"/>
        <w:spacing w:before="120" w:after="12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pPr>
        <w:pStyle w:val="9"/>
        <w:spacing w:before="120" w:after="120"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w:t>
      </w:r>
    </w:p>
    <w:p>
      <w:pPr>
        <w:pStyle w:val="9"/>
        <w:spacing w:before="120" w:after="120"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全权代表姓名：</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t>身份证号码：</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t>职</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t>务：</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t>电</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t>话：</w:t>
      </w:r>
    </w:p>
    <w:p>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全权代表身份证复印件：</w:t>
      </w:r>
    </w:p>
    <w:p>
      <w:pPr>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注：法定代表人授权其公司员工签署及参加投标的，在投标文件中同时出具法定代表人资格证明书及此授权书，并附身份证复印件。</w:t>
      </w:r>
    </w:p>
    <w:p>
      <w:pPr>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投标文件格式中所提到的投标文件签署人是指以上两文件确定的签署人员。</w:t>
      </w:r>
    </w:p>
    <w:p>
      <w:pPr>
        <w:ind w:firstLine="422" w:firstLineChars="200"/>
        <w:rPr>
          <w:rFonts w:hint="eastAsia" w:ascii="宋体" w:hAnsi="宋体" w:eastAsia="宋体" w:cs="宋体"/>
          <w:color w:val="auto"/>
          <w:sz w:val="20"/>
          <w:szCs w:val="20"/>
          <w:highlight w:val="none"/>
        </w:rPr>
      </w:pPr>
      <w:r>
        <w:rPr>
          <w:rFonts w:hint="eastAsia" w:ascii="宋体" w:hAnsi="宋体" w:eastAsia="宋体" w:cs="宋体"/>
          <w:b/>
          <w:color w:val="auto"/>
          <w:sz w:val="21"/>
          <w:szCs w:val="21"/>
          <w:highlight w:val="none"/>
        </w:rPr>
        <w:t>如参加开标并在开评标过程中签署文件的人员与投标文件签署人不一致，须另行提供授权书。</w:t>
      </w:r>
      <w:bookmarkStart w:id="165" w:name="page77"/>
      <w:bookmarkEnd w:id="165"/>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tabs>
          <w:tab w:val="left" w:pos="3899"/>
        </w:tabs>
        <w:rPr>
          <w:rFonts w:hint="eastAsia" w:ascii="宋体" w:hAnsi="宋体" w:eastAsia="宋体" w:cs="宋体"/>
          <w:color w:val="auto"/>
          <w:highlight w:val="none"/>
        </w:rPr>
        <w:sectPr>
          <w:pgSz w:w="11900" w:h="16838"/>
          <w:pgMar w:top="1440" w:right="1440" w:bottom="158" w:left="1440" w:header="567" w:footer="567" w:gutter="0"/>
          <w:cols w:equalWidth="0" w:num="1">
            <w:col w:w="9026"/>
          </w:cols>
        </w:sectPr>
      </w:pPr>
    </w:p>
    <w:p>
      <w:pPr>
        <w:spacing w:line="366" w:lineRule="exact"/>
        <w:jc w:val="center"/>
        <w:rPr>
          <w:rFonts w:hint="eastAsia" w:ascii="宋体" w:hAnsi="宋体" w:eastAsia="宋体" w:cs="宋体"/>
          <w:b/>
          <w:bCs/>
          <w:color w:val="auto"/>
          <w:sz w:val="28"/>
          <w:szCs w:val="28"/>
          <w:highlight w:val="none"/>
        </w:rPr>
      </w:pPr>
      <w:bookmarkStart w:id="166" w:name="page78"/>
      <w:bookmarkEnd w:id="166"/>
      <w:bookmarkStart w:id="167" w:name="_Toc9817_WPSOffice_Level2"/>
      <w:r>
        <w:rPr>
          <w:rFonts w:hint="eastAsia" w:ascii="宋体" w:hAnsi="宋体" w:eastAsia="宋体" w:cs="宋体"/>
          <w:b/>
          <w:bCs/>
          <w:color w:val="auto"/>
          <w:sz w:val="28"/>
          <w:szCs w:val="28"/>
          <w:highlight w:val="none"/>
        </w:rPr>
        <w:t>二、资格审查资料</w:t>
      </w:r>
      <w:bookmarkEnd w:id="167"/>
    </w:p>
    <w:p>
      <w:pPr>
        <w:spacing w:line="33" w:lineRule="exact"/>
        <w:rPr>
          <w:rFonts w:hint="eastAsia" w:ascii="宋体" w:hAnsi="宋体" w:eastAsia="宋体" w:cs="宋体"/>
          <w:color w:val="auto"/>
          <w:sz w:val="20"/>
          <w:szCs w:val="20"/>
          <w:highlight w:val="none"/>
        </w:rPr>
      </w:pPr>
    </w:p>
    <w:p>
      <w:pPr>
        <w:spacing w:line="258" w:lineRule="exact"/>
        <w:rPr>
          <w:rFonts w:hint="eastAsia" w:ascii="宋体" w:hAnsi="宋体" w:eastAsia="宋体" w:cs="宋体"/>
          <w:color w:val="auto"/>
          <w:sz w:val="20"/>
          <w:szCs w:val="20"/>
          <w:highlight w:val="none"/>
        </w:rPr>
      </w:pPr>
    </w:p>
    <w:p>
      <w:pPr>
        <w:spacing w:line="360" w:lineRule="auto"/>
        <w:ind w:left="780"/>
        <w:rPr>
          <w:rFonts w:hint="eastAsia" w:ascii="宋体" w:hAnsi="宋体" w:eastAsia="宋体" w:cs="宋体"/>
          <w:b/>
          <w:bCs/>
          <w:color w:val="auto"/>
          <w:sz w:val="20"/>
          <w:szCs w:val="20"/>
          <w:highlight w:val="none"/>
        </w:rPr>
      </w:pPr>
      <w:r>
        <w:rPr>
          <w:rFonts w:hint="eastAsia" w:ascii="宋体" w:hAnsi="宋体" w:eastAsia="宋体" w:cs="宋体"/>
          <w:b/>
          <w:bCs/>
          <w:color w:val="auto"/>
          <w:sz w:val="21"/>
          <w:szCs w:val="21"/>
          <w:highlight w:val="none"/>
        </w:rPr>
        <w:t>（一）资格审查须知</w:t>
      </w:r>
    </w:p>
    <w:p>
      <w:pPr>
        <w:spacing w:line="360" w:lineRule="auto"/>
        <w:ind w:left="78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rPr>
        <w:t>、供应商必须认真填写竞争性磋商文件规定的所有表格，并对其真实性负责，招标人</w:t>
      </w:r>
    </w:p>
    <w:p>
      <w:pPr>
        <w:spacing w:line="360" w:lineRule="auto"/>
        <w:ind w:left="36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有权对其进行调查核实和要求澄清。</w:t>
      </w:r>
    </w:p>
    <w:p>
      <w:pPr>
        <w:spacing w:line="360" w:lineRule="auto"/>
        <w:ind w:left="78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rPr>
        <w:t>、资格审查按通过和不通过两种方式进行评定，供应商的资格等方面的要求作为资格</w:t>
      </w:r>
    </w:p>
    <w:p>
      <w:pPr>
        <w:spacing w:line="360" w:lineRule="auto"/>
        <w:ind w:left="3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审查通过的强制性资格条件，经核实有一项不符合要求，则供应商的资格为不通过，不通过</w:t>
      </w:r>
    </w:p>
    <w:p>
      <w:pPr>
        <w:spacing w:line="360" w:lineRule="auto"/>
        <w:ind w:left="36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的供应商对其响应文件不进行后续评审。</w:t>
      </w:r>
    </w:p>
    <w:p>
      <w:pPr>
        <w:spacing w:line="360" w:lineRule="auto"/>
        <w:ind w:left="780"/>
        <w:rPr>
          <w:rFonts w:hint="eastAsia" w:ascii="宋体" w:hAnsi="宋体" w:eastAsia="宋体" w:cs="宋体"/>
          <w:b/>
          <w:bCs/>
          <w:color w:val="auto"/>
          <w:sz w:val="20"/>
          <w:szCs w:val="20"/>
          <w:highlight w:val="none"/>
        </w:rPr>
      </w:pPr>
      <w:r>
        <w:rPr>
          <w:rFonts w:hint="eastAsia" w:ascii="宋体" w:hAnsi="宋体" w:eastAsia="宋体" w:cs="宋体"/>
          <w:b/>
          <w:bCs/>
          <w:color w:val="auto"/>
          <w:sz w:val="21"/>
          <w:szCs w:val="21"/>
          <w:highlight w:val="none"/>
        </w:rPr>
        <w:t>（二）资格审查资料格式</w:t>
      </w:r>
    </w:p>
    <w:p>
      <w:pPr>
        <w:spacing w:line="360" w:lineRule="auto"/>
        <w:ind w:left="780"/>
        <w:rPr>
          <w:rFonts w:hint="eastAsia" w:ascii="宋体" w:hAnsi="宋体" w:eastAsia="宋体" w:cs="宋体"/>
          <w:color w:val="auto"/>
          <w:sz w:val="20"/>
          <w:szCs w:val="20"/>
          <w:highlight w:val="none"/>
        </w:rPr>
      </w:pPr>
      <w:bookmarkStart w:id="168" w:name="_Toc17625_WPSOffice_Level2"/>
      <w:bookmarkStart w:id="169" w:name="_Toc30302_WPSOffice_Level2"/>
      <w:r>
        <w:rPr>
          <w:rFonts w:hint="eastAsia" w:ascii="宋体" w:hAnsi="宋体" w:eastAsia="宋体" w:cs="宋体"/>
          <w:color w:val="auto"/>
          <w:sz w:val="21"/>
          <w:szCs w:val="21"/>
          <w:highlight w:val="none"/>
        </w:rPr>
        <w:t>附件一</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t>强制性资格条件</w:t>
      </w:r>
      <w:bookmarkEnd w:id="168"/>
      <w:bookmarkEnd w:id="169"/>
    </w:p>
    <w:p>
      <w:pPr>
        <w:spacing w:line="360" w:lineRule="auto"/>
        <w:ind w:left="780"/>
        <w:rPr>
          <w:rFonts w:hint="eastAsia" w:ascii="宋体" w:hAnsi="宋体" w:eastAsia="宋体" w:cs="宋体"/>
          <w:color w:val="auto"/>
          <w:sz w:val="20"/>
          <w:szCs w:val="20"/>
          <w:highlight w:val="none"/>
        </w:rPr>
      </w:pPr>
      <w:bookmarkStart w:id="170" w:name="_Toc20100_WPSOffice_Level2"/>
      <w:bookmarkStart w:id="171" w:name="_Toc31807_WPSOffice_Level2"/>
      <w:r>
        <w:rPr>
          <w:rFonts w:hint="eastAsia" w:ascii="宋体" w:hAnsi="宋体" w:eastAsia="宋体" w:cs="宋体"/>
          <w:color w:val="auto"/>
          <w:sz w:val="21"/>
          <w:szCs w:val="21"/>
          <w:highlight w:val="none"/>
        </w:rPr>
        <w:t>附件二</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t>基本资格条件审查资料</w:t>
      </w:r>
      <w:bookmarkEnd w:id="170"/>
      <w:bookmarkEnd w:id="171"/>
    </w:p>
    <w:p>
      <w:pPr>
        <w:spacing w:line="264" w:lineRule="exact"/>
        <w:rPr>
          <w:rFonts w:hint="eastAsia" w:ascii="宋体" w:hAnsi="宋体" w:eastAsia="宋体" w:cs="宋体"/>
          <w:color w:val="auto"/>
          <w:sz w:val="20"/>
          <w:szCs w:val="20"/>
          <w:highlight w:val="none"/>
        </w:rPr>
      </w:pPr>
    </w:p>
    <w:p>
      <w:pPr>
        <w:rPr>
          <w:rFonts w:hint="eastAsia" w:ascii="宋体" w:hAnsi="宋体" w:eastAsia="宋体" w:cs="宋体"/>
          <w:color w:val="auto"/>
          <w:highlight w:val="none"/>
        </w:rPr>
        <w:sectPr>
          <w:pgSz w:w="11900" w:h="16838"/>
          <w:pgMar w:top="1440" w:right="1440" w:bottom="158" w:left="1440" w:header="567" w:footer="567" w:gutter="0"/>
          <w:cols w:equalWidth="0" w:num="1">
            <w:col w:w="9026"/>
          </w:cols>
        </w:sectPr>
      </w:pPr>
    </w:p>
    <w:p>
      <w:pPr>
        <w:spacing w:line="240" w:lineRule="exact"/>
        <w:ind w:left="900"/>
        <w:rPr>
          <w:rFonts w:hint="eastAsia" w:ascii="宋体" w:hAnsi="宋体" w:eastAsia="宋体" w:cs="宋体"/>
          <w:b/>
          <w:bCs/>
          <w:color w:val="auto"/>
          <w:sz w:val="20"/>
          <w:szCs w:val="20"/>
          <w:highlight w:val="none"/>
        </w:rPr>
      </w:pPr>
      <w:bookmarkStart w:id="172" w:name="page79"/>
      <w:bookmarkEnd w:id="172"/>
      <w:bookmarkStart w:id="173" w:name="_Toc21048_WPSOffice_Level2"/>
      <w:bookmarkStart w:id="174" w:name="_Toc4344_WPSOffice_Level2"/>
      <w:r>
        <w:rPr>
          <w:rFonts w:hint="eastAsia" w:ascii="宋体" w:hAnsi="宋体" w:eastAsia="宋体" w:cs="宋体"/>
          <w:b/>
          <w:bCs/>
          <w:color w:val="auto"/>
          <w:sz w:val="21"/>
          <w:szCs w:val="21"/>
          <w:highlight w:val="none"/>
        </w:rPr>
        <w:t>附件一：强制性资格条件</w:t>
      </w:r>
      <w:bookmarkEnd w:id="173"/>
      <w:bookmarkEnd w:id="174"/>
    </w:p>
    <w:p>
      <w:pPr>
        <w:spacing w:line="149" w:lineRule="exact"/>
        <w:rPr>
          <w:rFonts w:hint="eastAsia" w:ascii="宋体" w:hAnsi="宋体" w:eastAsia="宋体" w:cs="宋体"/>
          <w:color w:val="auto"/>
          <w:sz w:val="20"/>
          <w:szCs w:val="20"/>
          <w:highlight w:val="none"/>
        </w:rPr>
      </w:pPr>
    </w:p>
    <w:tbl>
      <w:tblPr>
        <w:tblStyle w:val="19"/>
        <w:tblW w:w="10280" w:type="dxa"/>
        <w:tblInd w:w="0" w:type="dxa"/>
        <w:tblLayout w:type="fixed"/>
        <w:tblCellMar>
          <w:top w:w="0" w:type="dxa"/>
          <w:left w:w="0" w:type="dxa"/>
          <w:bottom w:w="0" w:type="dxa"/>
          <w:right w:w="0" w:type="dxa"/>
        </w:tblCellMar>
      </w:tblPr>
      <w:tblGrid>
        <w:gridCol w:w="650"/>
        <w:gridCol w:w="4300"/>
        <w:gridCol w:w="2690"/>
        <w:gridCol w:w="2280"/>
        <w:gridCol w:w="360"/>
      </w:tblGrid>
      <w:tr>
        <w:tblPrEx>
          <w:tblLayout w:type="fixed"/>
          <w:tblCellMar>
            <w:top w:w="0" w:type="dxa"/>
            <w:left w:w="0" w:type="dxa"/>
            <w:bottom w:w="0" w:type="dxa"/>
            <w:right w:w="0" w:type="dxa"/>
          </w:tblCellMar>
        </w:tblPrEx>
        <w:trPr>
          <w:trHeight w:val="249" w:hRule="atLeast"/>
        </w:trPr>
        <w:tc>
          <w:tcPr>
            <w:tcW w:w="650" w:type="dxa"/>
            <w:tcBorders>
              <w:top w:val="single" w:color="auto" w:sz="8" w:space="0"/>
              <w:left w:val="single" w:color="auto" w:sz="8" w:space="0"/>
              <w:right w:val="single" w:color="auto" w:sz="8" w:space="0"/>
            </w:tcBorders>
            <w:vAlign w:val="center"/>
          </w:tcPr>
          <w:p>
            <w:pPr>
              <w:jc w:val="center"/>
              <w:rPr>
                <w:rFonts w:hint="eastAsia" w:ascii="宋体" w:hAnsi="宋体" w:eastAsia="宋体" w:cs="宋体"/>
                <w:color w:val="auto"/>
                <w:sz w:val="21"/>
                <w:szCs w:val="21"/>
                <w:highlight w:val="none"/>
              </w:rPr>
            </w:pPr>
          </w:p>
        </w:tc>
        <w:tc>
          <w:tcPr>
            <w:tcW w:w="4300" w:type="dxa"/>
            <w:tcBorders>
              <w:top w:val="single" w:color="auto" w:sz="8" w:space="0"/>
              <w:right w:val="single" w:color="auto" w:sz="8" w:space="0"/>
            </w:tcBorders>
            <w:vAlign w:val="center"/>
          </w:tcPr>
          <w:p>
            <w:pPr>
              <w:jc w:val="center"/>
              <w:rPr>
                <w:rFonts w:hint="eastAsia" w:ascii="宋体" w:hAnsi="宋体" w:eastAsia="宋体" w:cs="宋体"/>
                <w:color w:val="auto"/>
                <w:sz w:val="21"/>
                <w:szCs w:val="21"/>
                <w:highlight w:val="none"/>
              </w:rPr>
            </w:pPr>
          </w:p>
        </w:tc>
        <w:tc>
          <w:tcPr>
            <w:tcW w:w="2690" w:type="dxa"/>
            <w:tcBorders>
              <w:top w:val="single" w:color="auto" w:sz="8" w:space="0"/>
              <w:right w:val="single" w:color="auto" w:sz="8"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供应商对能达到</w:t>
            </w:r>
          </w:p>
        </w:tc>
        <w:tc>
          <w:tcPr>
            <w:tcW w:w="2280" w:type="dxa"/>
            <w:vMerge w:val="restart"/>
            <w:tcBorders>
              <w:top w:val="single" w:color="auto" w:sz="8" w:space="0"/>
              <w:right w:val="single" w:color="auto" w:sz="8"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证明资料附后</w:t>
            </w:r>
          </w:p>
        </w:tc>
        <w:tc>
          <w:tcPr>
            <w:tcW w:w="360" w:type="dxa"/>
            <w:vAlign w:val="center"/>
          </w:tcPr>
          <w:p>
            <w:pPr>
              <w:jc w:val="center"/>
              <w:rPr>
                <w:rFonts w:hint="eastAsia" w:ascii="宋体" w:hAnsi="宋体" w:eastAsia="宋体" w:cs="宋体"/>
                <w:color w:val="auto"/>
                <w:sz w:val="21"/>
                <w:szCs w:val="21"/>
                <w:highlight w:val="none"/>
              </w:rPr>
            </w:pPr>
          </w:p>
        </w:tc>
      </w:tr>
      <w:tr>
        <w:tblPrEx>
          <w:tblLayout w:type="fixed"/>
          <w:tblCellMar>
            <w:top w:w="0" w:type="dxa"/>
            <w:left w:w="0" w:type="dxa"/>
            <w:bottom w:w="0" w:type="dxa"/>
            <w:right w:w="0" w:type="dxa"/>
          </w:tblCellMar>
        </w:tblPrEx>
        <w:trPr>
          <w:trHeight w:val="137" w:hRule="atLeast"/>
        </w:trPr>
        <w:tc>
          <w:tcPr>
            <w:tcW w:w="650" w:type="dxa"/>
            <w:vMerge w:val="restart"/>
            <w:tcBorders>
              <w:left w:val="single" w:color="auto" w:sz="8" w:space="0"/>
              <w:right w:val="single" w:color="auto" w:sz="8"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序号</w:t>
            </w:r>
          </w:p>
        </w:tc>
        <w:tc>
          <w:tcPr>
            <w:tcW w:w="4300" w:type="dxa"/>
            <w:vMerge w:val="restart"/>
            <w:tcBorders>
              <w:right w:val="single" w:color="auto" w:sz="8"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强制性资格条件</w:t>
            </w:r>
          </w:p>
        </w:tc>
        <w:tc>
          <w:tcPr>
            <w:tcW w:w="2690" w:type="dxa"/>
            <w:vMerge w:val="restart"/>
            <w:tcBorders>
              <w:right w:val="single" w:color="auto" w:sz="8"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程度的简述</w:t>
            </w:r>
          </w:p>
        </w:tc>
        <w:tc>
          <w:tcPr>
            <w:tcW w:w="2280" w:type="dxa"/>
            <w:vMerge w:val="continue"/>
            <w:tcBorders>
              <w:right w:val="single" w:color="auto" w:sz="8" w:space="0"/>
            </w:tcBorders>
            <w:vAlign w:val="center"/>
          </w:tcPr>
          <w:p>
            <w:pPr>
              <w:jc w:val="center"/>
              <w:rPr>
                <w:rFonts w:hint="eastAsia" w:ascii="宋体" w:hAnsi="宋体" w:eastAsia="宋体" w:cs="宋体"/>
                <w:color w:val="auto"/>
                <w:sz w:val="21"/>
                <w:szCs w:val="21"/>
                <w:highlight w:val="none"/>
              </w:rPr>
            </w:pPr>
          </w:p>
        </w:tc>
        <w:tc>
          <w:tcPr>
            <w:tcW w:w="360" w:type="dxa"/>
            <w:vAlign w:val="center"/>
          </w:tcPr>
          <w:p>
            <w:pPr>
              <w:jc w:val="center"/>
              <w:rPr>
                <w:rFonts w:hint="eastAsia" w:ascii="宋体" w:hAnsi="宋体" w:eastAsia="宋体" w:cs="宋体"/>
                <w:color w:val="auto"/>
                <w:sz w:val="21"/>
                <w:szCs w:val="21"/>
                <w:highlight w:val="none"/>
              </w:rPr>
            </w:pPr>
          </w:p>
        </w:tc>
      </w:tr>
      <w:tr>
        <w:tblPrEx>
          <w:tblLayout w:type="fixed"/>
          <w:tblCellMar>
            <w:top w:w="0" w:type="dxa"/>
            <w:left w:w="0" w:type="dxa"/>
            <w:bottom w:w="0" w:type="dxa"/>
            <w:right w:w="0" w:type="dxa"/>
          </w:tblCellMar>
        </w:tblPrEx>
        <w:trPr>
          <w:trHeight w:val="137" w:hRule="atLeast"/>
        </w:trPr>
        <w:tc>
          <w:tcPr>
            <w:tcW w:w="650" w:type="dxa"/>
            <w:vMerge w:val="continue"/>
            <w:tcBorders>
              <w:left w:val="single" w:color="auto" w:sz="8" w:space="0"/>
              <w:right w:val="single" w:color="auto" w:sz="8" w:space="0"/>
            </w:tcBorders>
            <w:vAlign w:val="center"/>
          </w:tcPr>
          <w:p>
            <w:pPr>
              <w:jc w:val="center"/>
              <w:rPr>
                <w:rFonts w:hint="eastAsia" w:ascii="宋体" w:hAnsi="宋体" w:eastAsia="宋体" w:cs="宋体"/>
                <w:color w:val="auto"/>
                <w:sz w:val="21"/>
                <w:szCs w:val="21"/>
                <w:highlight w:val="none"/>
              </w:rPr>
            </w:pPr>
          </w:p>
        </w:tc>
        <w:tc>
          <w:tcPr>
            <w:tcW w:w="4300" w:type="dxa"/>
            <w:vMerge w:val="continue"/>
            <w:tcBorders>
              <w:right w:val="single" w:color="auto" w:sz="8" w:space="0"/>
            </w:tcBorders>
            <w:vAlign w:val="center"/>
          </w:tcPr>
          <w:p>
            <w:pPr>
              <w:jc w:val="center"/>
              <w:rPr>
                <w:rFonts w:hint="eastAsia" w:ascii="宋体" w:hAnsi="宋体" w:eastAsia="宋体" w:cs="宋体"/>
                <w:color w:val="auto"/>
                <w:sz w:val="21"/>
                <w:szCs w:val="21"/>
                <w:highlight w:val="none"/>
              </w:rPr>
            </w:pPr>
          </w:p>
        </w:tc>
        <w:tc>
          <w:tcPr>
            <w:tcW w:w="2690" w:type="dxa"/>
            <w:vMerge w:val="continue"/>
            <w:tcBorders>
              <w:right w:val="single" w:color="auto" w:sz="8" w:space="0"/>
            </w:tcBorders>
            <w:vAlign w:val="center"/>
          </w:tcPr>
          <w:p>
            <w:pPr>
              <w:jc w:val="center"/>
              <w:rPr>
                <w:rFonts w:hint="eastAsia" w:ascii="宋体" w:hAnsi="宋体" w:eastAsia="宋体" w:cs="宋体"/>
                <w:color w:val="auto"/>
                <w:sz w:val="21"/>
                <w:szCs w:val="21"/>
                <w:highlight w:val="none"/>
              </w:rPr>
            </w:pPr>
          </w:p>
        </w:tc>
        <w:tc>
          <w:tcPr>
            <w:tcW w:w="2280" w:type="dxa"/>
            <w:vMerge w:val="restart"/>
            <w:tcBorders>
              <w:right w:val="single" w:color="auto" w:sz="8"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（复印件加盖公章）</w:t>
            </w:r>
          </w:p>
        </w:tc>
        <w:tc>
          <w:tcPr>
            <w:tcW w:w="360" w:type="dxa"/>
            <w:vAlign w:val="center"/>
          </w:tcPr>
          <w:p>
            <w:pPr>
              <w:jc w:val="center"/>
              <w:rPr>
                <w:rFonts w:hint="eastAsia" w:ascii="宋体" w:hAnsi="宋体" w:eastAsia="宋体" w:cs="宋体"/>
                <w:color w:val="auto"/>
                <w:sz w:val="21"/>
                <w:szCs w:val="21"/>
                <w:highlight w:val="none"/>
              </w:rPr>
            </w:pPr>
          </w:p>
        </w:tc>
      </w:tr>
      <w:tr>
        <w:tblPrEx>
          <w:tblLayout w:type="fixed"/>
          <w:tblCellMar>
            <w:top w:w="0" w:type="dxa"/>
            <w:left w:w="0" w:type="dxa"/>
            <w:bottom w:w="0" w:type="dxa"/>
            <w:right w:w="0" w:type="dxa"/>
          </w:tblCellMar>
        </w:tblPrEx>
        <w:trPr>
          <w:trHeight w:val="137" w:hRule="atLeast"/>
        </w:trPr>
        <w:tc>
          <w:tcPr>
            <w:tcW w:w="650" w:type="dxa"/>
            <w:tcBorders>
              <w:left w:val="single" w:color="auto" w:sz="8" w:space="0"/>
              <w:right w:val="single" w:color="auto" w:sz="8" w:space="0"/>
            </w:tcBorders>
            <w:vAlign w:val="center"/>
          </w:tcPr>
          <w:p>
            <w:pPr>
              <w:jc w:val="center"/>
              <w:rPr>
                <w:rFonts w:hint="eastAsia" w:ascii="宋体" w:hAnsi="宋体" w:eastAsia="宋体" w:cs="宋体"/>
                <w:color w:val="auto"/>
                <w:sz w:val="21"/>
                <w:szCs w:val="21"/>
                <w:highlight w:val="none"/>
              </w:rPr>
            </w:pPr>
          </w:p>
        </w:tc>
        <w:tc>
          <w:tcPr>
            <w:tcW w:w="4300" w:type="dxa"/>
            <w:tcBorders>
              <w:right w:val="single" w:color="auto" w:sz="8" w:space="0"/>
            </w:tcBorders>
            <w:vAlign w:val="center"/>
          </w:tcPr>
          <w:p>
            <w:pPr>
              <w:jc w:val="center"/>
              <w:rPr>
                <w:rFonts w:hint="eastAsia" w:ascii="宋体" w:hAnsi="宋体" w:eastAsia="宋体" w:cs="宋体"/>
                <w:color w:val="auto"/>
                <w:sz w:val="21"/>
                <w:szCs w:val="21"/>
                <w:highlight w:val="none"/>
              </w:rPr>
            </w:pPr>
          </w:p>
        </w:tc>
        <w:tc>
          <w:tcPr>
            <w:tcW w:w="2690" w:type="dxa"/>
            <w:vMerge w:val="restart"/>
            <w:tcBorders>
              <w:right w:val="single" w:color="auto" w:sz="8"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（供应商填写）</w:t>
            </w:r>
          </w:p>
        </w:tc>
        <w:tc>
          <w:tcPr>
            <w:tcW w:w="2280" w:type="dxa"/>
            <w:vMerge w:val="continue"/>
            <w:tcBorders>
              <w:right w:val="single" w:color="auto" w:sz="8" w:space="0"/>
            </w:tcBorders>
            <w:vAlign w:val="center"/>
          </w:tcPr>
          <w:p>
            <w:pPr>
              <w:jc w:val="center"/>
              <w:rPr>
                <w:rFonts w:hint="eastAsia" w:ascii="宋体" w:hAnsi="宋体" w:eastAsia="宋体" w:cs="宋体"/>
                <w:color w:val="auto"/>
                <w:sz w:val="21"/>
                <w:szCs w:val="21"/>
                <w:highlight w:val="none"/>
              </w:rPr>
            </w:pPr>
          </w:p>
        </w:tc>
        <w:tc>
          <w:tcPr>
            <w:tcW w:w="360" w:type="dxa"/>
            <w:vAlign w:val="center"/>
          </w:tcPr>
          <w:p>
            <w:pPr>
              <w:jc w:val="center"/>
              <w:rPr>
                <w:rFonts w:hint="eastAsia" w:ascii="宋体" w:hAnsi="宋体" w:eastAsia="宋体" w:cs="宋体"/>
                <w:color w:val="auto"/>
                <w:sz w:val="21"/>
                <w:szCs w:val="21"/>
                <w:highlight w:val="none"/>
              </w:rPr>
            </w:pPr>
          </w:p>
        </w:tc>
      </w:tr>
      <w:tr>
        <w:tblPrEx>
          <w:tblLayout w:type="fixed"/>
          <w:tblCellMar>
            <w:top w:w="0" w:type="dxa"/>
            <w:left w:w="0" w:type="dxa"/>
            <w:bottom w:w="0" w:type="dxa"/>
            <w:right w:w="0" w:type="dxa"/>
          </w:tblCellMar>
        </w:tblPrEx>
        <w:trPr>
          <w:trHeight w:val="134" w:hRule="atLeast"/>
        </w:trPr>
        <w:tc>
          <w:tcPr>
            <w:tcW w:w="650" w:type="dxa"/>
            <w:tcBorders>
              <w:left w:val="single" w:color="auto" w:sz="8" w:space="0"/>
              <w:right w:val="single" w:color="auto" w:sz="8" w:space="0"/>
            </w:tcBorders>
            <w:vAlign w:val="center"/>
          </w:tcPr>
          <w:p>
            <w:pPr>
              <w:jc w:val="center"/>
              <w:rPr>
                <w:rFonts w:hint="eastAsia" w:ascii="宋体" w:hAnsi="宋体" w:eastAsia="宋体" w:cs="宋体"/>
                <w:color w:val="auto"/>
                <w:sz w:val="21"/>
                <w:szCs w:val="21"/>
                <w:highlight w:val="none"/>
              </w:rPr>
            </w:pPr>
          </w:p>
        </w:tc>
        <w:tc>
          <w:tcPr>
            <w:tcW w:w="4300" w:type="dxa"/>
            <w:tcBorders>
              <w:right w:val="single" w:color="auto" w:sz="8" w:space="0"/>
            </w:tcBorders>
            <w:vAlign w:val="center"/>
          </w:tcPr>
          <w:p>
            <w:pPr>
              <w:jc w:val="center"/>
              <w:rPr>
                <w:rFonts w:hint="eastAsia" w:ascii="宋体" w:hAnsi="宋体" w:eastAsia="宋体" w:cs="宋体"/>
                <w:color w:val="auto"/>
                <w:sz w:val="21"/>
                <w:szCs w:val="21"/>
                <w:highlight w:val="none"/>
              </w:rPr>
            </w:pPr>
          </w:p>
        </w:tc>
        <w:tc>
          <w:tcPr>
            <w:tcW w:w="2690" w:type="dxa"/>
            <w:vMerge w:val="continue"/>
            <w:tcBorders>
              <w:right w:val="single" w:color="auto" w:sz="8" w:space="0"/>
            </w:tcBorders>
            <w:vAlign w:val="center"/>
          </w:tcPr>
          <w:p>
            <w:pPr>
              <w:jc w:val="center"/>
              <w:rPr>
                <w:rFonts w:hint="eastAsia" w:ascii="宋体" w:hAnsi="宋体" w:eastAsia="宋体" w:cs="宋体"/>
                <w:color w:val="auto"/>
                <w:sz w:val="21"/>
                <w:szCs w:val="21"/>
                <w:highlight w:val="none"/>
              </w:rPr>
            </w:pPr>
          </w:p>
        </w:tc>
        <w:tc>
          <w:tcPr>
            <w:tcW w:w="2280" w:type="dxa"/>
            <w:tcBorders>
              <w:right w:val="single" w:color="auto" w:sz="8" w:space="0"/>
            </w:tcBorders>
            <w:vAlign w:val="center"/>
          </w:tcPr>
          <w:p>
            <w:pPr>
              <w:jc w:val="center"/>
              <w:rPr>
                <w:rFonts w:hint="eastAsia" w:ascii="宋体" w:hAnsi="宋体" w:eastAsia="宋体" w:cs="宋体"/>
                <w:color w:val="auto"/>
                <w:sz w:val="21"/>
                <w:szCs w:val="21"/>
                <w:highlight w:val="none"/>
              </w:rPr>
            </w:pPr>
          </w:p>
        </w:tc>
        <w:tc>
          <w:tcPr>
            <w:tcW w:w="360" w:type="dxa"/>
            <w:vAlign w:val="center"/>
          </w:tcPr>
          <w:p>
            <w:pPr>
              <w:jc w:val="center"/>
              <w:rPr>
                <w:rFonts w:hint="eastAsia" w:ascii="宋体" w:hAnsi="宋体" w:eastAsia="宋体" w:cs="宋体"/>
                <w:color w:val="auto"/>
                <w:sz w:val="21"/>
                <w:szCs w:val="21"/>
                <w:highlight w:val="none"/>
              </w:rPr>
            </w:pPr>
          </w:p>
        </w:tc>
      </w:tr>
      <w:tr>
        <w:tblPrEx>
          <w:tblLayout w:type="fixed"/>
          <w:tblCellMar>
            <w:top w:w="0" w:type="dxa"/>
            <w:left w:w="0" w:type="dxa"/>
            <w:bottom w:w="0" w:type="dxa"/>
            <w:right w:w="0" w:type="dxa"/>
          </w:tblCellMar>
        </w:tblPrEx>
        <w:trPr>
          <w:trHeight w:val="454" w:hRule="atLeast"/>
        </w:trPr>
        <w:tc>
          <w:tcPr>
            <w:tcW w:w="6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一</w:t>
            </w:r>
          </w:p>
        </w:tc>
        <w:tc>
          <w:tcPr>
            <w:tcW w:w="4300" w:type="dxa"/>
            <w:tcBorders>
              <w:top w:val="single" w:color="auto" w:sz="4" w:space="0"/>
              <w:left w:val="single" w:color="auto" w:sz="4" w:space="0"/>
              <w:bottom w:val="single" w:color="auto" w:sz="4" w:space="0"/>
              <w:right w:val="single" w:color="auto" w:sz="4" w:space="0"/>
            </w:tcBorders>
            <w:vAlign w:val="center"/>
          </w:tcPr>
          <w:p>
            <w:pPr>
              <w:ind w:left="100"/>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企业资质要求</w:t>
            </w:r>
          </w:p>
        </w:tc>
        <w:tc>
          <w:tcPr>
            <w:tcW w:w="2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22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360" w:type="dxa"/>
            <w:tcBorders>
              <w:left w:val="single" w:color="auto" w:sz="4" w:space="0"/>
            </w:tcBorders>
            <w:vAlign w:val="center"/>
          </w:tcPr>
          <w:p>
            <w:pPr>
              <w:jc w:val="center"/>
              <w:rPr>
                <w:rFonts w:hint="eastAsia" w:ascii="宋体" w:hAnsi="宋体" w:eastAsia="宋体" w:cs="宋体"/>
                <w:color w:val="auto"/>
                <w:sz w:val="21"/>
                <w:szCs w:val="21"/>
                <w:highlight w:val="none"/>
              </w:rPr>
            </w:pPr>
          </w:p>
        </w:tc>
      </w:tr>
      <w:tr>
        <w:tblPrEx>
          <w:tblLayout w:type="fixed"/>
          <w:tblCellMar>
            <w:top w:w="0" w:type="dxa"/>
            <w:left w:w="0" w:type="dxa"/>
            <w:bottom w:w="0" w:type="dxa"/>
            <w:right w:w="0" w:type="dxa"/>
          </w:tblCellMar>
        </w:tblPrEx>
        <w:trPr>
          <w:trHeight w:val="1212" w:hRule="atLeast"/>
        </w:trPr>
        <w:tc>
          <w:tcPr>
            <w:tcW w:w="650" w:type="dxa"/>
            <w:tcBorders>
              <w:top w:val="single" w:color="auto" w:sz="4" w:space="0"/>
              <w:left w:val="single" w:color="auto" w:sz="8" w:space="0"/>
              <w:bottom w:val="single" w:color="auto" w:sz="4" w:space="0"/>
              <w:right w:val="single" w:color="auto" w:sz="8"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300" w:type="dxa"/>
            <w:tcBorders>
              <w:top w:val="single" w:color="auto" w:sz="4" w:space="0"/>
              <w:bottom w:val="single" w:color="auto" w:sz="4" w:space="0"/>
              <w:right w:val="single" w:color="auto" w:sz="8" w:space="0"/>
            </w:tcBorders>
            <w:vAlign w:val="center"/>
          </w:tcPr>
          <w:p>
            <w:pPr>
              <w:ind w:left="100"/>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具有建设行政主管部门核定的建筑装修装饰工程专业承包贰级及以上资质，或具有房屋建筑工程施工总承包企业三级及以上资质</w:t>
            </w:r>
          </w:p>
        </w:tc>
        <w:tc>
          <w:tcPr>
            <w:tcW w:w="2690" w:type="dxa"/>
            <w:tcBorders>
              <w:top w:val="single" w:color="auto" w:sz="4" w:space="0"/>
              <w:bottom w:val="single" w:color="auto" w:sz="4" w:space="0"/>
              <w:right w:val="single" w:color="auto" w:sz="8" w:space="0"/>
            </w:tcBorders>
            <w:vAlign w:val="center"/>
          </w:tcPr>
          <w:p>
            <w:pPr>
              <w:jc w:val="center"/>
              <w:rPr>
                <w:rFonts w:hint="eastAsia" w:ascii="宋体" w:hAnsi="宋体" w:eastAsia="宋体" w:cs="宋体"/>
                <w:color w:val="auto"/>
                <w:sz w:val="21"/>
                <w:szCs w:val="21"/>
                <w:highlight w:val="none"/>
              </w:rPr>
            </w:pPr>
          </w:p>
        </w:tc>
        <w:tc>
          <w:tcPr>
            <w:tcW w:w="2280" w:type="dxa"/>
            <w:tcBorders>
              <w:top w:val="single" w:color="auto" w:sz="4" w:space="0"/>
              <w:bottom w:val="single" w:color="auto" w:sz="4" w:space="0"/>
              <w:right w:val="single" w:color="auto" w:sz="8" w:space="0"/>
            </w:tcBorders>
            <w:vAlign w:val="center"/>
          </w:tcPr>
          <w:p>
            <w:pPr>
              <w:ind w:left="1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证书</w:t>
            </w:r>
          </w:p>
        </w:tc>
        <w:tc>
          <w:tcPr>
            <w:tcW w:w="360" w:type="dxa"/>
            <w:vAlign w:val="center"/>
          </w:tcPr>
          <w:p>
            <w:pPr>
              <w:jc w:val="center"/>
              <w:rPr>
                <w:rFonts w:hint="eastAsia" w:ascii="宋体" w:hAnsi="宋体" w:eastAsia="宋体" w:cs="宋体"/>
                <w:color w:val="auto"/>
                <w:sz w:val="21"/>
                <w:szCs w:val="21"/>
                <w:highlight w:val="none"/>
              </w:rPr>
            </w:pPr>
          </w:p>
        </w:tc>
      </w:tr>
      <w:tr>
        <w:tblPrEx>
          <w:tblLayout w:type="fixed"/>
          <w:tblCellMar>
            <w:top w:w="0" w:type="dxa"/>
            <w:left w:w="0" w:type="dxa"/>
            <w:bottom w:w="0" w:type="dxa"/>
            <w:right w:w="0" w:type="dxa"/>
          </w:tblCellMar>
        </w:tblPrEx>
        <w:trPr>
          <w:trHeight w:val="715" w:hRule="atLeast"/>
        </w:trPr>
        <w:tc>
          <w:tcPr>
            <w:tcW w:w="6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43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企业具有安全生产许可证，且在有效期内</w:t>
            </w:r>
          </w:p>
        </w:tc>
        <w:tc>
          <w:tcPr>
            <w:tcW w:w="2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22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证书</w:t>
            </w:r>
          </w:p>
        </w:tc>
        <w:tc>
          <w:tcPr>
            <w:tcW w:w="360" w:type="dxa"/>
            <w:tcBorders>
              <w:left w:val="single" w:color="auto" w:sz="4" w:space="0"/>
            </w:tcBorders>
            <w:vAlign w:val="center"/>
          </w:tcPr>
          <w:p>
            <w:pPr>
              <w:jc w:val="center"/>
              <w:rPr>
                <w:rFonts w:hint="eastAsia" w:ascii="宋体" w:hAnsi="宋体" w:eastAsia="宋体" w:cs="宋体"/>
                <w:color w:val="auto"/>
                <w:sz w:val="21"/>
                <w:szCs w:val="21"/>
                <w:highlight w:val="none"/>
              </w:rPr>
            </w:pPr>
          </w:p>
        </w:tc>
      </w:tr>
      <w:tr>
        <w:tblPrEx>
          <w:tblLayout w:type="fixed"/>
          <w:tblCellMar>
            <w:top w:w="0" w:type="dxa"/>
            <w:left w:w="0" w:type="dxa"/>
            <w:bottom w:w="0" w:type="dxa"/>
            <w:right w:w="0" w:type="dxa"/>
          </w:tblCellMar>
        </w:tblPrEx>
        <w:trPr>
          <w:trHeight w:val="305" w:hRule="atLeast"/>
        </w:trPr>
        <w:tc>
          <w:tcPr>
            <w:tcW w:w="650" w:type="dxa"/>
            <w:tcBorders>
              <w:top w:val="single" w:color="auto" w:sz="4" w:space="0"/>
              <w:left w:val="single" w:color="auto" w:sz="8" w:space="0"/>
              <w:right w:val="single" w:color="auto" w:sz="8" w:space="0"/>
            </w:tcBorders>
            <w:vAlign w:val="center"/>
          </w:tcPr>
          <w:p>
            <w:pPr>
              <w:jc w:val="center"/>
              <w:rPr>
                <w:rFonts w:hint="eastAsia" w:ascii="宋体" w:hAnsi="宋体" w:eastAsia="宋体" w:cs="宋体"/>
                <w:color w:val="auto"/>
                <w:w w:val="85"/>
                <w:sz w:val="21"/>
                <w:szCs w:val="21"/>
                <w:highlight w:val="none"/>
              </w:rPr>
            </w:pPr>
          </w:p>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w w:val="85"/>
                <w:sz w:val="21"/>
                <w:szCs w:val="21"/>
                <w:highlight w:val="none"/>
                <w:lang w:val="en-US" w:eastAsia="zh-CN"/>
              </w:rPr>
              <w:t>3</w:t>
            </w:r>
          </w:p>
        </w:tc>
        <w:tc>
          <w:tcPr>
            <w:tcW w:w="4300" w:type="dxa"/>
            <w:tcBorders>
              <w:top w:val="single" w:color="auto" w:sz="4" w:space="0"/>
              <w:right w:val="single" w:color="auto" w:sz="8" w:space="0"/>
            </w:tcBorders>
            <w:vAlign w:val="center"/>
          </w:tcPr>
          <w:p>
            <w:pPr>
              <w:ind w:left="100"/>
              <w:jc w:val="center"/>
              <w:rPr>
                <w:rFonts w:hint="eastAsia" w:ascii="宋体" w:hAnsi="宋体" w:eastAsia="宋体" w:cs="宋体"/>
                <w:color w:val="auto"/>
                <w:sz w:val="21"/>
                <w:szCs w:val="21"/>
                <w:highlight w:val="none"/>
              </w:rPr>
            </w:pPr>
          </w:p>
          <w:p>
            <w:pPr>
              <w:ind w:left="10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拟派项目经理具有建筑工程专业二级及以上建造师注册证书；</w:t>
            </w:r>
          </w:p>
          <w:p>
            <w:pPr>
              <w:ind w:left="100"/>
              <w:jc w:val="center"/>
              <w:rPr>
                <w:rFonts w:hint="eastAsia" w:ascii="宋体" w:hAnsi="宋体" w:eastAsia="宋体" w:cs="宋体"/>
                <w:color w:val="auto"/>
                <w:sz w:val="21"/>
                <w:szCs w:val="21"/>
                <w:highlight w:val="none"/>
              </w:rPr>
            </w:pPr>
          </w:p>
        </w:tc>
        <w:tc>
          <w:tcPr>
            <w:tcW w:w="2690" w:type="dxa"/>
            <w:tcBorders>
              <w:top w:val="single" w:color="auto" w:sz="4" w:space="0"/>
              <w:right w:val="single" w:color="auto" w:sz="8" w:space="0"/>
            </w:tcBorders>
            <w:vAlign w:val="center"/>
          </w:tcPr>
          <w:p>
            <w:pPr>
              <w:jc w:val="center"/>
              <w:rPr>
                <w:rFonts w:hint="eastAsia" w:ascii="宋体" w:hAnsi="宋体" w:eastAsia="宋体" w:cs="宋体"/>
                <w:color w:val="auto"/>
                <w:sz w:val="21"/>
                <w:szCs w:val="21"/>
                <w:highlight w:val="none"/>
              </w:rPr>
            </w:pPr>
          </w:p>
        </w:tc>
        <w:tc>
          <w:tcPr>
            <w:tcW w:w="2280" w:type="dxa"/>
            <w:tcBorders>
              <w:top w:val="single" w:color="auto" w:sz="4" w:space="0"/>
              <w:right w:val="single" w:color="auto" w:sz="8" w:space="0"/>
            </w:tcBorders>
            <w:vAlign w:val="center"/>
          </w:tcPr>
          <w:p>
            <w:pPr>
              <w:jc w:val="center"/>
              <w:rPr>
                <w:rFonts w:hint="eastAsia" w:ascii="宋体" w:hAnsi="宋体" w:eastAsia="宋体" w:cs="宋体"/>
                <w:color w:val="auto"/>
                <w:sz w:val="21"/>
                <w:szCs w:val="21"/>
                <w:highlight w:val="none"/>
              </w:rPr>
            </w:pP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建造师执业注册证书</w:t>
            </w:r>
          </w:p>
        </w:tc>
        <w:tc>
          <w:tcPr>
            <w:tcW w:w="360" w:type="dxa"/>
            <w:vAlign w:val="center"/>
          </w:tcPr>
          <w:p>
            <w:pPr>
              <w:jc w:val="center"/>
              <w:rPr>
                <w:rFonts w:hint="eastAsia" w:ascii="宋体" w:hAnsi="宋体" w:eastAsia="宋体" w:cs="宋体"/>
                <w:color w:val="auto"/>
                <w:sz w:val="21"/>
                <w:szCs w:val="21"/>
                <w:highlight w:val="none"/>
              </w:rPr>
            </w:pPr>
          </w:p>
        </w:tc>
      </w:tr>
      <w:tr>
        <w:tblPrEx>
          <w:tblLayout w:type="fixed"/>
          <w:tblCellMar>
            <w:top w:w="0" w:type="dxa"/>
            <w:left w:w="0" w:type="dxa"/>
            <w:bottom w:w="0" w:type="dxa"/>
            <w:right w:w="0" w:type="dxa"/>
          </w:tblCellMar>
        </w:tblPrEx>
        <w:trPr>
          <w:trHeight w:val="86" w:hRule="atLeast"/>
        </w:trPr>
        <w:tc>
          <w:tcPr>
            <w:tcW w:w="650" w:type="dxa"/>
            <w:tcBorders>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1"/>
                <w:szCs w:val="21"/>
                <w:highlight w:val="none"/>
              </w:rPr>
            </w:pPr>
          </w:p>
        </w:tc>
        <w:tc>
          <w:tcPr>
            <w:tcW w:w="4300" w:type="dxa"/>
            <w:tcBorders>
              <w:bottom w:val="single" w:color="auto" w:sz="8" w:space="0"/>
              <w:right w:val="single" w:color="auto" w:sz="8" w:space="0"/>
            </w:tcBorders>
            <w:vAlign w:val="center"/>
          </w:tcPr>
          <w:p>
            <w:pPr>
              <w:jc w:val="center"/>
              <w:rPr>
                <w:rFonts w:hint="eastAsia" w:ascii="宋体" w:hAnsi="宋体" w:eastAsia="宋体" w:cs="宋体"/>
                <w:color w:val="auto"/>
                <w:sz w:val="21"/>
                <w:szCs w:val="21"/>
                <w:highlight w:val="none"/>
              </w:rPr>
            </w:pPr>
          </w:p>
        </w:tc>
        <w:tc>
          <w:tcPr>
            <w:tcW w:w="2690" w:type="dxa"/>
            <w:tcBorders>
              <w:bottom w:val="single" w:color="auto" w:sz="8" w:space="0"/>
              <w:right w:val="single" w:color="auto" w:sz="8" w:space="0"/>
            </w:tcBorders>
            <w:vAlign w:val="center"/>
          </w:tcPr>
          <w:p>
            <w:pPr>
              <w:jc w:val="center"/>
              <w:rPr>
                <w:rFonts w:hint="eastAsia" w:ascii="宋体" w:hAnsi="宋体" w:eastAsia="宋体" w:cs="宋体"/>
                <w:color w:val="auto"/>
                <w:sz w:val="21"/>
                <w:szCs w:val="21"/>
                <w:highlight w:val="none"/>
              </w:rPr>
            </w:pPr>
          </w:p>
        </w:tc>
        <w:tc>
          <w:tcPr>
            <w:tcW w:w="2280" w:type="dxa"/>
            <w:tcBorders>
              <w:bottom w:val="single" w:color="auto" w:sz="8" w:space="0"/>
              <w:right w:val="single" w:color="auto" w:sz="8" w:space="0"/>
            </w:tcBorders>
            <w:vAlign w:val="center"/>
          </w:tcPr>
          <w:p>
            <w:pPr>
              <w:jc w:val="center"/>
              <w:rPr>
                <w:rFonts w:hint="eastAsia" w:ascii="宋体" w:hAnsi="宋体" w:eastAsia="宋体" w:cs="宋体"/>
                <w:color w:val="auto"/>
                <w:sz w:val="21"/>
                <w:szCs w:val="21"/>
                <w:highlight w:val="none"/>
              </w:rPr>
            </w:pPr>
          </w:p>
        </w:tc>
        <w:tc>
          <w:tcPr>
            <w:tcW w:w="360" w:type="dxa"/>
            <w:vAlign w:val="center"/>
          </w:tcPr>
          <w:p>
            <w:pPr>
              <w:jc w:val="center"/>
              <w:rPr>
                <w:rFonts w:hint="eastAsia" w:ascii="宋体" w:hAnsi="宋体" w:eastAsia="宋体" w:cs="宋体"/>
                <w:color w:val="auto"/>
                <w:sz w:val="21"/>
                <w:szCs w:val="21"/>
                <w:highlight w:val="none"/>
              </w:rPr>
            </w:pPr>
          </w:p>
        </w:tc>
      </w:tr>
      <w:tr>
        <w:tblPrEx>
          <w:tblLayout w:type="fixed"/>
          <w:tblCellMar>
            <w:top w:w="0" w:type="dxa"/>
            <w:left w:w="0" w:type="dxa"/>
            <w:bottom w:w="0" w:type="dxa"/>
            <w:right w:w="0" w:type="dxa"/>
          </w:tblCellMar>
        </w:tblPrEx>
        <w:trPr>
          <w:trHeight w:val="772" w:hRule="atLeast"/>
        </w:trPr>
        <w:tc>
          <w:tcPr>
            <w:tcW w:w="650" w:type="dxa"/>
            <w:vMerge w:val="restart"/>
            <w:tcBorders>
              <w:left w:val="single" w:color="auto" w:sz="8" w:space="0"/>
              <w:right w:val="single" w:color="auto" w:sz="8" w:space="0"/>
            </w:tcBorders>
            <w:vAlign w:val="center"/>
          </w:tcPr>
          <w:p>
            <w:pPr>
              <w:jc w:val="center"/>
              <w:rPr>
                <w:rFonts w:hint="eastAsia" w:ascii="宋体" w:hAnsi="宋体" w:eastAsia="宋体" w:cs="宋体"/>
                <w:color w:val="auto"/>
                <w:w w:val="85"/>
                <w:sz w:val="21"/>
                <w:szCs w:val="21"/>
                <w:highlight w:val="none"/>
              </w:rPr>
            </w:pPr>
          </w:p>
          <w:p>
            <w:pPr>
              <w:jc w:val="center"/>
              <w:rPr>
                <w:rFonts w:hint="eastAsia" w:ascii="宋体" w:hAnsi="宋体" w:eastAsia="宋体" w:cs="宋体"/>
                <w:color w:val="auto"/>
                <w:w w:val="85"/>
                <w:sz w:val="21"/>
                <w:szCs w:val="21"/>
                <w:highlight w:val="none"/>
              </w:rPr>
            </w:pPr>
          </w:p>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w w:val="85"/>
                <w:sz w:val="21"/>
                <w:szCs w:val="21"/>
                <w:highlight w:val="none"/>
                <w:lang w:val="en-US" w:eastAsia="zh-CN"/>
              </w:rPr>
              <w:t>4</w:t>
            </w:r>
          </w:p>
        </w:tc>
        <w:tc>
          <w:tcPr>
            <w:tcW w:w="4300" w:type="dxa"/>
            <w:tcBorders>
              <w:right w:val="single" w:color="auto" w:sz="8" w:space="0"/>
            </w:tcBorders>
            <w:vAlign w:val="center"/>
          </w:tcPr>
          <w:p>
            <w:pPr>
              <w:ind w:left="1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符合《中华人民共和国政府采购法》第二十二条的规定；</w:t>
            </w:r>
          </w:p>
        </w:tc>
        <w:tc>
          <w:tcPr>
            <w:tcW w:w="2690" w:type="dxa"/>
            <w:tcBorders>
              <w:right w:val="single" w:color="auto" w:sz="8" w:space="0"/>
            </w:tcBorders>
            <w:vAlign w:val="center"/>
          </w:tcPr>
          <w:p>
            <w:pPr>
              <w:jc w:val="center"/>
              <w:rPr>
                <w:rFonts w:hint="eastAsia" w:ascii="宋体" w:hAnsi="宋体" w:eastAsia="宋体" w:cs="宋体"/>
                <w:color w:val="auto"/>
                <w:sz w:val="21"/>
                <w:szCs w:val="21"/>
                <w:highlight w:val="none"/>
              </w:rPr>
            </w:pPr>
          </w:p>
        </w:tc>
        <w:tc>
          <w:tcPr>
            <w:tcW w:w="2280" w:type="dxa"/>
            <w:vMerge w:val="restart"/>
            <w:tcBorders>
              <w:right w:val="single" w:color="auto" w:sz="8" w:space="0"/>
            </w:tcBorders>
            <w:vAlign w:val="center"/>
          </w:tcPr>
          <w:p>
            <w:pPr>
              <w:jc w:val="center"/>
              <w:rPr>
                <w:rFonts w:hint="eastAsia" w:ascii="宋体" w:hAnsi="宋体" w:eastAsia="宋体" w:cs="宋体"/>
                <w:color w:val="auto"/>
                <w:w w:val="99"/>
                <w:sz w:val="21"/>
                <w:szCs w:val="21"/>
                <w:highlight w:val="none"/>
              </w:rPr>
            </w:pPr>
          </w:p>
          <w:p>
            <w:pPr>
              <w:jc w:val="center"/>
              <w:rPr>
                <w:rFonts w:hint="eastAsia"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见附件二</w:t>
            </w:r>
          </w:p>
        </w:tc>
        <w:tc>
          <w:tcPr>
            <w:tcW w:w="360" w:type="dxa"/>
            <w:vAlign w:val="center"/>
          </w:tcPr>
          <w:p>
            <w:pPr>
              <w:jc w:val="center"/>
              <w:rPr>
                <w:rFonts w:hint="eastAsia" w:ascii="宋体" w:hAnsi="宋体" w:eastAsia="宋体" w:cs="宋体"/>
                <w:color w:val="auto"/>
                <w:sz w:val="21"/>
                <w:szCs w:val="21"/>
                <w:highlight w:val="none"/>
              </w:rPr>
            </w:pPr>
          </w:p>
        </w:tc>
      </w:tr>
      <w:tr>
        <w:tblPrEx>
          <w:tblLayout w:type="fixed"/>
          <w:tblCellMar>
            <w:top w:w="0" w:type="dxa"/>
            <w:left w:w="0" w:type="dxa"/>
            <w:bottom w:w="0" w:type="dxa"/>
            <w:right w:w="0" w:type="dxa"/>
          </w:tblCellMar>
        </w:tblPrEx>
        <w:trPr>
          <w:trHeight w:val="161" w:hRule="atLeast"/>
        </w:trPr>
        <w:tc>
          <w:tcPr>
            <w:tcW w:w="650" w:type="dxa"/>
            <w:vMerge w:val="continue"/>
            <w:tcBorders>
              <w:left w:val="single" w:color="auto" w:sz="8" w:space="0"/>
              <w:right w:val="single" w:color="auto" w:sz="8" w:space="0"/>
            </w:tcBorders>
            <w:vAlign w:val="center"/>
          </w:tcPr>
          <w:p>
            <w:pPr>
              <w:jc w:val="center"/>
              <w:rPr>
                <w:rFonts w:hint="eastAsia" w:ascii="宋体" w:hAnsi="宋体" w:eastAsia="宋体" w:cs="宋体"/>
                <w:color w:val="auto"/>
                <w:sz w:val="21"/>
                <w:szCs w:val="21"/>
                <w:highlight w:val="none"/>
              </w:rPr>
            </w:pPr>
          </w:p>
        </w:tc>
        <w:tc>
          <w:tcPr>
            <w:tcW w:w="4300" w:type="dxa"/>
            <w:vMerge w:val="restart"/>
            <w:tcBorders>
              <w:right w:val="single" w:color="auto" w:sz="8" w:space="0"/>
            </w:tcBorders>
            <w:vAlign w:val="center"/>
          </w:tcPr>
          <w:p>
            <w:pPr>
              <w:jc w:val="center"/>
              <w:rPr>
                <w:rFonts w:hint="eastAsia" w:ascii="宋体" w:hAnsi="宋体" w:eastAsia="宋体" w:cs="宋体"/>
                <w:color w:val="auto"/>
                <w:sz w:val="21"/>
                <w:szCs w:val="21"/>
                <w:highlight w:val="none"/>
              </w:rPr>
            </w:pPr>
          </w:p>
        </w:tc>
        <w:tc>
          <w:tcPr>
            <w:tcW w:w="2690" w:type="dxa"/>
            <w:tcBorders>
              <w:right w:val="single" w:color="auto" w:sz="8" w:space="0"/>
            </w:tcBorders>
            <w:vAlign w:val="center"/>
          </w:tcPr>
          <w:p>
            <w:pPr>
              <w:jc w:val="center"/>
              <w:rPr>
                <w:rFonts w:hint="eastAsia" w:ascii="宋体" w:hAnsi="宋体" w:eastAsia="宋体" w:cs="宋体"/>
                <w:color w:val="auto"/>
                <w:sz w:val="21"/>
                <w:szCs w:val="21"/>
                <w:highlight w:val="none"/>
              </w:rPr>
            </w:pPr>
          </w:p>
        </w:tc>
        <w:tc>
          <w:tcPr>
            <w:tcW w:w="2280" w:type="dxa"/>
            <w:vMerge w:val="continue"/>
            <w:tcBorders>
              <w:right w:val="single" w:color="auto" w:sz="8" w:space="0"/>
            </w:tcBorders>
            <w:vAlign w:val="center"/>
          </w:tcPr>
          <w:p>
            <w:pPr>
              <w:jc w:val="center"/>
              <w:rPr>
                <w:rFonts w:hint="eastAsia" w:ascii="宋体" w:hAnsi="宋体" w:eastAsia="宋体" w:cs="宋体"/>
                <w:color w:val="auto"/>
                <w:sz w:val="21"/>
                <w:szCs w:val="21"/>
                <w:highlight w:val="none"/>
              </w:rPr>
            </w:pPr>
          </w:p>
        </w:tc>
        <w:tc>
          <w:tcPr>
            <w:tcW w:w="360" w:type="dxa"/>
            <w:vAlign w:val="center"/>
          </w:tcPr>
          <w:p>
            <w:pPr>
              <w:jc w:val="center"/>
              <w:rPr>
                <w:rFonts w:hint="eastAsia" w:ascii="宋体" w:hAnsi="宋体" w:eastAsia="宋体" w:cs="宋体"/>
                <w:color w:val="auto"/>
                <w:sz w:val="21"/>
                <w:szCs w:val="21"/>
                <w:highlight w:val="none"/>
              </w:rPr>
            </w:pPr>
          </w:p>
        </w:tc>
      </w:tr>
      <w:tr>
        <w:tblPrEx>
          <w:tblLayout w:type="fixed"/>
          <w:tblCellMar>
            <w:top w:w="0" w:type="dxa"/>
            <w:left w:w="0" w:type="dxa"/>
            <w:bottom w:w="0" w:type="dxa"/>
            <w:right w:w="0" w:type="dxa"/>
          </w:tblCellMar>
        </w:tblPrEx>
        <w:trPr>
          <w:trHeight w:val="90" w:hRule="atLeast"/>
        </w:trPr>
        <w:tc>
          <w:tcPr>
            <w:tcW w:w="650" w:type="dxa"/>
            <w:tcBorders>
              <w:left w:val="single" w:color="auto" w:sz="8" w:space="0"/>
              <w:right w:val="single" w:color="auto" w:sz="8" w:space="0"/>
            </w:tcBorders>
            <w:vAlign w:val="center"/>
          </w:tcPr>
          <w:p>
            <w:pPr>
              <w:jc w:val="center"/>
              <w:rPr>
                <w:rFonts w:hint="eastAsia" w:ascii="宋体" w:hAnsi="宋体" w:eastAsia="宋体" w:cs="宋体"/>
                <w:color w:val="auto"/>
                <w:sz w:val="21"/>
                <w:szCs w:val="21"/>
                <w:highlight w:val="none"/>
              </w:rPr>
            </w:pPr>
          </w:p>
        </w:tc>
        <w:tc>
          <w:tcPr>
            <w:tcW w:w="4300" w:type="dxa"/>
            <w:vMerge w:val="continue"/>
            <w:tcBorders>
              <w:right w:val="single" w:color="auto" w:sz="8" w:space="0"/>
            </w:tcBorders>
            <w:vAlign w:val="center"/>
          </w:tcPr>
          <w:p>
            <w:pPr>
              <w:jc w:val="center"/>
              <w:rPr>
                <w:rFonts w:hint="eastAsia" w:ascii="宋体" w:hAnsi="宋体" w:eastAsia="宋体" w:cs="宋体"/>
                <w:color w:val="auto"/>
                <w:sz w:val="21"/>
                <w:szCs w:val="21"/>
                <w:highlight w:val="none"/>
              </w:rPr>
            </w:pPr>
          </w:p>
        </w:tc>
        <w:tc>
          <w:tcPr>
            <w:tcW w:w="2690" w:type="dxa"/>
            <w:tcBorders>
              <w:right w:val="single" w:color="auto" w:sz="8" w:space="0"/>
            </w:tcBorders>
            <w:vAlign w:val="center"/>
          </w:tcPr>
          <w:p>
            <w:pPr>
              <w:jc w:val="both"/>
              <w:rPr>
                <w:rFonts w:hint="eastAsia" w:ascii="宋体" w:hAnsi="宋体" w:eastAsia="宋体" w:cs="宋体"/>
                <w:color w:val="auto"/>
                <w:sz w:val="21"/>
                <w:szCs w:val="21"/>
                <w:highlight w:val="none"/>
              </w:rPr>
            </w:pPr>
          </w:p>
        </w:tc>
        <w:tc>
          <w:tcPr>
            <w:tcW w:w="2280" w:type="dxa"/>
            <w:tcBorders>
              <w:right w:val="single" w:color="auto" w:sz="8" w:space="0"/>
            </w:tcBorders>
            <w:vAlign w:val="center"/>
          </w:tcPr>
          <w:p>
            <w:pPr>
              <w:jc w:val="center"/>
              <w:rPr>
                <w:rFonts w:hint="eastAsia" w:ascii="宋体" w:hAnsi="宋体" w:eastAsia="宋体" w:cs="宋体"/>
                <w:color w:val="auto"/>
                <w:sz w:val="21"/>
                <w:szCs w:val="21"/>
                <w:highlight w:val="none"/>
              </w:rPr>
            </w:pPr>
          </w:p>
        </w:tc>
        <w:tc>
          <w:tcPr>
            <w:tcW w:w="360" w:type="dxa"/>
            <w:vAlign w:val="center"/>
          </w:tcPr>
          <w:p>
            <w:pPr>
              <w:jc w:val="center"/>
              <w:rPr>
                <w:rFonts w:hint="eastAsia" w:ascii="宋体" w:hAnsi="宋体" w:eastAsia="宋体" w:cs="宋体"/>
                <w:color w:val="auto"/>
                <w:sz w:val="21"/>
                <w:szCs w:val="21"/>
                <w:highlight w:val="none"/>
              </w:rPr>
            </w:pPr>
          </w:p>
        </w:tc>
      </w:tr>
      <w:tr>
        <w:tblPrEx>
          <w:tblLayout w:type="fixed"/>
          <w:tblCellMar>
            <w:top w:w="0" w:type="dxa"/>
            <w:left w:w="0" w:type="dxa"/>
            <w:bottom w:w="0" w:type="dxa"/>
            <w:right w:w="0" w:type="dxa"/>
          </w:tblCellMar>
        </w:tblPrEx>
        <w:trPr>
          <w:trHeight w:val="90" w:hRule="atLeast"/>
        </w:trPr>
        <w:tc>
          <w:tcPr>
            <w:tcW w:w="650" w:type="dxa"/>
            <w:tcBorders>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1"/>
                <w:szCs w:val="21"/>
                <w:highlight w:val="none"/>
              </w:rPr>
            </w:pPr>
          </w:p>
        </w:tc>
        <w:tc>
          <w:tcPr>
            <w:tcW w:w="4300" w:type="dxa"/>
            <w:tcBorders>
              <w:bottom w:val="single" w:color="auto" w:sz="8" w:space="0"/>
              <w:right w:val="single" w:color="auto" w:sz="8" w:space="0"/>
            </w:tcBorders>
            <w:vAlign w:val="center"/>
          </w:tcPr>
          <w:p>
            <w:pPr>
              <w:jc w:val="both"/>
              <w:rPr>
                <w:rFonts w:hint="eastAsia" w:ascii="宋体" w:hAnsi="宋体" w:eastAsia="宋体" w:cs="宋体"/>
                <w:color w:val="auto"/>
                <w:sz w:val="21"/>
                <w:szCs w:val="21"/>
                <w:highlight w:val="none"/>
              </w:rPr>
            </w:pPr>
          </w:p>
        </w:tc>
        <w:tc>
          <w:tcPr>
            <w:tcW w:w="2690" w:type="dxa"/>
            <w:tcBorders>
              <w:bottom w:val="single" w:color="auto" w:sz="8" w:space="0"/>
              <w:right w:val="single" w:color="auto" w:sz="8" w:space="0"/>
            </w:tcBorders>
            <w:vAlign w:val="center"/>
          </w:tcPr>
          <w:p>
            <w:pPr>
              <w:jc w:val="center"/>
              <w:rPr>
                <w:rFonts w:hint="eastAsia" w:ascii="宋体" w:hAnsi="宋体" w:eastAsia="宋体" w:cs="宋体"/>
                <w:color w:val="auto"/>
                <w:sz w:val="21"/>
                <w:szCs w:val="21"/>
                <w:highlight w:val="none"/>
              </w:rPr>
            </w:pPr>
          </w:p>
        </w:tc>
        <w:tc>
          <w:tcPr>
            <w:tcW w:w="2280" w:type="dxa"/>
            <w:tcBorders>
              <w:bottom w:val="single" w:color="auto" w:sz="8" w:space="0"/>
              <w:right w:val="single" w:color="auto" w:sz="8" w:space="0"/>
            </w:tcBorders>
            <w:vAlign w:val="center"/>
          </w:tcPr>
          <w:p>
            <w:pPr>
              <w:jc w:val="both"/>
              <w:rPr>
                <w:rFonts w:hint="eastAsia" w:ascii="宋体" w:hAnsi="宋体" w:eastAsia="宋体" w:cs="宋体"/>
                <w:color w:val="auto"/>
                <w:sz w:val="21"/>
                <w:szCs w:val="21"/>
                <w:highlight w:val="none"/>
              </w:rPr>
            </w:pPr>
          </w:p>
        </w:tc>
        <w:tc>
          <w:tcPr>
            <w:tcW w:w="360" w:type="dxa"/>
            <w:vAlign w:val="center"/>
          </w:tcPr>
          <w:p>
            <w:pPr>
              <w:jc w:val="center"/>
              <w:rPr>
                <w:rFonts w:hint="eastAsia" w:ascii="宋体" w:hAnsi="宋体" w:eastAsia="宋体" w:cs="宋体"/>
                <w:color w:val="auto"/>
                <w:sz w:val="21"/>
                <w:szCs w:val="21"/>
                <w:highlight w:val="none"/>
              </w:rPr>
            </w:pPr>
          </w:p>
        </w:tc>
      </w:tr>
      <w:tr>
        <w:tblPrEx>
          <w:tblLayout w:type="fixed"/>
          <w:tblCellMar>
            <w:top w:w="0" w:type="dxa"/>
            <w:left w:w="0" w:type="dxa"/>
            <w:bottom w:w="0" w:type="dxa"/>
            <w:right w:w="0" w:type="dxa"/>
          </w:tblCellMar>
        </w:tblPrEx>
        <w:trPr>
          <w:trHeight w:val="231" w:hRule="atLeast"/>
        </w:trPr>
        <w:tc>
          <w:tcPr>
            <w:tcW w:w="650" w:type="dxa"/>
            <w:vMerge w:val="restart"/>
            <w:tcBorders>
              <w:left w:val="single" w:color="auto" w:sz="8" w:space="0"/>
              <w:right w:val="single" w:color="auto" w:sz="8" w:space="0"/>
            </w:tcBorders>
            <w:vAlign w:val="center"/>
          </w:tcPr>
          <w:p>
            <w:pPr>
              <w:jc w:val="center"/>
              <w:rPr>
                <w:rFonts w:hint="eastAsia" w:ascii="宋体" w:hAnsi="宋体" w:eastAsia="宋体" w:cs="宋体"/>
                <w:color w:val="auto"/>
                <w:w w:val="85"/>
                <w:sz w:val="21"/>
                <w:szCs w:val="21"/>
                <w:highlight w:val="none"/>
              </w:rPr>
            </w:pPr>
          </w:p>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w w:val="85"/>
                <w:sz w:val="21"/>
                <w:szCs w:val="21"/>
                <w:highlight w:val="none"/>
                <w:lang w:val="en-US" w:eastAsia="zh-CN"/>
              </w:rPr>
              <w:t>5</w:t>
            </w:r>
          </w:p>
        </w:tc>
        <w:tc>
          <w:tcPr>
            <w:tcW w:w="4300" w:type="dxa"/>
            <w:tcBorders>
              <w:right w:val="single" w:color="auto" w:sz="8" w:space="0"/>
            </w:tcBorders>
            <w:vAlign w:val="center"/>
          </w:tcPr>
          <w:p>
            <w:pPr>
              <w:ind w:left="100"/>
              <w:jc w:val="center"/>
              <w:rPr>
                <w:rFonts w:hint="eastAsia" w:ascii="宋体" w:hAnsi="宋体" w:eastAsia="宋体" w:cs="宋体"/>
                <w:color w:val="auto"/>
                <w:sz w:val="21"/>
                <w:szCs w:val="21"/>
                <w:highlight w:val="none"/>
              </w:rPr>
            </w:pPr>
          </w:p>
          <w:p>
            <w:pPr>
              <w:ind w:left="1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参加采购活动前三年内，在经营活动中没有重大违法</w:t>
            </w:r>
          </w:p>
        </w:tc>
        <w:tc>
          <w:tcPr>
            <w:tcW w:w="2690" w:type="dxa"/>
            <w:tcBorders>
              <w:right w:val="single" w:color="auto" w:sz="8" w:space="0"/>
            </w:tcBorders>
            <w:vAlign w:val="center"/>
          </w:tcPr>
          <w:p>
            <w:pPr>
              <w:jc w:val="center"/>
              <w:rPr>
                <w:rFonts w:hint="eastAsia" w:ascii="宋体" w:hAnsi="宋体" w:eastAsia="宋体" w:cs="宋体"/>
                <w:color w:val="auto"/>
                <w:sz w:val="21"/>
                <w:szCs w:val="21"/>
                <w:highlight w:val="none"/>
              </w:rPr>
            </w:pPr>
          </w:p>
        </w:tc>
        <w:tc>
          <w:tcPr>
            <w:tcW w:w="2280" w:type="dxa"/>
            <w:vMerge w:val="restart"/>
            <w:tcBorders>
              <w:right w:val="single" w:color="auto" w:sz="8" w:space="0"/>
            </w:tcBorders>
            <w:vAlign w:val="center"/>
          </w:tcPr>
          <w:p>
            <w:pPr>
              <w:jc w:val="center"/>
              <w:rPr>
                <w:rFonts w:hint="eastAsia" w:ascii="宋体" w:hAnsi="宋体" w:eastAsia="宋体" w:cs="宋体"/>
                <w:color w:val="auto"/>
                <w:w w:val="99"/>
                <w:sz w:val="21"/>
                <w:szCs w:val="21"/>
                <w:highlight w:val="none"/>
              </w:rPr>
            </w:pPr>
          </w:p>
          <w:p>
            <w:pPr>
              <w:jc w:val="center"/>
              <w:rPr>
                <w:rFonts w:hint="eastAsia"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内容见承诺书</w:t>
            </w:r>
          </w:p>
        </w:tc>
        <w:tc>
          <w:tcPr>
            <w:tcW w:w="360" w:type="dxa"/>
            <w:vAlign w:val="center"/>
          </w:tcPr>
          <w:p>
            <w:pPr>
              <w:jc w:val="center"/>
              <w:rPr>
                <w:rFonts w:hint="eastAsia" w:ascii="宋体" w:hAnsi="宋体" w:eastAsia="宋体" w:cs="宋体"/>
                <w:color w:val="auto"/>
                <w:sz w:val="21"/>
                <w:szCs w:val="21"/>
                <w:highlight w:val="none"/>
              </w:rPr>
            </w:pPr>
          </w:p>
        </w:tc>
      </w:tr>
      <w:tr>
        <w:tblPrEx>
          <w:tblLayout w:type="fixed"/>
          <w:tblCellMar>
            <w:top w:w="0" w:type="dxa"/>
            <w:left w:w="0" w:type="dxa"/>
            <w:bottom w:w="0" w:type="dxa"/>
            <w:right w:w="0" w:type="dxa"/>
          </w:tblCellMar>
        </w:tblPrEx>
        <w:trPr>
          <w:trHeight w:val="148" w:hRule="atLeast"/>
        </w:trPr>
        <w:tc>
          <w:tcPr>
            <w:tcW w:w="650" w:type="dxa"/>
            <w:vMerge w:val="continue"/>
            <w:tcBorders>
              <w:left w:val="single" w:color="auto" w:sz="8" w:space="0"/>
              <w:right w:val="single" w:color="auto" w:sz="8" w:space="0"/>
            </w:tcBorders>
            <w:vAlign w:val="center"/>
          </w:tcPr>
          <w:p>
            <w:pPr>
              <w:jc w:val="center"/>
              <w:rPr>
                <w:rFonts w:hint="eastAsia" w:ascii="宋体" w:hAnsi="宋体" w:eastAsia="宋体" w:cs="宋体"/>
                <w:color w:val="auto"/>
                <w:sz w:val="21"/>
                <w:szCs w:val="21"/>
                <w:highlight w:val="none"/>
              </w:rPr>
            </w:pPr>
          </w:p>
        </w:tc>
        <w:tc>
          <w:tcPr>
            <w:tcW w:w="4300" w:type="dxa"/>
            <w:vMerge w:val="restart"/>
            <w:tcBorders>
              <w:right w:val="single" w:color="auto" w:sz="8" w:space="0"/>
            </w:tcBorders>
            <w:vAlign w:val="center"/>
          </w:tcPr>
          <w:p>
            <w:pPr>
              <w:ind w:left="1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记录</w:t>
            </w:r>
          </w:p>
        </w:tc>
        <w:tc>
          <w:tcPr>
            <w:tcW w:w="2690" w:type="dxa"/>
            <w:tcBorders>
              <w:right w:val="single" w:color="auto" w:sz="8" w:space="0"/>
            </w:tcBorders>
            <w:vAlign w:val="center"/>
          </w:tcPr>
          <w:p>
            <w:pPr>
              <w:jc w:val="center"/>
              <w:rPr>
                <w:rFonts w:hint="eastAsia" w:ascii="宋体" w:hAnsi="宋体" w:eastAsia="宋体" w:cs="宋体"/>
                <w:color w:val="auto"/>
                <w:sz w:val="21"/>
                <w:szCs w:val="21"/>
                <w:highlight w:val="none"/>
              </w:rPr>
            </w:pPr>
          </w:p>
        </w:tc>
        <w:tc>
          <w:tcPr>
            <w:tcW w:w="2280" w:type="dxa"/>
            <w:vMerge w:val="continue"/>
            <w:tcBorders>
              <w:right w:val="single" w:color="auto" w:sz="8" w:space="0"/>
            </w:tcBorders>
            <w:vAlign w:val="center"/>
          </w:tcPr>
          <w:p>
            <w:pPr>
              <w:jc w:val="center"/>
              <w:rPr>
                <w:rFonts w:hint="eastAsia" w:ascii="宋体" w:hAnsi="宋体" w:eastAsia="宋体" w:cs="宋体"/>
                <w:color w:val="auto"/>
                <w:sz w:val="21"/>
                <w:szCs w:val="21"/>
                <w:highlight w:val="none"/>
              </w:rPr>
            </w:pPr>
          </w:p>
        </w:tc>
        <w:tc>
          <w:tcPr>
            <w:tcW w:w="360" w:type="dxa"/>
            <w:vAlign w:val="center"/>
          </w:tcPr>
          <w:p>
            <w:pPr>
              <w:jc w:val="center"/>
              <w:rPr>
                <w:rFonts w:hint="eastAsia" w:ascii="宋体" w:hAnsi="宋体" w:eastAsia="宋体" w:cs="宋体"/>
                <w:color w:val="auto"/>
                <w:sz w:val="21"/>
                <w:szCs w:val="21"/>
                <w:highlight w:val="none"/>
              </w:rPr>
            </w:pPr>
          </w:p>
        </w:tc>
      </w:tr>
      <w:tr>
        <w:tblPrEx>
          <w:tblLayout w:type="fixed"/>
          <w:tblCellMar>
            <w:top w:w="0" w:type="dxa"/>
            <w:left w:w="0" w:type="dxa"/>
            <w:bottom w:w="0" w:type="dxa"/>
            <w:right w:w="0" w:type="dxa"/>
          </w:tblCellMar>
        </w:tblPrEx>
        <w:trPr>
          <w:trHeight w:val="123" w:hRule="atLeast"/>
        </w:trPr>
        <w:tc>
          <w:tcPr>
            <w:tcW w:w="650" w:type="dxa"/>
            <w:tcBorders>
              <w:left w:val="single" w:color="auto" w:sz="8" w:space="0"/>
              <w:right w:val="single" w:color="auto" w:sz="8" w:space="0"/>
            </w:tcBorders>
            <w:vAlign w:val="center"/>
          </w:tcPr>
          <w:p>
            <w:pPr>
              <w:jc w:val="center"/>
              <w:rPr>
                <w:rFonts w:hint="eastAsia" w:ascii="宋体" w:hAnsi="宋体" w:eastAsia="宋体" w:cs="宋体"/>
                <w:color w:val="auto"/>
                <w:sz w:val="21"/>
                <w:szCs w:val="21"/>
                <w:highlight w:val="none"/>
              </w:rPr>
            </w:pPr>
          </w:p>
        </w:tc>
        <w:tc>
          <w:tcPr>
            <w:tcW w:w="4300" w:type="dxa"/>
            <w:vMerge w:val="continue"/>
            <w:tcBorders>
              <w:right w:val="single" w:color="auto" w:sz="8" w:space="0"/>
            </w:tcBorders>
            <w:vAlign w:val="center"/>
          </w:tcPr>
          <w:p>
            <w:pPr>
              <w:jc w:val="center"/>
              <w:rPr>
                <w:rFonts w:hint="eastAsia" w:ascii="宋体" w:hAnsi="宋体" w:eastAsia="宋体" w:cs="宋体"/>
                <w:color w:val="auto"/>
                <w:sz w:val="21"/>
                <w:szCs w:val="21"/>
                <w:highlight w:val="none"/>
              </w:rPr>
            </w:pPr>
          </w:p>
        </w:tc>
        <w:tc>
          <w:tcPr>
            <w:tcW w:w="2690" w:type="dxa"/>
            <w:tcBorders>
              <w:right w:val="single" w:color="auto" w:sz="8" w:space="0"/>
            </w:tcBorders>
            <w:vAlign w:val="center"/>
          </w:tcPr>
          <w:p>
            <w:pPr>
              <w:jc w:val="center"/>
              <w:rPr>
                <w:rFonts w:hint="eastAsia" w:ascii="宋体" w:hAnsi="宋体" w:eastAsia="宋体" w:cs="宋体"/>
                <w:color w:val="auto"/>
                <w:sz w:val="21"/>
                <w:szCs w:val="21"/>
                <w:highlight w:val="none"/>
              </w:rPr>
            </w:pPr>
          </w:p>
        </w:tc>
        <w:tc>
          <w:tcPr>
            <w:tcW w:w="2280" w:type="dxa"/>
            <w:tcBorders>
              <w:right w:val="single" w:color="auto" w:sz="8" w:space="0"/>
            </w:tcBorders>
            <w:vAlign w:val="center"/>
          </w:tcPr>
          <w:p>
            <w:pPr>
              <w:jc w:val="center"/>
              <w:rPr>
                <w:rFonts w:hint="eastAsia" w:ascii="宋体" w:hAnsi="宋体" w:eastAsia="宋体" w:cs="宋体"/>
                <w:color w:val="auto"/>
                <w:sz w:val="21"/>
                <w:szCs w:val="21"/>
                <w:highlight w:val="none"/>
              </w:rPr>
            </w:pPr>
          </w:p>
        </w:tc>
        <w:tc>
          <w:tcPr>
            <w:tcW w:w="360" w:type="dxa"/>
            <w:vAlign w:val="center"/>
          </w:tcPr>
          <w:p>
            <w:pPr>
              <w:jc w:val="center"/>
              <w:rPr>
                <w:rFonts w:hint="eastAsia" w:ascii="宋体" w:hAnsi="宋体" w:eastAsia="宋体" w:cs="宋体"/>
                <w:color w:val="auto"/>
                <w:sz w:val="21"/>
                <w:szCs w:val="21"/>
                <w:highlight w:val="none"/>
              </w:rPr>
            </w:pPr>
          </w:p>
        </w:tc>
      </w:tr>
      <w:tr>
        <w:tblPrEx>
          <w:tblLayout w:type="fixed"/>
          <w:tblCellMar>
            <w:top w:w="0" w:type="dxa"/>
            <w:left w:w="0" w:type="dxa"/>
            <w:bottom w:w="0" w:type="dxa"/>
            <w:right w:w="0" w:type="dxa"/>
          </w:tblCellMar>
        </w:tblPrEx>
        <w:trPr>
          <w:trHeight w:val="34" w:hRule="atLeast"/>
        </w:trPr>
        <w:tc>
          <w:tcPr>
            <w:tcW w:w="650" w:type="dxa"/>
            <w:tcBorders>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1"/>
                <w:szCs w:val="21"/>
                <w:highlight w:val="none"/>
              </w:rPr>
            </w:pPr>
          </w:p>
        </w:tc>
        <w:tc>
          <w:tcPr>
            <w:tcW w:w="4300" w:type="dxa"/>
            <w:tcBorders>
              <w:bottom w:val="single" w:color="auto" w:sz="8" w:space="0"/>
              <w:right w:val="single" w:color="auto" w:sz="8" w:space="0"/>
            </w:tcBorders>
            <w:vAlign w:val="center"/>
          </w:tcPr>
          <w:p>
            <w:pPr>
              <w:jc w:val="center"/>
              <w:rPr>
                <w:rFonts w:hint="eastAsia" w:ascii="宋体" w:hAnsi="宋体" w:eastAsia="宋体" w:cs="宋体"/>
                <w:color w:val="auto"/>
                <w:sz w:val="21"/>
                <w:szCs w:val="21"/>
                <w:highlight w:val="none"/>
              </w:rPr>
            </w:pPr>
          </w:p>
        </w:tc>
        <w:tc>
          <w:tcPr>
            <w:tcW w:w="2690" w:type="dxa"/>
            <w:tcBorders>
              <w:bottom w:val="single" w:color="auto" w:sz="8" w:space="0"/>
              <w:right w:val="single" w:color="auto" w:sz="8" w:space="0"/>
            </w:tcBorders>
            <w:vAlign w:val="center"/>
          </w:tcPr>
          <w:p>
            <w:pPr>
              <w:jc w:val="center"/>
              <w:rPr>
                <w:rFonts w:hint="eastAsia" w:ascii="宋体" w:hAnsi="宋体" w:eastAsia="宋体" w:cs="宋体"/>
                <w:color w:val="auto"/>
                <w:sz w:val="21"/>
                <w:szCs w:val="21"/>
                <w:highlight w:val="none"/>
              </w:rPr>
            </w:pPr>
          </w:p>
        </w:tc>
        <w:tc>
          <w:tcPr>
            <w:tcW w:w="2280" w:type="dxa"/>
            <w:tcBorders>
              <w:bottom w:val="single" w:color="auto" w:sz="8" w:space="0"/>
              <w:right w:val="single" w:color="auto" w:sz="8" w:space="0"/>
            </w:tcBorders>
            <w:vAlign w:val="center"/>
          </w:tcPr>
          <w:p>
            <w:pPr>
              <w:jc w:val="center"/>
              <w:rPr>
                <w:rFonts w:hint="eastAsia" w:ascii="宋体" w:hAnsi="宋体" w:eastAsia="宋体" w:cs="宋体"/>
                <w:color w:val="auto"/>
                <w:sz w:val="21"/>
                <w:szCs w:val="21"/>
                <w:highlight w:val="none"/>
              </w:rPr>
            </w:pPr>
          </w:p>
        </w:tc>
        <w:tc>
          <w:tcPr>
            <w:tcW w:w="360" w:type="dxa"/>
            <w:vAlign w:val="center"/>
          </w:tcPr>
          <w:p>
            <w:pPr>
              <w:jc w:val="center"/>
              <w:rPr>
                <w:rFonts w:hint="eastAsia" w:ascii="宋体" w:hAnsi="宋体" w:eastAsia="宋体" w:cs="宋体"/>
                <w:color w:val="auto"/>
                <w:sz w:val="21"/>
                <w:szCs w:val="21"/>
                <w:highlight w:val="none"/>
              </w:rPr>
            </w:pPr>
          </w:p>
        </w:tc>
      </w:tr>
      <w:tr>
        <w:tblPrEx>
          <w:tblLayout w:type="fixed"/>
          <w:tblCellMar>
            <w:top w:w="0" w:type="dxa"/>
            <w:left w:w="0" w:type="dxa"/>
            <w:bottom w:w="0" w:type="dxa"/>
            <w:right w:w="0" w:type="dxa"/>
          </w:tblCellMar>
        </w:tblPrEx>
        <w:trPr>
          <w:trHeight w:val="229" w:hRule="atLeast"/>
        </w:trPr>
        <w:tc>
          <w:tcPr>
            <w:tcW w:w="650" w:type="dxa"/>
            <w:tcBorders>
              <w:left w:val="single" w:color="auto" w:sz="8" w:space="0"/>
              <w:right w:val="single" w:color="auto" w:sz="8" w:space="0"/>
            </w:tcBorders>
            <w:vAlign w:val="center"/>
          </w:tcPr>
          <w:p>
            <w:pPr>
              <w:jc w:val="center"/>
              <w:rPr>
                <w:rFonts w:hint="eastAsia" w:ascii="宋体" w:hAnsi="宋体" w:eastAsia="宋体" w:cs="宋体"/>
                <w:color w:val="auto"/>
                <w:sz w:val="21"/>
                <w:szCs w:val="21"/>
                <w:highlight w:val="none"/>
              </w:rPr>
            </w:pPr>
          </w:p>
        </w:tc>
        <w:tc>
          <w:tcPr>
            <w:tcW w:w="4300" w:type="dxa"/>
            <w:tcBorders>
              <w:right w:val="single" w:color="auto" w:sz="8" w:space="0"/>
            </w:tcBorders>
            <w:vAlign w:val="center"/>
          </w:tcPr>
          <w:p>
            <w:pPr>
              <w:ind w:left="1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供应商未被列入失信被执行人名单、重大税收违法案</w:t>
            </w:r>
          </w:p>
        </w:tc>
        <w:tc>
          <w:tcPr>
            <w:tcW w:w="2690" w:type="dxa"/>
            <w:tcBorders>
              <w:right w:val="single" w:color="auto" w:sz="8" w:space="0"/>
            </w:tcBorders>
            <w:vAlign w:val="center"/>
          </w:tcPr>
          <w:p>
            <w:pPr>
              <w:jc w:val="center"/>
              <w:rPr>
                <w:rFonts w:hint="eastAsia" w:ascii="宋体" w:hAnsi="宋体" w:eastAsia="宋体" w:cs="宋体"/>
                <w:color w:val="auto"/>
                <w:sz w:val="21"/>
                <w:szCs w:val="21"/>
                <w:highlight w:val="none"/>
              </w:rPr>
            </w:pPr>
          </w:p>
        </w:tc>
        <w:tc>
          <w:tcPr>
            <w:tcW w:w="2280" w:type="dxa"/>
            <w:tcBorders>
              <w:right w:val="single" w:color="auto" w:sz="8" w:space="0"/>
            </w:tcBorders>
            <w:vAlign w:val="center"/>
          </w:tcPr>
          <w:p>
            <w:pPr>
              <w:jc w:val="center"/>
              <w:rPr>
                <w:rFonts w:hint="eastAsia" w:ascii="宋体" w:hAnsi="宋体" w:eastAsia="宋体" w:cs="宋体"/>
                <w:color w:val="auto"/>
                <w:sz w:val="21"/>
                <w:szCs w:val="21"/>
                <w:highlight w:val="none"/>
              </w:rPr>
            </w:pPr>
          </w:p>
        </w:tc>
        <w:tc>
          <w:tcPr>
            <w:tcW w:w="360" w:type="dxa"/>
            <w:vAlign w:val="center"/>
          </w:tcPr>
          <w:p>
            <w:pPr>
              <w:jc w:val="center"/>
              <w:rPr>
                <w:rFonts w:hint="eastAsia" w:ascii="宋体" w:hAnsi="宋体" w:eastAsia="宋体" w:cs="宋体"/>
                <w:color w:val="auto"/>
                <w:sz w:val="21"/>
                <w:szCs w:val="21"/>
                <w:highlight w:val="none"/>
              </w:rPr>
            </w:pPr>
          </w:p>
        </w:tc>
      </w:tr>
      <w:tr>
        <w:tblPrEx>
          <w:tblLayout w:type="fixed"/>
          <w:tblCellMar>
            <w:top w:w="0" w:type="dxa"/>
            <w:left w:w="0" w:type="dxa"/>
            <w:bottom w:w="0" w:type="dxa"/>
            <w:right w:w="0" w:type="dxa"/>
          </w:tblCellMar>
        </w:tblPrEx>
        <w:trPr>
          <w:trHeight w:val="271" w:hRule="atLeast"/>
        </w:trPr>
        <w:tc>
          <w:tcPr>
            <w:tcW w:w="650" w:type="dxa"/>
            <w:vMerge w:val="restart"/>
            <w:tcBorders>
              <w:left w:val="single" w:color="auto" w:sz="8" w:space="0"/>
              <w:right w:val="single" w:color="auto" w:sz="8" w:space="0"/>
            </w:tcBorders>
            <w:vAlign w:val="center"/>
          </w:tcPr>
          <w:p>
            <w:pPr>
              <w:jc w:val="center"/>
              <w:rPr>
                <w:rFonts w:hint="eastAsia" w:ascii="宋体" w:hAnsi="宋体" w:eastAsia="宋体" w:cs="宋体"/>
                <w:color w:val="auto"/>
                <w:w w:val="85"/>
                <w:sz w:val="21"/>
                <w:szCs w:val="21"/>
                <w:highlight w:val="none"/>
              </w:rPr>
            </w:pPr>
          </w:p>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w w:val="85"/>
                <w:sz w:val="21"/>
                <w:szCs w:val="21"/>
                <w:highlight w:val="none"/>
                <w:lang w:val="en-US" w:eastAsia="zh-CN"/>
              </w:rPr>
              <w:t>6</w:t>
            </w:r>
          </w:p>
        </w:tc>
        <w:tc>
          <w:tcPr>
            <w:tcW w:w="4300" w:type="dxa"/>
            <w:tcBorders>
              <w:right w:val="single" w:color="auto" w:sz="8" w:space="0"/>
            </w:tcBorders>
            <w:vAlign w:val="center"/>
          </w:tcPr>
          <w:p>
            <w:pPr>
              <w:ind w:left="100"/>
              <w:jc w:val="center"/>
              <w:rPr>
                <w:rFonts w:hint="eastAsia" w:ascii="宋体" w:hAnsi="宋体" w:eastAsia="宋体" w:cs="宋体"/>
                <w:color w:val="auto"/>
                <w:sz w:val="21"/>
                <w:szCs w:val="21"/>
                <w:highlight w:val="none"/>
              </w:rPr>
            </w:pPr>
            <w:r>
              <w:rPr>
                <w:rFonts w:hint="eastAsia" w:ascii="宋体" w:hAnsi="宋体" w:eastAsia="宋体" w:cs="宋体"/>
                <w:color w:val="auto"/>
                <w:w w:val="97"/>
                <w:sz w:val="21"/>
                <w:szCs w:val="21"/>
                <w:highlight w:val="none"/>
              </w:rPr>
              <w:t>件当事人名单、政府采购严重违法失信行为记录名单，</w:t>
            </w:r>
          </w:p>
        </w:tc>
        <w:tc>
          <w:tcPr>
            <w:tcW w:w="2690" w:type="dxa"/>
            <w:tcBorders>
              <w:right w:val="single" w:color="auto" w:sz="8" w:space="0"/>
            </w:tcBorders>
            <w:vAlign w:val="center"/>
          </w:tcPr>
          <w:p>
            <w:pPr>
              <w:jc w:val="center"/>
              <w:rPr>
                <w:rFonts w:hint="eastAsia" w:ascii="宋体" w:hAnsi="宋体" w:eastAsia="宋体" w:cs="宋体"/>
                <w:color w:val="auto"/>
                <w:sz w:val="21"/>
                <w:szCs w:val="21"/>
                <w:highlight w:val="none"/>
              </w:rPr>
            </w:pPr>
          </w:p>
        </w:tc>
        <w:tc>
          <w:tcPr>
            <w:tcW w:w="2280" w:type="dxa"/>
            <w:tcBorders>
              <w:right w:val="single" w:color="auto" w:sz="8"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以采购代理机构开标</w:t>
            </w:r>
          </w:p>
        </w:tc>
        <w:tc>
          <w:tcPr>
            <w:tcW w:w="360" w:type="dxa"/>
            <w:vAlign w:val="center"/>
          </w:tcPr>
          <w:p>
            <w:pPr>
              <w:jc w:val="center"/>
              <w:rPr>
                <w:rFonts w:hint="eastAsia" w:ascii="宋体" w:hAnsi="宋体" w:eastAsia="宋体" w:cs="宋体"/>
                <w:color w:val="auto"/>
                <w:sz w:val="21"/>
                <w:szCs w:val="21"/>
                <w:highlight w:val="none"/>
              </w:rPr>
            </w:pPr>
          </w:p>
        </w:tc>
      </w:tr>
      <w:tr>
        <w:tblPrEx>
          <w:tblLayout w:type="fixed"/>
          <w:tblCellMar>
            <w:top w:w="0" w:type="dxa"/>
            <w:left w:w="0" w:type="dxa"/>
            <w:bottom w:w="0" w:type="dxa"/>
            <w:right w:w="0" w:type="dxa"/>
          </w:tblCellMar>
        </w:tblPrEx>
        <w:trPr>
          <w:trHeight w:val="148" w:hRule="atLeast"/>
        </w:trPr>
        <w:tc>
          <w:tcPr>
            <w:tcW w:w="650" w:type="dxa"/>
            <w:vMerge w:val="continue"/>
            <w:tcBorders>
              <w:left w:val="single" w:color="auto" w:sz="8" w:space="0"/>
              <w:right w:val="single" w:color="auto" w:sz="8" w:space="0"/>
            </w:tcBorders>
            <w:vAlign w:val="center"/>
          </w:tcPr>
          <w:p>
            <w:pPr>
              <w:jc w:val="center"/>
              <w:rPr>
                <w:rFonts w:hint="eastAsia" w:ascii="宋体" w:hAnsi="宋体" w:eastAsia="宋体" w:cs="宋体"/>
                <w:color w:val="auto"/>
                <w:sz w:val="21"/>
                <w:szCs w:val="21"/>
                <w:highlight w:val="none"/>
              </w:rPr>
            </w:pPr>
          </w:p>
        </w:tc>
        <w:tc>
          <w:tcPr>
            <w:tcW w:w="4300" w:type="dxa"/>
            <w:vMerge w:val="restart"/>
            <w:tcBorders>
              <w:right w:val="single" w:color="auto" w:sz="8" w:space="0"/>
            </w:tcBorders>
            <w:vAlign w:val="center"/>
          </w:tcPr>
          <w:p>
            <w:pPr>
              <w:ind w:left="100"/>
              <w:jc w:val="center"/>
              <w:rPr>
                <w:rFonts w:hint="eastAsia" w:ascii="宋体" w:hAnsi="宋体" w:eastAsia="宋体" w:cs="宋体"/>
                <w:color w:val="auto"/>
                <w:sz w:val="21"/>
                <w:szCs w:val="21"/>
                <w:highlight w:val="none"/>
              </w:rPr>
            </w:pPr>
            <w:r>
              <w:rPr>
                <w:rFonts w:hint="eastAsia" w:ascii="宋体" w:hAnsi="宋体" w:eastAsia="宋体" w:cs="宋体"/>
                <w:color w:val="auto"/>
                <w:w w:val="95"/>
                <w:sz w:val="21"/>
                <w:szCs w:val="21"/>
                <w:highlight w:val="none"/>
              </w:rPr>
              <w:t>信用信息以信用中国网站（</w:t>
            </w:r>
            <w:r>
              <w:rPr>
                <w:rFonts w:hint="eastAsia" w:ascii="宋体" w:hAnsi="宋体" w:eastAsia="宋体" w:cs="宋体"/>
                <w:color w:val="auto"/>
                <w:w w:val="95"/>
                <w:sz w:val="21"/>
                <w:szCs w:val="21"/>
                <w:highlight w:val="none"/>
              </w:rPr>
              <w:t>www.creditchina.gov.cn</w:t>
            </w:r>
            <w:r>
              <w:rPr>
                <w:rFonts w:hint="eastAsia" w:ascii="宋体" w:hAnsi="宋体" w:eastAsia="宋体" w:cs="宋体"/>
                <w:color w:val="auto"/>
                <w:w w:val="95"/>
                <w:sz w:val="21"/>
                <w:szCs w:val="21"/>
                <w:highlight w:val="none"/>
              </w:rPr>
              <w:t>）、</w:t>
            </w:r>
          </w:p>
        </w:tc>
        <w:tc>
          <w:tcPr>
            <w:tcW w:w="2690" w:type="dxa"/>
            <w:tcBorders>
              <w:right w:val="single" w:color="auto" w:sz="8" w:space="0"/>
            </w:tcBorders>
            <w:vAlign w:val="center"/>
          </w:tcPr>
          <w:p>
            <w:pPr>
              <w:jc w:val="center"/>
              <w:rPr>
                <w:rFonts w:hint="eastAsia" w:ascii="宋体" w:hAnsi="宋体" w:eastAsia="宋体" w:cs="宋体"/>
                <w:color w:val="auto"/>
                <w:sz w:val="21"/>
                <w:szCs w:val="21"/>
                <w:highlight w:val="none"/>
              </w:rPr>
            </w:pPr>
          </w:p>
        </w:tc>
        <w:tc>
          <w:tcPr>
            <w:tcW w:w="2280" w:type="dxa"/>
            <w:vMerge w:val="restart"/>
            <w:tcBorders>
              <w:right w:val="single" w:color="auto" w:sz="8"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前网页查询为准</w:t>
            </w:r>
          </w:p>
        </w:tc>
        <w:tc>
          <w:tcPr>
            <w:tcW w:w="360" w:type="dxa"/>
            <w:vAlign w:val="center"/>
          </w:tcPr>
          <w:p>
            <w:pPr>
              <w:jc w:val="center"/>
              <w:rPr>
                <w:rFonts w:hint="eastAsia" w:ascii="宋体" w:hAnsi="宋体" w:eastAsia="宋体" w:cs="宋体"/>
                <w:color w:val="auto"/>
                <w:sz w:val="21"/>
                <w:szCs w:val="21"/>
                <w:highlight w:val="none"/>
              </w:rPr>
            </w:pPr>
          </w:p>
        </w:tc>
      </w:tr>
      <w:tr>
        <w:tblPrEx>
          <w:tblLayout w:type="fixed"/>
          <w:tblCellMar>
            <w:top w:w="0" w:type="dxa"/>
            <w:left w:w="0" w:type="dxa"/>
            <w:bottom w:w="0" w:type="dxa"/>
            <w:right w:w="0" w:type="dxa"/>
          </w:tblCellMar>
        </w:tblPrEx>
        <w:trPr>
          <w:trHeight w:val="142" w:hRule="atLeast"/>
        </w:trPr>
        <w:tc>
          <w:tcPr>
            <w:tcW w:w="650" w:type="dxa"/>
            <w:tcBorders>
              <w:left w:val="single" w:color="auto" w:sz="8" w:space="0"/>
              <w:right w:val="single" w:color="auto" w:sz="8" w:space="0"/>
            </w:tcBorders>
            <w:vAlign w:val="center"/>
          </w:tcPr>
          <w:p>
            <w:pPr>
              <w:jc w:val="center"/>
              <w:rPr>
                <w:rFonts w:hint="eastAsia" w:ascii="宋体" w:hAnsi="宋体" w:eastAsia="宋体" w:cs="宋体"/>
                <w:color w:val="auto"/>
                <w:sz w:val="21"/>
                <w:szCs w:val="21"/>
                <w:highlight w:val="none"/>
              </w:rPr>
            </w:pPr>
          </w:p>
        </w:tc>
        <w:tc>
          <w:tcPr>
            <w:tcW w:w="4300" w:type="dxa"/>
            <w:vMerge w:val="continue"/>
            <w:tcBorders>
              <w:right w:val="single" w:color="auto" w:sz="8" w:space="0"/>
            </w:tcBorders>
            <w:vAlign w:val="center"/>
          </w:tcPr>
          <w:p>
            <w:pPr>
              <w:jc w:val="center"/>
              <w:rPr>
                <w:rFonts w:hint="eastAsia" w:ascii="宋体" w:hAnsi="宋体" w:eastAsia="宋体" w:cs="宋体"/>
                <w:color w:val="auto"/>
                <w:sz w:val="21"/>
                <w:szCs w:val="21"/>
                <w:highlight w:val="none"/>
              </w:rPr>
            </w:pPr>
          </w:p>
        </w:tc>
        <w:tc>
          <w:tcPr>
            <w:tcW w:w="2690" w:type="dxa"/>
            <w:tcBorders>
              <w:right w:val="single" w:color="auto" w:sz="8" w:space="0"/>
            </w:tcBorders>
            <w:vAlign w:val="center"/>
          </w:tcPr>
          <w:p>
            <w:pPr>
              <w:jc w:val="center"/>
              <w:rPr>
                <w:rFonts w:hint="eastAsia" w:ascii="宋体" w:hAnsi="宋体" w:eastAsia="宋体" w:cs="宋体"/>
                <w:color w:val="auto"/>
                <w:sz w:val="21"/>
                <w:szCs w:val="21"/>
                <w:highlight w:val="none"/>
              </w:rPr>
            </w:pPr>
          </w:p>
        </w:tc>
        <w:tc>
          <w:tcPr>
            <w:tcW w:w="2280" w:type="dxa"/>
            <w:vMerge w:val="continue"/>
            <w:tcBorders>
              <w:right w:val="single" w:color="auto" w:sz="8" w:space="0"/>
            </w:tcBorders>
            <w:vAlign w:val="center"/>
          </w:tcPr>
          <w:p>
            <w:pPr>
              <w:jc w:val="center"/>
              <w:rPr>
                <w:rFonts w:hint="eastAsia" w:ascii="宋体" w:hAnsi="宋体" w:eastAsia="宋体" w:cs="宋体"/>
                <w:color w:val="auto"/>
                <w:sz w:val="21"/>
                <w:szCs w:val="21"/>
                <w:highlight w:val="none"/>
              </w:rPr>
            </w:pPr>
          </w:p>
        </w:tc>
        <w:tc>
          <w:tcPr>
            <w:tcW w:w="360" w:type="dxa"/>
            <w:vAlign w:val="center"/>
          </w:tcPr>
          <w:p>
            <w:pPr>
              <w:jc w:val="center"/>
              <w:rPr>
                <w:rFonts w:hint="eastAsia" w:ascii="宋体" w:hAnsi="宋体" w:eastAsia="宋体" w:cs="宋体"/>
                <w:color w:val="auto"/>
                <w:sz w:val="21"/>
                <w:szCs w:val="21"/>
                <w:highlight w:val="none"/>
              </w:rPr>
            </w:pPr>
          </w:p>
        </w:tc>
      </w:tr>
      <w:tr>
        <w:tblPrEx>
          <w:tblLayout w:type="fixed"/>
          <w:tblCellMar>
            <w:top w:w="0" w:type="dxa"/>
            <w:left w:w="0" w:type="dxa"/>
            <w:bottom w:w="0" w:type="dxa"/>
            <w:right w:w="0" w:type="dxa"/>
          </w:tblCellMar>
        </w:tblPrEx>
        <w:trPr>
          <w:trHeight w:val="280" w:hRule="atLeast"/>
        </w:trPr>
        <w:tc>
          <w:tcPr>
            <w:tcW w:w="650" w:type="dxa"/>
            <w:tcBorders>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1"/>
                <w:szCs w:val="21"/>
                <w:highlight w:val="none"/>
              </w:rPr>
            </w:pPr>
          </w:p>
        </w:tc>
        <w:tc>
          <w:tcPr>
            <w:tcW w:w="4300" w:type="dxa"/>
            <w:tcBorders>
              <w:bottom w:val="single" w:color="auto" w:sz="8" w:space="0"/>
              <w:right w:val="single" w:color="auto" w:sz="8" w:space="0"/>
            </w:tcBorders>
            <w:vAlign w:val="center"/>
          </w:tcPr>
          <w:p>
            <w:pPr>
              <w:ind w:left="1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中国政府采购网（</w:t>
            </w:r>
            <w:r>
              <w:rPr>
                <w:rFonts w:hint="eastAsia" w:ascii="宋体" w:hAnsi="宋体" w:eastAsia="宋体" w:cs="宋体"/>
                <w:color w:val="auto"/>
                <w:sz w:val="21"/>
                <w:szCs w:val="21"/>
                <w:highlight w:val="none"/>
              </w:rPr>
              <w:t>www.ccgp.gov.cn</w:t>
            </w:r>
            <w:r>
              <w:rPr>
                <w:rFonts w:hint="eastAsia" w:ascii="宋体" w:hAnsi="宋体" w:eastAsia="宋体" w:cs="宋体"/>
                <w:color w:val="auto"/>
                <w:sz w:val="21"/>
                <w:szCs w:val="21"/>
                <w:highlight w:val="none"/>
              </w:rPr>
              <w:t>）公布为准；</w:t>
            </w:r>
          </w:p>
        </w:tc>
        <w:tc>
          <w:tcPr>
            <w:tcW w:w="2690" w:type="dxa"/>
            <w:tcBorders>
              <w:bottom w:val="single" w:color="auto" w:sz="8" w:space="0"/>
              <w:right w:val="single" w:color="auto" w:sz="8" w:space="0"/>
            </w:tcBorders>
            <w:vAlign w:val="center"/>
          </w:tcPr>
          <w:p>
            <w:pPr>
              <w:jc w:val="center"/>
              <w:rPr>
                <w:rFonts w:hint="eastAsia" w:ascii="宋体" w:hAnsi="宋体" w:eastAsia="宋体" w:cs="宋体"/>
                <w:color w:val="auto"/>
                <w:sz w:val="21"/>
                <w:szCs w:val="21"/>
                <w:highlight w:val="none"/>
              </w:rPr>
            </w:pPr>
          </w:p>
        </w:tc>
        <w:tc>
          <w:tcPr>
            <w:tcW w:w="2280" w:type="dxa"/>
            <w:tcBorders>
              <w:bottom w:val="single" w:color="auto" w:sz="8" w:space="0"/>
              <w:right w:val="single" w:color="auto" w:sz="8" w:space="0"/>
            </w:tcBorders>
            <w:vAlign w:val="center"/>
          </w:tcPr>
          <w:p>
            <w:pPr>
              <w:jc w:val="center"/>
              <w:rPr>
                <w:rFonts w:hint="eastAsia" w:ascii="宋体" w:hAnsi="宋体" w:eastAsia="宋体" w:cs="宋体"/>
                <w:color w:val="auto"/>
                <w:sz w:val="21"/>
                <w:szCs w:val="21"/>
                <w:highlight w:val="none"/>
              </w:rPr>
            </w:pPr>
          </w:p>
        </w:tc>
        <w:tc>
          <w:tcPr>
            <w:tcW w:w="360" w:type="dxa"/>
            <w:vAlign w:val="center"/>
          </w:tcPr>
          <w:p>
            <w:pPr>
              <w:jc w:val="center"/>
              <w:rPr>
                <w:rFonts w:hint="eastAsia" w:ascii="宋体" w:hAnsi="宋体" w:eastAsia="宋体" w:cs="宋体"/>
                <w:color w:val="auto"/>
                <w:sz w:val="21"/>
                <w:szCs w:val="21"/>
                <w:highlight w:val="none"/>
              </w:rPr>
            </w:pPr>
          </w:p>
        </w:tc>
      </w:tr>
    </w:tbl>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3" w:lineRule="exact"/>
        <w:rPr>
          <w:rFonts w:hint="eastAsia" w:ascii="宋体" w:hAnsi="宋体" w:eastAsia="宋体" w:cs="宋体"/>
          <w:color w:val="auto"/>
          <w:sz w:val="20"/>
          <w:szCs w:val="20"/>
          <w:highlight w:val="none"/>
        </w:rPr>
      </w:pPr>
    </w:p>
    <w:p>
      <w:pPr>
        <w:spacing w:line="255" w:lineRule="exact"/>
        <w:ind w:left="1320"/>
        <w:rPr>
          <w:rFonts w:hint="eastAsia" w:ascii="宋体" w:hAnsi="宋体" w:eastAsia="宋体" w:cs="宋体"/>
          <w:color w:val="auto"/>
          <w:sz w:val="20"/>
          <w:szCs w:val="20"/>
          <w:highlight w:val="none"/>
        </w:rPr>
      </w:pPr>
      <w:r>
        <w:rPr>
          <w:rFonts w:hint="eastAsia" w:ascii="宋体" w:hAnsi="宋体" w:eastAsia="宋体" w:cs="宋体"/>
          <w:b/>
          <w:bCs/>
          <w:color w:val="auto"/>
          <w:sz w:val="21"/>
          <w:szCs w:val="21"/>
          <w:highlight w:val="none"/>
        </w:rPr>
        <w:t>注：</w:t>
      </w: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rPr>
        <w:t>、证明材料复印件需齐全，不得缺页，否则证明无效，加盖公章。</w:t>
      </w:r>
    </w:p>
    <w:p>
      <w:pPr>
        <w:spacing w:line="156" w:lineRule="exact"/>
        <w:rPr>
          <w:rFonts w:hint="eastAsia" w:ascii="宋体" w:hAnsi="宋体" w:eastAsia="宋体" w:cs="宋体"/>
          <w:color w:val="auto"/>
          <w:sz w:val="20"/>
          <w:szCs w:val="20"/>
          <w:highlight w:val="none"/>
        </w:rPr>
      </w:pPr>
    </w:p>
    <w:p>
      <w:pPr>
        <w:spacing w:line="255" w:lineRule="exact"/>
        <w:ind w:left="1320"/>
        <w:rPr>
          <w:rFonts w:hint="eastAsia" w:ascii="宋体" w:hAnsi="宋体" w:eastAsia="宋体" w:cs="宋体"/>
          <w:color w:val="auto"/>
          <w:sz w:val="20"/>
          <w:szCs w:val="20"/>
          <w:highlight w:val="none"/>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rPr>
        <w:t>、证明材料因具备充分性，与要求相对应，否则由此产生的责任和风险投标人承担。</w:t>
      </w:r>
    </w:p>
    <w:p>
      <w:pPr>
        <w:spacing w:line="200" w:lineRule="exact"/>
        <w:rPr>
          <w:rFonts w:hint="eastAsia" w:ascii="宋体" w:hAnsi="宋体" w:eastAsia="宋体" w:cs="宋体"/>
          <w:color w:val="auto"/>
          <w:sz w:val="20"/>
          <w:szCs w:val="20"/>
          <w:highlight w:val="none"/>
        </w:rPr>
      </w:pPr>
    </w:p>
    <w:p>
      <w:pPr>
        <w:spacing w:line="315" w:lineRule="exact"/>
        <w:rPr>
          <w:rFonts w:hint="eastAsia" w:ascii="宋体" w:hAnsi="宋体" w:eastAsia="宋体" w:cs="宋体"/>
          <w:color w:val="auto"/>
          <w:sz w:val="20"/>
          <w:szCs w:val="20"/>
          <w:highlight w:val="none"/>
        </w:rPr>
      </w:pPr>
    </w:p>
    <w:p>
      <w:pPr>
        <w:spacing w:line="240" w:lineRule="exact"/>
        <w:ind w:left="9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供应商全称（盖单位公章）：</w:t>
      </w:r>
    </w:p>
    <w:p>
      <w:pPr>
        <w:spacing w:line="168" w:lineRule="exact"/>
        <w:rPr>
          <w:rFonts w:hint="eastAsia" w:ascii="宋体" w:hAnsi="宋体" w:eastAsia="宋体" w:cs="宋体"/>
          <w:color w:val="auto"/>
          <w:sz w:val="20"/>
          <w:szCs w:val="20"/>
          <w:highlight w:val="none"/>
        </w:rPr>
      </w:pPr>
    </w:p>
    <w:p>
      <w:pPr>
        <w:spacing w:line="240" w:lineRule="exact"/>
        <w:ind w:left="9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响应文件签署人（签字或盖章）：</w:t>
      </w:r>
    </w:p>
    <w:p>
      <w:pPr>
        <w:spacing w:line="168" w:lineRule="exact"/>
        <w:rPr>
          <w:rFonts w:hint="eastAsia" w:ascii="宋体" w:hAnsi="宋体" w:eastAsia="宋体" w:cs="宋体"/>
          <w:color w:val="auto"/>
          <w:sz w:val="20"/>
          <w:szCs w:val="20"/>
          <w:highlight w:val="none"/>
        </w:rPr>
      </w:pPr>
    </w:p>
    <w:p>
      <w:pPr>
        <w:spacing w:line="240" w:lineRule="exact"/>
        <w:ind w:left="9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日期：</w:t>
      </w:r>
    </w:p>
    <w:p>
      <w:pPr>
        <w:rPr>
          <w:rFonts w:hint="eastAsia" w:ascii="宋体" w:hAnsi="宋体" w:eastAsia="宋体" w:cs="宋体"/>
          <w:color w:val="auto"/>
          <w:highlight w:val="none"/>
        </w:rPr>
        <w:sectPr>
          <w:pgSz w:w="11900" w:h="16838"/>
          <w:pgMar w:top="1440" w:right="1106" w:bottom="158" w:left="900" w:header="567" w:footer="567" w:gutter="0"/>
          <w:cols w:equalWidth="0" w:num="1">
            <w:col w:w="9900"/>
          </w:cols>
        </w:sectPr>
      </w:pPr>
    </w:p>
    <w:p>
      <w:pPr>
        <w:spacing w:line="240" w:lineRule="exact"/>
        <w:rPr>
          <w:rFonts w:hint="eastAsia" w:ascii="宋体" w:hAnsi="宋体" w:eastAsia="宋体" w:cs="宋体"/>
          <w:b/>
          <w:bCs/>
          <w:color w:val="auto"/>
          <w:sz w:val="20"/>
          <w:szCs w:val="20"/>
          <w:highlight w:val="none"/>
        </w:rPr>
      </w:pPr>
      <w:bookmarkStart w:id="175" w:name="page80"/>
      <w:bookmarkEnd w:id="175"/>
      <w:bookmarkStart w:id="176" w:name="_Toc12285_WPSOffice_Level2"/>
      <w:bookmarkStart w:id="177" w:name="_Toc32408_WPSOffice_Level2"/>
      <w:r>
        <w:rPr>
          <w:rFonts w:hint="eastAsia" w:ascii="宋体" w:hAnsi="宋体" w:eastAsia="宋体" w:cs="宋体"/>
          <w:b/>
          <w:bCs/>
          <w:color w:val="auto"/>
          <w:sz w:val="21"/>
          <w:szCs w:val="21"/>
          <w:highlight w:val="none"/>
        </w:rPr>
        <w:t>附件二：基本资格条件审查资料</w:t>
      </w:r>
      <w:bookmarkEnd w:id="176"/>
      <w:bookmarkEnd w:id="177"/>
    </w:p>
    <w:p>
      <w:pPr>
        <w:spacing w:line="200" w:lineRule="exact"/>
        <w:rPr>
          <w:rFonts w:hint="eastAsia" w:ascii="宋体" w:hAnsi="宋体" w:eastAsia="宋体" w:cs="宋体"/>
          <w:color w:val="auto"/>
          <w:sz w:val="20"/>
          <w:szCs w:val="20"/>
          <w:highlight w:val="none"/>
        </w:rPr>
      </w:pPr>
    </w:p>
    <w:p>
      <w:pPr>
        <w:pStyle w:val="8"/>
        <w:spacing w:line="360"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w:t>
      </w:r>
      <w:r>
        <w:rPr>
          <w:rFonts w:hint="eastAsia" w:ascii="宋体" w:hAnsi="宋体" w:eastAsia="宋体" w:cs="宋体"/>
          <w:color w:val="auto"/>
          <w:spacing w:val="-6"/>
          <w:sz w:val="21"/>
          <w:szCs w:val="21"/>
          <w:highlight w:val="none"/>
        </w:rPr>
        <w:t>1</w:t>
      </w:r>
      <w:r>
        <w:rPr>
          <w:rFonts w:hint="eastAsia" w:ascii="宋体" w:hAnsi="宋体" w:eastAsia="宋体" w:cs="宋体"/>
          <w:color w:val="auto"/>
          <w:spacing w:val="-6"/>
          <w:sz w:val="21"/>
          <w:szCs w:val="21"/>
          <w:highlight w:val="none"/>
        </w:rPr>
        <w:t>）有效的法人或者其他组织的营业执照等证明文件（复印件加盖公章），自然人的身份证明；</w:t>
      </w:r>
    </w:p>
    <w:p>
      <w:pPr>
        <w:pStyle w:val="8"/>
        <w:spacing w:line="360"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w:t>
      </w:r>
      <w:r>
        <w:rPr>
          <w:rFonts w:hint="eastAsia" w:ascii="宋体" w:hAnsi="宋体" w:eastAsia="宋体" w:cs="宋体"/>
          <w:color w:val="auto"/>
          <w:spacing w:val="-6"/>
          <w:sz w:val="21"/>
          <w:szCs w:val="21"/>
          <w:highlight w:val="none"/>
        </w:rPr>
        <w:t>2</w:t>
      </w:r>
      <w:r>
        <w:rPr>
          <w:rFonts w:hint="eastAsia" w:ascii="宋体" w:hAnsi="宋体" w:eastAsia="宋体" w:cs="宋体"/>
          <w:color w:val="auto"/>
          <w:spacing w:val="-6"/>
          <w:sz w:val="21"/>
          <w:szCs w:val="21"/>
          <w:highlight w:val="none"/>
        </w:rPr>
        <w:t>）最近六个月任意一月依法缴纳税收的证明材料；（依法免税的磋商响应供应商，应提供相应文件证明其依法免税）</w:t>
      </w:r>
    </w:p>
    <w:p>
      <w:pPr>
        <w:pStyle w:val="8"/>
        <w:spacing w:line="360"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w:t>
      </w:r>
      <w:r>
        <w:rPr>
          <w:rFonts w:hint="eastAsia" w:ascii="宋体" w:hAnsi="宋体" w:eastAsia="宋体" w:cs="宋体"/>
          <w:color w:val="auto"/>
          <w:spacing w:val="-6"/>
          <w:sz w:val="21"/>
          <w:szCs w:val="21"/>
          <w:highlight w:val="none"/>
        </w:rPr>
        <w:t>3</w:t>
      </w:r>
      <w:r>
        <w:rPr>
          <w:rFonts w:hint="eastAsia" w:ascii="宋体" w:hAnsi="宋体" w:eastAsia="宋体" w:cs="宋体"/>
          <w:color w:val="auto"/>
          <w:spacing w:val="-6"/>
          <w:sz w:val="21"/>
          <w:szCs w:val="21"/>
          <w:highlight w:val="none"/>
        </w:rPr>
        <w:t>）最近六个月任意一月依法缴社会保障资金的证明材料；（依法不需要缴纳社会保障资金的磋商响应供应商，应提供相应文件证明其依法不需要缴纳社会保障资金）</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rPr>
        <w:t>）具有履行合同所必需的设备和专业技术能力的承诺函；</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rPr>
        <w:t>）参加政府采购活动前</w:t>
      </w:r>
      <w:r>
        <w:rPr>
          <w:rFonts w:hint="eastAsia" w:ascii="宋体" w:hAnsi="宋体" w:eastAsia="宋体" w:cs="宋体"/>
          <w:color w:val="auto"/>
          <w:sz w:val="21"/>
          <w:szCs w:val="21"/>
          <w:highlight w:val="none"/>
        </w:rPr>
        <w:t xml:space="preserve"> 3 </w:t>
      </w:r>
      <w:r>
        <w:rPr>
          <w:rFonts w:hint="eastAsia" w:ascii="宋体" w:hAnsi="宋体" w:eastAsia="宋体" w:cs="宋体"/>
          <w:color w:val="auto"/>
          <w:sz w:val="21"/>
          <w:szCs w:val="21"/>
          <w:highlight w:val="none"/>
        </w:rPr>
        <w:t>年内在经营活动中没有重大违法记录的声明函；</w:t>
      </w:r>
    </w:p>
    <w:p>
      <w:pPr>
        <w:spacing w:line="360" w:lineRule="auto"/>
        <w:rPr>
          <w:rFonts w:hint="eastAsia" w:ascii="宋体" w:hAnsi="宋体" w:eastAsia="宋体" w:cs="宋体"/>
          <w:color w:val="auto"/>
          <w:sz w:val="20"/>
          <w:szCs w:val="20"/>
          <w:highlight w:val="none"/>
        </w:rPr>
      </w:pPr>
    </w:p>
    <w:p>
      <w:pPr>
        <w:spacing w:line="360" w:lineRule="auto"/>
        <w:ind w:left="360"/>
        <w:jc w:val="center"/>
        <w:rPr>
          <w:rFonts w:hint="eastAsia" w:ascii="宋体" w:hAnsi="宋体" w:eastAsia="宋体" w:cs="宋体"/>
          <w:b/>
          <w:bCs/>
          <w:color w:val="auto"/>
          <w:sz w:val="28"/>
          <w:szCs w:val="28"/>
          <w:highlight w:val="none"/>
        </w:rPr>
      </w:pPr>
    </w:p>
    <w:p>
      <w:pPr>
        <w:spacing w:line="360" w:lineRule="auto"/>
        <w:ind w:left="360"/>
        <w:jc w:val="center"/>
        <w:rPr>
          <w:rFonts w:hint="eastAsia" w:ascii="宋体" w:hAnsi="宋体" w:eastAsia="宋体" w:cs="宋体"/>
          <w:b/>
          <w:bCs/>
          <w:color w:val="auto"/>
          <w:sz w:val="28"/>
          <w:szCs w:val="28"/>
          <w:highlight w:val="none"/>
        </w:rPr>
      </w:pPr>
      <w:bookmarkStart w:id="178" w:name="_Toc22411_WPSOffice_Level2"/>
      <w:r>
        <w:rPr>
          <w:rFonts w:hint="eastAsia" w:ascii="宋体" w:hAnsi="宋体" w:eastAsia="宋体" w:cs="宋体"/>
          <w:b/>
          <w:bCs/>
          <w:color w:val="auto"/>
          <w:sz w:val="28"/>
          <w:szCs w:val="28"/>
          <w:highlight w:val="none"/>
        </w:rPr>
        <w:t>具有履行合同所必需的设备和专业技术能力的承诺函</w:t>
      </w:r>
      <w:bookmarkEnd w:id="178"/>
    </w:p>
    <w:p>
      <w:pPr>
        <w:spacing w:line="360" w:lineRule="auto"/>
        <w:rPr>
          <w:rFonts w:hint="eastAsia" w:ascii="宋体" w:hAnsi="宋体" w:eastAsia="宋体" w:cs="宋体"/>
          <w:color w:val="auto"/>
          <w:sz w:val="20"/>
          <w:szCs w:val="20"/>
          <w:highlight w:val="none"/>
        </w:rPr>
      </w:pPr>
    </w:p>
    <w:p>
      <w:pPr>
        <w:spacing w:line="360" w:lineRule="auto"/>
        <w:ind w:left="36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u w:val="single"/>
        </w:rPr>
        <w:t>（采购人）</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我方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承诺具有履行合同所必需的设备和专业技术能力。如有虚假，采购人可取消我方任何资格（投标</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中标</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签订合同），我方对此无任何异议。</w:t>
      </w:r>
    </w:p>
    <w:p>
      <w:pPr>
        <w:spacing w:line="360" w:lineRule="auto"/>
        <w:rPr>
          <w:rFonts w:hint="eastAsia" w:ascii="宋体" w:hAnsi="宋体" w:eastAsia="宋体" w:cs="宋体"/>
          <w:color w:val="auto"/>
          <w:sz w:val="20"/>
          <w:szCs w:val="20"/>
          <w:highlight w:val="none"/>
        </w:rPr>
      </w:pPr>
    </w:p>
    <w:p>
      <w:pPr>
        <w:spacing w:line="360" w:lineRule="auto"/>
        <w:ind w:left="78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特此承诺！</w:t>
      </w:r>
    </w:p>
    <w:p>
      <w:pPr>
        <w:spacing w:line="360" w:lineRule="auto"/>
        <w:ind w:left="78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供应商名称（盖章）</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t>：</w:t>
      </w:r>
    </w:p>
    <w:p>
      <w:pPr>
        <w:spacing w:line="360" w:lineRule="auto"/>
        <w:ind w:left="78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法定代表人或其授权代表（签字或盖章）：</w:t>
      </w:r>
    </w:p>
    <w:p>
      <w:pPr>
        <w:tabs>
          <w:tab w:val="left" w:pos="1920"/>
          <w:tab w:val="left" w:pos="2340"/>
          <w:tab w:val="left" w:pos="2760"/>
        </w:tabs>
        <w:spacing w:line="360" w:lineRule="auto"/>
        <w:ind w:left="78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0"/>
          <w:szCs w:val="20"/>
          <w:highlight w:val="none"/>
        </w:rPr>
        <w:tab/>
      </w:r>
      <w:r>
        <w:rPr>
          <w:rFonts w:hint="eastAsia" w:ascii="宋体" w:hAnsi="宋体" w:eastAsia="宋体" w:cs="宋体"/>
          <w:color w:val="auto"/>
          <w:sz w:val="20"/>
          <w:szCs w:val="20"/>
          <w:highlight w:val="none"/>
        </w:rPr>
        <w:t xml:space="preserve"> </w:t>
      </w:r>
      <w:r>
        <w:rPr>
          <w:rFonts w:hint="eastAsia" w:ascii="宋体" w:hAnsi="宋体" w:eastAsia="宋体" w:cs="宋体"/>
          <w:color w:val="auto"/>
          <w:sz w:val="20"/>
          <w:szCs w:val="20"/>
          <w:highlight w:val="none"/>
        </w:rPr>
        <w:t>日</w:t>
      </w: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spacing w:line="200" w:lineRule="exact"/>
        <w:rPr>
          <w:rFonts w:hint="eastAsia" w:ascii="宋体" w:hAnsi="宋体" w:eastAsia="宋体" w:cs="宋体"/>
          <w:color w:val="auto"/>
          <w:sz w:val="20"/>
          <w:szCs w:val="20"/>
          <w:highlight w:val="none"/>
        </w:rPr>
      </w:pPr>
    </w:p>
    <w:p>
      <w:pPr>
        <w:rPr>
          <w:rFonts w:hint="eastAsia" w:ascii="宋体" w:hAnsi="宋体" w:eastAsia="宋体" w:cs="宋体"/>
          <w:color w:val="auto"/>
          <w:highlight w:val="none"/>
        </w:rPr>
        <w:sectPr>
          <w:pgSz w:w="11900" w:h="16838"/>
          <w:pgMar w:top="1440" w:right="1440" w:bottom="158" w:left="1440" w:header="567" w:footer="567" w:gutter="0"/>
          <w:cols w:equalWidth="0" w:num="1">
            <w:col w:w="9026"/>
          </w:cols>
        </w:sectPr>
      </w:pPr>
    </w:p>
    <w:p>
      <w:pPr>
        <w:spacing w:line="366" w:lineRule="exact"/>
        <w:jc w:val="center"/>
        <w:rPr>
          <w:rFonts w:hint="eastAsia" w:ascii="宋体" w:hAnsi="宋体" w:eastAsia="宋体" w:cs="宋体"/>
          <w:b/>
          <w:bCs/>
          <w:color w:val="auto"/>
          <w:sz w:val="28"/>
          <w:szCs w:val="28"/>
          <w:highlight w:val="none"/>
        </w:rPr>
      </w:pPr>
      <w:bookmarkStart w:id="179" w:name="page81"/>
      <w:bookmarkEnd w:id="179"/>
      <w:bookmarkStart w:id="180" w:name="_Toc16196_WPSOffice_Level2"/>
      <w:r>
        <w:rPr>
          <w:rFonts w:hint="eastAsia" w:ascii="宋体" w:hAnsi="宋体" w:eastAsia="宋体" w:cs="宋体"/>
          <w:b/>
          <w:bCs/>
          <w:color w:val="auto"/>
          <w:sz w:val="28"/>
          <w:szCs w:val="28"/>
          <w:highlight w:val="none"/>
        </w:rPr>
        <w:t>没有重大违法记录承诺函</w:t>
      </w:r>
      <w:bookmarkEnd w:id="180"/>
    </w:p>
    <w:p>
      <w:pPr>
        <w:spacing w:line="375" w:lineRule="exact"/>
        <w:rPr>
          <w:rFonts w:hint="eastAsia" w:ascii="宋体" w:hAnsi="宋体" w:eastAsia="宋体" w:cs="宋体"/>
          <w:color w:val="auto"/>
          <w:sz w:val="20"/>
          <w:szCs w:val="20"/>
          <w:highlight w:val="none"/>
        </w:rPr>
      </w:pPr>
    </w:p>
    <w:p>
      <w:pPr>
        <w:spacing w:line="360" w:lineRule="auto"/>
        <w:ind w:left="360" w:firstLine="210" w:firstLineChars="1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u w:val="single"/>
        </w:rPr>
        <w:t>（采购人）：</w:t>
      </w:r>
    </w:p>
    <w:p>
      <w:pPr>
        <w:spacing w:line="360" w:lineRule="auto"/>
        <w:ind w:right="346" w:firstLine="630" w:firstLineChars="3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w:t>
      </w:r>
      <w:r>
        <w:rPr>
          <w:rFonts w:hint="eastAsia" w:ascii="宋体" w:hAnsi="宋体" w:eastAsia="宋体" w:cs="宋体"/>
          <w:color w:val="auto"/>
          <w:sz w:val="21"/>
          <w:szCs w:val="21"/>
          <w:highlight w:val="none"/>
          <w:u w:val="single"/>
        </w:rPr>
        <w:t>（供应商）</w:t>
      </w:r>
      <w:r>
        <w:rPr>
          <w:rFonts w:hint="eastAsia" w:ascii="宋体" w:hAnsi="宋体" w:eastAsia="宋体" w:cs="宋体"/>
          <w:color w:val="auto"/>
          <w:sz w:val="21"/>
          <w:szCs w:val="21"/>
          <w:highlight w:val="none"/>
        </w:rPr>
        <w:t>具有良好的商业信誉，依法缴纳税收和社会保障资金，未被列入失信被执行人名单、重大税收违法案件当事人名单、政府采购严重违法失信行为记录名单，在参加政府采购活动前三年内没有重大违法记录（重大违法记录是指因违法经营受到刑事处罚、没有被责令停产停业、被吊销许可证或者执照、被处以较大数额罚款等行政处罚），没有因违法经营被禁止参加政府采购活动的期限未满情形。如有虚假，采购人可取消我方任何资格（投标</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中标</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签订合同），我方对此无任何异议。</w:t>
      </w:r>
    </w:p>
    <w:p>
      <w:pPr>
        <w:spacing w:line="360" w:lineRule="auto"/>
        <w:ind w:right="346" w:firstLine="630" w:firstLineChars="300"/>
        <w:jc w:val="both"/>
        <w:rPr>
          <w:rFonts w:hint="eastAsia" w:ascii="宋体" w:hAnsi="宋体" w:eastAsia="宋体" w:cs="宋体"/>
          <w:color w:val="auto"/>
          <w:sz w:val="21"/>
          <w:szCs w:val="21"/>
          <w:highlight w:val="none"/>
        </w:rPr>
      </w:pPr>
    </w:p>
    <w:p>
      <w:pPr>
        <w:spacing w:line="360" w:lineRule="auto"/>
        <w:ind w:right="346" w:firstLine="630" w:firstLineChars="300"/>
        <w:jc w:val="both"/>
        <w:rPr>
          <w:rFonts w:hint="eastAsia" w:ascii="宋体" w:hAnsi="宋体" w:eastAsia="宋体" w:cs="宋体"/>
          <w:color w:val="auto"/>
          <w:sz w:val="21"/>
          <w:szCs w:val="21"/>
          <w:highlight w:val="none"/>
        </w:rPr>
      </w:pPr>
    </w:p>
    <w:p>
      <w:pPr>
        <w:spacing w:line="360" w:lineRule="auto"/>
        <w:ind w:left="78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特此承诺！</w:t>
      </w:r>
    </w:p>
    <w:p>
      <w:pPr>
        <w:spacing w:line="360" w:lineRule="auto"/>
        <w:ind w:left="360"/>
        <w:rPr>
          <w:rFonts w:hint="eastAsia" w:ascii="宋体" w:hAnsi="宋体" w:eastAsia="宋体" w:cs="宋体"/>
          <w:color w:val="auto"/>
          <w:sz w:val="21"/>
          <w:szCs w:val="21"/>
          <w:highlight w:val="none"/>
        </w:rPr>
      </w:pPr>
    </w:p>
    <w:p>
      <w:pPr>
        <w:spacing w:line="360" w:lineRule="auto"/>
        <w:ind w:left="360"/>
        <w:rPr>
          <w:rFonts w:hint="eastAsia" w:ascii="宋体" w:hAnsi="宋体" w:eastAsia="宋体" w:cs="宋体"/>
          <w:color w:val="auto"/>
          <w:sz w:val="21"/>
          <w:szCs w:val="21"/>
          <w:highlight w:val="none"/>
        </w:rPr>
      </w:pPr>
    </w:p>
    <w:p>
      <w:pPr>
        <w:spacing w:line="360" w:lineRule="auto"/>
        <w:ind w:left="36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供应商全称（盖单位公章）：</w:t>
      </w:r>
    </w:p>
    <w:p>
      <w:pPr>
        <w:spacing w:line="360" w:lineRule="auto"/>
        <w:ind w:left="36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响应文件签署人（签字或盖章）：</w:t>
      </w:r>
    </w:p>
    <w:p>
      <w:pPr>
        <w:spacing w:line="360" w:lineRule="auto"/>
        <w:ind w:left="36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日期：</w:t>
      </w:r>
    </w:p>
    <w:p>
      <w:pPr>
        <w:rPr>
          <w:rFonts w:hint="eastAsia" w:ascii="宋体" w:hAnsi="宋体" w:eastAsia="宋体" w:cs="宋体"/>
          <w:color w:val="auto"/>
          <w:highlight w:val="none"/>
        </w:rPr>
      </w:pPr>
    </w:p>
    <w:p>
      <w:pPr>
        <w:spacing w:line="366" w:lineRule="exact"/>
        <w:jc w:val="center"/>
        <w:rPr>
          <w:rFonts w:hint="eastAsia" w:ascii="宋体" w:hAnsi="宋体" w:eastAsia="宋体" w:cs="宋体"/>
          <w:b/>
          <w:bCs/>
          <w:color w:val="auto"/>
          <w:sz w:val="28"/>
          <w:szCs w:val="28"/>
          <w:highlight w:val="none"/>
        </w:rPr>
        <w:sectPr>
          <w:pgSz w:w="11900" w:h="16838"/>
          <w:pgMar w:top="1440" w:right="1440" w:bottom="158" w:left="1440" w:header="567" w:footer="567" w:gutter="0"/>
          <w:cols w:equalWidth="0" w:num="1">
            <w:col w:w="9026"/>
          </w:cols>
        </w:sectPr>
      </w:pPr>
    </w:p>
    <w:p>
      <w:pPr>
        <w:spacing w:line="366"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三、声明函</w:t>
      </w:r>
    </w:p>
    <w:p>
      <w:pPr>
        <w:spacing w:line="360" w:lineRule="auto"/>
        <w:rPr>
          <w:rFonts w:hint="eastAsia" w:ascii="宋体" w:hAnsi="宋体" w:eastAsia="宋体" w:cs="宋体"/>
          <w:color w:val="auto"/>
          <w:spacing w:val="-6"/>
          <w:sz w:val="21"/>
          <w:szCs w:val="21"/>
          <w:highlight w:val="none"/>
        </w:rPr>
      </w:pPr>
    </w:p>
    <w:p>
      <w:pPr>
        <w:spacing w:line="360" w:lineRule="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致：</w:t>
      </w:r>
      <w:r>
        <w:rPr>
          <w:rFonts w:hint="eastAsia" w:ascii="宋体" w:hAnsi="宋体" w:eastAsia="宋体" w:cs="宋体"/>
          <w:color w:val="auto"/>
          <w:spacing w:val="-6"/>
          <w:sz w:val="21"/>
          <w:szCs w:val="21"/>
          <w:highlight w:val="none"/>
          <w:u w:val="single"/>
        </w:rPr>
        <w:t>浙江五石工程咨询有限公司</w:t>
      </w:r>
      <w:r>
        <w:rPr>
          <w:rFonts w:hint="eastAsia" w:ascii="宋体" w:hAnsi="宋体" w:eastAsia="宋体" w:cs="宋体"/>
          <w:color w:val="auto"/>
          <w:spacing w:val="-6"/>
          <w:sz w:val="21"/>
          <w:szCs w:val="21"/>
          <w:highlight w:val="none"/>
        </w:rPr>
        <w:t>：</w:t>
      </w:r>
    </w:p>
    <w:p>
      <w:pPr>
        <w:spacing w:line="360" w:lineRule="auto"/>
        <w:ind w:firstLine="594" w:firstLineChars="3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（磋商响应供应商名称）系中华人民共和国合法企业，经营地址</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w:t>
      </w:r>
    </w:p>
    <w:p>
      <w:pPr>
        <w:spacing w:line="360"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我方愿意参加贵方组织的</w:t>
      </w:r>
      <w:r>
        <w:rPr>
          <w:rFonts w:hint="eastAsia" w:ascii="宋体" w:hAnsi="宋体" w:eastAsia="宋体" w:cs="宋体"/>
          <w:bCs/>
          <w:color w:val="auto"/>
          <w:spacing w:val="-6"/>
          <w:sz w:val="21"/>
          <w:szCs w:val="21"/>
          <w:highlight w:val="none"/>
          <w:u w:val="single"/>
        </w:rPr>
        <w:t>浙江农林大学</w:t>
      </w:r>
      <w:r>
        <w:rPr>
          <w:rFonts w:hint="eastAsia" w:ascii="宋体" w:hAnsi="宋体" w:eastAsia="宋体" w:cs="宋体"/>
          <w:bCs/>
          <w:color w:val="auto"/>
          <w:spacing w:val="-6"/>
          <w:sz w:val="21"/>
          <w:szCs w:val="21"/>
          <w:highlight w:val="none"/>
          <w:u w:val="single"/>
          <w:lang w:eastAsia="zh-CN"/>
        </w:rPr>
        <w:t>动物科技学院三楼、六楼卫生间改造工程</w:t>
      </w:r>
      <w:r>
        <w:rPr>
          <w:rFonts w:hint="eastAsia" w:ascii="宋体" w:hAnsi="宋体" w:eastAsia="宋体" w:cs="宋体"/>
          <w:color w:val="auto"/>
          <w:spacing w:val="-6"/>
          <w:sz w:val="21"/>
          <w:szCs w:val="21"/>
          <w:highlight w:val="none"/>
        </w:rPr>
        <w:t>的磋商响应，为便于贵方公正、择优地确定成交供应商及其磋商响应产品和服务，我方就本次磋商有关事项郑重声明如下：</w:t>
      </w:r>
    </w:p>
    <w:p>
      <w:pPr>
        <w:spacing w:line="360"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1</w:t>
      </w:r>
      <w:r>
        <w:rPr>
          <w:rFonts w:hint="eastAsia" w:ascii="宋体" w:hAnsi="宋体" w:eastAsia="宋体" w:cs="宋体"/>
          <w:color w:val="auto"/>
          <w:spacing w:val="-6"/>
          <w:sz w:val="21"/>
          <w:szCs w:val="21"/>
          <w:highlight w:val="none"/>
        </w:rPr>
        <w:t>、我方向贵方提交的所有响应文件、资料都是准确的和真实的；</w:t>
      </w:r>
    </w:p>
    <w:p>
      <w:pPr>
        <w:spacing w:line="360"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w:t>
      </w:r>
      <w:r>
        <w:rPr>
          <w:rFonts w:hint="eastAsia" w:ascii="宋体" w:hAnsi="宋体" w:eastAsia="宋体" w:cs="宋体"/>
          <w:color w:val="auto"/>
          <w:spacing w:val="-6"/>
          <w:sz w:val="21"/>
          <w:szCs w:val="21"/>
          <w:highlight w:val="none"/>
        </w:rPr>
        <w:t>、我方不是采购人的附属机构；在获知本项目采购信息后，与采购人聘请的为此项目提供咨询服务的公司及其附属机构没有任何联系。</w:t>
      </w:r>
    </w:p>
    <w:p>
      <w:pPr>
        <w:spacing w:line="360"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3</w:t>
      </w:r>
      <w:r>
        <w:rPr>
          <w:rFonts w:hint="eastAsia" w:ascii="宋体" w:hAnsi="宋体" w:eastAsia="宋体" w:cs="宋体"/>
          <w:color w:val="auto"/>
          <w:spacing w:val="-6"/>
          <w:sz w:val="21"/>
          <w:szCs w:val="21"/>
          <w:highlight w:val="none"/>
        </w:rPr>
        <w:t>、我方最近三年内的被公开披露或查处的违法违规行为有：</w:t>
      </w:r>
    </w:p>
    <w:p>
      <w:pPr>
        <w:spacing w:line="360"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　</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u w:val="single"/>
        </w:rPr>
        <w:t>；</w:t>
      </w:r>
      <w:r>
        <w:rPr>
          <w:rFonts w:hint="eastAsia" w:ascii="宋体" w:hAnsi="宋体" w:eastAsia="宋体" w:cs="宋体"/>
          <w:color w:val="auto"/>
          <w:spacing w:val="-6"/>
          <w:sz w:val="21"/>
          <w:szCs w:val="21"/>
          <w:highlight w:val="none"/>
        </w:rPr>
        <w:t>　　　　　　　　　　　　　　　　　　　　　　　　　　</w:t>
      </w:r>
    </w:p>
    <w:p>
      <w:pPr>
        <w:spacing w:line="360"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　　　　　　　　　　　　　　　　　　　　　　　　　　　</w:t>
      </w:r>
    </w:p>
    <w:p>
      <w:pPr>
        <w:spacing w:line="360"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4</w:t>
      </w:r>
      <w:r>
        <w:rPr>
          <w:rFonts w:hint="eastAsia" w:ascii="宋体" w:hAnsi="宋体" w:eastAsia="宋体" w:cs="宋体"/>
          <w:color w:val="auto"/>
          <w:spacing w:val="-6"/>
          <w:sz w:val="21"/>
          <w:szCs w:val="21"/>
          <w:highlight w:val="none"/>
        </w:rPr>
        <w:t>、以上事项如有虚假或隐瞒，我方愿意承担一切后果和责任。</w:t>
      </w:r>
    </w:p>
    <w:p>
      <w:pPr>
        <w:pStyle w:val="37"/>
        <w:spacing w:line="360" w:lineRule="auto"/>
        <w:rPr>
          <w:rFonts w:hint="eastAsia" w:ascii="宋体" w:hAnsi="宋体" w:eastAsia="宋体" w:cs="宋体"/>
          <w:color w:val="auto"/>
          <w:spacing w:val="-6"/>
          <w:sz w:val="21"/>
          <w:szCs w:val="21"/>
          <w:highlight w:val="none"/>
        </w:rPr>
      </w:pPr>
    </w:p>
    <w:p>
      <w:pPr>
        <w:pStyle w:val="37"/>
        <w:spacing w:line="360" w:lineRule="auto"/>
        <w:rPr>
          <w:rFonts w:hint="eastAsia" w:ascii="宋体" w:hAnsi="宋体" w:eastAsia="宋体" w:cs="宋体"/>
          <w:color w:val="auto"/>
          <w:spacing w:val="-6"/>
          <w:sz w:val="21"/>
          <w:szCs w:val="21"/>
          <w:highlight w:val="none"/>
        </w:rPr>
      </w:pPr>
    </w:p>
    <w:p>
      <w:pPr>
        <w:spacing w:line="360" w:lineRule="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磋商响应供应商名称（盖章）：</w:t>
      </w:r>
      <w:r>
        <w:rPr>
          <w:rFonts w:hint="eastAsia" w:ascii="宋体" w:hAnsi="宋体" w:eastAsia="宋体" w:cs="宋体"/>
          <w:color w:val="auto"/>
          <w:spacing w:val="-6"/>
          <w:sz w:val="21"/>
          <w:szCs w:val="21"/>
          <w:highlight w:val="none"/>
        </w:rPr>
        <w:t xml:space="preserve"> </w:t>
      </w:r>
    </w:p>
    <w:p>
      <w:pPr>
        <w:spacing w:line="360" w:lineRule="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授权代表签字：</w:t>
      </w:r>
    </w:p>
    <w:p>
      <w:pPr>
        <w:spacing w:line="360" w:lineRule="auto"/>
        <w:rPr>
          <w:rFonts w:hint="eastAsia" w:ascii="宋体" w:hAnsi="宋体" w:eastAsia="宋体" w:cs="宋体"/>
          <w:color w:val="auto"/>
          <w:spacing w:val="-6"/>
          <w:sz w:val="21"/>
          <w:szCs w:val="21"/>
          <w:highlight w:val="none"/>
        </w:rPr>
      </w:pPr>
      <w:r>
        <w:rPr>
          <w:rFonts w:hint="eastAsia" w:ascii="宋体" w:hAnsi="宋体" w:eastAsia="宋体" w:cs="宋体"/>
          <w:bCs/>
          <w:color w:val="auto"/>
          <w:spacing w:val="-6"/>
          <w:sz w:val="21"/>
          <w:szCs w:val="21"/>
          <w:highlight w:val="none"/>
        </w:rPr>
        <w:t>日期：</w:t>
      </w:r>
      <w:r>
        <w:rPr>
          <w:rFonts w:hint="eastAsia" w:ascii="宋体" w:hAnsi="宋体" w:eastAsia="宋体" w:cs="宋体"/>
          <w:bCs/>
          <w:color w:val="auto"/>
          <w:spacing w:val="-6"/>
          <w:sz w:val="21"/>
          <w:szCs w:val="21"/>
          <w:highlight w:val="none"/>
        </w:rPr>
        <w:t xml:space="preserve">  </w:t>
      </w:r>
      <w:r>
        <w:rPr>
          <w:rFonts w:hint="eastAsia" w:ascii="宋体" w:hAnsi="宋体" w:eastAsia="宋体" w:cs="宋体"/>
          <w:bCs/>
          <w:color w:val="auto"/>
          <w:spacing w:val="-6"/>
          <w:sz w:val="21"/>
          <w:szCs w:val="21"/>
          <w:highlight w:val="none"/>
        </w:rPr>
        <w:t>年</w:t>
      </w:r>
      <w:r>
        <w:rPr>
          <w:rFonts w:hint="eastAsia" w:ascii="宋体" w:hAnsi="宋体" w:eastAsia="宋体" w:cs="宋体"/>
          <w:bCs/>
          <w:color w:val="auto"/>
          <w:spacing w:val="-6"/>
          <w:sz w:val="21"/>
          <w:szCs w:val="21"/>
          <w:highlight w:val="none"/>
        </w:rPr>
        <w:t xml:space="preserve">  </w:t>
      </w:r>
      <w:r>
        <w:rPr>
          <w:rFonts w:hint="eastAsia" w:ascii="宋体" w:hAnsi="宋体" w:eastAsia="宋体" w:cs="宋体"/>
          <w:bCs/>
          <w:color w:val="auto"/>
          <w:spacing w:val="-6"/>
          <w:sz w:val="21"/>
          <w:szCs w:val="21"/>
          <w:highlight w:val="none"/>
        </w:rPr>
        <w:t>月</w:t>
      </w:r>
      <w:r>
        <w:rPr>
          <w:rFonts w:hint="eastAsia" w:ascii="宋体" w:hAnsi="宋体" w:eastAsia="宋体" w:cs="宋体"/>
          <w:bCs/>
          <w:color w:val="auto"/>
          <w:spacing w:val="-6"/>
          <w:sz w:val="21"/>
          <w:szCs w:val="21"/>
          <w:highlight w:val="none"/>
        </w:rPr>
        <w:t xml:space="preserve">  </w:t>
      </w:r>
      <w:r>
        <w:rPr>
          <w:rFonts w:hint="eastAsia" w:ascii="宋体" w:hAnsi="宋体" w:eastAsia="宋体" w:cs="宋体"/>
          <w:bCs/>
          <w:color w:val="auto"/>
          <w:spacing w:val="-6"/>
          <w:sz w:val="21"/>
          <w:szCs w:val="21"/>
          <w:highlight w:val="none"/>
        </w:rPr>
        <w:t>日</w:t>
      </w:r>
    </w:p>
    <w:p>
      <w:pPr>
        <w:spacing w:line="200" w:lineRule="exact"/>
        <w:rPr>
          <w:rFonts w:hint="eastAsia" w:ascii="宋体" w:hAnsi="宋体" w:eastAsia="宋体" w:cs="宋体"/>
          <w:color w:val="auto"/>
          <w:sz w:val="20"/>
          <w:szCs w:val="20"/>
          <w:highlight w:val="none"/>
        </w:rPr>
      </w:pPr>
    </w:p>
    <w:p>
      <w:pPr>
        <w:spacing w:line="366" w:lineRule="exact"/>
        <w:jc w:val="center"/>
        <w:rPr>
          <w:rFonts w:hint="eastAsia" w:ascii="宋体" w:hAnsi="宋体" w:eastAsia="宋体" w:cs="宋体"/>
          <w:b/>
          <w:bCs/>
          <w:color w:val="auto"/>
          <w:sz w:val="28"/>
          <w:szCs w:val="28"/>
          <w:highlight w:val="none"/>
        </w:rPr>
        <w:sectPr>
          <w:pgSz w:w="11900" w:h="16838"/>
          <w:pgMar w:top="1440" w:right="1440" w:bottom="158" w:left="1440" w:header="567" w:footer="567" w:gutter="0"/>
          <w:cols w:equalWidth="0" w:num="1">
            <w:col w:w="9026"/>
          </w:cols>
        </w:sectPr>
      </w:pPr>
    </w:p>
    <w:p>
      <w:pPr>
        <w:spacing w:line="366"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四、公司基本情况介绍</w:t>
      </w:r>
    </w:p>
    <w:p>
      <w:pPr>
        <w:spacing w:line="360" w:lineRule="auto"/>
        <w:rPr>
          <w:rFonts w:hint="eastAsia" w:ascii="宋体" w:hAnsi="宋体" w:eastAsia="宋体" w:cs="宋体"/>
          <w:color w:val="auto"/>
          <w:spacing w:val="-6"/>
          <w:highlight w:val="none"/>
        </w:rPr>
      </w:pPr>
    </w:p>
    <w:tbl>
      <w:tblPr>
        <w:tblStyle w:val="19"/>
        <w:tblW w:w="83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281"/>
        <w:gridCol w:w="3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35" w:type="dxa"/>
            <w:vAlign w:val="center"/>
          </w:tcPr>
          <w:p>
            <w:pPr>
              <w:spacing w:line="360" w:lineRule="auto"/>
              <w:jc w:val="center"/>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1</w:t>
            </w:r>
          </w:p>
        </w:tc>
        <w:tc>
          <w:tcPr>
            <w:tcW w:w="7629" w:type="dxa"/>
            <w:gridSpan w:val="3"/>
            <w:vAlign w:val="center"/>
          </w:tcPr>
          <w:p>
            <w:pPr>
              <w:spacing w:line="360" w:lineRule="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35" w:type="dxa"/>
            <w:vAlign w:val="center"/>
          </w:tcPr>
          <w:p>
            <w:pPr>
              <w:spacing w:line="360" w:lineRule="auto"/>
              <w:jc w:val="center"/>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2</w:t>
            </w:r>
          </w:p>
        </w:tc>
        <w:tc>
          <w:tcPr>
            <w:tcW w:w="7629" w:type="dxa"/>
            <w:gridSpan w:val="3"/>
            <w:vAlign w:val="center"/>
          </w:tcPr>
          <w:p>
            <w:pPr>
              <w:spacing w:line="360" w:lineRule="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35" w:type="dxa"/>
            <w:vAlign w:val="center"/>
          </w:tcPr>
          <w:p>
            <w:pPr>
              <w:spacing w:line="360" w:lineRule="auto"/>
              <w:jc w:val="center"/>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3</w:t>
            </w:r>
          </w:p>
        </w:tc>
        <w:tc>
          <w:tcPr>
            <w:tcW w:w="7629" w:type="dxa"/>
            <w:gridSpan w:val="3"/>
            <w:vAlign w:val="center"/>
          </w:tcPr>
          <w:p>
            <w:pPr>
              <w:spacing w:line="360" w:lineRule="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35" w:type="dxa"/>
            <w:vAlign w:val="center"/>
          </w:tcPr>
          <w:p>
            <w:pPr>
              <w:spacing w:line="360" w:lineRule="auto"/>
              <w:jc w:val="center"/>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4</w:t>
            </w:r>
          </w:p>
        </w:tc>
        <w:tc>
          <w:tcPr>
            <w:tcW w:w="3801" w:type="dxa"/>
            <w:gridSpan w:val="2"/>
            <w:vAlign w:val="center"/>
          </w:tcPr>
          <w:p>
            <w:pPr>
              <w:spacing w:line="360" w:lineRule="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电话：</w:t>
            </w:r>
          </w:p>
        </w:tc>
        <w:tc>
          <w:tcPr>
            <w:tcW w:w="3828" w:type="dxa"/>
            <w:vAlign w:val="center"/>
          </w:tcPr>
          <w:p>
            <w:pPr>
              <w:spacing w:line="360" w:lineRule="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35" w:type="dxa"/>
            <w:vAlign w:val="center"/>
          </w:tcPr>
          <w:p>
            <w:pPr>
              <w:spacing w:line="360" w:lineRule="auto"/>
              <w:jc w:val="center"/>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5</w:t>
            </w:r>
          </w:p>
        </w:tc>
        <w:tc>
          <w:tcPr>
            <w:tcW w:w="3801" w:type="dxa"/>
            <w:gridSpan w:val="2"/>
            <w:vAlign w:val="center"/>
          </w:tcPr>
          <w:p>
            <w:pPr>
              <w:spacing w:line="360" w:lineRule="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传真：</w:t>
            </w:r>
          </w:p>
        </w:tc>
        <w:tc>
          <w:tcPr>
            <w:tcW w:w="3828" w:type="dxa"/>
            <w:vAlign w:val="center"/>
          </w:tcPr>
          <w:p>
            <w:pPr>
              <w:spacing w:line="360" w:lineRule="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35" w:type="dxa"/>
            <w:vAlign w:val="center"/>
          </w:tcPr>
          <w:p>
            <w:pPr>
              <w:spacing w:line="360" w:lineRule="auto"/>
              <w:jc w:val="center"/>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6</w:t>
            </w:r>
          </w:p>
        </w:tc>
        <w:tc>
          <w:tcPr>
            <w:tcW w:w="3801" w:type="dxa"/>
            <w:gridSpan w:val="2"/>
            <w:vAlign w:val="center"/>
          </w:tcPr>
          <w:p>
            <w:pPr>
              <w:spacing w:line="360" w:lineRule="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注册地：</w:t>
            </w:r>
          </w:p>
        </w:tc>
        <w:tc>
          <w:tcPr>
            <w:tcW w:w="3828" w:type="dxa"/>
            <w:vAlign w:val="center"/>
          </w:tcPr>
          <w:p>
            <w:pPr>
              <w:spacing w:line="360" w:lineRule="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35" w:type="dxa"/>
            <w:vAlign w:val="center"/>
          </w:tcPr>
          <w:p>
            <w:pPr>
              <w:spacing w:line="360" w:lineRule="auto"/>
              <w:jc w:val="center"/>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7</w:t>
            </w:r>
          </w:p>
        </w:tc>
        <w:tc>
          <w:tcPr>
            <w:tcW w:w="7629" w:type="dxa"/>
            <w:gridSpan w:val="3"/>
            <w:vAlign w:val="center"/>
          </w:tcPr>
          <w:p>
            <w:pPr>
              <w:spacing w:line="360" w:lineRule="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公司的资质等级（请附上有关证书的复印件）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35" w:type="dxa"/>
            <w:vAlign w:val="center"/>
          </w:tcPr>
          <w:p>
            <w:pPr>
              <w:spacing w:line="360" w:lineRule="auto"/>
              <w:jc w:val="center"/>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8</w:t>
            </w:r>
          </w:p>
        </w:tc>
        <w:tc>
          <w:tcPr>
            <w:tcW w:w="7629" w:type="dxa"/>
            <w:gridSpan w:val="3"/>
            <w:vAlign w:val="center"/>
          </w:tcPr>
          <w:p>
            <w:pPr>
              <w:spacing w:line="360" w:lineRule="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公司（是否通过，何种）质量保证体系认证（如通过请附相关证书复印件，提供认证机构年审监督报告）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35" w:type="dxa"/>
            <w:vAlign w:val="center"/>
          </w:tcPr>
          <w:p>
            <w:pPr>
              <w:spacing w:line="360" w:lineRule="auto"/>
              <w:jc w:val="center"/>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9</w:t>
            </w:r>
          </w:p>
        </w:tc>
        <w:tc>
          <w:tcPr>
            <w:tcW w:w="2520" w:type="dxa"/>
            <w:vAlign w:val="center"/>
          </w:tcPr>
          <w:p>
            <w:pPr>
              <w:spacing w:line="360" w:lineRule="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作为承包人经历年数：</w:t>
            </w:r>
          </w:p>
        </w:tc>
        <w:tc>
          <w:tcPr>
            <w:tcW w:w="5109" w:type="dxa"/>
            <w:gridSpan w:val="2"/>
            <w:vAlign w:val="center"/>
          </w:tcPr>
          <w:p>
            <w:pPr>
              <w:spacing w:line="360" w:lineRule="auto"/>
              <w:rPr>
                <w:rFonts w:hint="eastAsia" w:ascii="宋体" w:hAnsi="宋体" w:eastAsia="宋体" w:cs="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35" w:type="dxa"/>
            <w:vAlign w:val="center"/>
          </w:tcPr>
          <w:p>
            <w:pPr>
              <w:spacing w:line="360" w:lineRule="auto"/>
              <w:jc w:val="center"/>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10</w:t>
            </w:r>
          </w:p>
        </w:tc>
        <w:tc>
          <w:tcPr>
            <w:tcW w:w="2520" w:type="dxa"/>
            <w:vAlign w:val="center"/>
          </w:tcPr>
          <w:p>
            <w:pPr>
              <w:spacing w:line="360" w:lineRule="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其他需要说明的情况</w:t>
            </w:r>
          </w:p>
        </w:tc>
        <w:tc>
          <w:tcPr>
            <w:tcW w:w="5109" w:type="dxa"/>
            <w:gridSpan w:val="2"/>
            <w:vAlign w:val="center"/>
          </w:tcPr>
          <w:p>
            <w:pPr>
              <w:spacing w:line="360" w:lineRule="auto"/>
              <w:rPr>
                <w:rFonts w:hint="eastAsia" w:ascii="宋体" w:hAnsi="宋体" w:eastAsia="宋体" w:cs="宋体"/>
                <w:color w:val="auto"/>
                <w:spacing w:val="-6"/>
                <w:sz w:val="24"/>
                <w:highlight w:val="none"/>
              </w:rPr>
            </w:pPr>
          </w:p>
          <w:p>
            <w:pPr>
              <w:spacing w:line="360" w:lineRule="auto"/>
              <w:rPr>
                <w:rFonts w:hint="eastAsia" w:ascii="宋体" w:hAnsi="宋体" w:eastAsia="宋体" w:cs="宋体"/>
                <w:color w:val="auto"/>
                <w:spacing w:val="-6"/>
                <w:sz w:val="24"/>
                <w:highlight w:val="none"/>
              </w:rPr>
            </w:pPr>
          </w:p>
          <w:p>
            <w:pPr>
              <w:spacing w:line="360" w:lineRule="auto"/>
              <w:rPr>
                <w:rFonts w:hint="eastAsia" w:ascii="宋体" w:hAnsi="宋体" w:eastAsia="宋体" w:cs="宋体"/>
                <w:color w:val="auto"/>
                <w:spacing w:val="-6"/>
                <w:sz w:val="24"/>
                <w:highlight w:val="none"/>
              </w:rPr>
            </w:pPr>
          </w:p>
        </w:tc>
      </w:tr>
    </w:tbl>
    <w:p>
      <w:pPr>
        <w:spacing w:line="360" w:lineRule="auto"/>
        <w:rPr>
          <w:rFonts w:hint="eastAsia" w:ascii="宋体" w:hAnsi="宋体" w:eastAsia="宋体" w:cs="宋体"/>
          <w:color w:val="auto"/>
          <w:spacing w:val="-6"/>
          <w:sz w:val="24"/>
          <w:highlight w:val="none"/>
        </w:rPr>
      </w:pPr>
    </w:p>
    <w:p>
      <w:pPr>
        <w:spacing w:line="360" w:lineRule="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说明：所有响应方都须填写此表，后附企业信用、资质证书；</w:t>
      </w:r>
    </w:p>
    <w:p>
      <w:pPr>
        <w:spacing w:line="360" w:lineRule="auto"/>
        <w:rPr>
          <w:rFonts w:hint="eastAsia" w:ascii="宋体" w:hAnsi="宋体" w:eastAsia="宋体" w:cs="宋体"/>
          <w:color w:val="auto"/>
          <w:spacing w:val="-6"/>
          <w:sz w:val="24"/>
          <w:highlight w:val="none"/>
        </w:rPr>
      </w:pPr>
    </w:p>
    <w:p>
      <w:pPr>
        <w:spacing w:line="360" w:lineRule="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响应方全称（加盖公章）：</w:t>
      </w:r>
    </w:p>
    <w:p>
      <w:pPr>
        <w:spacing w:line="360" w:lineRule="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全权代表签字：</w:t>
      </w:r>
    </w:p>
    <w:p>
      <w:pPr>
        <w:spacing w:line="360" w:lineRule="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日期：</w:t>
      </w:r>
    </w:p>
    <w:p>
      <w:pPr>
        <w:spacing w:line="366" w:lineRule="exact"/>
        <w:jc w:val="center"/>
        <w:rPr>
          <w:rFonts w:hint="eastAsia" w:ascii="宋体" w:hAnsi="宋体" w:eastAsia="宋体" w:cs="宋体"/>
          <w:b/>
          <w:bCs/>
          <w:color w:val="auto"/>
          <w:sz w:val="28"/>
          <w:szCs w:val="28"/>
          <w:highlight w:val="none"/>
        </w:rPr>
        <w:sectPr>
          <w:pgSz w:w="11900" w:h="16838"/>
          <w:pgMar w:top="1440" w:right="1440" w:bottom="158" w:left="1440" w:header="567" w:footer="567" w:gutter="0"/>
          <w:cols w:equalWidth="0" w:num="1">
            <w:col w:w="9026"/>
          </w:cols>
        </w:sectPr>
      </w:pPr>
    </w:p>
    <w:p>
      <w:pPr>
        <w:spacing w:line="366"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五、类似业绩证明</w:t>
      </w:r>
    </w:p>
    <w:p>
      <w:pPr>
        <w:pStyle w:val="8"/>
        <w:spacing w:line="360" w:lineRule="auto"/>
        <w:ind w:firstLine="0"/>
        <w:rPr>
          <w:rFonts w:hint="eastAsia" w:ascii="宋体" w:hAnsi="宋体" w:eastAsia="宋体" w:cs="宋体"/>
          <w:color w:val="auto"/>
          <w:spacing w:val="-6"/>
          <w:sz w:val="21"/>
          <w:szCs w:val="21"/>
          <w:highlight w:val="none"/>
        </w:rPr>
      </w:pPr>
    </w:p>
    <w:p>
      <w:pPr>
        <w:pStyle w:val="15"/>
        <w:spacing w:line="360" w:lineRule="auto"/>
        <w:ind w:left="0" w:firstLine="0" w:firstLineChars="0"/>
        <w:jc w:val="center"/>
        <w:rPr>
          <w:rFonts w:hint="eastAsia" w:ascii="宋体" w:hAnsi="宋体" w:eastAsia="宋体" w:cs="宋体"/>
          <w:color w:val="auto"/>
          <w:sz w:val="24"/>
          <w:highlight w:val="none"/>
        </w:rPr>
      </w:pPr>
      <w:bookmarkStart w:id="181" w:name="_Toc26073_WPSOffice_Level2"/>
      <w:bookmarkStart w:id="182" w:name="_Toc20880_WPSOffice_Level2"/>
      <w:bookmarkStart w:id="183" w:name="_Toc32559_WPSOffice_Level2"/>
      <w:r>
        <w:rPr>
          <w:rFonts w:hint="eastAsia" w:ascii="宋体" w:hAnsi="宋体" w:eastAsia="宋体" w:cs="宋体"/>
          <w:color w:val="auto"/>
          <w:sz w:val="24"/>
          <w:highlight w:val="none"/>
        </w:rPr>
        <w:t>（提供同类项目合同复印件）</w:t>
      </w:r>
      <w:bookmarkEnd w:id="181"/>
      <w:bookmarkEnd w:id="182"/>
      <w:bookmarkEnd w:id="183"/>
    </w:p>
    <w:tbl>
      <w:tblPr>
        <w:tblStyle w:val="19"/>
        <w:tblW w:w="8413"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10"/>
        <w:gridCol w:w="1111"/>
        <w:gridCol w:w="2032"/>
        <w:gridCol w:w="1155"/>
        <w:gridCol w:w="1234"/>
        <w:gridCol w:w="17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110" w:type="dxa"/>
            <w:tcBorders>
              <w:top w:val="single" w:color="auto" w:sz="4" w:space="0"/>
              <w:bottom w:val="single" w:color="auto" w:sz="4" w:space="0"/>
              <w:right w:val="single" w:color="auto" w:sz="4" w:space="0"/>
            </w:tcBorders>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采购单位名称</w:t>
            </w: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项目名称</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合同金额</w:t>
            </w:r>
          </w:p>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（万元）</w:t>
            </w: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附件页码</w:t>
            </w:r>
          </w:p>
        </w:tc>
        <w:tc>
          <w:tcPr>
            <w:tcW w:w="1771" w:type="dxa"/>
            <w:tcBorders>
              <w:top w:val="single" w:color="auto" w:sz="4" w:space="0"/>
              <w:left w:val="single" w:color="auto" w:sz="4" w:space="0"/>
              <w:bottom w:val="single" w:color="auto" w:sz="4" w:space="0"/>
            </w:tcBorders>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采购单位联系人及联系电话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110" w:type="dxa"/>
            <w:tcBorders>
              <w:top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0"/>
                <w:highlight w:val="none"/>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0"/>
                <w:highlight w:val="none"/>
              </w:rPr>
            </w:pP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0"/>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0"/>
                <w:highlight w:val="none"/>
              </w:rPr>
            </w:pPr>
          </w:p>
        </w:tc>
        <w:tc>
          <w:tcPr>
            <w:tcW w:w="1771" w:type="dxa"/>
            <w:tcBorders>
              <w:top w:val="single" w:color="auto" w:sz="4" w:space="0"/>
              <w:left w:val="single" w:color="auto" w:sz="4" w:space="0"/>
              <w:bottom w:val="single" w:color="auto" w:sz="4" w:space="0"/>
            </w:tcBorders>
            <w:vAlign w:val="center"/>
          </w:tcPr>
          <w:p>
            <w:pPr>
              <w:jc w:val="center"/>
              <w:rPr>
                <w:rFonts w:hint="eastAsia" w:ascii="宋体" w:hAnsi="宋体" w:eastAsia="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110" w:type="dxa"/>
            <w:tcBorders>
              <w:top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0"/>
                <w:highlight w:val="none"/>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0"/>
                <w:highlight w:val="none"/>
              </w:rPr>
            </w:pP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0"/>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0"/>
                <w:highlight w:val="none"/>
              </w:rPr>
            </w:pPr>
          </w:p>
        </w:tc>
        <w:tc>
          <w:tcPr>
            <w:tcW w:w="1771" w:type="dxa"/>
            <w:tcBorders>
              <w:top w:val="single" w:color="auto" w:sz="4" w:space="0"/>
              <w:left w:val="single" w:color="auto" w:sz="4" w:space="0"/>
              <w:bottom w:val="single" w:color="auto" w:sz="4" w:space="0"/>
            </w:tcBorders>
            <w:vAlign w:val="center"/>
          </w:tcPr>
          <w:p>
            <w:pPr>
              <w:jc w:val="center"/>
              <w:rPr>
                <w:rFonts w:hint="eastAsia" w:ascii="宋体" w:hAnsi="宋体" w:eastAsia="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110" w:type="dxa"/>
            <w:tcBorders>
              <w:top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0"/>
                <w:highlight w:val="none"/>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0"/>
                <w:highlight w:val="none"/>
              </w:rPr>
            </w:pP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0"/>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0"/>
                <w:highlight w:val="none"/>
              </w:rPr>
            </w:pPr>
          </w:p>
        </w:tc>
        <w:tc>
          <w:tcPr>
            <w:tcW w:w="1771" w:type="dxa"/>
            <w:tcBorders>
              <w:top w:val="single" w:color="auto" w:sz="4" w:space="0"/>
              <w:left w:val="single" w:color="auto" w:sz="4" w:space="0"/>
              <w:bottom w:val="single" w:color="auto" w:sz="4" w:space="0"/>
            </w:tcBorders>
            <w:vAlign w:val="center"/>
          </w:tcPr>
          <w:p>
            <w:pPr>
              <w:jc w:val="center"/>
              <w:rPr>
                <w:rFonts w:hint="eastAsia" w:ascii="宋体" w:hAnsi="宋体" w:eastAsia="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110" w:type="dxa"/>
            <w:tcBorders>
              <w:top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0"/>
                <w:highlight w:val="none"/>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0"/>
                <w:highlight w:val="none"/>
              </w:rPr>
            </w:pP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0"/>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0"/>
                <w:highlight w:val="none"/>
              </w:rPr>
            </w:pPr>
          </w:p>
        </w:tc>
        <w:tc>
          <w:tcPr>
            <w:tcW w:w="1771" w:type="dxa"/>
            <w:tcBorders>
              <w:top w:val="single" w:color="auto" w:sz="4" w:space="0"/>
              <w:left w:val="single" w:color="auto" w:sz="4" w:space="0"/>
              <w:bottom w:val="single" w:color="auto" w:sz="4" w:space="0"/>
            </w:tcBorders>
            <w:vAlign w:val="center"/>
          </w:tcPr>
          <w:p>
            <w:pPr>
              <w:jc w:val="center"/>
              <w:rPr>
                <w:rFonts w:hint="eastAsia" w:ascii="宋体" w:hAnsi="宋体" w:eastAsia="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110" w:type="dxa"/>
            <w:tcBorders>
              <w:top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0"/>
                <w:highlight w:val="none"/>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0"/>
                <w:highlight w:val="none"/>
              </w:rPr>
            </w:pP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0"/>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0"/>
                <w:highlight w:val="none"/>
              </w:rPr>
            </w:pPr>
          </w:p>
        </w:tc>
        <w:tc>
          <w:tcPr>
            <w:tcW w:w="1771" w:type="dxa"/>
            <w:tcBorders>
              <w:top w:val="single" w:color="auto" w:sz="4" w:space="0"/>
              <w:left w:val="single" w:color="auto" w:sz="4" w:space="0"/>
              <w:bottom w:val="single" w:color="auto" w:sz="4" w:space="0"/>
            </w:tcBorders>
            <w:vAlign w:val="center"/>
          </w:tcPr>
          <w:p>
            <w:pPr>
              <w:jc w:val="center"/>
              <w:rPr>
                <w:rFonts w:hint="eastAsia" w:ascii="宋体" w:hAnsi="宋体" w:eastAsia="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110" w:type="dxa"/>
            <w:tcBorders>
              <w:top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0"/>
                <w:highlight w:val="none"/>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0"/>
                <w:highlight w:val="none"/>
              </w:rPr>
            </w:pP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0"/>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0"/>
                <w:highlight w:val="none"/>
              </w:rPr>
            </w:pPr>
          </w:p>
        </w:tc>
        <w:tc>
          <w:tcPr>
            <w:tcW w:w="1771" w:type="dxa"/>
            <w:tcBorders>
              <w:top w:val="single" w:color="auto" w:sz="4" w:space="0"/>
              <w:left w:val="single" w:color="auto" w:sz="4" w:space="0"/>
              <w:bottom w:val="single" w:color="auto" w:sz="4" w:space="0"/>
            </w:tcBorders>
            <w:vAlign w:val="center"/>
          </w:tcPr>
          <w:p>
            <w:pPr>
              <w:jc w:val="center"/>
              <w:rPr>
                <w:rFonts w:hint="eastAsia" w:ascii="宋体" w:hAnsi="宋体" w:eastAsia="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110" w:type="dxa"/>
            <w:tcBorders>
              <w:top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0"/>
                <w:highlight w:val="none"/>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0"/>
                <w:highlight w:val="none"/>
              </w:rPr>
            </w:pP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0"/>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0"/>
                <w:highlight w:val="none"/>
              </w:rPr>
            </w:pPr>
          </w:p>
        </w:tc>
        <w:tc>
          <w:tcPr>
            <w:tcW w:w="1771" w:type="dxa"/>
            <w:tcBorders>
              <w:top w:val="single" w:color="auto" w:sz="4" w:space="0"/>
              <w:left w:val="single" w:color="auto" w:sz="4" w:space="0"/>
              <w:bottom w:val="single" w:color="auto" w:sz="4" w:space="0"/>
            </w:tcBorders>
            <w:vAlign w:val="center"/>
          </w:tcPr>
          <w:p>
            <w:pPr>
              <w:jc w:val="center"/>
              <w:rPr>
                <w:rFonts w:hint="eastAsia" w:ascii="宋体" w:hAnsi="宋体" w:eastAsia="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110" w:type="dxa"/>
            <w:tcBorders>
              <w:top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0"/>
                <w:highlight w:val="none"/>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0"/>
                <w:highlight w:val="none"/>
              </w:rPr>
            </w:pP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0"/>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0"/>
                <w:highlight w:val="none"/>
              </w:rPr>
            </w:pPr>
          </w:p>
        </w:tc>
        <w:tc>
          <w:tcPr>
            <w:tcW w:w="1771" w:type="dxa"/>
            <w:tcBorders>
              <w:top w:val="single" w:color="auto" w:sz="4" w:space="0"/>
              <w:left w:val="single" w:color="auto" w:sz="4" w:space="0"/>
              <w:bottom w:val="single" w:color="auto" w:sz="4" w:space="0"/>
            </w:tcBorders>
            <w:vAlign w:val="center"/>
          </w:tcPr>
          <w:p>
            <w:pPr>
              <w:jc w:val="center"/>
              <w:rPr>
                <w:rFonts w:hint="eastAsia" w:ascii="宋体" w:hAnsi="宋体" w:eastAsia="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110" w:type="dxa"/>
            <w:tcBorders>
              <w:top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0"/>
                <w:highlight w:val="none"/>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0"/>
                <w:highlight w:val="none"/>
              </w:rPr>
            </w:pP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0"/>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0"/>
                <w:highlight w:val="none"/>
              </w:rPr>
            </w:pPr>
          </w:p>
        </w:tc>
        <w:tc>
          <w:tcPr>
            <w:tcW w:w="1771" w:type="dxa"/>
            <w:tcBorders>
              <w:top w:val="single" w:color="auto" w:sz="4" w:space="0"/>
              <w:left w:val="single" w:color="auto" w:sz="4" w:space="0"/>
              <w:bottom w:val="single" w:color="auto" w:sz="4" w:space="0"/>
            </w:tcBorders>
            <w:vAlign w:val="center"/>
          </w:tcPr>
          <w:p>
            <w:pPr>
              <w:jc w:val="center"/>
              <w:rPr>
                <w:rFonts w:hint="eastAsia" w:ascii="宋体" w:hAnsi="宋体" w:eastAsia="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110" w:type="dxa"/>
            <w:tcBorders>
              <w:top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0"/>
                <w:highlight w:val="none"/>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0"/>
                <w:highlight w:val="none"/>
              </w:rPr>
            </w:pP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0"/>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0"/>
                <w:highlight w:val="none"/>
              </w:rPr>
            </w:pPr>
          </w:p>
        </w:tc>
        <w:tc>
          <w:tcPr>
            <w:tcW w:w="1771" w:type="dxa"/>
            <w:tcBorders>
              <w:top w:val="single" w:color="auto" w:sz="4" w:space="0"/>
              <w:left w:val="single" w:color="auto" w:sz="4" w:space="0"/>
              <w:bottom w:val="single" w:color="auto" w:sz="4" w:space="0"/>
            </w:tcBorders>
            <w:vAlign w:val="center"/>
          </w:tcPr>
          <w:p>
            <w:pPr>
              <w:jc w:val="center"/>
              <w:rPr>
                <w:rFonts w:hint="eastAsia" w:ascii="宋体" w:hAnsi="宋体" w:eastAsia="宋体" w:cs="宋体"/>
                <w:color w:val="auto"/>
                <w:sz w:val="24"/>
                <w:szCs w:val="20"/>
                <w:highlight w:val="none"/>
              </w:rPr>
            </w:pPr>
          </w:p>
        </w:tc>
      </w:tr>
    </w:tbl>
    <w:p>
      <w:pPr>
        <w:spacing w:line="360" w:lineRule="auto"/>
        <w:rPr>
          <w:rFonts w:hint="eastAsia" w:ascii="宋体" w:hAnsi="宋体" w:eastAsia="宋体" w:cs="宋体"/>
          <w:color w:val="auto"/>
          <w:spacing w:val="-6"/>
          <w:sz w:val="24"/>
          <w:highlight w:val="none"/>
        </w:rPr>
      </w:pPr>
    </w:p>
    <w:p>
      <w:pPr>
        <w:spacing w:line="360" w:lineRule="auto"/>
        <w:rPr>
          <w:rFonts w:hint="eastAsia" w:ascii="宋体" w:hAnsi="宋体" w:eastAsia="宋体" w:cs="宋体"/>
          <w:color w:val="auto"/>
          <w:spacing w:val="-6"/>
          <w:sz w:val="24"/>
          <w:highlight w:val="none"/>
        </w:rPr>
      </w:pPr>
    </w:p>
    <w:p>
      <w:pPr>
        <w:spacing w:line="360" w:lineRule="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响应方全称（加盖公章）：</w:t>
      </w:r>
    </w:p>
    <w:p>
      <w:pPr>
        <w:spacing w:line="360" w:lineRule="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全权代表签字：</w:t>
      </w:r>
    </w:p>
    <w:p>
      <w:pPr>
        <w:spacing w:line="360" w:lineRule="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日期：</w:t>
      </w:r>
    </w:p>
    <w:p>
      <w:pPr>
        <w:rPr>
          <w:rFonts w:hint="eastAsia" w:ascii="宋体" w:hAnsi="宋体" w:eastAsia="宋体" w:cs="宋体"/>
          <w:color w:val="auto"/>
          <w:highlight w:val="none"/>
        </w:rPr>
      </w:pPr>
    </w:p>
    <w:p>
      <w:pPr>
        <w:rPr>
          <w:rFonts w:hint="eastAsia" w:ascii="宋体" w:hAnsi="宋体" w:eastAsia="宋体" w:cs="宋体"/>
          <w:color w:val="auto"/>
          <w:highlight w:val="none"/>
        </w:rPr>
        <w:sectPr>
          <w:pgSz w:w="11900" w:h="16838"/>
          <w:pgMar w:top="1440" w:right="1440" w:bottom="158" w:left="1440" w:header="567" w:footer="567" w:gutter="0"/>
          <w:cols w:equalWidth="0" w:num="1">
            <w:col w:w="9026"/>
          </w:cols>
        </w:sectPr>
      </w:pPr>
    </w:p>
    <w:p>
      <w:pPr>
        <w:ind w:left="363"/>
        <w:rPr>
          <w:rFonts w:hint="eastAsia" w:ascii="宋体" w:hAnsi="宋体" w:eastAsia="宋体" w:cs="宋体"/>
          <w:b/>
          <w:bCs/>
          <w:color w:val="auto"/>
          <w:sz w:val="28"/>
          <w:szCs w:val="28"/>
          <w:highlight w:val="none"/>
        </w:rPr>
      </w:pPr>
      <w:bookmarkStart w:id="184" w:name="page83"/>
      <w:bookmarkEnd w:id="184"/>
      <w:r>
        <w:rPr>
          <w:rFonts w:hint="eastAsia" w:ascii="宋体" w:hAnsi="宋体" w:eastAsia="宋体" w:cs="宋体"/>
          <w:b/>
          <w:bCs/>
          <w:color w:val="auto"/>
          <w:sz w:val="28"/>
          <w:szCs w:val="28"/>
          <w:highlight w:val="none"/>
        </w:rPr>
        <w:t>技术文件</w:t>
      </w:r>
    </w:p>
    <w:p>
      <w:pPr>
        <w:jc w:val="both"/>
        <w:rPr>
          <w:rFonts w:hint="eastAsia" w:ascii="宋体" w:hAnsi="宋体" w:eastAsia="宋体" w:cs="宋体"/>
          <w:b/>
          <w:bCs/>
          <w:color w:val="auto"/>
          <w:sz w:val="28"/>
          <w:szCs w:val="28"/>
          <w:highlight w:val="none"/>
        </w:rPr>
      </w:pP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rPr>
        <w:t>）施工方案；</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rPr>
        <w:t>）质量保证措施；</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rPr>
        <w:t>）拟投入的主要施工机械设备情况、主要施工机械计划；</w:t>
      </w:r>
    </w:p>
    <w:p>
      <w:pPr>
        <w:spacing w:line="360"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w:t>
      </w:r>
      <w:r>
        <w:rPr>
          <w:rFonts w:hint="eastAsia" w:ascii="宋体" w:hAnsi="宋体" w:eastAsia="宋体" w:cs="宋体"/>
          <w:color w:val="auto"/>
          <w:spacing w:val="-6"/>
          <w:sz w:val="21"/>
          <w:szCs w:val="21"/>
          <w:highlight w:val="none"/>
        </w:rPr>
        <w:t>4</w:t>
      </w:r>
      <w:r>
        <w:rPr>
          <w:rFonts w:hint="eastAsia" w:ascii="宋体" w:hAnsi="宋体" w:eastAsia="宋体" w:cs="宋体"/>
          <w:color w:val="auto"/>
          <w:spacing w:val="-6"/>
          <w:sz w:val="21"/>
          <w:szCs w:val="21"/>
          <w:highlight w:val="none"/>
        </w:rPr>
        <w:t>）工期承诺、进度控制措施及施工质量控制措施；</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rPr>
        <w:t>）投入本项目的工程技术管理人员的专业配置情况；附表三、附表四、附表五</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rPr>
        <w:t>）关键工序、复杂环节的相应技术措施；</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rPr>
        <w:t>）安全文明施工保证措施；</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rPr>
        <w:t>）材料设备进场计划及施工计划情况；</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rPr>
        <w:t>）应急处置方案及售后服务；</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rPr>
        <w:t>）主要材料品牌表；</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11</w:t>
      </w:r>
      <w:r>
        <w:rPr>
          <w:rFonts w:hint="eastAsia" w:ascii="宋体" w:hAnsi="宋体" w:eastAsia="宋体" w:cs="宋体"/>
          <w:color w:val="auto"/>
          <w:sz w:val="21"/>
          <w:szCs w:val="21"/>
          <w:highlight w:val="none"/>
        </w:rPr>
        <w:t>）供应商认为需要提供的资料。</w:t>
      </w:r>
    </w:p>
    <w:p>
      <w:pPr>
        <w:spacing w:line="360" w:lineRule="auto"/>
        <w:ind w:firstLine="422" w:firstLineChars="200"/>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采用文字表述外可附下列图表，图表及格式要求附后，没有图表的可格式自拟。</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附表一</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t>拟投入的主要施工设备表</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附表二</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t>拟配备的试验和检测仪器设备表</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附表三</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t>项目管理班子配备情况表</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附表四、项目经理简历表</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附表五、技术负责人简历表</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附表六、劳动力计划表</w:t>
      </w:r>
    </w:p>
    <w:p>
      <w:pPr>
        <w:spacing w:line="200" w:lineRule="exact"/>
        <w:rPr>
          <w:rFonts w:hint="eastAsia" w:ascii="宋体" w:hAnsi="宋体" w:eastAsia="宋体" w:cs="宋体"/>
          <w:color w:val="auto"/>
          <w:sz w:val="20"/>
          <w:szCs w:val="20"/>
          <w:highlight w:val="none"/>
        </w:rPr>
      </w:pPr>
    </w:p>
    <w:p>
      <w:pPr>
        <w:rPr>
          <w:rFonts w:hint="eastAsia" w:ascii="宋体" w:hAnsi="宋体" w:eastAsia="宋体" w:cs="宋体"/>
          <w:color w:val="auto"/>
          <w:highlight w:val="none"/>
        </w:rPr>
        <w:sectPr>
          <w:pgSz w:w="11900" w:h="16838"/>
          <w:pgMar w:top="1440" w:right="1440" w:bottom="158" w:left="1440" w:header="567" w:footer="567" w:gutter="0"/>
          <w:cols w:equalWidth="0" w:num="1">
            <w:col w:w="9026"/>
          </w:cols>
        </w:sectPr>
      </w:pPr>
    </w:p>
    <w:p>
      <w:pPr>
        <w:tabs>
          <w:tab w:val="left" w:pos="720"/>
        </w:tabs>
        <w:spacing w:line="360" w:lineRule="auto"/>
        <w:rPr>
          <w:rFonts w:hint="eastAsia" w:ascii="宋体" w:hAnsi="宋体" w:eastAsia="宋体" w:cs="宋体"/>
          <w:b/>
          <w:color w:val="auto"/>
          <w:sz w:val="24"/>
          <w:szCs w:val="24"/>
          <w:highlight w:val="none"/>
        </w:rPr>
      </w:pPr>
      <w:bookmarkStart w:id="185" w:name="page84"/>
      <w:bookmarkEnd w:id="185"/>
      <w:bookmarkStart w:id="186" w:name="_Toc28261_WPSOffice_Level2"/>
      <w:bookmarkStart w:id="187" w:name="_Toc10163_WPSOffice_Level2"/>
      <w:bookmarkStart w:id="188" w:name="_Toc10701_WPSOffice_Level2"/>
      <w:r>
        <w:rPr>
          <w:rFonts w:hint="eastAsia" w:ascii="宋体" w:hAnsi="宋体" w:eastAsia="宋体" w:cs="宋体"/>
          <w:b/>
          <w:color w:val="auto"/>
          <w:sz w:val="24"/>
          <w:szCs w:val="24"/>
          <w:highlight w:val="none"/>
        </w:rPr>
        <w:t>附表一：拟投入的主要施工设备表</w:t>
      </w:r>
      <w:bookmarkEnd w:id="186"/>
      <w:bookmarkEnd w:id="187"/>
      <w:bookmarkEnd w:id="188"/>
    </w:p>
    <w:tbl>
      <w:tblPr>
        <w:tblStyle w:val="19"/>
        <w:tblW w:w="96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925"/>
        <w:gridCol w:w="926"/>
        <w:gridCol w:w="926"/>
        <w:gridCol w:w="926"/>
        <w:gridCol w:w="928"/>
        <w:gridCol w:w="947"/>
        <w:gridCol w:w="928"/>
        <w:gridCol w:w="1285"/>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6" w:hRule="atLeast"/>
        </w:trPr>
        <w:tc>
          <w:tcPr>
            <w:tcW w:w="925" w:type="dxa"/>
            <w:vAlign w:val="center"/>
          </w:tcPr>
          <w:p>
            <w:pPr>
              <w:tabs>
                <w:tab w:val="left" w:pos="720"/>
              </w:tabs>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925" w:type="dxa"/>
            <w:vAlign w:val="center"/>
          </w:tcPr>
          <w:p>
            <w:pPr>
              <w:tabs>
                <w:tab w:val="left" w:pos="720"/>
              </w:tabs>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w:t>
            </w:r>
          </w:p>
          <w:p>
            <w:pPr>
              <w:tabs>
                <w:tab w:val="left" w:pos="720"/>
              </w:tabs>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p>
        </w:tc>
        <w:tc>
          <w:tcPr>
            <w:tcW w:w="926" w:type="dxa"/>
            <w:vAlign w:val="center"/>
          </w:tcPr>
          <w:p>
            <w:pPr>
              <w:tabs>
                <w:tab w:val="left" w:pos="720"/>
              </w:tabs>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型号</w:t>
            </w:r>
          </w:p>
          <w:p>
            <w:pPr>
              <w:tabs>
                <w:tab w:val="left" w:pos="720"/>
              </w:tabs>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w:t>
            </w:r>
          </w:p>
        </w:tc>
        <w:tc>
          <w:tcPr>
            <w:tcW w:w="926" w:type="dxa"/>
            <w:vAlign w:val="center"/>
          </w:tcPr>
          <w:p>
            <w:pPr>
              <w:tabs>
                <w:tab w:val="left" w:pos="720"/>
              </w:tabs>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926" w:type="dxa"/>
            <w:vAlign w:val="center"/>
          </w:tcPr>
          <w:p>
            <w:pPr>
              <w:tabs>
                <w:tab w:val="left" w:pos="720"/>
              </w:tabs>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国别</w:t>
            </w:r>
          </w:p>
          <w:p>
            <w:pPr>
              <w:tabs>
                <w:tab w:val="left" w:pos="720"/>
              </w:tabs>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产地</w:t>
            </w:r>
          </w:p>
        </w:tc>
        <w:tc>
          <w:tcPr>
            <w:tcW w:w="928" w:type="dxa"/>
            <w:vAlign w:val="center"/>
          </w:tcPr>
          <w:p>
            <w:pPr>
              <w:tabs>
                <w:tab w:val="left" w:pos="720"/>
              </w:tabs>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制造</w:t>
            </w:r>
          </w:p>
          <w:p>
            <w:pPr>
              <w:tabs>
                <w:tab w:val="left" w:pos="720"/>
              </w:tabs>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年份</w:t>
            </w:r>
          </w:p>
        </w:tc>
        <w:tc>
          <w:tcPr>
            <w:tcW w:w="947" w:type="dxa"/>
            <w:vAlign w:val="center"/>
          </w:tcPr>
          <w:p>
            <w:pPr>
              <w:tabs>
                <w:tab w:val="left" w:pos="720"/>
              </w:tabs>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额定功率（</w:t>
            </w:r>
            <w:r>
              <w:rPr>
                <w:rFonts w:hint="eastAsia" w:ascii="宋体" w:hAnsi="宋体" w:eastAsia="宋体" w:cs="宋体"/>
                <w:color w:val="auto"/>
                <w:sz w:val="21"/>
                <w:szCs w:val="21"/>
                <w:highlight w:val="none"/>
              </w:rPr>
              <w:t>KW</w:t>
            </w:r>
            <w:r>
              <w:rPr>
                <w:rFonts w:hint="eastAsia" w:ascii="宋体" w:hAnsi="宋体" w:eastAsia="宋体" w:cs="宋体"/>
                <w:color w:val="auto"/>
                <w:sz w:val="21"/>
                <w:szCs w:val="21"/>
                <w:highlight w:val="none"/>
              </w:rPr>
              <w:t>）</w:t>
            </w:r>
          </w:p>
        </w:tc>
        <w:tc>
          <w:tcPr>
            <w:tcW w:w="928" w:type="dxa"/>
            <w:vAlign w:val="center"/>
          </w:tcPr>
          <w:p>
            <w:pPr>
              <w:tabs>
                <w:tab w:val="left" w:pos="720"/>
              </w:tabs>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生产</w:t>
            </w:r>
          </w:p>
          <w:p>
            <w:pPr>
              <w:tabs>
                <w:tab w:val="left" w:pos="720"/>
              </w:tabs>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能力</w:t>
            </w:r>
          </w:p>
        </w:tc>
        <w:tc>
          <w:tcPr>
            <w:tcW w:w="1285" w:type="dxa"/>
            <w:vAlign w:val="center"/>
          </w:tcPr>
          <w:p>
            <w:pPr>
              <w:tabs>
                <w:tab w:val="left" w:pos="720"/>
              </w:tabs>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用于施工部位</w:t>
            </w:r>
          </w:p>
        </w:tc>
        <w:tc>
          <w:tcPr>
            <w:tcW w:w="928" w:type="dxa"/>
            <w:vAlign w:val="center"/>
          </w:tcPr>
          <w:p>
            <w:pPr>
              <w:tabs>
                <w:tab w:val="left" w:pos="720"/>
              </w:tabs>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5" w:type="dxa"/>
            <w:vAlign w:val="center"/>
          </w:tcPr>
          <w:p>
            <w:pPr>
              <w:spacing w:line="440" w:lineRule="exact"/>
              <w:jc w:val="center"/>
              <w:rPr>
                <w:rFonts w:hint="eastAsia" w:ascii="宋体" w:hAnsi="宋体" w:eastAsia="宋体" w:cs="宋体"/>
                <w:color w:val="auto"/>
                <w:sz w:val="21"/>
                <w:szCs w:val="21"/>
                <w:highlight w:val="none"/>
              </w:rPr>
            </w:pPr>
          </w:p>
        </w:tc>
        <w:tc>
          <w:tcPr>
            <w:tcW w:w="925" w:type="dxa"/>
            <w:vAlign w:val="center"/>
          </w:tcPr>
          <w:p>
            <w:pPr>
              <w:spacing w:line="440" w:lineRule="exact"/>
              <w:jc w:val="center"/>
              <w:rPr>
                <w:rFonts w:hint="eastAsia" w:ascii="宋体" w:hAnsi="宋体" w:eastAsia="宋体" w:cs="宋体"/>
                <w:color w:val="auto"/>
                <w:sz w:val="21"/>
                <w:szCs w:val="21"/>
                <w:highlight w:val="none"/>
              </w:rPr>
            </w:pPr>
          </w:p>
        </w:tc>
        <w:tc>
          <w:tcPr>
            <w:tcW w:w="926" w:type="dxa"/>
            <w:vAlign w:val="center"/>
          </w:tcPr>
          <w:p>
            <w:pPr>
              <w:spacing w:line="440" w:lineRule="exact"/>
              <w:jc w:val="center"/>
              <w:rPr>
                <w:rFonts w:hint="eastAsia" w:ascii="宋体" w:hAnsi="宋体" w:eastAsia="宋体" w:cs="宋体"/>
                <w:color w:val="auto"/>
                <w:sz w:val="21"/>
                <w:szCs w:val="21"/>
                <w:highlight w:val="none"/>
              </w:rPr>
            </w:pPr>
          </w:p>
        </w:tc>
        <w:tc>
          <w:tcPr>
            <w:tcW w:w="926" w:type="dxa"/>
            <w:vAlign w:val="center"/>
          </w:tcPr>
          <w:p>
            <w:pPr>
              <w:spacing w:line="440" w:lineRule="exact"/>
              <w:jc w:val="center"/>
              <w:rPr>
                <w:rFonts w:hint="eastAsia" w:ascii="宋体" w:hAnsi="宋体" w:eastAsia="宋体" w:cs="宋体"/>
                <w:color w:val="auto"/>
                <w:sz w:val="21"/>
                <w:szCs w:val="21"/>
                <w:highlight w:val="none"/>
              </w:rPr>
            </w:pPr>
          </w:p>
        </w:tc>
        <w:tc>
          <w:tcPr>
            <w:tcW w:w="926" w:type="dxa"/>
            <w:vAlign w:val="center"/>
          </w:tcPr>
          <w:p>
            <w:pPr>
              <w:spacing w:line="440" w:lineRule="exact"/>
              <w:jc w:val="center"/>
              <w:rPr>
                <w:rFonts w:hint="eastAsia" w:ascii="宋体" w:hAnsi="宋体" w:eastAsia="宋体" w:cs="宋体"/>
                <w:color w:val="auto"/>
                <w:sz w:val="21"/>
                <w:szCs w:val="21"/>
                <w:highlight w:val="none"/>
              </w:rPr>
            </w:pPr>
          </w:p>
        </w:tc>
        <w:tc>
          <w:tcPr>
            <w:tcW w:w="928" w:type="dxa"/>
            <w:vAlign w:val="center"/>
          </w:tcPr>
          <w:p>
            <w:pPr>
              <w:spacing w:line="440" w:lineRule="exact"/>
              <w:jc w:val="center"/>
              <w:rPr>
                <w:rFonts w:hint="eastAsia" w:ascii="宋体" w:hAnsi="宋体" w:eastAsia="宋体" w:cs="宋体"/>
                <w:color w:val="auto"/>
                <w:sz w:val="21"/>
                <w:szCs w:val="21"/>
                <w:highlight w:val="none"/>
              </w:rPr>
            </w:pPr>
          </w:p>
        </w:tc>
        <w:tc>
          <w:tcPr>
            <w:tcW w:w="947" w:type="dxa"/>
            <w:vAlign w:val="center"/>
          </w:tcPr>
          <w:p>
            <w:pPr>
              <w:spacing w:line="440" w:lineRule="exact"/>
              <w:jc w:val="center"/>
              <w:rPr>
                <w:rFonts w:hint="eastAsia" w:ascii="宋体" w:hAnsi="宋体" w:eastAsia="宋体" w:cs="宋体"/>
                <w:color w:val="auto"/>
                <w:sz w:val="21"/>
                <w:szCs w:val="21"/>
                <w:highlight w:val="none"/>
              </w:rPr>
            </w:pPr>
          </w:p>
        </w:tc>
        <w:tc>
          <w:tcPr>
            <w:tcW w:w="928" w:type="dxa"/>
            <w:vAlign w:val="center"/>
          </w:tcPr>
          <w:p>
            <w:pPr>
              <w:spacing w:line="440" w:lineRule="exact"/>
              <w:jc w:val="center"/>
              <w:rPr>
                <w:rFonts w:hint="eastAsia" w:ascii="宋体" w:hAnsi="宋体" w:eastAsia="宋体" w:cs="宋体"/>
                <w:color w:val="auto"/>
                <w:sz w:val="21"/>
                <w:szCs w:val="21"/>
                <w:highlight w:val="none"/>
              </w:rPr>
            </w:pPr>
          </w:p>
        </w:tc>
        <w:tc>
          <w:tcPr>
            <w:tcW w:w="1285" w:type="dxa"/>
            <w:vAlign w:val="center"/>
          </w:tcPr>
          <w:p>
            <w:pPr>
              <w:spacing w:line="440" w:lineRule="exact"/>
              <w:jc w:val="center"/>
              <w:rPr>
                <w:rFonts w:hint="eastAsia" w:ascii="宋体" w:hAnsi="宋体" w:eastAsia="宋体" w:cs="宋体"/>
                <w:color w:val="auto"/>
                <w:sz w:val="21"/>
                <w:szCs w:val="21"/>
                <w:highlight w:val="none"/>
              </w:rPr>
            </w:pPr>
          </w:p>
        </w:tc>
        <w:tc>
          <w:tcPr>
            <w:tcW w:w="928" w:type="dxa"/>
            <w:vAlign w:val="center"/>
          </w:tcPr>
          <w:p>
            <w:pPr>
              <w:spacing w:line="44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5" w:type="dxa"/>
            <w:vAlign w:val="center"/>
          </w:tcPr>
          <w:p>
            <w:pPr>
              <w:spacing w:line="440" w:lineRule="exact"/>
              <w:jc w:val="center"/>
              <w:rPr>
                <w:rFonts w:hint="eastAsia" w:ascii="宋体" w:hAnsi="宋体" w:eastAsia="宋体" w:cs="宋体"/>
                <w:color w:val="auto"/>
                <w:sz w:val="21"/>
                <w:szCs w:val="21"/>
                <w:highlight w:val="none"/>
              </w:rPr>
            </w:pPr>
          </w:p>
        </w:tc>
        <w:tc>
          <w:tcPr>
            <w:tcW w:w="925" w:type="dxa"/>
            <w:vAlign w:val="center"/>
          </w:tcPr>
          <w:p>
            <w:pPr>
              <w:spacing w:line="440" w:lineRule="exact"/>
              <w:jc w:val="center"/>
              <w:rPr>
                <w:rFonts w:hint="eastAsia" w:ascii="宋体" w:hAnsi="宋体" w:eastAsia="宋体" w:cs="宋体"/>
                <w:color w:val="auto"/>
                <w:sz w:val="21"/>
                <w:szCs w:val="21"/>
                <w:highlight w:val="none"/>
              </w:rPr>
            </w:pPr>
          </w:p>
        </w:tc>
        <w:tc>
          <w:tcPr>
            <w:tcW w:w="926" w:type="dxa"/>
            <w:vAlign w:val="center"/>
          </w:tcPr>
          <w:p>
            <w:pPr>
              <w:spacing w:line="440" w:lineRule="exact"/>
              <w:jc w:val="center"/>
              <w:rPr>
                <w:rFonts w:hint="eastAsia" w:ascii="宋体" w:hAnsi="宋体" w:eastAsia="宋体" w:cs="宋体"/>
                <w:color w:val="auto"/>
                <w:sz w:val="21"/>
                <w:szCs w:val="21"/>
                <w:highlight w:val="none"/>
              </w:rPr>
            </w:pPr>
          </w:p>
        </w:tc>
        <w:tc>
          <w:tcPr>
            <w:tcW w:w="926" w:type="dxa"/>
            <w:vAlign w:val="center"/>
          </w:tcPr>
          <w:p>
            <w:pPr>
              <w:spacing w:line="440" w:lineRule="exact"/>
              <w:jc w:val="center"/>
              <w:rPr>
                <w:rFonts w:hint="eastAsia" w:ascii="宋体" w:hAnsi="宋体" w:eastAsia="宋体" w:cs="宋体"/>
                <w:color w:val="auto"/>
                <w:sz w:val="21"/>
                <w:szCs w:val="21"/>
                <w:highlight w:val="none"/>
              </w:rPr>
            </w:pPr>
          </w:p>
        </w:tc>
        <w:tc>
          <w:tcPr>
            <w:tcW w:w="926" w:type="dxa"/>
            <w:vAlign w:val="center"/>
          </w:tcPr>
          <w:p>
            <w:pPr>
              <w:spacing w:line="440" w:lineRule="exact"/>
              <w:jc w:val="center"/>
              <w:rPr>
                <w:rFonts w:hint="eastAsia" w:ascii="宋体" w:hAnsi="宋体" w:eastAsia="宋体" w:cs="宋体"/>
                <w:color w:val="auto"/>
                <w:sz w:val="21"/>
                <w:szCs w:val="21"/>
                <w:highlight w:val="none"/>
              </w:rPr>
            </w:pPr>
          </w:p>
        </w:tc>
        <w:tc>
          <w:tcPr>
            <w:tcW w:w="928" w:type="dxa"/>
            <w:vAlign w:val="center"/>
          </w:tcPr>
          <w:p>
            <w:pPr>
              <w:spacing w:line="440" w:lineRule="exact"/>
              <w:jc w:val="center"/>
              <w:rPr>
                <w:rFonts w:hint="eastAsia" w:ascii="宋体" w:hAnsi="宋体" w:eastAsia="宋体" w:cs="宋体"/>
                <w:color w:val="auto"/>
                <w:sz w:val="21"/>
                <w:szCs w:val="21"/>
                <w:highlight w:val="none"/>
              </w:rPr>
            </w:pPr>
          </w:p>
        </w:tc>
        <w:tc>
          <w:tcPr>
            <w:tcW w:w="947" w:type="dxa"/>
            <w:vAlign w:val="center"/>
          </w:tcPr>
          <w:p>
            <w:pPr>
              <w:spacing w:line="440" w:lineRule="exact"/>
              <w:jc w:val="center"/>
              <w:rPr>
                <w:rFonts w:hint="eastAsia" w:ascii="宋体" w:hAnsi="宋体" w:eastAsia="宋体" w:cs="宋体"/>
                <w:color w:val="auto"/>
                <w:sz w:val="21"/>
                <w:szCs w:val="21"/>
                <w:highlight w:val="none"/>
              </w:rPr>
            </w:pPr>
          </w:p>
        </w:tc>
        <w:tc>
          <w:tcPr>
            <w:tcW w:w="928" w:type="dxa"/>
            <w:vAlign w:val="center"/>
          </w:tcPr>
          <w:p>
            <w:pPr>
              <w:spacing w:line="440" w:lineRule="exact"/>
              <w:jc w:val="center"/>
              <w:rPr>
                <w:rFonts w:hint="eastAsia" w:ascii="宋体" w:hAnsi="宋体" w:eastAsia="宋体" w:cs="宋体"/>
                <w:color w:val="auto"/>
                <w:sz w:val="21"/>
                <w:szCs w:val="21"/>
                <w:highlight w:val="none"/>
              </w:rPr>
            </w:pPr>
          </w:p>
        </w:tc>
        <w:tc>
          <w:tcPr>
            <w:tcW w:w="1285" w:type="dxa"/>
            <w:vAlign w:val="center"/>
          </w:tcPr>
          <w:p>
            <w:pPr>
              <w:spacing w:line="440" w:lineRule="exact"/>
              <w:jc w:val="center"/>
              <w:rPr>
                <w:rFonts w:hint="eastAsia" w:ascii="宋体" w:hAnsi="宋体" w:eastAsia="宋体" w:cs="宋体"/>
                <w:color w:val="auto"/>
                <w:sz w:val="21"/>
                <w:szCs w:val="21"/>
                <w:highlight w:val="none"/>
              </w:rPr>
            </w:pPr>
          </w:p>
        </w:tc>
        <w:tc>
          <w:tcPr>
            <w:tcW w:w="928" w:type="dxa"/>
            <w:vAlign w:val="center"/>
          </w:tcPr>
          <w:p>
            <w:pPr>
              <w:spacing w:line="440" w:lineRule="exact"/>
              <w:jc w:val="center"/>
              <w:rPr>
                <w:rFonts w:hint="eastAsia" w:ascii="宋体" w:hAnsi="宋体" w:eastAsia="宋体" w:cs="宋体"/>
                <w:color w:val="auto"/>
                <w:sz w:val="21"/>
                <w:szCs w:val="21"/>
                <w:highlight w:val="none"/>
              </w:rPr>
            </w:pPr>
          </w:p>
        </w:tc>
      </w:tr>
    </w:tbl>
    <w:p>
      <w:pPr>
        <w:tabs>
          <w:tab w:val="left" w:pos="720"/>
        </w:tabs>
        <w:spacing w:line="360" w:lineRule="auto"/>
        <w:rPr>
          <w:rFonts w:hint="eastAsia" w:ascii="宋体" w:hAnsi="宋体" w:eastAsia="宋体" w:cs="宋体"/>
          <w:b/>
          <w:color w:val="auto"/>
          <w:sz w:val="24"/>
          <w:szCs w:val="24"/>
          <w:highlight w:val="none"/>
        </w:rPr>
      </w:pPr>
    </w:p>
    <w:p>
      <w:pPr>
        <w:tabs>
          <w:tab w:val="left" w:pos="720"/>
        </w:tabs>
        <w:spacing w:line="360" w:lineRule="auto"/>
        <w:rPr>
          <w:rFonts w:hint="eastAsia" w:ascii="宋体" w:hAnsi="宋体" w:eastAsia="宋体" w:cs="宋体"/>
          <w:b/>
          <w:color w:val="auto"/>
          <w:sz w:val="24"/>
          <w:szCs w:val="24"/>
          <w:highlight w:val="none"/>
        </w:rPr>
      </w:pPr>
      <w:bookmarkStart w:id="189" w:name="_Toc152042587"/>
      <w:bookmarkStart w:id="190" w:name="_Toc179632818"/>
      <w:bookmarkStart w:id="191" w:name="_Toc15617_WPSOffice_Level2"/>
      <w:bookmarkStart w:id="192" w:name="_Toc152045798"/>
      <w:bookmarkStart w:id="193" w:name="_Toc246392156"/>
      <w:bookmarkStart w:id="194" w:name="_Toc23274_WPSOffice_Level2"/>
      <w:bookmarkStart w:id="195" w:name="_Toc144974866"/>
      <w:bookmarkStart w:id="196" w:name="_Toc1034_WPSOffice_Level2"/>
      <w:r>
        <w:rPr>
          <w:rFonts w:hint="eastAsia" w:ascii="宋体" w:hAnsi="宋体" w:eastAsia="宋体" w:cs="宋体"/>
          <w:b/>
          <w:color w:val="auto"/>
          <w:sz w:val="24"/>
          <w:szCs w:val="24"/>
          <w:highlight w:val="none"/>
        </w:rPr>
        <w:t>附表二：拟配备的试验和检测仪器设备表</w:t>
      </w:r>
      <w:bookmarkEnd w:id="189"/>
      <w:bookmarkEnd w:id="190"/>
      <w:bookmarkEnd w:id="191"/>
      <w:bookmarkEnd w:id="192"/>
      <w:bookmarkEnd w:id="193"/>
      <w:bookmarkEnd w:id="194"/>
      <w:bookmarkEnd w:id="195"/>
      <w:bookmarkEnd w:id="196"/>
    </w:p>
    <w:tbl>
      <w:tblPr>
        <w:tblStyle w:val="19"/>
        <w:tblW w:w="96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1252"/>
        <w:gridCol w:w="1062"/>
        <w:gridCol w:w="1144"/>
        <w:gridCol w:w="1045"/>
        <w:gridCol w:w="1039"/>
        <w:gridCol w:w="1221"/>
        <w:gridCol w:w="1223"/>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906" w:type="dxa"/>
            <w:vAlign w:val="center"/>
          </w:tcPr>
          <w:p>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252" w:type="dxa"/>
            <w:vAlign w:val="center"/>
          </w:tcPr>
          <w:p>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1062" w:type="dxa"/>
            <w:vAlign w:val="center"/>
          </w:tcPr>
          <w:p>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型号</w:t>
            </w:r>
          </w:p>
          <w:p>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w:t>
            </w:r>
          </w:p>
        </w:tc>
        <w:tc>
          <w:tcPr>
            <w:tcW w:w="1144" w:type="dxa"/>
            <w:vAlign w:val="center"/>
          </w:tcPr>
          <w:p>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1045" w:type="dxa"/>
            <w:vAlign w:val="center"/>
          </w:tcPr>
          <w:p>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国别</w:t>
            </w:r>
          </w:p>
          <w:p>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产地</w:t>
            </w:r>
          </w:p>
        </w:tc>
        <w:tc>
          <w:tcPr>
            <w:tcW w:w="1039" w:type="dxa"/>
            <w:vAlign w:val="center"/>
          </w:tcPr>
          <w:p>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制造</w:t>
            </w:r>
          </w:p>
          <w:p>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年份</w:t>
            </w:r>
          </w:p>
        </w:tc>
        <w:tc>
          <w:tcPr>
            <w:tcW w:w="1221" w:type="dxa"/>
            <w:vAlign w:val="center"/>
          </w:tcPr>
          <w:p>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已使用</w:t>
            </w:r>
          </w:p>
          <w:p>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台时数</w:t>
            </w:r>
          </w:p>
        </w:tc>
        <w:tc>
          <w:tcPr>
            <w:tcW w:w="1223" w:type="dxa"/>
            <w:vAlign w:val="center"/>
          </w:tcPr>
          <w:p>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用途</w:t>
            </w:r>
          </w:p>
        </w:tc>
        <w:tc>
          <w:tcPr>
            <w:tcW w:w="784" w:type="dxa"/>
            <w:vAlign w:val="center"/>
          </w:tcPr>
          <w:p>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906" w:type="dxa"/>
            <w:vAlign w:val="center"/>
          </w:tcPr>
          <w:p>
            <w:pPr>
              <w:spacing w:line="240" w:lineRule="atLeast"/>
              <w:jc w:val="center"/>
              <w:rPr>
                <w:rFonts w:hint="eastAsia" w:ascii="宋体" w:hAnsi="宋体" w:eastAsia="宋体" w:cs="宋体"/>
                <w:color w:val="auto"/>
                <w:sz w:val="21"/>
                <w:szCs w:val="21"/>
                <w:highlight w:val="none"/>
              </w:rPr>
            </w:pPr>
          </w:p>
        </w:tc>
        <w:tc>
          <w:tcPr>
            <w:tcW w:w="1252" w:type="dxa"/>
            <w:vAlign w:val="center"/>
          </w:tcPr>
          <w:p>
            <w:pPr>
              <w:spacing w:line="240" w:lineRule="atLeast"/>
              <w:jc w:val="center"/>
              <w:rPr>
                <w:rFonts w:hint="eastAsia" w:ascii="宋体" w:hAnsi="宋体" w:eastAsia="宋体" w:cs="宋体"/>
                <w:color w:val="auto"/>
                <w:sz w:val="21"/>
                <w:szCs w:val="21"/>
                <w:highlight w:val="none"/>
              </w:rPr>
            </w:pPr>
          </w:p>
        </w:tc>
        <w:tc>
          <w:tcPr>
            <w:tcW w:w="1062" w:type="dxa"/>
            <w:vAlign w:val="center"/>
          </w:tcPr>
          <w:p>
            <w:pPr>
              <w:spacing w:line="240" w:lineRule="atLeast"/>
              <w:jc w:val="center"/>
              <w:rPr>
                <w:rFonts w:hint="eastAsia" w:ascii="宋体" w:hAnsi="宋体" w:eastAsia="宋体" w:cs="宋体"/>
                <w:color w:val="auto"/>
                <w:sz w:val="21"/>
                <w:szCs w:val="21"/>
                <w:highlight w:val="none"/>
              </w:rPr>
            </w:pPr>
          </w:p>
        </w:tc>
        <w:tc>
          <w:tcPr>
            <w:tcW w:w="1144" w:type="dxa"/>
            <w:vAlign w:val="center"/>
          </w:tcPr>
          <w:p>
            <w:pPr>
              <w:spacing w:line="240" w:lineRule="atLeast"/>
              <w:jc w:val="center"/>
              <w:rPr>
                <w:rFonts w:hint="eastAsia" w:ascii="宋体" w:hAnsi="宋体" w:eastAsia="宋体" w:cs="宋体"/>
                <w:color w:val="auto"/>
                <w:sz w:val="21"/>
                <w:szCs w:val="21"/>
                <w:highlight w:val="none"/>
              </w:rPr>
            </w:pPr>
          </w:p>
        </w:tc>
        <w:tc>
          <w:tcPr>
            <w:tcW w:w="1045" w:type="dxa"/>
            <w:vAlign w:val="center"/>
          </w:tcPr>
          <w:p>
            <w:pPr>
              <w:spacing w:line="240" w:lineRule="atLeast"/>
              <w:jc w:val="center"/>
              <w:rPr>
                <w:rFonts w:hint="eastAsia" w:ascii="宋体" w:hAnsi="宋体" w:eastAsia="宋体" w:cs="宋体"/>
                <w:color w:val="auto"/>
                <w:sz w:val="21"/>
                <w:szCs w:val="21"/>
                <w:highlight w:val="none"/>
              </w:rPr>
            </w:pPr>
          </w:p>
        </w:tc>
        <w:tc>
          <w:tcPr>
            <w:tcW w:w="1039" w:type="dxa"/>
            <w:vAlign w:val="center"/>
          </w:tcPr>
          <w:p>
            <w:pPr>
              <w:spacing w:line="240" w:lineRule="atLeast"/>
              <w:jc w:val="center"/>
              <w:rPr>
                <w:rFonts w:hint="eastAsia" w:ascii="宋体" w:hAnsi="宋体" w:eastAsia="宋体" w:cs="宋体"/>
                <w:color w:val="auto"/>
                <w:sz w:val="21"/>
                <w:szCs w:val="21"/>
                <w:highlight w:val="none"/>
              </w:rPr>
            </w:pPr>
          </w:p>
        </w:tc>
        <w:tc>
          <w:tcPr>
            <w:tcW w:w="1221" w:type="dxa"/>
            <w:vAlign w:val="center"/>
          </w:tcPr>
          <w:p>
            <w:pPr>
              <w:spacing w:line="240" w:lineRule="atLeast"/>
              <w:jc w:val="center"/>
              <w:rPr>
                <w:rFonts w:hint="eastAsia" w:ascii="宋体" w:hAnsi="宋体" w:eastAsia="宋体" w:cs="宋体"/>
                <w:color w:val="auto"/>
                <w:sz w:val="21"/>
                <w:szCs w:val="21"/>
                <w:highlight w:val="none"/>
              </w:rPr>
            </w:pPr>
          </w:p>
        </w:tc>
        <w:tc>
          <w:tcPr>
            <w:tcW w:w="1223" w:type="dxa"/>
            <w:vAlign w:val="center"/>
          </w:tcPr>
          <w:p>
            <w:pPr>
              <w:spacing w:line="240" w:lineRule="atLeast"/>
              <w:jc w:val="center"/>
              <w:rPr>
                <w:rFonts w:hint="eastAsia" w:ascii="宋体" w:hAnsi="宋体" w:eastAsia="宋体" w:cs="宋体"/>
                <w:color w:val="auto"/>
                <w:sz w:val="21"/>
                <w:szCs w:val="21"/>
                <w:highlight w:val="none"/>
              </w:rPr>
            </w:pPr>
          </w:p>
        </w:tc>
        <w:tc>
          <w:tcPr>
            <w:tcW w:w="784" w:type="dxa"/>
            <w:vAlign w:val="center"/>
          </w:tcPr>
          <w:p>
            <w:pPr>
              <w:spacing w:line="240" w:lineRule="atLeas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906" w:type="dxa"/>
            <w:vAlign w:val="center"/>
          </w:tcPr>
          <w:p>
            <w:pPr>
              <w:spacing w:line="240" w:lineRule="atLeast"/>
              <w:jc w:val="center"/>
              <w:rPr>
                <w:rFonts w:hint="eastAsia" w:ascii="宋体" w:hAnsi="宋体" w:eastAsia="宋体" w:cs="宋体"/>
                <w:color w:val="auto"/>
                <w:sz w:val="21"/>
                <w:szCs w:val="21"/>
                <w:highlight w:val="none"/>
              </w:rPr>
            </w:pPr>
          </w:p>
        </w:tc>
        <w:tc>
          <w:tcPr>
            <w:tcW w:w="1252" w:type="dxa"/>
            <w:vAlign w:val="center"/>
          </w:tcPr>
          <w:p>
            <w:pPr>
              <w:spacing w:line="240" w:lineRule="atLeast"/>
              <w:jc w:val="center"/>
              <w:rPr>
                <w:rFonts w:hint="eastAsia" w:ascii="宋体" w:hAnsi="宋体" w:eastAsia="宋体" w:cs="宋体"/>
                <w:color w:val="auto"/>
                <w:sz w:val="21"/>
                <w:szCs w:val="21"/>
                <w:highlight w:val="none"/>
              </w:rPr>
            </w:pPr>
          </w:p>
        </w:tc>
        <w:tc>
          <w:tcPr>
            <w:tcW w:w="1062" w:type="dxa"/>
            <w:vAlign w:val="center"/>
          </w:tcPr>
          <w:p>
            <w:pPr>
              <w:spacing w:line="240" w:lineRule="atLeast"/>
              <w:jc w:val="center"/>
              <w:rPr>
                <w:rFonts w:hint="eastAsia" w:ascii="宋体" w:hAnsi="宋体" w:eastAsia="宋体" w:cs="宋体"/>
                <w:color w:val="auto"/>
                <w:sz w:val="21"/>
                <w:szCs w:val="21"/>
                <w:highlight w:val="none"/>
              </w:rPr>
            </w:pPr>
          </w:p>
        </w:tc>
        <w:tc>
          <w:tcPr>
            <w:tcW w:w="1144" w:type="dxa"/>
            <w:vAlign w:val="center"/>
          </w:tcPr>
          <w:p>
            <w:pPr>
              <w:spacing w:line="240" w:lineRule="atLeast"/>
              <w:jc w:val="center"/>
              <w:rPr>
                <w:rFonts w:hint="eastAsia" w:ascii="宋体" w:hAnsi="宋体" w:eastAsia="宋体" w:cs="宋体"/>
                <w:color w:val="auto"/>
                <w:sz w:val="21"/>
                <w:szCs w:val="21"/>
                <w:highlight w:val="none"/>
              </w:rPr>
            </w:pPr>
          </w:p>
        </w:tc>
        <w:tc>
          <w:tcPr>
            <w:tcW w:w="1045" w:type="dxa"/>
            <w:vAlign w:val="center"/>
          </w:tcPr>
          <w:p>
            <w:pPr>
              <w:spacing w:line="240" w:lineRule="atLeast"/>
              <w:jc w:val="center"/>
              <w:rPr>
                <w:rFonts w:hint="eastAsia" w:ascii="宋体" w:hAnsi="宋体" w:eastAsia="宋体" w:cs="宋体"/>
                <w:color w:val="auto"/>
                <w:sz w:val="21"/>
                <w:szCs w:val="21"/>
                <w:highlight w:val="none"/>
              </w:rPr>
            </w:pPr>
          </w:p>
        </w:tc>
        <w:tc>
          <w:tcPr>
            <w:tcW w:w="1039" w:type="dxa"/>
            <w:vAlign w:val="center"/>
          </w:tcPr>
          <w:p>
            <w:pPr>
              <w:spacing w:line="240" w:lineRule="atLeast"/>
              <w:jc w:val="center"/>
              <w:rPr>
                <w:rFonts w:hint="eastAsia" w:ascii="宋体" w:hAnsi="宋体" w:eastAsia="宋体" w:cs="宋体"/>
                <w:color w:val="auto"/>
                <w:sz w:val="21"/>
                <w:szCs w:val="21"/>
                <w:highlight w:val="none"/>
              </w:rPr>
            </w:pPr>
          </w:p>
        </w:tc>
        <w:tc>
          <w:tcPr>
            <w:tcW w:w="1221" w:type="dxa"/>
            <w:vAlign w:val="center"/>
          </w:tcPr>
          <w:p>
            <w:pPr>
              <w:spacing w:line="240" w:lineRule="atLeast"/>
              <w:jc w:val="center"/>
              <w:rPr>
                <w:rFonts w:hint="eastAsia" w:ascii="宋体" w:hAnsi="宋体" w:eastAsia="宋体" w:cs="宋体"/>
                <w:color w:val="auto"/>
                <w:sz w:val="21"/>
                <w:szCs w:val="21"/>
                <w:highlight w:val="none"/>
              </w:rPr>
            </w:pPr>
          </w:p>
        </w:tc>
        <w:tc>
          <w:tcPr>
            <w:tcW w:w="1223" w:type="dxa"/>
            <w:vAlign w:val="center"/>
          </w:tcPr>
          <w:p>
            <w:pPr>
              <w:spacing w:line="240" w:lineRule="atLeast"/>
              <w:jc w:val="center"/>
              <w:rPr>
                <w:rFonts w:hint="eastAsia" w:ascii="宋体" w:hAnsi="宋体" w:eastAsia="宋体" w:cs="宋体"/>
                <w:color w:val="auto"/>
                <w:sz w:val="21"/>
                <w:szCs w:val="21"/>
                <w:highlight w:val="none"/>
              </w:rPr>
            </w:pPr>
          </w:p>
        </w:tc>
        <w:tc>
          <w:tcPr>
            <w:tcW w:w="784" w:type="dxa"/>
            <w:vAlign w:val="center"/>
          </w:tcPr>
          <w:p>
            <w:pPr>
              <w:spacing w:line="240" w:lineRule="atLeas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906" w:type="dxa"/>
          </w:tcPr>
          <w:p>
            <w:pPr>
              <w:spacing w:line="240" w:lineRule="atLeast"/>
              <w:jc w:val="center"/>
              <w:rPr>
                <w:rFonts w:hint="eastAsia" w:ascii="宋体" w:hAnsi="宋体" w:eastAsia="宋体" w:cs="宋体"/>
                <w:color w:val="auto"/>
                <w:sz w:val="21"/>
                <w:szCs w:val="21"/>
                <w:highlight w:val="none"/>
              </w:rPr>
            </w:pPr>
          </w:p>
        </w:tc>
        <w:tc>
          <w:tcPr>
            <w:tcW w:w="1252" w:type="dxa"/>
          </w:tcPr>
          <w:p>
            <w:pPr>
              <w:spacing w:line="240" w:lineRule="atLeast"/>
              <w:jc w:val="center"/>
              <w:rPr>
                <w:rFonts w:hint="eastAsia" w:ascii="宋体" w:hAnsi="宋体" w:eastAsia="宋体" w:cs="宋体"/>
                <w:color w:val="auto"/>
                <w:sz w:val="21"/>
                <w:szCs w:val="21"/>
                <w:highlight w:val="none"/>
              </w:rPr>
            </w:pPr>
          </w:p>
        </w:tc>
        <w:tc>
          <w:tcPr>
            <w:tcW w:w="1062" w:type="dxa"/>
          </w:tcPr>
          <w:p>
            <w:pPr>
              <w:spacing w:line="240" w:lineRule="atLeast"/>
              <w:jc w:val="center"/>
              <w:rPr>
                <w:rFonts w:hint="eastAsia" w:ascii="宋体" w:hAnsi="宋体" w:eastAsia="宋体" w:cs="宋体"/>
                <w:color w:val="auto"/>
                <w:sz w:val="21"/>
                <w:szCs w:val="21"/>
                <w:highlight w:val="none"/>
              </w:rPr>
            </w:pPr>
          </w:p>
        </w:tc>
        <w:tc>
          <w:tcPr>
            <w:tcW w:w="1144" w:type="dxa"/>
          </w:tcPr>
          <w:p>
            <w:pPr>
              <w:spacing w:line="240" w:lineRule="atLeast"/>
              <w:jc w:val="center"/>
              <w:rPr>
                <w:rFonts w:hint="eastAsia" w:ascii="宋体" w:hAnsi="宋体" w:eastAsia="宋体" w:cs="宋体"/>
                <w:color w:val="auto"/>
                <w:sz w:val="21"/>
                <w:szCs w:val="21"/>
                <w:highlight w:val="none"/>
              </w:rPr>
            </w:pPr>
          </w:p>
        </w:tc>
        <w:tc>
          <w:tcPr>
            <w:tcW w:w="1045" w:type="dxa"/>
          </w:tcPr>
          <w:p>
            <w:pPr>
              <w:spacing w:line="240" w:lineRule="atLeast"/>
              <w:jc w:val="center"/>
              <w:rPr>
                <w:rFonts w:hint="eastAsia" w:ascii="宋体" w:hAnsi="宋体" w:eastAsia="宋体" w:cs="宋体"/>
                <w:color w:val="auto"/>
                <w:sz w:val="21"/>
                <w:szCs w:val="21"/>
                <w:highlight w:val="none"/>
              </w:rPr>
            </w:pPr>
          </w:p>
        </w:tc>
        <w:tc>
          <w:tcPr>
            <w:tcW w:w="1039" w:type="dxa"/>
          </w:tcPr>
          <w:p>
            <w:pPr>
              <w:spacing w:line="240" w:lineRule="atLeast"/>
              <w:jc w:val="center"/>
              <w:rPr>
                <w:rFonts w:hint="eastAsia" w:ascii="宋体" w:hAnsi="宋体" w:eastAsia="宋体" w:cs="宋体"/>
                <w:color w:val="auto"/>
                <w:sz w:val="21"/>
                <w:szCs w:val="21"/>
                <w:highlight w:val="none"/>
              </w:rPr>
            </w:pPr>
          </w:p>
        </w:tc>
        <w:tc>
          <w:tcPr>
            <w:tcW w:w="1221" w:type="dxa"/>
          </w:tcPr>
          <w:p>
            <w:pPr>
              <w:spacing w:line="240" w:lineRule="atLeast"/>
              <w:jc w:val="center"/>
              <w:rPr>
                <w:rFonts w:hint="eastAsia" w:ascii="宋体" w:hAnsi="宋体" w:eastAsia="宋体" w:cs="宋体"/>
                <w:color w:val="auto"/>
                <w:sz w:val="21"/>
                <w:szCs w:val="21"/>
                <w:highlight w:val="none"/>
              </w:rPr>
            </w:pPr>
          </w:p>
        </w:tc>
        <w:tc>
          <w:tcPr>
            <w:tcW w:w="1223" w:type="dxa"/>
          </w:tcPr>
          <w:p>
            <w:pPr>
              <w:spacing w:line="240" w:lineRule="atLeast"/>
              <w:jc w:val="center"/>
              <w:rPr>
                <w:rFonts w:hint="eastAsia" w:ascii="宋体" w:hAnsi="宋体" w:eastAsia="宋体" w:cs="宋体"/>
                <w:color w:val="auto"/>
                <w:sz w:val="21"/>
                <w:szCs w:val="21"/>
                <w:highlight w:val="none"/>
              </w:rPr>
            </w:pPr>
          </w:p>
        </w:tc>
        <w:tc>
          <w:tcPr>
            <w:tcW w:w="784" w:type="dxa"/>
          </w:tcPr>
          <w:p>
            <w:pPr>
              <w:spacing w:line="240" w:lineRule="atLeas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906" w:type="dxa"/>
          </w:tcPr>
          <w:p>
            <w:pPr>
              <w:spacing w:line="240" w:lineRule="atLeast"/>
              <w:jc w:val="center"/>
              <w:rPr>
                <w:rFonts w:hint="eastAsia" w:ascii="宋体" w:hAnsi="宋体" w:eastAsia="宋体" w:cs="宋体"/>
                <w:color w:val="auto"/>
                <w:sz w:val="21"/>
                <w:szCs w:val="21"/>
                <w:highlight w:val="none"/>
              </w:rPr>
            </w:pPr>
          </w:p>
        </w:tc>
        <w:tc>
          <w:tcPr>
            <w:tcW w:w="1252" w:type="dxa"/>
          </w:tcPr>
          <w:p>
            <w:pPr>
              <w:spacing w:line="240" w:lineRule="atLeast"/>
              <w:jc w:val="center"/>
              <w:rPr>
                <w:rFonts w:hint="eastAsia" w:ascii="宋体" w:hAnsi="宋体" w:eastAsia="宋体" w:cs="宋体"/>
                <w:color w:val="auto"/>
                <w:sz w:val="21"/>
                <w:szCs w:val="21"/>
                <w:highlight w:val="none"/>
              </w:rPr>
            </w:pPr>
          </w:p>
        </w:tc>
        <w:tc>
          <w:tcPr>
            <w:tcW w:w="1062" w:type="dxa"/>
          </w:tcPr>
          <w:p>
            <w:pPr>
              <w:spacing w:line="240" w:lineRule="atLeast"/>
              <w:jc w:val="center"/>
              <w:rPr>
                <w:rFonts w:hint="eastAsia" w:ascii="宋体" w:hAnsi="宋体" w:eastAsia="宋体" w:cs="宋体"/>
                <w:color w:val="auto"/>
                <w:sz w:val="21"/>
                <w:szCs w:val="21"/>
                <w:highlight w:val="none"/>
              </w:rPr>
            </w:pPr>
          </w:p>
        </w:tc>
        <w:tc>
          <w:tcPr>
            <w:tcW w:w="1144" w:type="dxa"/>
          </w:tcPr>
          <w:p>
            <w:pPr>
              <w:spacing w:line="240" w:lineRule="atLeast"/>
              <w:jc w:val="center"/>
              <w:rPr>
                <w:rFonts w:hint="eastAsia" w:ascii="宋体" w:hAnsi="宋体" w:eastAsia="宋体" w:cs="宋体"/>
                <w:color w:val="auto"/>
                <w:sz w:val="21"/>
                <w:szCs w:val="21"/>
                <w:highlight w:val="none"/>
              </w:rPr>
            </w:pPr>
          </w:p>
        </w:tc>
        <w:tc>
          <w:tcPr>
            <w:tcW w:w="1045" w:type="dxa"/>
          </w:tcPr>
          <w:p>
            <w:pPr>
              <w:spacing w:line="240" w:lineRule="atLeast"/>
              <w:jc w:val="center"/>
              <w:rPr>
                <w:rFonts w:hint="eastAsia" w:ascii="宋体" w:hAnsi="宋体" w:eastAsia="宋体" w:cs="宋体"/>
                <w:color w:val="auto"/>
                <w:sz w:val="21"/>
                <w:szCs w:val="21"/>
                <w:highlight w:val="none"/>
              </w:rPr>
            </w:pPr>
          </w:p>
        </w:tc>
        <w:tc>
          <w:tcPr>
            <w:tcW w:w="1039" w:type="dxa"/>
          </w:tcPr>
          <w:p>
            <w:pPr>
              <w:spacing w:line="240" w:lineRule="atLeast"/>
              <w:jc w:val="center"/>
              <w:rPr>
                <w:rFonts w:hint="eastAsia" w:ascii="宋体" w:hAnsi="宋体" w:eastAsia="宋体" w:cs="宋体"/>
                <w:color w:val="auto"/>
                <w:sz w:val="21"/>
                <w:szCs w:val="21"/>
                <w:highlight w:val="none"/>
              </w:rPr>
            </w:pPr>
          </w:p>
        </w:tc>
        <w:tc>
          <w:tcPr>
            <w:tcW w:w="1221" w:type="dxa"/>
          </w:tcPr>
          <w:p>
            <w:pPr>
              <w:spacing w:line="240" w:lineRule="atLeast"/>
              <w:jc w:val="center"/>
              <w:rPr>
                <w:rFonts w:hint="eastAsia" w:ascii="宋体" w:hAnsi="宋体" w:eastAsia="宋体" w:cs="宋体"/>
                <w:color w:val="auto"/>
                <w:sz w:val="21"/>
                <w:szCs w:val="21"/>
                <w:highlight w:val="none"/>
              </w:rPr>
            </w:pPr>
          </w:p>
        </w:tc>
        <w:tc>
          <w:tcPr>
            <w:tcW w:w="1223" w:type="dxa"/>
          </w:tcPr>
          <w:p>
            <w:pPr>
              <w:spacing w:line="240" w:lineRule="atLeast"/>
              <w:jc w:val="center"/>
              <w:rPr>
                <w:rFonts w:hint="eastAsia" w:ascii="宋体" w:hAnsi="宋体" w:eastAsia="宋体" w:cs="宋体"/>
                <w:color w:val="auto"/>
                <w:sz w:val="21"/>
                <w:szCs w:val="21"/>
                <w:highlight w:val="none"/>
              </w:rPr>
            </w:pPr>
          </w:p>
        </w:tc>
        <w:tc>
          <w:tcPr>
            <w:tcW w:w="784" w:type="dxa"/>
          </w:tcPr>
          <w:p>
            <w:pPr>
              <w:spacing w:line="240" w:lineRule="atLeast"/>
              <w:jc w:val="center"/>
              <w:rPr>
                <w:rFonts w:hint="eastAsia" w:ascii="宋体" w:hAnsi="宋体" w:eastAsia="宋体" w:cs="宋体"/>
                <w:color w:val="auto"/>
                <w:sz w:val="21"/>
                <w:szCs w:val="21"/>
                <w:highlight w:val="none"/>
              </w:rPr>
            </w:pPr>
          </w:p>
        </w:tc>
      </w:tr>
    </w:tbl>
    <w:p>
      <w:pPr>
        <w:spacing w:line="440" w:lineRule="exact"/>
        <w:rPr>
          <w:rFonts w:hint="eastAsia" w:ascii="宋体" w:hAnsi="宋体" w:eastAsia="宋体" w:cs="宋体"/>
          <w:color w:val="auto"/>
          <w:sz w:val="20"/>
          <w:highlight w:val="none"/>
        </w:rPr>
      </w:pPr>
    </w:p>
    <w:p>
      <w:pPr>
        <w:tabs>
          <w:tab w:val="left" w:pos="720"/>
        </w:tabs>
        <w:spacing w:line="360" w:lineRule="auto"/>
        <w:rPr>
          <w:rFonts w:hint="eastAsia" w:ascii="宋体" w:hAnsi="宋体" w:eastAsia="宋体" w:cs="宋体"/>
          <w:b/>
          <w:color w:val="auto"/>
          <w:sz w:val="24"/>
          <w:szCs w:val="24"/>
          <w:highlight w:val="none"/>
        </w:rPr>
      </w:pPr>
      <w:bookmarkStart w:id="197" w:name="_Toc13628_WPSOffice_Level2"/>
      <w:bookmarkStart w:id="198" w:name="_Toc23409_WPSOffice_Level2"/>
      <w:bookmarkStart w:id="199" w:name="_Toc26491_WPSOffice_Level2"/>
      <w:r>
        <w:rPr>
          <w:rFonts w:hint="eastAsia" w:ascii="宋体" w:hAnsi="宋体" w:eastAsia="宋体" w:cs="宋体"/>
          <w:b/>
          <w:color w:val="auto"/>
          <w:sz w:val="24"/>
          <w:szCs w:val="24"/>
          <w:highlight w:val="none"/>
        </w:rPr>
        <w:t>附表三、项目管理班子配备情况表</w:t>
      </w:r>
      <w:bookmarkEnd w:id="197"/>
      <w:bookmarkEnd w:id="198"/>
      <w:bookmarkEnd w:id="199"/>
    </w:p>
    <w:tbl>
      <w:tblPr>
        <w:tblStyle w:val="19"/>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720"/>
        <w:gridCol w:w="720"/>
        <w:gridCol w:w="888"/>
        <w:gridCol w:w="888"/>
        <w:gridCol w:w="888"/>
        <w:gridCol w:w="888"/>
        <w:gridCol w:w="1488"/>
        <w:gridCol w:w="889"/>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8" w:type="dxa"/>
            <w:vMerge w:val="restart"/>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p>
        </w:tc>
        <w:tc>
          <w:tcPr>
            <w:tcW w:w="720" w:type="dxa"/>
            <w:vMerge w:val="restart"/>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720" w:type="dxa"/>
            <w:vMerge w:val="restart"/>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职称</w:t>
            </w:r>
          </w:p>
        </w:tc>
        <w:tc>
          <w:tcPr>
            <w:tcW w:w="5040" w:type="dxa"/>
            <w:gridSpan w:val="5"/>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上岗资格证明</w:t>
            </w:r>
          </w:p>
        </w:tc>
        <w:tc>
          <w:tcPr>
            <w:tcW w:w="2052" w:type="dxa"/>
            <w:gridSpan w:val="2"/>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已承担在建工程情况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8" w:type="dxa"/>
            <w:vMerge w:val="continue"/>
          </w:tcPr>
          <w:p>
            <w:pPr>
              <w:spacing w:line="360" w:lineRule="auto"/>
              <w:rPr>
                <w:rFonts w:hint="eastAsia" w:ascii="宋体" w:hAnsi="宋体" w:eastAsia="宋体" w:cs="宋体"/>
                <w:color w:val="auto"/>
                <w:sz w:val="21"/>
                <w:szCs w:val="21"/>
                <w:highlight w:val="none"/>
              </w:rPr>
            </w:pPr>
          </w:p>
        </w:tc>
        <w:tc>
          <w:tcPr>
            <w:tcW w:w="720" w:type="dxa"/>
            <w:vMerge w:val="continue"/>
          </w:tcPr>
          <w:p>
            <w:pPr>
              <w:spacing w:line="360" w:lineRule="auto"/>
              <w:rPr>
                <w:rFonts w:hint="eastAsia" w:ascii="宋体" w:hAnsi="宋体" w:eastAsia="宋体" w:cs="宋体"/>
                <w:color w:val="auto"/>
                <w:sz w:val="21"/>
                <w:szCs w:val="21"/>
                <w:highlight w:val="none"/>
              </w:rPr>
            </w:pPr>
          </w:p>
        </w:tc>
        <w:tc>
          <w:tcPr>
            <w:tcW w:w="720" w:type="dxa"/>
            <w:vMerge w:val="continue"/>
          </w:tcPr>
          <w:p>
            <w:pPr>
              <w:spacing w:line="360" w:lineRule="auto"/>
              <w:rPr>
                <w:rFonts w:hint="eastAsia" w:ascii="宋体" w:hAnsi="宋体" w:eastAsia="宋体" w:cs="宋体"/>
                <w:color w:val="auto"/>
                <w:sz w:val="21"/>
                <w:szCs w:val="21"/>
                <w:highlight w:val="none"/>
              </w:rPr>
            </w:pPr>
          </w:p>
        </w:tc>
        <w:tc>
          <w:tcPr>
            <w:tcW w:w="888"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证书</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p>
        </w:tc>
        <w:tc>
          <w:tcPr>
            <w:tcW w:w="888"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级别</w:t>
            </w:r>
          </w:p>
        </w:tc>
        <w:tc>
          <w:tcPr>
            <w:tcW w:w="888"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证号</w:t>
            </w:r>
          </w:p>
        </w:tc>
        <w:tc>
          <w:tcPr>
            <w:tcW w:w="888"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专业</w:t>
            </w:r>
          </w:p>
        </w:tc>
        <w:tc>
          <w:tcPr>
            <w:tcW w:w="1488"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原服务单位</w:t>
            </w:r>
          </w:p>
        </w:tc>
        <w:tc>
          <w:tcPr>
            <w:tcW w:w="889"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项目数</w:t>
            </w:r>
          </w:p>
        </w:tc>
        <w:tc>
          <w:tcPr>
            <w:tcW w:w="1163"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trPr>
        <w:tc>
          <w:tcPr>
            <w:tcW w:w="648" w:type="dxa"/>
          </w:tcPr>
          <w:p>
            <w:pPr>
              <w:spacing w:line="360" w:lineRule="auto"/>
              <w:rPr>
                <w:rFonts w:hint="eastAsia" w:ascii="宋体" w:hAnsi="宋体" w:eastAsia="宋体" w:cs="宋体"/>
                <w:color w:val="auto"/>
                <w:sz w:val="21"/>
                <w:szCs w:val="21"/>
                <w:highlight w:val="none"/>
              </w:rPr>
            </w:pPr>
          </w:p>
        </w:tc>
        <w:tc>
          <w:tcPr>
            <w:tcW w:w="720" w:type="dxa"/>
          </w:tcPr>
          <w:p>
            <w:pPr>
              <w:spacing w:line="360" w:lineRule="auto"/>
              <w:rPr>
                <w:rFonts w:hint="eastAsia" w:ascii="宋体" w:hAnsi="宋体" w:eastAsia="宋体" w:cs="宋体"/>
                <w:color w:val="auto"/>
                <w:sz w:val="21"/>
                <w:szCs w:val="21"/>
                <w:highlight w:val="none"/>
              </w:rPr>
            </w:pPr>
          </w:p>
        </w:tc>
        <w:tc>
          <w:tcPr>
            <w:tcW w:w="720" w:type="dxa"/>
          </w:tcPr>
          <w:p>
            <w:pPr>
              <w:spacing w:line="360" w:lineRule="auto"/>
              <w:rPr>
                <w:rFonts w:hint="eastAsia" w:ascii="宋体" w:hAnsi="宋体" w:eastAsia="宋体" w:cs="宋体"/>
                <w:color w:val="auto"/>
                <w:sz w:val="21"/>
                <w:szCs w:val="21"/>
                <w:highlight w:val="none"/>
              </w:rPr>
            </w:pPr>
          </w:p>
        </w:tc>
        <w:tc>
          <w:tcPr>
            <w:tcW w:w="888" w:type="dxa"/>
          </w:tcPr>
          <w:p>
            <w:pPr>
              <w:spacing w:line="360" w:lineRule="auto"/>
              <w:rPr>
                <w:rFonts w:hint="eastAsia" w:ascii="宋体" w:hAnsi="宋体" w:eastAsia="宋体" w:cs="宋体"/>
                <w:color w:val="auto"/>
                <w:sz w:val="21"/>
                <w:szCs w:val="21"/>
                <w:highlight w:val="none"/>
              </w:rPr>
            </w:pPr>
          </w:p>
        </w:tc>
        <w:tc>
          <w:tcPr>
            <w:tcW w:w="888" w:type="dxa"/>
          </w:tcPr>
          <w:p>
            <w:pPr>
              <w:spacing w:line="360" w:lineRule="auto"/>
              <w:rPr>
                <w:rFonts w:hint="eastAsia" w:ascii="宋体" w:hAnsi="宋体" w:eastAsia="宋体" w:cs="宋体"/>
                <w:color w:val="auto"/>
                <w:sz w:val="21"/>
                <w:szCs w:val="21"/>
                <w:highlight w:val="none"/>
              </w:rPr>
            </w:pPr>
          </w:p>
        </w:tc>
        <w:tc>
          <w:tcPr>
            <w:tcW w:w="888" w:type="dxa"/>
          </w:tcPr>
          <w:p>
            <w:pPr>
              <w:spacing w:line="360" w:lineRule="auto"/>
              <w:rPr>
                <w:rFonts w:hint="eastAsia" w:ascii="宋体" w:hAnsi="宋体" w:eastAsia="宋体" w:cs="宋体"/>
                <w:color w:val="auto"/>
                <w:sz w:val="21"/>
                <w:szCs w:val="21"/>
                <w:highlight w:val="none"/>
              </w:rPr>
            </w:pPr>
          </w:p>
        </w:tc>
        <w:tc>
          <w:tcPr>
            <w:tcW w:w="888" w:type="dxa"/>
          </w:tcPr>
          <w:p>
            <w:pPr>
              <w:spacing w:line="360" w:lineRule="auto"/>
              <w:rPr>
                <w:rFonts w:hint="eastAsia" w:ascii="宋体" w:hAnsi="宋体" w:eastAsia="宋体" w:cs="宋体"/>
                <w:color w:val="auto"/>
                <w:sz w:val="21"/>
                <w:szCs w:val="21"/>
                <w:highlight w:val="none"/>
              </w:rPr>
            </w:pPr>
          </w:p>
        </w:tc>
        <w:tc>
          <w:tcPr>
            <w:tcW w:w="1488" w:type="dxa"/>
          </w:tcPr>
          <w:p>
            <w:pPr>
              <w:spacing w:line="360" w:lineRule="auto"/>
              <w:rPr>
                <w:rFonts w:hint="eastAsia" w:ascii="宋体" w:hAnsi="宋体" w:eastAsia="宋体" w:cs="宋体"/>
                <w:color w:val="auto"/>
                <w:sz w:val="21"/>
                <w:szCs w:val="21"/>
                <w:highlight w:val="none"/>
              </w:rPr>
            </w:pPr>
          </w:p>
        </w:tc>
        <w:tc>
          <w:tcPr>
            <w:tcW w:w="889" w:type="dxa"/>
          </w:tcPr>
          <w:p>
            <w:pPr>
              <w:spacing w:line="360" w:lineRule="auto"/>
              <w:rPr>
                <w:rFonts w:hint="eastAsia" w:ascii="宋体" w:hAnsi="宋体" w:eastAsia="宋体" w:cs="宋体"/>
                <w:color w:val="auto"/>
                <w:sz w:val="21"/>
                <w:szCs w:val="21"/>
                <w:highlight w:val="none"/>
              </w:rPr>
            </w:pPr>
          </w:p>
        </w:tc>
        <w:tc>
          <w:tcPr>
            <w:tcW w:w="1163" w:type="dxa"/>
          </w:tcPr>
          <w:p>
            <w:pPr>
              <w:spacing w:line="36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trPr>
        <w:tc>
          <w:tcPr>
            <w:tcW w:w="648" w:type="dxa"/>
          </w:tcPr>
          <w:p>
            <w:pPr>
              <w:spacing w:line="360" w:lineRule="auto"/>
              <w:rPr>
                <w:rFonts w:hint="eastAsia" w:ascii="宋体" w:hAnsi="宋体" w:eastAsia="宋体" w:cs="宋体"/>
                <w:color w:val="auto"/>
                <w:sz w:val="21"/>
                <w:szCs w:val="21"/>
                <w:highlight w:val="none"/>
              </w:rPr>
            </w:pPr>
          </w:p>
        </w:tc>
        <w:tc>
          <w:tcPr>
            <w:tcW w:w="720" w:type="dxa"/>
          </w:tcPr>
          <w:p>
            <w:pPr>
              <w:spacing w:line="360" w:lineRule="auto"/>
              <w:rPr>
                <w:rFonts w:hint="eastAsia" w:ascii="宋体" w:hAnsi="宋体" w:eastAsia="宋体" w:cs="宋体"/>
                <w:color w:val="auto"/>
                <w:sz w:val="21"/>
                <w:szCs w:val="21"/>
                <w:highlight w:val="none"/>
              </w:rPr>
            </w:pPr>
          </w:p>
        </w:tc>
        <w:tc>
          <w:tcPr>
            <w:tcW w:w="720" w:type="dxa"/>
          </w:tcPr>
          <w:p>
            <w:pPr>
              <w:spacing w:line="360" w:lineRule="auto"/>
              <w:rPr>
                <w:rFonts w:hint="eastAsia" w:ascii="宋体" w:hAnsi="宋体" w:eastAsia="宋体" w:cs="宋体"/>
                <w:color w:val="auto"/>
                <w:sz w:val="21"/>
                <w:szCs w:val="21"/>
                <w:highlight w:val="none"/>
              </w:rPr>
            </w:pPr>
          </w:p>
        </w:tc>
        <w:tc>
          <w:tcPr>
            <w:tcW w:w="888" w:type="dxa"/>
          </w:tcPr>
          <w:p>
            <w:pPr>
              <w:spacing w:line="360" w:lineRule="auto"/>
              <w:rPr>
                <w:rFonts w:hint="eastAsia" w:ascii="宋体" w:hAnsi="宋体" w:eastAsia="宋体" w:cs="宋体"/>
                <w:color w:val="auto"/>
                <w:sz w:val="21"/>
                <w:szCs w:val="21"/>
                <w:highlight w:val="none"/>
              </w:rPr>
            </w:pPr>
          </w:p>
        </w:tc>
        <w:tc>
          <w:tcPr>
            <w:tcW w:w="888" w:type="dxa"/>
          </w:tcPr>
          <w:p>
            <w:pPr>
              <w:spacing w:line="360" w:lineRule="auto"/>
              <w:rPr>
                <w:rFonts w:hint="eastAsia" w:ascii="宋体" w:hAnsi="宋体" w:eastAsia="宋体" w:cs="宋体"/>
                <w:color w:val="auto"/>
                <w:sz w:val="21"/>
                <w:szCs w:val="21"/>
                <w:highlight w:val="none"/>
              </w:rPr>
            </w:pPr>
          </w:p>
        </w:tc>
        <w:tc>
          <w:tcPr>
            <w:tcW w:w="888" w:type="dxa"/>
          </w:tcPr>
          <w:p>
            <w:pPr>
              <w:spacing w:line="360" w:lineRule="auto"/>
              <w:rPr>
                <w:rFonts w:hint="eastAsia" w:ascii="宋体" w:hAnsi="宋体" w:eastAsia="宋体" w:cs="宋体"/>
                <w:color w:val="auto"/>
                <w:sz w:val="21"/>
                <w:szCs w:val="21"/>
                <w:highlight w:val="none"/>
              </w:rPr>
            </w:pPr>
          </w:p>
        </w:tc>
        <w:tc>
          <w:tcPr>
            <w:tcW w:w="888" w:type="dxa"/>
          </w:tcPr>
          <w:p>
            <w:pPr>
              <w:spacing w:line="360" w:lineRule="auto"/>
              <w:rPr>
                <w:rFonts w:hint="eastAsia" w:ascii="宋体" w:hAnsi="宋体" w:eastAsia="宋体" w:cs="宋体"/>
                <w:color w:val="auto"/>
                <w:sz w:val="21"/>
                <w:szCs w:val="21"/>
                <w:highlight w:val="none"/>
              </w:rPr>
            </w:pPr>
          </w:p>
        </w:tc>
        <w:tc>
          <w:tcPr>
            <w:tcW w:w="1488" w:type="dxa"/>
          </w:tcPr>
          <w:p>
            <w:pPr>
              <w:spacing w:line="360" w:lineRule="auto"/>
              <w:rPr>
                <w:rFonts w:hint="eastAsia" w:ascii="宋体" w:hAnsi="宋体" w:eastAsia="宋体" w:cs="宋体"/>
                <w:color w:val="auto"/>
                <w:sz w:val="21"/>
                <w:szCs w:val="21"/>
                <w:highlight w:val="none"/>
              </w:rPr>
            </w:pPr>
          </w:p>
        </w:tc>
        <w:tc>
          <w:tcPr>
            <w:tcW w:w="889" w:type="dxa"/>
          </w:tcPr>
          <w:p>
            <w:pPr>
              <w:spacing w:line="360" w:lineRule="auto"/>
              <w:rPr>
                <w:rFonts w:hint="eastAsia" w:ascii="宋体" w:hAnsi="宋体" w:eastAsia="宋体" w:cs="宋体"/>
                <w:color w:val="auto"/>
                <w:sz w:val="21"/>
                <w:szCs w:val="21"/>
                <w:highlight w:val="none"/>
              </w:rPr>
            </w:pPr>
          </w:p>
        </w:tc>
        <w:tc>
          <w:tcPr>
            <w:tcW w:w="1163" w:type="dxa"/>
          </w:tcPr>
          <w:p>
            <w:pPr>
              <w:spacing w:line="36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trPr>
        <w:tc>
          <w:tcPr>
            <w:tcW w:w="648" w:type="dxa"/>
          </w:tcPr>
          <w:p>
            <w:pPr>
              <w:spacing w:line="360" w:lineRule="auto"/>
              <w:rPr>
                <w:rFonts w:hint="eastAsia" w:ascii="宋体" w:hAnsi="宋体" w:eastAsia="宋体" w:cs="宋体"/>
                <w:color w:val="auto"/>
                <w:sz w:val="21"/>
                <w:szCs w:val="21"/>
                <w:highlight w:val="none"/>
              </w:rPr>
            </w:pPr>
          </w:p>
        </w:tc>
        <w:tc>
          <w:tcPr>
            <w:tcW w:w="720" w:type="dxa"/>
          </w:tcPr>
          <w:p>
            <w:pPr>
              <w:spacing w:line="360" w:lineRule="auto"/>
              <w:rPr>
                <w:rFonts w:hint="eastAsia" w:ascii="宋体" w:hAnsi="宋体" w:eastAsia="宋体" w:cs="宋体"/>
                <w:color w:val="auto"/>
                <w:sz w:val="21"/>
                <w:szCs w:val="21"/>
                <w:highlight w:val="none"/>
              </w:rPr>
            </w:pPr>
          </w:p>
        </w:tc>
        <w:tc>
          <w:tcPr>
            <w:tcW w:w="720" w:type="dxa"/>
          </w:tcPr>
          <w:p>
            <w:pPr>
              <w:spacing w:line="360" w:lineRule="auto"/>
              <w:rPr>
                <w:rFonts w:hint="eastAsia" w:ascii="宋体" w:hAnsi="宋体" w:eastAsia="宋体" w:cs="宋体"/>
                <w:color w:val="auto"/>
                <w:sz w:val="21"/>
                <w:szCs w:val="21"/>
                <w:highlight w:val="none"/>
              </w:rPr>
            </w:pPr>
          </w:p>
        </w:tc>
        <w:tc>
          <w:tcPr>
            <w:tcW w:w="888" w:type="dxa"/>
          </w:tcPr>
          <w:p>
            <w:pPr>
              <w:spacing w:line="360" w:lineRule="auto"/>
              <w:rPr>
                <w:rFonts w:hint="eastAsia" w:ascii="宋体" w:hAnsi="宋体" w:eastAsia="宋体" w:cs="宋体"/>
                <w:color w:val="auto"/>
                <w:sz w:val="21"/>
                <w:szCs w:val="21"/>
                <w:highlight w:val="none"/>
              </w:rPr>
            </w:pPr>
          </w:p>
        </w:tc>
        <w:tc>
          <w:tcPr>
            <w:tcW w:w="888" w:type="dxa"/>
          </w:tcPr>
          <w:p>
            <w:pPr>
              <w:spacing w:line="360" w:lineRule="auto"/>
              <w:rPr>
                <w:rFonts w:hint="eastAsia" w:ascii="宋体" w:hAnsi="宋体" w:eastAsia="宋体" w:cs="宋体"/>
                <w:color w:val="auto"/>
                <w:sz w:val="21"/>
                <w:szCs w:val="21"/>
                <w:highlight w:val="none"/>
              </w:rPr>
            </w:pPr>
          </w:p>
        </w:tc>
        <w:tc>
          <w:tcPr>
            <w:tcW w:w="888" w:type="dxa"/>
          </w:tcPr>
          <w:p>
            <w:pPr>
              <w:spacing w:line="360" w:lineRule="auto"/>
              <w:rPr>
                <w:rFonts w:hint="eastAsia" w:ascii="宋体" w:hAnsi="宋体" w:eastAsia="宋体" w:cs="宋体"/>
                <w:color w:val="auto"/>
                <w:sz w:val="21"/>
                <w:szCs w:val="21"/>
                <w:highlight w:val="none"/>
              </w:rPr>
            </w:pPr>
          </w:p>
        </w:tc>
        <w:tc>
          <w:tcPr>
            <w:tcW w:w="888" w:type="dxa"/>
          </w:tcPr>
          <w:p>
            <w:pPr>
              <w:spacing w:line="360" w:lineRule="auto"/>
              <w:rPr>
                <w:rFonts w:hint="eastAsia" w:ascii="宋体" w:hAnsi="宋体" w:eastAsia="宋体" w:cs="宋体"/>
                <w:color w:val="auto"/>
                <w:sz w:val="21"/>
                <w:szCs w:val="21"/>
                <w:highlight w:val="none"/>
              </w:rPr>
            </w:pPr>
          </w:p>
        </w:tc>
        <w:tc>
          <w:tcPr>
            <w:tcW w:w="1488" w:type="dxa"/>
          </w:tcPr>
          <w:p>
            <w:pPr>
              <w:spacing w:line="360" w:lineRule="auto"/>
              <w:rPr>
                <w:rFonts w:hint="eastAsia" w:ascii="宋体" w:hAnsi="宋体" w:eastAsia="宋体" w:cs="宋体"/>
                <w:color w:val="auto"/>
                <w:sz w:val="21"/>
                <w:szCs w:val="21"/>
                <w:highlight w:val="none"/>
              </w:rPr>
            </w:pPr>
          </w:p>
        </w:tc>
        <w:tc>
          <w:tcPr>
            <w:tcW w:w="889" w:type="dxa"/>
          </w:tcPr>
          <w:p>
            <w:pPr>
              <w:spacing w:line="360" w:lineRule="auto"/>
              <w:rPr>
                <w:rFonts w:hint="eastAsia" w:ascii="宋体" w:hAnsi="宋体" w:eastAsia="宋体" w:cs="宋体"/>
                <w:color w:val="auto"/>
                <w:sz w:val="21"/>
                <w:szCs w:val="21"/>
                <w:highlight w:val="none"/>
              </w:rPr>
            </w:pPr>
          </w:p>
        </w:tc>
        <w:tc>
          <w:tcPr>
            <w:tcW w:w="1163" w:type="dxa"/>
          </w:tcPr>
          <w:p>
            <w:pPr>
              <w:spacing w:line="36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trPr>
        <w:tc>
          <w:tcPr>
            <w:tcW w:w="648" w:type="dxa"/>
          </w:tcPr>
          <w:p>
            <w:pPr>
              <w:spacing w:line="360" w:lineRule="auto"/>
              <w:rPr>
                <w:rFonts w:hint="eastAsia" w:ascii="宋体" w:hAnsi="宋体" w:eastAsia="宋体" w:cs="宋体"/>
                <w:color w:val="auto"/>
                <w:sz w:val="21"/>
                <w:szCs w:val="21"/>
                <w:highlight w:val="none"/>
              </w:rPr>
            </w:pPr>
          </w:p>
        </w:tc>
        <w:tc>
          <w:tcPr>
            <w:tcW w:w="720" w:type="dxa"/>
          </w:tcPr>
          <w:p>
            <w:pPr>
              <w:spacing w:line="360" w:lineRule="auto"/>
              <w:rPr>
                <w:rFonts w:hint="eastAsia" w:ascii="宋体" w:hAnsi="宋体" w:eastAsia="宋体" w:cs="宋体"/>
                <w:color w:val="auto"/>
                <w:sz w:val="21"/>
                <w:szCs w:val="21"/>
                <w:highlight w:val="none"/>
              </w:rPr>
            </w:pPr>
          </w:p>
        </w:tc>
        <w:tc>
          <w:tcPr>
            <w:tcW w:w="720" w:type="dxa"/>
          </w:tcPr>
          <w:p>
            <w:pPr>
              <w:spacing w:line="360" w:lineRule="auto"/>
              <w:rPr>
                <w:rFonts w:hint="eastAsia" w:ascii="宋体" w:hAnsi="宋体" w:eastAsia="宋体" w:cs="宋体"/>
                <w:color w:val="auto"/>
                <w:sz w:val="21"/>
                <w:szCs w:val="21"/>
                <w:highlight w:val="none"/>
              </w:rPr>
            </w:pPr>
          </w:p>
        </w:tc>
        <w:tc>
          <w:tcPr>
            <w:tcW w:w="888" w:type="dxa"/>
          </w:tcPr>
          <w:p>
            <w:pPr>
              <w:spacing w:line="360" w:lineRule="auto"/>
              <w:rPr>
                <w:rFonts w:hint="eastAsia" w:ascii="宋体" w:hAnsi="宋体" w:eastAsia="宋体" w:cs="宋体"/>
                <w:color w:val="auto"/>
                <w:sz w:val="21"/>
                <w:szCs w:val="21"/>
                <w:highlight w:val="none"/>
              </w:rPr>
            </w:pPr>
          </w:p>
        </w:tc>
        <w:tc>
          <w:tcPr>
            <w:tcW w:w="888" w:type="dxa"/>
          </w:tcPr>
          <w:p>
            <w:pPr>
              <w:spacing w:line="360" w:lineRule="auto"/>
              <w:rPr>
                <w:rFonts w:hint="eastAsia" w:ascii="宋体" w:hAnsi="宋体" w:eastAsia="宋体" w:cs="宋体"/>
                <w:color w:val="auto"/>
                <w:sz w:val="21"/>
                <w:szCs w:val="21"/>
                <w:highlight w:val="none"/>
              </w:rPr>
            </w:pPr>
          </w:p>
        </w:tc>
        <w:tc>
          <w:tcPr>
            <w:tcW w:w="888" w:type="dxa"/>
          </w:tcPr>
          <w:p>
            <w:pPr>
              <w:spacing w:line="360" w:lineRule="auto"/>
              <w:rPr>
                <w:rFonts w:hint="eastAsia" w:ascii="宋体" w:hAnsi="宋体" w:eastAsia="宋体" w:cs="宋体"/>
                <w:color w:val="auto"/>
                <w:sz w:val="21"/>
                <w:szCs w:val="21"/>
                <w:highlight w:val="none"/>
              </w:rPr>
            </w:pPr>
          </w:p>
        </w:tc>
        <w:tc>
          <w:tcPr>
            <w:tcW w:w="888" w:type="dxa"/>
          </w:tcPr>
          <w:p>
            <w:pPr>
              <w:spacing w:line="360" w:lineRule="auto"/>
              <w:rPr>
                <w:rFonts w:hint="eastAsia" w:ascii="宋体" w:hAnsi="宋体" w:eastAsia="宋体" w:cs="宋体"/>
                <w:color w:val="auto"/>
                <w:sz w:val="21"/>
                <w:szCs w:val="21"/>
                <w:highlight w:val="none"/>
              </w:rPr>
            </w:pPr>
          </w:p>
        </w:tc>
        <w:tc>
          <w:tcPr>
            <w:tcW w:w="1488" w:type="dxa"/>
          </w:tcPr>
          <w:p>
            <w:pPr>
              <w:spacing w:line="360" w:lineRule="auto"/>
              <w:rPr>
                <w:rFonts w:hint="eastAsia" w:ascii="宋体" w:hAnsi="宋体" w:eastAsia="宋体" w:cs="宋体"/>
                <w:color w:val="auto"/>
                <w:sz w:val="21"/>
                <w:szCs w:val="21"/>
                <w:highlight w:val="none"/>
              </w:rPr>
            </w:pPr>
          </w:p>
        </w:tc>
        <w:tc>
          <w:tcPr>
            <w:tcW w:w="889" w:type="dxa"/>
          </w:tcPr>
          <w:p>
            <w:pPr>
              <w:spacing w:line="360" w:lineRule="auto"/>
              <w:rPr>
                <w:rFonts w:hint="eastAsia" w:ascii="宋体" w:hAnsi="宋体" w:eastAsia="宋体" w:cs="宋体"/>
                <w:color w:val="auto"/>
                <w:sz w:val="21"/>
                <w:szCs w:val="21"/>
                <w:highlight w:val="none"/>
              </w:rPr>
            </w:pPr>
          </w:p>
        </w:tc>
        <w:tc>
          <w:tcPr>
            <w:tcW w:w="1163" w:type="dxa"/>
          </w:tcPr>
          <w:p>
            <w:pPr>
              <w:spacing w:line="36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56" w:hRule="exact"/>
        </w:trPr>
        <w:tc>
          <w:tcPr>
            <w:tcW w:w="9180" w:type="dxa"/>
            <w:gridSpan w:val="10"/>
          </w:tcPr>
          <w:p>
            <w:pPr>
              <w:spacing w:line="360" w:lineRule="auto"/>
              <w:ind w:firstLine="472" w:firstLineChars="22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本工程一旦我单位中标，将实行项目经理负责制，并配备上述项目管理班子。上述填报内容真实，若不真实，愿按有关规定接受处理。项目管理班子机构设置、职责分工等情况另附资料说明。</w:t>
            </w:r>
          </w:p>
        </w:tc>
      </w:tr>
    </w:tbl>
    <w:p>
      <w:pPr>
        <w:tabs>
          <w:tab w:val="left" w:pos="720"/>
        </w:tabs>
        <w:spacing w:line="360" w:lineRule="auto"/>
        <w:rPr>
          <w:rFonts w:hint="eastAsia" w:ascii="宋体" w:hAnsi="宋体" w:eastAsia="宋体" w:cs="宋体"/>
          <w:color w:val="auto"/>
          <w:sz w:val="24"/>
          <w:szCs w:val="24"/>
          <w:highlight w:val="none"/>
        </w:rPr>
        <w:sectPr>
          <w:pgSz w:w="11900" w:h="16838"/>
          <w:pgMar w:top="1440" w:right="1440" w:bottom="158" w:left="1440" w:header="567" w:footer="567" w:gutter="0"/>
          <w:cols w:equalWidth="0" w:num="1">
            <w:col w:w="9026"/>
          </w:cols>
        </w:sectPr>
      </w:pPr>
    </w:p>
    <w:p>
      <w:pPr>
        <w:tabs>
          <w:tab w:val="left" w:pos="720"/>
        </w:tabs>
        <w:spacing w:line="360" w:lineRule="auto"/>
        <w:rPr>
          <w:rFonts w:hint="eastAsia" w:ascii="宋体" w:hAnsi="宋体" w:eastAsia="宋体" w:cs="宋体"/>
          <w:b/>
          <w:color w:val="auto"/>
          <w:sz w:val="24"/>
          <w:szCs w:val="24"/>
          <w:highlight w:val="none"/>
        </w:rPr>
      </w:pPr>
      <w:bookmarkStart w:id="200" w:name="_Toc9230_WPSOffice_Level2"/>
      <w:bookmarkStart w:id="201" w:name="_Toc19415_WPSOffice_Level2"/>
      <w:bookmarkStart w:id="202" w:name="_Toc22932_WPSOffice_Level2"/>
      <w:r>
        <w:rPr>
          <w:rFonts w:hint="eastAsia" w:ascii="宋体" w:hAnsi="宋体" w:eastAsia="宋体" w:cs="宋体"/>
          <w:b/>
          <w:color w:val="auto"/>
          <w:sz w:val="24"/>
          <w:szCs w:val="24"/>
          <w:highlight w:val="none"/>
        </w:rPr>
        <w:t>附表四、项目经理简历表</w:t>
      </w:r>
      <w:bookmarkEnd w:id="200"/>
      <w:bookmarkEnd w:id="201"/>
      <w:bookmarkEnd w:id="202"/>
    </w:p>
    <w:tbl>
      <w:tblPr>
        <w:tblStyle w:val="19"/>
        <w:tblW w:w="90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1480"/>
        <w:gridCol w:w="1480"/>
        <w:gridCol w:w="1608"/>
        <w:gridCol w:w="1481"/>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80" w:type="dxa"/>
            <w:vAlign w:val="center"/>
          </w:tcPr>
          <w:p>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1480" w:type="dxa"/>
            <w:vAlign w:val="center"/>
          </w:tcPr>
          <w:p>
            <w:pPr>
              <w:spacing w:line="240" w:lineRule="atLeast"/>
              <w:jc w:val="center"/>
              <w:rPr>
                <w:rFonts w:hint="eastAsia" w:ascii="宋体" w:hAnsi="宋体" w:eastAsia="宋体" w:cs="宋体"/>
                <w:color w:val="auto"/>
                <w:sz w:val="21"/>
                <w:szCs w:val="21"/>
                <w:highlight w:val="none"/>
              </w:rPr>
            </w:pPr>
          </w:p>
        </w:tc>
        <w:tc>
          <w:tcPr>
            <w:tcW w:w="1480" w:type="dxa"/>
            <w:vAlign w:val="center"/>
          </w:tcPr>
          <w:p>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性别</w:t>
            </w:r>
          </w:p>
        </w:tc>
        <w:tc>
          <w:tcPr>
            <w:tcW w:w="1608" w:type="dxa"/>
            <w:vAlign w:val="center"/>
          </w:tcPr>
          <w:p>
            <w:pPr>
              <w:spacing w:line="240" w:lineRule="atLeast"/>
              <w:jc w:val="center"/>
              <w:rPr>
                <w:rFonts w:hint="eastAsia" w:ascii="宋体" w:hAnsi="宋体" w:eastAsia="宋体" w:cs="宋体"/>
                <w:color w:val="auto"/>
                <w:sz w:val="21"/>
                <w:szCs w:val="21"/>
                <w:highlight w:val="none"/>
              </w:rPr>
            </w:pPr>
          </w:p>
        </w:tc>
        <w:tc>
          <w:tcPr>
            <w:tcW w:w="1481" w:type="dxa"/>
            <w:vAlign w:val="center"/>
          </w:tcPr>
          <w:p>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年龄</w:t>
            </w:r>
          </w:p>
        </w:tc>
        <w:tc>
          <w:tcPr>
            <w:tcW w:w="1481" w:type="dxa"/>
            <w:vAlign w:val="center"/>
          </w:tcPr>
          <w:p>
            <w:pPr>
              <w:spacing w:line="240" w:lineRule="atLeas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80" w:type="dxa"/>
            <w:vAlign w:val="center"/>
          </w:tcPr>
          <w:p>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p>
        </w:tc>
        <w:tc>
          <w:tcPr>
            <w:tcW w:w="1480" w:type="dxa"/>
            <w:vAlign w:val="center"/>
          </w:tcPr>
          <w:p>
            <w:pPr>
              <w:spacing w:line="240" w:lineRule="atLeast"/>
              <w:jc w:val="center"/>
              <w:rPr>
                <w:rFonts w:hint="eastAsia" w:ascii="宋体" w:hAnsi="宋体" w:eastAsia="宋体" w:cs="宋体"/>
                <w:color w:val="auto"/>
                <w:sz w:val="21"/>
                <w:szCs w:val="21"/>
                <w:highlight w:val="none"/>
              </w:rPr>
            </w:pPr>
          </w:p>
        </w:tc>
        <w:tc>
          <w:tcPr>
            <w:tcW w:w="1480" w:type="dxa"/>
            <w:vAlign w:val="center"/>
          </w:tcPr>
          <w:p>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职称</w:t>
            </w:r>
          </w:p>
        </w:tc>
        <w:tc>
          <w:tcPr>
            <w:tcW w:w="1608" w:type="dxa"/>
            <w:vAlign w:val="center"/>
          </w:tcPr>
          <w:p>
            <w:pPr>
              <w:spacing w:line="240" w:lineRule="atLeast"/>
              <w:jc w:val="center"/>
              <w:rPr>
                <w:rFonts w:hint="eastAsia" w:ascii="宋体" w:hAnsi="宋体" w:eastAsia="宋体" w:cs="宋体"/>
                <w:color w:val="auto"/>
                <w:sz w:val="21"/>
                <w:szCs w:val="21"/>
                <w:highlight w:val="none"/>
              </w:rPr>
            </w:pPr>
          </w:p>
        </w:tc>
        <w:tc>
          <w:tcPr>
            <w:tcW w:w="1481" w:type="dxa"/>
            <w:vAlign w:val="center"/>
          </w:tcPr>
          <w:p>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学历</w:t>
            </w:r>
          </w:p>
        </w:tc>
        <w:tc>
          <w:tcPr>
            <w:tcW w:w="1481" w:type="dxa"/>
            <w:vAlign w:val="center"/>
          </w:tcPr>
          <w:p>
            <w:pPr>
              <w:spacing w:line="240" w:lineRule="atLeas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960" w:type="dxa"/>
            <w:gridSpan w:val="2"/>
            <w:vAlign w:val="center"/>
          </w:tcPr>
          <w:p>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参加工作时间</w:t>
            </w:r>
          </w:p>
        </w:tc>
        <w:tc>
          <w:tcPr>
            <w:tcW w:w="1480" w:type="dxa"/>
            <w:vAlign w:val="center"/>
          </w:tcPr>
          <w:p>
            <w:pPr>
              <w:spacing w:line="240" w:lineRule="atLeast"/>
              <w:jc w:val="center"/>
              <w:rPr>
                <w:rFonts w:hint="eastAsia" w:ascii="宋体" w:hAnsi="宋体" w:eastAsia="宋体" w:cs="宋体"/>
                <w:color w:val="auto"/>
                <w:sz w:val="21"/>
                <w:szCs w:val="21"/>
                <w:highlight w:val="none"/>
              </w:rPr>
            </w:pPr>
          </w:p>
        </w:tc>
        <w:tc>
          <w:tcPr>
            <w:tcW w:w="3089" w:type="dxa"/>
            <w:gridSpan w:val="2"/>
            <w:vAlign w:val="center"/>
          </w:tcPr>
          <w:p>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从事项目经理年限</w:t>
            </w:r>
          </w:p>
        </w:tc>
        <w:tc>
          <w:tcPr>
            <w:tcW w:w="1481" w:type="dxa"/>
            <w:vAlign w:val="center"/>
          </w:tcPr>
          <w:p>
            <w:pPr>
              <w:spacing w:line="240" w:lineRule="atLeas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960" w:type="dxa"/>
            <w:gridSpan w:val="2"/>
            <w:vAlign w:val="center"/>
          </w:tcPr>
          <w:p>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项目经理资格证书编号</w:t>
            </w:r>
          </w:p>
        </w:tc>
        <w:tc>
          <w:tcPr>
            <w:tcW w:w="6050" w:type="dxa"/>
            <w:gridSpan w:val="4"/>
            <w:vAlign w:val="center"/>
          </w:tcPr>
          <w:p>
            <w:pPr>
              <w:spacing w:line="240" w:lineRule="atLeas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010" w:type="dxa"/>
            <w:gridSpan w:val="6"/>
            <w:vAlign w:val="center"/>
          </w:tcPr>
          <w:p>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80" w:type="dxa"/>
            <w:vAlign w:val="center"/>
          </w:tcPr>
          <w:p>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建设单位</w:t>
            </w:r>
          </w:p>
        </w:tc>
        <w:tc>
          <w:tcPr>
            <w:tcW w:w="1480" w:type="dxa"/>
            <w:vAlign w:val="center"/>
          </w:tcPr>
          <w:p>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1480" w:type="dxa"/>
            <w:vAlign w:val="center"/>
          </w:tcPr>
          <w:p>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建设规模</w:t>
            </w:r>
          </w:p>
        </w:tc>
        <w:tc>
          <w:tcPr>
            <w:tcW w:w="1608" w:type="dxa"/>
            <w:vAlign w:val="center"/>
          </w:tcPr>
          <w:p>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开、竣工日期</w:t>
            </w:r>
          </w:p>
        </w:tc>
        <w:tc>
          <w:tcPr>
            <w:tcW w:w="1481" w:type="dxa"/>
            <w:vAlign w:val="center"/>
          </w:tcPr>
          <w:p>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在建或已完</w:t>
            </w:r>
          </w:p>
        </w:tc>
        <w:tc>
          <w:tcPr>
            <w:tcW w:w="1481" w:type="dxa"/>
            <w:vAlign w:val="center"/>
          </w:tcPr>
          <w:p>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480" w:type="dxa"/>
          </w:tcPr>
          <w:p>
            <w:pPr>
              <w:spacing w:line="360" w:lineRule="auto"/>
              <w:rPr>
                <w:rFonts w:hint="eastAsia" w:ascii="宋体" w:hAnsi="宋体" w:eastAsia="宋体" w:cs="宋体"/>
                <w:color w:val="auto"/>
                <w:sz w:val="21"/>
                <w:szCs w:val="21"/>
                <w:highlight w:val="none"/>
              </w:rPr>
            </w:pPr>
          </w:p>
        </w:tc>
        <w:tc>
          <w:tcPr>
            <w:tcW w:w="1480" w:type="dxa"/>
          </w:tcPr>
          <w:p>
            <w:pPr>
              <w:spacing w:line="360" w:lineRule="auto"/>
              <w:rPr>
                <w:rFonts w:hint="eastAsia" w:ascii="宋体" w:hAnsi="宋体" w:eastAsia="宋体" w:cs="宋体"/>
                <w:color w:val="auto"/>
                <w:sz w:val="21"/>
                <w:szCs w:val="21"/>
                <w:highlight w:val="none"/>
              </w:rPr>
            </w:pPr>
          </w:p>
        </w:tc>
        <w:tc>
          <w:tcPr>
            <w:tcW w:w="1480" w:type="dxa"/>
          </w:tcPr>
          <w:p>
            <w:pPr>
              <w:spacing w:line="360" w:lineRule="auto"/>
              <w:rPr>
                <w:rFonts w:hint="eastAsia" w:ascii="宋体" w:hAnsi="宋体" w:eastAsia="宋体" w:cs="宋体"/>
                <w:color w:val="auto"/>
                <w:sz w:val="21"/>
                <w:szCs w:val="21"/>
                <w:highlight w:val="none"/>
              </w:rPr>
            </w:pPr>
          </w:p>
        </w:tc>
        <w:tc>
          <w:tcPr>
            <w:tcW w:w="1608" w:type="dxa"/>
          </w:tcPr>
          <w:p>
            <w:pPr>
              <w:spacing w:line="360" w:lineRule="auto"/>
              <w:rPr>
                <w:rFonts w:hint="eastAsia" w:ascii="宋体" w:hAnsi="宋体" w:eastAsia="宋体" w:cs="宋体"/>
                <w:color w:val="auto"/>
                <w:sz w:val="21"/>
                <w:szCs w:val="21"/>
                <w:highlight w:val="none"/>
              </w:rPr>
            </w:pPr>
          </w:p>
        </w:tc>
        <w:tc>
          <w:tcPr>
            <w:tcW w:w="1481" w:type="dxa"/>
          </w:tcPr>
          <w:p>
            <w:pPr>
              <w:spacing w:line="360" w:lineRule="auto"/>
              <w:rPr>
                <w:rFonts w:hint="eastAsia" w:ascii="宋体" w:hAnsi="宋体" w:eastAsia="宋体" w:cs="宋体"/>
                <w:color w:val="auto"/>
                <w:sz w:val="21"/>
                <w:szCs w:val="21"/>
                <w:highlight w:val="none"/>
              </w:rPr>
            </w:pPr>
          </w:p>
        </w:tc>
        <w:tc>
          <w:tcPr>
            <w:tcW w:w="1481" w:type="dxa"/>
          </w:tcPr>
          <w:p>
            <w:pPr>
              <w:spacing w:line="36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480" w:type="dxa"/>
          </w:tcPr>
          <w:p>
            <w:pPr>
              <w:spacing w:line="360" w:lineRule="auto"/>
              <w:rPr>
                <w:rFonts w:hint="eastAsia" w:ascii="宋体" w:hAnsi="宋体" w:eastAsia="宋体" w:cs="宋体"/>
                <w:color w:val="auto"/>
                <w:sz w:val="21"/>
                <w:szCs w:val="21"/>
                <w:highlight w:val="none"/>
              </w:rPr>
            </w:pPr>
          </w:p>
        </w:tc>
        <w:tc>
          <w:tcPr>
            <w:tcW w:w="1480" w:type="dxa"/>
          </w:tcPr>
          <w:p>
            <w:pPr>
              <w:spacing w:line="360" w:lineRule="auto"/>
              <w:rPr>
                <w:rFonts w:hint="eastAsia" w:ascii="宋体" w:hAnsi="宋体" w:eastAsia="宋体" w:cs="宋体"/>
                <w:color w:val="auto"/>
                <w:sz w:val="21"/>
                <w:szCs w:val="21"/>
                <w:highlight w:val="none"/>
              </w:rPr>
            </w:pPr>
          </w:p>
        </w:tc>
        <w:tc>
          <w:tcPr>
            <w:tcW w:w="1480" w:type="dxa"/>
          </w:tcPr>
          <w:p>
            <w:pPr>
              <w:spacing w:line="360" w:lineRule="auto"/>
              <w:rPr>
                <w:rFonts w:hint="eastAsia" w:ascii="宋体" w:hAnsi="宋体" w:eastAsia="宋体" w:cs="宋体"/>
                <w:color w:val="auto"/>
                <w:sz w:val="21"/>
                <w:szCs w:val="21"/>
                <w:highlight w:val="none"/>
              </w:rPr>
            </w:pPr>
          </w:p>
        </w:tc>
        <w:tc>
          <w:tcPr>
            <w:tcW w:w="1608" w:type="dxa"/>
          </w:tcPr>
          <w:p>
            <w:pPr>
              <w:spacing w:line="360" w:lineRule="auto"/>
              <w:rPr>
                <w:rFonts w:hint="eastAsia" w:ascii="宋体" w:hAnsi="宋体" w:eastAsia="宋体" w:cs="宋体"/>
                <w:color w:val="auto"/>
                <w:sz w:val="21"/>
                <w:szCs w:val="21"/>
                <w:highlight w:val="none"/>
              </w:rPr>
            </w:pPr>
          </w:p>
        </w:tc>
        <w:tc>
          <w:tcPr>
            <w:tcW w:w="1481" w:type="dxa"/>
          </w:tcPr>
          <w:p>
            <w:pPr>
              <w:spacing w:line="360" w:lineRule="auto"/>
              <w:rPr>
                <w:rFonts w:hint="eastAsia" w:ascii="宋体" w:hAnsi="宋体" w:eastAsia="宋体" w:cs="宋体"/>
                <w:color w:val="auto"/>
                <w:sz w:val="21"/>
                <w:szCs w:val="21"/>
                <w:highlight w:val="none"/>
              </w:rPr>
            </w:pPr>
          </w:p>
        </w:tc>
        <w:tc>
          <w:tcPr>
            <w:tcW w:w="1481" w:type="dxa"/>
          </w:tcPr>
          <w:p>
            <w:pPr>
              <w:spacing w:line="36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480" w:type="dxa"/>
          </w:tcPr>
          <w:p>
            <w:pPr>
              <w:spacing w:line="360" w:lineRule="auto"/>
              <w:rPr>
                <w:rFonts w:hint="eastAsia" w:ascii="宋体" w:hAnsi="宋体" w:eastAsia="宋体" w:cs="宋体"/>
                <w:color w:val="auto"/>
                <w:sz w:val="21"/>
                <w:szCs w:val="21"/>
                <w:highlight w:val="none"/>
              </w:rPr>
            </w:pPr>
          </w:p>
        </w:tc>
        <w:tc>
          <w:tcPr>
            <w:tcW w:w="1480" w:type="dxa"/>
          </w:tcPr>
          <w:p>
            <w:pPr>
              <w:spacing w:line="360" w:lineRule="auto"/>
              <w:rPr>
                <w:rFonts w:hint="eastAsia" w:ascii="宋体" w:hAnsi="宋体" w:eastAsia="宋体" w:cs="宋体"/>
                <w:color w:val="auto"/>
                <w:sz w:val="21"/>
                <w:szCs w:val="21"/>
                <w:highlight w:val="none"/>
              </w:rPr>
            </w:pPr>
          </w:p>
        </w:tc>
        <w:tc>
          <w:tcPr>
            <w:tcW w:w="1480" w:type="dxa"/>
          </w:tcPr>
          <w:p>
            <w:pPr>
              <w:spacing w:line="360" w:lineRule="auto"/>
              <w:rPr>
                <w:rFonts w:hint="eastAsia" w:ascii="宋体" w:hAnsi="宋体" w:eastAsia="宋体" w:cs="宋体"/>
                <w:color w:val="auto"/>
                <w:sz w:val="21"/>
                <w:szCs w:val="21"/>
                <w:highlight w:val="none"/>
              </w:rPr>
            </w:pPr>
          </w:p>
        </w:tc>
        <w:tc>
          <w:tcPr>
            <w:tcW w:w="1608" w:type="dxa"/>
          </w:tcPr>
          <w:p>
            <w:pPr>
              <w:spacing w:line="360" w:lineRule="auto"/>
              <w:rPr>
                <w:rFonts w:hint="eastAsia" w:ascii="宋体" w:hAnsi="宋体" w:eastAsia="宋体" w:cs="宋体"/>
                <w:color w:val="auto"/>
                <w:sz w:val="21"/>
                <w:szCs w:val="21"/>
                <w:highlight w:val="none"/>
              </w:rPr>
            </w:pPr>
          </w:p>
        </w:tc>
        <w:tc>
          <w:tcPr>
            <w:tcW w:w="1481" w:type="dxa"/>
          </w:tcPr>
          <w:p>
            <w:pPr>
              <w:spacing w:line="360" w:lineRule="auto"/>
              <w:rPr>
                <w:rFonts w:hint="eastAsia" w:ascii="宋体" w:hAnsi="宋体" w:eastAsia="宋体" w:cs="宋体"/>
                <w:color w:val="auto"/>
                <w:sz w:val="21"/>
                <w:szCs w:val="21"/>
                <w:highlight w:val="none"/>
              </w:rPr>
            </w:pPr>
          </w:p>
        </w:tc>
        <w:tc>
          <w:tcPr>
            <w:tcW w:w="1481" w:type="dxa"/>
          </w:tcPr>
          <w:p>
            <w:pPr>
              <w:spacing w:line="36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480" w:type="dxa"/>
          </w:tcPr>
          <w:p>
            <w:pPr>
              <w:spacing w:line="360" w:lineRule="auto"/>
              <w:rPr>
                <w:rFonts w:hint="eastAsia" w:ascii="宋体" w:hAnsi="宋体" w:eastAsia="宋体" w:cs="宋体"/>
                <w:color w:val="auto"/>
                <w:sz w:val="21"/>
                <w:szCs w:val="21"/>
                <w:highlight w:val="none"/>
              </w:rPr>
            </w:pPr>
          </w:p>
        </w:tc>
        <w:tc>
          <w:tcPr>
            <w:tcW w:w="1480" w:type="dxa"/>
          </w:tcPr>
          <w:p>
            <w:pPr>
              <w:spacing w:line="360" w:lineRule="auto"/>
              <w:rPr>
                <w:rFonts w:hint="eastAsia" w:ascii="宋体" w:hAnsi="宋体" w:eastAsia="宋体" w:cs="宋体"/>
                <w:color w:val="auto"/>
                <w:sz w:val="21"/>
                <w:szCs w:val="21"/>
                <w:highlight w:val="none"/>
              </w:rPr>
            </w:pPr>
          </w:p>
        </w:tc>
        <w:tc>
          <w:tcPr>
            <w:tcW w:w="1480" w:type="dxa"/>
          </w:tcPr>
          <w:p>
            <w:pPr>
              <w:spacing w:line="360" w:lineRule="auto"/>
              <w:rPr>
                <w:rFonts w:hint="eastAsia" w:ascii="宋体" w:hAnsi="宋体" w:eastAsia="宋体" w:cs="宋体"/>
                <w:color w:val="auto"/>
                <w:sz w:val="21"/>
                <w:szCs w:val="21"/>
                <w:highlight w:val="none"/>
              </w:rPr>
            </w:pPr>
          </w:p>
        </w:tc>
        <w:tc>
          <w:tcPr>
            <w:tcW w:w="1608" w:type="dxa"/>
          </w:tcPr>
          <w:p>
            <w:pPr>
              <w:spacing w:line="360" w:lineRule="auto"/>
              <w:rPr>
                <w:rFonts w:hint="eastAsia" w:ascii="宋体" w:hAnsi="宋体" w:eastAsia="宋体" w:cs="宋体"/>
                <w:color w:val="auto"/>
                <w:sz w:val="21"/>
                <w:szCs w:val="21"/>
                <w:highlight w:val="none"/>
              </w:rPr>
            </w:pPr>
          </w:p>
        </w:tc>
        <w:tc>
          <w:tcPr>
            <w:tcW w:w="1481" w:type="dxa"/>
          </w:tcPr>
          <w:p>
            <w:pPr>
              <w:spacing w:line="360" w:lineRule="auto"/>
              <w:rPr>
                <w:rFonts w:hint="eastAsia" w:ascii="宋体" w:hAnsi="宋体" w:eastAsia="宋体" w:cs="宋体"/>
                <w:color w:val="auto"/>
                <w:sz w:val="21"/>
                <w:szCs w:val="21"/>
                <w:highlight w:val="none"/>
              </w:rPr>
            </w:pPr>
          </w:p>
        </w:tc>
        <w:tc>
          <w:tcPr>
            <w:tcW w:w="1481" w:type="dxa"/>
          </w:tcPr>
          <w:p>
            <w:pPr>
              <w:spacing w:line="360" w:lineRule="auto"/>
              <w:rPr>
                <w:rFonts w:hint="eastAsia" w:ascii="宋体" w:hAnsi="宋体" w:eastAsia="宋体" w:cs="宋体"/>
                <w:color w:val="auto"/>
                <w:sz w:val="21"/>
                <w:szCs w:val="21"/>
                <w:highlight w:val="none"/>
              </w:rPr>
            </w:pPr>
          </w:p>
        </w:tc>
      </w:tr>
    </w:tbl>
    <w:p>
      <w:pPr>
        <w:spacing w:line="360" w:lineRule="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备注：后附项目经理注册证书、</w:t>
      </w:r>
      <w:r>
        <w:rPr>
          <w:rFonts w:hint="eastAsia" w:ascii="宋体" w:hAnsi="宋体" w:eastAsia="宋体" w:cs="宋体"/>
          <w:color w:val="auto"/>
          <w:sz w:val="24"/>
          <w:szCs w:val="28"/>
          <w:highlight w:val="none"/>
        </w:rPr>
        <w:t>B</w:t>
      </w:r>
      <w:r>
        <w:rPr>
          <w:rFonts w:hint="eastAsia" w:ascii="宋体" w:hAnsi="宋体" w:eastAsia="宋体" w:cs="宋体"/>
          <w:color w:val="auto"/>
          <w:sz w:val="24"/>
          <w:szCs w:val="28"/>
          <w:highlight w:val="none"/>
        </w:rPr>
        <w:t>证、职称证、业绩等</w:t>
      </w:r>
    </w:p>
    <w:p>
      <w:pPr>
        <w:tabs>
          <w:tab w:val="left" w:pos="720"/>
        </w:tabs>
        <w:spacing w:line="360" w:lineRule="auto"/>
        <w:rPr>
          <w:rFonts w:hint="eastAsia" w:ascii="宋体" w:hAnsi="宋体" w:eastAsia="宋体" w:cs="宋体"/>
          <w:color w:val="auto"/>
          <w:sz w:val="24"/>
          <w:szCs w:val="24"/>
          <w:highlight w:val="none"/>
        </w:rPr>
      </w:pPr>
    </w:p>
    <w:p>
      <w:pPr>
        <w:tabs>
          <w:tab w:val="left" w:pos="720"/>
        </w:tabs>
        <w:spacing w:line="360" w:lineRule="auto"/>
        <w:rPr>
          <w:rFonts w:hint="eastAsia" w:ascii="宋体" w:hAnsi="宋体" w:eastAsia="宋体" w:cs="宋体"/>
          <w:b/>
          <w:color w:val="auto"/>
          <w:sz w:val="24"/>
          <w:szCs w:val="24"/>
          <w:highlight w:val="none"/>
        </w:rPr>
      </w:pPr>
      <w:bookmarkStart w:id="203" w:name="_Toc2242_WPSOffice_Level2"/>
      <w:bookmarkStart w:id="204" w:name="_Toc28183_WPSOffice_Level2"/>
      <w:bookmarkStart w:id="205" w:name="_Toc18370_WPSOffice_Level2"/>
      <w:r>
        <w:rPr>
          <w:rFonts w:hint="eastAsia" w:ascii="宋体" w:hAnsi="宋体" w:eastAsia="宋体" w:cs="宋体"/>
          <w:b/>
          <w:color w:val="auto"/>
          <w:sz w:val="24"/>
          <w:szCs w:val="24"/>
          <w:highlight w:val="none"/>
        </w:rPr>
        <w:t>附表五、技术负责人简历表</w:t>
      </w:r>
      <w:bookmarkEnd w:id="203"/>
      <w:bookmarkEnd w:id="204"/>
      <w:bookmarkEnd w:id="205"/>
    </w:p>
    <w:tbl>
      <w:tblPr>
        <w:tblStyle w:val="19"/>
        <w:tblW w:w="90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1480"/>
        <w:gridCol w:w="1480"/>
        <w:gridCol w:w="1608"/>
        <w:gridCol w:w="1481"/>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80" w:type="dxa"/>
            <w:vAlign w:val="center"/>
          </w:tcPr>
          <w:p>
            <w:pPr>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1480" w:type="dxa"/>
            <w:vAlign w:val="center"/>
          </w:tcPr>
          <w:p>
            <w:pPr>
              <w:spacing w:line="240" w:lineRule="exact"/>
              <w:jc w:val="center"/>
              <w:rPr>
                <w:rFonts w:hint="eastAsia" w:ascii="宋体" w:hAnsi="宋体" w:eastAsia="宋体" w:cs="宋体"/>
                <w:color w:val="auto"/>
                <w:sz w:val="21"/>
                <w:szCs w:val="21"/>
                <w:highlight w:val="none"/>
              </w:rPr>
            </w:pPr>
          </w:p>
        </w:tc>
        <w:tc>
          <w:tcPr>
            <w:tcW w:w="1480" w:type="dxa"/>
            <w:vAlign w:val="center"/>
          </w:tcPr>
          <w:p>
            <w:pPr>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性别</w:t>
            </w:r>
          </w:p>
        </w:tc>
        <w:tc>
          <w:tcPr>
            <w:tcW w:w="1608" w:type="dxa"/>
            <w:vAlign w:val="center"/>
          </w:tcPr>
          <w:p>
            <w:pPr>
              <w:spacing w:line="240" w:lineRule="exact"/>
              <w:jc w:val="center"/>
              <w:rPr>
                <w:rFonts w:hint="eastAsia" w:ascii="宋体" w:hAnsi="宋体" w:eastAsia="宋体" w:cs="宋体"/>
                <w:color w:val="auto"/>
                <w:sz w:val="21"/>
                <w:szCs w:val="21"/>
                <w:highlight w:val="none"/>
              </w:rPr>
            </w:pPr>
          </w:p>
        </w:tc>
        <w:tc>
          <w:tcPr>
            <w:tcW w:w="1481" w:type="dxa"/>
            <w:vAlign w:val="center"/>
          </w:tcPr>
          <w:p>
            <w:pPr>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年龄</w:t>
            </w:r>
          </w:p>
        </w:tc>
        <w:tc>
          <w:tcPr>
            <w:tcW w:w="1481" w:type="dxa"/>
            <w:vAlign w:val="center"/>
          </w:tcPr>
          <w:p>
            <w:pPr>
              <w:spacing w:line="24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80" w:type="dxa"/>
            <w:vAlign w:val="center"/>
          </w:tcPr>
          <w:p>
            <w:pPr>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p>
        </w:tc>
        <w:tc>
          <w:tcPr>
            <w:tcW w:w="1480" w:type="dxa"/>
            <w:vAlign w:val="center"/>
          </w:tcPr>
          <w:p>
            <w:pPr>
              <w:spacing w:line="240" w:lineRule="exact"/>
              <w:jc w:val="center"/>
              <w:rPr>
                <w:rFonts w:hint="eastAsia" w:ascii="宋体" w:hAnsi="宋体" w:eastAsia="宋体" w:cs="宋体"/>
                <w:color w:val="auto"/>
                <w:sz w:val="21"/>
                <w:szCs w:val="21"/>
                <w:highlight w:val="none"/>
              </w:rPr>
            </w:pPr>
          </w:p>
        </w:tc>
        <w:tc>
          <w:tcPr>
            <w:tcW w:w="1480" w:type="dxa"/>
            <w:vAlign w:val="center"/>
          </w:tcPr>
          <w:p>
            <w:pPr>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职称</w:t>
            </w:r>
          </w:p>
        </w:tc>
        <w:tc>
          <w:tcPr>
            <w:tcW w:w="1608" w:type="dxa"/>
            <w:vAlign w:val="center"/>
          </w:tcPr>
          <w:p>
            <w:pPr>
              <w:spacing w:line="240" w:lineRule="exact"/>
              <w:jc w:val="center"/>
              <w:rPr>
                <w:rFonts w:hint="eastAsia" w:ascii="宋体" w:hAnsi="宋体" w:eastAsia="宋体" w:cs="宋体"/>
                <w:color w:val="auto"/>
                <w:sz w:val="21"/>
                <w:szCs w:val="21"/>
                <w:highlight w:val="none"/>
              </w:rPr>
            </w:pPr>
          </w:p>
        </w:tc>
        <w:tc>
          <w:tcPr>
            <w:tcW w:w="1481" w:type="dxa"/>
            <w:vAlign w:val="center"/>
          </w:tcPr>
          <w:p>
            <w:pPr>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学历</w:t>
            </w:r>
          </w:p>
        </w:tc>
        <w:tc>
          <w:tcPr>
            <w:tcW w:w="1481" w:type="dxa"/>
            <w:vAlign w:val="center"/>
          </w:tcPr>
          <w:p>
            <w:pPr>
              <w:spacing w:line="24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960" w:type="dxa"/>
            <w:gridSpan w:val="2"/>
            <w:vAlign w:val="center"/>
          </w:tcPr>
          <w:p>
            <w:pPr>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参加工作时间</w:t>
            </w:r>
          </w:p>
        </w:tc>
        <w:tc>
          <w:tcPr>
            <w:tcW w:w="1480" w:type="dxa"/>
            <w:vAlign w:val="center"/>
          </w:tcPr>
          <w:p>
            <w:pPr>
              <w:spacing w:line="240" w:lineRule="exact"/>
              <w:jc w:val="center"/>
              <w:rPr>
                <w:rFonts w:hint="eastAsia" w:ascii="宋体" w:hAnsi="宋体" w:eastAsia="宋体" w:cs="宋体"/>
                <w:color w:val="auto"/>
                <w:sz w:val="21"/>
                <w:szCs w:val="21"/>
                <w:highlight w:val="none"/>
              </w:rPr>
            </w:pPr>
          </w:p>
        </w:tc>
        <w:tc>
          <w:tcPr>
            <w:tcW w:w="3089" w:type="dxa"/>
            <w:gridSpan w:val="2"/>
            <w:vAlign w:val="center"/>
          </w:tcPr>
          <w:p>
            <w:pPr>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从事技术负责人年限</w:t>
            </w:r>
          </w:p>
        </w:tc>
        <w:tc>
          <w:tcPr>
            <w:tcW w:w="1481" w:type="dxa"/>
            <w:vAlign w:val="center"/>
          </w:tcPr>
          <w:p>
            <w:pPr>
              <w:spacing w:line="24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960" w:type="dxa"/>
            <w:gridSpan w:val="2"/>
            <w:vAlign w:val="center"/>
          </w:tcPr>
          <w:p>
            <w:pPr>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资格证书名称及编号</w:t>
            </w:r>
          </w:p>
        </w:tc>
        <w:tc>
          <w:tcPr>
            <w:tcW w:w="6050" w:type="dxa"/>
            <w:gridSpan w:val="4"/>
            <w:vAlign w:val="center"/>
          </w:tcPr>
          <w:p>
            <w:pPr>
              <w:spacing w:line="24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10" w:type="dxa"/>
            <w:gridSpan w:val="6"/>
            <w:vAlign w:val="center"/>
          </w:tcPr>
          <w:p>
            <w:pPr>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80" w:type="dxa"/>
            <w:vAlign w:val="center"/>
          </w:tcPr>
          <w:p>
            <w:pPr>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建设单位</w:t>
            </w:r>
          </w:p>
        </w:tc>
        <w:tc>
          <w:tcPr>
            <w:tcW w:w="1480" w:type="dxa"/>
            <w:vAlign w:val="center"/>
          </w:tcPr>
          <w:p>
            <w:pPr>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1480" w:type="dxa"/>
            <w:vAlign w:val="center"/>
          </w:tcPr>
          <w:p>
            <w:pPr>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建设规模</w:t>
            </w:r>
          </w:p>
        </w:tc>
        <w:tc>
          <w:tcPr>
            <w:tcW w:w="1608" w:type="dxa"/>
            <w:vAlign w:val="center"/>
          </w:tcPr>
          <w:p>
            <w:pPr>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开、竣工日期</w:t>
            </w:r>
          </w:p>
        </w:tc>
        <w:tc>
          <w:tcPr>
            <w:tcW w:w="1481" w:type="dxa"/>
            <w:vAlign w:val="center"/>
          </w:tcPr>
          <w:p>
            <w:pPr>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在建或已完</w:t>
            </w:r>
          </w:p>
        </w:tc>
        <w:tc>
          <w:tcPr>
            <w:tcW w:w="1481" w:type="dxa"/>
            <w:vAlign w:val="center"/>
          </w:tcPr>
          <w:p>
            <w:pPr>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480" w:type="dxa"/>
          </w:tcPr>
          <w:p>
            <w:pPr>
              <w:spacing w:line="360" w:lineRule="auto"/>
              <w:rPr>
                <w:rFonts w:hint="eastAsia" w:ascii="宋体" w:hAnsi="宋体" w:eastAsia="宋体" w:cs="宋体"/>
                <w:color w:val="auto"/>
                <w:sz w:val="21"/>
                <w:szCs w:val="21"/>
                <w:highlight w:val="none"/>
              </w:rPr>
            </w:pPr>
          </w:p>
        </w:tc>
        <w:tc>
          <w:tcPr>
            <w:tcW w:w="1480" w:type="dxa"/>
          </w:tcPr>
          <w:p>
            <w:pPr>
              <w:spacing w:line="360" w:lineRule="auto"/>
              <w:rPr>
                <w:rFonts w:hint="eastAsia" w:ascii="宋体" w:hAnsi="宋体" w:eastAsia="宋体" w:cs="宋体"/>
                <w:color w:val="auto"/>
                <w:sz w:val="21"/>
                <w:szCs w:val="21"/>
                <w:highlight w:val="none"/>
              </w:rPr>
            </w:pPr>
          </w:p>
        </w:tc>
        <w:tc>
          <w:tcPr>
            <w:tcW w:w="1480" w:type="dxa"/>
          </w:tcPr>
          <w:p>
            <w:pPr>
              <w:spacing w:line="360" w:lineRule="auto"/>
              <w:rPr>
                <w:rFonts w:hint="eastAsia" w:ascii="宋体" w:hAnsi="宋体" w:eastAsia="宋体" w:cs="宋体"/>
                <w:color w:val="auto"/>
                <w:sz w:val="21"/>
                <w:szCs w:val="21"/>
                <w:highlight w:val="none"/>
              </w:rPr>
            </w:pPr>
          </w:p>
        </w:tc>
        <w:tc>
          <w:tcPr>
            <w:tcW w:w="1608" w:type="dxa"/>
          </w:tcPr>
          <w:p>
            <w:pPr>
              <w:spacing w:line="360" w:lineRule="auto"/>
              <w:rPr>
                <w:rFonts w:hint="eastAsia" w:ascii="宋体" w:hAnsi="宋体" w:eastAsia="宋体" w:cs="宋体"/>
                <w:color w:val="auto"/>
                <w:sz w:val="21"/>
                <w:szCs w:val="21"/>
                <w:highlight w:val="none"/>
              </w:rPr>
            </w:pPr>
          </w:p>
        </w:tc>
        <w:tc>
          <w:tcPr>
            <w:tcW w:w="1481" w:type="dxa"/>
          </w:tcPr>
          <w:p>
            <w:pPr>
              <w:spacing w:line="360" w:lineRule="auto"/>
              <w:rPr>
                <w:rFonts w:hint="eastAsia" w:ascii="宋体" w:hAnsi="宋体" w:eastAsia="宋体" w:cs="宋体"/>
                <w:color w:val="auto"/>
                <w:sz w:val="21"/>
                <w:szCs w:val="21"/>
                <w:highlight w:val="none"/>
              </w:rPr>
            </w:pPr>
          </w:p>
        </w:tc>
        <w:tc>
          <w:tcPr>
            <w:tcW w:w="1481" w:type="dxa"/>
          </w:tcPr>
          <w:p>
            <w:pPr>
              <w:spacing w:line="36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480" w:type="dxa"/>
          </w:tcPr>
          <w:p>
            <w:pPr>
              <w:spacing w:line="360" w:lineRule="auto"/>
              <w:rPr>
                <w:rFonts w:hint="eastAsia" w:ascii="宋体" w:hAnsi="宋体" w:eastAsia="宋体" w:cs="宋体"/>
                <w:color w:val="auto"/>
                <w:sz w:val="21"/>
                <w:szCs w:val="21"/>
                <w:highlight w:val="none"/>
              </w:rPr>
            </w:pPr>
          </w:p>
        </w:tc>
        <w:tc>
          <w:tcPr>
            <w:tcW w:w="1480" w:type="dxa"/>
          </w:tcPr>
          <w:p>
            <w:pPr>
              <w:spacing w:line="360" w:lineRule="auto"/>
              <w:rPr>
                <w:rFonts w:hint="eastAsia" w:ascii="宋体" w:hAnsi="宋体" w:eastAsia="宋体" w:cs="宋体"/>
                <w:color w:val="auto"/>
                <w:sz w:val="21"/>
                <w:szCs w:val="21"/>
                <w:highlight w:val="none"/>
              </w:rPr>
            </w:pPr>
          </w:p>
        </w:tc>
        <w:tc>
          <w:tcPr>
            <w:tcW w:w="1480" w:type="dxa"/>
          </w:tcPr>
          <w:p>
            <w:pPr>
              <w:spacing w:line="360" w:lineRule="auto"/>
              <w:rPr>
                <w:rFonts w:hint="eastAsia" w:ascii="宋体" w:hAnsi="宋体" w:eastAsia="宋体" w:cs="宋体"/>
                <w:color w:val="auto"/>
                <w:sz w:val="21"/>
                <w:szCs w:val="21"/>
                <w:highlight w:val="none"/>
              </w:rPr>
            </w:pPr>
          </w:p>
        </w:tc>
        <w:tc>
          <w:tcPr>
            <w:tcW w:w="1608" w:type="dxa"/>
          </w:tcPr>
          <w:p>
            <w:pPr>
              <w:spacing w:line="360" w:lineRule="auto"/>
              <w:rPr>
                <w:rFonts w:hint="eastAsia" w:ascii="宋体" w:hAnsi="宋体" w:eastAsia="宋体" w:cs="宋体"/>
                <w:color w:val="auto"/>
                <w:sz w:val="21"/>
                <w:szCs w:val="21"/>
                <w:highlight w:val="none"/>
              </w:rPr>
            </w:pPr>
          </w:p>
        </w:tc>
        <w:tc>
          <w:tcPr>
            <w:tcW w:w="1481" w:type="dxa"/>
          </w:tcPr>
          <w:p>
            <w:pPr>
              <w:spacing w:line="360" w:lineRule="auto"/>
              <w:rPr>
                <w:rFonts w:hint="eastAsia" w:ascii="宋体" w:hAnsi="宋体" w:eastAsia="宋体" w:cs="宋体"/>
                <w:color w:val="auto"/>
                <w:sz w:val="21"/>
                <w:szCs w:val="21"/>
                <w:highlight w:val="none"/>
              </w:rPr>
            </w:pPr>
          </w:p>
        </w:tc>
        <w:tc>
          <w:tcPr>
            <w:tcW w:w="1481" w:type="dxa"/>
          </w:tcPr>
          <w:p>
            <w:pPr>
              <w:spacing w:line="36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480" w:type="dxa"/>
          </w:tcPr>
          <w:p>
            <w:pPr>
              <w:spacing w:line="360" w:lineRule="auto"/>
              <w:rPr>
                <w:rFonts w:hint="eastAsia" w:ascii="宋体" w:hAnsi="宋体" w:eastAsia="宋体" w:cs="宋体"/>
                <w:color w:val="auto"/>
                <w:sz w:val="21"/>
                <w:szCs w:val="21"/>
                <w:highlight w:val="none"/>
              </w:rPr>
            </w:pPr>
          </w:p>
        </w:tc>
        <w:tc>
          <w:tcPr>
            <w:tcW w:w="1480" w:type="dxa"/>
          </w:tcPr>
          <w:p>
            <w:pPr>
              <w:spacing w:line="360" w:lineRule="auto"/>
              <w:rPr>
                <w:rFonts w:hint="eastAsia" w:ascii="宋体" w:hAnsi="宋体" w:eastAsia="宋体" w:cs="宋体"/>
                <w:color w:val="auto"/>
                <w:sz w:val="21"/>
                <w:szCs w:val="21"/>
                <w:highlight w:val="none"/>
              </w:rPr>
            </w:pPr>
          </w:p>
        </w:tc>
        <w:tc>
          <w:tcPr>
            <w:tcW w:w="1480" w:type="dxa"/>
          </w:tcPr>
          <w:p>
            <w:pPr>
              <w:spacing w:line="360" w:lineRule="auto"/>
              <w:rPr>
                <w:rFonts w:hint="eastAsia" w:ascii="宋体" w:hAnsi="宋体" w:eastAsia="宋体" w:cs="宋体"/>
                <w:color w:val="auto"/>
                <w:sz w:val="21"/>
                <w:szCs w:val="21"/>
                <w:highlight w:val="none"/>
              </w:rPr>
            </w:pPr>
          </w:p>
        </w:tc>
        <w:tc>
          <w:tcPr>
            <w:tcW w:w="1608" w:type="dxa"/>
          </w:tcPr>
          <w:p>
            <w:pPr>
              <w:spacing w:line="360" w:lineRule="auto"/>
              <w:rPr>
                <w:rFonts w:hint="eastAsia" w:ascii="宋体" w:hAnsi="宋体" w:eastAsia="宋体" w:cs="宋体"/>
                <w:color w:val="auto"/>
                <w:sz w:val="21"/>
                <w:szCs w:val="21"/>
                <w:highlight w:val="none"/>
              </w:rPr>
            </w:pPr>
          </w:p>
        </w:tc>
        <w:tc>
          <w:tcPr>
            <w:tcW w:w="1481" w:type="dxa"/>
          </w:tcPr>
          <w:p>
            <w:pPr>
              <w:spacing w:line="360" w:lineRule="auto"/>
              <w:rPr>
                <w:rFonts w:hint="eastAsia" w:ascii="宋体" w:hAnsi="宋体" w:eastAsia="宋体" w:cs="宋体"/>
                <w:color w:val="auto"/>
                <w:sz w:val="21"/>
                <w:szCs w:val="21"/>
                <w:highlight w:val="none"/>
              </w:rPr>
            </w:pPr>
          </w:p>
        </w:tc>
        <w:tc>
          <w:tcPr>
            <w:tcW w:w="1481" w:type="dxa"/>
          </w:tcPr>
          <w:p>
            <w:pPr>
              <w:spacing w:line="360" w:lineRule="auto"/>
              <w:rPr>
                <w:rFonts w:hint="eastAsia" w:ascii="宋体" w:hAnsi="宋体" w:eastAsia="宋体" w:cs="宋体"/>
                <w:color w:val="auto"/>
                <w:sz w:val="21"/>
                <w:szCs w:val="21"/>
                <w:highlight w:val="none"/>
              </w:rPr>
            </w:pPr>
          </w:p>
        </w:tc>
      </w:tr>
    </w:tbl>
    <w:p>
      <w:pPr>
        <w:spacing w:line="360" w:lineRule="auto"/>
        <w:jc w:val="center"/>
        <w:rPr>
          <w:rFonts w:hint="eastAsia" w:ascii="宋体" w:hAnsi="宋体" w:eastAsia="宋体" w:cs="宋体"/>
          <w:b/>
          <w:bCs/>
          <w:color w:val="auto"/>
          <w:szCs w:val="28"/>
          <w:highlight w:val="none"/>
        </w:rPr>
      </w:pPr>
    </w:p>
    <w:p>
      <w:pPr>
        <w:spacing w:line="360" w:lineRule="auto"/>
        <w:jc w:val="center"/>
        <w:rPr>
          <w:rFonts w:hint="eastAsia" w:ascii="宋体" w:hAnsi="宋体" w:eastAsia="宋体" w:cs="宋体"/>
          <w:b/>
          <w:bCs/>
          <w:color w:val="auto"/>
          <w:szCs w:val="28"/>
          <w:highlight w:val="none"/>
        </w:rPr>
      </w:pPr>
    </w:p>
    <w:p>
      <w:pPr>
        <w:tabs>
          <w:tab w:val="left" w:pos="720"/>
        </w:tabs>
        <w:spacing w:line="360" w:lineRule="auto"/>
        <w:rPr>
          <w:rFonts w:hint="eastAsia" w:ascii="宋体" w:hAnsi="宋体" w:eastAsia="宋体" w:cs="宋体"/>
          <w:b/>
          <w:color w:val="auto"/>
          <w:sz w:val="24"/>
          <w:szCs w:val="24"/>
          <w:highlight w:val="none"/>
        </w:rPr>
        <w:sectPr>
          <w:pgSz w:w="11900" w:h="16838"/>
          <w:pgMar w:top="1440" w:right="1440" w:bottom="158" w:left="1440" w:header="567" w:footer="567" w:gutter="0"/>
          <w:cols w:equalWidth="0" w:num="1">
            <w:col w:w="9026"/>
          </w:cols>
        </w:sectPr>
      </w:pPr>
      <w:bookmarkStart w:id="206" w:name="_Toc28662_WPSOffice_Level2"/>
      <w:bookmarkStart w:id="207" w:name="_Toc152042588"/>
      <w:bookmarkStart w:id="208" w:name="_Toc152045799"/>
      <w:bookmarkStart w:id="209" w:name="_Toc179632819"/>
      <w:bookmarkStart w:id="210" w:name="_Toc144974867"/>
      <w:bookmarkStart w:id="211" w:name="_Toc246392157"/>
    </w:p>
    <w:p>
      <w:pPr>
        <w:tabs>
          <w:tab w:val="left" w:pos="720"/>
        </w:tabs>
        <w:spacing w:line="360" w:lineRule="auto"/>
        <w:rPr>
          <w:rFonts w:hint="eastAsia" w:ascii="宋体" w:hAnsi="宋体" w:eastAsia="宋体" w:cs="宋体"/>
          <w:b/>
          <w:color w:val="auto"/>
          <w:sz w:val="24"/>
          <w:szCs w:val="24"/>
          <w:highlight w:val="none"/>
        </w:rPr>
      </w:pPr>
      <w:bookmarkStart w:id="212" w:name="_Toc24589_WPSOffice_Level2"/>
      <w:bookmarkStart w:id="213" w:name="_Toc17278_WPSOffice_Level2"/>
      <w:r>
        <w:rPr>
          <w:rFonts w:hint="eastAsia" w:ascii="宋体" w:hAnsi="宋体" w:eastAsia="宋体" w:cs="宋体"/>
          <w:b/>
          <w:color w:val="auto"/>
          <w:sz w:val="24"/>
          <w:szCs w:val="24"/>
          <w:highlight w:val="none"/>
        </w:rPr>
        <w:t>附表六：劳动力计划表</w:t>
      </w:r>
      <w:bookmarkEnd w:id="206"/>
      <w:bookmarkEnd w:id="207"/>
      <w:bookmarkEnd w:id="208"/>
      <w:bookmarkEnd w:id="209"/>
      <w:bookmarkEnd w:id="210"/>
      <w:bookmarkEnd w:id="211"/>
      <w:bookmarkEnd w:id="212"/>
      <w:bookmarkEnd w:id="213"/>
    </w:p>
    <w:p>
      <w:pPr>
        <w:spacing w:line="440" w:lineRule="exact"/>
        <w:ind w:right="41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bookmarkStart w:id="214" w:name="_Toc10130_WPSOffice_Level2"/>
      <w:bookmarkStart w:id="215" w:name="_Toc3046_WPSOffice_Level2"/>
      <w:bookmarkStart w:id="216" w:name="_Toc13766_WPSOffice_Level2"/>
      <w:r>
        <w:rPr>
          <w:rFonts w:hint="eastAsia" w:ascii="宋体" w:hAnsi="宋体" w:eastAsia="宋体" w:cs="宋体"/>
          <w:color w:val="auto"/>
          <w:sz w:val="24"/>
          <w:szCs w:val="24"/>
          <w:highlight w:val="none"/>
        </w:rPr>
        <w:t>单位：人</w:t>
      </w:r>
      <w:bookmarkEnd w:id="214"/>
      <w:bookmarkEnd w:id="215"/>
      <w:bookmarkEnd w:id="216"/>
    </w:p>
    <w:tbl>
      <w:tblPr>
        <w:tblStyle w:val="19"/>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49"/>
        <w:gridCol w:w="1234"/>
        <w:gridCol w:w="1234"/>
        <w:gridCol w:w="953"/>
        <w:gridCol w:w="1234"/>
        <w:gridCol w:w="1234"/>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59" w:type="dxa"/>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工种</w:t>
            </w:r>
          </w:p>
        </w:tc>
        <w:tc>
          <w:tcPr>
            <w:tcW w:w="8061" w:type="dxa"/>
            <w:gridSpan w:val="7"/>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59" w:type="dxa"/>
            <w:vAlign w:val="center"/>
          </w:tcPr>
          <w:p>
            <w:pPr>
              <w:spacing w:line="440" w:lineRule="exact"/>
              <w:jc w:val="center"/>
              <w:rPr>
                <w:rFonts w:hint="eastAsia" w:ascii="宋体" w:hAnsi="宋体" w:eastAsia="宋体" w:cs="宋体"/>
                <w:color w:val="auto"/>
                <w:szCs w:val="21"/>
                <w:highlight w:val="none"/>
              </w:rPr>
            </w:pPr>
          </w:p>
        </w:tc>
        <w:tc>
          <w:tcPr>
            <w:tcW w:w="949" w:type="dxa"/>
            <w:vAlign w:val="center"/>
          </w:tcPr>
          <w:p>
            <w:pPr>
              <w:spacing w:line="440" w:lineRule="exact"/>
              <w:jc w:val="center"/>
              <w:rPr>
                <w:rFonts w:hint="eastAsia" w:ascii="宋体" w:hAnsi="宋体" w:eastAsia="宋体" w:cs="宋体"/>
                <w:color w:val="auto"/>
                <w:szCs w:val="21"/>
                <w:highlight w:val="none"/>
              </w:rPr>
            </w:pPr>
          </w:p>
        </w:tc>
        <w:tc>
          <w:tcPr>
            <w:tcW w:w="1234" w:type="dxa"/>
            <w:vAlign w:val="center"/>
          </w:tcPr>
          <w:p>
            <w:pPr>
              <w:spacing w:line="440" w:lineRule="exact"/>
              <w:jc w:val="center"/>
              <w:rPr>
                <w:rFonts w:hint="eastAsia" w:ascii="宋体" w:hAnsi="宋体" w:eastAsia="宋体" w:cs="宋体"/>
                <w:color w:val="auto"/>
                <w:szCs w:val="21"/>
                <w:highlight w:val="none"/>
              </w:rPr>
            </w:pPr>
          </w:p>
        </w:tc>
        <w:tc>
          <w:tcPr>
            <w:tcW w:w="1234" w:type="dxa"/>
            <w:vAlign w:val="center"/>
          </w:tcPr>
          <w:p>
            <w:pPr>
              <w:spacing w:line="440" w:lineRule="exact"/>
              <w:jc w:val="center"/>
              <w:rPr>
                <w:rFonts w:hint="eastAsia" w:ascii="宋体" w:hAnsi="宋体" w:eastAsia="宋体" w:cs="宋体"/>
                <w:color w:val="auto"/>
                <w:szCs w:val="21"/>
                <w:highlight w:val="none"/>
              </w:rPr>
            </w:pPr>
          </w:p>
        </w:tc>
        <w:tc>
          <w:tcPr>
            <w:tcW w:w="953" w:type="dxa"/>
            <w:vAlign w:val="center"/>
          </w:tcPr>
          <w:p>
            <w:pPr>
              <w:spacing w:line="440" w:lineRule="exact"/>
              <w:jc w:val="center"/>
              <w:rPr>
                <w:rFonts w:hint="eastAsia" w:ascii="宋体" w:hAnsi="宋体" w:eastAsia="宋体" w:cs="宋体"/>
                <w:color w:val="auto"/>
                <w:szCs w:val="21"/>
                <w:highlight w:val="none"/>
              </w:rPr>
            </w:pPr>
          </w:p>
        </w:tc>
        <w:tc>
          <w:tcPr>
            <w:tcW w:w="1234" w:type="dxa"/>
            <w:vAlign w:val="center"/>
          </w:tcPr>
          <w:p>
            <w:pPr>
              <w:spacing w:line="440" w:lineRule="exact"/>
              <w:jc w:val="center"/>
              <w:rPr>
                <w:rFonts w:hint="eastAsia" w:ascii="宋体" w:hAnsi="宋体" w:eastAsia="宋体" w:cs="宋体"/>
                <w:color w:val="auto"/>
                <w:szCs w:val="21"/>
                <w:highlight w:val="none"/>
              </w:rPr>
            </w:pPr>
          </w:p>
        </w:tc>
        <w:tc>
          <w:tcPr>
            <w:tcW w:w="1234" w:type="dxa"/>
            <w:vAlign w:val="center"/>
          </w:tcPr>
          <w:p>
            <w:pPr>
              <w:spacing w:line="440" w:lineRule="exact"/>
              <w:jc w:val="center"/>
              <w:rPr>
                <w:rFonts w:hint="eastAsia" w:ascii="宋体" w:hAnsi="宋体" w:eastAsia="宋体" w:cs="宋体"/>
                <w:color w:val="auto"/>
                <w:szCs w:val="21"/>
                <w:highlight w:val="none"/>
              </w:rPr>
            </w:pPr>
          </w:p>
        </w:tc>
        <w:tc>
          <w:tcPr>
            <w:tcW w:w="1223" w:type="dxa"/>
            <w:vAlign w:val="center"/>
          </w:tcPr>
          <w:p>
            <w:pPr>
              <w:spacing w:line="44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59" w:type="dxa"/>
            <w:vAlign w:val="center"/>
          </w:tcPr>
          <w:p>
            <w:pPr>
              <w:spacing w:line="440" w:lineRule="exact"/>
              <w:jc w:val="center"/>
              <w:rPr>
                <w:rFonts w:hint="eastAsia" w:ascii="宋体" w:hAnsi="宋体" w:eastAsia="宋体" w:cs="宋体"/>
                <w:color w:val="auto"/>
                <w:szCs w:val="21"/>
                <w:highlight w:val="none"/>
              </w:rPr>
            </w:pPr>
          </w:p>
        </w:tc>
        <w:tc>
          <w:tcPr>
            <w:tcW w:w="949" w:type="dxa"/>
            <w:vAlign w:val="center"/>
          </w:tcPr>
          <w:p>
            <w:pPr>
              <w:spacing w:line="440" w:lineRule="exact"/>
              <w:jc w:val="center"/>
              <w:rPr>
                <w:rFonts w:hint="eastAsia" w:ascii="宋体" w:hAnsi="宋体" w:eastAsia="宋体" w:cs="宋体"/>
                <w:color w:val="auto"/>
                <w:szCs w:val="21"/>
                <w:highlight w:val="none"/>
              </w:rPr>
            </w:pPr>
          </w:p>
        </w:tc>
        <w:tc>
          <w:tcPr>
            <w:tcW w:w="1234" w:type="dxa"/>
            <w:vAlign w:val="center"/>
          </w:tcPr>
          <w:p>
            <w:pPr>
              <w:spacing w:line="440" w:lineRule="exact"/>
              <w:jc w:val="center"/>
              <w:rPr>
                <w:rFonts w:hint="eastAsia" w:ascii="宋体" w:hAnsi="宋体" w:eastAsia="宋体" w:cs="宋体"/>
                <w:color w:val="auto"/>
                <w:szCs w:val="21"/>
                <w:highlight w:val="none"/>
              </w:rPr>
            </w:pPr>
          </w:p>
        </w:tc>
        <w:tc>
          <w:tcPr>
            <w:tcW w:w="1234" w:type="dxa"/>
            <w:vAlign w:val="center"/>
          </w:tcPr>
          <w:p>
            <w:pPr>
              <w:spacing w:line="440" w:lineRule="exact"/>
              <w:jc w:val="center"/>
              <w:rPr>
                <w:rFonts w:hint="eastAsia" w:ascii="宋体" w:hAnsi="宋体" w:eastAsia="宋体" w:cs="宋体"/>
                <w:color w:val="auto"/>
                <w:szCs w:val="21"/>
                <w:highlight w:val="none"/>
              </w:rPr>
            </w:pPr>
          </w:p>
        </w:tc>
        <w:tc>
          <w:tcPr>
            <w:tcW w:w="953" w:type="dxa"/>
            <w:vAlign w:val="center"/>
          </w:tcPr>
          <w:p>
            <w:pPr>
              <w:spacing w:line="440" w:lineRule="exact"/>
              <w:jc w:val="center"/>
              <w:rPr>
                <w:rFonts w:hint="eastAsia" w:ascii="宋体" w:hAnsi="宋体" w:eastAsia="宋体" w:cs="宋体"/>
                <w:color w:val="auto"/>
                <w:szCs w:val="21"/>
                <w:highlight w:val="none"/>
              </w:rPr>
            </w:pPr>
          </w:p>
        </w:tc>
        <w:tc>
          <w:tcPr>
            <w:tcW w:w="1234" w:type="dxa"/>
            <w:vAlign w:val="center"/>
          </w:tcPr>
          <w:p>
            <w:pPr>
              <w:spacing w:line="440" w:lineRule="exact"/>
              <w:jc w:val="center"/>
              <w:rPr>
                <w:rFonts w:hint="eastAsia" w:ascii="宋体" w:hAnsi="宋体" w:eastAsia="宋体" w:cs="宋体"/>
                <w:color w:val="auto"/>
                <w:szCs w:val="21"/>
                <w:highlight w:val="none"/>
              </w:rPr>
            </w:pPr>
          </w:p>
        </w:tc>
        <w:tc>
          <w:tcPr>
            <w:tcW w:w="1234" w:type="dxa"/>
            <w:vAlign w:val="center"/>
          </w:tcPr>
          <w:p>
            <w:pPr>
              <w:spacing w:line="440" w:lineRule="exact"/>
              <w:jc w:val="center"/>
              <w:rPr>
                <w:rFonts w:hint="eastAsia" w:ascii="宋体" w:hAnsi="宋体" w:eastAsia="宋体" w:cs="宋体"/>
                <w:color w:val="auto"/>
                <w:szCs w:val="21"/>
                <w:highlight w:val="none"/>
              </w:rPr>
            </w:pPr>
          </w:p>
        </w:tc>
        <w:tc>
          <w:tcPr>
            <w:tcW w:w="1223" w:type="dxa"/>
            <w:vAlign w:val="center"/>
          </w:tcPr>
          <w:p>
            <w:pPr>
              <w:spacing w:line="44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59" w:type="dxa"/>
          </w:tcPr>
          <w:p>
            <w:pPr>
              <w:spacing w:line="440" w:lineRule="exact"/>
              <w:jc w:val="center"/>
              <w:rPr>
                <w:rFonts w:hint="eastAsia" w:ascii="宋体" w:hAnsi="宋体" w:eastAsia="宋体" w:cs="宋体"/>
                <w:color w:val="auto"/>
                <w:szCs w:val="21"/>
                <w:highlight w:val="none"/>
              </w:rPr>
            </w:pPr>
          </w:p>
        </w:tc>
        <w:tc>
          <w:tcPr>
            <w:tcW w:w="949" w:type="dxa"/>
          </w:tcPr>
          <w:p>
            <w:pPr>
              <w:spacing w:line="440" w:lineRule="exact"/>
              <w:jc w:val="center"/>
              <w:rPr>
                <w:rFonts w:hint="eastAsia" w:ascii="宋体" w:hAnsi="宋体" w:eastAsia="宋体" w:cs="宋体"/>
                <w:color w:val="auto"/>
                <w:szCs w:val="21"/>
                <w:highlight w:val="none"/>
              </w:rPr>
            </w:pPr>
          </w:p>
        </w:tc>
        <w:tc>
          <w:tcPr>
            <w:tcW w:w="1234" w:type="dxa"/>
          </w:tcPr>
          <w:p>
            <w:pPr>
              <w:spacing w:line="440" w:lineRule="exact"/>
              <w:jc w:val="center"/>
              <w:rPr>
                <w:rFonts w:hint="eastAsia" w:ascii="宋体" w:hAnsi="宋体" w:eastAsia="宋体" w:cs="宋体"/>
                <w:color w:val="auto"/>
                <w:szCs w:val="21"/>
                <w:highlight w:val="none"/>
              </w:rPr>
            </w:pPr>
          </w:p>
        </w:tc>
        <w:tc>
          <w:tcPr>
            <w:tcW w:w="1234" w:type="dxa"/>
          </w:tcPr>
          <w:p>
            <w:pPr>
              <w:spacing w:line="440" w:lineRule="exact"/>
              <w:jc w:val="center"/>
              <w:rPr>
                <w:rFonts w:hint="eastAsia" w:ascii="宋体" w:hAnsi="宋体" w:eastAsia="宋体" w:cs="宋体"/>
                <w:color w:val="auto"/>
                <w:szCs w:val="21"/>
                <w:highlight w:val="none"/>
              </w:rPr>
            </w:pPr>
          </w:p>
        </w:tc>
        <w:tc>
          <w:tcPr>
            <w:tcW w:w="953" w:type="dxa"/>
          </w:tcPr>
          <w:p>
            <w:pPr>
              <w:spacing w:line="440" w:lineRule="exact"/>
              <w:jc w:val="center"/>
              <w:rPr>
                <w:rFonts w:hint="eastAsia" w:ascii="宋体" w:hAnsi="宋体" w:eastAsia="宋体" w:cs="宋体"/>
                <w:color w:val="auto"/>
                <w:szCs w:val="21"/>
                <w:highlight w:val="none"/>
              </w:rPr>
            </w:pPr>
          </w:p>
        </w:tc>
        <w:tc>
          <w:tcPr>
            <w:tcW w:w="1234" w:type="dxa"/>
          </w:tcPr>
          <w:p>
            <w:pPr>
              <w:spacing w:line="440" w:lineRule="exact"/>
              <w:jc w:val="center"/>
              <w:rPr>
                <w:rFonts w:hint="eastAsia" w:ascii="宋体" w:hAnsi="宋体" w:eastAsia="宋体" w:cs="宋体"/>
                <w:color w:val="auto"/>
                <w:szCs w:val="21"/>
                <w:highlight w:val="none"/>
              </w:rPr>
            </w:pPr>
          </w:p>
        </w:tc>
        <w:tc>
          <w:tcPr>
            <w:tcW w:w="1234" w:type="dxa"/>
          </w:tcPr>
          <w:p>
            <w:pPr>
              <w:spacing w:line="440" w:lineRule="exact"/>
              <w:jc w:val="center"/>
              <w:rPr>
                <w:rFonts w:hint="eastAsia" w:ascii="宋体" w:hAnsi="宋体" w:eastAsia="宋体" w:cs="宋体"/>
                <w:color w:val="auto"/>
                <w:szCs w:val="21"/>
                <w:highlight w:val="none"/>
              </w:rPr>
            </w:pPr>
          </w:p>
        </w:tc>
        <w:tc>
          <w:tcPr>
            <w:tcW w:w="1223" w:type="dxa"/>
          </w:tcPr>
          <w:p>
            <w:pPr>
              <w:spacing w:line="44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59" w:type="dxa"/>
          </w:tcPr>
          <w:p>
            <w:pPr>
              <w:spacing w:line="440" w:lineRule="exact"/>
              <w:jc w:val="center"/>
              <w:rPr>
                <w:rFonts w:hint="eastAsia" w:ascii="宋体" w:hAnsi="宋体" w:eastAsia="宋体" w:cs="宋体"/>
                <w:color w:val="auto"/>
                <w:szCs w:val="21"/>
                <w:highlight w:val="none"/>
              </w:rPr>
            </w:pPr>
          </w:p>
        </w:tc>
        <w:tc>
          <w:tcPr>
            <w:tcW w:w="949" w:type="dxa"/>
          </w:tcPr>
          <w:p>
            <w:pPr>
              <w:spacing w:line="440" w:lineRule="exact"/>
              <w:jc w:val="center"/>
              <w:rPr>
                <w:rFonts w:hint="eastAsia" w:ascii="宋体" w:hAnsi="宋体" w:eastAsia="宋体" w:cs="宋体"/>
                <w:color w:val="auto"/>
                <w:szCs w:val="21"/>
                <w:highlight w:val="none"/>
              </w:rPr>
            </w:pPr>
          </w:p>
        </w:tc>
        <w:tc>
          <w:tcPr>
            <w:tcW w:w="1234" w:type="dxa"/>
          </w:tcPr>
          <w:p>
            <w:pPr>
              <w:spacing w:line="440" w:lineRule="exact"/>
              <w:jc w:val="center"/>
              <w:rPr>
                <w:rFonts w:hint="eastAsia" w:ascii="宋体" w:hAnsi="宋体" w:eastAsia="宋体" w:cs="宋体"/>
                <w:color w:val="auto"/>
                <w:szCs w:val="21"/>
                <w:highlight w:val="none"/>
              </w:rPr>
            </w:pPr>
          </w:p>
        </w:tc>
        <w:tc>
          <w:tcPr>
            <w:tcW w:w="1234" w:type="dxa"/>
          </w:tcPr>
          <w:p>
            <w:pPr>
              <w:spacing w:line="440" w:lineRule="exact"/>
              <w:jc w:val="center"/>
              <w:rPr>
                <w:rFonts w:hint="eastAsia" w:ascii="宋体" w:hAnsi="宋体" w:eastAsia="宋体" w:cs="宋体"/>
                <w:color w:val="auto"/>
                <w:szCs w:val="21"/>
                <w:highlight w:val="none"/>
              </w:rPr>
            </w:pPr>
          </w:p>
        </w:tc>
        <w:tc>
          <w:tcPr>
            <w:tcW w:w="953" w:type="dxa"/>
          </w:tcPr>
          <w:p>
            <w:pPr>
              <w:spacing w:line="440" w:lineRule="exact"/>
              <w:jc w:val="center"/>
              <w:rPr>
                <w:rFonts w:hint="eastAsia" w:ascii="宋体" w:hAnsi="宋体" w:eastAsia="宋体" w:cs="宋体"/>
                <w:color w:val="auto"/>
                <w:szCs w:val="21"/>
                <w:highlight w:val="none"/>
              </w:rPr>
            </w:pPr>
          </w:p>
        </w:tc>
        <w:tc>
          <w:tcPr>
            <w:tcW w:w="1234" w:type="dxa"/>
          </w:tcPr>
          <w:p>
            <w:pPr>
              <w:spacing w:line="440" w:lineRule="exact"/>
              <w:jc w:val="center"/>
              <w:rPr>
                <w:rFonts w:hint="eastAsia" w:ascii="宋体" w:hAnsi="宋体" w:eastAsia="宋体" w:cs="宋体"/>
                <w:color w:val="auto"/>
                <w:szCs w:val="21"/>
                <w:highlight w:val="none"/>
              </w:rPr>
            </w:pPr>
          </w:p>
        </w:tc>
        <w:tc>
          <w:tcPr>
            <w:tcW w:w="1234" w:type="dxa"/>
          </w:tcPr>
          <w:p>
            <w:pPr>
              <w:spacing w:line="440" w:lineRule="exact"/>
              <w:jc w:val="center"/>
              <w:rPr>
                <w:rFonts w:hint="eastAsia" w:ascii="宋体" w:hAnsi="宋体" w:eastAsia="宋体" w:cs="宋体"/>
                <w:color w:val="auto"/>
                <w:szCs w:val="21"/>
                <w:highlight w:val="none"/>
              </w:rPr>
            </w:pPr>
          </w:p>
        </w:tc>
        <w:tc>
          <w:tcPr>
            <w:tcW w:w="1223" w:type="dxa"/>
          </w:tcPr>
          <w:p>
            <w:pPr>
              <w:spacing w:line="44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59" w:type="dxa"/>
          </w:tcPr>
          <w:p>
            <w:pPr>
              <w:spacing w:line="440" w:lineRule="exact"/>
              <w:jc w:val="center"/>
              <w:rPr>
                <w:rFonts w:hint="eastAsia" w:ascii="宋体" w:hAnsi="宋体" w:eastAsia="宋体" w:cs="宋体"/>
                <w:color w:val="auto"/>
                <w:szCs w:val="21"/>
                <w:highlight w:val="none"/>
              </w:rPr>
            </w:pPr>
          </w:p>
        </w:tc>
        <w:tc>
          <w:tcPr>
            <w:tcW w:w="949" w:type="dxa"/>
          </w:tcPr>
          <w:p>
            <w:pPr>
              <w:spacing w:line="440" w:lineRule="exact"/>
              <w:jc w:val="center"/>
              <w:rPr>
                <w:rFonts w:hint="eastAsia" w:ascii="宋体" w:hAnsi="宋体" w:eastAsia="宋体" w:cs="宋体"/>
                <w:color w:val="auto"/>
                <w:szCs w:val="21"/>
                <w:highlight w:val="none"/>
              </w:rPr>
            </w:pPr>
          </w:p>
        </w:tc>
        <w:tc>
          <w:tcPr>
            <w:tcW w:w="1234" w:type="dxa"/>
          </w:tcPr>
          <w:p>
            <w:pPr>
              <w:spacing w:line="440" w:lineRule="exact"/>
              <w:jc w:val="center"/>
              <w:rPr>
                <w:rFonts w:hint="eastAsia" w:ascii="宋体" w:hAnsi="宋体" w:eastAsia="宋体" w:cs="宋体"/>
                <w:color w:val="auto"/>
                <w:szCs w:val="21"/>
                <w:highlight w:val="none"/>
              </w:rPr>
            </w:pPr>
          </w:p>
        </w:tc>
        <w:tc>
          <w:tcPr>
            <w:tcW w:w="1234" w:type="dxa"/>
          </w:tcPr>
          <w:p>
            <w:pPr>
              <w:spacing w:line="440" w:lineRule="exact"/>
              <w:jc w:val="center"/>
              <w:rPr>
                <w:rFonts w:hint="eastAsia" w:ascii="宋体" w:hAnsi="宋体" w:eastAsia="宋体" w:cs="宋体"/>
                <w:color w:val="auto"/>
                <w:szCs w:val="21"/>
                <w:highlight w:val="none"/>
              </w:rPr>
            </w:pPr>
          </w:p>
        </w:tc>
        <w:tc>
          <w:tcPr>
            <w:tcW w:w="953" w:type="dxa"/>
          </w:tcPr>
          <w:p>
            <w:pPr>
              <w:spacing w:line="440" w:lineRule="exact"/>
              <w:jc w:val="center"/>
              <w:rPr>
                <w:rFonts w:hint="eastAsia" w:ascii="宋体" w:hAnsi="宋体" w:eastAsia="宋体" w:cs="宋体"/>
                <w:color w:val="auto"/>
                <w:szCs w:val="21"/>
                <w:highlight w:val="none"/>
              </w:rPr>
            </w:pPr>
          </w:p>
        </w:tc>
        <w:tc>
          <w:tcPr>
            <w:tcW w:w="1234" w:type="dxa"/>
          </w:tcPr>
          <w:p>
            <w:pPr>
              <w:spacing w:line="440" w:lineRule="exact"/>
              <w:jc w:val="center"/>
              <w:rPr>
                <w:rFonts w:hint="eastAsia" w:ascii="宋体" w:hAnsi="宋体" w:eastAsia="宋体" w:cs="宋体"/>
                <w:color w:val="auto"/>
                <w:szCs w:val="21"/>
                <w:highlight w:val="none"/>
              </w:rPr>
            </w:pPr>
          </w:p>
        </w:tc>
        <w:tc>
          <w:tcPr>
            <w:tcW w:w="1234" w:type="dxa"/>
          </w:tcPr>
          <w:p>
            <w:pPr>
              <w:spacing w:line="440" w:lineRule="exact"/>
              <w:jc w:val="center"/>
              <w:rPr>
                <w:rFonts w:hint="eastAsia" w:ascii="宋体" w:hAnsi="宋体" w:eastAsia="宋体" w:cs="宋体"/>
                <w:color w:val="auto"/>
                <w:szCs w:val="21"/>
                <w:highlight w:val="none"/>
              </w:rPr>
            </w:pPr>
          </w:p>
        </w:tc>
        <w:tc>
          <w:tcPr>
            <w:tcW w:w="1223" w:type="dxa"/>
          </w:tcPr>
          <w:p>
            <w:pPr>
              <w:spacing w:line="440" w:lineRule="exact"/>
              <w:jc w:val="center"/>
              <w:rPr>
                <w:rFonts w:hint="eastAsia" w:ascii="宋体" w:hAnsi="宋体" w:eastAsia="宋体" w:cs="宋体"/>
                <w:color w:val="auto"/>
                <w:szCs w:val="21"/>
                <w:highlight w:val="none"/>
              </w:rPr>
            </w:pPr>
          </w:p>
        </w:tc>
      </w:tr>
    </w:tbl>
    <w:p>
      <w:pPr>
        <w:tabs>
          <w:tab w:val="left" w:pos="720"/>
        </w:tabs>
        <w:spacing w:line="360" w:lineRule="auto"/>
        <w:rPr>
          <w:rFonts w:hint="eastAsia" w:ascii="宋体" w:hAnsi="宋体" w:eastAsia="宋体" w:cs="宋体"/>
          <w:b/>
          <w:color w:val="auto"/>
          <w:sz w:val="24"/>
          <w:szCs w:val="24"/>
          <w:highlight w:val="none"/>
        </w:rPr>
      </w:pPr>
      <w:bookmarkStart w:id="217" w:name="_Toc152045800"/>
      <w:bookmarkStart w:id="218" w:name="_Toc152042589"/>
      <w:bookmarkStart w:id="219" w:name="_Toc179632820"/>
      <w:bookmarkStart w:id="220" w:name="_Toc144974868"/>
      <w:bookmarkStart w:id="221" w:name="_Toc246392158"/>
    </w:p>
    <w:p>
      <w:pPr>
        <w:tabs>
          <w:tab w:val="left" w:pos="720"/>
        </w:tabs>
        <w:spacing w:line="360" w:lineRule="auto"/>
        <w:rPr>
          <w:rFonts w:hint="eastAsia" w:ascii="宋体" w:hAnsi="宋体" w:eastAsia="宋体" w:cs="宋体"/>
          <w:b/>
          <w:color w:val="auto"/>
          <w:sz w:val="24"/>
          <w:szCs w:val="24"/>
          <w:highlight w:val="none"/>
        </w:rPr>
      </w:pPr>
    </w:p>
    <w:p>
      <w:pPr>
        <w:tabs>
          <w:tab w:val="left" w:pos="720"/>
        </w:tabs>
        <w:spacing w:line="360" w:lineRule="auto"/>
        <w:rPr>
          <w:rFonts w:hint="eastAsia" w:ascii="宋体" w:hAnsi="宋体" w:eastAsia="宋体" w:cs="宋体"/>
          <w:b/>
          <w:color w:val="auto"/>
          <w:sz w:val="24"/>
          <w:szCs w:val="24"/>
          <w:highlight w:val="none"/>
        </w:rPr>
      </w:pPr>
      <w:bookmarkStart w:id="222" w:name="_Toc21163_WPSOffice_Level2"/>
      <w:bookmarkStart w:id="223" w:name="_Toc5832_WPSOffice_Level2"/>
      <w:bookmarkStart w:id="224" w:name="_Toc28001_WPSOffice_Level2"/>
      <w:r>
        <w:rPr>
          <w:rFonts w:hint="eastAsia" w:ascii="宋体" w:hAnsi="宋体" w:eastAsia="宋体" w:cs="宋体"/>
          <w:b/>
          <w:color w:val="auto"/>
          <w:sz w:val="24"/>
          <w:szCs w:val="24"/>
          <w:highlight w:val="none"/>
        </w:rPr>
        <w:t>附表七：计划开、竣工日期和施工进度网络图</w:t>
      </w:r>
      <w:bookmarkEnd w:id="217"/>
      <w:bookmarkEnd w:id="218"/>
      <w:bookmarkEnd w:id="219"/>
      <w:bookmarkEnd w:id="220"/>
      <w:bookmarkEnd w:id="221"/>
      <w:bookmarkEnd w:id="222"/>
      <w:bookmarkEnd w:id="223"/>
      <w:bookmarkEnd w:id="224"/>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 </w:t>
      </w:r>
      <w:r>
        <w:rPr>
          <w:rFonts w:hint="eastAsia" w:ascii="宋体" w:hAnsi="宋体" w:eastAsia="宋体" w:cs="宋体"/>
          <w:color w:val="auto"/>
          <w:sz w:val="21"/>
          <w:szCs w:val="21"/>
          <w:highlight w:val="none"/>
        </w:rPr>
        <w:t>投标人应递交施工进度网络图或施工进度表，说明按招标文件要求的计划工期进行施工的各个关键日期。</w:t>
      </w:r>
    </w:p>
    <w:p>
      <w:pPr>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 xml:space="preserve">2. </w:t>
      </w:r>
      <w:r>
        <w:rPr>
          <w:rFonts w:hint="eastAsia" w:ascii="宋体" w:hAnsi="宋体" w:eastAsia="宋体" w:cs="宋体"/>
          <w:color w:val="auto"/>
          <w:sz w:val="21"/>
          <w:szCs w:val="21"/>
          <w:highlight w:val="none"/>
        </w:rPr>
        <w:t>施工进度表可采用网络图（或横道图）表示。</w:t>
      </w:r>
    </w:p>
    <w:p>
      <w:pPr>
        <w:pStyle w:val="4"/>
        <w:rPr>
          <w:rFonts w:hint="eastAsia" w:ascii="宋体" w:hAnsi="宋体" w:eastAsia="宋体" w:cs="宋体"/>
          <w:color w:val="auto"/>
          <w:sz w:val="24"/>
          <w:szCs w:val="24"/>
          <w:highlight w:val="none"/>
        </w:rPr>
        <w:sectPr>
          <w:pgSz w:w="11900" w:h="16838"/>
          <w:pgMar w:top="1440" w:right="1440" w:bottom="158" w:left="1440" w:header="567" w:footer="567" w:gutter="0"/>
          <w:cols w:equalWidth="0" w:num="1">
            <w:col w:w="9026"/>
          </w:cols>
        </w:sectPr>
      </w:pPr>
      <w:bookmarkStart w:id="225" w:name="page85"/>
      <w:bookmarkEnd w:id="225"/>
      <w:bookmarkStart w:id="226" w:name="_Toc24058_WPSOffice_Level2"/>
    </w:p>
    <w:p>
      <w:pPr>
        <w:pStyle w:val="4"/>
        <w:rPr>
          <w:rFonts w:hint="eastAsia" w:ascii="宋体" w:hAnsi="宋体" w:eastAsia="宋体" w:cs="宋体"/>
          <w:color w:val="auto"/>
          <w:sz w:val="24"/>
          <w:szCs w:val="24"/>
          <w:highlight w:val="none"/>
        </w:rPr>
      </w:pPr>
      <w:bookmarkStart w:id="227" w:name="_Toc27471_WPSOffice_Level2"/>
      <w:bookmarkStart w:id="228" w:name="_Toc29745_WPSOffice_Level2"/>
      <w:r>
        <w:rPr>
          <w:rFonts w:hint="eastAsia" w:ascii="宋体" w:hAnsi="宋体" w:eastAsia="宋体" w:cs="宋体"/>
          <w:color w:val="auto"/>
          <w:sz w:val="24"/>
          <w:szCs w:val="24"/>
          <w:highlight w:val="none"/>
        </w:rPr>
        <w:t>附件八：工程主要材料选材表</w:t>
      </w:r>
      <w:bookmarkEnd w:id="226"/>
      <w:bookmarkEnd w:id="227"/>
      <w:bookmarkEnd w:id="228"/>
    </w:p>
    <w:tbl>
      <w:tblPr>
        <w:tblStyle w:val="19"/>
        <w:tblW w:w="8528" w:type="dxa"/>
        <w:tblInd w:w="0" w:type="dxa"/>
        <w:tblLayout w:type="fixed"/>
        <w:tblCellMar>
          <w:top w:w="0" w:type="dxa"/>
          <w:left w:w="108" w:type="dxa"/>
          <w:bottom w:w="0" w:type="dxa"/>
          <w:right w:w="108" w:type="dxa"/>
        </w:tblCellMar>
      </w:tblPr>
      <w:tblGrid>
        <w:gridCol w:w="907"/>
        <w:gridCol w:w="2569"/>
        <w:gridCol w:w="5052"/>
      </w:tblGrid>
      <w:tr>
        <w:tblPrEx>
          <w:tblLayout w:type="fixed"/>
          <w:tblCellMar>
            <w:top w:w="0" w:type="dxa"/>
            <w:left w:w="108" w:type="dxa"/>
            <w:bottom w:w="0" w:type="dxa"/>
            <w:right w:w="108" w:type="dxa"/>
          </w:tblCellMar>
        </w:tblPrEx>
        <w:trPr>
          <w:trHeight w:val="735" w:hRule="atLeast"/>
        </w:trPr>
        <w:tc>
          <w:tcPr>
            <w:tcW w:w="90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序号</w:t>
            </w:r>
          </w:p>
        </w:tc>
        <w:tc>
          <w:tcPr>
            <w:tcW w:w="2569" w:type="dxa"/>
            <w:tcBorders>
              <w:top w:val="single" w:color="000000" w:sz="4" w:space="0"/>
              <w:left w:val="nil"/>
              <w:bottom w:val="single" w:color="000000" w:sz="4" w:space="0"/>
              <w:right w:val="single" w:color="000000" w:sz="4" w:space="0"/>
            </w:tcBorders>
            <w:shd w:val="clear" w:color="000000" w:fill="FFFFFF"/>
            <w:vAlign w:val="center"/>
          </w:tcPr>
          <w:p>
            <w:pPr>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材料名称</w:t>
            </w:r>
          </w:p>
        </w:tc>
        <w:tc>
          <w:tcPr>
            <w:tcW w:w="5052" w:type="dxa"/>
            <w:tcBorders>
              <w:top w:val="single" w:color="000000" w:sz="4" w:space="0"/>
              <w:left w:val="nil"/>
              <w:bottom w:val="single" w:color="000000" w:sz="4" w:space="0"/>
              <w:right w:val="single" w:color="000000" w:sz="4" w:space="0"/>
            </w:tcBorders>
            <w:shd w:val="clear" w:color="000000" w:fill="FFFFFF"/>
            <w:vAlign w:val="center"/>
          </w:tcPr>
          <w:p>
            <w:pPr>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选用品牌</w:t>
            </w:r>
          </w:p>
        </w:tc>
      </w:tr>
      <w:tr>
        <w:tblPrEx>
          <w:tblLayout w:type="fixed"/>
          <w:tblCellMar>
            <w:top w:w="0" w:type="dxa"/>
            <w:left w:w="108" w:type="dxa"/>
            <w:bottom w:w="0" w:type="dxa"/>
            <w:right w:w="108" w:type="dxa"/>
          </w:tblCellMar>
        </w:tblPrEx>
        <w:trPr>
          <w:trHeight w:val="462" w:hRule="atLeast"/>
        </w:trPr>
        <w:tc>
          <w:tcPr>
            <w:tcW w:w="907" w:type="dxa"/>
            <w:tcBorders>
              <w:top w:val="nil"/>
              <w:left w:val="single" w:color="000000" w:sz="4" w:space="0"/>
              <w:bottom w:val="single" w:color="000000" w:sz="4" w:space="0"/>
              <w:right w:val="single" w:color="000000" w:sz="4" w:space="0"/>
            </w:tcBorders>
            <w:shd w:val="clear" w:color="000000" w:fill="FFFFFF"/>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2569" w:type="dxa"/>
            <w:tcBorders>
              <w:top w:val="nil"/>
              <w:left w:val="nil"/>
              <w:bottom w:val="single" w:color="000000" w:sz="4" w:space="0"/>
              <w:right w:val="single" w:color="000000" w:sz="4" w:space="0"/>
            </w:tcBorders>
            <w:shd w:val="clear" w:color="000000" w:fill="FFFFFF"/>
            <w:vAlign w:val="center"/>
          </w:tcPr>
          <w:p>
            <w:pPr>
              <w:pStyle w:val="45"/>
              <w:jc w:val="center"/>
              <w:rPr>
                <w:rFonts w:hint="eastAsia" w:ascii="宋体" w:hAnsi="宋体" w:eastAsia="宋体" w:cs="宋体"/>
                <w:color w:val="auto"/>
                <w:sz w:val="21"/>
                <w:szCs w:val="21"/>
                <w:highlight w:val="none"/>
              </w:rPr>
            </w:pPr>
          </w:p>
        </w:tc>
        <w:tc>
          <w:tcPr>
            <w:tcW w:w="5052" w:type="dxa"/>
            <w:tcBorders>
              <w:top w:val="nil"/>
              <w:left w:val="nil"/>
              <w:bottom w:val="single" w:color="000000" w:sz="4" w:space="0"/>
              <w:right w:val="single" w:color="000000" w:sz="4" w:space="0"/>
            </w:tcBorders>
            <w:shd w:val="clear" w:color="000000" w:fill="FFFFFF"/>
            <w:vAlign w:val="center"/>
          </w:tcPr>
          <w:p>
            <w:pPr>
              <w:pStyle w:val="45"/>
              <w:rPr>
                <w:rFonts w:hint="eastAsia" w:ascii="宋体" w:hAnsi="宋体" w:eastAsia="宋体" w:cs="宋体"/>
                <w:color w:val="auto"/>
                <w:sz w:val="21"/>
                <w:szCs w:val="21"/>
                <w:highlight w:val="none"/>
              </w:rPr>
            </w:pPr>
          </w:p>
        </w:tc>
      </w:tr>
      <w:tr>
        <w:tblPrEx>
          <w:tblLayout w:type="fixed"/>
          <w:tblCellMar>
            <w:top w:w="0" w:type="dxa"/>
            <w:left w:w="108" w:type="dxa"/>
            <w:bottom w:w="0" w:type="dxa"/>
            <w:right w:w="108" w:type="dxa"/>
          </w:tblCellMar>
        </w:tblPrEx>
        <w:trPr>
          <w:trHeight w:val="462" w:hRule="atLeast"/>
        </w:trPr>
        <w:tc>
          <w:tcPr>
            <w:tcW w:w="907" w:type="dxa"/>
            <w:tcBorders>
              <w:top w:val="nil"/>
              <w:left w:val="single" w:color="000000" w:sz="4" w:space="0"/>
              <w:bottom w:val="single" w:color="000000" w:sz="4" w:space="0"/>
              <w:right w:val="single" w:color="000000" w:sz="4" w:space="0"/>
            </w:tcBorders>
            <w:shd w:val="clear" w:color="000000" w:fill="FFFFFF"/>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2569" w:type="dxa"/>
            <w:tcBorders>
              <w:top w:val="nil"/>
              <w:left w:val="nil"/>
              <w:bottom w:val="single" w:color="000000" w:sz="4" w:space="0"/>
              <w:right w:val="single" w:color="000000" w:sz="4" w:space="0"/>
            </w:tcBorders>
            <w:shd w:val="clear" w:color="000000" w:fill="FFFFFF"/>
            <w:vAlign w:val="center"/>
          </w:tcPr>
          <w:p>
            <w:pPr>
              <w:pStyle w:val="45"/>
              <w:jc w:val="center"/>
              <w:rPr>
                <w:rFonts w:hint="eastAsia" w:ascii="宋体" w:hAnsi="宋体" w:eastAsia="宋体" w:cs="宋体"/>
                <w:color w:val="auto"/>
                <w:sz w:val="21"/>
                <w:szCs w:val="21"/>
                <w:highlight w:val="none"/>
              </w:rPr>
            </w:pPr>
          </w:p>
        </w:tc>
        <w:tc>
          <w:tcPr>
            <w:tcW w:w="5052" w:type="dxa"/>
            <w:tcBorders>
              <w:top w:val="nil"/>
              <w:left w:val="nil"/>
              <w:bottom w:val="single" w:color="000000" w:sz="4" w:space="0"/>
              <w:right w:val="single" w:color="000000" w:sz="4" w:space="0"/>
            </w:tcBorders>
            <w:shd w:val="clear" w:color="000000" w:fill="FFFFFF"/>
            <w:vAlign w:val="center"/>
          </w:tcPr>
          <w:p>
            <w:pPr>
              <w:pStyle w:val="45"/>
              <w:rPr>
                <w:rFonts w:hint="eastAsia" w:ascii="宋体" w:hAnsi="宋体" w:eastAsia="宋体" w:cs="宋体"/>
                <w:color w:val="auto"/>
                <w:sz w:val="21"/>
                <w:szCs w:val="21"/>
                <w:highlight w:val="none"/>
              </w:rPr>
            </w:pPr>
          </w:p>
        </w:tc>
      </w:tr>
      <w:tr>
        <w:tblPrEx>
          <w:tblLayout w:type="fixed"/>
          <w:tblCellMar>
            <w:top w:w="0" w:type="dxa"/>
            <w:left w:w="108" w:type="dxa"/>
            <w:bottom w:w="0" w:type="dxa"/>
            <w:right w:w="108" w:type="dxa"/>
          </w:tblCellMar>
        </w:tblPrEx>
        <w:trPr>
          <w:trHeight w:val="462" w:hRule="atLeast"/>
        </w:trPr>
        <w:tc>
          <w:tcPr>
            <w:tcW w:w="907" w:type="dxa"/>
            <w:tcBorders>
              <w:top w:val="nil"/>
              <w:left w:val="single" w:color="000000" w:sz="4" w:space="0"/>
              <w:bottom w:val="single" w:color="000000" w:sz="4" w:space="0"/>
              <w:right w:val="single" w:color="000000" w:sz="4" w:space="0"/>
            </w:tcBorders>
            <w:shd w:val="clear" w:color="000000" w:fill="FFFFFF"/>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p>
        </w:tc>
        <w:tc>
          <w:tcPr>
            <w:tcW w:w="2569" w:type="dxa"/>
            <w:tcBorders>
              <w:top w:val="nil"/>
              <w:left w:val="nil"/>
              <w:bottom w:val="single" w:color="000000" w:sz="4" w:space="0"/>
              <w:right w:val="single" w:color="000000" w:sz="4" w:space="0"/>
            </w:tcBorders>
            <w:shd w:val="clear" w:color="000000" w:fill="FFFFFF"/>
            <w:vAlign w:val="center"/>
          </w:tcPr>
          <w:p>
            <w:pPr>
              <w:pStyle w:val="45"/>
              <w:jc w:val="center"/>
              <w:rPr>
                <w:rFonts w:hint="eastAsia" w:ascii="宋体" w:hAnsi="宋体" w:eastAsia="宋体" w:cs="宋体"/>
                <w:color w:val="auto"/>
                <w:sz w:val="21"/>
                <w:szCs w:val="21"/>
                <w:highlight w:val="none"/>
              </w:rPr>
            </w:pPr>
          </w:p>
        </w:tc>
        <w:tc>
          <w:tcPr>
            <w:tcW w:w="5052" w:type="dxa"/>
            <w:tcBorders>
              <w:top w:val="nil"/>
              <w:left w:val="nil"/>
              <w:bottom w:val="single" w:color="000000" w:sz="4" w:space="0"/>
              <w:right w:val="single" w:color="000000" w:sz="4" w:space="0"/>
            </w:tcBorders>
            <w:shd w:val="clear" w:color="000000" w:fill="FFFFFF"/>
            <w:vAlign w:val="center"/>
          </w:tcPr>
          <w:p>
            <w:pPr>
              <w:pStyle w:val="45"/>
              <w:rPr>
                <w:rFonts w:hint="eastAsia" w:ascii="宋体" w:hAnsi="宋体" w:eastAsia="宋体" w:cs="宋体"/>
                <w:color w:val="auto"/>
                <w:sz w:val="21"/>
                <w:szCs w:val="21"/>
                <w:highlight w:val="none"/>
              </w:rPr>
            </w:pPr>
          </w:p>
        </w:tc>
      </w:tr>
      <w:tr>
        <w:tblPrEx>
          <w:tblLayout w:type="fixed"/>
          <w:tblCellMar>
            <w:top w:w="0" w:type="dxa"/>
            <w:left w:w="108" w:type="dxa"/>
            <w:bottom w:w="0" w:type="dxa"/>
            <w:right w:w="108" w:type="dxa"/>
          </w:tblCellMar>
        </w:tblPrEx>
        <w:trPr>
          <w:trHeight w:val="462" w:hRule="atLeast"/>
        </w:trPr>
        <w:tc>
          <w:tcPr>
            <w:tcW w:w="907" w:type="dxa"/>
            <w:tcBorders>
              <w:top w:val="nil"/>
              <w:left w:val="single" w:color="000000" w:sz="4" w:space="0"/>
              <w:bottom w:val="single" w:color="000000" w:sz="4" w:space="0"/>
              <w:right w:val="single" w:color="000000" w:sz="4" w:space="0"/>
            </w:tcBorders>
            <w:shd w:val="clear" w:color="000000" w:fill="FFFFFF"/>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w:t>
            </w:r>
          </w:p>
        </w:tc>
        <w:tc>
          <w:tcPr>
            <w:tcW w:w="2569" w:type="dxa"/>
            <w:tcBorders>
              <w:top w:val="nil"/>
              <w:left w:val="nil"/>
              <w:bottom w:val="single" w:color="000000" w:sz="4" w:space="0"/>
              <w:right w:val="single" w:color="000000" w:sz="4" w:space="0"/>
            </w:tcBorders>
            <w:shd w:val="clear" w:color="000000" w:fill="FFFFFF"/>
            <w:vAlign w:val="center"/>
          </w:tcPr>
          <w:p>
            <w:pPr>
              <w:pStyle w:val="45"/>
              <w:jc w:val="center"/>
              <w:rPr>
                <w:rFonts w:hint="eastAsia" w:ascii="宋体" w:hAnsi="宋体" w:eastAsia="宋体" w:cs="宋体"/>
                <w:color w:val="auto"/>
                <w:sz w:val="21"/>
                <w:szCs w:val="21"/>
                <w:highlight w:val="none"/>
              </w:rPr>
            </w:pPr>
          </w:p>
        </w:tc>
        <w:tc>
          <w:tcPr>
            <w:tcW w:w="5052" w:type="dxa"/>
            <w:tcBorders>
              <w:top w:val="nil"/>
              <w:left w:val="nil"/>
              <w:bottom w:val="single" w:color="000000" w:sz="4" w:space="0"/>
              <w:right w:val="single" w:color="000000" w:sz="4" w:space="0"/>
            </w:tcBorders>
            <w:shd w:val="clear" w:color="000000" w:fill="FFFFFF"/>
            <w:vAlign w:val="center"/>
          </w:tcPr>
          <w:p>
            <w:pPr>
              <w:pStyle w:val="45"/>
              <w:rPr>
                <w:rFonts w:hint="eastAsia" w:ascii="宋体" w:hAnsi="宋体" w:eastAsia="宋体" w:cs="宋体"/>
                <w:color w:val="auto"/>
                <w:sz w:val="21"/>
                <w:szCs w:val="21"/>
                <w:highlight w:val="none"/>
              </w:rPr>
            </w:pPr>
          </w:p>
        </w:tc>
      </w:tr>
      <w:tr>
        <w:tblPrEx>
          <w:tblLayout w:type="fixed"/>
          <w:tblCellMar>
            <w:top w:w="0" w:type="dxa"/>
            <w:left w:w="108" w:type="dxa"/>
            <w:bottom w:w="0" w:type="dxa"/>
            <w:right w:w="108" w:type="dxa"/>
          </w:tblCellMar>
        </w:tblPrEx>
        <w:trPr>
          <w:trHeight w:val="462" w:hRule="atLeast"/>
        </w:trPr>
        <w:tc>
          <w:tcPr>
            <w:tcW w:w="907" w:type="dxa"/>
            <w:tcBorders>
              <w:top w:val="nil"/>
              <w:left w:val="single" w:color="000000" w:sz="4" w:space="0"/>
              <w:bottom w:val="single" w:color="000000" w:sz="4" w:space="0"/>
              <w:right w:val="single" w:color="000000" w:sz="4" w:space="0"/>
            </w:tcBorders>
            <w:shd w:val="clear" w:color="000000" w:fill="FFFFFF"/>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w:t>
            </w:r>
          </w:p>
        </w:tc>
        <w:tc>
          <w:tcPr>
            <w:tcW w:w="2569" w:type="dxa"/>
            <w:tcBorders>
              <w:top w:val="nil"/>
              <w:left w:val="nil"/>
              <w:bottom w:val="single" w:color="000000" w:sz="4" w:space="0"/>
              <w:right w:val="single" w:color="000000" w:sz="4" w:space="0"/>
            </w:tcBorders>
            <w:shd w:val="clear" w:color="000000" w:fill="FFFFFF"/>
            <w:vAlign w:val="center"/>
          </w:tcPr>
          <w:p>
            <w:pPr>
              <w:pStyle w:val="45"/>
              <w:jc w:val="center"/>
              <w:rPr>
                <w:rFonts w:hint="eastAsia" w:ascii="宋体" w:hAnsi="宋体" w:eastAsia="宋体" w:cs="宋体"/>
                <w:color w:val="auto"/>
                <w:sz w:val="21"/>
                <w:szCs w:val="21"/>
                <w:highlight w:val="none"/>
              </w:rPr>
            </w:pPr>
          </w:p>
        </w:tc>
        <w:tc>
          <w:tcPr>
            <w:tcW w:w="5052" w:type="dxa"/>
            <w:tcBorders>
              <w:top w:val="nil"/>
              <w:left w:val="nil"/>
              <w:bottom w:val="single" w:color="000000" w:sz="4" w:space="0"/>
              <w:right w:val="single" w:color="000000" w:sz="4" w:space="0"/>
            </w:tcBorders>
            <w:shd w:val="clear" w:color="000000" w:fill="FFFFFF"/>
            <w:vAlign w:val="center"/>
          </w:tcPr>
          <w:p>
            <w:pPr>
              <w:pStyle w:val="45"/>
              <w:rPr>
                <w:rFonts w:hint="eastAsia" w:ascii="宋体" w:hAnsi="宋体" w:eastAsia="宋体" w:cs="宋体"/>
                <w:color w:val="auto"/>
                <w:sz w:val="21"/>
                <w:szCs w:val="21"/>
                <w:highlight w:val="none"/>
              </w:rPr>
            </w:pPr>
          </w:p>
        </w:tc>
      </w:tr>
      <w:tr>
        <w:tblPrEx>
          <w:tblLayout w:type="fixed"/>
          <w:tblCellMar>
            <w:top w:w="0" w:type="dxa"/>
            <w:left w:w="108" w:type="dxa"/>
            <w:bottom w:w="0" w:type="dxa"/>
            <w:right w:w="108" w:type="dxa"/>
          </w:tblCellMar>
        </w:tblPrEx>
        <w:trPr>
          <w:trHeight w:val="462" w:hRule="atLeast"/>
        </w:trPr>
        <w:tc>
          <w:tcPr>
            <w:tcW w:w="907" w:type="dxa"/>
            <w:tcBorders>
              <w:top w:val="nil"/>
              <w:left w:val="single" w:color="000000" w:sz="4" w:space="0"/>
              <w:bottom w:val="single" w:color="000000" w:sz="4" w:space="0"/>
              <w:right w:val="single" w:color="000000" w:sz="4" w:space="0"/>
            </w:tcBorders>
            <w:shd w:val="clear" w:color="000000" w:fill="FFFFFF"/>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w:t>
            </w:r>
          </w:p>
        </w:tc>
        <w:tc>
          <w:tcPr>
            <w:tcW w:w="2569" w:type="dxa"/>
            <w:tcBorders>
              <w:top w:val="nil"/>
              <w:left w:val="nil"/>
              <w:bottom w:val="single" w:color="000000" w:sz="4" w:space="0"/>
              <w:right w:val="single" w:color="000000" w:sz="4" w:space="0"/>
            </w:tcBorders>
            <w:shd w:val="clear" w:color="000000" w:fill="FFFFFF"/>
            <w:vAlign w:val="center"/>
          </w:tcPr>
          <w:p>
            <w:pPr>
              <w:pStyle w:val="45"/>
              <w:jc w:val="center"/>
              <w:rPr>
                <w:rFonts w:hint="eastAsia" w:ascii="宋体" w:hAnsi="宋体" w:eastAsia="宋体" w:cs="宋体"/>
                <w:color w:val="auto"/>
                <w:sz w:val="21"/>
                <w:szCs w:val="21"/>
                <w:highlight w:val="none"/>
              </w:rPr>
            </w:pPr>
          </w:p>
        </w:tc>
        <w:tc>
          <w:tcPr>
            <w:tcW w:w="5052" w:type="dxa"/>
            <w:tcBorders>
              <w:top w:val="nil"/>
              <w:left w:val="nil"/>
              <w:bottom w:val="single" w:color="000000" w:sz="4" w:space="0"/>
              <w:right w:val="single" w:color="000000" w:sz="4" w:space="0"/>
            </w:tcBorders>
            <w:shd w:val="clear" w:color="000000" w:fill="FFFFFF"/>
            <w:vAlign w:val="center"/>
          </w:tcPr>
          <w:p>
            <w:pPr>
              <w:pStyle w:val="45"/>
              <w:rPr>
                <w:rFonts w:hint="eastAsia" w:ascii="宋体" w:hAnsi="宋体" w:eastAsia="宋体" w:cs="宋体"/>
                <w:color w:val="auto"/>
                <w:sz w:val="21"/>
                <w:szCs w:val="21"/>
                <w:highlight w:val="none"/>
              </w:rPr>
            </w:pPr>
          </w:p>
        </w:tc>
      </w:tr>
      <w:tr>
        <w:tblPrEx>
          <w:tblLayout w:type="fixed"/>
          <w:tblCellMar>
            <w:top w:w="0" w:type="dxa"/>
            <w:left w:w="108" w:type="dxa"/>
            <w:bottom w:w="0" w:type="dxa"/>
            <w:right w:w="108" w:type="dxa"/>
          </w:tblCellMar>
        </w:tblPrEx>
        <w:trPr>
          <w:trHeight w:val="462" w:hRule="atLeast"/>
        </w:trPr>
        <w:tc>
          <w:tcPr>
            <w:tcW w:w="907" w:type="dxa"/>
            <w:tcBorders>
              <w:top w:val="nil"/>
              <w:left w:val="single" w:color="000000" w:sz="4" w:space="0"/>
              <w:bottom w:val="single" w:color="000000" w:sz="4" w:space="0"/>
              <w:right w:val="single" w:color="000000" w:sz="4" w:space="0"/>
            </w:tcBorders>
            <w:shd w:val="clear" w:color="000000" w:fill="FFFFFF"/>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7</w:t>
            </w:r>
          </w:p>
        </w:tc>
        <w:tc>
          <w:tcPr>
            <w:tcW w:w="2569" w:type="dxa"/>
            <w:tcBorders>
              <w:top w:val="nil"/>
              <w:left w:val="nil"/>
              <w:bottom w:val="single" w:color="000000" w:sz="4" w:space="0"/>
              <w:right w:val="single" w:color="000000" w:sz="4" w:space="0"/>
            </w:tcBorders>
            <w:shd w:val="clear" w:color="000000" w:fill="FFFFFF"/>
            <w:vAlign w:val="center"/>
          </w:tcPr>
          <w:p>
            <w:pPr>
              <w:pStyle w:val="45"/>
              <w:jc w:val="center"/>
              <w:rPr>
                <w:rFonts w:hint="eastAsia" w:ascii="宋体" w:hAnsi="宋体" w:eastAsia="宋体" w:cs="宋体"/>
                <w:color w:val="auto"/>
                <w:sz w:val="21"/>
                <w:szCs w:val="21"/>
                <w:highlight w:val="none"/>
              </w:rPr>
            </w:pPr>
          </w:p>
        </w:tc>
        <w:tc>
          <w:tcPr>
            <w:tcW w:w="5052" w:type="dxa"/>
            <w:tcBorders>
              <w:top w:val="nil"/>
              <w:left w:val="nil"/>
              <w:bottom w:val="single" w:color="000000" w:sz="4" w:space="0"/>
              <w:right w:val="single" w:color="000000" w:sz="4" w:space="0"/>
            </w:tcBorders>
            <w:shd w:val="clear" w:color="000000" w:fill="FFFFFF"/>
            <w:vAlign w:val="center"/>
          </w:tcPr>
          <w:p>
            <w:pPr>
              <w:pStyle w:val="45"/>
              <w:rPr>
                <w:rFonts w:hint="eastAsia" w:ascii="宋体" w:hAnsi="宋体" w:eastAsia="宋体" w:cs="宋体"/>
                <w:color w:val="auto"/>
                <w:sz w:val="21"/>
                <w:szCs w:val="21"/>
                <w:highlight w:val="none"/>
              </w:rPr>
            </w:pPr>
          </w:p>
        </w:tc>
      </w:tr>
      <w:tr>
        <w:tblPrEx>
          <w:tblLayout w:type="fixed"/>
          <w:tblCellMar>
            <w:top w:w="0" w:type="dxa"/>
            <w:left w:w="108" w:type="dxa"/>
            <w:bottom w:w="0" w:type="dxa"/>
            <w:right w:w="108" w:type="dxa"/>
          </w:tblCellMar>
        </w:tblPrEx>
        <w:trPr>
          <w:trHeight w:val="462" w:hRule="atLeast"/>
        </w:trPr>
        <w:tc>
          <w:tcPr>
            <w:tcW w:w="907" w:type="dxa"/>
            <w:tcBorders>
              <w:top w:val="nil"/>
              <w:left w:val="single" w:color="000000" w:sz="4" w:space="0"/>
              <w:bottom w:val="single" w:color="000000" w:sz="4" w:space="0"/>
              <w:right w:val="single" w:color="000000" w:sz="4" w:space="0"/>
            </w:tcBorders>
            <w:shd w:val="clear" w:color="000000" w:fill="FFFFFF"/>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8</w:t>
            </w:r>
          </w:p>
        </w:tc>
        <w:tc>
          <w:tcPr>
            <w:tcW w:w="2569" w:type="dxa"/>
            <w:tcBorders>
              <w:top w:val="nil"/>
              <w:left w:val="nil"/>
              <w:bottom w:val="single" w:color="000000" w:sz="4" w:space="0"/>
              <w:right w:val="single" w:color="000000" w:sz="4" w:space="0"/>
            </w:tcBorders>
            <w:shd w:val="clear" w:color="000000" w:fill="FFFFFF"/>
            <w:vAlign w:val="center"/>
          </w:tcPr>
          <w:p>
            <w:pPr>
              <w:pStyle w:val="45"/>
              <w:jc w:val="center"/>
              <w:rPr>
                <w:rFonts w:hint="eastAsia" w:ascii="宋体" w:hAnsi="宋体" w:eastAsia="宋体" w:cs="宋体"/>
                <w:color w:val="auto"/>
                <w:sz w:val="21"/>
                <w:szCs w:val="21"/>
                <w:highlight w:val="none"/>
              </w:rPr>
            </w:pPr>
          </w:p>
        </w:tc>
        <w:tc>
          <w:tcPr>
            <w:tcW w:w="5052" w:type="dxa"/>
            <w:tcBorders>
              <w:top w:val="nil"/>
              <w:left w:val="nil"/>
              <w:bottom w:val="single" w:color="000000" w:sz="4" w:space="0"/>
              <w:right w:val="single" w:color="000000" w:sz="4" w:space="0"/>
            </w:tcBorders>
            <w:shd w:val="clear" w:color="000000" w:fill="FFFFFF"/>
            <w:vAlign w:val="center"/>
          </w:tcPr>
          <w:p>
            <w:pPr>
              <w:pStyle w:val="45"/>
              <w:rPr>
                <w:rFonts w:hint="eastAsia" w:ascii="宋体" w:hAnsi="宋体" w:eastAsia="宋体" w:cs="宋体"/>
                <w:color w:val="auto"/>
                <w:sz w:val="21"/>
                <w:szCs w:val="21"/>
                <w:highlight w:val="none"/>
              </w:rPr>
            </w:pPr>
          </w:p>
        </w:tc>
      </w:tr>
      <w:tr>
        <w:tblPrEx>
          <w:tblLayout w:type="fixed"/>
          <w:tblCellMar>
            <w:top w:w="0" w:type="dxa"/>
            <w:left w:w="108" w:type="dxa"/>
            <w:bottom w:w="0" w:type="dxa"/>
            <w:right w:w="108" w:type="dxa"/>
          </w:tblCellMar>
        </w:tblPrEx>
        <w:trPr>
          <w:trHeight w:val="462" w:hRule="atLeast"/>
        </w:trPr>
        <w:tc>
          <w:tcPr>
            <w:tcW w:w="907" w:type="dxa"/>
            <w:tcBorders>
              <w:top w:val="nil"/>
              <w:left w:val="single" w:color="000000" w:sz="4" w:space="0"/>
              <w:bottom w:val="single" w:color="000000" w:sz="4" w:space="0"/>
              <w:right w:val="single" w:color="000000" w:sz="4" w:space="0"/>
            </w:tcBorders>
            <w:shd w:val="clear" w:color="000000" w:fill="FFFFFF"/>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9</w:t>
            </w:r>
          </w:p>
        </w:tc>
        <w:tc>
          <w:tcPr>
            <w:tcW w:w="2569" w:type="dxa"/>
            <w:tcBorders>
              <w:top w:val="nil"/>
              <w:left w:val="nil"/>
              <w:bottom w:val="single" w:color="000000" w:sz="4" w:space="0"/>
              <w:right w:val="single" w:color="000000" w:sz="4" w:space="0"/>
            </w:tcBorders>
            <w:vAlign w:val="center"/>
          </w:tcPr>
          <w:p>
            <w:pPr>
              <w:pStyle w:val="45"/>
              <w:jc w:val="center"/>
              <w:rPr>
                <w:rFonts w:hint="eastAsia" w:ascii="宋体" w:hAnsi="宋体" w:eastAsia="宋体" w:cs="宋体"/>
                <w:color w:val="auto"/>
                <w:sz w:val="21"/>
                <w:szCs w:val="21"/>
                <w:highlight w:val="none"/>
              </w:rPr>
            </w:pPr>
          </w:p>
        </w:tc>
        <w:tc>
          <w:tcPr>
            <w:tcW w:w="5052" w:type="dxa"/>
            <w:tcBorders>
              <w:top w:val="nil"/>
              <w:left w:val="nil"/>
              <w:bottom w:val="single" w:color="000000" w:sz="4" w:space="0"/>
              <w:right w:val="single" w:color="000000" w:sz="4" w:space="0"/>
            </w:tcBorders>
            <w:shd w:val="clear" w:color="000000" w:fill="FFFFFF"/>
            <w:vAlign w:val="center"/>
          </w:tcPr>
          <w:p>
            <w:pPr>
              <w:pStyle w:val="45"/>
              <w:rPr>
                <w:rFonts w:hint="eastAsia" w:ascii="宋体" w:hAnsi="宋体" w:eastAsia="宋体" w:cs="宋体"/>
                <w:color w:val="auto"/>
                <w:sz w:val="21"/>
                <w:szCs w:val="21"/>
                <w:highlight w:val="none"/>
              </w:rPr>
            </w:pPr>
          </w:p>
        </w:tc>
      </w:tr>
      <w:tr>
        <w:tblPrEx>
          <w:tblLayout w:type="fixed"/>
          <w:tblCellMar>
            <w:top w:w="0" w:type="dxa"/>
            <w:left w:w="108" w:type="dxa"/>
            <w:bottom w:w="0" w:type="dxa"/>
            <w:right w:w="108" w:type="dxa"/>
          </w:tblCellMar>
        </w:tblPrEx>
        <w:trPr>
          <w:trHeight w:val="462" w:hRule="atLeast"/>
        </w:trPr>
        <w:tc>
          <w:tcPr>
            <w:tcW w:w="907" w:type="dxa"/>
            <w:tcBorders>
              <w:top w:val="nil"/>
              <w:left w:val="single" w:color="000000" w:sz="4" w:space="0"/>
              <w:bottom w:val="single" w:color="000000" w:sz="4" w:space="0"/>
              <w:right w:val="single" w:color="000000" w:sz="4" w:space="0"/>
            </w:tcBorders>
            <w:shd w:val="clear" w:color="000000" w:fill="FFFFFF"/>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w:t>
            </w:r>
          </w:p>
        </w:tc>
        <w:tc>
          <w:tcPr>
            <w:tcW w:w="2569" w:type="dxa"/>
            <w:tcBorders>
              <w:top w:val="nil"/>
              <w:left w:val="nil"/>
              <w:bottom w:val="single" w:color="000000" w:sz="4" w:space="0"/>
              <w:right w:val="single" w:color="000000" w:sz="4" w:space="0"/>
            </w:tcBorders>
            <w:vAlign w:val="center"/>
          </w:tcPr>
          <w:p>
            <w:pPr>
              <w:pStyle w:val="45"/>
              <w:jc w:val="center"/>
              <w:rPr>
                <w:rFonts w:hint="eastAsia" w:ascii="宋体" w:hAnsi="宋体" w:eastAsia="宋体" w:cs="宋体"/>
                <w:color w:val="auto"/>
                <w:sz w:val="21"/>
                <w:szCs w:val="21"/>
                <w:highlight w:val="none"/>
              </w:rPr>
            </w:pPr>
          </w:p>
        </w:tc>
        <w:tc>
          <w:tcPr>
            <w:tcW w:w="5052" w:type="dxa"/>
            <w:tcBorders>
              <w:top w:val="nil"/>
              <w:left w:val="nil"/>
              <w:bottom w:val="single" w:color="000000" w:sz="4" w:space="0"/>
              <w:right w:val="single" w:color="000000" w:sz="4" w:space="0"/>
            </w:tcBorders>
            <w:shd w:val="clear" w:color="000000" w:fill="FFFFFF"/>
            <w:vAlign w:val="center"/>
          </w:tcPr>
          <w:p>
            <w:pPr>
              <w:pStyle w:val="45"/>
              <w:rPr>
                <w:rFonts w:hint="eastAsia" w:ascii="宋体" w:hAnsi="宋体" w:eastAsia="宋体" w:cs="宋体"/>
                <w:color w:val="auto"/>
                <w:sz w:val="21"/>
                <w:szCs w:val="21"/>
                <w:highlight w:val="none"/>
              </w:rPr>
            </w:pPr>
          </w:p>
        </w:tc>
      </w:tr>
      <w:tr>
        <w:tblPrEx>
          <w:tblLayout w:type="fixed"/>
          <w:tblCellMar>
            <w:top w:w="0" w:type="dxa"/>
            <w:left w:w="108" w:type="dxa"/>
            <w:bottom w:w="0" w:type="dxa"/>
            <w:right w:w="108" w:type="dxa"/>
          </w:tblCellMar>
        </w:tblPrEx>
        <w:trPr>
          <w:trHeight w:val="462" w:hRule="atLeast"/>
        </w:trPr>
        <w:tc>
          <w:tcPr>
            <w:tcW w:w="907" w:type="dxa"/>
            <w:tcBorders>
              <w:top w:val="nil"/>
              <w:left w:val="single" w:color="000000" w:sz="4" w:space="0"/>
              <w:bottom w:val="single" w:color="000000" w:sz="4" w:space="0"/>
              <w:right w:val="single" w:color="000000" w:sz="4" w:space="0"/>
            </w:tcBorders>
            <w:shd w:val="clear" w:color="000000" w:fill="FFFFFF"/>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11</w:t>
            </w:r>
          </w:p>
        </w:tc>
        <w:tc>
          <w:tcPr>
            <w:tcW w:w="2569" w:type="dxa"/>
            <w:tcBorders>
              <w:top w:val="nil"/>
              <w:left w:val="nil"/>
              <w:bottom w:val="single" w:color="000000" w:sz="4" w:space="0"/>
              <w:right w:val="single" w:color="000000" w:sz="4" w:space="0"/>
            </w:tcBorders>
            <w:vAlign w:val="center"/>
          </w:tcPr>
          <w:p>
            <w:pPr>
              <w:pStyle w:val="45"/>
              <w:jc w:val="center"/>
              <w:rPr>
                <w:rFonts w:hint="eastAsia" w:ascii="宋体" w:hAnsi="宋体" w:eastAsia="宋体" w:cs="宋体"/>
                <w:color w:val="auto"/>
                <w:sz w:val="21"/>
                <w:szCs w:val="21"/>
                <w:highlight w:val="none"/>
              </w:rPr>
            </w:pPr>
          </w:p>
        </w:tc>
        <w:tc>
          <w:tcPr>
            <w:tcW w:w="5052" w:type="dxa"/>
            <w:tcBorders>
              <w:top w:val="nil"/>
              <w:left w:val="nil"/>
              <w:bottom w:val="single" w:color="000000" w:sz="4" w:space="0"/>
              <w:right w:val="single" w:color="000000" w:sz="4" w:space="0"/>
            </w:tcBorders>
            <w:shd w:val="clear" w:color="000000" w:fill="FFFFFF"/>
            <w:vAlign w:val="center"/>
          </w:tcPr>
          <w:p>
            <w:pPr>
              <w:pStyle w:val="45"/>
              <w:rPr>
                <w:rFonts w:hint="eastAsia" w:ascii="宋体" w:hAnsi="宋体" w:eastAsia="宋体" w:cs="宋体"/>
                <w:color w:val="auto"/>
                <w:sz w:val="21"/>
                <w:szCs w:val="21"/>
                <w:highlight w:val="none"/>
              </w:rPr>
            </w:pPr>
          </w:p>
        </w:tc>
      </w:tr>
    </w:tbl>
    <w:p>
      <w:pPr>
        <w:tabs>
          <w:tab w:val="center" w:pos="4510"/>
        </w:tabs>
        <w:rPr>
          <w:rFonts w:hint="eastAsia" w:ascii="宋体" w:hAnsi="宋体" w:eastAsia="宋体" w:cs="宋体"/>
          <w:color w:val="auto"/>
          <w:highlight w:val="none"/>
        </w:rPr>
        <w:sectPr>
          <w:pgSz w:w="11900" w:h="16838"/>
          <w:pgMar w:top="1440" w:right="1440" w:bottom="158" w:left="1440" w:header="567" w:footer="567" w:gutter="0"/>
          <w:cols w:equalWidth="0" w:num="1">
            <w:col w:w="9026"/>
          </w:cols>
        </w:sectPr>
      </w:pPr>
    </w:p>
    <w:p>
      <w:pPr>
        <w:tabs>
          <w:tab w:val="left" w:pos="300"/>
        </w:tabs>
        <w:spacing w:line="366" w:lineRule="exact"/>
        <w:jc w:val="center"/>
        <w:rPr>
          <w:rFonts w:hint="eastAsia" w:ascii="宋体" w:hAnsi="宋体" w:eastAsia="宋体" w:cs="宋体"/>
          <w:color w:val="auto"/>
          <w:sz w:val="20"/>
          <w:szCs w:val="20"/>
          <w:highlight w:val="none"/>
        </w:rPr>
      </w:pPr>
      <w:bookmarkStart w:id="229" w:name="page88"/>
      <w:bookmarkEnd w:id="229"/>
      <w:bookmarkStart w:id="230" w:name="page89"/>
      <w:bookmarkEnd w:id="230"/>
      <w:bookmarkStart w:id="231" w:name="_Toc14818_WPSOffice_Level1"/>
      <w:bookmarkStart w:id="232" w:name="_Toc27823_WPSOffice_Level1"/>
      <w:r>
        <w:rPr>
          <w:rFonts w:hint="eastAsia" w:ascii="宋体" w:hAnsi="宋体" w:eastAsia="宋体" w:cs="宋体"/>
          <w:b/>
          <w:bCs/>
          <w:color w:val="auto"/>
          <w:sz w:val="32"/>
          <w:szCs w:val="32"/>
          <w:highlight w:val="none"/>
        </w:rPr>
        <w:t>第七章</w:t>
      </w:r>
      <w:r>
        <w:rPr>
          <w:rFonts w:hint="eastAsia" w:ascii="宋体" w:hAnsi="宋体" w:eastAsia="宋体" w:cs="宋体"/>
          <w:b/>
          <w:bCs/>
          <w:color w:val="auto"/>
          <w:sz w:val="32"/>
          <w:szCs w:val="32"/>
          <w:highlight w:val="none"/>
        </w:rPr>
        <w:t xml:space="preserve">  </w:t>
      </w:r>
      <w:r>
        <w:rPr>
          <w:rFonts w:hint="eastAsia" w:ascii="宋体" w:hAnsi="宋体" w:eastAsia="宋体" w:cs="宋体"/>
          <w:b/>
          <w:bCs/>
          <w:color w:val="auto"/>
          <w:sz w:val="32"/>
          <w:szCs w:val="32"/>
          <w:highlight w:val="none"/>
        </w:rPr>
        <w:t>评审办法</w:t>
      </w:r>
      <w:bookmarkEnd w:id="231"/>
      <w:bookmarkEnd w:id="232"/>
    </w:p>
    <w:p>
      <w:pPr>
        <w:spacing w:line="256" w:lineRule="exact"/>
        <w:rPr>
          <w:rFonts w:hint="eastAsia" w:ascii="宋体" w:hAnsi="宋体" w:eastAsia="宋体" w:cs="宋体"/>
          <w:color w:val="auto"/>
          <w:sz w:val="20"/>
          <w:szCs w:val="20"/>
          <w:highlight w:val="none"/>
        </w:rPr>
      </w:pP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本评审办法遵照《中华人民共和国政府采购法》、《政府采购竞争性磋商采购方式管理暂行办法》等有关规定，并结合本项目的具体情况制定。</w:t>
      </w:r>
    </w:p>
    <w:p>
      <w:pPr>
        <w:spacing w:line="360" w:lineRule="auto"/>
        <w:ind w:firstLine="422" w:firstLineChars="200"/>
        <w:rPr>
          <w:rFonts w:hint="eastAsia" w:ascii="宋体" w:hAnsi="宋体" w:eastAsia="宋体" w:cs="宋体"/>
          <w:color w:val="auto"/>
          <w:sz w:val="21"/>
          <w:szCs w:val="21"/>
          <w:highlight w:val="none"/>
        </w:rPr>
      </w:pPr>
      <w:bookmarkStart w:id="233" w:name="_Toc22038_WPSOffice_Level2"/>
      <w:bookmarkStart w:id="234" w:name="_Toc23288_WPSOffice_Level2"/>
      <w:r>
        <w:rPr>
          <w:rFonts w:hint="eastAsia" w:ascii="宋体" w:hAnsi="宋体" w:eastAsia="宋体" w:cs="宋体"/>
          <w:b/>
          <w:bCs/>
          <w:color w:val="auto"/>
          <w:sz w:val="21"/>
          <w:szCs w:val="21"/>
          <w:highlight w:val="none"/>
        </w:rPr>
        <w:t>一、总则</w:t>
      </w:r>
      <w:bookmarkEnd w:id="233"/>
      <w:bookmarkEnd w:id="234"/>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磋商小组成员应当按照客观、公正、审慎的原则，根据磋商文件规定的评审程序、评审方法和评审标准进行独立评审。对落标人，磋商小组不作任何落标解释。</w:t>
      </w:r>
    </w:p>
    <w:p>
      <w:pPr>
        <w:spacing w:line="360" w:lineRule="auto"/>
        <w:ind w:firstLine="422" w:firstLineChars="200"/>
        <w:rPr>
          <w:rFonts w:hint="eastAsia" w:ascii="宋体" w:hAnsi="宋体" w:eastAsia="宋体" w:cs="宋体"/>
          <w:color w:val="auto"/>
          <w:sz w:val="21"/>
          <w:szCs w:val="21"/>
          <w:highlight w:val="none"/>
        </w:rPr>
      </w:pPr>
      <w:bookmarkStart w:id="235" w:name="_Toc17659_WPSOffice_Level2"/>
      <w:bookmarkStart w:id="236" w:name="_Toc31748_WPSOffice_Level2"/>
      <w:r>
        <w:rPr>
          <w:rFonts w:hint="eastAsia" w:ascii="宋体" w:hAnsi="宋体" w:eastAsia="宋体" w:cs="宋体"/>
          <w:b/>
          <w:bCs/>
          <w:color w:val="auto"/>
          <w:sz w:val="21"/>
          <w:szCs w:val="21"/>
          <w:highlight w:val="none"/>
        </w:rPr>
        <w:t>二、评审组织</w:t>
      </w:r>
      <w:bookmarkEnd w:id="235"/>
      <w:bookmarkEnd w:id="236"/>
    </w:p>
    <w:p>
      <w:pPr>
        <w:spacing w:line="360" w:lineRule="auto"/>
        <w:ind w:right="246"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评审工作由采购单位依法组建的磋商小组负责。磋商小组负责审标、询标、评审等工作，并向采购人提出评审意见和评审报告。</w:t>
      </w:r>
    </w:p>
    <w:p>
      <w:pPr>
        <w:spacing w:line="360" w:lineRule="auto"/>
        <w:ind w:firstLine="420" w:firstLineChars="200"/>
        <w:rPr>
          <w:rFonts w:hint="eastAsia" w:ascii="宋体" w:hAnsi="宋体" w:eastAsia="宋体" w:cs="宋体"/>
          <w:color w:val="auto"/>
          <w:sz w:val="21"/>
          <w:szCs w:val="21"/>
          <w:highlight w:val="none"/>
        </w:rPr>
      </w:pPr>
      <w:bookmarkStart w:id="237" w:name="_Toc5074_WPSOffice_Level2"/>
      <w:bookmarkStart w:id="238" w:name="_Toc15257_WPSOffice_Level2"/>
      <w:r>
        <w:rPr>
          <w:rFonts w:hint="eastAsia" w:ascii="宋体" w:hAnsi="宋体" w:eastAsia="宋体" w:cs="宋体"/>
          <w:color w:val="auto"/>
          <w:sz w:val="21"/>
          <w:szCs w:val="21"/>
          <w:highlight w:val="none"/>
        </w:rPr>
        <w:t>三、</w:t>
      </w:r>
      <w:r>
        <w:rPr>
          <w:rFonts w:hint="eastAsia" w:ascii="宋体" w:hAnsi="宋体" w:eastAsia="宋体" w:cs="宋体"/>
          <w:b/>
          <w:bCs/>
          <w:color w:val="auto"/>
          <w:sz w:val="21"/>
          <w:szCs w:val="21"/>
          <w:highlight w:val="none"/>
        </w:rPr>
        <w:t>评标程序</w:t>
      </w:r>
      <w:bookmarkEnd w:id="237"/>
      <w:bookmarkEnd w:id="238"/>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程序如下：</w:t>
      </w:r>
    </w:p>
    <w:p>
      <w:pPr>
        <w:spacing w:line="360" w:lineRule="auto"/>
        <w:ind w:right="346"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持人宣布开标，介绍开标现场的人员情况，宣读递交采购响应文件的供应商名单、开标纪律、应当回避的情形等注意事项，组织供应商签署《政府采购活动现场确认声明书》。提请供应商代表或公证人员查验采购响应文件密封情况。</w:t>
      </w:r>
    </w:p>
    <w:p>
      <w:pPr>
        <w:spacing w:line="360" w:lineRule="auto"/>
        <w:ind w:right="346"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按供应商提交投标文件的先后顺序当众拆封、清点投标文件（包括正本、副本）数量，将拆封后的响应文件由现场工作人员护送至指定的评审地点。对不符合装订要求的投标文件，由现场工作人员退还供应商代表。</w:t>
      </w:r>
    </w:p>
    <w:p>
      <w:pPr>
        <w:spacing w:line="360" w:lineRule="auto"/>
        <w:ind w:right="346" w:firstLine="420" w:firstLineChars="200"/>
        <w:jc w:val="both"/>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商务技术评审结束后，主持人宣告评审无效供应商名称及理由并签字确认；进行二次报价填写。统一收取最终报价。评审结束后，主持人公布中标候选供应商名单，及采购人最终确定中标供应商名单的时间和公告方式等。</w:t>
      </w:r>
    </w:p>
    <w:p>
      <w:pPr>
        <w:spacing w:line="360" w:lineRule="auto"/>
        <w:ind w:firstLine="422" w:firstLineChars="200"/>
        <w:rPr>
          <w:rFonts w:hint="eastAsia" w:ascii="宋体" w:hAnsi="宋体" w:eastAsia="宋体" w:cs="宋体"/>
          <w:color w:val="auto"/>
          <w:sz w:val="21"/>
          <w:szCs w:val="21"/>
          <w:highlight w:val="none"/>
        </w:rPr>
      </w:pPr>
      <w:bookmarkStart w:id="239" w:name="_Toc6442_WPSOffice_Level2"/>
      <w:bookmarkStart w:id="240" w:name="_Toc8536_WPSOffice_Level2"/>
      <w:r>
        <w:rPr>
          <w:rFonts w:hint="eastAsia" w:ascii="宋体" w:hAnsi="宋体" w:eastAsia="宋体" w:cs="宋体"/>
          <w:b/>
          <w:bCs/>
          <w:color w:val="auto"/>
          <w:sz w:val="21"/>
          <w:szCs w:val="21"/>
          <w:highlight w:val="none"/>
        </w:rPr>
        <w:t>四、磋商要求</w:t>
      </w:r>
      <w:bookmarkEnd w:id="239"/>
      <w:bookmarkEnd w:id="240"/>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rPr>
        <w:t>、磋商小组将按竞争性磋商有关规定与供应商进行封闭式磋商，磋商的内容包括（但不限于）投标人的报价、合同条款响应情况、技术方案的可行性、承诺的后期服务等。投标人有义务对磋商小组就响应文件中不明确的条款进行澄清，投标人在磋商时可以对其响应文件进行补充或调整，在磋商结束前，投标人应对其澄清、补充、调整的相关内容以书面方式进行最终确认，形成最终承诺书。磋商小组对投标人的磋商最多不超过</w:t>
      </w:r>
      <w:r>
        <w:rPr>
          <w:rFonts w:hint="eastAsia" w:ascii="宋体" w:hAnsi="宋体" w:eastAsia="宋体" w:cs="宋体"/>
          <w:color w:val="auto"/>
          <w:sz w:val="21"/>
          <w:szCs w:val="21"/>
          <w:highlight w:val="none"/>
        </w:rPr>
        <w:t xml:space="preserve"> 3 </w:t>
      </w:r>
      <w:r>
        <w:rPr>
          <w:rFonts w:hint="eastAsia" w:ascii="宋体" w:hAnsi="宋体" w:eastAsia="宋体" w:cs="宋体"/>
          <w:color w:val="auto"/>
          <w:sz w:val="21"/>
          <w:szCs w:val="21"/>
          <w:highlight w:val="none"/>
        </w:rPr>
        <w:t>轮。在磋商过程中，采购人及磋商小组有权变更相关要求，不对因此而受影响的投标人承担责任。磋商中如有实质性变动，磋商小组将用书面形式通知参加磋商的投标人。</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rPr>
        <w:t>、磋商小组将要求所有参加磋商的投标人按磋商小组提出的要求并在规定时间内分别进行最终报价，各投标人在规定时间之后的报价将被视为无效。</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rPr>
        <w:t>、磋商结束后，磋商小组应当要求所有实质性响应的供应商在规定时间内提交最后报价，提交最后报价的供应商一般不得少于</w:t>
      </w:r>
      <w:r>
        <w:rPr>
          <w:rFonts w:hint="eastAsia" w:ascii="宋体" w:hAnsi="宋体" w:eastAsia="宋体" w:cs="宋体"/>
          <w:color w:val="auto"/>
          <w:sz w:val="21"/>
          <w:szCs w:val="21"/>
          <w:highlight w:val="none"/>
        </w:rPr>
        <w:t xml:space="preserve"> 3 </w:t>
      </w:r>
      <w:r>
        <w:rPr>
          <w:rFonts w:hint="eastAsia" w:ascii="宋体" w:hAnsi="宋体" w:eastAsia="宋体" w:cs="宋体"/>
          <w:color w:val="auto"/>
          <w:sz w:val="21"/>
          <w:szCs w:val="21"/>
          <w:highlight w:val="none"/>
        </w:rPr>
        <w:t>家。</w:t>
      </w:r>
    </w:p>
    <w:p>
      <w:pPr>
        <w:spacing w:line="360" w:lineRule="auto"/>
        <w:ind w:firstLine="420" w:firstLineChars="200"/>
        <w:rPr>
          <w:rFonts w:hint="eastAsia" w:ascii="宋体" w:hAnsi="宋体" w:eastAsia="宋体" w:cs="宋体"/>
          <w:color w:val="auto"/>
          <w:sz w:val="21"/>
          <w:szCs w:val="21"/>
          <w:highlight w:val="none"/>
        </w:rPr>
      </w:pPr>
    </w:p>
    <w:p>
      <w:pPr>
        <w:spacing w:line="360" w:lineRule="auto"/>
        <w:ind w:firstLine="420" w:firstLineChars="200"/>
        <w:rPr>
          <w:rFonts w:hint="eastAsia" w:ascii="宋体" w:hAnsi="宋体" w:eastAsia="宋体" w:cs="宋体"/>
          <w:color w:val="auto"/>
          <w:sz w:val="21"/>
          <w:szCs w:val="21"/>
          <w:highlight w:val="none"/>
        </w:rPr>
        <w:sectPr>
          <w:pgSz w:w="11900" w:h="16838"/>
          <w:pgMar w:top="1440" w:right="1440" w:bottom="365" w:left="1440" w:header="567" w:footer="567" w:gutter="0"/>
          <w:cols w:equalWidth="0" w:num="1">
            <w:col w:w="9026"/>
          </w:cols>
        </w:sectPr>
      </w:pPr>
    </w:p>
    <w:p>
      <w:pPr>
        <w:spacing w:line="360" w:lineRule="auto"/>
        <w:ind w:firstLine="420" w:firstLineChars="200"/>
        <w:rPr>
          <w:rFonts w:hint="eastAsia" w:ascii="宋体" w:hAnsi="宋体" w:eastAsia="宋体" w:cs="宋体"/>
          <w:color w:val="auto"/>
          <w:sz w:val="21"/>
          <w:szCs w:val="21"/>
          <w:highlight w:val="none"/>
        </w:rPr>
      </w:pPr>
      <w:bookmarkStart w:id="241" w:name="page90"/>
      <w:bookmarkEnd w:id="241"/>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rPr>
        <w:t>、最后报价是供应商响应文件的有效组成部分。符合《政府采购竞争性磋商采购方式管理暂行办法》</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第三条第四项情形的，提交最后报价的供应商可以为</w:t>
      </w:r>
      <w:r>
        <w:rPr>
          <w:rFonts w:hint="eastAsia" w:ascii="宋体" w:hAnsi="宋体" w:eastAsia="宋体" w:cs="宋体"/>
          <w:color w:val="auto"/>
          <w:sz w:val="21"/>
          <w:szCs w:val="21"/>
          <w:highlight w:val="none"/>
        </w:rPr>
        <w:t xml:space="preserve"> 2 </w:t>
      </w:r>
      <w:r>
        <w:rPr>
          <w:rFonts w:hint="eastAsia" w:ascii="宋体" w:hAnsi="宋体" w:eastAsia="宋体" w:cs="宋体"/>
          <w:color w:val="auto"/>
          <w:sz w:val="21"/>
          <w:szCs w:val="21"/>
          <w:highlight w:val="none"/>
        </w:rPr>
        <w:t>家。</w:t>
      </w:r>
    </w:p>
    <w:p>
      <w:pPr>
        <w:spacing w:line="360" w:lineRule="auto"/>
        <w:ind w:firstLine="422" w:firstLineChars="200"/>
        <w:rPr>
          <w:rFonts w:hint="eastAsia" w:ascii="宋体" w:hAnsi="宋体" w:eastAsia="宋体" w:cs="宋体"/>
          <w:b/>
          <w:bCs/>
          <w:color w:val="auto"/>
          <w:sz w:val="21"/>
          <w:szCs w:val="21"/>
          <w:highlight w:val="none"/>
        </w:rPr>
      </w:pPr>
      <w:bookmarkStart w:id="242" w:name="_Toc9788_WPSOffice_Level2"/>
      <w:bookmarkStart w:id="243" w:name="_Toc7316_WPSOffice_Level2"/>
      <w:r>
        <w:rPr>
          <w:rFonts w:hint="eastAsia" w:ascii="宋体" w:hAnsi="宋体" w:eastAsia="宋体" w:cs="宋体"/>
          <w:b/>
          <w:bCs/>
          <w:color w:val="auto"/>
          <w:sz w:val="21"/>
          <w:szCs w:val="21"/>
          <w:highlight w:val="none"/>
        </w:rPr>
        <w:t>五、评审细则</w:t>
      </w:r>
      <w:bookmarkEnd w:id="242"/>
      <w:bookmarkEnd w:id="243"/>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评标采用综合评分法，磋商小组从最终投标报价、投标人的综合实力、业绩、技术方案、服务承诺、</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等方面进行评审。磋商小组根据评审情况，对各投标人的商务报价方面在分值范围内进行统一打分，对各投</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标人的商务方面在分值范围内进行统一打分，对各投标人的技术方面在分值范围内进行独立打分。</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每个供应商最终得分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报价分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商务技术分</w:t>
      </w:r>
    </w:p>
    <w:p>
      <w:pPr>
        <w:spacing w:line="360"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rPr>
        <w:t>、报价分</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lang w:val="en-US" w:eastAsia="zh-CN"/>
        </w:rPr>
        <w:t>(60分)</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报价评分将在有效供应商范围内进行，最高得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rPr>
        <w:t>分最低得</w:t>
      </w:r>
      <w:r>
        <w:rPr>
          <w:rFonts w:hint="eastAsia" w:ascii="宋体" w:hAnsi="宋体" w:eastAsia="宋体" w:cs="宋体"/>
          <w:color w:val="auto"/>
          <w:sz w:val="21"/>
          <w:szCs w:val="21"/>
          <w:highlight w:val="none"/>
        </w:rPr>
        <w:t xml:space="preserve">0 </w:t>
      </w:r>
      <w:r>
        <w:rPr>
          <w:rFonts w:hint="eastAsia" w:ascii="宋体" w:hAnsi="宋体" w:eastAsia="宋体" w:cs="宋体"/>
          <w:color w:val="auto"/>
          <w:sz w:val="21"/>
          <w:szCs w:val="21"/>
          <w:highlight w:val="none"/>
        </w:rPr>
        <w:t>分（小数点后保留二位小数，第三位四舍五入）。满足竞争性磋商文件要求且最后报价最低的磋商报价为磋商基准价，供应商的价格分统一按照下列公式</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计算：磋商报价得分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（磋商基准价</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最后磋商报价）×价格权值×</w:t>
      </w:r>
      <w:r>
        <w:rPr>
          <w:rFonts w:hint="eastAsia" w:ascii="宋体" w:hAnsi="宋体" w:eastAsia="宋体" w:cs="宋体"/>
          <w:color w:val="auto"/>
          <w:sz w:val="21"/>
          <w:szCs w:val="21"/>
          <w:highlight w:val="none"/>
        </w:rPr>
        <w:t>100</w:t>
      </w:r>
      <w:r>
        <w:rPr>
          <w:rFonts w:hint="eastAsia" w:ascii="宋体" w:hAnsi="宋体" w:eastAsia="宋体" w:cs="宋体"/>
          <w:color w:val="auto"/>
          <w:sz w:val="21"/>
          <w:szCs w:val="21"/>
          <w:highlight w:val="none"/>
        </w:rPr>
        <w:t>。</w:t>
      </w:r>
    </w:p>
    <w:p>
      <w:pPr>
        <w:spacing w:line="360" w:lineRule="auto"/>
        <w:ind w:firstLine="422" w:firstLineChars="20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rPr>
        <w:t>、商务技术分</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40分</w:t>
      </w:r>
      <w:r>
        <w:rPr>
          <w:rFonts w:hint="eastAsia" w:ascii="宋体" w:hAnsi="宋体" w:eastAsia="宋体" w:cs="宋体"/>
          <w:b/>
          <w:bCs/>
          <w:color w:val="auto"/>
          <w:sz w:val="21"/>
          <w:szCs w:val="21"/>
          <w:highlight w:val="none"/>
          <w:lang w:eastAsia="zh-CN"/>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由评标专家负责对投标文件的商务技术部分采用记名方式各自评分。如发现某个单项的评分超出了规定的分值范围的，则该张评分表无效。此项评分为：所有评标专家的有效评分的算术平均值（保留小数</w:t>
      </w:r>
      <w:r>
        <w:rPr>
          <w:rFonts w:hint="eastAsia" w:ascii="宋体" w:hAnsi="宋体" w:eastAsia="宋体" w:cs="宋体"/>
          <w:color w:val="auto"/>
          <w:sz w:val="21"/>
          <w:szCs w:val="21"/>
          <w:highlight w:val="none"/>
        </w:rPr>
        <w:t xml:space="preserve"> 2 </w:t>
      </w:r>
      <w:r>
        <w:rPr>
          <w:rFonts w:hint="eastAsia" w:ascii="宋体" w:hAnsi="宋体" w:eastAsia="宋体" w:cs="宋体"/>
          <w:color w:val="auto"/>
          <w:sz w:val="21"/>
          <w:szCs w:val="21"/>
          <w:highlight w:val="none"/>
        </w:rPr>
        <w:t>位）。</w:t>
      </w:r>
    </w:p>
    <w:tbl>
      <w:tblPr>
        <w:tblStyle w:val="19"/>
        <w:tblW w:w="102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750"/>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72" w:type="dxa"/>
            <w:vAlign w:val="center"/>
          </w:tcPr>
          <w:p>
            <w:pPr>
              <w:keepNext w:val="0"/>
              <w:keepLines w:val="0"/>
              <w:pageBreakBefore w:val="0"/>
              <w:widowControl w:val="0"/>
              <w:kinsoku/>
              <w:wordWrap/>
              <w:overflowPunct/>
              <w:topLinePunct w:val="0"/>
              <w:autoSpaceDE/>
              <w:autoSpaceDN/>
              <w:bidi w:val="0"/>
              <w:jc w:val="center"/>
              <w:textAlignment w:val="auto"/>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评审因素</w:t>
            </w:r>
          </w:p>
        </w:tc>
        <w:tc>
          <w:tcPr>
            <w:tcW w:w="750" w:type="dxa"/>
            <w:vAlign w:val="center"/>
          </w:tcPr>
          <w:p>
            <w:pPr>
              <w:keepNext w:val="0"/>
              <w:keepLines w:val="0"/>
              <w:pageBreakBefore w:val="0"/>
              <w:widowControl w:val="0"/>
              <w:kinsoku/>
              <w:wordWrap/>
              <w:overflowPunct/>
              <w:topLinePunct w:val="0"/>
              <w:autoSpaceDE/>
              <w:autoSpaceDN/>
              <w:bidi w:val="0"/>
              <w:jc w:val="both"/>
              <w:textAlignment w:val="auto"/>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分值</w:t>
            </w:r>
          </w:p>
        </w:tc>
        <w:tc>
          <w:tcPr>
            <w:tcW w:w="7683" w:type="dxa"/>
            <w:vAlign w:val="center"/>
          </w:tcPr>
          <w:p>
            <w:pPr>
              <w:pStyle w:val="38"/>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205" w:type="dxa"/>
            <w:gridSpan w:val="3"/>
            <w:vAlign w:val="center"/>
          </w:tcPr>
          <w:p>
            <w:pPr>
              <w:pStyle w:val="38"/>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color w:val="auto"/>
                <w:spacing w:val="-6"/>
                <w:sz w:val="21"/>
                <w:szCs w:val="21"/>
                <w:highlight w:val="none"/>
              </w:rPr>
            </w:pPr>
            <w:r>
              <w:rPr>
                <w:rFonts w:hint="eastAsia" w:ascii="宋体" w:hAnsi="宋体" w:eastAsia="宋体" w:cs="宋体"/>
                <w:b/>
                <w:bCs/>
                <w:color w:val="auto"/>
                <w:spacing w:val="-6"/>
                <w:kern w:val="2"/>
                <w:sz w:val="21"/>
                <w:szCs w:val="21"/>
                <w:highlight w:val="none"/>
              </w:rPr>
              <w:t>价格分</w:t>
            </w:r>
            <w:r>
              <w:rPr>
                <w:rFonts w:hint="eastAsia" w:ascii="宋体" w:hAnsi="宋体" w:eastAsia="宋体" w:cs="宋体"/>
                <w:b/>
                <w:color w:val="auto"/>
                <w:spacing w:val="-6"/>
                <w:sz w:val="21"/>
                <w:szCs w:val="21"/>
                <w:highlight w:val="none"/>
              </w:rPr>
              <w:t>（</w:t>
            </w:r>
            <w:r>
              <w:rPr>
                <w:rFonts w:hint="eastAsia" w:ascii="宋体" w:hAnsi="宋体" w:eastAsia="宋体" w:cs="宋体"/>
                <w:b/>
                <w:color w:val="auto"/>
                <w:spacing w:val="-6"/>
                <w:sz w:val="21"/>
                <w:szCs w:val="21"/>
                <w:highlight w:val="none"/>
                <w:lang w:val="en-US" w:eastAsia="zh-CN"/>
              </w:rPr>
              <w:t>6</w:t>
            </w:r>
            <w:r>
              <w:rPr>
                <w:rFonts w:hint="eastAsia" w:ascii="宋体" w:hAnsi="宋体" w:eastAsia="宋体" w:cs="宋体"/>
                <w:b/>
                <w:color w:val="auto"/>
                <w:spacing w:val="-6"/>
                <w:sz w:val="21"/>
                <w:szCs w:val="21"/>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72" w:type="dxa"/>
            <w:vAlign w:val="center"/>
          </w:tcPr>
          <w:p>
            <w:pPr>
              <w:pStyle w:val="8"/>
              <w:keepNext w:val="0"/>
              <w:keepLines w:val="0"/>
              <w:pageBreakBefore w:val="0"/>
              <w:widowControl w:val="0"/>
              <w:kinsoku/>
              <w:wordWrap/>
              <w:overflowPunct/>
              <w:topLinePunct w:val="0"/>
              <w:autoSpaceDE/>
              <w:autoSpaceDN/>
              <w:bidi w:val="0"/>
              <w:spacing w:line="240" w:lineRule="auto"/>
              <w:ind w:firstLine="0"/>
              <w:jc w:val="center"/>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投标报价</w:t>
            </w:r>
          </w:p>
        </w:tc>
        <w:tc>
          <w:tcPr>
            <w:tcW w:w="750" w:type="dxa"/>
            <w:vAlign w:val="center"/>
          </w:tcPr>
          <w:p>
            <w:pPr>
              <w:keepNext w:val="0"/>
              <w:keepLines w:val="0"/>
              <w:pageBreakBefore w:val="0"/>
              <w:widowControl w:val="0"/>
              <w:kinsoku/>
              <w:wordWrap/>
              <w:overflowPunct/>
              <w:topLinePunct w:val="0"/>
              <w:autoSpaceDE/>
              <w:autoSpaceDN/>
              <w:bidi w:val="0"/>
              <w:jc w:val="center"/>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val="en-US" w:eastAsia="zh-CN"/>
              </w:rPr>
              <w:t>6</w:t>
            </w:r>
            <w:r>
              <w:rPr>
                <w:rFonts w:hint="eastAsia" w:ascii="宋体" w:hAnsi="宋体" w:eastAsia="宋体" w:cs="宋体"/>
                <w:color w:val="auto"/>
                <w:spacing w:val="-6"/>
                <w:sz w:val="21"/>
                <w:szCs w:val="21"/>
                <w:highlight w:val="none"/>
              </w:rPr>
              <w:t>0</w:t>
            </w:r>
          </w:p>
        </w:tc>
        <w:tc>
          <w:tcPr>
            <w:tcW w:w="7683" w:type="dxa"/>
            <w:vAlign w:val="center"/>
          </w:tcPr>
          <w:p>
            <w:pPr>
              <w:keepNext w:val="0"/>
              <w:keepLines w:val="0"/>
              <w:pageBreakBefore w:val="0"/>
              <w:widowControl w:val="0"/>
              <w:kinsoku/>
              <w:wordWrap/>
              <w:overflowPunct/>
              <w:topLinePunct w:val="0"/>
              <w:autoSpaceDE/>
              <w:autoSpaceDN/>
              <w:bidi w:val="0"/>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评标基准价=满足招标文件要求且投标价最低的投标报价为评标基准价。</w:t>
            </w:r>
          </w:p>
          <w:p>
            <w:pPr>
              <w:keepNext w:val="0"/>
              <w:keepLines w:val="0"/>
              <w:pageBreakBefore w:val="0"/>
              <w:widowControl w:val="0"/>
              <w:kinsoku/>
              <w:wordWrap/>
              <w:overflowPunct/>
              <w:topLinePunct w:val="0"/>
              <w:autoSpaceDE/>
              <w:autoSpaceDN/>
              <w:bidi w:val="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得分：投标价为基准价的，得满分</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0分，其他投标报价得分计算公式如下：</w:t>
            </w:r>
          </w:p>
          <w:p>
            <w:pPr>
              <w:keepNext w:val="0"/>
              <w:keepLines w:val="0"/>
              <w:pageBreakBefore w:val="0"/>
              <w:widowControl w:val="0"/>
              <w:kinsoku/>
              <w:wordWrap/>
              <w:overflowPunct/>
              <w:topLinePunct w:val="0"/>
              <w:autoSpaceDE/>
              <w:autoSpaceDN/>
              <w:bidi w:val="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投标报价得分=（评标基准价/投标报价）×</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0%×100</w:t>
            </w:r>
          </w:p>
          <w:p>
            <w:pPr>
              <w:keepNext w:val="0"/>
              <w:keepLines w:val="0"/>
              <w:pageBreakBefore w:val="0"/>
              <w:widowControl w:val="0"/>
              <w:kinsoku/>
              <w:wordWrap/>
              <w:overflowPunct/>
              <w:topLinePunct w:val="0"/>
              <w:autoSpaceDE/>
              <w:autoSpaceDN/>
              <w:bidi w:val="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（经评标委员会审核，投标商所投产品若有缺项，所缺部分将加上其他投标商所投产品同类部分中的最高价格作为其投标报价打分的依据）。</w:t>
            </w:r>
          </w:p>
          <w:p>
            <w:pPr>
              <w:keepNext w:val="0"/>
              <w:keepLines w:val="0"/>
              <w:pageBreakBefore w:val="0"/>
              <w:widowControl w:val="0"/>
              <w:kinsoku/>
              <w:wordWrap/>
              <w:overflowPunct/>
              <w:topLinePunct w:val="0"/>
              <w:autoSpaceDE/>
              <w:autoSpaceDN/>
              <w:bidi w:val="0"/>
              <w:adjustRightInd w:val="0"/>
              <w:snapToGrid w:val="0"/>
              <w:ind w:firstLine="422"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根据《政府采购促进中小企业发展暂行办法》（财库[2011]181号）及《财政部 司法部关于政府采购支持监狱企业发展有关问题的通知》（财库[2014]68号）规定要求，评标委员会对提供有效认定材料的小微企业及监狱企业给予6%的价格扣除后，计算各投标人价格分，其中：</w:t>
            </w:r>
          </w:p>
          <w:p>
            <w:pPr>
              <w:keepNext w:val="0"/>
              <w:keepLines w:val="0"/>
              <w:pageBreakBefore w:val="0"/>
              <w:widowControl w:val="0"/>
              <w:kinsoku/>
              <w:wordWrap/>
              <w:overflowPunct/>
              <w:topLinePunct w:val="0"/>
              <w:autoSpaceDE/>
              <w:autoSpaceDN/>
              <w:bidi w:val="0"/>
              <w:adjustRightInd w:val="0"/>
              <w:snapToGrid w:val="0"/>
              <w:ind w:firstLine="422"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a.中小企业划分标准根据《政府采购促进中小企业发展暂行办法》（财库[2011]181号）文件确定，参加政府采购活动的中小企业应当根据划分标准如实填写财库[2011]181号文件附件格式的《中小企业声明函》供评标委员会认定；b.监狱企业参加政府采购活动时，应当提供由省级以上监狱管理局、戒毒管理局（含新疆生产建设兵团）出具的属于监狱企业的证明文件供评标委员会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205" w:type="dxa"/>
            <w:gridSpan w:val="3"/>
            <w:vAlign w:val="center"/>
          </w:tcPr>
          <w:p>
            <w:pPr>
              <w:pStyle w:val="38"/>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商务分（</w:t>
            </w:r>
            <w:r>
              <w:rPr>
                <w:rFonts w:hint="eastAsia" w:ascii="宋体" w:hAnsi="宋体" w:eastAsia="宋体" w:cs="宋体"/>
                <w:b/>
                <w:color w:val="auto"/>
                <w:spacing w:val="-6"/>
                <w:sz w:val="21"/>
                <w:szCs w:val="21"/>
                <w:highlight w:val="none"/>
                <w:lang w:val="en-US" w:eastAsia="zh-CN"/>
              </w:rPr>
              <w:t>7</w:t>
            </w:r>
            <w:r>
              <w:rPr>
                <w:rFonts w:hint="eastAsia" w:ascii="宋体" w:hAnsi="宋体" w:eastAsia="宋体" w:cs="宋体"/>
                <w:b/>
                <w:color w:val="auto"/>
                <w:spacing w:val="-6"/>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1772" w:type="dxa"/>
            <w:vMerge w:val="restart"/>
            <w:vAlign w:val="center"/>
          </w:tcPr>
          <w:p>
            <w:pPr>
              <w:keepNext w:val="0"/>
              <w:keepLines w:val="0"/>
              <w:pageBreakBefore w:val="0"/>
              <w:widowControl w:val="0"/>
              <w:kinsoku/>
              <w:wordWrap/>
              <w:overflowPunct/>
              <w:topLinePunct w:val="0"/>
              <w:autoSpaceDE/>
              <w:autoSpaceDN/>
              <w:bidi w:val="0"/>
              <w:jc w:val="center"/>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企业的资信、业绩</w:t>
            </w:r>
          </w:p>
        </w:tc>
        <w:tc>
          <w:tcPr>
            <w:tcW w:w="750" w:type="dxa"/>
            <w:vAlign w:val="center"/>
          </w:tcPr>
          <w:p>
            <w:pPr>
              <w:keepNext w:val="0"/>
              <w:keepLines w:val="0"/>
              <w:pageBreakBefore w:val="0"/>
              <w:widowControl w:val="0"/>
              <w:kinsoku/>
              <w:wordWrap/>
              <w:overflowPunct/>
              <w:topLinePunct w:val="0"/>
              <w:autoSpaceDE/>
              <w:autoSpaceDN/>
              <w:bidi w:val="0"/>
              <w:jc w:val="center"/>
              <w:textAlignment w:val="auto"/>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val="en-US" w:eastAsia="zh-CN"/>
              </w:rPr>
              <w:t>3</w:t>
            </w:r>
          </w:p>
        </w:tc>
        <w:tc>
          <w:tcPr>
            <w:tcW w:w="7683" w:type="dxa"/>
            <w:vAlign w:val="center"/>
          </w:tcPr>
          <w:p>
            <w:pPr>
              <w:keepNext w:val="0"/>
              <w:keepLines w:val="0"/>
              <w:pageBreakBefore w:val="0"/>
              <w:widowControl w:val="0"/>
              <w:kinsoku/>
              <w:wordWrap/>
              <w:overflowPunct/>
              <w:topLinePunct w:val="0"/>
              <w:autoSpaceDE/>
              <w:autoSpaceDN/>
              <w:bidi w:val="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供应商自2016年1月1日</w:t>
            </w:r>
            <w:r>
              <w:rPr>
                <w:rFonts w:hint="eastAsia" w:ascii="宋体" w:hAnsi="宋体" w:eastAsia="宋体" w:cs="宋体"/>
                <w:color w:val="auto"/>
                <w:spacing w:val="-6"/>
                <w:sz w:val="21"/>
                <w:szCs w:val="21"/>
                <w:highlight w:val="none"/>
              </w:rPr>
              <w:t>【以竣（交）工验收资料时间为准】</w:t>
            </w:r>
            <w:r>
              <w:rPr>
                <w:rFonts w:hint="eastAsia" w:ascii="宋体" w:hAnsi="宋体" w:eastAsia="宋体" w:cs="宋体"/>
                <w:color w:val="auto"/>
                <w:sz w:val="21"/>
                <w:szCs w:val="21"/>
                <w:highlight w:val="none"/>
              </w:rPr>
              <w:t>以来承担过同类项目施工业绩，一项工程得</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分，最高得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分。证明材料：须同时出具中标通知书、施工合同复印件及竣工验收报告复印件（加盖公章），三者缺一不可，未提供或提供资料不完整的均不得分。（原件备查）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jc w:val="center"/>
        </w:trPr>
        <w:tc>
          <w:tcPr>
            <w:tcW w:w="1772" w:type="dxa"/>
            <w:vMerge w:val="continue"/>
            <w:vAlign w:val="center"/>
          </w:tcPr>
          <w:p>
            <w:pPr>
              <w:keepNext w:val="0"/>
              <w:keepLines w:val="0"/>
              <w:pageBreakBefore w:val="0"/>
              <w:widowControl w:val="0"/>
              <w:kinsoku/>
              <w:wordWrap/>
              <w:overflowPunct/>
              <w:topLinePunct w:val="0"/>
              <w:autoSpaceDE/>
              <w:autoSpaceDN/>
              <w:bidi w:val="0"/>
              <w:jc w:val="center"/>
              <w:textAlignment w:val="auto"/>
              <w:rPr>
                <w:rFonts w:hint="eastAsia" w:ascii="宋体" w:hAnsi="宋体" w:eastAsia="宋体" w:cs="宋体"/>
                <w:color w:val="auto"/>
                <w:sz w:val="21"/>
                <w:szCs w:val="21"/>
                <w:highlight w:val="none"/>
              </w:rPr>
            </w:pPr>
          </w:p>
        </w:tc>
        <w:tc>
          <w:tcPr>
            <w:tcW w:w="750" w:type="dxa"/>
            <w:vAlign w:val="center"/>
          </w:tcPr>
          <w:p>
            <w:pPr>
              <w:keepNext w:val="0"/>
              <w:keepLines w:val="0"/>
              <w:pageBreakBefore w:val="0"/>
              <w:widowControl w:val="0"/>
              <w:kinsoku/>
              <w:wordWrap/>
              <w:overflowPunct/>
              <w:topLinePunct w:val="0"/>
              <w:autoSpaceDE/>
              <w:autoSpaceDN/>
              <w:bidi w:val="0"/>
              <w:jc w:val="center"/>
              <w:textAlignment w:val="auto"/>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1.5</w:t>
            </w:r>
          </w:p>
        </w:tc>
        <w:tc>
          <w:tcPr>
            <w:tcW w:w="7683" w:type="dxa"/>
            <w:vAlign w:val="center"/>
          </w:tcPr>
          <w:p>
            <w:pPr>
              <w:keepNext w:val="0"/>
              <w:keepLines w:val="0"/>
              <w:pageBreakBefore w:val="0"/>
              <w:widowControl w:val="0"/>
              <w:kinsoku/>
              <w:wordWrap/>
              <w:overflowPunct/>
              <w:topLinePunct w:val="0"/>
              <w:autoSpaceDE/>
              <w:autoSpaceDN/>
              <w:bidi w:val="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供应商具有有效ISO质量管理体系认证、环境管理体系认证、职业健康安全管理体系，每个得</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jc w:val="center"/>
        </w:trPr>
        <w:tc>
          <w:tcPr>
            <w:tcW w:w="1772" w:type="dxa"/>
            <w:vMerge w:val="continue"/>
            <w:vAlign w:val="center"/>
          </w:tcPr>
          <w:p>
            <w:pPr>
              <w:keepNext w:val="0"/>
              <w:keepLines w:val="0"/>
              <w:pageBreakBefore w:val="0"/>
              <w:widowControl w:val="0"/>
              <w:kinsoku/>
              <w:wordWrap/>
              <w:overflowPunct/>
              <w:topLinePunct w:val="0"/>
              <w:autoSpaceDE/>
              <w:autoSpaceDN/>
              <w:bidi w:val="0"/>
              <w:jc w:val="center"/>
              <w:textAlignment w:val="auto"/>
              <w:rPr>
                <w:rFonts w:hint="eastAsia" w:ascii="宋体" w:hAnsi="宋体" w:eastAsia="宋体" w:cs="宋体"/>
                <w:color w:val="auto"/>
                <w:sz w:val="21"/>
                <w:szCs w:val="21"/>
                <w:highlight w:val="none"/>
              </w:rPr>
            </w:pPr>
          </w:p>
        </w:tc>
        <w:tc>
          <w:tcPr>
            <w:tcW w:w="750" w:type="dxa"/>
            <w:vAlign w:val="center"/>
          </w:tcPr>
          <w:p>
            <w:pPr>
              <w:keepNext w:val="0"/>
              <w:keepLines w:val="0"/>
              <w:pageBreakBefore w:val="0"/>
              <w:widowControl w:val="0"/>
              <w:kinsoku/>
              <w:wordWrap/>
              <w:overflowPunct/>
              <w:topLinePunct w:val="0"/>
              <w:autoSpaceDE/>
              <w:autoSpaceDN/>
              <w:bidi w:val="0"/>
              <w:jc w:val="center"/>
              <w:textAlignment w:val="auto"/>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0.5</w:t>
            </w:r>
          </w:p>
        </w:tc>
        <w:tc>
          <w:tcPr>
            <w:tcW w:w="7683" w:type="dxa"/>
            <w:vAlign w:val="center"/>
          </w:tcPr>
          <w:p>
            <w:pPr>
              <w:keepNext w:val="0"/>
              <w:keepLines w:val="0"/>
              <w:pageBreakBefore w:val="0"/>
              <w:widowControl w:val="0"/>
              <w:kinsoku/>
              <w:wordWrap/>
              <w:overflowPunct/>
              <w:topLinePunct w:val="0"/>
              <w:autoSpaceDE/>
              <w:autoSpaceDN/>
              <w:bidi w:val="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供应商的信用等级为AAA级的得</w:t>
            </w:r>
            <w:r>
              <w:rPr>
                <w:rFonts w:hint="eastAsia" w:ascii="宋体" w:hAnsi="宋体" w:eastAsia="宋体" w:cs="宋体"/>
                <w:color w:val="auto"/>
                <w:spacing w:val="-6"/>
                <w:sz w:val="21"/>
                <w:szCs w:val="21"/>
                <w:highlight w:val="none"/>
                <w:lang w:val="en-US" w:eastAsia="zh-CN"/>
              </w:rPr>
              <w:t>0.5</w:t>
            </w:r>
            <w:r>
              <w:rPr>
                <w:rFonts w:hint="eastAsia" w:ascii="宋体" w:hAnsi="宋体" w:eastAsia="宋体" w:cs="宋体"/>
                <w:color w:val="auto"/>
                <w:spacing w:val="-6"/>
                <w:sz w:val="21"/>
                <w:szCs w:val="21"/>
                <w:highlight w:val="none"/>
              </w:rPr>
              <w:t>分，</w:t>
            </w:r>
            <w:r>
              <w:rPr>
                <w:rFonts w:hint="eastAsia" w:ascii="宋体" w:hAnsi="宋体" w:eastAsia="宋体" w:cs="宋体"/>
                <w:color w:val="auto"/>
                <w:spacing w:val="-6"/>
                <w:sz w:val="21"/>
                <w:szCs w:val="21"/>
                <w:highlight w:val="none"/>
                <w:lang w:eastAsia="zh-CN"/>
              </w:rPr>
              <w:t>其余</w:t>
            </w:r>
            <w:r>
              <w:rPr>
                <w:rFonts w:hint="eastAsia" w:ascii="宋体" w:hAnsi="宋体" w:eastAsia="宋体" w:cs="宋体"/>
                <w:color w:val="auto"/>
                <w:spacing w:val="-6"/>
                <w:sz w:val="21"/>
                <w:szCs w:val="21"/>
                <w:highlight w:val="none"/>
              </w:rPr>
              <w:t>不得分。以响应文件中所附信用等级报告证书复印件或信用等级荣誉奖状为评分依据。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72" w:type="dxa"/>
            <w:vAlign w:val="center"/>
          </w:tcPr>
          <w:p>
            <w:pPr>
              <w:keepNext w:val="0"/>
              <w:keepLines w:val="0"/>
              <w:pageBreakBefore w:val="0"/>
              <w:widowControl w:val="0"/>
              <w:kinsoku/>
              <w:wordWrap/>
              <w:overflowPunct/>
              <w:topLinePunct w:val="0"/>
              <w:autoSpaceDE/>
              <w:autoSpaceDN/>
              <w:bidi w:val="0"/>
              <w:jc w:val="center"/>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项目经理</w:t>
            </w:r>
          </w:p>
        </w:tc>
        <w:tc>
          <w:tcPr>
            <w:tcW w:w="750" w:type="dxa"/>
            <w:vAlign w:val="center"/>
          </w:tcPr>
          <w:p>
            <w:pPr>
              <w:keepNext w:val="0"/>
              <w:keepLines w:val="0"/>
              <w:pageBreakBefore w:val="0"/>
              <w:widowControl w:val="0"/>
              <w:kinsoku/>
              <w:wordWrap/>
              <w:overflowPunct/>
              <w:topLinePunct w:val="0"/>
              <w:autoSpaceDE/>
              <w:autoSpaceDN/>
              <w:bidi w:val="0"/>
              <w:jc w:val="center"/>
              <w:textAlignment w:val="auto"/>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val="en-US" w:eastAsia="zh-CN"/>
              </w:rPr>
              <w:t>2</w:t>
            </w:r>
          </w:p>
        </w:tc>
        <w:tc>
          <w:tcPr>
            <w:tcW w:w="7683" w:type="dxa"/>
            <w:vAlign w:val="center"/>
          </w:tcPr>
          <w:p>
            <w:pPr>
              <w:keepNext w:val="0"/>
              <w:keepLines w:val="0"/>
              <w:pageBreakBefore w:val="0"/>
              <w:widowControl w:val="0"/>
              <w:kinsoku/>
              <w:wordWrap/>
              <w:overflowPunct/>
              <w:topLinePunct w:val="0"/>
              <w:autoSpaceDE/>
              <w:autoSpaceDN/>
              <w:bidi w:val="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项目经理自2016年1月1日【以竣（交）工验收资料时间为准】以来，以项目负责人身份完成过类似工程业绩。每个业绩得</w:t>
            </w:r>
            <w:r>
              <w:rPr>
                <w:rFonts w:hint="eastAsia" w:ascii="宋体" w:hAnsi="宋体" w:eastAsia="宋体" w:cs="宋体"/>
                <w:color w:val="auto"/>
                <w:spacing w:val="-6"/>
                <w:sz w:val="21"/>
                <w:szCs w:val="21"/>
                <w:highlight w:val="none"/>
                <w:lang w:val="en-US" w:eastAsia="zh-CN"/>
              </w:rPr>
              <w:t>0.5</w:t>
            </w:r>
            <w:r>
              <w:rPr>
                <w:rFonts w:hint="eastAsia" w:ascii="宋体" w:hAnsi="宋体" w:eastAsia="宋体" w:cs="宋体"/>
                <w:color w:val="auto"/>
                <w:spacing w:val="-6"/>
                <w:sz w:val="21"/>
                <w:szCs w:val="21"/>
                <w:highlight w:val="none"/>
              </w:rPr>
              <w:t>分，最多得</w:t>
            </w:r>
            <w:r>
              <w:rPr>
                <w:rFonts w:hint="eastAsia" w:ascii="宋体" w:hAnsi="宋体" w:eastAsia="宋体" w:cs="宋体"/>
                <w:color w:val="auto"/>
                <w:spacing w:val="-6"/>
                <w:sz w:val="21"/>
                <w:szCs w:val="21"/>
                <w:highlight w:val="none"/>
                <w:lang w:val="en-US" w:eastAsia="zh-CN"/>
              </w:rPr>
              <w:t>2</w:t>
            </w:r>
            <w:r>
              <w:rPr>
                <w:rFonts w:hint="eastAsia" w:ascii="宋体" w:hAnsi="宋体" w:eastAsia="宋体" w:cs="宋体"/>
                <w:color w:val="auto"/>
                <w:spacing w:val="-6"/>
                <w:sz w:val="21"/>
                <w:szCs w:val="21"/>
                <w:highlight w:val="none"/>
              </w:rPr>
              <w:t>分。</w:t>
            </w:r>
            <w:r>
              <w:rPr>
                <w:rFonts w:hint="eastAsia" w:ascii="宋体" w:hAnsi="宋体" w:eastAsia="宋体" w:cs="宋体"/>
                <w:color w:val="auto"/>
                <w:sz w:val="21"/>
                <w:szCs w:val="21"/>
                <w:highlight w:val="none"/>
              </w:rPr>
              <w:t>证明材料：须同时出具中标通知书、施工合同复印件及竣工验收报告复印件（加盖公章），三者缺一不可，未提供或提供资料不完整的均不得分。（原件备查）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10205" w:type="dxa"/>
            <w:gridSpan w:val="3"/>
            <w:vAlign w:val="center"/>
          </w:tcPr>
          <w:p>
            <w:pPr>
              <w:keepNext w:val="0"/>
              <w:keepLines w:val="0"/>
              <w:pageBreakBefore w:val="0"/>
              <w:widowControl w:val="0"/>
              <w:kinsoku/>
              <w:wordWrap/>
              <w:overflowPunct/>
              <w:topLinePunct w:val="0"/>
              <w:autoSpaceDE/>
              <w:autoSpaceDN/>
              <w:bidi w:val="0"/>
              <w:jc w:val="center"/>
              <w:textAlignment w:val="auto"/>
              <w:rPr>
                <w:rFonts w:hint="eastAsia" w:ascii="宋体" w:hAnsi="宋体" w:eastAsia="宋体" w:cs="宋体"/>
                <w:color w:val="auto"/>
                <w:spacing w:val="-6"/>
                <w:sz w:val="21"/>
                <w:szCs w:val="21"/>
                <w:highlight w:val="none"/>
              </w:rPr>
            </w:pPr>
            <w:r>
              <w:rPr>
                <w:rFonts w:hint="eastAsia" w:ascii="宋体" w:hAnsi="宋体" w:eastAsia="宋体" w:cs="宋体"/>
                <w:b/>
                <w:color w:val="auto"/>
                <w:spacing w:val="-6"/>
                <w:sz w:val="21"/>
                <w:szCs w:val="21"/>
                <w:highlight w:val="none"/>
              </w:rPr>
              <w:t>技术分（</w:t>
            </w:r>
            <w:r>
              <w:rPr>
                <w:rFonts w:hint="eastAsia" w:ascii="宋体" w:hAnsi="宋体" w:eastAsia="宋体" w:cs="宋体"/>
                <w:b/>
                <w:color w:val="auto"/>
                <w:spacing w:val="-6"/>
                <w:sz w:val="21"/>
                <w:szCs w:val="21"/>
                <w:highlight w:val="none"/>
                <w:lang w:val="en-US" w:eastAsia="zh-CN"/>
              </w:rPr>
              <w:t>3</w:t>
            </w:r>
            <w:r>
              <w:rPr>
                <w:rFonts w:hint="eastAsia" w:ascii="宋体" w:hAnsi="宋体" w:eastAsia="宋体" w:cs="宋体"/>
                <w:b/>
                <w:color w:val="auto"/>
                <w:spacing w:val="-6"/>
                <w:sz w:val="21"/>
                <w:szCs w:val="21"/>
                <w:highlight w:val="none"/>
                <w:lang w:val="en-US" w:eastAsia="zh-CN"/>
              </w:rPr>
              <w:t>3</w:t>
            </w:r>
            <w:r>
              <w:rPr>
                <w:rFonts w:hint="eastAsia" w:ascii="宋体" w:hAnsi="宋体" w:eastAsia="宋体" w:cs="宋体"/>
                <w:b/>
                <w:color w:val="auto"/>
                <w:spacing w:val="-6"/>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72" w:type="dxa"/>
            <w:vAlign w:val="center"/>
          </w:tcPr>
          <w:p>
            <w:pPr>
              <w:keepNext w:val="0"/>
              <w:keepLines w:val="0"/>
              <w:pageBreakBefore w:val="0"/>
              <w:widowControl w:val="0"/>
              <w:kinsoku/>
              <w:wordWrap/>
              <w:overflowPunct/>
              <w:topLinePunct w:val="0"/>
              <w:autoSpaceDE/>
              <w:autoSpaceDN/>
              <w:bidi w:val="0"/>
              <w:jc w:val="center"/>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施工方案</w:t>
            </w:r>
          </w:p>
        </w:tc>
        <w:tc>
          <w:tcPr>
            <w:tcW w:w="750" w:type="dxa"/>
            <w:vAlign w:val="center"/>
          </w:tcPr>
          <w:p>
            <w:pPr>
              <w:keepNext w:val="0"/>
              <w:keepLines w:val="0"/>
              <w:pageBreakBefore w:val="0"/>
              <w:widowControl w:val="0"/>
              <w:kinsoku/>
              <w:wordWrap/>
              <w:overflowPunct/>
              <w:topLinePunct w:val="0"/>
              <w:autoSpaceDE/>
              <w:autoSpaceDN/>
              <w:bidi w:val="0"/>
              <w:jc w:val="center"/>
              <w:textAlignment w:val="auto"/>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val="en-US" w:eastAsia="zh-CN"/>
              </w:rPr>
              <w:t>5</w:t>
            </w:r>
          </w:p>
        </w:tc>
        <w:tc>
          <w:tcPr>
            <w:tcW w:w="7683" w:type="dxa"/>
            <w:vAlign w:val="center"/>
          </w:tcPr>
          <w:p>
            <w:pPr>
              <w:keepNext w:val="0"/>
              <w:keepLines w:val="0"/>
              <w:pageBreakBefore w:val="0"/>
              <w:widowControl w:val="0"/>
              <w:kinsoku/>
              <w:wordWrap/>
              <w:overflowPunct/>
              <w:topLinePunct w:val="0"/>
              <w:autoSpaceDE/>
              <w:autoSpaceDN/>
              <w:bidi w:val="0"/>
              <w:jc w:val="both"/>
              <w:textAlignment w:val="auto"/>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eastAsia="zh-CN"/>
              </w:rPr>
              <w:t>供应商提出的施工方案，包括</w:t>
            </w:r>
            <w:r>
              <w:rPr>
                <w:rFonts w:hint="eastAsia" w:ascii="宋体" w:hAnsi="宋体" w:eastAsia="宋体" w:cs="宋体"/>
                <w:color w:val="auto"/>
                <w:spacing w:val="-6"/>
                <w:sz w:val="21"/>
                <w:szCs w:val="21"/>
                <w:highlight w:val="none"/>
              </w:rPr>
              <w:t>针对本工程项目实施的重点、难点和解决方案等方面</w:t>
            </w:r>
            <w:r>
              <w:rPr>
                <w:rFonts w:hint="eastAsia" w:ascii="宋体" w:hAnsi="宋体" w:eastAsia="宋体" w:cs="宋体"/>
                <w:color w:val="auto"/>
                <w:spacing w:val="-6"/>
                <w:sz w:val="21"/>
                <w:szCs w:val="21"/>
                <w:highlight w:val="none"/>
                <w:lang w:eastAsia="zh-CN"/>
              </w:rPr>
              <w:t>。最高得</w:t>
            </w:r>
            <w:r>
              <w:rPr>
                <w:rFonts w:hint="eastAsia" w:ascii="宋体" w:hAnsi="宋体" w:eastAsia="宋体" w:cs="宋体"/>
                <w:color w:val="auto"/>
                <w:spacing w:val="-6"/>
                <w:sz w:val="21"/>
                <w:szCs w:val="21"/>
                <w:highlight w:val="none"/>
                <w:lang w:val="en-US" w:eastAsia="zh-CN"/>
              </w:rPr>
              <w:t>5分，其余酌情扣分。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72" w:type="dxa"/>
            <w:vAlign w:val="center"/>
          </w:tcPr>
          <w:p>
            <w:pPr>
              <w:keepNext w:val="0"/>
              <w:keepLines w:val="0"/>
              <w:pageBreakBefore w:val="0"/>
              <w:widowControl w:val="0"/>
              <w:kinsoku/>
              <w:wordWrap/>
              <w:overflowPunct/>
              <w:topLinePunct w:val="0"/>
              <w:autoSpaceDE/>
              <w:autoSpaceDN/>
              <w:bidi w:val="0"/>
              <w:jc w:val="center"/>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施工总平面布置情况</w:t>
            </w:r>
          </w:p>
        </w:tc>
        <w:tc>
          <w:tcPr>
            <w:tcW w:w="750" w:type="dxa"/>
            <w:vAlign w:val="center"/>
          </w:tcPr>
          <w:p>
            <w:pPr>
              <w:keepNext w:val="0"/>
              <w:keepLines w:val="0"/>
              <w:pageBreakBefore w:val="0"/>
              <w:widowControl w:val="0"/>
              <w:kinsoku/>
              <w:wordWrap/>
              <w:overflowPunct/>
              <w:topLinePunct w:val="0"/>
              <w:autoSpaceDE/>
              <w:autoSpaceDN/>
              <w:bidi w:val="0"/>
              <w:jc w:val="center"/>
              <w:textAlignment w:val="auto"/>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val="en-US" w:eastAsia="zh-CN"/>
              </w:rPr>
              <w:t>3</w:t>
            </w:r>
          </w:p>
        </w:tc>
        <w:tc>
          <w:tcPr>
            <w:tcW w:w="7683" w:type="dxa"/>
            <w:vAlign w:val="center"/>
          </w:tcPr>
          <w:p>
            <w:pPr>
              <w:keepNext w:val="0"/>
              <w:keepLines w:val="0"/>
              <w:pageBreakBefore w:val="0"/>
              <w:widowControl w:val="0"/>
              <w:kinsoku/>
              <w:wordWrap/>
              <w:overflowPunct/>
              <w:topLinePunct w:val="0"/>
              <w:autoSpaceDE/>
              <w:autoSpaceDN/>
              <w:bidi w:val="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是否符合施工现场实际情况，施工总平面安排科学合理，符合本项目施工实际要求。根据材料堆场、施工通道的安排和施工人员住宿安排计划的科学性、合理性进行打分。</w:t>
            </w:r>
            <w:r>
              <w:rPr>
                <w:rFonts w:hint="eastAsia" w:ascii="宋体" w:hAnsi="宋体" w:eastAsia="宋体" w:cs="宋体"/>
                <w:color w:val="auto"/>
                <w:sz w:val="21"/>
                <w:szCs w:val="21"/>
                <w:highlight w:val="none"/>
                <w:lang w:eastAsia="zh-CN"/>
              </w:rPr>
              <w:t>最高得</w:t>
            </w:r>
            <w:r>
              <w:rPr>
                <w:rFonts w:hint="eastAsia" w:ascii="宋体" w:hAnsi="宋体" w:eastAsia="宋体" w:cs="宋体"/>
                <w:color w:val="auto"/>
                <w:sz w:val="21"/>
                <w:szCs w:val="21"/>
                <w:highlight w:val="none"/>
                <w:lang w:val="en-US" w:eastAsia="zh-CN"/>
              </w:rPr>
              <w:t>3分，其余酌情扣分</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72" w:type="dxa"/>
            <w:vAlign w:val="center"/>
          </w:tcPr>
          <w:p>
            <w:pPr>
              <w:keepNext w:val="0"/>
              <w:keepLines w:val="0"/>
              <w:pageBreakBefore w:val="0"/>
              <w:widowControl w:val="0"/>
              <w:kinsoku/>
              <w:wordWrap/>
              <w:overflowPunct/>
              <w:topLinePunct w:val="0"/>
              <w:autoSpaceDE/>
              <w:autoSpaceDN/>
              <w:bidi w:val="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安全文明施工保证</w:t>
            </w:r>
          </w:p>
        </w:tc>
        <w:tc>
          <w:tcPr>
            <w:tcW w:w="750" w:type="dxa"/>
            <w:vAlign w:val="center"/>
          </w:tcPr>
          <w:p>
            <w:pPr>
              <w:keepNext w:val="0"/>
              <w:keepLines w:val="0"/>
              <w:pageBreakBefore w:val="0"/>
              <w:widowControl w:val="0"/>
              <w:kinsoku/>
              <w:wordWrap/>
              <w:overflowPunct/>
              <w:topLinePunct w:val="0"/>
              <w:autoSpaceDE/>
              <w:autoSpaceDN/>
              <w:bidi w:val="0"/>
              <w:jc w:val="center"/>
              <w:textAlignment w:val="auto"/>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val="en-US" w:eastAsia="zh-CN"/>
              </w:rPr>
              <w:t>2</w:t>
            </w:r>
          </w:p>
        </w:tc>
        <w:tc>
          <w:tcPr>
            <w:tcW w:w="7683" w:type="dxa"/>
            <w:vAlign w:val="center"/>
          </w:tcPr>
          <w:p>
            <w:pPr>
              <w:keepNext w:val="0"/>
              <w:keepLines w:val="0"/>
              <w:pageBreakBefore w:val="0"/>
              <w:widowControl w:val="0"/>
              <w:kinsoku/>
              <w:wordWrap/>
              <w:overflowPunct/>
              <w:topLinePunct w:val="0"/>
              <w:autoSpaceDE/>
              <w:autoSpaceDN/>
              <w:bidi w:val="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安全、文明施工等的保证措施是否科学、合理流动、到位</w:t>
            </w:r>
            <w:r>
              <w:rPr>
                <w:rFonts w:hint="eastAsia" w:ascii="宋体" w:hAnsi="宋体" w:eastAsia="宋体" w:cs="宋体"/>
                <w:color w:val="auto"/>
                <w:sz w:val="21"/>
                <w:szCs w:val="21"/>
                <w:highlight w:val="none"/>
                <w:lang w:eastAsia="zh-CN"/>
              </w:rPr>
              <w:t>。最高得</w:t>
            </w:r>
            <w:r>
              <w:rPr>
                <w:rFonts w:hint="eastAsia" w:ascii="宋体" w:hAnsi="宋体" w:eastAsia="宋体" w:cs="宋体"/>
                <w:color w:val="auto"/>
                <w:sz w:val="21"/>
                <w:szCs w:val="21"/>
                <w:highlight w:val="none"/>
                <w:lang w:val="en-US" w:eastAsia="zh-CN"/>
              </w:rPr>
              <w:t>2分，其余酌情扣分</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72" w:type="dxa"/>
            <w:vAlign w:val="center"/>
          </w:tcPr>
          <w:p>
            <w:pPr>
              <w:keepNext w:val="0"/>
              <w:keepLines w:val="0"/>
              <w:pageBreakBefore w:val="0"/>
              <w:widowControl w:val="0"/>
              <w:kinsoku/>
              <w:wordWrap/>
              <w:overflowPunct/>
              <w:topLinePunct w:val="0"/>
              <w:autoSpaceDE/>
              <w:autoSpaceDN/>
              <w:bidi w:val="0"/>
              <w:jc w:val="center"/>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施工机械设备投入</w:t>
            </w:r>
          </w:p>
        </w:tc>
        <w:tc>
          <w:tcPr>
            <w:tcW w:w="750" w:type="dxa"/>
            <w:vAlign w:val="center"/>
          </w:tcPr>
          <w:p>
            <w:pPr>
              <w:keepNext w:val="0"/>
              <w:keepLines w:val="0"/>
              <w:pageBreakBefore w:val="0"/>
              <w:widowControl w:val="0"/>
              <w:kinsoku/>
              <w:wordWrap/>
              <w:overflowPunct/>
              <w:topLinePunct w:val="0"/>
              <w:autoSpaceDE/>
              <w:autoSpaceDN/>
              <w:bidi w:val="0"/>
              <w:jc w:val="center"/>
              <w:textAlignment w:val="auto"/>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val="en-US" w:eastAsia="zh-CN"/>
              </w:rPr>
              <w:t>5</w:t>
            </w:r>
          </w:p>
        </w:tc>
        <w:tc>
          <w:tcPr>
            <w:tcW w:w="7683" w:type="dxa"/>
            <w:vAlign w:val="center"/>
          </w:tcPr>
          <w:p>
            <w:pPr>
              <w:keepNext w:val="0"/>
              <w:keepLines w:val="0"/>
              <w:pageBreakBefore w:val="0"/>
              <w:widowControl w:val="0"/>
              <w:kinsoku/>
              <w:wordWrap/>
              <w:overflowPunct/>
              <w:topLinePunct w:val="0"/>
              <w:autoSpaceDE/>
              <w:autoSpaceDN/>
              <w:bidi w:val="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施工机具和检验仪器的投入</w:t>
            </w:r>
            <w:r>
              <w:rPr>
                <w:rFonts w:hint="eastAsia" w:ascii="宋体" w:hAnsi="宋体" w:eastAsia="宋体" w:cs="宋体"/>
                <w:color w:val="auto"/>
                <w:spacing w:val="-6"/>
                <w:sz w:val="21"/>
                <w:szCs w:val="21"/>
                <w:highlight w:val="none"/>
                <w:lang w:eastAsia="zh-CN"/>
              </w:rPr>
              <w:t>是否</w:t>
            </w:r>
            <w:r>
              <w:rPr>
                <w:rFonts w:hint="eastAsia" w:ascii="宋体" w:hAnsi="宋体" w:eastAsia="宋体" w:cs="宋体"/>
                <w:color w:val="auto"/>
                <w:spacing w:val="-6"/>
                <w:sz w:val="21"/>
                <w:szCs w:val="21"/>
                <w:highlight w:val="none"/>
              </w:rPr>
              <w:t>能够满足工程质量和进度的要求，</w:t>
            </w:r>
            <w:r>
              <w:rPr>
                <w:rFonts w:hint="eastAsia" w:ascii="宋体" w:hAnsi="宋体" w:eastAsia="宋体" w:cs="宋体"/>
                <w:color w:val="auto"/>
                <w:sz w:val="21"/>
                <w:szCs w:val="21"/>
                <w:highlight w:val="none"/>
                <w:lang w:eastAsia="zh-CN"/>
              </w:rPr>
              <w:t>最高得</w:t>
            </w:r>
            <w:r>
              <w:rPr>
                <w:rFonts w:hint="eastAsia" w:ascii="宋体" w:hAnsi="宋体" w:eastAsia="宋体" w:cs="宋体"/>
                <w:color w:val="auto"/>
                <w:sz w:val="21"/>
                <w:szCs w:val="21"/>
                <w:highlight w:val="none"/>
                <w:lang w:val="en-US" w:eastAsia="zh-CN"/>
              </w:rPr>
              <w:t>5分，其余酌情扣分</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72" w:type="dxa"/>
            <w:vAlign w:val="center"/>
          </w:tcPr>
          <w:p>
            <w:pPr>
              <w:keepNext w:val="0"/>
              <w:keepLines w:val="0"/>
              <w:pageBreakBefore w:val="0"/>
              <w:widowControl w:val="0"/>
              <w:kinsoku/>
              <w:wordWrap/>
              <w:overflowPunct/>
              <w:topLinePunct w:val="0"/>
              <w:autoSpaceDE/>
              <w:autoSpaceDN/>
              <w:bidi w:val="0"/>
              <w:jc w:val="center"/>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工期承诺、进度控制措施及施工质量控制措施</w:t>
            </w:r>
          </w:p>
        </w:tc>
        <w:tc>
          <w:tcPr>
            <w:tcW w:w="750" w:type="dxa"/>
            <w:vAlign w:val="center"/>
          </w:tcPr>
          <w:p>
            <w:pPr>
              <w:keepNext w:val="0"/>
              <w:keepLines w:val="0"/>
              <w:pageBreakBefore w:val="0"/>
              <w:widowControl w:val="0"/>
              <w:kinsoku/>
              <w:wordWrap/>
              <w:overflowPunct/>
              <w:topLinePunct w:val="0"/>
              <w:autoSpaceDE/>
              <w:autoSpaceDN/>
              <w:bidi w:val="0"/>
              <w:jc w:val="center"/>
              <w:textAlignment w:val="auto"/>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val="en-US" w:eastAsia="zh-CN"/>
              </w:rPr>
              <w:t>5</w:t>
            </w:r>
          </w:p>
        </w:tc>
        <w:tc>
          <w:tcPr>
            <w:tcW w:w="7683" w:type="dxa"/>
            <w:vAlign w:val="center"/>
          </w:tcPr>
          <w:p>
            <w:pPr>
              <w:keepNext w:val="0"/>
              <w:keepLines w:val="0"/>
              <w:pageBreakBefore w:val="0"/>
              <w:widowControl w:val="0"/>
              <w:kinsoku/>
              <w:wordWrap/>
              <w:overflowPunct/>
              <w:topLinePunct w:val="0"/>
              <w:autoSpaceDE/>
              <w:autoSpaceDN/>
              <w:bidi w:val="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工期承诺有利于采购人及项目的实施，进度控制措施具有针对性和可行性，施工质量的控制措施科学、合理</w:t>
            </w:r>
            <w:r>
              <w:rPr>
                <w:rFonts w:hint="eastAsia" w:ascii="宋体" w:hAnsi="宋体" w:eastAsia="宋体" w:cs="宋体"/>
                <w:color w:val="auto"/>
                <w:spacing w:val="-6"/>
                <w:sz w:val="21"/>
                <w:szCs w:val="21"/>
                <w:highlight w:val="none"/>
                <w:lang w:eastAsia="zh-CN"/>
              </w:rPr>
              <w:t>。</w:t>
            </w:r>
            <w:r>
              <w:rPr>
                <w:rFonts w:hint="eastAsia" w:ascii="宋体" w:hAnsi="宋体" w:eastAsia="宋体" w:cs="宋体"/>
                <w:color w:val="auto"/>
                <w:sz w:val="21"/>
                <w:szCs w:val="21"/>
                <w:highlight w:val="none"/>
                <w:lang w:eastAsia="zh-CN"/>
              </w:rPr>
              <w:t>最高得</w:t>
            </w:r>
            <w:r>
              <w:rPr>
                <w:rFonts w:hint="eastAsia" w:ascii="宋体" w:hAnsi="宋体" w:eastAsia="宋体" w:cs="宋体"/>
                <w:color w:val="auto"/>
                <w:sz w:val="21"/>
                <w:szCs w:val="21"/>
                <w:highlight w:val="none"/>
                <w:lang w:val="en-US" w:eastAsia="zh-CN"/>
              </w:rPr>
              <w:t>5分，其余酌情扣分</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72" w:type="dxa"/>
            <w:vAlign w:val="center"/>
          </w:tcPr>
          <w:p>
            <w:pPr>
              <w:keepNext w:val="0"/>
              <w:keepLines w:val="0"/>
              <w:pageBreakBefore w:val="0"/>
              <w:widowControl w:val="0"/>
              <w:kinsoku/>
              <w:wordWrap/>
              <w:overflowPunct/>
              <w:topLinePunct w:val="0"/>
              <w:autoSpaceDE/>
              <w:autoSpaceDN/>
              <w:bidi w:val="0"/>
              <w:jc w:val="center"/>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材料设备进场计划及施工计划情况</w:t>
            </w:r>
          </w:p>
        </w:tc>
        <w:tc>
          <w:tcPr>
            <w:tcW w:w="750" w:type="dxa"/>
            <w:vAlign w:val="center"/>
          </w:tcPr>
          <w:p>
            <w:pPr>
              <w:keepNext w:val="0"/>
              <w:keepLines w:val="0"/>
              <w:pageBreakBefore w:val="0"/>
              <w:widowControl w:val="0"/>
              <w:kinsoku/>
              <w:wordWrap/>
              <w:overflowPunct/>
              <w:topLinePunct w:val="0"/>
              <w:autoSpaceDE/>
              <w:autoSpaceDN/>
              <w:bidi w:val="0"/>
              <w:jc w:val="center"/>
              <w:textAlignment w:val="auto"/>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val="en-US" w:eastAsia="zh-CN"/>
              </w:rPr>
              <w:t>4</w:t>
            </w:r>
          </w:p>
        </w:tc>
        <w:tc>
          <w:tcPr>
            <w:tcW w:w="7683" w:type="dxa"/>
            <w:vAlign w:val="center"/>
          </w:tcPr>
          <w:p>
            <w:pPr>
              <w:keepNext w:val="0"/>
              <w:keepLines w:val="0"/>
              <w:pageBreakBefore w:val="0"/>
              <w:widowControl w:val="0"/>
              <w:kinsoku/>
              <w:wordWrap/>
              <w:overflowPunct/>
              <w:topLinePunct w:val="0"/>
              <w:autoSpaceDE/>
              <w:autoSpaceDN/>
              <w:bidi w:val="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具有详细的材料设备进场计划且计划周密，材料数量、质量控制，时间安排合理，满足施工需要。</w:t>
            </w:r>
            <w:r>
              <w:rPr>
                <w:rFonts w:hint="eastAsia" w:ascii="宋体" w:hAnsi="宋体" w:eastAsia="宋体" w:cs="宋体"/>
                <w:color w:val="auto"/>
                <w:sz w:val="21"/>
                <w:szCs w:val="21"/>
                <w:highlight w:val="none"/>
                <w:lang w:eastAsia="zh-CN"/>
              </w:rPr>
              <w:t>最高得</w:t>
            </w:r>
            <w:r>
              <w:rPr>
                <w:rFonts w:hint="eastAsia" w:ascii="宋体" w:hAnsi="宋体" w:eastAsia="宋体" w:cs="宋体"/>
                <w:color w:val="auto"/>
                <w:sz w:val="21"/>
                <w:szCs w:val="21"/>
                <w:highlight w:val="none"/>
                <w:lang w:val="en-US" w:eastAsia="zh-CN"/>
              </w:rPr>
              <w:t>4分，其余酌情扣分</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72" w:type="dxa"/>
            <w:vAlign w:val="center"/>
          </w:tcPr>
          <w:p>
            <w:pPr>
              <w:keepNext w:val="0"/>
              <w:keepLines w:val="0"/>
              <w:pageBreakBefore w:val="0"/>
              <w:widowControl w:val="0"/>
              <w:kinsoku/>
              <w:wordWrap/>
              <w:overflowPunct/>
              <w:topLinePunct w:val="0"/>
              <w:autoSpaceDE/>
              <w:autoSpaceDN/>
              <w:bidi w:val="0"/>
              <w:jc w:val="center"/>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投入本项目的技术力量</w:t>
            </w:r>
            <w:r>
              <w:rPr>
                <w:rFonts w:hint="eastAsia" w:ascii="宋体" w:hAnsi="宋体" w:eastAsia="宋体" w:cs="宋体"/>
                <w:color w:val="auto"/>
                <w:sz w:val="21"/>
                <w:szCs w:val="21"/>
                <w:highlight w:val="none"/>
              </w:rPr>
              <w:t>是否能满足工程的需要</w:t>
            </w:r>
          </w:p>
        </w:tc>
        <w:tc>
          <w:tcPr>
            <w:tcW w:w="750" w:type="dxa"/>
            <w:vAlign w:val="center"/>
          </w:tcPr>
          <w:p>
            <w:pPr>
              <w:keepNext w:val="0"/>
              <w:keepLines w:val="0"/>
              <w:pageBreakBefore w:val="0"/>
              <w:widowControl w:val="0"/>
              <w:kinsoku/>
              <w:wordWrap/>
              <w:overflowPunct/>
              <w:topLinePunct w:val="0"/>
              <w:autoSpaceDE/>
              <w:autoSpaceDN/>
              <w:bidi w:val="0"/>
              <w:jc w:val="center"/>
              <w:textAlignment w:val="auto"/>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val="en-US" w:eastAsia="zh-CN"/>
              </w:rPr>
              <w:t>6</w:t>
            </w:r>
          </w:p>
        </w:tc>
        <w:tc>
          <w:tcPr>
            <w:tcW w:w="7683" w:type="dxa"/>
            <w:vAlign w:val="center"/>
          </w:tcPr>
          <w:p>
            <w:pPr>
              <w:keepNext w:val="0"/>
              <w:keepLines w:val="0"/>
              <w:pageBreakBefore w:val="0"/>
              <w:widowControl w:val="0"/>
              <w:kinsoku/>
              <w:wordWrap/>
              <w:overflowPunct/>
              <w:topLinePunct w:val="0"/>
              <w:autoSpaceDE/>
              <w:autoSpaceDN/>
              <w:bidi w:val="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1.拟投入本工程管理人员岗位配置、专业配置的满足性及管理人员的专业能力（从管理人员的经验、职称、所学专业进行评估</w:t>
            </w:r>
            <w:r>
              <w:rPr>
                <w:rFonts w:hint="eastAsia" w:ascii="宋体" w:hAnsi="宋体" w:eastAsia="宋体" w:cs="宋体"/>
                <w:color w:val="auto"/>
                <w:sz w:val="21"/>
                <w:szCs w:val="21"/>
                <w:highlight w:val="none"/>
                <w:lang w:eastAsia="zh-CN"/>
              </w:rPr>
              <w:t>，酌情打分</w:t>
            </w:r>
            <w:r>
              <w:rPr>
                <w:rFonts w:hint="eastAsia" w:ascii="宋体" w:hAnsi="宋体" w:eastAsia="宋体" w:cs="宋体"/>
                <w:color w:val="auto"/>
                <w:sz w:val="21"/>
                <w:szCs w:val="21"/>
                <w:highlight w:val="none"/>
              </w:rPr>
              <w:t>）。（</w:t>
            </w:r>
            <w:r>
              <w:rPr>
                <w:rFonts w:hint="eastAsia" w:ascii="宋体" w:hAnsi="宋体" w:eastAsia="宋体" w:cs="宋体"/>
                <w:color w:val="auto"/>
                <w:spacing w:val="-6"/>
                <w:sz w:val="21"/>
                <w:szCs w:val="21"/>
                <w:highlight w:val="none"/>
                <w:lang w:val="en-US" w:eastAsia="zh-CN"/>
              </w:rPr>
              <w:t>3分</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2.派驻现场的工程施工人员的配置情况：本项由专家根据各供应商提供的人员配置数量、结构、内部管理制度以及如何满足本工程的施工的要求的描述分档酌情打分。（</w:t>
            </w:r>
            <w:r>
              <w:rPr>
                <w:rFonts w:hint="eastAsia" w:ascii="宋体" w:hAnsi="宋体" w:eastAsia="宋体" w:cs="宋体"/>
                <w:color w:val="auto"/>
                <w:spacing w:val="-6"/>
                <w:sz w:val="21"/>
                <w:szCs w:val="21"/>
                <w:highlight w:val="none"/>
                <w:lang w:val="en-US" w:eastAsia="zh-CN"/>
              </w:rPr>
              <w:t>3分</w:t>
            </w:r>
            <w:r>
              <w:rPr>
                <w:rFonts w:hint="eastAsia" w:ascii="宋体" w:hAnsi="宋体" w:eastAsia="宋体" w:cs="宋体"/>
                <w:color w:val="auto"/>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72" w:type="dxa"/>
            <w:vAlign w:val="center"/>
          </w:tcPr>
          <w:p>
            <w:pPr>
              <w:keepNext w:val="0"/>
              <w:keepLines w:val="0"/>
              <w:pageBreakBefore w:val="0"/>
              <w:widowControl w:val="0"/>
              <w:kinsoku/>
              <w:wordWrap/>
              <w:overflowPunct/>
              <w:topLinePunct w:val="0"/>
              <w:autoSpaceDE/>
              <w:autoSpaceDN/>
              <w:bidi w:val="0"/>
              <w:jc w:val="center"/>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应急处置方案及售后服务</w:t>
            </w:r>
          </w:p>
        </w:tc>
        <w:tc>
          <w:tcPr>
            <w:tcW w:w="750" w:type="dxa"/>
            <w:vAlign w:val="center"/>
          </w:tcPr>
          <w:p>
            <w:pPr>
              <w:keepNext w:val="0"/>
              <w:keepLines w:val="0"/>
              <w:pageBreakBefore w:val="0"/>
              <w:widowControl w:val="0"/>
              <w:kinsoku/>
              <w:wordWrap/>
              <w:overflowPunct/>
              <w:topLinePunct w:val="0"/>
              <w:autoSpaceDE/>
              <w:autoSpaceDN/>
              <w:bidi w:val="0"/>
              <w:jc w:val="center"/>
              <w:textAlignment w:val="auto"/>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val="en-US" w:eastAsia="zh-CN"/>
              </w:rPr>
              <w:t>3</w:t>
            </w:r>
          </w:p>
        </w:tc>
        <w:tc>
          <w:tcPr>
            <w:tcW w:w="7683" w:type="dxa"/>
            <w:vAlign w:val="center"/>
          </w:tcPr>
          <w:p>
            <w:pPr>
              <w:keepNext w:val="0"/>
              <w:keepLines w:val="0"/>
              <w:pageBreakBefore w:val="0"/>
              <w:widowControl w:val="0"/>
              <w:kinsoku/>
              <w:wordWrap/>
              <w:overflowPunct/>
              <w:topLinePunct w:val="0"/>
              <w:autoSpaceDE/>
              <w:autoSpaceDN/>
              <w:bidi w:val="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具备完善的售后技术支持和服务体系设计，能够提供服务标准、服务流程、服务内容</w:t>
            </w:r>
            <w:r>
              <w:rPr>
                <w:rFonts w:hint="eastAsia" w:ascii="宋体" w:hAnsi="宋体" w:eastAsia="宋体" w:cs="宋体"/>
                <w:color w:val="auto"/>
                <w:spacing w:val="-6"/>
                <w:sz w:val="21"/>
                <w:szCs w:val="21"/>
                <w:highlight w:val="none"/>
                <w:lang w:eastAsia="zh-CN"/>
              </w:rPr>
              <w:t>。</w:t>
            </w:r>
            <w:r>
              <w:rPr>
                <w:rFonts w:hint="eastAsia" w:ascii="宋体" w:hAnsi="宋体" w:eastAsia="宋体" w:cs="宋体"/>
                <w:color w:val="auto"/>
                <w:spacing w:val="-6"/>
                <w:sz w:val="21"/>
                <w:szCs w:val="21"/>
                <w:highlight w:val="none"/>
              </w:rPr>
              <w:t>提供应急预案，并承诺紧急的响应时间</w:t>
            </w:r>
            <w:r>
              <w:rPr>
                <w:rFonts w:hint="eastAsia" w:ascii="宋体" w:hAnsi="宋体" w:eastAsia="宋体" w:cs="宋体"/>
                <w:color w:val="auto"/>
                <w:spacing w:val="-6"/>
                <w:sz w:val="21"/>
                <w:szCs w:val="21"/>
                <w:highlight w:val="none"/>
                <w:lang w:eastAsia="zh-CN"/>
              </w:rPr>
              <w:t>。</w:t>
            </w:r>
            <w:r>
              <w:rPr>
                <w:rFonts w:hint="eastAsia" w:ascii="宋体" w:hAnsi="宋体" w:eastAsia="宋体" w:cs="宋体"/>
                <w:color w:val="auto"/>
                <w:sz w:val="21"/>
                <w:szCs w:val="21"/>
                <w:highlight w:val="none"/>
                <w:lang w:eastAsia="zh-CN"/>
              </w:rPr>
              <w:t>最高得</w:t>
            </w:r>
            <w:r>
              <w:rPr>
                <w:rFonts w:hint="eastAsia" w:ascii="宋体" w:hAnsi="宋体" w:eastAsia="宋体" w:cs="宋体"/>
                <w:color w:val="auto"/>
                <w:sz w:val="21"/>
                <w:szCs w:val="21"/>
                <w:highlight w:val="none"/>
                <w:lang w:val="en-US" w:eastAsia="zh-CN"/>
              </w:rPr>
              <w:t>3分，其余酌情扣分</w:t>
            </w:r>
            <w:r>
              <w:rPr>
                <w:rFonts w:hint="eastAsia" w:ascii="宋体" w:hAnsi="宋体" w:eastAsia="宋体" w:cs="宋体"/>
                <w:color w:val="auto"/>
                <w:sz w:val="21"/>
                <w:szCs w:val="21"/>
                <w:highlight w:val="none"/>
              </w:rPr>
              <w:t>。</w:t>
            </w:r>
          </w:p>
        </w:tc>
      </w:tr>
    </w:tbl>
    <w:p>
      <w:pPr>
        <w:spacing w:line="1" w:lineRule="exact"/>
        <w:rPr>
          <w:rFonts w:hint="eastAsia" w:ascii="宋体" w:hAnsi="宋体" w:eastAsia="宋体" w:cs="宋体"/>
          <w:color w:val="auto"/>
          <w:sz w:val="20"/>
          <w:szCs w:val="20"/>
          <w:highlight w:val="none"/>
        </w:rPr>
      </w:pPr>
      <w:bookmarkStart w:id="244" w:name="page92"/>
      <w:bookmarkEnd w:id="244"/>
    </w:p>
    <w:p>
      <w:pPr>
        <w:spacing w:line="360" w:lineRule="auto"/>
        <w:ind w:firstLine="422" w:firstLineChars="200"/>
        <w:rPr>
          <w:rFonts w:hint="eastAsia" w:ascii="宋体" w:hAnsi="宋体" w:eastAsia="宋体" w:cs="宋体"/>
          <w:color w:val="auto"/>
          <w:sz w:val="20"/>
          <w:szCs w:val="20"/>
          <w:highlight w:val="none"/>
        </w:rPr>
      </w:pPr>
      <w:r>
        <w:rPr>
          <w:rFonts w:hint="eastAsia" w:ascii="宋体" w:hAnsi="宋体" w:eastAsia="宋体" w:cs="宋体"/>
          <w:b/>
          <w:bCs/>
          <w:color w:val="auto"/>
          <w:sz w:val="21"/>
          <w:szCs w:val="21"/>
          <w:highlight w:val="none"/>
        </w:rPr>
        <w:t>五、成交办法</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采购人将根据磋商小组提交的评审报告及推荐的成交候选人，按有关规定确定成交人。</w:t>
      </w:r>
    </w:p>
    <w:p>
      <w:pPr>
        <w:spacing w:line="360" w:lineRule="auto"/>
        <w:ind w:firstLine="422" w:firstLineChars="200"/>
        <w:rPr>
          <w:rFonts w:hint="eastAsia" w:ascii="宋体" w:hAnsi="宋体" w:eastAsia="宋体" w:cs="宋体"/>
          <w:color w:val="auto"/>
          <w:sz w:val="20"/>
          <w:szCs w:val="20"/>
          <w:highlight w:val="none"/>
        </w:rPr>
      </w:pPr>
      <w:r>
        <w:rPr>
          <w:rFonts w:hint="eastAsia" w:ascii="宋体" w:hAnsi="宋体" w:eastAsia="宋体" w:cs="宋体"/>
          <w:b/>
          <w:bCs/>
          <w:color w:val="auto"/>
          <w:sz w:val="21"/>
          <w:szCs w:val="21"/>
          <w:highlight w:val="none"/>
        </w:rPr>
        <w:t>六、定标</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rPr>
        <w:t>）定标由招标人负责。</w:t>
      </w:r>
    </w:p>
    <w:p>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rPr>
        <w:t>）决标按照原国家发展计划委员会等七部委</w:t>
      </w:r>
      <w:r>
        <w:rPr>
          <w:rFonts w:hint="eastAsia" w:ascii="宋体" w:hAnsi="宋体" w:eastAsia="宋体" w:cs="宋体"/>
          <w:color w:val="auto"/>
          <w:sz w:val="21"/>
          <w:szCs w:val="21"/>
          <w:highlight w:val="none"/>
        </w:rPr>
        <w:t>30</w:t>
      </w:r>
      <w:r>
        <w:rPr>
          <w:rFonts w:hint="eastAsia" w:ascii="宋体" w:hAnsi="宋体" w:eastAsia="宋体" w:cs="宋体"/>
          <w:color w:val="auto"/>
          <w:sz w:val="21"/>
          <w:szCs w:val="21"/>
          <w:highlight w:val="none"/>
        </w:rPr>
        <w:t>号令的有关规定，确定中标人。</w:t>
      </w:r>
    </w:p>
    <w:p>
      <w:pPr>
        <w:spacing w:line="360" w:lineRule="auto"/>
        <w:ind w:firstLine="420" w:firstLineChars="200"/>
        <w:rPr>
          <w:rFonts w:hint="eastAsia" w:ascii="宋体" w:hAnsi="宋体" w:eastAsia="宋体" w:cs="宋体"/>
          <w:b/>
          <w:bCs/>
          <w:color w:val="auto"/>
          <w:sz w:val="21"/>
          <w:szCs w:val="21"/>
          <w:highlight w:val="none"/>
          <w:u w:val="singl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u w:val="single"/>
        </w:rPr>
        <w:t>如发生投诉争议等情况时，经查实中标候选人存在违法、违规行为，不符合中标条件，且该行为在</w:t>
      </w:r>
    </w:p>
    <w:p>
      <w:pPr>
        <w:spacing w:line="360" w:lineRule="auto"/>
        <w:ind w:firstLine="422" w:firstLineChars="200"/>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评标时是无法发现和确认的，招标人可以在其他中标侯选人中按照推荐的排序确定中标人。</w:t>
      </w:r>
    </w:p>
    <w:p>
      <w:pPr>
        <w:spacing w:line="360" w:lineRule="auto"/>
        <w:ind w:firstLine="420" w:firstLineChars="200"/>
        <w:rPr>
          <w:rFonts w:hint="eastAsia" w:ascii="宋体" w:hAnsi="宋体" w:eastAsia="宋体" w:cs="宋体"/>
          <w:b/>
          <w:bCs/>
          <w:color w:val="auto"/>
          <w:sz w:val="30"/>
          <w:szCs w:val="30"/>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rPr>
        <w:t>）当所有中标候选人经查实都存在违法、违规行为时，将重新依法组织招标。</w:t>
      </w:r>
      <w:bookmarkStart w:id="245" w:name="page94"/>
      <w:bookmarkEnd w:id="245"/>
      <w:bookmarkStart w:id="246" w:name="page93"/>
      <w:bookmarkEnd w:id="246"/>
    </w:p>
    <w:sectPr>
      <w:pgSz w:w="11906" w:h="16840"/>
      <w:pgMar w:top="1440" w:right="1080" w:bottom="1440" w:left="1080" w:header="567" w:footer="567" w:gutter="0"/>
      <w:cols w:equalWidth="0" w:num="1">
        <w:col w:w="13978"/>
      </w:cols>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Segoe Print"/>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560"/>
    </w:pPr>
    <w:r>
      <w:pict>
        <v:shape id="_x0000_s2049" o:spid="_x0000_s204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0.5pt" joinstyle="miter"/>
          <v:imagedata o:title=""/>
          <o:lock v:ext="edit"/>
          <v:textbox inset="0mm,0mm,0mm,0mm" style="mso-fit-shape-to-text:t;">
            <w:txbxContent>
              <w:p>
                <w:pPr>
                  <w:pStyle w:val="12"/>
                </w:pPr>
                <w:r>
                  <w:fldChar w:fldCharType="begin"/>
                </w:r>
                <w:r>
                  <w:instrText xml:space="preserve"> PAGE  \* MERGEFORMAT </w:instrText>
                </w:r>
                <w:r>
                  <w:fldChar w:fldCharType="separate"/>
                </w:r>
                <w:r>
                  <w:t>52</w:t>
                </w:r>
                <w:r>
                  <w:fldChar w:fldCharType="end"/>
                </w:r>
              </w:p>
            </w:txbxContent>
          </v:textbox>
        </v:shape>
      </w:pict>
    </w:r>
    <w:r>
      <w:pict>
        <v:shape id="图片 1" o:spid="_x0000_s2050" o:spt="75" alt="无标题2" type="#_x0000_t75" style="position:absolute;left:0pt;margin-left:411pt;margin-top:787.95pt;height:28.35pt;width:116.65pt;z-index:-251659264;mso-width-relative:page;mso-height-relative:page;" filled="f" o:preferrelative="t" stroked="f" coordsize="21600,21600">
          <v:path/>
          <v:fill on="f" focussize="0,0"/>
          <v:stroke on="f" joinstyle="miter"/>
          <v:imagedata r:id="rId1" o:title=""/>
          <o:lock v:ext="edit" aspectratio="t"/>
        </v:shape>
      </w:pict>
    </w:r>
    <w:r>
      <w:pict>
        <v:shape id="图片 7" o:spid="_x0000_s2051" o:spt="75" alt="无标题2" type="#_x0000_t75" style="position:absolute;left:0pt;margin-left:411pt;margin-top:787.95pt;height:28.35pt;width:116.65pt;z-index:-251662336;mso-width-relative:page;mso-height-relative:page;" filled="f" o:preferrelative="t" stroked="f" coordsize="21600,21600">
          <v:path/>
          <v:fill on="f" focussize="0,0"/>
          <v:stroke on="f" joinstyle="miter"/>
          <v:imagedata r:id="rId1" o:title=""/>
          <o:lock v:ext="edit" aspectratio="t"/>
        </v:shape>
      </w:pict>
    </w:r>
    <w:r>
      <w:pict>
        <v:shape id="图片 3" o:spid="_x0000_s2052" o:spt="75" alt="无标题2" type="#_x0000_t75" style="position:absolute;left:0pt;margin-left:411pt;margin-top:787.95pt;height:28.35pt;width:116.65pt;z-index:-251660288;mso-width-relative:page;mso-height-relative:page;" filled="f" o:preferrelative="t" stroked="f" coordsize="21600,21600">
          <v:path/>
          <v:fill on="f" focussize="0,0"/>
          <v:stroke on="f" joinstyle="miter"/>
          <v:imagedata r:id="rId1" o:title=""/>
          <o:lock v:ext="edit" aspectratio="t"/>
        </v:shape>
      </w:pict>
    </w:r>
    <w:r>
      <w:pict>
        <v:shape id="图片 4" o:spid="_x0000_s2053" o:spt="75" alt="无标题2" type="#_x0000_t75" style="position:absolute;left:0pt;margin-left:411pt;margin-top:787.95pt;height:28.35pt;width:116.65pt;z-index:-251661312;mso-width-relative:page;mso-height-relative:page;" filled="f" o:preferrelative="t" stroked="f" coordsize="21600,21600">
          <v:path/>
          <v:fill on="f" focussize="0,0"/>
          <v:stroke on="f" joinstyle="miter"/>
          <v:imagedata r:id="rId1" o:title=""/>
          <o:lock v:ext="edit" aspectratio="t"/>
        </v:shape>
      </w:pict>
    </w:r>
    <w:r>
      <w:pict>
        <v:shape id="图片 5" o:spid="_x0000_s2054" o:spt="75" alt="无标题2" type="#_x0000_t75" style="position:absolute;left:0pt;margin-left:411pt;margin-top:787.95pt;height:28.35pt;width:116.65pt;z-index:-251658240;mso-width-relative:page;mso-height-relative:page;" filled="f" o:preferrelative="t" stroked="f" coordsize="21600,21600">
          <v:path/>
          <v:fill on="f" focussize="0,0"/>
          <v:stroke on="f" joinstyle="miter"/>
          <v:imagedata r:id="rId1" o:title=""/>
          <o:lock v:ext="edit" aspectratio="t"/>
        </v:shape>
      </w:pict>
    </w:r>
    <w:r>
      <w:pict>
        <v:shape id="图片 2" o:spid="_x0000_s2055" o:spt="75" alt="无标题2" type="#_x0000_t75" style="position:absolute;left:0pt;margin-left:411pt;margin-top:787.95pt;height:28.35pt;width:116.65pt;z-index:-251657216;mso-width-relative:page;mso-height-relative:page;" filled="f" o:preferrelative="t" stroked="f" coordsize="21600,21600">
          <v:path/>
          <v:fill on="f" focussize="0,0"/>
          <v:stroke on="f" joinstyle="miter"/>
          <v:imagedata r:id="rId1" o:title=""/>
          <o:lock v:ext="edit" aspectratio="t"/>
        </v:shape>
      </w:pict>
    </w:r>
    <w:r>
      <w:pict>
        <v:shape id="_x0000_s2056" o:spid="_x0000_s2056" o:spt="75" alt="无标题2" type="#_x0000_t75" style="position:absolute;left:0pt;margin-left:411pt;margin-top:787.95pt;height:28.35pt;width:116.65pt;z-index:-251656192;mso-width-relative:page;mso-height-relative:page;" filled="f" o:preferrelative="t" stroked="f" coordsize="21600,21600">
          <v:path/>
          <v:fill on="f" focussize="0,0"/>
          <v:stroke on="f" joinstyle="miter"/>
          <v:imagedata r:id="rId1" o:title=""/>
          <o:lock v:ext="edit" aspectratio="t"/>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2"/>
      </w:rPr>
    </w:pPr>
    <w:r>
      <w:rPr>
        <w:rStyle w:val="22"/>
      </w:rPr>
      <w:fldChar w:fldCharType="begin"/>
    </w:r>
    <w:r>
      <w:rPr>
        <w:rStyle w:val="22"/>
      </w:rPr>
      <w:instrText xml:space="preserve">PAGE  </w:instrText>
    </w:r>
    <w:r>
      <w:rPr>
        <w:rStyle w:val="22"/>
      </w:rPr>
      <w:fldChar w:fldCharType="separate"/>
    </w:r>
    <w:r>
      <w:rPr>
        <w:rStyle w:val="22"/>
      </w:rPr>
      <w:t>87</w:t>
    </w:r>
    <w:r>
      <w:rPr>
        <w:rStyle w:val="22"/>
      </w:rPr>
      <w:fldChar w:fldCharType="end"/>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b/>
        <w:bCs/>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jc w:val="both"/>
      <w:rPr>
        <w:b/>
        <w:bCs/>
        <w:sz w:val="21"/>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b/>
        <w:bCs/>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6FD782"/>
    <w:multiLevelType w:val="singleLevel"/>
    <w:tmpl w:val="936FD782"/>
    <w:lvl w:ilvl="0" w:tentative="0">
      <w:start w:val="1"/>
      <w:numFmt w:val="chineseCounting"/>
      <w:suff w:val="nothing"/>
      <w:lvlText w:val="%1、"/>
      <w:lvlJc w:val="left"/>
      <w:rPr>
        <w:rFonts w:hint="eastAsia"/>
      </w:rPr>
    </w:lvl>
  </w:abstractNum>
  <w:abstractNum w:abstractNumId="1">
    <w:nsid w:val="00000005"/>
    <w:multiLevelType w:val="multilevel"/>
    <w:tmpl w:val="00000005"/>
    <w:lvl w:ilvl="0" w:tentative="0">
      <w:start w:val="1"/>
      <w:numFmt w:val="decimal"/>
      <w:pStyle w:val="52"/>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val="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noLineBreaksAfter w:lang="zh-CN" w:val="$([{£¥·‘“〈《「『【〔〖〝﹙﹛﹝＄（．［｛￡￥"/>
  <w:noLineBreaksBefore w:lang="zh-CN" w:val="!%),.:;&gt;?]}¢¨°·ˇˉ―‖’”…‰′″›℃∶、。〃〉》」』】〕〗〞︶︺︾﹀﹄﹚﹜﹞！＂％＇），．：；？］｀｜｝～￠"/>
  <w:hdrShapeDefaults>
    <o:shapelayout v:ext="edit">
      <o:idmap v:ext="edit" data="2"/>
    </o:shapelayout>
  </w:hdrShapeDefaults>
  <w:compat>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396D"/>
    <w:rsid w:val="000838A3"/>
    <w:rsid w:val="000844BA"/>
    <w:rsid w:val="000A1C20"/>
    <w:rsid w:val="00170469"/>
    <w:rsid w:val="002C0277"/>
    <w:rsid w:val="002C3C72"/>
    <w:rsid w:val="003670EF"/>
    <w:rsid w:val="003A0DFB"/>
    <w:rsid w:val="00513927"/>
    <w:rsid w:val="005B4382"/>
    <w:rsid w:val="006738E1"/>
    <w:rsid w:val="006D2B30"/>
    <w:rsid w:val="00776C7B"/>
    <w:rsid w:val="007C396D"/>
    <w:rsid w:val="007E4312"/>
    <w:rsid w:val="008059DA"/>
    <w:rsid w:val="00875D57"/>
    <w:rsid w:val="008C1FB2"/>
    <w:rsid w:val="008E13B6"/>
    <w:rsid w:val="008E549F"/>
    <w:rsid w:val="00937E58"/>
    <w:rsid w:val="009C3469"/>
    <w:rsid w:val="009E23C3"/>
    <w:rsid w:val="00A07492"/>
    <w:rsid w:val="00A4750C"/>
    <w:rsid w:val="00B04D28"/>
    <w:rsid w:val="00B60F75"/>
    <w:rsid w:val="00BF1F37"/>
    <w:rsid w:val="00D62534"/>
    <w:rsid w:val="00DC2442"/>
    <w:rsid w:val="00DD48E8"/>
    <w:rsid w:val="00E628F1"/>
    <w:rsid w:val="00E9619C"/>
    <w:rsid w:val="00EB4736"/>
    <w:rsid w:val="00EB4D15"/>
    <w:rsid w:val="00EE6CA1"/>
    <w:rsid w:val="00F363BC"/>
    <w:rsid w:val="00FE5FBB"/>
    <w:rsid w:val="01DF3F89"/>
    <w:rsid w:val="03000F96"/>
    <w:rsid w:val="03223869"/>
    <w:rsid w:val="04634121"/>
    <w:rsid w:val="04747B5D"/>
    <w:rsid w:val="04F74647"/>
    <w:rsid w:val="0577178A"/>
    <w:rsid w:val="05E81F60"/>
    <w:rsid w:val="05F5029F"/>
    <w:rsid w:val="06AC07B0"/>
    <w:rsid w:val="06C32363"/>
    <w:rsid w:val="092D0ADC"/>
    <w:rsid w:val="098B217B"/>
    <w:rsid w:val="09EA50AF"/>
    <w:rsid w:val="0A2119D5"/>
    <w:rsid w:val="0D9214F7"/>
    <w:rsid w:val="0DD6312C"/>
    <w:rsid w:val="0E753BA5"/>
    <w:rsid w:val="0ED90966"/>
    <w:rsid w:val="0EFC6EE1"/>
    <w:rsid w:val="0F6B751D"/>
    <w:rsid w:val="113F0361"/>
    <w:rsid w:val="12980354"/>
    <w:rsid w:val="12E6405A"/>
    <w:rsid w:val="13D947C3"/>
    <w:rsid w:val="13FA1E85"/>
    <w:rsid w:val="14563D9A"/>
    <w:rsid w:val="157A40BB"/>
    <w:rsid w:val="15A460B7"/>
    <w:rsid w:val="17984DC4"/>
    <w:rsid w:val="18887FCB"/>
    <w:rsid w:val="188C2004"/>
    <w:rsid w:val="18F71FC9"/>
    <w:rsid w:val="191F4290"/>
    <w:rsid w:val="198525A6"/>
    <w:rsid w:val="1A3A3D43"/>
    <w:rsid w:val="1A72109A"/>
    <w:rsid w:val="1AE92DEB"/>
    <w:rsid w:val="1B986626"/>
    <w:rsid w:val="1D307ADB"/>
    <w:rsid w:val="1E9E37E9"/>
    <w:rsid w:val="1EE4407B"/>
    <w:rsid w:val="20E96158"/>
    <w:rsid w:val="229A21DB"/>
    <w:rsid w:val="25662B53"/>
    <w:rsid w:val="258F4041"/>
    <w:rsid w:val="2624006D"/>
    <w:rsid w:val="27973992"/>
    <w:rsid w:val="279C3BB6"/>
    <w:rsid w:val="281B4985"/>
    <w:rsid w:val="288E34E1"/>
    <w:rsid w:val="2A5507CB"/>
    <w:rsid w:val="2A69625D"/>
    <w:rsid w:val="2A901B7A"/>
    <w:rsid w:val="2AB77FBD"/>
    <w:rsid w:val="2AE83444"/>
    <w:rsid w:val="2B6355D3"/>
    <w:rsid w:val="2D601EA8"/>
    <w:rsid w:val="2E443874"/>
    <w:rsid w:val="2E582CD2"/>
    <w:rsid w:val="2E755B7E"/>
    <w:rsid w:val="2EE37D33"/>
    <w:rsid w:val="2F4C17B1"/>
    <w:rsid w:val="2F9F17AF"/>
    <w:rsid w:val="2FD72A51"/>
    <w:rsid w:val="31E14838"/>
    <w:rsid w:val="31ED4076"/>
    <w:rsid w:val="33361AFC"/>
    <w:rsid w:val="3349347A"/>
    <w:rsid w:val="33921610"/>
    <w:rsid w:val="3396625A"/>
    <w:rsid w:val="34721153"/>
    <w:rsid w:val="351C51A6"/>
    <w:rsid w:val="35432363"/>
    <w:rsid w:val="35D511FF"/>
    <w:rsid w:val="366266F0"/>
    <w:rsid w:val="36BC2F02"/>
    <w:rsid w:val="36BF1A76"/>
    <w:rsid w:val="376974BF"/>
    <w:rsid w:val="37984A0E"/>
    <w:rsid w:val="38083044"/>
    <w:rsid w:val="386715DA"/>
    <w:rsid w:val="39B32605"/>
    <w:rsid w:val="3A4D46F0"/>
    <w:rsid w:val="3BAE63B7"/>
    <w:rsid w:val="3E09440C"/>
    <w:rsid w:val="3E6863F2"/>
    <w:rsid w:val="42510DFB"/>
    <w:rsid w:val="428C1178"/>
    <w:rsid w:val="43AA4F04"/>
    <w:rsid w:val="444E6204"/>
    <w:rsid w:val="45E54783"/>
    <w:rsid w:val="46452504"/>
    <w:rsid w:val="466B2E7C"/>
    <w:rsid w:val="46ED2BFC"/>
    <w:rsid w:val="47064BE6"/>
    <w:rsid w:val="47CE768E"/>
    <w:rsid w:val="49441023"/>
    <w:rsid w:val="494F22A3"/>
    <w:rsid w:val="4AEC502C"/>
    <w:rsid w:val="4C1762DA"/>
    <w:rsid w:val="4C323F07"/>
    <w:rsid w:val="4CB71F12"/>
    <w:rsid w:val="4CC912B8"/>
    <w:rsid w:val="4CD522CF"/>
    <w:rsid w:val="4D441D56"/>
    <w:rsid w:val="4D76400F"/>
    <w:rsid w:val="4D856959"/>
    <w:rsid w:val="4DA40455"/>
    <w:rsid w:val="4E6E5D15"/>
    <w:rsid w:val="4FAD3830"/>
    <w:rsid w:val="50CC4992"/>
    <w:rsid w:val="52500F7E"/>
    <w:rsid w:val="53A1157D"/>
    <w:rsid w:val="53A6176B"/>
    <w:rsid w:val="543A778D"/>
    <w:rsid w:val="54632850"/>
    <w:rsid w:val="552C72C6"/>
    <w:rsid w:val="5561017E"/>
    <w:rsid w:val="583F07AF"/>
    <w:rsid w:val="58413ABE"/>
    <w:rsid w:val="585C7053"/>
    <w:rsid w:val="58AC43C5"/>
    <w:rsid w:val="58B14BDE"/>
    <w:rsid w:val="5A205324"/>
    <w:rsid w:val="5A9B0D5E"/>
    <w:rsid w:val="5B1B1562"/>
    <w:rsid w:val="5B437B7A"/>
    <w:rsid w:val="5C0D36FF"/>
    <w:rsid w:val="5DBD1DD1"/>
    <w:rsid w:val="5EB41072"/>
    <w:rsid w:val="5EB60667"/>
    <w:rsid w:val="5F246482"/>
    <w:rsid w:val="5F4E2B3F"/>
    <w:rsid w:val="60A36904"/>
    <w:rsid w:val="60B166B7"/>
    <w:rsid w:val="61FA1703"/>
    <w:rsid w:val="62C94278"/>
    <w:rsid w:val="63405725"/>
    <w:rsid w:val="63B77350"/>
    <w:rsid w:val="63EE196A"/>
    <w:rsid w:val="654620A6"/>
    <w:rsid w:val="660B7EE6"/>
    <w:rsid w:val="66221ACF"/>
    <w:rsid w:val="67103379"/>
    <w:rsid w:val="6746686E"/>
    <w:rsid w:val="67681C9B"/>
    <w:rsid w:val="67C12663"/>
    <w:rsid w:val="691150EA"/>
    <w:rsid w:val="69FE1C24"/>
    <w:rsid w:val="6A1C5564"/>
    <w:rsid w:val="6A403F45"/>
    <w:rsid w:val="6AC30EDA"/>
    <w:rsid w:val="6B440543"/>
    <w:rsid w:val="6D773141"/>
    <w:rsid w:val="6DB53060"/>
    <w:rsid w:val="6E10377E"/>
    <w:rsid w:val="6E1E6E89"/>
    <w:rsid w:val="6E701503"/>
    <w:rsid w:val="707E4E4E"/>
    <w:rsid w:val="713D21F7"/>
    <w:rsid w:val="727406DE"/>
    <w:rsid w:val="734062D0"/>
    <w:rsid w:val="734D0F87"/>
    <w:rsid w:val="73FE0B3F"/>
    <w:rsid w:val="744644B2"/>
    <w:rsid w:val="762E73B2"/>
    <w:rsid w:val="76A257A0"/>
    <w:rsid w:val="770937D3"/>
    <w:rsid w:val="775A4029"/>
    <w:rsid w:val="78280894"/>
    <w:rsid w:val="78770E8B"/>
    <w:rsid w:val="7928629E"/>
    <w:rsid w:val="79CB166E"/>
    <w:rsid w:val="79D055D3"/>
    <w:rsid w:val="79EE1F34"/>
    <w:rsid w:val="7A73499A"/>
    <w:rsid w:val="7CF02BF0"/>
    <w:rsid w:val="7D363173"/>
    <w:rsid w:val="7D7536D2"/>
    <w:rsid w:val="7E7A5C10"/>
    <w:rsid w:val="7E8E5F0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kern w:val="0"/>
      <w:sz w:val="22"/>
      <w:szCs w:val="22"/>
      <w:lang w:val="en-US" w:eastAsia="zh-CN" w:bidi="ar-SA"/>
    </w:rPr>
  </w:style>
  <w:style w:type="paragraph" w:styleId="3">
    <w:name w:val="heading 1"/>
    <w:basedOn w:val="1"/>
    <w:next w:val="1"/>
    <w:link w:val="25"/>
    <w:qFormat/>
    <w:uiPriority w:val="99"/>
    <w:pPr>
      <w:keepNext/>
      <w:keepLines/>
      <w:spacing w:before="340" w:after="330" w:line="576" w:lineRule="auto"/>
      <w:outlineLvl w:val="0"/>
    </w:pPr>
    <w:rPr>
      <w:b/>
      <w:kern w:val="44"/>
      <w:sz w:val="44"/>
    </w:rPr>
  </w:style>
  <w:style w:type="paragraph" w:styleId="4">
    <w:name w:val="heading 2"/>
    <w:basedOn w:val="1"/>
    <w:next w:val="1"/>
    <w:link w:val="26"/>
    <w:qFormat/>
    <w:uiPriority w:val="99"/>
    <w:pPr>
      <w:keepNext/>
      <w:keepLines/>
      <w:spacing w:before="260" w:after="260" w:line="360" w:lineRule="auto"/>
      <w:outlineLvl w:val="1"/>
    </w:pPr>
    <w:rPr>
      <w:rFonts w:ascii="Arial" w:hAnsi="Arial"/>
      <w:b/>
      <w:sz w:val="32"/>
    </w:rPr>
  </w:style>
  <w:style w:type="paragraph" w:styleId="5">
    <w:name w:val="heading 3"/>
    <w:basedOn w:val="1"/>
    <w:next w:val="1"/>
    <w:link w:val="27"/>
    <w:qFormat/>
    <w:uiPriority w:val="99"/>
    <w:pPr>
      <w:keepNext/>
      <w:keepLines/>
      <w:spacing w:before="260" w:after="260" w:line="416" w:lineRule="auto"/>
      <w:outlineLvl w:val="2"/>
    </w:pPr>
    <w:rPr>
      <w:b/>
      <w:bCs/>
      <w:sz w:val="32"/>
      <w:szCs w:val="32"/>
    </w:rPr>
  </w:style>
  <w:style w:type="paragraph" w:styleId="6">
    <w:name w:val="heading 4"/>
    <w:basedOn w:val="1"/>
    <w:next w:val="1"/>
    <w:link w:val="28"/>
    <w:qFormat/>
    <w:uiPriority w:val="99"/>
    <w:pPr>
      <w:keepNext/>
      <w:keepLines/>
      <w:spacing w:before="280" w:after="290" w:line="376" w:lineRule="auto"/>
      <w:outlineLvl w:val="3"/>
    </w:pPr>
    <w:rPr>
      <w:rFonts w:ascii="Arial" w:hAnsi="Arial" w:eastAsia="黑体"/>
      <w:b/>
      <w:bCs/>
      <w:sz w:val="28"/>
      <w:szCs w:val="28"/>
    </w:rPr>
  </w:style>
  <w:style w:type="character" w:default="1" w:styleId="21">
    <w:name w:val="Default Paragraph Font"/>
    <w:semiHidden/>
    <w:qFormat/>
    <w:uiPriority w:val="99"/>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黑体" w:hAnsi="Times New Roman" w:eastAsia="黑体" w:cs="黑体"/>
      <w:color w:val="000000"/>
      <w:kern w:val="0"/>
      <w:sz w:val="24"/>
      <w:szCs w:val="24"/>
      <w:lang w:val="en-US" w:eastAsia="zh-CN" w:bidi="ar-SA"/>
    </w:rPr>
  </w:style>
  <w:style w:type="paragraph" w:styleId="7">
    <w:name w:val="Body Text"/>
    <w:basedOn w:val="1"/>
    <w:link w:val="29"/>
    <w:qFormat/>
    <w:uiPriority w:val="99"/>
    <w:rPr>
      <w:rFonts w:ascii="?????" w:hAnsi="?????"/>
      <w:b/>
      <w:spacing w:val="-8"/>
      <w:sz w:val="44"/>
      <w:szCs w:val="20"/>
    </w:rPr>
  </w:style>
  <w:style w:type="paragraph" w:styleId="8">
    <w:name w:val="Body Text Indent"/>
    <w:basedOn w:val="1"/>
    <w:link w:val="30"/>
    <w:qFormat/>
    <w:uiPriority w:val="99"/>
    <w:pPr>
      <w:spacing w:line="480" w:lineRule="atLeast"/>
      <w:ind w:firstLine="570"/>
    </w:pPr>
    <w:rPr>
      <w:rFonts w:ascii="黑体" w:eastAsia="黑体"/>
    </w:rPr>
  </w:style>
  <w:style w:type="paragraph" w:styleId="9">
    <w:name w:val="Plain Text"/>
    <w:basedOn w:val="1"/>
    <w:link w:val="31"/>
    <w:qFormat/>
    <w:uiPriority w:val="99"/>
    <w:pPr>
      <w:spacing w:beforeLines="50" w:afterLines="50" w:line="400" w:lineRule="atLeast"/>
    </w:pPr>
    <w:rPr>
      <w:rFonts w:ascii="宋体" w:hAnsi="Courier New"/>
      <w:sz w:val="24"/>
    </w:rPr>
  </w:style>
  <w:style w:type="paragraph" w:styleId="10">
    <w:name w:val="Date"/>
    <w:basedOn w:val="1"/>
    <w:next w:val="1"/>
    <w:link w:val="32"/>
    <w:qFormat/>
    <w:uiPriority w:val="99"/>
    <w:pPr>
      <w:adjustRightInd w:val="0"/>
      <w:jc w:val="right"/>
      <w:textAlignment w:val="baseline"/>
    </w:pPr>
    <w:rPr>
      <w:rFonts w:eastAsia="仿宋_GB2312"/>
      <w:b/>
    </w:rPr>
  </w:style>
  <w:style w:type="paragraph" w:styleId="11">
    <w:name w:val="Balloon Text"/>
    <w:basedOn w:val="1"/>
    <w:link w:val="33"/>
    <w:semiHidden/>
    <w:qFormat/>
    <w:uiPriority w:val="99"/>
    <w:rPr>
      <w:sz w:val="18"/>
      <w:szCs w:val="18"/>
    </w:rPr>
  </w:style>
  <w:style w:type="paragraph" w:styleId="12">
    <w:name w:val="footer"/>
    <w:basedOn w:val="1"/>
    <w:link w:val="34"/>
    <w:qFormat/>
    <w:uiPriority w:val="99"/>
    <w:pPr>
      <w:tabs>
        <w:tab w:val="center" w:pos="4153"/>
        <w:tab w:val="right" w:pos="8306"/>
      </w:tabs>
      <w:snapToGrid w:val="0"/>
    </w:pPr>
    <w:rPr>
      <w:sz w:val="18"/>
      <w:szCs w:val="18"/>
    </w:rPr>
  </w:style>
  <w:style w:type="paragraph" w:styleId="13">
    <w:name w:val="header"/>
    <w:basedOn w:val="1"/>
    <w:link w:val="35"/>
    <w:qFormat/>
    <w:uiPriority w:val="99"/>
    <w:pPr>
      <w:tabs>
        <w:tab w:val="center" w:pos="4153"/>
        <w:tab w:val="right" w:pos="8306"/>
      </w:tabs>
      <w:snapToGrid w:val="0"/>
      <w:jc w:val="center"/>
    </w:pPr>
    <w:rPr>
      <w:sz w:val="18"/>
      <w:szCs w:val="18"/>
    </w:rPr>
  </w:style>
  <w:style w:type="paragraph" w:styleId="14">
    <w:name w:val="toc 1"/>
    <w:basedOn w:val="1"/>
    <w:next w:val="1"/>
    <w:qFormat/>
    <w:uiPriority w:val="99"/>
    <w:pPr>
      <w:tabs>
        <w:tab w:val="right" w:leader="dot" w:pos="9072"/>
      </w:tabs>
      <w:spacing w:before="120" w:after="120" w:line="360" w:lineRule="auto"/>
    </w:pPr>
    <w:rPr>
      <w:rFonts w:ascii="Calibri" w:hAnsi="Calibri"/>
      <w:b/>
      <w:bCs/>
      <w:caps/>
      <w:sz w:val="20"/>
    </w:rPr>
  </w:style>
  <w:style w:type="paragraph" w:styleId="15">
    <w:name w:val="List"/>
    <w:basedOn w:val="1"/>
    <w:qFormat/>
    <w:uiPriority w:val="99"/>
    <w:pPr>
      <w:ind w:left="200" w:hanging="200" w:hangingChars="200"/>
    </w:pPr>
  </w:style>
  <w:style w:type="paragraph" w:styleId="16">
    <w:name w:val="footnote text"/>
    <w:basedOn w:val="1"/>
    <w:link w:val="36"/>
    <w:semiHidden/>
    <w:qFormat/>
    <w:uiPriority w:val="99"/>
    <w:pPr>
      <w:snapToGrid w:val="0"/>
    </w:pPr>
    <w:rPr>
      <w:sz w:val="18"/>
    </w:rPr>
  </w:style>
  <w:style w:type="paragraph" w:styleId="17">
    <w:name w:val="toc 2"/>
    <w:basedOn w:val="1"/>
    <w:next w:val="1"/>
    <w:qFormat/>
    <w:uiPriority w:val="99"/>
    <w:pPr>
      <w:tabs>
        <w:tab w:val="right" w:leader="dot" w:pos="9060"/>
      </w:tabs>
      <w:spacing w:line="400" w:lineRule="exact"/>
      <w:ind w:left="280" w:right="148" w:rightChars="53"/>
    </w:pPr>
    <w:rPr>
      <w:rFonts w:ascii="仿宋" w:hAnsi="仿宋" w:eastAsia="仿宋"/>
      <w:b/>
      <w:smallCaps/>
      <w:sz w:val="24"/>
      <w:szCs w:val="24"/>
    </w:rPr>
  </w:style>
  <w:style w:type="paragraph" w:styleId="18">
    <w:name w:val="Normal (Web)"/>
    <w:basedOn w:val="1"/>
    <w:qFormat/>
    <w:uiPriority w:val="99"/>
    <w:pPr>
      <w:spacing w:before="100" w:beforeAutospacing="1" w:after="100" w:afterAutospacing="1"/>
    </w:pPr>
    <w:rPr>
      <w:rFonts w:ascii="宋体" w:hAnsi="宋体"/>
      <w:sz w:val="24"/>
      <w:szCs w:val="24"/>
    </w:rPr>
  </w:style>
  <w:style w:type="table" w:styleId="20">
    <w:name w:val="Table Grid"/>
    <w:basedOn w:val="19"/>
    <w:unhideWhenUsed/>
    <w:qFormat/>
    <w:lock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2">
    <w:name w:val="page number"/>
    <w:basedOn w:val="21"/>
    <w:qFormat/>
    <w:uiPriority w:val="99"/>
    <w:rPr>
      <w:rFonts w:cs="Times New Roman"/>
    </w:rPr>
  </w:style>
  <w:style w:type="character" w:styleId="23">
    <w:name w:val="Hyperlink"/>
    <w:basedOn w:val="21"/>
    <w:qFormat/>
    <w:uiPriority w:val="99"/>
    <w:rPr>
      <w:rFonts w:cs="Times New Roman"/>
      <w:color w:val="0000FF"/>
      <w:u w:val="single"/>
    </w:rPr>
  </w:style>
  <w:style w:type="character" w:styleId="24">
    <w:name w:val="footnote reference"/>
    <w:basedOn w:val="21"/>
    <w:semiHidden/>
    <w:qFormat/>
    <w:uiPriority w:val="99"/>
    <w:rPr>
      <w:rFonts w:cs="Times New Roman"/>
      <w:vertAlign w:val="superscript"/>
    </w:rPr>
  </w:style>
  <w:style w:type="character" w:customStyle="1" w:styleId="25">
    <w:name w:val="Heading 1 Char"/>
    <w:basedOn w:val="21"/>
    <w:link w:val="3"/>
    <w:qFormat/>
    <w:uiPriority w:val="9"/>
    <w:rPr>
      <w:b/>
      <w:bCs/>
      <w:kern w:val="44"/>
      <w:sz w:val="44"/>
      <w:szCs w:val="44"/>
    </w:rPr>
  </w:style>
  <w:style w:type="character" w:customStyle="1" w:styleId="26">
    <w:name w:val="Heading 2 Char"/>
    <w:basedOn w:val="21"/>
    <w:link w:val="4"/>
    <w:semiHidden/>
    <w:qFormat/>
    <w:uiPriority w:val="9"/>
    <w:rPr>
      <w:rFonts w:asciiTheme="majorHAnsi" w:hAnsiTheme="majorHAnsi" w:eastAsiaTheme="majorEastAsia" w:cstheme="majorBidi"/>
      <w:b/>
      <w:bCs/>
      <w:kern w:val="0"/>
      <w:sz w:val="32"/>
      <w:szCs w:val="32"/>
    </w:rPr>
  </w:style>
  <w:style w:type="character" w:customStyle="1" w:styleId="27">
    <w:name w:val="Heading 3 Char"/>
    <w:basedOn w:val="21"/>
    <w:link w:val="5"/>
    <w:semiHidden/>
    <w:qFormat/>
    <w:uiPriority w:val="9"/>
    <w:rPr>
      <w:b/>
      <w:bCs/>
      <w:kern w:val="0"/>
      <w:sz w:val="32"/>
      <w:szCs w:val="32"/>
    </w:rPr>
  </w:style>
  <w:style w:type="character" w:customStyle="1" w:styleId="28">
    <w:name w:val="Heading 4 Char"/>
    <w:basedOn w:val="21"/>
    <w:link w:val="6"/>
    <w:semiHidden/>
    <w:qFormat/>
    <w:uiPriority w:val="9"/>
    <w:rPr>
      <w:rFonts w:asciiTheme="majorHAnsi" w:hAnsiTheme="majorHAnsi" w:eastAsiaTheme="majorEastAsia" w:cstheme="majorBidi"/>
      <w:b/>
      <w:bCs/>
      <w:kern w:val="0"/>
      <w:sz w:val="28"/>
      <w:szCs w:val="28"/>
    </w:rPr>
  </w:style>
  <w:style w:type="character" w:customStyle="1" w:styleId="29">
    <w:name w:val="Body Text Char"/>
    <w:basedOn w:val="21"/>
    <w:link w:val="7"/>
    <w:semiHidden/>
    <w:qFormat/>
    <w:uiPriority w:val="99"/>
    <w:rPr>
      <w:kern w:val="0"/>
      <w:sz w:val="22"/>
    </w:rPr>
  </w:style>
  <w:style w:type="character" w:customStyle="1" w:styleId="30">
    <w:name w:val="Body Text Indent Char"/>
    <w:basedOn w:val="21"/>
    <w:link w:val="8"/>
    <w:semiHidden/>
    <w:qFormat/>
    <w:uiPriority w:val="99"/>
    <w:rPr>
      <w:kern w:val="0"/>
      <w:sz w:val="22"/>
    </w:rPr>
  </w:style>
  <w:style w:type="character" w:customStyle="1" w:styleId="31">
    <w:name w:val="Plain Text Char"/>
    <w:basedOn w:val="21"/>
    <w:link w:val="9"/>
    <w:semiHidden/>
    <w:qFormat/>
    <w:uiPriority w:val="99"/>
    <w:rPr>
      <w:rFonts w:ascii="宋体" w:hAnsi="Courier New"/>
      <w:kern w:val="0"/>
      <w:szCs w:val="21"/>
    </w:rPr>
  </w:style>
  <w:style w:type="character" w:customStyle="1" w:styleId="32">
    <w:name w:val="Date Char"/>
    <w:basedOn w:val="21"/>
    <w:link w:val="10"/>
    <w:semiHidden/>
    <w:qFormat/>
    <w:uiPriority w:val="99"/>
    <w:rPr>
      <w:kern w:val="0"/>
      <w:sz w:val="22"/>
    </w:rPr>
  </w:style>
  <w:style w:type="character" w:customStyle="1" w:styleId="33">
    <w:name w:val="Balloon Text Char"/>
    <w:basedOn w:val="21"/>
    <w:link w:val="11"/>
    <w:semiHidden/>
    <w:qFormat/>
    <w:locked/>
    <w:uiPriority w:val="99"/>
    <w:rPr>
      <w:rFonts w:eastAsia="宋体" w:cs="Times New Roman"/>
      <w:sz w:val="18"/>
      <w:szCs w:val="18"/>
    </w:rPr>
  </w:style>
  <w:style w:type="character" w:customStyle="1" w:styleId="34">
    <w:name w:val="Footer Char"/>
    <w:basedOn w:val="21"/>
    <w:link w:val="12"/>
    <w:semiHidden/>
    <w:qFormat/>
    <w:uiPriority w:val="99"/>
    <w:rPr>
      <w:kern w:val="0"/>
      <w:sz w:val="18"/>
      <w:szCs w:val="18"/>
    </w:rPr>
  </w:style>
  <w:style w:type="character" w:customStyle="1" w:styleId="35">
    <w:name w:val="Header Char"/>
    <w:basedOn w:val="21"/>
    <w:link w:val="13"/>
    <w:qFormat/>
    <w:locked/>
    <w:uiPriority w:val="99"/>
    <w:rPr>
      <w:rFonts w:eastAsia="宋体" w:cs="Times New Roman"/>
      <w:sz w:val="18"/>
      <w:szCs w:val="18"/>
    </w:rPr>
  </w:style>
  <w:style w:type="character" w:customStyle="1" w:styleId="36">
    <w:name w:val="Footnote Text Char"/>
    <w:basedOn w:val="21"/>
    <w:link w:val="16"/>
    <w:semiHidden/>
    <w:qFormat/>
    <w:uiPriority w:val="99"/>
    <w:rPr>
      <w:kern w:val="0"/>
      <w:sz w:val="18"/>
      <w:szCs w:val="18"/>
    </w:rPr>
  </w:style>
  <w:style w:type="paragraph" w:customStyle="1" w:styleId="37">
    <w:name w:val="默认段落字体 Para Char Char Char Char Char Char Char Char Char1 Char Char Char Char"/>
    <w:basedOn w:val="1"/>
    <w:qFormat/>
    <w:uiPriority w:val="99"/>
    <w:rPr>
      <w:rFonts w:ascii="Tahoma" w:hAnsi="Tahoma"/>
      <w:sz w:val="24"/>
      <w:szCs w:val="20"/>
    </w:rPr>
  </w:style>
  <w:style w:type="paragraph" w:customStyle="1" w:styleId="38">
    <w:name w:val="表内文字"/>
    <w:basedOn w:val="1"/>
    <w:qFormat/>
    <w:uiPriority w:val="99"/>
    <w:pPr>
      <w:tabs>
        <w:tab w:val="left" w:pos="1418"/>
      </w:tabs>
      <w:spacing w:line="360" w:lineRule="auto"/>
      <w:jc w:val="center"/>
    </w:pPr>
    <w:rPr>
      <w:rFonts w:ascii="仿宋_GB2312" w:eastAsia="仿宋_GB2312"/>
      <w:spacing w:val="-20"/>
      <w:sz w:val="24"/>
    </w:rPr>
  </w:style>
  <w:style w:type="paragraph" w:customStyle="1" w:styleId="39">
    <w:name w:val="正文2"/>
    <w:basedOn w:val="1"/>
    <w:qFormat/>
    <w:uiPriority w:val="99"/>
    <w:pPr>
      <w:spacing w:before="156" w:line="360" w:lineRule="auto"/>
      <w:ind w:firstLine="510" w:firstLineChars="200"/>
    </w:pPr>
    <w:rPr>
      <w:sz w:val="24"/>
    </w:rPr>
  </w:style>
  <w:style w:type="paragraph" w:customStyle="1" w:styleId="40">
    <w:name w:val="样式 样式1 + 首行缩进:  2 字符"/>
    <w:basedOn w:val="1"/>
    <w:qFormat/>
    <w:uiPriority w:val="99"/>
    <w:pPr>
      <w:spacing w:line="360" w:lineRule="exact"/>
      <w:ind w:firstLine="420" w:firstLineChars="200"/>
    </w:pPr>
    <w:rPr>
      <w:rFonts w:ascii="Arial" w:hAnsi="Arial"/>
      <w:sz w:val="21"/>
    </w:rPr>
  </w:style>
  <w:style w:type="character" w:customStyle="1" w:styleId="41">
    <w:name w:val="font01"/>
    <w:basedOn w:val="21"/>
    <w:qFormat/>
    <w:uiPriority w:val="99"/>
    <w:rPr>
      <w:rFonts w:ascii="微软雅黑" w:hAnsi="微软雅黑" w:eastAsia="微软雅黑" w:cs="微软雅黑"/>
      <w:b/>
      <w:color w:val="000000"/>
      <w:sz w:val="22"/>
      <w:szCs w:val="22"/>
      <w:u w:val="none"/>
    </w:rPr>
  </w:style>
  <w:style w:type="paragraph" w:customStyle="1" w:styleId="42">
    <w:name w:val="_Style 5"/>
    <w:basedOn w:val="3"/>
    <w:next w:val="1"/>
    <w:qFormat/>
    <w:uiPriority w:val="99"/>
    <w:pPr>
      <w:spacing w:before="480" w:line="276" w:lineRule="auto"/>
      <w:outlineLvl w:val="9"/>
    </w:pPr>
    <w:rPr>
      <w:rFonts w:ascii="Cambria" w:hAnsi="Cambria"/>
      <w:color w:val="365F91"/>
      <w:kern w:val="0"/>
      <w:sz w:val="28"/>
      <w:szCs w:val="28"/>
    </w:rPr>
  </w:style>
  <w:style w:type="character" w:customStyle="1" w:styleId="43">
    <w:name w:val="font11"/>
    <w:basedOn w:val="21"/>
    <w:qFormat/>
    <w:uiPriority w:val="99"/>
    <w:rPr>
      <w:rFonts w:ascii="Arial" w:hAnsi="Arial" w:cs="Arial"/>
      <w:color w:val="000000"/>
      <w:sz w:val="22"/>
      <w:szCs w:val="22"/>
      <w:u w:val="none"/>
    </w:rPr>
  </w:style>
  <w:style w:type="paragraph" w:styleId="44">
    <w:name w:val="List Paragraph"/>
    <w:basedOn w:val="1"/>
    <w:qFormat/>
    <w:uiPriority w:val="99"/>
    <w:pPr>
      <w:ind w:firstLine="420" w:firstLineChars="200"/>
    </w:pPr>
    <w:rPr>
      <w:szCs w:val="20"/>
    </w:rPr>
  </w:style>
  <w:style w:type="paragraph" w:customStyle="1" w:styleId="45">
    <w:name w:val="样式 纯文本 + 首行缩进:  2 字符 Char Char Char Char Char Char Char Char Char Char Char Char Char Char Char Char Char Char Char Char Char Char Char Char"/>
    <w:basedOn w:val="9"/>
    <w:qFormat/>
    <w:uiPriority w:val="99"/>
    <w:pPr>
      <w:spacing w:beforeLines="0" w:afterLines="0" w:line="360" w:lineRule="auto"/>
    </w:pPr>
    <w:rPr>
      <w:rFonts w:eastAsia="仿宋_GB2312" w:cs="Arial"/>
      <w:sz w:val="28"/>
      <w:szCs w:val="20"/>
    </w:rPr>
  </w:style>
  <w:style w:type="paragraph" w:customStyle="1" w:styleId="46">
    <w:name w:val="内文正文"/>
    <w:basedOn w:val="9"/>
    <w:qFormat/>
    <w:uiPriority w:val="99"/>
    <w:pPr>
      <w:adjustRightInd w:val="0"/>
      <w:snapToGrid w:val="0"/>
      <w:spacing w:line="400" w:lineRule="exact"/>
      <w:ind w:firstLine="200" w:firstLineChars="200"/>
    </w:pPr>
    <w:rPr>
      <w:rFonts w:ascii="Arial" w:hAnsi="Arial"/>
      <w:color w:val="000000"/>
      <w:szCs w:val="21"/>
    </w:rPr>
  </w:style>
  <w:style w:type="paragraph" w:customStyle="1" w:styleId="47">
    <w:name w:val="WPSOffice手动目录 1"/>
    <w:qFormat/>
    <w:uiPriority w:val="99"/>
    <w:rPr>
      <w:rFonts w:ascii="Times New Roman" w:hAnsi="Times New Roman" w:eastAsia="宋体" w:cs="Times New Roman"/>
      <w:kern w:val="0"/>
      <w:sz w:val="20"/>
      <w:szCs w:val="20"/>
      <w:lang w:val="en-US" w:eastAsia="zh-CN" w:bidi="ar-SA"/>
    </w:rPr>
  </w:style>
  <w:style w:type="paragraph" w:customStyle="1" w:styleId="48">
    <w:name w:val="WPSOffice手动目录 2"/>
    <w:qFormat/>
    <w:uiPriority w:val="99"/>
    <w:pPr>
      <w:ind w:left="200" w:leftChars="200"/>
    </w:pPr>
    <w:rPr>
      <w:rFonts w:ascii="Times New Roman" w:hAnsi="Times New Roman" w:eastAsia="宋体" w:cs="Times New Roman"/>
      <w:kern w:val="0"/>
      <w:sz w:val="20"/>
      <w:szCs w:val="20"/>
      <w:lang w:val="en-US" w:eastAsia="zh-CN" w:bidi="ar-SA"/>
    </w:rPr>
  </w:style>
  <w:style w:type="paragraph" w:customStyle="1" w:styleId="49">
    <w:name w:val="样式1"/>
    <w:basedOn w:val="1"/>
    <w:qFormat/>
    <w:uiPriority w:val="99"/>
    <w:pPr>
      <w:spacing w:line="360" w:lineRule="exact"/>
      <w:ind w:firstLine="200" w:firstLineChars="200"/>
    </w:pPr>
    <w:rPr>
      <w:rFonts w:ascii="Arial" w:hAnsi="Arial"/>
    </w:rPr>
  </w:style>
  <w:style w:type="paragraph" w:customStyle="1" w:styleId="50">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51">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sz w:val="28"/>
      <w:szCs w:val="20"/>
    </w:rPr>
  </w:style>
  <w:style w:type="paragraph" w:customStyle="1" w:styleId="52">
    <w:name w:val="样式 标题 3 + (中文) 黑体 小四 非加粗 段前: 7.8 磅 段后: 0 磅 行距: 固定值 20 磅"/>
    <w:basedOn w:val="5"/>
    <w:next w:val="1"/>
    <w:qFormat/>
    <w:uiPriority w:val="0"/>
    <w:pPr>
      <w:keepNext w:val="0"/>
      <w:keepLines w:val="0"/>
      <w:numPr>
        <w:ilvl w:val="0"/>
        <w:numId w:val="1"/>
      </w:numPr>
      <w:spacing w:before="0" w:after="0" w:line="400" w:lineRule="exact"/>
    </w:pPr>
    <w:rPr>
      <w:rFonts w:eastAsia="黑体" w:cs="宋体"/>
      <w:bCs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2055"/>
    <customShpInfo spid="_x0000_s2056"/>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89</Pages>
  <Words>9805</Words>
  <Lines>0</Lines>
  <Paragraphs>0</Paragraphs>
  <TotalTime>1</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2018-09-12T17:59:00Z</dcterms:created>
  <dc:creator>Windows User</dc:creator>
  <cp:lastModifiedBy>繁华终易逝</cp:lastModifiedBy>
  <cp:lastPrinted>2019-06-24T02:28:00Z</cp:lastPrinted>
  <dcterms:modified xsi:type="dcterms:W3CDTF">2019-07-23T09:24:15Z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