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auto"/>
          <w:sz w:val="48"/>
          <w:szCs w:val="48"/>
          <w:highlight w:val="none"/>
        </w:rPr>
      </w:pP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浙江机电职业技术学院</w:t>
      </w:r>
    </w:p>
    <w:p>
      <w:pPr>
        <w:spacing w:line="600" w:lineRule="auto"/>
        <w:ind w:firstLine="0" w:firstLineChars="0"/>
        <w:jc w:val="center"/>
        <w:rPr>
          <w:rFonts w:cs="宋体"/>
          <w:b/>
          <w:bCs/>
          <w:color w:val="auto"/>
          <w:sz w:val="44"/>
          <w:szCs w:val="44"/>
          <w:highlight w:val="none"/>
        </w:rPr>
      </w:pPr>
      <w:r>
        <w:rPr>
          <w:rFonts w:hint="eastAsia" w:cs="宋体"/>
          <w:b/>
          <w:bCs/>
          <w:color w:val="auto"/>
          <w:sz w:val="44"/>
          <w:szCs w:val="44"/>
          <w:highlight w:val="none"/>
        </w:rPr>
        <w:t>报告厅显示设备项目</w:t>
      </w:r>
    </w:p>
    <w:p>
      <w:pPr>
        <w:spacing w:line="600" w:lineRule="auto"/>
        <w:ind w:firstLine="964"/>
        <w:jc w:val="center"/>
        <w:rPr>
          <w:rFonts w:cs="宋体"/>
          <w:b/>
          <w:bCs/>
          <w:color w:val="auto"/>
          <w:sz w:val="48"/>
          <w:szCs w:val="48"/>
          <w:highlight w:val="none"/>
        </w:rPr>
      </w:pPr>
    </w:p>
    <w:p>
      <w:pPr>
        <w:snapToGrid w:val="0"/>
        <w:ind w:firstLine="0" w:firstLineChars="0"/>
        <w:rPr>
          <w:rFonts w:cs="宋体"/>
          <w:b/>
          <w:color w:val="auto"/>
          <w:sz w:val="72"/>
          <w:szCs w:val="72"/>
          <w:highlight w:val="none"/>
        </w:rPr>
      </w:pPr>
    </w:p>
    <w:p>
      <w:pPr>
        <w:snapToGrid w:val="0"/>
        <w:ind w:firstLine="0" w:firstLineChars="0"/>
        <w:jc w:val="center"/>
        <w:rPr>
          <w:rFonts w:cs="宋体"/>
          <w:b/>
          <w:color w:val="auto"/>
          <w:sz w:val="72"/>
          <w:szCs w:val="72"/>
          <w:highlight w:val="none"/>
        </w:rPr>
      </w:pPr>
      <w:r>
        <w:rPr>
          <w:rFonts w:hint="eastAsia" w:cs="宋体"/>
          <w:b/>
          <w:color w:val="auto"/>
          <w:sz w:val="72"/>
          <w:szCs w:val="72"/>
          <w:highlight w:val="none"/>
        </w:rPr>
        <w:t>公开招标文件</w:t>
      </w: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964" w:firstLineChars="300"/>
        <w:rPr>
          <w:rFonts w:cs="宋体"/>
          <w:b/>
          <w:bCs/>
          <w:color w:val="auto"/>
          <w:sz w:val="32"/>
          <w:szCs w:val="32"/>
          <w:highlight w:val="none"/>
        </w:rPr>
      </w:pPr>
      <w:r>
        <w:rPr>
          <w:rFonts w:hint="eastAsia" w:cs="宋体"/>
          <w:b/>
          <w:bCs/>
          <w:color w:val="auto"/>
          <w:sz w:val="32"/>
          <w:szCs w:val="32"/>
          <w:highlight w:val="none"/>
        </w:rPr>
        <w:t>招标项目：报告厅显示设备项目</w:t>
      </w:r>
    </w:p>
    <w:p>
      <w:pPr>
        <w:snapToGrid w:val="0"/>
        <w:ind w:firstLine="964" w:firstLineChars="300"/>
        <w:rPr>
          <w:rFonts w:cs="宋体"/>
          <w:b/>
          <w:bCs/>
          <w:color w:val="auto"/>
          <w:sz w:val="32"/>
          <w:szCs w:val="32"/>
          <w:highlight w:val="none"/>
        </w:rPr>
      </w:pPr>
      <w:r>
        <w:rPr>
          <w:rFonts w:hint="eastAsia" w:cs="宋体"/>
          <w:b/>
          <w:bCs/>
          <w:color w:val="auto"/>
          <w:sz w:val="32"/>
          <w:szCs w:val="32"/>
          <w:highlight w:val="none"/>
        </w:rPr>
        <w:t>招标编号：ZJWSBJ-JD-201909G</w:t>
      </w:r>
    </w:p>
    <w:p>
      <w:pPr>
        <w:snapToGrid w:val="0"/>
        <w:ind w:firstLine="964" w:firstLineChars="300"/>
        <w:rPr>
          <w:rFonts w:cs="宋体"/>
          <w:b/>
          <w:bCs/>
          <w:color w:val="auto"/>
          <w:sz w:val="32"/>
          <w:szCs w:val="32"/>
          <w:highlight w:val="none"/>
        </w:rPr>
      </w:pPr>
      <w:r>
        <w:rPr>
          <w:rFonts w:hint="eastAsia" w:cs="宋体"/>
          <w:b/>
          <w:bCs/>
          <w:color w:val="auto"/>
          <w:sz w:val="32"/>
          <w:szCs w:val="32"/>
          <w:highlight w:val="none"/>
        </w:rPr>
        <w:t>确认书号：[2019]18895号</w:t>
      </w:r>
    </w:p>
    <w:p>
      <w:pPr>
        <w:snapToGrid w:val="0"/>
        <w:ind w:firstLine="964" w:firstLineChars="300"/>
        <w:rPr>
          <w:rFonts w:cs="宋体"/>
          <w:b/>
          <w:bCs/>
          <w:color w:val="auto"/>
          <w:sz w:val="32"/>
          <w:szCs w:val="32"/>
          <w:highlight w:val="none"/>
        </w:rPr>
      </w:pPr>
      <w:r>
        <w:rPr>
          <w:rFonts w:hint="eastAsia" w:cs="宋体"/>
          <w:b/>
          <w:bCs/>
          <w:color w:val="auto"/>
          <w:sz w:val="32"/>
          <w:szCs w:val="32"/>
          <w:highlight w:val="none"/>
        </w:rPr>
        <w:t>招 标 人：浙江机电职业技术学院</w:t>
      </w:r>
    </w:p>
    <w:p>
      <w:pPr>
        <w:snapToGrid w:val="0"/>
        <w:ind w:firstLine="964" w:firstLineChars="300"/>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snapToGrid w:val="0"/>
        <w:ind w:firstLine="964" w:firstLineChars="300"/>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w:t>
      </w:r>
      <w:r>
        <w:rPr>
          <w:rFonts w:hint="eastAsia" w:cs="宋体"/>
          <w:b/>
          <w:bCs/>
          <w:color w:val="auto"/>
          <w:sz w:val="32"/>
          <w:szCs w:val="32"/>
          <w:highlight w:val="none"/>
          <w:lang w:val="en-US" w:eastAsia="zh-CN"/>
        </w:rPr>
        <w:t>六</w:t>
      </w:r>
      <w:r>
        <w:rPr>
          <w:rFonts w:hint="eastAsia" w:cs="宋体"/>
          <w:b/>
          <w:bCs/>
          <w:color w:val="auto"/>
          <w:sz w:val="32"/>
          <w:szCs w:val="32"/>
          <w:highlight w:val="none"/>
        </w:rPr>
        <w:t>月</w:t>
      </w:r>
    </w:p>
    <w:p>
      <w:pPr>
        <w:pStyle w:val="78"/>
        <w:ind w:firstLine="422"/>
        <w:jc w:val="center"/>
        <w:rPr>
          <w:rFonts w:ascii="宋体" w:hAnsi="宋体" w:cs="宋体"/>
          <w:color w:val="auto"/>
          <w:sz w:val="24"/>
          <w:szCs w:val="24"/>
          <w:highlight w:val="none"/>
        </w:rPr>
      </w:pPr>
      <w:bookmarkStart w:id="0" w:name="_Toc32639"/>
      <w:bookmarkStart w:id="1" w:name="_Toc3107"/>
      <w:r>
        <w:rPr>
          <w:rFonts w:hint="eastAsia" w:ascii="宋体" w:hAnsi="宋体" w:cs="宋体"/>
          <w:color w:val="auto"/>
          <w:sz w:val="28"/>
          <w:highlight w:val="none"/>
          <w:lang w:val="zh-CN"/>
        </w:rPr>
        <w:t>目</w:t>
      </w:r>
      <w:r>
        <w:rPr>
          <w:rFonts w:hint="eastAsia" w:ascii="宋体" w:hAnsi="宋体" w:cs="宋体"/>
          <w:color w:val="auto"/>
          <w:sz w:val="28"/>
          <w:highlight w:val="none"/>
          <w:lang w:val="en-US" w:eastAsia="zh-CN"/>
        </w:rPr>
        <w:t xml:space="preserve">  </w:t>
      </w:r>
      <w:r>
        <w:rPr>
          <w:rFonts w:hint="eastAsia" w:ascii="宋体" w:hAnsi="宋体" w:cs="宋体"/>
          <w:color w:val="auto"/>
          <w:sz w:val="28"/>
          <w:highlight w:val="none"/>
          <w:lang w:val="zh-CN"/>
        </w:rPr>
        <w:t>录</w:t>
      </w:r>
      <w:bookmarkEnd w:id="0"/>
      <w:bookmarkEnd w:id="1"/>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"1-2" \h \z \u </w:instrText>
      </w:r>
      <w:r>
        <w:rPr>
          <w:rFonts w:hint="eastAsia" w:ascii="宋体" w:hAnsi="宋体" w:cs="宋体"/>
          <w:color w:val="auto"/>
          <w:sz w:val="24"/>
          <w:szCs w:val="24"/>
          <w:highlight w:val="none"/>
        </w:rPr>
        <w:fldChar w:fldCharType="separate"/>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"_Toc12690" </w:instrText>
      </w:r>
      <w:r>
        <w:rPr>
          <w:color w:val="auto"/>
          <w:sz w:val="28"/>
          <w:szCs w:val="28"/>
          <w:highlight w:val="none"/>
        </w:rPr>
        <w:fldChar w:fldCharType="separate"/>
      </w:r>
      <w:r>
        <w:rPr>
          <w:rFonts w:hint="eastAsia" w:cs="宋体"/>
          <w:color w:val="auto"/>
          <w:sz w:val="28"/>
          <w:szCs w:val="28"/>
          <w:highlight w:val="none"/>
        </w:rPr>
        <w:t>第一章 招标公告</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_Toc12690 </w:instrText>
      </w:r>
      <w:r>
        <w:rPr>
          <w:rFonts w:hint="eastAsia" w:cs="宋体"/>
          <w:color w:val="auto"/>
          <w:sz w:val="28"/>
          <w:szCs w:val="28"/>
          <w:highlight w:val="none"/>
        </w:rPr>
        <w:fldChar w:fldCharType="separate"/>
      </w:r>
      <w:r>
        <w:rPr>
          <w:rFonts w:hint="eastAsia" w:cs="宋体"/>
          <w:color w:val="auto"/>
          <w:sz w:val="28"/>
          <w:szCs w:val="28"/>
          <w:highlight w:val="none"/>
        </w:rPr>
        <w:t>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"_Toc27886" </w:instrText>
      </w:r>
      <w:r>
        <w:rPr>
          <w:color w:val="auto"/>
          <w:sz w:val="28"/>
          <w:szCs w:val="28"/>
          <w:highlight w:val="none"/>
        </w:rPr>
        <w:fldChar w:fldCharType="separate"/>
      </w:r>
      <w:r>
        <w:rPr>
          <w:rFonts w:hint="eastAsia" w:cs="宋体"/>
          <w:color w:val="auto"/>
          <w:sz w:val="28"/>
          <w:szCs w:val="28"/>
          <w:highlight w:val="none"/>
        </w:rPr>
        <w:t>第二章 项目需求说明</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_Toc27886 </w:instrText>
      </w:r>
      <w:r>
        <w:rPr>
          <w:rFonts w:hint="eastAsia" w:cs="宋体"/>
          <w:color w:val="auto"/>
          <w:sz w:val="28"/>
          <w:szCs w:val="28"/>
          <w:highlight w:val="none"/>
        </w:rPr>
        <w:fldChar w:fldCharType="separate"/>
      </w:r>
      <w:r>
        <w:rPr>
          <w:rFonts w:hint="eastAsia" w:cs="宋体"/>
          <w:color w:val="auto"/>
          <w:sz w:val="28"/>
          <w:szCs w:val="28"/>
          <w:highlight w:val="none"/>
        </w:rPr>
        <w:t>4</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"_Toc19339" </w:instrText>
      </w:r>
      <w:r>
        <w:rPr>
          <w:color w:val="auto"/>
          <w:sz w:val="28"/>
          <w:szCs w:val="28"/>
          <w:highlight w:val="none"/>
        </w:rPr>
        <w:fldChar w:fldCharType="separate"/>
      </w:r>
      <w:r>
        <w:rPr>
          <w:rFonts w:hint="eastAsia" w:cs="宋体"/>
          <w:color w:val="auto"/>
          <w:sz w:val="28"/>
          <w:szCs w:val="28"/>
          <w:highlight w:val="none"/>
        </w:rPr>
        <w:t>第三章 投标人须知</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_Toc19339 </w:instrText>
      </w:r>
      <w:r>
        <w:rPr>
          <w:rFonts w:hint="eastAsia" w:cs="宋体"/>
          <w:color w:val="auto"/>
          <w:sz w:val="28"/>
          <w:szCs w:val="28"/>
          <w:highlight w:val="none"/>
        </w:rPr>
        <w:fldChar w:fldCharType="separate"/>
      </w:r>
      <w:r>
        <w:rPr>
          <w:rFonts w:hint="eastAsia" w:cs="宋体"/>
          <w:color w:val="auto"/>
          <w:sz w:val="28"/>
          <w:szCs w:val="28"/>
          <w:highlight w:val="none"/>
        </w:rPr>
        <w:t>12</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"_Toc29095" </w:instrText>
      </w:r>
      <w:r>
        <w:rPr>
          <w:color w:val="auto"/>
          <w:sz w:val="28"/>
          <w:szCs w:val="28"/>
          <w:highlight w:val="none"/>
        </w:rPr>
        <w:fldChar w:fldCharType="separate"/>
      </w:r>
      <w:r>
        <w:rPr>
          <w:rFonts w:hint="eastAsia" w:cs="宋体"/>
          <w:color w:val="auto"/>
          <w:sz w:val="28"/>
          <w:szCs w:val="28"/>
          <w:highlight w:val="none"/>
        </w:rPr>
        <w:t>第四章 评标办法及评分标准</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_Toc29095 </w:instrText>
      </w:r>
      <w:r>
        <w:rPr>
          <w:rFonts w:hint="eastAsia" w:cs="宋体"/>
          <w:color w:val="auto"/>
          <w:sz w:val="28"/>
          <w:szCs w:val="28"/>
          <w:highlight w:val="none"/>
        </w:rPr>
        <w:fldChar w:fldCharType="separate"/>
      </w:r>
      <w:r>
        <w:rPr>
          <w:rFonts w:hint="eastAsia" w:cs="宋体"/>
          <w:color w:val="auto"/>
          <w:sz w:val="28"/>
          <w:szCs w:val="28"/>
          <w:highlight w:val="none"/>
        </w:rPr>
        <w:t>27</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"_Toc12811" </w:instrText>
      </w:r>
      <w:r>
        <w:rPr>
          <w:color w:val="auto"/>
          <w:sz w:val="28"/>
          <w:szCs w:val="28"/>
          <w:highlight w:val="none"/>
        </w:rPr>
        <w:fldChar w:fldCharType="separate"/>
      </w:r>
      <w:r>
        <w:rPr>
          <w:rFonts w:hint="eastAsia" w:cs="宋体"/>
          <w:color w:val="auto"/>
          <w:sz w:val="28"/>
          <w:szCs w:val="28"/>
          <w:highlight w:val="none"/>
        </w:rPr>
        <w:t>第五章 合同格式</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_Toc12811 </w:instrText>
      </w:r>
      <w:r>
        <w:rPr>
          <w:rFonts w:hint="eastAsia" w:cs="宋体"/>
          <w:color w:val="auto"/>
          <w:sz w:val="28"/>
          <w:szCs w:val="28"/>
          <w:highlight w:val="none"/>
        </w:rPr>
        <w:fldChar w:fldCharType="separate"/>
      </w:r>
      <w:r>
        <w:rPr>
          <w:rFonts w:hint="eastAsia" w:cs="宋体"/>
          <w:color w:val="auto"/>
          <w:sz w:val="28"/>
          <w:szCs w:val="28"/>
          <w:highlight w:val="none"/>
        </w:rPr>
        <w:t>30</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pStyle w:val="27"/>
        <w:tabs>
          <w:tab w:val="right" w:leader="dot" w:pos="8306"/>
          <w:tab w:val="clear" w:pos="8296"/>
        </w:tabs>
        <w:rPr>
          <w:rFonts w:cs="宋体"/>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"_Toc22636" </w:instrText>
      </w:r>
      <w:r>
        <w:rPr>
          <w:color w:val="auto"/>
          <w:sz w:val="28"/>
          <w:szCs w:val="28"/>
          <w:highlight w:val="none"/>
        </w:rPr>
        <w:fldChar w:fldCharType="separate"/>
      </w:r>
      <w:r>
        <w:rPr>
          <w:rFonts w:hint="eastAsia" w:cs="宋体"/>
          <w:color w:val="auto"/>
          <w:sz w:val="28"/>
          <w:szCs w:val="28"/>
          <w:highlight w:val="none"/>
        </w:rPr>
        <w:t>第六章 投标文件格式</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_Toc22636 </w:instrText>
      </w:r>
      <w:r>
        <w:rPr>
          <w:rFonts w:hint="eastAsia" w:cs="宋体"/>
          <w:color w:val="auto"/>
          <w:sz w:val="28"/>
          <w:szCs w:val="28"/>
          <w:highlight w:val="none"/>
        </w:rPr>
        <w:fldChar w:fldCharType="separate"/>
      </w:r>
      <w:r>
        <w:rPr>
          <w:rFonts w:hint="eastAsia" w:cs="宋体"/>
          <w:color w:val="auto"/>
          <w:sz w:val="28"/>
          <w:szCs w:val="28"/>
          <w:highlight w:val="none"/>
        </w:rPr>
        <w:t>33</w:t>
      </w:r>
      <w:r>
        <w:rPr>
          <w:rFonts w:hint="eastAsia" w:cs="宋体"/>
          <w:color w:val="auto"/>
          <w:sz w:val="28"/>
          <w:szCs w:val="28"/>
          <w:highlight w:val="none"/>
        </w:rPr>
        <w:fldChar w:fldCharType="end"/>
      </w:r>
      <w:r>
        <w:rPr>
          <w:rFonts w:hint="eastAsia" w:cs="宋体"/>
          <w:color w:val="auto"/>
          <w:sz w:val="28"/>
          <w:szCs w:val="28"/>
          <w:highlight w:val="none"/>
        </w:rPr>
        <w:fldChar w:fldCharType="end"/>
      </w:r>
    </w:p>
    <w:p>
      <w:pPr>
        <w:ind w:firstLine="480"/>
        <w:jc w:val="center"/>
        <w:rPr>
          <w:rFonts w:cs="宋体"/>
          <w:color w:val="auto"/>
          <w:szCs w:val="32"/>
          <w:highlight w:val="none"/>
        </w:rPr>
      </w:pPr>
      <w:r>
        <w:rPr>
          <w:rFonts w:hint="eastAsia" w:cs="宋体"/>
          <w:color w:val="auto"/>
          <w:highlight w:val="none"/>
        </w:rPr>
        <w:fldChar w:fldCharType="end"/>
      </w:r>
    </w:p>
    <w:p>
      <w:pPr>
        <w:snapToGrid w:val="0"/>
        <w:ind w:firstLine="720"/>
        <w:rPr>
          <w:rFonts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p>
    <w:p>
      <w:pPr>
        <w:pStyle w:val="4"/>
        <w:rPr>
          <w:rFonts w:cs="宋体"/>
          <w:color w:val="auto"/>
          <w:highlight w:val="none"/>
        </w:rPr>
      </w:pPr>
      <w:bookmarkStart w:id="2" w:name="_Toc12653"/>
      <w:bookmarkStart w:id="3" w:name="_Toc12690"/>
      <w:bookmarkStart w:id="4" w:name="_Toc452457411"/>
      <w:r>
        <w:rPr>
          <w:rFonts w:hint="eastAsia" w:cs="宋体"/>
          <w:color w:val="auto"/>
          <w:highlight w:val="none"/>
        </w:rPr>
        <w:t>第一章 招标公告</w:t>
      </w:r>
      <w:bookmarkEnd w:id="2"/>
      <w:bookmarkEnd w:id="3"/>
    </w:p>
    <w:p>
      <w:pPr>
        <w:pStyle w:val="5"/>
        <w:jc w:val="center"/>
        <w:rPr>
          <w:rFonts w:ascii="宋体" w:hAnsi="宋体" w:cs="宋体"/>
          <w:color w:val="auto"/>
          <w:highlight w:val="none"/>
        </w:rPr>
      </w:pPr>
      <w:bookmarkStart w:id="5" w:name="_Toc23989"/>
      <w:bookmarkStart w:id="6" w:name="_Toc18001"/>
      <w:r>
        <w:rPr>
          <w:rFonts w:hint="eastAsia" w:ascii="宋体" w:hAnsi="宋体" w:cs="宋体"/>
          <w:color w:val="auto"/>
          <w:highlight w:val="none"/>
        </w:rPr>
        <w:t>关于浙江机电职业技术学院报告厅显示设备项目的公开招标公告</w:t>
      </w:r>
      <w:bookmarkEnd w:id="5"/>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浙江机电职业技术学院委托，就浙江机电职业技术学院报告厅显示设备项目进行公开招标采购，欢迎国内合格的供应商前来投标。具体如下：</w:t>
      </w:r>
    </w:p>
    <w:p>
      <w:pPr>
        <w:pStyle w:val="6"/>
        <w:rPr>
          <w:rFonts w:cs="宋体"/>
          <w:color w:val="auto"/>
          <w:highlight w:val="none"/>
        </w:rPr>
      </w:pPr>
      <w:r>
        <w:rPr>
          <w:rFonts w:hint="eastAsia" w:cs="宋体"/>
          <w:color w:val="auto"/>
          <w:highlight w:val="none"/>
        </w:rPr>
        <w:t>一、招标项目编号：ZJWSBJ-JD-201909G</w:t>
      </w:r>
    </w:p>
    <w:p>
      <w:pPr>
        <w:pStyle w:val="6"/>
        <w:rPr>
          <w:rFonts w:cs="宋体"/>
          <w:color w:val="auto"/>
          <w:szCs w:val="24"/>
          <w:highlight w:val="none"/>
        </w:rPr>
      </w:pPr>
      <w:r>
        <w:rPr>
          <w:rStyle w:val="43"/>
          <w:rFonts w:hint="eastAsia" w:cs="宋体"/>
          <w:b/>
          <w:color w:val="auto"/>
          <w:szCs w:val="24"/>
          <w:highlight w:val="none"/>
        </w:rPr>
        <w:t>二、招标项目名称：报告厅显示设备项目</w:t>
      </w:r>
    </w:p>
    <w:p>
      <w:pPr>
        <w:pStyle w:val="6"/>
        <w:rPr>
          <w:rFonts w:cs="宋体"/>
          <w:color w:val="auto"/>
          <w:highlight w:val="none"/>
        </w:rPr>
      </w:pPr>
      <w:r>
        <w:rPr>
          <w:rFonts w:hint="eastAsia" w:cs="宋体"/>
          <w:color w:val="auto"/>
          <w:szCs w:val="24"/>
          <w:highlight w:val="none"/>
        </w:rPr>
        <w:t>三、</w:t>
      </w:r>
      <w:r>
        <w:rPr>
          <w:rStyle w:val="43"/>
          <w:rFonts w:hint="eastAsia" w:cs="宋体"/>
          <w:b/>
          <w:color w:val="auto"/>
          <w:szCs w:val="24"/>
          <w:highlight w:val="none"/>
        </w:rPr>
        <w:t>采购组织类型：分散采购-分散委托中介</w:t>
      </w:r>
    </w:p>
    <w:p>
      <w:pPr>
        <w:pStyle w:val="6"/>
        <w:rPr>
          <w:rFonts w:cs="宋体"/>
          <w:color w:val="auto"/>
          <w:szCs w:val="24"/>
          <w:highlight w:val="none"/>
        </w:rPr>
      </w:pPr>
      <w:r>
        <w:rPr>
          <w:rStyle w:val="43"/>
          <w:rFonts w:hint="eastAsia" w:cs="宋体"/>
          <w:b/>
          <w:color w:val="auto"/>
          <w:szCs w:val="24"/>
          <w:highlight w:val="none"/>
        </w:rPr>
        <w:t>四、招标项目概况：</w:t>
      </w:r>
    </w:p>
    <w:tbl>
      <w:tblPr>
        <w:tblStyle w:val="40"/>
        <w:tblW w:w="9712" w:type="dxa"/>
        <w:tblInd w:w="0" w:type="dxa"/>
        <w:tblLayout w:type="fixed"/>
        <w:tblCellMar>
          <w:top w:w="15" w:type="dxa"/>
          <w:left w:w="15" w:type="dxa"/>
          <w:bottom w:w="15" w:type="dxa"/>
          <w:right w:w="15" w:type="dxa"/>
        </w:tblCellMar>
      </w:tblPr>
      <w:tblGrid>
        <w:gridCol w:w="698"/>
        <w:gridCol w:w="3221"/>
        <w:gridCol w:w="698"/>
        <w:gridCol w:w="698"/>
        <w:gridCol w:w="1329"/>
        <w:gridCol w:w="1534"/>
        <w:gridCol w:w="1534"/>
      </w:tblGrid>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序号</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lang w:val="en-US" w:eastAsia="zh-CN"/>
              </w:rPr>
              <w:t>项目</w:t>
            </w:r>
            <w:r>
              <w:rPr>
                <w:rFonts w:hint="eastAsia" w:cs="宋体"/>
                <w:color w:val="auto"/>
                <w:kern w:val="0"/>
                <w:highlight w:val="none"/>
              </w:rPr>
              <w:t>名称</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数量</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单位</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简要规格描述</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采购预算(万元)</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最高限价(万元)</w:t>
            </w:r>
          </w:p>
        </w:tc>
      </w:tr>
      <w:tr>
        <w:tblPrEx>
          <w:tblLayout w:type="fixed"/>
          <w:tblCellMar>
            <w:top w:w="15" w:type="dxa"/>
            <w:left w:w="15" w:type="dxa"/>
            <w:bottom w:w="15" w:type="dxa"/>
            <w:right w:w="15" w:type="dxa"/>
          </w:tblCellMar>
        </w:tblPrEx>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1</w:t>
            </w:r>
          </w:p>
        </w:tc>
        <w:tc>
          <w:tcPr>
            <w:tcW w:w="3221"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报告厅显示设备项目</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1</w:t>
            </w:r>
          </w:p>
        </w:tc>
        <w:tc>
          <w:tcPr>
            <w:tcW w:w="698"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批</w:t>
            </w:r>
          </w:p>
        </w:tc>
        <w:tc>
          <w:tcPr>
            <w:tcW w:w="1329"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300</w:t>
            </w:r>
          </w:p>
        </w:tc>
        <w:tc>
          <w:tcPr>
            <w:tcW w:w="1534" w:type="dxa"/>
            <w:tcBorders>
              <w:top w:val="single" w:color="auto" w:sz="4" w:space="0"/>
              <w:left w:val="single" w:color="auto" w:sz="4" w:space="0"/>
              <w:bottom w:val="single" w:color="auto" w:sz="4" w:space="0"/>
              <w:right w:val="single" w:color="auto" w:sz="4" w:space="0"/>
            </w:tcBorders>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300</w:t>
            </w:r>
          </w:p>
        </w:tc>
      </w:tr>
    </w:tbl>
    <w:p>
      <w:pPr>
        <w:pStyle w:val="6"/>
        <w:rPr>
          <w:rStyle w:val="43"/>
          <w:rFonts w:cs="宋体"/>
          <w:b/>
          <w:color w:val="auto"/>
          <w:szCs w:val="24"/>
          <w:highlight w:val="none"/>
        </w:rPr>
      </w:pPr>
      <w:r>
        <w:rPr>
          <w:rStyle w:val="43"/>
          <w:rFonts w:hint="eastAsia" w:cs="宋体"/>
          <w:b/>
          <w:color w:val="auto"/>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6"/>
        <w:rPr>
          <w:rFonts w:cs="宋体"/>
          <w:color w:val="auto"/>
          <w:szCs w:val="24"/>
          <w:highlight w:val="none"/>
        </w:rPr>
      </w:pPr>
      <w:r>
        <w:rPr>
          <w:rStyle w:val="43"/>
          <w:rFonts w:hint="eastAsia" w:cs="宋体"/>
          <w:b/>
          <w:color w:val="auto"/>
          <w:szCs w:val="24"/>
          <w:highlight w:val="none"/>
        </w:rPr>
        <w:t>六、投标供应商资格要求:</w:t>
      </w:r>
    </w:p>
    <w:p>
      <w:pPr>
        <w:pStyle w:val="6"/>
        <w:ind w:firstLine="241" w:firstLineChars="100"/>
        <w:rPr>
          <w:rFonts w:cs="宋体"/>
          <w:b w:val="0"/>
          <w:color w:val="auto"/>
          <w:kern w:val="0"/>
          <w:highlight w:val="none"/>
        </w:rPr>
      </w:pPr>
      <w:r>
        <w:rPr>
          <w:rFonts w:hint="eastAsia" w:cs="宋体"/>
          <w:color w:val="auto"/>
          <w:highlight w:val="none"/>
        </w:rPr>
        <w:t>（一）基本资格要求</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 xml:space="preserve">1.符合《中华人民共和国政府采购法》第二十二条第一款的规定。 </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2.未被信用中国网站（www.creditchina.gov.cn）列入失信被执行人、重大税收违法案件当事人名单，未被中国政府采购网（www.ccgp.gov.cn）列入政府采购严重违法失信行为记录名单。</w:t>
      </w:r>
    </w:p>
    <w:p>
      <w:pPr>
        <w:pStyle w:val="36"/>
        <w:spacing w:before="75" w:beforeAutospacing="0" w:after="75" w:afterAutospacing="0" w:line="360" w:lineRule="auto"/>
        <w:ind w:firstLine="480" w:firstLineChars="200"/>
        <w:rPr>
          <w:color w:val="auto"/>
          <w:highlight w:val="none"/>
        </w:rPr>
      </w:pPr>
      <w:r>
        <w:rPr>
          <w:rFonts w:hint="eastAsia"/>
          <w:color w:val="auto"/>
          <w:highlight w:val="none"/>
        </w:rPr>
        <w:t>3.单位负责人为同一人或者存在直接控股、管理关系的不同供应商，不得参加同一合同项下的政府采购活动。</w:t>
      </w:r>
    </w:p>
    <w:p>
      <w:pPr>
        <w:pStyle w:val="6"/>
        <w:ind w:firstLine="241" w:firstLineChars="100"/>
        <w:rPr>
          <w:rFonts w:cs="宋体"/>
          <w:color w:val="auto"/>
          <w:highlight w:val="none"/>
        </w:rPr>
      </w:pPr>
      <w:r>
        <w:rPr>
          <w:rFonts w:hint="eastAsia" w:cs="宋体"/>
          <w:color w:val="auto"/>
          <w:highlight w:val="none"/>
        </w:rPr>
        <w:t>（二）特定资格要求：无</w:t>
      </w:r>
    </w:p>
    <w:p>
      <w:pPr>
        <w:pStyle w:val="6"/>
        <w:ind w:firstLine="241" w:firstLineChars="100"/>
        <w:rPr>
          <w:rFonts w:cs="宋体"/>
          <w:color w:val="auto"/>
          <w:highlight w:val="none"/>
        </w:rPr>
      </w:pPr>
      <w:r>
        <w:rPr>
          <w:rFonts w:hint="eastAsia" w:cs="宋体"/>
          <w:color w:val="auto"/>
          <w:highlight w:val="none"/>
        </w:rPr>
        <w:t>（三）本项目不接受联合体投标</w:t>
      </w:r>
    </w:p>
    <w:p>
      <w:pPr>
        <w:pStyle w:val="6"/>
        <w:rPr>
          <w:rFonts w:cs="宋体"/>
          <w:color w:val="auto"/>
          <w:szCs w:val="24"/>
          <w:highlight w:val="none"/>
        </w:rPr>
      </w:pPr>
      <w:r>
        <w:rPr>
          <w:rStyle w:val="43"/>
          <w:rFonts w:hint="eastAsia" w:cs="宋体"/>
          <w:b/>
          <w:color w:val="auto"/>
          <w:szCs w:val="24"/>
          <w:highlight w:val="none"/>
        </w:rPr>
        <w:t>七、招标文件的报名/发售时间、地址、售价:</w:t>
      </w:r>
    </w:p>
    <w:p>
      <w:pPr>
        <w:ind w:firstLine="482"/>
        <w:rPr>
          <w:color w:val="auto"/>
          <w:highlight w:val="none"/>
        </w:rPr>
      </w:pPr>
      <w:r>
        <w:rPr>
          <w:rStyle w:val="43"/>
          <w:rFonts w:hint="eastAsia" w:cs="宋体"/>
          <w:color w:val="auto"/>
          <w:highlight w:val="none"/>
        </w:rPr>
        <w:t>1．报名（发售／获取）时间：</w:t>
      </w:r>
      <w:r>
        <w:rPr>
          <w:rFonts w:hint="eastAsia" w:cs="宋体"/>
          <w:b/>
          <w:bCs/>
          <w:color w:val="auto"/>
          <w:highlight w:val="none"/>
        </w:rPr>
        <w:t>2019年0</w:t>
      </w:r>
      <w:r>
        <w:rPr>
          <w:rFonts w:hint="eastAsia" w:cs="宋体"/>
          <w:b/>
          <w:bCs/>
          <w:color w:val="auto"/>
          <w:highlight w:val="none"/>
          <w:lang w:val="en-US" w:eastAsia="zh-CN"/>
        </w:rPr>
        <w:t>6</w:t>
      </w:r>
      <w:r>
        <w:rPr>
          <w:rFonts w:hint="eastAsia" w:cs="宋体"/>
          <w:b/>
          <w:bCs/>
          <w:color w:val="auto"/>
          <w:highlight w:val="none"/>
        </w:rPr>
        <w:t>月</w:t>
      </w:r>
      <w:r>
        <w:rPr>
          <w:rFonts w:hint="eastAsia" w:cs="宋体"/>
          <w:b/>
          <w:bCs/>
          <w:color w:val="auto"/>
          <w:highlight w:val="none"/>
          <w:lang w:val="en-US" w:eastAsia="zh-CN"/>
        </w:rPr>
        <w:t>14</w:t>
      </w:r>
      <w:r>
        <w:rPr>
          <w:rFonts w:hint="eastAsia" w:cs="宋体"/>
          <w:b/>
          <w:bCs/>
          <w:color w:val="auto"/>
          <w:highlight w:val="none"/>
        </w:rPr>
        <w:t>日至2019年06月</w:t>
      </w:r>
      <w:r>
        <w:rPr>
          <w:rFonts w:hint="eastAsia" w:cs="宋体"/>
          <w:b/>
          <w:bCs/>
          <w:color w:val="auto"/>
          <w:highlight w:val="none"/>
          <w:lang w:val="en-US" w:eastAsia="zh-CN"/>
        </w:rPr>
        <w:t>21</w:t>
      </w:r>
      <w:r>
        <w:rPr>
          <w:rFonts w:hint="eastAsia" w:cs="宋体"/>
          <w:b/>
          <w:bCs/>
          <w:color w:val="auto"/>
          <w:highlight w:val="none"/>
        </w:rPr>
        <w:t>日</w:t>
      </w:r>
      <w:r>
        <w:rPr>
          <w:rFonts w:hint="eastAsia"/>
          <w:color w:val="auto"/>
          <w:highlight w:val="none"/>
        </w:rPr>
        <w:t>（双休日及法定节假日除外）（每日上午9：00—11：30，下午13：30—16：30）。</w:t>
      </w:r>
    </w:p>
    <w:p>
      <w:pPr>
        <w:ind w:firstLine="482"/>
        <w:rPr>
          <w:rFonts w:cs="宋体"/>
          <w:color w:val="auto"/>
          <w:highlight w:val="none"/>
          <w:u w:val="single"/>
        </w:rPr>
      </w:pPr>
      <w:r>
        <w:rPr>
          <w:rStyle w:val="43"/>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3"/>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3"/>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cs="宋体"/>
          <w:color w:val="auto"/>
          <w:highlight w:val="none"/>
        </w:rPr>
      </w:pPr>
      <w:r>
        <w:rPr>
          <w:rFonts w:hint="eastAsia" w:cs="宋体"/>
          <w:color w:val="auto"/>
          <w:highlight w:val="none"/>
        </w:rPr>
        <w:t>（4）供应商报名登记表；</w:t>
      </w:r>
    </w:p>
    <w:p>
      <w:pPr>
        <w:pStyle w:val="6"/>
        <w:rPr>
          <w:rFonts w:hint="eastAsia" w:eastAsia="宋体" w:cs="宋体"/>
          <w:color w:val="auto"/>
          <w:highlight w:val="none"/>
          <w:u w:val="single"/>
          <w:lang w:eastAsia="zh-CN"/>
        </w:rPr>
      </w:pPr>
      <w:r>
        <w:rPr>
          <w:rStyle w:val="43"/>
          <w:rFonts w:hint="eastAsia" w:cs="宋体"/>
          <w:b/>
          <w:color w:val="auto"/>
          <w:highlight w:val="none"/>
        </w:rPr>
        <w:t>八、投标截止时间：</w:t>
      </w:r>
      <w:r>
        <w:rPr>
          <w:rFonts w:hint="eastAsia" w:cs="宋体"/>
          <w:color w:val="auto"/>
          <w:szCs w:val="24"/>
          <w:highlight w:val="none"/>
          <w:lang w:eastAsia="zh-CN"/>
        </w:rPr>
        <w:t>2019年07月04日</w:t>
      </w:r>
      <w:r>
        <w:rPr>
          <w:rFonts w:hint="eastAsia" w:cs="宋体"/>
          <w:color w:val="auto"/>
          <w:szCs w:val="24"/>
          <w:highlight w:val="none"/>
        </w:rPr>
        <w:t xml:space="preserve"> </w:t>
      </w:r>
      <w:r>
        <w:rPr>
          <w:rFonts w:hint="eastAsia" w:cs="宋体"/>
          <w:color w:val="auto"/>
          <w:szCs w:val="24"/>
          <w:highlight w:val="none"/>
          <w:lang w:eastAsia="zh-CN"/>
        </w:rPr>
        <w:t>14:00:00</w:t>
      </w:r>
    </w:p>
    <w:p>
      <w:pPr>
        <w:pStyle w:val="6"/>
        <w:rPr>
          <w:rFonts w:cs="宋体"/>
          <w:color w:val="auto"/>
          <w:highlight w:val="none"/>
        </w:rPr>
      </w:pPr>
      <w:r>
        <w:rPr>
          <w:rFonts w:hint="eastAsia" w:cs="宋体"/>
          <w:color w:val="auto"/>
          <w:highlight w:val="none"/>
        </w:rPr>
        <w:t>九、投标地址：杭州市滨江区东信大道66号东方通信科技园启迪楼2楼会议室（2）</w:t>
      </w:r>
    </w:p>
    <w:p>
      <w:pPr>
        <w:pStyle w:val="6"/>
        <w:rPr>
          <w:rFonts w:hint="eastAsia" w:eastAsia="宋体" w:cs="宋体"/>
          <w:color w:val="auto"/>
          <w:highlight w:val="none"/>
          <w:u w:val="single"/>
          <w:lang w:eastAsia="zh-CN"/>
        </w:rPr>
      </w:pPr>
      <w:r>
        <w:rPr>
          <w:rStyle w:val="43"/>
          <w:rFonts w:hint="eastAsia" w:cs="宋体"/>
          <w:b/>
          <w:color w:val="auto"/>
          <w:highlight w:val="none"/>
        </w:rPr>
        <w:t>十、开标时间：</w:t>
      </w:r>
      <w:r>
        <w:rPr>
          <w:rFonts w:hint="eastAsia" w:cs="宋体"/>
          <w:color w:val="auto"/>
          <w:szCs w:val="24"/>
          <w:highlight w:val="none"/>
          <w:lang w:eastAsia="zh-CN"/>
        </w:rPr>
        <w:t>2019年07月04日</w:t>
      </w:r>
      <w:r>
        <w:rPr>
          <w:rFonts w:hint="eastAsia" w:cs="宋体"/>
          <w:color w:val="auto"/>
          <w:szCs w:val="24"/>
          <w:highlight w:val="none"/>
        </w:rPr>
        <w:t xml:space="preserve"> </w:t>
      </w:r>
      <w:r>
        <w:rPr>
          <w:rFonts w:hint="eastAsia" w:cs="宋体"/>
          <w:color w:val="auto"/>
          <w:szCs w:val="24"/>
          <w:highlight w:val="none"/>
          <w:lang w:eastAsia="zh-CN"/>
        </w:rPr>
        <w:t>14:00:00</w:t>
      </w:r>
    </w:p>
    <w:p>
      <w:pPr>
        <w:pStyle w:val="6"/>
        <w:rPr>
          <w:rFonts w:cs="宋体"/>
          <w:color w:val="auto"/>
          <w:highlight w:val="none"/>
        </w:rPr>
      </w:pPr>
      <w:r>
        <w:rPr>
          <w:rFonts w:hint="eastAsia" w:cs="宋体"/>
          <w:color w:val="auto"/>
          <w:highlight w:val="none"/>
        </w:rPr>
        <w:t>十一、开标地址：杭州市滨江区东信大道66号东方通信科技园启迪楼2楼会议室（2）</w:t>
      </w:r>
    </w:p>
    <w:p>
      <w:pPr>
        <w:pStyle w:val="6"/>
        <w:rPr>
          <w:rFonts w:cs="宋体"/>
          <w:color w:val="auto"/>
          <w:szCs w:val="24"/>
          <w:highlight w:val="none"/>
        </w:rPr>
      </w:pPr>
      <w:r>
        <w:rPr>
          <w:rStyle w:val="43"/>
          <w:rFonts w:hint="eastAsia" w:cs="宋体"/>
          <w:b/>
          <w:color w:val="auto"/>
          <w:szCs w:val="24"/>
          <w:highlight w:val="none"/>
        </w:rPr>
        <w:t>十二、</w:t>
      </w:r>
      <w:bookmarkStart w:id="7" w:name="_Toc22762"/>
      <w:r>
        <w:rPr>
          <w:rStyle w:val="43"/>
          <w:rFonts w:hint="eastAsia" w:cs="宋体"/>
          <w:b/>
          <w:color w:val="auto"/>
          <w:szCs w:val="24"/>
          <w:highlight w:val="none"/>
        </w:rPr>
        <w:t>其他事项：</w:t>
      </w:r>
      <w:bookmarkEnd w:id="7"/>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（4）政府采购鼓励节能、环保产品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cs="宋体"/>
          <w:color w:val="auto"/>
          <w:highlight w:val="none"/>
        </w:rPr>
      </w:pPr>
      <w:r>
        <w:rPr>
          <w:rFonts w:hint="eastAsia" w:cs="宋体"/>
          <w:color w:val="auto"/>
          <w:highlight w:val="none"/>
        </w:rPr>
        <w:t>（2）投标人未在采购代理机构办理报名手续的投标文件予以拒收</w:t>
      </w:r>
    </w:p>
    <w:p>
      <w:pPr>
        <w:pStyle w:val="6"/>
        <w:rPr>
          <w:rFonts w:cs="宋体"/>
          <w:color w:val="auto"/>
          <w:szCs w:val="24"/>
          <w:highlight w:val="none"/>
        </w:rPr>
      </w:pPr>
      <w:bookmarkStart w:id="8" w:name="_Toc10657"/>
      <w:r>
        <w:rPr>
          <w:rStyle w:val="43"/>
          <w:rFonts w:hint="eastAsia" w:cs="宋体"/>
          <w:b/>
          <w:color w:val="auto"/>
          <w:szCs w:val="24"/>
          <w:highlight w:val="none"/>
        </w:rPr>
        <w:t>十三、联系方式</w:t>
      </w:r>
      <w:bookmarkEnd w:id="8"/>
    </w:p>
    <w:bookmarkEnd w:id="4"/>
    <w:bookmarkEnd w:id="6"/>
    <w:p>
      <w:pPr>
        <w:ind w:firstLine="480"/>
        <w:rPr>
          <w:color w:val="auto"/>
          <w:highlight w:val="none"/>
        </w:rPr>
      </w:pPr>
      <w:r>
        <w:rPr>
          <w:rFonts w:hint="eastAsia"/>
          <w:color w:val="auto"/>
          <w:kern w:val="0"/>
          <w:highlight w:val="none"/>
        </w:rPr>
        <w:t>1.采购人名称：</w:t>
      </w:r>
      <w:r>
        <w:rPr>
          <w:rFonts w:hint="eastAsia"/>
          <w:color w:val="auto"/>
          <w:highlight w:val="none"/>
        </w:rPr>
        <w:t>浙江机电职业技术学院</w:t>
      </w:r>
    </w:p>
    <w:p>
      <w:pPr>
        <w:ind w:firstLine="480"/>
        <w:rPr>
          <w:color w:val="auto"/>
          <w:kern w:val="0"/>
          <w:highlight w:val="none"/>
        </w:rPr>
      </w:pPr>
      <w:r>
        <w:rPr>
          <w:rFonts w:hint="eastAsia"/>
          <w:color w:val="auto"/>
          <w:kern w:val="0"/>
          <w:highlight w:val="none"/>
        </w:rPr>
        <w:t>联系人：刘勇明</w:t>
      </w:r>
    </w:p>
    <w:p>
      <w:pPr>
        <w:ind w:firstLine="480"/>
        <w:rPr>
          <w:color w:val="auto"/>
          <w:kern w:val="0"/>
          <w:highlight w:val="none"/>
        </w:rPr>
      </w:pPr>
      <w:r>
        <w:rPr>
          <w:rFonts w:hint="eastAsia"/>
          <w:color w:val="auto"/>
          <w:kern w:val="0"/>
          <w:highlight w:val="none"/>
        </w:rPr>
        <w:t>联系电话：</w:t>
      </w:r>
      <w:r>
        <w:rPr>
          <w:rFonts w:hint="eastAsia"/>
          <w:color w:val="auto"/>
          <w:highlight w:val="none"/>
        </w:rPr>
        <w:t>0571-87773085</w:t>
      </w:r>
    </w:p>
    <w:p>
      <w:pPr>
        <w:ind w:firstLine="480"/>
        <w:rPr>
          <w:color w:val="auto"/>
          <w:kern w:val="0"/>
          <w:highlight w:val="none"/>
        </w:rPr>
      </w:pPr>
      <w:r>
        <w:rPr>
          <w:rFonts w:hint="eastAsia"/>
          <w:color w:val="auto"/>
          <w:kern w:val="0"/>
          <w:highlight w:val="none"/>
        </w:rPr>
        <w:t>地址：杭州市滨江区滨文路528号</w:t>
      </w:r>
    </w:p>
    <w:p>
      <w:pPr>
        <w:ind w:firstLine="480"/>
        <w:rPr>
          <w:color w:val="auto"/>
          <w:kern w:val="0"/>
          <w:highlight w:val="none"/>
        </w:rPr>
      </w:pPr>
      <w:r>
        <w:rPr>
          <w:rFonts w:hint="eastAsia"/>
          <w:color w:val="auto"/>
          <w:kern w:val="0"/>
          <w:highlight w:val="none"/>
        </w:rPr>
        <w:t>采购项目联系人：陈老师</w:t>
      </w:r>
    </w:p>
    <w:p>
      <w:pPr>
        <w:ind w:firstLine="480"/>
        <w:rPr>
          <w:color w:val="auto"/>
          <w:kern w:val="0"/>
          <w:highlight w:val="none"/>
        </w:rPr>
      </w:pPr>
      <w:r>
        <w:rPr>
          <w:rFonts w:hint="eastAsia"/>
          <w:color w:val="auto"/>
          <w:kern w:val="0"/>
          <w:highlight w:val="none"/>
        </w:rPr>
        <w:t>联系电话：0571-87773063</w:t>
      </w:r>
    </w:p>
    <w:p>
      <w:pPr>
        <w:ind w:firstLine="480"/>
        <w:rPr>
          <w:color w:val="auto"/>
          <w:kern w:val="0"/>
          <w:highlight w:val="none"/>
        </w:rPr>
      </w:pPr>
      <w:r>
        <w:rPr>
          <w:rFonts w:hint="eastAsia"/>
          <w:color w:val="auto"/>
          <w:kern w:val="0"/>
          <w:highlight w:val="none"/>
        </w:rPr>
        <w:t>地址：杭州市滨江区滨文路528号</w:t>
      </w:r>
    </w:p>
    <w:p>
      <w:pPr>
        <w:ind w:firstLine="480"/>
        <w:rPr>
          <w:color w:val="auto"/>
          <w:kern w:val="0"/>
          <w:highlight w:val="none"/>
        </w:rPr>
      </w:pPr>
      <w:r>
        <w:rPr>
          <w:rFonts w:hint="eastAsia"/>
          <w:color w:val="auto"/>
          <w:kern w:val="0"/>
          <w:highlight w:val="none"/>
        </w:rPr>
        <w:t>2.代理机构名称：浙江五石工程咨询有限公司</w:t>
      </w:r>
    </w:p>
    <w:p>
      <w:pPr>
        <w:ind w:firstLine="480"/>
        <w:rPr>
          <w:color w:val="auto"/>
          <w:kern w:val="0"/>
          <w:highlight w:val="none"/>
        </w:rPr>
      </w:pPr>
      <w:r>
        <w:rPr>
          <w:rFonts w:hint="eastAsia"/>
          <w:color w:val="auto"/>
          <w:kern w:val="0"/>
          <w:highlight w:val="none"/>
        </w:rPr>
        <w:t>项目联系人：陈工</w:t>
      </w:r>
    </w:p>
    <w:p>
      <w:pPr>
        <w:ind w:firstLine="480"/>
        <w:rPr>
          <w:color w:val="auto"/>
          <w:kern w:val="0"/>
          <w:highlight w:val="none"/>
        </w:rPr>
      </w:pPr>
      <w:r>
        <w:rPr>
          <w:rFonts w:hint="eastAsia"/>
          <w:color w:val="auto"/>
          <w:kern w:val="0"/>
          <w:highlight w:val="none"/>
        </w:rPr>
        <w:t>联系电话：0571-86098397</w:t>
      </w:r>
    </w:p>
    <w:p>
      <w:pPr>
        <w:ind w:firstLine="480"/>
        <w:rPr>
          <w:color w:val="auto"/>
          <w:kern w:val="0"/>
          <w:highlight w:val="none"/>
        </w:rPr>
      </w:pPr>
      <w:r>
        <w:rPr>
          <w:rFonts w:hint="eastAsia"/>
          <w:color w:val="auto"/>
          <w:kern w:val="0"/>
          <w:highlight w:val="none"/>
        </w:rPr>
        <w:t>报名联系人：梁工</w:t>
      </w:r>
    </w:p>
    <w:p>
      <w:pPr>
        <w:ind w:firstLine="480"/>
        <w:rPr>
          <w:color w:val="auto"/>
          <w:kern w:val="0"/>
          <w:highlight w:val="none"/>
        </w:rPr>
      </w:pPr>
      <w:r>
        <w:rPr>
          <w:rFonts w:hint="eastAsia"/>
          <w:color w:val="auto"/>
          <w:kern w:val="0"/>
          <w:highlight w:val="none"/>
        </w:rPr>
        <w:t>联系电话：17746806483</w:t>
      </w:r>
    </w:p>
    <w:p>
      <w:pPr>
        <w:ind w:firstLine="480"/>
        <w:rPr>
          <w:color w:val="auto"/>
          <w:kern w:val="0"/>
          <w:highlight w:val="none"/>
        </w:rPr>
      </w:pPr>
      <w:r>
        <w:rPr>
          <w:rFonts w:hint="eastAsia"/>
          <w:color w:val="auto"/>
          <w:kern w:val="0"/>
          <w:highlight w:val="none"/>
        </w:rPr>
        <w:t>邮箱：2810140286@qq.com</w:t>
      </w:r>
    </w:p>
    <w:p>
      <w:pPr>
        <w:ind w:firstLine="480"/>
        <w:rPr>
          <w:color w:val="auto"/>
          <w:kern w:val="0"/>
          <w:highlight w:val="none"/>
        </w:rPr>
      </w:pPr>
      <w:r>
        <w:rPr>
          <w:rFonts w:hint="eastAsia"/>
          <w:color w:val="auto"/>
          <w:kern w:val="0"/>
          <w:highlight w:val="none"/>
        </w:rPr>
        <w:t>质疑联系人及电话：毛工/0571-87805727</w:t>
      </w:r>
    </w:p>
    <w:p>
      <w:pPr>
        <w:ind w:firstLine="480"/>
        <w:rPr>
          <w:color w:val="auto"/>
          <w:kern w:val="0"/>
          <w:highlight w:val="none"/>
        </w:rPr>
      </w:pPr>
      <w:r>
        <w:rPr>
          <w:rFonts w:hint="eastAsia"/>
          <w:color w:val="auto"/>
          <w:kern w:val="0"/>
          <w:highlight w:val="none"/>
        </w:rPr>
        <w:t>浙江五石工程咨询有限公司官网：http://zjwsbidding.com/</w:t>
      </w:r>
    </w:p>
    <w:p>
      <w:pPr>
        <w:ind w:firstLine="480"/>
        <w:rPr>
          <w:color w:val="auto"/>
          <w:kern w:val="0"/>
          <w:highlight w:val="none"/>
        </w:rPr>
      </w:pPr>
      <w:r>
        <w:rPr>
          <w:rFonts w:hint="eastAsia"/>
          <w:color w:val="auto"/>
          <w:kern w:val="0"/>
          <w:highlight w:val="none"/>
        </w:rPr>
        <w:t>地址：杭州市滨江区东方通信科技园启迪楼2楼1207室</w:t>
      </w:r>
    </w:p>
    <w:p>
      <w:pPr>
        <w:ind w:firstLine="480"/>
        <w:rPr>
          <w:color w:val="auto"/>
          <w:kern w:val="0"/>
          <w:highlight w:val="none"/>
        </w:rPr>
      </w:pPr>
      <w:r>
        <w:rPr>
          <w:rFonts w:hint="eastAsia"/>
          <w:color w:val="auto"/>
          <w:kern w:val="0"/>
          <w:highlight w:val="none"/>
        </w:rPr>
        <w:t>3.同级政府采购监督管理部门名称：浙江省财政厅政府采购监管处</w:t>
      </w:r>
    </w:p>
    <w:p>
      <w:pPr>
        <w:ind w:firstLine="480"/>
        <w:rPr>
          <w:color w:val="auto"/>
          <w:kern w:val="0"/>
          <w:highlight w:val="none"/>
        </w:rPr>
      </w:pPr>
      <w:r>
        <w:rPr>
          <w:rFonts w:hint="eastAsia"/>
          <w:color w:val="auto"/>
          <w:kern w:val="0"/>
          <w:highlight w:val="none"/>
        </w:rPr>
        <w:t>联系人：倪老师</w:t>
      </w:r>
    </w:p>
    <w:p>
      <w:pPr>
        <w:ind w:firstLine="480"/>
        <w:rPr>
          <w:color w:val="auto"/>
          <w:kern w:val="0"/>
          <w:highlight w:val="none"/>
        </w:rPr>
      </w:pPr>
      <w:r>
        <w:rPr>
          <w:rFonts w:hint="eastAsia"/>
          <w:color w:val="auto"/>
          <w:kern w:val="0"/>
          <w:highlight w:val="none"/>
        </w:rPr>
        <w:t>监督投诉电话：0571-87057615</w:t>
      </w:r>
    </w:p>
    <w:p>
      <w:pPr>
        <w:ind w:firstLine="480"/>
        <w:rPr>
          <w:color w:val="auto"/>
          <w:highlight w:val="none"/>
        </w:rPr>
      </w:pPr>
      <w:r>
        <w:rPr>
          <w:rFonts w:hint="eastAsia"/>
          <w:color w:val="auto"/>
          <w:kern w:val="0"/>
          <w:highlight w:val="none"/>
        </w:rPr>
        <w:t>地址：杭州市西湖区环城西路37号</w:t>
      </w:r>
    </w:p>
    <w:p>
      <w:pPr>
        <w:ind w:firstLine="720" w:firstLineChars="300"/>
        <w:rPr>
          <w:rFonts w:cs="宋体"/>
          <w:color w:val="auto"/>
          <w:highlight w:val="none"/>
        </w:rPr>
      </w:pPr>
    </w:p>
    <w:p>
      <w:pPr>
        <w:ind w:firstLine="720" w:firstLineChars="300"/>
        <w:rPr>
          <w:rFonts w:cs="宋体"/>
          <w:color w:val="auto"/>
          <w:szCs w:val="32"/>
          <w:highlight w:val="none"/>
        </w:rPr>
        <w:sectPr>
          <w:footerReference r:id="rId13" w:type="default"/>
          <w:pgSz w:w="11906" w:h="16838"/>
          <w:pgMar w:top="1247" w:right="1247" w:bottom="1247" w:left="1247" w:header="170" w:footer="567" w:gutter="0"/>
          <w:pgNumType w:fmt="decimal" w:start="1"/>
          <w:cols w:space="720" w:num="1"/>
          <w:docGrid w:linePitch="381" w:charSpace="0"/>
        </w:sectPr>
      </w:pPr>
    </w:p>
    <w:p>
      <w:pPr>
        <w:pStyle w:val="4"/>
        <w:rPr>
          <w:color w:val="auto"/>
          <w:highlight w:val="none"/>
        </w:rPr>
      </w:pPr>
      <w:bookmarkStart w:id="9" w:name="_Toc27886"/>
      <w:r>
        <w:rPr>
          <w:rFonts w:hint="eastAsia"/>
          <w:color w:val="auto"/>
          <w:highlight w:val="none"/>
        </w:rPr>
        <w:t>第二章 项目需求说明</w:t>
      </w:r>
      <w:bookmarkEnd w:id="9"/>
    </w:p>
    <w:p>
      <w:pPr>
        <w:pStyle w:val="5"/>
        <w:rPr>
          <w:rFonts w:ascii="宋体" w:hAnsi="宋体" w:cs="宋体"/>
          <w:color w:val="auto"/>
          <w:highlight w:val="none"/>
        </w:rPr>
      </w:pPr>
      <w:bookmarkStart w:id="10" w:name="_Toc1899"/>
      <w:bookmarkStart w:id="11" w:name="_Toc26013"/>
      <w:bookmarkStart w:id="12" w:name="_Toc31327"/>
      <w:bookmarkStart w:id="13" w:name="_Toc19804"/>
      <w:bookmarkStart w:id="14" w:name="_Toc450840085"/>
      <w:r>
        <w:rPr>
          <w:rFonts w:hint="eastAsia" w:ascii="宋体" w:hAnsi="宋体" w:cs="宋体"/>
          <w:color w:val="auto"/>
          <w:highlight w:val="none"/>
        </w:rPr>
        <w:t>一、</w:t>
      </w:r>
      <w:bookmarkEnd w:id="10"/>
      <w:bookmarkEnd w:id="11"/>
      <w:r>
        <w:rPr>
          <w:rFonts w:hint="eastAsia" w:ascii="宋体" w:hAnsi="宋体" w:cs="宋体"/>
          <w:color w:val="auto"/>
          <w:highlight w:val="none"/>
        </w:rPr>
        <w:t>采购需求</w:t>
      </w:r>
      <w:bookmarkEnd w:id="12"/>
      <w:bookmarkEnd w:id="13"/>
    </w:p>
    <w:p>
      <w:pPr>
        <w:pStyle w:val="6"/>
        <w:rPr>
          <w:rFonts w:cs="宋体"/>
          <w:color w:val="auto"/>
          <w:highlight w:val="none"/>
        </w:rPr>
      </w:pPr>
      <w:r>
        <w:rPr>
          <w:rFonts w:hint="eastAsia" w:cs="宋体"/>
          <w:color w:val="auto"/>
          <w:highlight w:val="none"/>
        </w:rPr>
        <w:t>（一）说明</w:t>
      </w:r>
    </w:p>
    <w:p>
      <w:pPr>
        <w:ind w:firstLine="480"/>
        <w:rPr>
          <w:rFonts w:cs="宋体"/>
          <w:color w:val="auto"/>
          <w:szCs w:val="32"/>
          <w:highlight w:val="none"/>
        </w:rPr>
      </w:pPr>
      <w:r>
        <w:rPr>
          <w:rFonts w:hint="eastAsia"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color w:val="auto"/>
          <w:szCs w:val="32"/>
          <w:highlight w:val="none"/>
        </w:rPr>
      </w:pPr>
      <w:r>
        <w:rPr>
          <w:rFonts w:hint="eastAsia"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cs="宋体"/>
          <w:color w:val="auto"/>
          <w:szCs w:val="32"/>
          <w:highlight w:val="none"/>
        </w:rPr>
      </w:pPr>
      <w:r>
        <w:rPr>
          <w:rFonts w:hint="eastAsia" w:cs="宋体"/>
          <w:color w:val="auto"/>
          <w:szCs w:val="32"/>
          <w:highlight w:val="none"/>
        </w:rPr>
        <w:t>3.所有货物、零部件均由具有生产制造资格的企业提供，并由中标人承担总责任。</w:t>
      </w:r>
    </w:p>
    <w:p>
      <w:pPr>
        <w:ind w:firstLine="480"/>
        <w:rPr>
          <w:color w:val="auto"/>
          <w:highlight w:val="none"/>
        </w:rPr>
        <w:sectPr>
          <w:headerReference r:id="rId14" w:type="first"/>
          <w:footerReference r:id="rId16" w:type="first"/>
          <w:footerReference r:id="rId15" w:type="default"/>
          <w:pgSz w:w="11907" w:h="16840"/>
          <w:pgMar w:top="1440" w:right="1803" w:bottom="1440" w:left="1803" w:header="720" w:footer="720" w:gutter="0"/>
          <w:pgNumType w:fmt="decimal"/>
          <w:cols w:space="720" w:num="1"/>
          <w:docGrid w:linePitch="326" w:charSpace="0"/>
        </w:sectPr>
      </w:pPr>
    </w:p>
    <w:p>
      <w:pPr>
        <w:pStyle w:val="6"/>
        <w:rPr>
          <w:rFonts w:cs="宋体"/>
          <w:color w:val="auto"/>
          <w:szCs w:val="40"/>
          <w:highlight w:val="none"/>
        </w:rPr>
      </w:pPr>
      <w:bookmarkStart w:id="15" w:name="_Toc450840086"/>
      <w:bookmarkStart w:id="16" w:name="_Toc23621"/>
      <w:r>
        <w:rPr>
          <w:rFonts w:hint="eastAsia" w:cs="宋体"/>
          <w:color w:val="auto"/>
          <w:highlight w:val="none"/>
        </w:rPr>
        <w:t>（二）</w:t>
      </w:r>
      <w:r>
        <w:rPr>
          <w:rFonts w:hint="eastAsia" w:cs="宋体"/>
          <w:color w:val="auto"/>
          <w:szCs w:val="40"/>
          <w:highlight w:val="none"/>
        </w:rPr>
        <w:t>采购清单及技术要求</w:t>
      </w:r>
    </w:p>
    <w:p>
      <w:pPr>
        <w:pStyle w:val="7"/>
        <w:ind w:firstLine="482"/>
        <w:rPr>
          <w:color w:val="auto"/>
          <w:highlight w:val="none"/>
        </w:rPr>
      </w:pPr>
      <w:r>
        <w:rPr>
          <w:rFonts w:hint="eastAsia"/>
          <w:color w:val="auto"/>
          <w:highlight w:val="none"/>
        </w:rPr>
        <w:t>1.综合楼4楼报告厅前维护</w:t>
      </w:r>
    </w:p>
    <w:tbl>
      <w:tblPr>
        <w:tblStyle w:val="40"/>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2"/>
        <w:gridCol w:w="1426"/>
        <w:gridCol w:w="6254"/>
        <w:gridCol w:w="463"/>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名称</w:t>
            </w:r>
          </w:p>
        </w:tc>
        <w:tc>
          <w:tcPr>
            <w:tcW w:w="6254"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参数要求</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LED全彩屏</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★1.像素间距≤2.5mm，像素密度：≥160000/㎡</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▲2．屏幕尺寸：≥18.24米*4.32米，因现场尺寸及装修效果要求，长宽误差≤30mm，分辨率：≥7296点*1728点</w:t>
            </w:r>
            <w:r>
              <w:rPr>
                <w:rFonts w:hint="eastAsia" w:cs="宋体"/>
                <w:color w:val="auto"/>
                <w:kern w:val="0"/>
                <w:sz w:val="21"/>
                <w:szCs w:val="21"/>
                <w:highlight w:val="none"/>
              </w:rPr>
              <w:br w:type="textWrapping"/>
            </w:r>
            <w:r>
              <w:rPr>
                <w:rFonts w:hint="eastAsia" w:cs="宋体"/>
                <w:color w:val="auto"/>
                <w:kern w:val="0"/>
                <w:sz w:val="21"/>
                <w:szCs w:val="21"/>
                <w:highlight w:val="none"/>
              </w:rPr>
              <w:t>★3.箱体前维护，整体结构采用压铸铝合金材料，箱体尺寸约480*480*77mm。(可查原厂序列号,序列号与本项目名称应一致.工程实施完成后需配合业主随机抽样发原厂家检测，取得检测报告作为验收依据)</w:t>
            </w:r>
            <w:r>
              <w:rPr>
                <w:rFonts w:hint="eastAsia" w:cs="宋体"/>
                <w:color w:val="auto"/>
                <w:kern w:val="0"/>
                <w:sz w:val="21"/>
                <w:szCs w:val="21"/>
                <w:highlight w:val="none"/>
              </w:rPr>
              <w:br w:type="textWrapping"/>
            </w:r>
            <w:r>
              <w:rPr>
                <w:rFonts w:hint="eastAsia" w:cs="宋体"/>
                <w:color w:val="auto"/>
                <w:kern w:val="0"/>
                <w:sz w:val="21"/>
                <w:szCs w:val="21"/>
                <w:highlight w:val="none"/>
              </w:rPr>
              <w:t>4.采用亿光、东山、国星等同档次2121封装LED灯</w:t>
            </w:r>
            <w:r>
              <w:rPr>
                <w:rFonts w:hint="eastAsia" w:cs="宋体"/>
                <w:color w:val="auto"/>
                <w:kern w:val="0"/>
                <w:sz w:val="21"/>
                <w:szCs w:val="21"/>
                <w:highlight w:val="none"/>
              </w:rPr>
              <w:br w:type="textWrapping"/>
            </w:r>
            <w:r>
              <w:rPr>
                <w:rFonts w:hint="eastAsia" w:cs="宋体"/>
                <w:color w:val="auto"/>
                <w:kern w:val="0"/>
                <w:sz w:val="21"/>
                <w:szCs w:val="21"/>
                <w:highlight w:val="none"/>
              </w:rPr>
              <w:t>5.白平衡亮度≤600cd/㎡（6500K，校正后）</w:t>
            </w:r>
            <w:r>
              <w:rPr>
                <w:rFonts w:hint="eastAsia" w:cs="宋体"/>
                <w:color w:val="auto"/>
                <w:kern w:val="0"/>
                <w:sz w:val="21"/>
                <w:szCs w:val="21"/>
                <w:highlight w:val="none"/>
              </w:rPr>
              <w:br w:type="textWrapping"/>
            </w:r>
            <w:r>
              <w:rPr>
                <w:rFonts w:hint="eastAsia" w:cs="宋体"/>
                <w:color w:val="auto"/>
                <w:kern w:val="0"/>
                <w:sz w:val="21"/>
                <w:szCs w:val="21"/>
                <w:highlight w:val="none"/>
              </w:rPr>
              <w:t>6.▲对比度≥6000:1</w:t>
            </w:r>
            <w:r>
              <w:rPr>
                <w:rFonts w:hint="eastAsia" w:cs="宋体"/>
                <w:color w:val="auto"/>
                <w:kern w:val="0"/>
                <w:sz w:val="21"/>
                <w:szCs w:val="21"/>
                <w:highlight w:val="none"/>
              </w:rPr>
              <w:br w:type="textWrapping"/>
            </w:r>
            <w:r>
              <w:rPr>
                <w:rFonts w:hint="eastAsia" w:cs="宋体"/>
                <w:color w:val="auto"/>
                <w:kern w:val="0"/>
                <w:sz w:val="21"/>
                <w:szCs w:val="21"/>
                <w:highlight w:val="none"/>
              </w:rPr>
              <w:t>7.视角：水平视角≥160°，垂直视角≥140°</w:t>
            </w:r>
            <w:r>
              <w:rPr>
                <w:rFonts w:hint="eastAsia" w:cs="宋体"/>
                <w:color w:val="auto"/>
                <w:kern w:val="0"/>
                <w:sz w:val="21"/>
                <w:szCs w:val="21"/>
                <w:highlight w:val="none"/>
              </w:rPr>
              <w:br w:type="textWrapping"/>
            </w:r>
            <w:r>
              <w:rPr>
                <w:rFonts w:hint="eastAsia" w:cs="宋体"/>
                <w:color w:val="auto"/>
                <w:kern w:val="0"/>
                <w:sz w:val="21"/>
                <w:szCs w:val="21"/>
                <w:highlight w:val="none"/>
              </w:rPr>
              <w:t>8.▲刷新频率≥3000HZ</w:t>
            </w:r>
            <w:r>
              <w:rPr>
                <w:rFonts w:hint="eastAsia" w:cs="宋体"/>
                <w:color w:val="auto"/>
                <w:kern w:val="0"/>
                <w:sz w:val="21"/>
                <w:szCs w:val="21"/>
                <w:highlight w:val="none"/>
              </w:rPr>
              <w:br w:type="textWrapping"/>
            </w:r>
            <w:r>
              <w:rPr>
                <w:rFonts w:hint="eastAsia" w:cs="宋体"/>
                <w:color w:val="auto"/>
                <w:kern w:val="0"/>
                <w:sz w:val="21"/>
                <w:szCs w:val="21"/>
                <w:highlight w:val="none"/>
              </w:rPr>
              <w:t>9.模组亮度均匀性≥97%</w:t>
            </w:r>
            <w:r>
              <w:rPr>
                <w:rFonts w:hint="eastAsia" w:cs="宋体"/>
                <w:color w:val="auto"/>
                <w:kern w:val="0"/>
                <w:sz w:val="21"/>
                <w:szCs w:val="21"/>
                <w:highlight w:val="none"/>
              </w:rPr>
              <w:br w:type="textWrapping"/>
            </w:r>
            <w:r>
              <w:rPr>
                <w:rFonts w:hint="eastAsia" w:cs="宋体"/>
                <w:color w:val="auto"/>
                <w:kern w:val="0"/>
                <w:sz w:val="21"/>
                <w:szCs w:val="21"/>
                <w:highlight w:val="none"/>
              </w:rPr>
              <w:t>10.峰值功耗≤600W/㎡，平均功耗≤200W/㎡,</w:t>
            </w:r>
            <w:r>
              <w:rPr>
                <w:rFonts w:hint="eastAsia" w:cs="宋体"/>
                <w:color w:val="auto"/>
                <w:kern w:val="0"/>
                <w:sz w:val="21"/>
                <w:szCs w:val="21"/>
                <w:highlight w:val="none"/>
              </w:rPr>
              <w:br w:type="textWrapping"/>
            </w:r>
            <w:r>
              <w:rPr>
                <w:rFonts w:hint="eastAsia" w:cs="宋体"/>
                <w:color w:val="auto"/>
                <w:kern w:val="0"/>
                <w:sz w:val="21"/>
                <w:szCs w:val="21"/>
                <w:highlight w:val="none"/>
              </w:rPr>
              <w:t>11. 色温3000K－10000K可调</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★12.双信号备份,信号双环路双链路设计,板板连接无连线.</w:t>
            </w:r>
            <w:r>
              <w:rPr>
                <w:rFonts w:hint="eastAsia" w:cs="宋体"/>
                <w:color w:val="auto"/>
                <w:kern w:val="0"/>
                <w:sz w:val="21"/>
                <w:szCs w:val="21"/>
                <w:highlight w:val="none"/>
              </w:rPr>
              <w:br w:type="textWrapping"/>
            </w:r>
            <w:r>
              <w:rPr>
                <w:rFonts w:hint="eastAsia" w:cs="宋体"/>
                <w:color w:val="auto"/>
                <w:kern w:val="0"/>
                <w:sz w:val="21"/>
                <w:szCs w:val="21"/>
                <w:highlight w:val="none"/>
              </w:rPr>
              <w:t>13.屏体工作噪音﹤1.2m的范围内：噪声≤5.6dB（A）</w:t>
            </w:r>
            <w:r>
              <w:rPr>
                <w:rFonts w:hint="eastAsia" w:cs="宋体"/>
                <w:color w:val="auto"/>
                <w:kern w:val="0"/>
                <w:sz w:val="21"/>
                <w:szCs w:val="21"/>
                <w:highlight w:val="none"/>
                <w:lang w:val="en-US" w:eastAsia="zh-CN"/>
              </w:rPr>
              <w:t>xrl</w:t>
            </w:r>
            <w:r>
              <w:rPr>
                <w:rFonts w:hint="eastAsia" w:cs="宋体"/>
                <w:color w:val="auto"/>
                <w:kern w:val="0"/>
                <w:sz w:val="21"/>
                <w:szCs w:val="21"/>
                <w:highlight w:val="none"/>
              </w:rPr>
              <w:t>（提供具有CNAS认可或国家广电的检验报告为准加盖公章）；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14.提供产品性能测试报告：投标产品需提供第三方专项防尘IP5X测试报告（提供具有CNAS认可的检验报告为准加盖公章）、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15.投标产品需提供PCB和塑料面板阻燃测试报告、符合盐雾10级检测报告（提供具有CNAS认可的检验报告为准加盖公章）；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16.投标产品需具有自检技术,远程监控,自动gamma矫正技术,动态节能、降低功耗,通过高低温工作、存储测试.</w:t>
            </w:r>
            <w:r>
              <w:rPr>
                <w:rFonts w:hint="eastAsia" w:cs="宋体"/>
                <w:color w:val="auto"/>
                <w:kern w:val="0"/>
                <w:sz w:val="21"/>
                <w:szCs w:val="21"/>
                <w:highlight w:val="none"/>
              </w:rPr>
              <w:br w:type="textWrapping"/>
            </w:r>
            <w:r>
              <w:rPr>
                <w:rFonts w:hint="eastAsia" w:cs="宋体"/>
                <w:color w:val="auto"/>
                <w:kern w:val="0"/>
                <w:sz w:val="21"/>
                <w:szCs w:val="21"/>
                <w:highlight w:val="none"/>
              </w:rPr>
              <w:t>17. LED显示屏幕需通过3C认证、有国家级检测机构相关检测报告；提供所有证书复印件）</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18. 所投LED显示屏厂家具有低蓝光认证（提供证书复印件）</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19．所投LED显示屏需提供第三方权威的产品检测报告；</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20. ★不接受OEM产品</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21.提供质量检验稳定合格产品的证明</w:t>
            </w:r>
          </w:p>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22.提供符合国家节能低碳技术产品的证明文件</w:t>
            </w:r>
          </w:p>
          <w:p>
            <w:pPr>
              <w:widowControl/>
              <w:ind w:firstLine="0" w:firstLineChars="0"/>
              <w:textAlignment w:val="center"/>
              <w:rPr>
                <w:rFonts w:cs="宋体"/>
                <w:color w:val="auto"/>
                <w:kern w:val="0"/>
                <w:sz w:val="21"/>
                <w:szCs w:val="21"/>
                <w:highlight w:val="none"/>
              </w:rPr>
            </w:pPr>
            <w:r>
              <w:rPr>
                <w:rFonts w:hint="eastAsia" w:cs="宋体"/>
                <w:color w:val="auto"/>
                <w:kern w:val="0"/>
                <w:sz w:val="21"/>
                <w:szCs w:val="21"/>
                <w:highlight w:val="none"/>
              </w:rPr>
              <w:t>23.投标时提供不少于1平方的样品</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r>
              <w:rPr>
                <w:rFonts w:hint="eastAsia" w:cs="宋体"/>
                <w:color w:val="auto"/>
                <w:kern w:val="0"/>
                <w:sz w:val="21"/>
                <w:szCs w:val="21"/>
                <w:highlight w:val="none"/>
                <w:vertAlign w:val="superscript"/>
              </w:rPr>
              <w:t>2</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控制电脑</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kern w:val="0"/>
                <w:sz w:val="21"/>
                <w:szCs w:val="21"/>
                <w:highlight w:val="none"/>
              </w:rPr>
            </w:pPr>
            <w:r>
              <w:rPr>
                <w:rFonts w:hint="eastAsia" w:cs="宋体"/>
                <w:color w:val="auto"/>
                <w:kern w:val="0"/>
                <w:sz w:val="21"/>
                <w:szCs w:val="21"/>
                <w:highlight w:val="none"/>
              </w:rPr>
              <w:t>1.操作系统：原厂预装正版Win10 操作系统</w:t>
            </w:r>
          </w:p>
          <w:p>
            <w:pPr>
              <w:widowControl/>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2.主板：270芯片组或以上</w:t>
            </w:r>
            <w:r>
              <w:rPr>
                <w:rFonts w:hint="eastAsia" w:cs="宋体"/>
                <w:color w:val="auto"/>
                <w:kern w:val="0"/>
                <w:sz w:val="21"/>
                <w:szCs w:val="21"/>
                <w:highlight w:val="none"/>
              </w:rPr>
              <w:br w:type="textWrapping"/>
            </w:r>
            <w:r>
              <w:rPr>
                <w:rFonts w:hint="eastAsia" w:cs="宋体"/>
                <w:color w:val="auto"/>
                <w:kern w:val="0"/>
                <w:sz w:val="21"/>
                <w:szCs w:val="21"/>
                <w:highlight w:val="none"/>
              </w:rPr>
              <w:t>3.处理器：New Core i5-7500(3.4G/6M/4核)</w:t>
            </w:r>
            <w:r>
              <w:rPr>
                <w:rFonts w:hint="eastAsia" w:cs="宋体"/>
                <w:color w:val="auto"/>
                <w:kern w:val="0"/>
                <w:sz w:val="21"/>
                <w:szCs w:val="21"/>
                <w:highlight w:val="none"/>
              </w:rPr>
              <w:br w:type="textWrapping"/>
            </w:r>
            <w:r>
              <w:rPr>
                <w:rFonts w:hint="eastAsia" w:cs="宋体"/>
                <w:color w:val="auto"/>
                <w:kern w:val="0"/>
                <w:sz w:val="21"/>
                <w:szCs w:val="21"/>
                <w:highlight w:val="none"/>
              </w:rPr>
              <w:t>4.内存：&gt;=8G DDR4  2133四条插槽，最大可扩展到64G</w:t>
            </w:r>
            <w:r>
              <w:rPr>
                <w:rFonts w:hint="eastAsia" w:cs="宋体"/>
                <w:color w:val="auto"/>
                <w:kern w:val="0"/>
                <w:sz w:val="21"/>
                <w:szCs w:val="21"/>
                <w:highlight w:val="none"/>
              </w:rPr>
              <w:br w:type="textWrapping"/>
            </w:r>
            <w:r>
              <w:rPr>
                <w:rFonts w:hint="eastAsia" w:cs="宋体"/>
                <w:color w:val="auto"/>
                <w:kern w:val="0"/>
                <w:sz w:val="21"/>
                <w:szCs w:val="21"/>
                <w:highlight w:val="none"/>
              </w:rPr>
              <w:t>5.显示卡：独显 双头HDMI+DVI显卡</w:t>
            </w:r>
            <w:r>
              <w:rPr>
                <w:rFonts w:hint="eastAsia" w:cs="宋体"/>
                <w:color w:val="auto"/>
                <w:kern w:val="0"/>
                <w:sz w:val="21"/>
                <w:szCs w:val="21"/>
                <w:highlight w:val="none"/>
              </w:rPr>
              <w:br w:type="textWrapping"/>
            </w:r>
            <w:r>
              <w:rPr>
                <w:rFonts w:hint="eastAsia" w:cs="宋体"/>
                <w:color w:val="auto"/>
                <w:kern w:val="0"/>
                <w:sz w:val="21"/>
                <w:szCs w:val="21"/>
                <w:highlight w:val="none"/>
              </w:rPr>
              <w:t>6.硬盘：≥256G固态硬盘</w:t>
            </w:r>
            <w:r>
              <w:rPr>
                <w:rFonts w:hint="eastAsia" w:cs="宋体"/>
                <w:color w:val="auto"/>
                <w:kern w:val="0"/>
                <w:sz w:val="21"/>
                <w:szCs w:val="21"/>
                <w:highlight w:val="none"/>
              </w:rPr>
              <w:br w:type="textWrapping"/>
            </w:r>
            <w:r>
              <w:rPr>
                <w:rFonts w:hint="eastAsia" w:cs="宋体"/>
                <w:color w:val="auto"/>
                <w:kern w:val="0"/>
                <w:sz w:val="21"/>
                <w:szCs w:val="21"/>
                <w:highlight w:val="none"/>
              </w:rPr>
              <w:t>7.声卡：主板集成</w:t>
            </w:r>
            <w:r>
              <w:rPr>
                <w:rFonts w:hint="eastAsia" w:cs="宋体"/>
                <w:color w:val="auto"/>
                <w:kern w:val="0"/>
                <w:sz w:val="21"/>
                <w:szCs w:val="21"/>
                <w:highlight w:val="none"/>
              </w:rPr>
              <w:br w:type="textWrapping"/>
            </w:r>
            <w:r>
              <w:rPr>
                <w:rFonts w:hint="eastAsia" w:cs="宋体"/>
                <w:color w:val="auto"/>
                <w:kern w:val="0"/>
                <w:sz w:val="21"/>
                <w:szCs w:val="21"/>
                <w:highlight w:val="none"/>
              </w:rPr>
              <w:t>8.网卡：主板集成,千兆网卡</w:t>
            </w:r>
            <w:r>
              <w:rPr>
                <w:rFonts w:hint="eastAsia" w:cs="宋体"/>
                <w:color w:val="auto"/>
                <w:kern w:val="0"/>
                <w:sz w:val="21"/>
                <w:szCs w:val="21"/>
                <w:highlight w:val="none"/>
              </w:rPr>
              <w:br w:type="textWrapping"/>
            </w:r>
            <w:r>
              <w:rPr>
                <w:rFonts w:hint="eastAsia" w:cs="宋体"/>
                <w:color w:val="auto"/>
                <w:kern w:val="0"/>
                <w:sz w:val="21"/>
                <w:szCs w:val="21"/>
                <w:highlight w:val="none"/>
              </w:rPr>
              <w:t>9.端口：前置：2 个 USB 3.0 端口；1 个麦克风插孔；1 个耳机插孔；后置：2 个 USB 2.0 端口；4 个 USB 3.0 端口；1 个串口；1；； 1 个 VGA 接口；1 个DP端口；1 个音频线路输入端口；1 个音频线路输出端口；1 个 RJ-45 接口；</w:t>
            </w:r>
            <w:r>
              <w:rPr>
                <w:rFonts w:hint="eastAsia" w:cs="宋体"/>
                <w:color w:val="auto"/>
                <w:kern w:val="0"/>
                <w:sz w:val="21"/>
                <w:szCs w:val="21"/>
                <w:highlight w:val="none"/>
              </w:rPr>
              <w:br w:type="textWrapping"/>
            </w:r>
            <w:r>
              <w:rPr>
                <w:rFonts w:hint="eastAsia" w:cs="宋体"/>
                <w:color w:val="auto"/>
                <w:kern w:val="0"/>
                <w:sz w:val="21"/>
                <w:szCs w:val="21"/>
                <w:highlight w:val="none"/>
              </w:rPr>
              <w:t>10.插槽：1 个全高式PCIe x16插槽；1 个全高式PCIe x4插槽；2个全高式PCIe x1插槽</w:t>
            </w:r>
            <w:r>
              <w:rPr>
                <w:rFonts w:hint="eastAsia" w:cs="宋体"/>
                <w:color w:val="auto"/>
                <w:kern w:val="0"/>
                <w:sz w:val="21"/>
                <w:szCs w:val="21"/>
                <w:highlight w:val="none"/>
              </w:rPr>
              <w:br w:type="textWrapping"/>
            </w:r>
            <w:r>
              <w:rPr>
                <w:rFonts w:hint="eastAsia" w:cs="宋体"/>
                <w:color w:val="auto"/>
                <w:kern w:val="0"/>
                <w:sz w:val="21"/>
                <w:szCs w:val="21"/>
                <w:highlight w:val="none"/>
              </w:rPr>
              <w:t>11.键盘/鼠标：光电键盘鼠标</w:t>
            </w:r>
          </w:p>
          <w:p>
            <w:pPr>
              <w:widowControl/>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12.24寸显示器</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视频拼接器</w:t>
            </w:r>
          </w:p>
        </w:tc>
        <w:tc>
          <w:tcPr>
            <w:tcW w:w="6254" w:type="dxa"/>
            <w:shd w:val="clear" w:color="auto" w:fill="auto"/>
            <w:tcMar>
              <w:top w:w="15" w:type="dxa"/>
              <w:left w:w="15" w:type="dxa"/>
              <w:right w:w="15" w:type="dxa"/>
            </w:tcMar>
            <w:vAlign w:val="center"/>
          </w:tcPr>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8路HDMI输入，8路DVI输出；</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设备必须为模块化设计的一体化设备，不能采用满足功能条件而采用多种设备组合形式用于投标。</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采用纯硬件结构，机箱采用EMI结构设计，有效防磁，防信号干扰，无PC操作系统，不会感染病毒致系统瘫痪，通电5秒就可以工作，可以硬开关机。</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可同时上RGB/DVI信号和高清视频信号。可以播放多路实时动态高清视频图像，无停顿，拖尾现象。</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能够支持调整每个单屏输出的色彩变化，包括亮度，对比度，亮暗平衡的调整。</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画面RGB信号多层图层叠加，单屏最多可扩展为24层RGB信号叠加。</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支持1920*1080输入，支持数字DVI高清信号输入、输出。</w:t>
            </w:r>
            <w:r>
              <w:rPr>
                <w:rFonts w:hint="eastAsia" w:cs="宋体"/>
                <w:color w:val="auto"/>
                <w:kern w:val="0"/>
                <w:sz w:val="21"/>
                <w:szCs w:val="21"/>
                <w:highlight w:val="none"/>
              </w:rPr>
              <w:br w:type="textWrapping"/>
            </w:r>
            <w:r>
              <w:rPr>
                <w:rFonts w:hint="eastAsia" w:cs="宋体"/>
                <w:color w:val="auto"/>
                <w:kern w:val="0"/>
                <w:sz w:val="21"/>
                <w:szCs w:val="21"/>
                <w:highlight w:val="none"/>
              </w:rPr>
              <w:t>支持输出从640x480到1920x1080标准分辨率的图像。支持每像素32位色彩深度。</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▲可实现图像信号多窗口显示、单屏显示不同的画面、整屏显示单一信号大画面、窗口任意移动、任意缩放、信号任意叠加、图像信号自动识别、预存场景调用、大屏画面后台单屏回显监控等功能。</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采用模块化设计思路，输入信号、输出信号、电路、光学处理等通过不同的模块转换到另外的电路上，能避免某一信号出现故障而替换整块电路板的弊端，降低维护成本。</w:t>
            </w:r>
          </w:p>
          <w:p>
            <w:pPr>
              <w:widowControl/>
              <w:numPr>
                <w:ilvl w:val="0"/>
                <w:numId w:val="1"/>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提供产品检测报告和3C证书</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LED控制器</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配合LED显示屏使用，可实现任意尺寸大屏无缝拼接显示。≥4个千兆网口输出，单个网口≥65万个像素点；带载分辨率：≥2048×1152@60Hz或1920×1200@60Hz；</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DVI、DP、HDMI、VGA多信号输入，支持信源自动检测，无需手动切换信源；支持屏幕亮度自动调整,自适应环境光亮度；</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图像色温调节，标准、冷、暖三色可调；</w:t>
            </w:r>
          </w:p>
          <w:p>
            <w:pPr>
              <w:widowControl/>
              <w:numPr>
                <w:ilvl w:val="0"/>
                <w:numId w:val="2"/>
              </w:numPr>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提供3C认证或软件著作权复印件</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5</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网络交换机</w:t>
            </w:r>
          </w:p>
        </w:tc>
        <w:tc>
          <w:tcPr>
            <w:tcW w:w="6254" w:type="dxa"/>
            <w:shd w:val="clear" w:color="auto" w:fill="auto"/>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 xml:space="preserve"> 24口千兆交换机</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配电系统</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80KW配电系统采用三相五线制供电，配电系统保证三相平衡，同时还应配备过流、短路、断路、过压、欠压、温度过高等保护措施，以及相应的故障指示装置，具有PLC远程控制功能。▲（提供3C证书和PLC软件著作权。）</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7</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系统软件</w:t>
            </w:r>
          </w:p>
        </w:tc>
        <w:tc>
          <w:tcPr>
            <w:tcW w:w="6254" w:type="dxa"/>
            <w:shd w:val="clear" w:color="auto" w:fill="auto"/>
            <w:tcMar>
              <w:top w:w="15" w:type="dxa"/>
              <w:left w:w="15" w:type="dxa"/>
              <w:right w:w="15" w:type="dxa"/>
            </w:tcMar>
            <w:vAlign w:val="center"/>
          </w:tcPr>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屏控软件</w:t>
            </w:r>
          </w:p>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▲提供控制软件著作权证书。</w:t>
            </w:r>
          </w:p>
          <w:p>
            <w:pPr>
              <w:widowControl/>
              <w:numPr>
                <w:ilvl w:val="0"/>
                <w:numId w:val="2"/>
              </w:numPr>
              <w:ind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控制软件具有亮度/灰度/色调/对比度/系统环境参数的调节设定功能。提供软件详细方案。</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8</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机柜</w:t>
            </w:r>
          </w:p>
        </w:tc>
        <w:tc>
          <w:tcPr>
            <w:tcW w:w="6254" w:type="dxa"/>
            <w:shd w:val="clear" w:color="auto" w:fill="auto"/>
            <w:tcMar>
              <w:top w:w="15" w:type="dxa"/>
              <w:left w:w="15" w:type="dxa"/>
              <w:right w:w="15" w:type="dxa"/>
            </w:tcMar>
            <w:vAlign w:val="center"/>
          </w:tcPr>
          <w:p>
            <w:pPr>
              <w:widowControl/>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42U</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sz w:val="21"/>
                <w:szCs w:val="21"/>
                <w:highlight w:val="none"/>
              </w:rPr>
              <w:t>9</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结构</w:t>
            </w:r>
          </w:p>
        </w:tc>
        <w:tc>
          <w:tcPr>
            <w:tcW w:w="6254" w:type="dxa"/>
            <w:shd w:val="clear" w:color="auto" w:fill="auto"/>
            <w:tcMar>
              <w:top w:w="15" w:type="dxa"/>
              <w:left w:w="15" w:type="dxa"/>
              <w:right w:w="15" w:type="dxa"/>
            </w:tcMar>
            <w:vAlign w:val="center"/>
          </w:tcPr>
          <w:p>
            <w:pPr>
              <w:widowControl/>
              <w:ind w:firstLine="0" w:firstLineChars="0"/>
              <w:jc w:val="left"/>
              <w:rPr>
                <w:rFonts w:cs="宋体"/>
                <w:color w:val="auto"/>
                <w:sz w:val="21"/>
                <w:szCs w:val="21"/>
                <w:highlight w:val="none"/>
              </w:rPr>
            </w:pPr>
            <w:r>
              <w:rPr>
                <w:rFonts w:hint="eastAsia" w:cs="宋体"/>
                <w:color w:val="auto"/>
                <w:kern w:val="0"/>
                <w:sz w:val="21"/>
                <w:szCs w:val="21"/>
                <w:highlight w:val="none"/>
              </w:rPr>
              <w:t>与屏体相关的LED钢支架设、制作及安装。</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线缆</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kern w:val="0"/>
                <w:sz w:val="21"/>
                <w:szCs w:val="21"/>
                <w:highlight w:val="none"/>
              </w:rPr>
              <w:t>大屏专用电缆</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安装调试</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培训、技术服务</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02"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13</w:t>
            </w:r>
          </w:p>
        </w:tc>
        <w:tc>
          <w:tcPr>
            <w:tcW w:w="1426"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取电和装修</w:t>
            </w:r>
          </w:p>
        </w:tc>
        <w:tc>
          <w:tcPr>
            <w:tcW w:w="6254" w:type="dxa"/>
            <w:shd w:val="clear" w:color="auto" w:fill="auto"/>
            <w:tcMar>
              <w:top w:w="15" w:type="dxa"/>
              <w:left w:w="15" w:type="dxa"/>
              <w:right w:w="15" w:type="dxa"/>
            </w:tcMar>
            <w:vAlign w:val="center"/>
          </w:tcPr>
          <w:p>
            <w:pPr>
              <w:ind w:firstLine="0" w:firstLineChars="0"/>
              <w:jc w:val="left"/>
              <w:rPr>
                <w:rFonts w:cs="宋体"/>
                <w:color w:val="auto"/>
                <w:sz w:val="21"/>
                <w:szCs w:val="21"/>
                <w:highlight w:val="none"/>
              </w:rPr>
            </w:pPr>
            <w:r>
              <w:rPr>
                <w:rFonts w:hint="eastAsia" w:cs="宋体"/>
                <w:color w:val="auto"/>
                <w:kern w:val="0"/>
                <w:sz w:val="21"/>
                <w:szCs w:val="21"/>
                <w:highlight w:val="none"/>
              </w:rPr>
              <w:t>★</w:t>
            </w:r>
            <w:r>
              <w:rPr>
                <w:rFonts w:hint="eastAsia" w:cs="宋体"/>
                <w:color w:val="auto"/>
                <w:sz w:val="21"/>
                <w:szCs w:val="21"/>
                <w:highlight w:val="none"/>
              </w:rPr>
              <w:t>按学校基建和后勤管理处要求进行取电。拆除和装修,装修风格按学校基建和后勤的标准为准(所有费用由投标人协调和承担,本项报价不仅应包括招标文件上所标明的，还应包括任何未明确标出的，以及完成全套系统工程并保证正常安全运行所不可缺少的配件及附件的全部费用。投标人应列入而未列入其中的费用，均视为已包含在内，风险由投标人承担。)</w:t>
            </w:r>
          </w:p>
        </w:tc>
        <w:tc>
          <w:tcPr>
            <w:tcW w:w="463"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项</w:t>
            </w:r>
          </w:p>
        </w:tc>
        <w:tc>
          <w:tcPr>
            <w:tcW w:w="684" w:type="dxa"/>
            <w:shd w:val="clear" w:color="auto" w:fill="auto"/>
            <w:tcMar>
              <w:top w:w="15" w:type="dxa"/>
              <w:left w:w="15" w:type="dxa"/>
              <w:right w:w="15" w:type="dxa"/>
            </w:tcMar>
            <w:vAlign w:val="center"/>
          </w:tcPr>
          <w:p>
            <w:pPr>
              <w:widowControl/>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r>
    </w:tbl>
    <w:p>
      <w:pPr>
        <w:ind w:firstLine="480"/>
        <w:rPr>
          <w:color w:val="auto"/>
          <w:highlight w:val="none"/>
        </w:rPr>
      </w:pPr>
    </w:p>
    <w:p>
      <w:pPr>
        <w:pStyle w:val="7"/>
        <w:ind w:firstLine="482"/>
        <w:rPr>
          <w:color w:val="auto"/>
          <w:highlight w:val="none"/>
        </w:rPr>
      </w:pPr>
      <w:r>
        <w:rPr>
          <w:rFonts w:hint="eastAsia"/>
          <w:color w:val="auto"/>
          <w:highlight w:val="none"/>
        </w:rPr>
        <w:t>2.五号楼1楼报告厅后维护</w:t>
      </w:r>
    </w:p>
    <w:tbl>
      <w:tblPr>
        <w:tblStyle w:val="40"/>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1305"/>
        <w:gridCol w:w="6330"/>
        <w:gridCol w:w="487"/>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2"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序号</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sz w:val="21"/>
                <w:szCs w:val="21"/>
                <w:highlight w:val="none"/>
              </w:rPr>
              <w:t>名称</w:t>
            </w:r>
          </w:p>
        </w:tc>
        <w:tc>
          <w:tcPr>
            <w:tcW w:w="6330"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参数要求</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单位</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b/>
                <w:color w:val="auto"/>
                <w:sz w:val="21"/>
                <w:szCs w:val="21"/>
                <w:highlight w:val="none"/>
              </w:rPr>
            </w:pPr>
            <w:r>
              <w:rPr>
                <w:rFonts w:hint="eastAsia" w:cs="宋体"/>
                <w:b/>
                <w:color w:val="auto"/>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2"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LED全彩屏</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1.★像素间距≤2.5mm，像素密度：≥160000/㎡</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▲2．屏幕尺寸：≥8.64米*4.8米，因现场尺寸及装修效果要求，长宽误差≤30mm，分辨率：≥3456点*1920点</w:t>
            </w:r>
            <w:r>
              <w:rPr>
                <w:rFonts w:hint="eastAsia" w:cs="宋体"/>
                <w:color w:val="auto"/>
                <w:kern w:val="0"/>
                <w:sz w:val="21"/>
                <w:szCs w:val="21"/>
                <w:highlight w:val="none"/>
              </w:rPr>
              <w:br w:type="textWrapping"/>
            </w:r>
            <w:r>
              <w:rPr>
                <w:rFonts w:hint="eastAsia" w:cs="宋体"/>
                <w:color w:val="auto"/>
                <w:kern w:val="0"/>
                <w:sz w:val="21"/>
                <w:szCs w:val="21"/>
                <w:highlight w:val="none"/>
              </w:rPr>
              <w:t>3.★箱体后维护，整体结构采用压铸铝合金材料，箱体尺寸约480*480*77mm。(可查原厂序列号,序列号与本项目名称应一致.工程实施完成后需配合业主随机抽样发原厂家检测，取得检测报告作为验收依据)</w:t>
            </w:r>
            <w:r>
              <w:rPr>
                <w:rFonts w:hint="eastAsia" w:cs="宋体"/>
                <w:color w:val="auto"/>
                <w:kern w:val="0"/>
                <w:sz w:val="21"/>
                <w:szCs w:val="21"/>
                <w:highlight w:val="none"/>
              </w:rPr>
              <w:br w:type="textWrapping"/>
            </w:r>
            <w:r>
              <w:rPr>
                <w:rFonts w:hint="eastAsia" w:cs="宋体"/>
                <w:color w:val="auto"/>
                <w:kern w:val="0"/>
                <w:sz w:val="21"/>
                <w:szCs w:val="21"/>
                <w:highlight w:val="none"/>
              </w:rPr>
              <w:t>4.采用亿光、东山、国星等同档次2121封装LED灯</w:t>
            </w:r>
            <w:r>
              <w:rPr>
                <w:rFonts w:hint="eastAsia" w:cs="宋体"/>
                <w:color w:val="auto"/>
                <w:kern w:val="0"/>
                <w:sz w:val="21"/>
                <w:szCs w:val="21"/>
                <w:highlight w:val="none"/>
              </w:rPr>
              <w:br w:type="textWrapping"/>
            </w:r>
            <w:r>
              <w:rPr>
                <w:rFonts w:hint="eastAsia" w:cs="宋体"/>
                <w:color w:val="auto"/>
                <w:kern w:val="0"/>
                <w:sz w:val="21"/>
                <w:szCs w:val="21"/>
                <w:highlight w:val="none"/>
              </w:rPr>
              <w:t>5.白平衡亮度≤600cd/㎡（6500K，校正后）</w:t>
            </w:r>
            <w:r>
              <w:rPr>
                <w:rFonts w:hint="eastAsia" w:cs="宋体"/>
                <w:color w:val="auto"/>
                <w:kern w:val="0"/>
                <w:sz w:val="21"/>
                <w:szCs w:val="21"/>
                <w:highlight w:val="none"/>
              </w:rPr>
              <w:br w:type="textWrapping"/>
            </w:r>
            <w:r>
              <w:rPr>
                <w:rFonts w:hint="eastAsia" w:cs="宋体"/>
                <w:color w:val="auto"/>
                <w:kern w:val="0"/>
                <w:sz w:val="21"/>
                <w:szCs w:val="21"/>
                <w:highlight w:val="none"/>
              </w:rPr>
              <w:t>6. ▲对比度≥6000:1</w:t>
            </w:r>
            <w:r>
              <w:rPr>
                <w:rFonts w:hint="eastAsia" w:cs="宋体"/>
                <w:color w:val="auto"/>
                <w:kern w:val="0"/>
                <w:sz w:val="21"/>
                <w:szCs w:val="21"/>
                <w:highlight w:val="none"/>
              </w:rPr>
              <w:br w:type="textWrapping"/>
            </w:r>
            <w:r>
              <w:rPr>
                <w:rFonts w:hint="eastAsia" w:cs="宋体"/>
                <w:color w:val="auto"/>
                <w:kern w:val="0"/>
                <w:sz w:val="21"/>
                <w:szCs w:val="21"/>
                <w:highlight w:val="none"/>
              </w:rPr>
              <w:t>7.视角：水平视角≥160°，垂直视角≥140°</w:t>
            </w:r>
            <w:r>
              <w:rPr>
                <w:rFonts w:hint="eastAsia" w:cs="宋体"/>
                <w:color w:val="auto"/>
                <w:kern w:val="0"/>
                <w:sz w:val="21"/>
                <w:szCs w:val="21"/>
                <w:highlight w:val="none"/>
              </w:rPr>
              <w:br w:type="textWrapping"/>
            </w:r>
            <w:r>
              <w:rPr>
                <w:rFonts w:hint="eastAsia" w:cs="宋体"/>
                <w:color w:val="auto"/>
                <w:kern w:val="0"/>
                <w:sz w:val="21"/>
                <w:szCs w:val="21"/>
                <w:highlight w:val="none"/>
              </w:rPr>
              <w:t>8. ▲刷新频率≥3000HZ</w:t>
            </w:r>
            <w:r>
              <w:rPr>
                <w:rFonts w:hint="eastAsia" w:cs="宋体"/>
                <w:color w:val="auto"/>
                <w:kern w:val="0"/>
                <w:sz w:val="21"/>
                <w:szCs w:val="21"/>
                <w:highlight w:val="none"/>
              </w:rPr>
              <w:br w:type="textWrapping"/>
            </w:r>
            <w:r>
              <w:rPr>
                <w:rFonts w:hint="eastAsia" w:cs="宋体"/>
                <w:color w:val="auto"/>
                <w:kern w:val="0"/>
                <w:sz w:val="21"/>
                <w:szCs w:val="21"/>
                <w:highlight w:val="none"/>
              </w:rPr>
              <w:t>9.模组亮度均匀性≥97%</w:t>
            </w:r>
            <w:r>
              <w:rPr>
                <w:rFonts w:hint="eastAsia" w:cs="宋体"/>
                <w:color w:val="auto"/>
                <w:kern w:val="0"/>
                <w:sz w:val="21"/>
                <w:szCs w:val="21"/>
                <w:highlight w:val="none"/>
              </w:rPr>
              <w:br w:type="textWrapping"/>
            </w:r>
            <w:r>
              <w:rPr>
                <w:rFonts w:hint="eastAsia" w:cs="宋体"/>
                <w:color w:val="auto"/>
                <w:kern w:val="0"/>
                <w:sz w:val="21"/>
                <w:szCs w:val="21"/>
                <w:highlight w:val="none"/>
              </w:rPr>
              <w:t>10.峰值功耗≤600W/㎡，平均功耗≤200W/㎡</w:t>
            </w:r>
            <w:r>
              <w:rPr>
                <w:rFonts w:hint="eastAsia" w:cs="宋体"/>
                <w:color w:val="auto"/>
                <w:kern w:val="0"/>
                <w:sz w:val="21"/>
                <w:szCs w:val="21"/>
                <w:highlight w:val="none"/>
              </w:rPr>
              <w:br w:type="textWrapping"/>
            </w:r>
            <w:r>
              <w:rPr>
                <w:rFonts w:hint="eastAsia" w:cs="宋体"/>
                <w:color w:val="auto"/>
                <w:kern w:val="0"/>
                <w:sz w:val="21"/>
                <w:szCs w:val="21"/>
                <w:highlight w:val="none"/>
              </w:rPr>
              <w:t>11. 色温3000K－10000K可调</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★12双信号备份,信号双环路双链路设计,板板连接无连线.</w:t>
            </w:r>
            <w:r>
              <w:rPr>
                <w:rFonts w:hint="eastAsia" w:cs="宋体"/>
                <w:color w:val="auto"/>
                <w:kern w:val="0"/>
                <w:sz w:val="21"/>
                <w:szCs w:val="21"/>
                <w:highlight w:val="none"/>
              </w:rPr>
              <w:br w:type="textWrapping"/>
            </w:r>
            <w:r>
              <w:rPr>
                <w:rFonts w:hint="eastAsia" w:cs="宋体"/>
                <w:color w:val="auto"/>
                <w:kern w:val="0"/>
                <w:sz w:val="21"/>
                <w:szCs w:val="21"/>
                <w:highlight w:val="none"/>
              </w:rPr>
              <w:t>13.屏体工作噪音﹤1.2m的范围内：噪声≤5.6dB（A）</w:t>
            </w:r>
            <w:r>
              <w:rPr>
                <w:rFonts w:hint="eastAsia" w:cs="宋体"/>
                <w:color w:val="auto"/>
                <w:kern w:val="0"/>
                <w:sz w:val="21"/>
                <w:szCs w:val="21"/>
                <w:highlight w:val="none"/>
                <w:lang w:val="en-US" w:eastAsia="zh-CN"/>
              </w:rPr>
              <w:t>xrl</w:t>
            </w:r>
            <w:r>
              <w:rPr>
                <w:rFonts w:hint="eastAsia" w:cs="宋体"/>
                <w:color w:val="auto"/>
                <w:kern w:val="0"/>
                <w:sz w:val="21"/>
                <w:szCs w:val="21"/>
                <w:highlight w:val="none"/>
              </w:rPr>
              <w:t>（提供具有CNAS认可或国家广电的检验报告为准加盖公章）；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14.提供产品性能测试报告：投标产品需提供第三方专项防尘IP5X测试报告（提供具有CNAS认可的检验报告为准加盖公章）、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15.投标产品需提供PCB和塑料面板阻燃测试报告、符合盐雾10级检测报告（提供具有CNAS认可的检验报告为准加盖公章）；</w:t>
            </w:r>
            <w:r>
              <w:rPr>
                <w:rFonts w:hint="eastAsia" w:cs="宋体"/>
                <w:color w:val="auto"/>
                <w:kern w:val="0"/>
                <w:sz w:val="21"/>
                <w:szCs w:val="21"/>
                <w:highlight w:val="none"/>
              </w:rPr>
              <w:br w:type="textWrapping"/>
            </w:r>
            <w:r>
              <w:rPr>
                <w:rFonts w:hint="eastAsia" w:cs="宋体"/>
                <w:color w:val="auto"/>
                <w:kern w:val="0"/>
                <w:sz w:val="21"/>
                <w:szCs w:val="21"/>
                <w:highlight w:val="none"/>
              </w:rPr>
              <w:t>16.投标产品需具有自检技术,远程监控,自动gamma矫正技术,动态节能、降低功耗,通过高低温工作、存储测试.</w:t>
            </w:r>
            <w:r>
              <w:rPr>
                <w:rFonts w:hint="eastAsia" w:cs="宋体"/>
                <w:color w:val="auto"/>
                <w:kern w:val="0"/>
                <w:sz w:val="21"/>
                <w:szCs w:val="21"/>
                <w:highlight w:val="none"/>
              </w:rPr>
              <w:br w:type="textWrapping"/>
            </w:r>
            <w:r>
              <w:rPr>
                <w:rFonts w:hint="eastAsia" w:cs="宋体"/>
                <w:color w:val="auto"/>
                <w:kern w:val="0"/>
                <w:sz w:val="21"/>
                <w:szCs w:val="21"/>
                <w:highlight w:val="none"/>
              </w:rPr>
              <w:t>17. LED显示屏幕需通过3C认证、有国家级检测机构相关检测报告；提供所有证书复印件）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18. 所投LED显示屏厂家具有低蓝光认证（提供证书复印件）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19．所投LED显示屏需提供第三方权威的产品检测报告；</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20.投标时提供原厂授权和质保函。</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21. ★不接受OEM产品</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22.提供质量检验稳定合格产品的证明</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23.提供符合国家节能低碳技术产品的证明文件</w:t>
            </w:r>
          </w:p>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24.投标时提供不少于1平方的样品</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m</w:t>
            </w:r>
            <w:r>
              <w:rPr>
                <w:rStyle w:val="129"/>
                <w:color w:val="auto"/>
                <w:sz w:val="21"/>
                <w:szCs w:val="21"/>
                <w:highlight w:val="none"/>
              </w:rPr>
              <w:t>2</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2</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控制电脑</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kern w:val="0"/>
                <w:sz w:val="21"/>
                <w:szCs w:val="21"/>
                <w:highlight w:val="none"/>
              </w:rPr>
            </w:pPr>
            <w:r>
              <w:rPr>
                <w:rFonts w:hint="eastAsia" w:cs="宋体"/>
                <w:color w:val="auto"/>
                <w:kern w:val="0"/>
                <w:sz w:val="21"/>
                <w:szCs w:val="21"/>
                <w:highlight w:val="none"/>
              </w:rPr>
              <w:t>1.操作系统：原厂预装正版Win10 操作系统</w:t>
            </w:r>
          </w:p>
          <w:p>
            <w:pPr>
              <w:widowControl/>
              <w:spacing w:line="312"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2.主板：270芯片组或以上</w:t>
            </w:r>
            <w:r>
              <w:rPr>
                <w:rFonts w:hint="eastAsia" w:cs="宋体"/>
                <w:color w:val="auto"/>
                <w:kern w:val="0"/>
                <w:sz w:val="21"/>
                <w:szCs w:val="21"/>
                <w:highlight w:val="none"/>
              </w:rPr>
              <w:br w:type="textWrapping"/>
            </w:r>
            <w:r>
              <w:rPr>
                <w:rFonts w:hint="eastAsia" w:cs="宋体"/>
                <w:color w:val="auto"/>
                <w:kern w:val="0"/>
                <w:sz w:val="21"/>
                <w:szCs w:val="21"/>
                <w:highlight w:val="none"/>
              </w:rPr>
              <w:t>3.处理器：New Core i5-7500(3.4G/6M/4核)</w:t>
            </w:r>
            <w:r>
              <w:rPr>
                <w:rFonts w:hint="eastAsia" w:cs="宋体"/>
                <w:color w:val="auto"/>
                <w:kern w:val="0"/>
                <w:sz w:val="21"/>
                <w:szCs w:val="21"/>
                <w:highlight w:val="none"/>
              </w:rPr>
              <w:br w:type="textWrapping"/>
            </w:r>
            <w:r>
              <w:rPr>
                <w:rFonts w:hint="eastAsia" w:cs="宋体"/>
                <w:color w:val="auto"/>
                <w:kern w:val="0"/>
                <w:sz w:val="21"/>
                <w:szCs w:val="21"/>
                <w:highlight w:val="none"/>
              </w:rPr>
              <w:t>4.内存：&gt;=8G DDR4  2133四条插槽，最大可扩展到64G</w:t>
            </w:r>
            <w:r>
              <w:rPr>
                <w:rFonts w:hint="eastAsia" w:cs="宋体"/>
                <w:color w:val="auto"/>
                <w:kern w:val="0"/>
                <w:sz w:val="21"/>
                <w:szCs w:val="21"/>
                <w:highlight w:val="none"/>
              </w:rPr>
              <w:br w:type="textWrapping"/>
            </w:r>
            <w:r>
              <w:rPr>
                <w:rFonts w:hint="eastAsia" w:cs="宋体"/>
                <w:color w:val="auto"/>
                <w:kern w:val="0"/>
                <w:sz w:val="21"/>
                <w:szCs w:val="21"/>
                <w:highlight w:val="none"/>
              </w:rPr>
              <w:t>5.显示卡：独显 双头HDMI+DVI显卡</w:t>
            </w:r>
            <w:r>
              <w:rPr>
                <w:rFonts w:hint="eastAsia" w:cs="宋体"/>
                <w:color w:val="auto"/>
                <w:kern w:val="0"/>
                <w:sz w:val="21"/>
                <w:szCs w:val="21"/>
                <w:highlight w:val="none"/>
              </w:rPr>
              <w:br w:type="textWrapping"/>
            </w:r>
            <w:r>
              <w:rPr>
                <w:rFonts w:hint="eastAsia" w:cs="宋体"/>
                <w:color w:val="auto"/>
                <w:kern w:val="0"/>
                <w:sz w:val="21"/>
                <w:szCs w:val="21"/>
                <w:highlight w:val="none"/>
              </w:rPr>
              <w:t>6.硬盘：≥256G固态硬盘</w:t>
            </w:r>
            <w:r>
              <w:rPr>
                <w:rFonts w:hint="eastAsia" w:cs="宋体"/>
                <w:color w:val="auto"/>
                <w:kern w:val="0"/>
                <w:sz w:val="21"/>
                <w:szCs w:val="21"/>
                <w:highlight w:val="none"/>
              </w:rPr>
              <w:br w:type="textWrapping"/>
            </w:r>
            <w:r>
              <w:rPr>
                <w:rFonts w:hint="eastAsia" w:cs="宋体"/>
                <w:color w:val="auto"/>
                <w:kern w:val="0"/>
                <w:sz w:val="21"/>
                <w:szCs w:val="21"/>
                <w:highlight w:val="none"/>
              </w:rPr>
              <w:t>7.声卡：主板集成</w:t>
            </w:r>
            <w:r>
              <w:rPr>
                <w:rFonts w:hint="eastAsia" w:cs="宋体"/>
                <w:color w:val="auto"/>
                <w:kern w:val="0"/>
                <w:sz w:val="21"/>
                <w:szCs w:val="21"/>
                <w:highlight w:val="none"/>
              </w:rPr>
              <w:br w:type="textWrapping"/>
            </w:r>
            <w:r>
              <w:rPr>
                <w:rFonts w:hint="eastAsia" w:cs="宋体"/>
                <w:color w:val="auto"/>
                <w:kern w:val="0"/>
                <w:sz w:val="21"/>
                <w:szCs w:val="21"/>
                <w:highlight w:val="none"/>
              </w:rPr>
              <w:t>8.网卡：主板集成,千兆网卡</w:t>
            </w:r>
            <w:r>
              <w:rPr>
                <w:rFonts w:hint="eastAsia" w:cs="宋体"/>
                <w:color w:val="auto"/>
                <w:kern w:val="0"/>
                <w:sz w:val="21"/>
                <w:szCs w:val="21"/>
                <w:highlight w:val="none"/>
              </w:rPr>
              <w:br w:type="textWrapping"/>
            </w:r>
            <w:r>
              <w:rPr>
                <w:rFonts w:hint="eastAsia" w:cs="宋体"/>
                <w:color w:val="auto"/>
                <w:kern w:val="0"/>
                <w:sz w:val="21"/>
                <w:szCs w:val="21"/>
                <w:highlight w:val="none"/>
              </w:rPr>
              <w:t>9.端口：前置：2 个 USB 3.0 端口；1 个麦克风插孔；1 个耳机插孔；后置：2 个 USB 2.0 端口；4 个 USB 3.0 端口；1 个串口；1；； 1 个 VGA 接口；1 个DP端口；1 个音频线路输入端口；1 个音频线路输出端口；1 个 RJ-45 接口；</w:t>
            </w:r>
            <w:r>
              <w:rPr>
                <w:rFonts w:hint="eastAsia" w:cs="宋体"/>
                <w:color w:val="auto"/>
                <w:kern w:val="0"/>
                <w:sz w:val="21"/>
                <w:szCs w:val="21"/>
                <w:highlight w:val="none"/>
              </w:rPr>
              <w:br w:type="textWrapping"/>
            </w:r>
            <w:r>
              <w:rPr>
                <w:rFonts w:hint="eastAsia" w:cs="宋体"/>
                <w:color w:val="auto"/>
                <w:kern w:val="0"/>
                <w:sz w:val="21"/>
                <w:szCs w:val="21"/>
                <w:highlight w:val="none"/>
              </w:rPr>
              <w:t>10.插槽：1 个全高式PCIe x16插槽；1 个全高式PCIe x4插槽；2个全高式PCIe x1插槽</w:t>
            </w:r>
            <w:r>
              <w:rPr>
                <w:rFonts w:hint="eastAsia" w:cs="宋体"/>
                <w:color w:val="auto"/>
                <w:kern w:val="0"/>
                <w:sz w:val="21"/>
                <w:szCs w:val="21"/>
                <w:highlight w:val="none"/>
              </w:rPr>
              <w:br w:type="textWrapping"/>
            </w:r>
            <w:r>
              <w:rPr>
                <w:rFonts w:hint="eastAsia" w:cs="宋体"/>
                <w:color w:val="auto"/>
                <w:kern w:val="0"/>
                <w:sz w:val="21"/>
                <w:szCs w:val="21"/>
                <w:highlight w:val="none"/>
              </w:rPr>
              <w:t>11.键盘/鼠标：光电键盘鼠标</w:t>
            </w:r>
          </w:p>
          <w:p>
            <w:pPr>
              <w:widowControl/>
              <w:spacing w:line="312" w:lineRule="auto"/>
              <w:ind w:firstLine="0" w:firstLineChars="0"/>
              <w:jc w:val="left"/>
              <w:textAlignment w:val="center"/>
              <w:rPr>
                <w:rFonts w:cs="宋体"/>
                <w:color w:val="auto"/>
                <w:kern w:val="0"/>
                <w:sz w:val="21"/>
                <w:szCs w:val="21"/>
                <w:highlight w:val="none"/>
              </w:rPr>
            </w:pPr>
            <w:r>
              <w:rPr>
                <w:rFonts w:hint="eastAsia" w:cs="宋体"/>
                <w:color w:val="auto"/>
                <w:kern w:val="0"/>
                <w:sz w:val="21"/>
                <w:szCs w:val="21"/>
                <w:highlight w:val="none"/>
              </w:rPr>
              <w:t>12.24寸显示器</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8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3</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视频拼接器</w:t>
            </w:r>
          </w:p>
        </w:tc>
        <w:tc>
          <w:tcPr>
            <w:tcW w:w="6330" w:type="dxa"/>
            <w:shd w:val="clear" w:color="auto" w:fill="auto"/>
            <w:tcMar>
              <w:top w:w="15" w:type="dxa"/>
              <w:left w:w="15" w:type="dxa"/>
              <w:right w:w="15" w:type="dxa"/>
            </w:tcMar>
            <w:vAlign w:val="center"/>
          </w:tcPr>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8路HDMI输入，8路DVI输出；</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设备必须为模块化设计的一体化设备，不能采用满足功能条件而采用多种设备组合形式用于投标。</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采用纯硬件结构，机箱采用EMI结构设计，有效防磁，防信号干扰，无PC操作系统，不会感染病毒致系统瘫痪，通电5秒就可以工作，可以硬开关机。</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可同时上RGB/DVI信号和高清视频信号。可以播放多路实时动态高清视频图像，无停顿，拖尾现象。</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能够支持调整每个单屏输出的色彩变化，包括亮度，对比度，亮暗平衡的调整。</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画面RGB信号多层图层叠加，单屏最多可扩展为24层RGB信号叠加。</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支持1920*1080输入，支持数字DVI高清信号输入、输出。</w:t>
            </w:r>
            <w:r>
              <w:rPr>
                <w:rFonts w:hint="eastAsia" w:cs="宋体"/>
                <w:color w:val="auto"/>
                <w:kern w:val="0"/>
                <w:sz w:val="21"/>
                <w:szCs w:val="21"/>
                <w:highlight w:val="none"/>
              </w:rPr>
              <w:br w:type="textWrapping"/>
            </w:r>
            <w:r>
              <w:rPr>
                <w:rFonts w:hint="eastAsia" w:cs="宋体"/>
                <w:color w:val="auto"/>
                <w:kern w:val="0"/>
                <w:sz w:val="21"/>
                <w:szCs w:val="21"/>
                <w:highlight w:val="none"/>
              </w:rPr>
              <w:t>支持输出从640x480到1920x1080标准分辨率的图像。支持每像素32位色彩深度。</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▲可实现图像信号多窗口显示、单屏显示不同的画面、整屏显示单一信号大画面、窗口任意移动、任意缩放、信号任意叠加、图像信号自动识别、预存场景调用、大屏画面后台单屏回显监控等功能。</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采用模块化设计思路，输入信号、输出信号、电路、光学处理等通过不同的模块转换到另外的电路上，能避免某一信号出现故障而替换整块电路板的弊端，降低维护成本。</w:t>
            </w:r>
          </w:p>
          <w:p>
            <w:pPr>
              <w:widowControl/>
              <w:numPr>
                <w:ilvl w:val="0"/>
                <w:numId w:val="3"/>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提供产品检测报告和3C证书</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LED控制器</w:t>
            </w:r>
          </w:p>
        </w:tc>
        <w:tc>
          <w:tcPr>
            <w:tcW w:w="6330" w:type="dxa"/>
            <w:shd w:val="clear" w:color="auto" w:fill="auto"/>
            <w:tcMar>
              <w:top w:w="15" w:type="dxa"/>
              <w:left w:w="15" w:type="dxa"/>
              <w:right w:w="15" w:type="dxa"/>
            </w:tcMar>
            <w:vAlign w:val="center"/>
          </w:tcPr>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配合LED显示屏使用，可实现任意尺寸大屏无缝拼接显示。≥4个千兆网口输出，单个网口≥65万个像素点；带载分辨率：≥2048×1152@60Hz或1920×1200@60Hz；</w:t>
            </w:r>
          </w:p>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DVI、DP、HDMI、VGA多信号输入，支持信源自动检测，无需手动切换信源；支持屏幕亮度自动调整,自适应环境光亮度；</w:t>
            </w:r>
          </w:p>
          <w:p>
            <w:pPr>
              <w:widowControl/>
              <w:numPr>
                <w:ilvl w:val="0"/>
                <w:numId w:val="4"/>
              </w:numPr>
              <w:spacing w:line="312" w:lineRule="auto"/>
              <w:ind w:firstLineChars="0"/>
              <w:jc w:val="left"/>
              <w:textAlignment w:val="center"/>
              <w:rPr>
                <w:rFonts w:cs="宋体"/>
                <w:color w:val="auto"/>
                <w:sz w:val="21"/>
                <w:szCs w:val="21"/>
                <w:highlight w:val="none"/>
              </w:rPr>
            </w:pPr>
            <w:r>
              <w:rPr>
                <w:rFonts w:hint="eastAsia" w:cs="宋体"/>
                <w:color w:val="auto"/>
                <w:kern w:val="0"/>
                <w:sz w:val="21"/>
                <w:szCs w:val="21"/>
                <w:highlight w:val="none"/>
              </w:rPr>
              <w:t>图像色温调节，标准、冷、暖三色可调；</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5</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网络交换机</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24口千兆交换机</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台</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6</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配电系统</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60KW配电系统采用三相五线制供电，配电系统保证三相平衡，同时还应配备过流、短路、断路、过压、欠压、温度过高等保护措施，以及相应的故障指示装置，具有PLC远程控制功能。▲（提供3C证书和PLC软件著作权。）</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7</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系统软件</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屏控软件</w:t>
            </w:r>
          </w:p>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▲并提供控制软件著作权证书。</w:t>
            </w:r>
          </w:p>
          <w:p>
            <w:pPr>
              <w:widowControl/>
              <w:spacing w:line="312" w:lineRule="auto"/>
              <w:ind w:firstLine="0" w:firstLineChars="0"/>
              <w:jc w:val="left"/>
              <w:textAlignment w:val="center"/>
              <w:rPr>
                <w:rFonts w:cs="宋体"/>
                <w:color w:val="auto"/>
                <w:sz w:val="21"/>
                <w:szCs w:val="21"/>
                <w:highlight w:val="none"/>
              </w:rPr>
            </w:pPr>
            <w:r>
              <w:rPr>
                <w:rFonts w:hint="eastAsia" w:cs="宋体"/>
                <w:color w:val="auto"/>
                <w:sz w:val="21"/>
                <w:szCs w:val="21"/>
                <w:highlight w:val="none"/>
              </w:rPr>
              <w:t>控制软件具有亮度/灰度/色调/对比度/系统环境参数的调节设定功能。提供软件详细方案。</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套</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9"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sz w:val="21"/>
                <w:szCs w:val="21"/>
                <w:highlight w:val="none"/>
              </w:rPr>
              <w:t>8</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机柜</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textAlignment w:val="center"/>
              <w:rPr>
                <w:rFonts w:cs="宋体"/>
                <w:color w:val="auto"/>
                <w:sz w:val="21"/>
                <w:szCs w:val="21"/>
                <w:highlight w:val="none"/>
              </w:rPr>
            </w:pPr>
            <w:r>
              <w:rPr>
                <w:rFonts w:hint="eastAsia" w:cs="宋体"/>
                <w:color w:val="auto"/>
                <w:kern w:val="0"/>
                <w:sz w:val="21"/>
                <w:szCs w:val="21"/>
                <w:highlight w:val="none"/>
              </w:rPr>
              <w:t>图腾 42U</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个</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9</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结构</w:t>
            </w:r>
          </w:p>
        </w:tc>
        <w:tc>
          <w:tcPr>
            <w:tcW w:w="6330" w:type="dxa"/>
            <w:shd w:val="clear" w:color="auto" w:fill="auto"/>
            <w:tcMar>
              <w:top w:w="15" w:type="dxa"/>
              <w:left w:w="15" w:type="dxa"/>
              <w:right w:w="15" w:type="dxa"/>
            </w:tcMar>
            <w:vAlign w:val="center"/>
          </w:tcPr>
          <w:p>
            <w:pPr>
              <w:widowControl/>
              <w:spacing w:line="312" w:lineRule="auto"/>
              <w:ind w:firstLine="0" w:firstLineChars="0"/>
              <w:jc w:val="left"/>
              <w:rPr>
                <w:rFonts w:cs="宋体"/>
                <w:color w:val="auto"/>
                <w:sz w:val="21"/>
                <w:szCs w:val="21"/>
                <w:highlight w:val="none"/>
              </w:rPr>
            </w:pPr>
            <w:r>
              <w:rPr>
                <w:rFonts w:hint="eastAsia" w:cs="宋体"/>
                <w:color w:val="auto"/>
                <w:kern w:val="0"/>
                <w:sz w:val="21"/>
                <w:szCs w:val="21"/>
                <w:highlight w:val="none"/>
              </w:rPr>
              <w:t>与屏体相关的LED钢支架设、制作及安装。</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41.472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10</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线缆</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kern w:val="0"/>
                <w:sz w:val="21"/>
                <w:szCs w:val="21"/>
                <w:highlight w:val="none"/>
              </w:rPr>
              <w:t>大屏专用电缆</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11</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安装调试</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12</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培训、技术服务</w:t>
            </w:r>
          </w:p>
        </w:tc>
        <w:tc>
          <w:tcPr>
            <w:tcW w:w="6330" w:type="dxa"/>
            <w:shd w:val="clear" w:color="auto" w:fill="auto"/>
            <w:tcMar>
              <w:top w:w="15" w:type="dxa"/>
              <w:left w:w="15" w:type="dxa"/>
              <w:right w:w="15" w:type="dxa"/>
            </w:tcMar>
            <w:vAlign w:val="center"/>
          </w:tcPr>
          <w:p>
            <w:pPr>
              <w:spacing w:line="312" w:lineRule="auto"/>
              <w:ind w:firstLine="0" w:firstLineChars="0"/>
              <w:jc w:val="left"/>
              <w:rPr>
                <w:rFonts w:cs="宋体"/>
                <w:color w:val="auto"/>
                <w:sz w:val="21"/>
                <w:szCs w:val="21"/>
                <w:highlight w:val="none"/>
              </w:rPr>
            </w:pPr>
            <w:r>
              <w:rPr>
                <w:rFonts w:hint="eastAsia" w:cs="宋体"/>
                <w:color w:val="auto"/>
                <w:sz w:val="21"/>
                <w:szCs w:val="21"/>
                <w:highlight w:val="none"/>
              </w:rPr>
              <w:t>配套</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sz w:val="21"/>
                <w:szCs w:val="21"/>
                <w:highlight w:val="none"/>
              </w:rPr>
            </w:pPr>
            <w:r>
              <w:rPr>
                <w:rFonts w:hint="eastAsia" w:cs="宋体"/>
                <w:color w:val="auto"/>
                <w:kern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32"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13</w:t>
            </w:r>
          </w:p>
        </w:tc>
        <w:tc>
          <w:tcPr>
            <w:tcW w:w="130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取电和装修</w:t>
            </w:r>
          </w:p>
        </w:tc>
        <w:tc>
          <w:tcPr>
            <w:tcW w:w="6330" w:type="dxa"/>
            <w:shd w:val="clear" w:color="auto" w:fill="auto"/>
            <w:tcMar>
              <w:top w:w="15" w:type="dxa"/>
              <w:left w:w="15" w:type="dxa"/>
              <w:right w:w="15" w:type="dxa"/>
            </w:tcMar>
            <w:vAlign w:val="center"/>
          </w:tcPr>
          <w:p>
            <w:pPr>
              <w:spacing w:line="312" w:lineRule="auto"/>
              <w:ind w:firstLine="0" w:firstLineChars="0"/>
              <w:rPr>
                <w:rFonts w:cs="宋体"/>
                <w:color w:val="auto"/>
                <w:sz w:val="21"/>
                <w:szCs w:val="21"/>
                <w:highlight w:val="none"/>
              </w:rPr>
            </w:pPr>
            <w:r>
              <w:rPr>
                <w:rFonts w:hint="eastAsia" w:cs="宋体"/>
                <w:color w:val="auto"/>
                <w:kern w:val="0"/>
                <w:sz w:val="21"/>
                <w:szCs w:val="21"/>
                <w:highlight w:val="none"/>
              </w:rPr>
              <w:t>★</w:t>
            </w:r>
            <w:r>
              <w:rPr>
                <w:rFonts w:hint="eastAsia" w:cs="宋体"/>
                <w:color w:val="auto"/>
                <w:sz w:val="21"/>
                <w:szCs w:val="21"/>
                <w:highlight w:val="none"/>
              </w:rPr>
              <w:t>按学校基建和后勤管理处要求进行取电.安装处拆除和装修,装修风格按学校基建和后勤的标准为准(所有费用由投标人协调和承担,本项报价不仅应包括招标文件上所标明的，还应包括任何未明确标出的，以及完成全套系统工程并保证正常安全运行所不可缺少的配件及附件的全部费用。投标人应列入而未列入其中的费用，均视为已包含在内，风险由投标人承担。)</w:t>
            </w:r>
          </w:p>
        </w:tc>
        <w:tc>
          <w:tcPr>
            <w:tcW w:w="487"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项</w:t>
            </w:r>
          </w:p>
        </w:tc>
        <w:tc>
          <w:tcPr>
            <w:tcW w:w="675" w:type="dxa"/>
            <w:shd w:val="clear" w:color="auto" w:fill="auto"/>
            <w:tcMar>
              <w:top w:w="15" w:type="dxa"/>
              <w:left w:w="15" w:type="dxa"/>
              <w:right w:w="15" w:type="dxa"/>
            </w:tcMar>
            <w:vAlign w:val="center"/>
          </w:tcPr>
          <w:p>
            <w:pPr>
              <w:widowControl/>
              <w:spacing w:line="312" w:lineRule="auto"/>
              <w:ind w:firstLine="0" w:firstLineChars="0"/>
              <w:jc w:val="center"/>
              <w:textAlignment w:val="center"/>
              <w:rPr>
                <w:rFonts w:cs="宋体"/>
                <w:color w:val="auto"/>
                <w:kern w:val="0"/>
                <w:sz w:val="21"/>
                <w:szCs w:val="21"/>
                <w:highlight w:val="none"/>
              </w:rPr>
            </w:pPr>
            <w:r>
              <w:rPr>
                <w:rFonts w:hint="eastAsia" w:cs="宋体"/>
                <w:color w:val="auto"/>
                <w:kern w:val="0"/>
                <w:sz w:val="21"/>
                <w:szCs w:val="21"/>
                <w:highlight w:val="none"/>
              </w:rPr>
              <w:t>1</w:t>
            </w:r>
          </w:p>
        </w:tc>
      </w:tr>
    </w:tbl>
    <w:p>
      <w:pPr>
        <w:ind w:firstLine="0" w:firstLineChars="0"/>
        <w:rPr>
          <w:color w:val="auto"/>
          <w:highlight w:val="none"/>
        </w:rPr>
      </w:pPr>
    </w:p>
    <w:p>
      <w:pPr>
        <w:pStyle w:val="5"/>
        <w:rPr>
          <w:rFonts w:ascii="宋体" w:hAnsi="宋体" w:cs="宋体"/>
          <w:color w:val="auto"/>
          <w:highlight w:val="none"/>
        </w:rPr>
      </w:pPr>
      <w:bookmarkStart w:id="17" w:name="_Toc3325"/>
      <w:r>
        <w:rPr>
          <w:rFonts w:hint="eastAsia" w:ascii="宋体" w:hAnsi="宋体" w:cs="宋体"/>
          <w:color w:val="auto"/>
          <w:highlight w:val="none"/>
        </w:rPr>
        <w:t>二、商务</w:t>
      </w:r>
      <w:bookmarkEnd w:id="15"/>
      <w:r>
        <w:rPr>
          <w:rFonts w:hint="eastAsia" w:ascii="宋体" w:hAnsi="宋体" w:cs="宋体"/>
          <w:color w:val="auto"/>
          <w:highlight w:val="none"/>
        </w:rPr>
        <w:t>要求</w:t>
      </w:r>
      <w:bookmarkEnd w:id="16"/>
      <w:bookmarkEnd w:id="17"/>
    </w:p>
    <w:p>
      <w:pPr>
        <w:pStyle w:val="6"/>
        <w:rPr>
          <w:rFonts w:cs="宋体"/>
          <w:color w:val="auto"/>
          <w:highlight w:val="none"/>
        </w:rPr>
      </w:pPr>
      <w:bookmarkStart w:id="18" w:name="_Toc3405"/>
      <w:bookmarkStart w:id="19" w:name="_Toc501022792"/>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highlight w:val="none"/>
        </w:rPr>
        <w:t>合同签订后30日历天内完成供货、施工、安装、调试。</w:t>
      </w:r>
    </w:p>
    <w:p>
      <w:pPr>
        <w:pStyle w:val="6"/>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浙江机电职业技术学院滨江校区。</w:t>
      </w:r>
    </w:p>
    <w:p>
      <w:pPr>
        <w:pStyle w:val="6"/>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质保期三年，自验收合格之日起计算。</w:t>
      </w:r>
    </w:p>
    <w:p>
      <w:pPr>
        <w:pStyle w:val="6"/>
        <w:rPr>
          <w:rFonts w:cs="宋体"/>
          <w:color w:val="auto"/>
          <w:highlight w:val="none"/>
        </w:rPr>
      </w:pPr>
      <w:r>
        <w:rPr>
          <w:rFonts w:hint="eastAsia" w:cs="宋体"/>
          <w:color w:val="auto"/>
          <w:highlight w:val="none"/>
        </w:rPr>
        <w:t>（四）履约保证金</w:t>
      </w:r>
    </w:p>
    <w:p>
      <w:pPr>
        <w:ind w:firstLine="480"/>
        <w:rPr>
          <w:rFonts w:hint="eastAsia" w:cs="宋体"/>
          <w:color w:val="auto"/>
          <w:szCs w:val="32"/>
          <w:highlight w:val="none"/>
        </w:rPr>
      </w:pPr>
      <w:r>
        <w:rPr>
          <w:rFonts w:hint="eastAsia" w:cs="宋体"/>
          <w:color w:val="auto"/>
          <w:szCs w:val="32"/>
          <w:highlight w:val="none"/>
        </w:rPr>
        <w:t>合同签订后</w:t>
      </w:r>
      <w:r>
        <w:rPr>
          <w:rFonts w:hint="eastAsia" w:cs="宋体"/>
          <w:color w:val="auto"/>
          <w:szCs w:val="32"/>
          <w:highlight w:val="none"/>
          <w:lang w:val="en-US" w:eastAsia="zh-CN"/>
        </w:rPr>
        <w:t>7天内</w:t>
      </w:r>
      <w:r>
        <w:rPr>
          <w:rFonts w:hint="eastAsia" w:cs="宋体"/>
          <w:color w:val="auto"/>
          <w:szCs w:val="32"/>
          <w:highlight w:val="none"/>
        </w:rPr>
        <w:t>向</w:t>
      </w:r>
      <w:r>
        <w:rPr>
          <w:rFonts w:hint="eastAsia" w:cs="宋体"/>
          <w:color w:val="auto"/>
          <w:szCs w:val="32"/>
          <w:highlight w:val="none"/>
          <w:lang w:val="en-US" w:eastAsia="zh-CN"/>
        </w:rPr>
        <w:t>采购人交纳</w:t>
      </w:r>
      <w:r>
        <w:rPr>
          <w:rFonts w:hint="eastAsia" w:cs="宋体"/>
          <w:color w:val="auto"/>
          <w:szCs w:val="32"/>
          <w:highlight w:val="none"/>
        </w:rPr>
        <w:t>合同总</w:t>
      </w:r>
      <w:r>
        <w:rPr>
          <w:rFonts w:hint="eastAsia" w:cs="宋体"/>
          <w:color w:val="auto"/>
          <w:szCs w:val="32"/>
          <w:highlight w:val="none"/>
          <w:lang w:val="en-US" w:eastAsia="zh-CN"/>
        </w:rPr>
        <w:t>金额</w:t>
      </w:r>
      <w:r>
        <w:rPr>
          <w:rFonts w:hint="eastAsia" w:cs="宋体"/>
          <w:color w:val="auto"/>
          <w:szCs w:val="32"/>
          <w:highlight w:val="none"/>
        </w:rPr>
        <w:t>5% 的履约保证金，履约保证金在交货验收后自动转为质量保证金。质量保证金自货物交付验收合格后12个月内无质量问题索赔和售后服务问题，无息退回。</w:t>
      </w:r>
    </w:p>
    <w:p>
      <w:pPr>
        <w:ind w:firstLine="480"/>
        <w:rPr>
          <w:rFonts w:cs="宋体"/>
          <w:color w:val="auto"/>
          <w:szCs w:val="32"/>
          <w:highlight w:val="none"/>
        </w:rPr>
      </w:pPr>
      <w:r>
        <w:rPr>
          <w:rFonts w:hint="eastAsia" w:cs="宋体"/>
          <w:color w:val="auto"/>
          <w:szCs w:val="32"/>
          <w:highlight w:val="none"/>
        </w:rPr>
        <w:t>履约保证金的交付方式：</w:t>
      </w:r>
      <w:r>
        <w:rPr>
          <w:rFonts w:hint="eastAsia" w:cs="宋体"/>
          <w:color w:val="auto"/>
          <w:szCs w:val="32"/>
          <w:highlight w:val="none"/>
          <w:lang w:val="en-US" w:eastAsia="zh-CN"/>
        </w:rPr>
        <w:t>转账、</w:t>
      </w:r>
      <w:r>
        <w:rPr>
          <w:rFonts w:hint="eastAsia" w:cs="宋体"/>
          <w:color w:val="auto"/>
          <w:szCs w:val="32"/>
          <w:highlight w:val="none"/>
        </w:rPr>
        <w:t>支票、汇票、保函等非现金方式。</w:t>
      </w:r>
    </w:p>
    <w:p>
      <w:pPr>
        <w:pStyle w:val="6"/>
        <w:rPr>
          <w:rFonts w:cs="宋体"/>
          <w:color w:val="auto"/>
          <w:highlight w:val="none"/>
        </w:rPr>
      </w:pPr>
      <w:r>
        <w:rPr>
          <w:rFonts w:hint="eastAsia" w:cs="宋体"/>
          <w:color w:val="auto"/>
          <w:highlight w:val="none"/>
        </w:rPr>
        <w:t>（五）项目验收</w:t>
      </w:r>
    </w:p>
    <w:p>
      <w:pPr>
        <w:ind w:firstLine="480"/>
        <w:rPr>
          <w:color w:val="auto"/>
          <w:highlight w:val="none"/>
        </w:rPr>
      </w:pPr>
      <w:r>
        <w:rPr>
          <w:rFonts w:hint="eastAsia" w:cs="宋体"/>
          <w:color w:val="auto"/>
          <w:highlight w:val="none"/>
        </w:rPr>
        <w:t>供货方应提供货物的有效检验文件及供货清单，经采购方认可后，与合同的货物指标、封存样品一起作为货物验收标准。采购方对货物验收合格后，双方共同签署验收合格证书。验收中发现货物达不到验收标准或合同规定的货物指标，供货方必须更换货物，更换的货物的指标、质量标准必须与合同规定相符或优于合同规定标准，并且赔偿由此给用户造成的损失，直到验收合格为止。具体按浙江机电职业技术学院标准验收和确认</w:t>
      </w:r>
      <w:r>
        <w:rPr>
          <w:rFonts w:hint="eastAsia"/>
          <w:color w:val="auto"/>
          <w:highlight w:val="none"/>
        </w:rPr>
        <w:t>。</w:t>
      </w:r>
    </w:p>
    <w:p>
      <w:pPr>
        <w:pStyle w:val="6"/>
        <w:rPr>
          <w:rFonts w:cs="宋体"/>
          <w:color w:val="auto"/>
          <w:highlight w:val="none"/>
        </w:rPr>
      </w:pPr>
      <w:r>
        <w:rPr>
          <w:rFonts w:hint="eastAsia" w:cs="宋体"/>
          <w:color w:val="auto"/>
          <w:highlight w:val="none"/>
        </w:rPr>
        <w:t>（六）售后服务保障要求</w:t>
      </w:r>
    </w:p>
    <w:p>
      <w:pPr>
        <w:ind w:firstLine="480"/>
        <w:rPr>
          <w:rFonts w:cs="宋体"/>
          <w:color w:val="auto"/>
          <w:highlight w:val="none"/>
        </w:rPr>
      </w:pPr>
      <w:r>
        <w:rPr>
          <w:rFonts w:hint="eastAsia" w:cs="宋体"/>
          <w:color w:val="auto"/>
          <w:highlight w:val="none"/>
        </w:rPr>
        <w:t>1.货物（设备/软件）验收合格后提供3年质保，质保期内因不能排除的故障而影响工作的情况每发生一次，质保期相应延长60天，质保期内因设备本身缺陷造成各种故障应由卖方免费技术服务和维修，若技术需求中有质保要求，以技术需求为准。</w:t>
      </w:r>
    </w:p>
    <w:p>
      <w:pPr>
        <w:ind w:firstLine="480"/>
        <w:rPr>
          <w:rFonts w:cs="宋体"/>
          <w:color w:val="auto"/>
          <w:highlight w:val="none"/>
        </w:rPr>
      </w:pPr>
      <w:r>
        <w:rPr>
          <w:rFonts w:hint="eastAsia" w:cs="宋体"/>
          <w:color w:val="auto"/>
          <w:highlight w:val="none"/>
        </w:rPr>
        <w:t>2.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pPr>
        <w:ind w:firstLine="480"/>
        <w:rPr>
          <w:rFonts w:cs="宋体"/>
          <w:color w:val="auto"/>
          <w:highlight w:val="none"/>
        </w:rPr>
      </w:pPr>
      <w:r>
        <w:rPr>
          <w:rFonts w:hint="eastAsia" w:cs="宋体"/>
          <w:color w:val="auto"/>
          <w:highlight w:val="none"/>
        </w:rPr>
        <w:t>3.货物（设备/软件）发生故障接到用户维修要求后，投标人应承诺在1小时内响应并提出解决方案， 2 小时内到现场进行故障处理，维修过程中所需材料在接到通知后应及时提供，最多不超过12小时。若（设备）短期无法修复，应提供相应备件并负责安装调试。</w:t>
      </w:r>
    </w:p>
    <w:p>
      <w:pPr>
        <w:ind w:firstLine="480"/>
        <w:rPr>
          <w:rFonts w:cs="宋体"/>
          <w:color w:val="auto"/>
          <w:highlight w:val="none"/>
        </w:rPr>
      </w:pPr>
      <w:r>
        <w:rPr>
          <w:rFonts w:hint="eastAsia" w:cs="宋体"/>
          <w:color w:val="auto"/>
          <w:highlight w:val="none"/>
        </w:rPr>
        <w:t>4.软件升级售后服务：软件终身免费升级服务；需提供软件厂家授权、售后承诺。</w:t>
      </w:r>
    </w:p>
    <w:p>
      <w:pPr>
        <w:ind w:firstLine="480"/>
        <w:rPr>
          <w:rFonts w:cs="宋体"/>
          <w:color w:val="auto"/>
          <w:highlight w:val="none"/>
        </w:rPr>
      </w:pPr>
      <w:r>
        <w:rPr>
          <w:rFonts w:hint="eastAsia" w:cs="宋体"/>
          <w:color w:val="auto"/>
          <w:highlight w:val="none"/>
        </w:rPr>
        <w:t>5.其它：提供原厂商售后服务承诺函原件等。</w:t>
      </w:r>
    </w:p>
    <w:p>
      <w:pPr>
        <w:pStyle w:val="6"/>
        <w:rPr>
          <w:rFonts w:cs="宋体"/>
          <w:color w:val="auto"/>
          <w:highlight w:val="none"/>
        </w:rPr>
      </w:pPr>
      <w:r>
        <w:rPr>
          <w:rFonts w:hint="eastAsia" w:cs="宋体"/>
          <w:color w:val="auto"/>
          <w:highlight w:val="none"/>
        </w:rPr>
        <w:t>（七）付款方式</w:t>
      </w:r>
      <w:bookmarkEnd w:id="18"/>
      <w:bookmarkEnd w:id="19"/>
    </w:p>
    <w:p>
      <w:pPr>
        <w:ind w:firstLine="480"/>
        <w:rPr>
          <w:rFonts w:cs="宋体"/>
          <w:color w:val="auto"/>
          <w:highlight w:val="none"/>
        </w:rPr>
      </w:pPr>
      <w:bookmarkStart w:id="20" w:name="_Toc23976"/>
      <w:r>
        <w:rPr>
          <w:rFonts w:hint="eastAsia" w:cs="宋体"/>
          <w:color w:val="auto"/>
          <w:highlight w:val="none"/>
        </w:rPr>
        <w:t>货物自乙方送达甲方指定地点，安装调试摆放完毕并经甲方验收合格和正常运行（使用）后的二十个工作日内，甲方收到乙方开具的正规发票后向乙方全额支付合同总额。</w:t>
      </w:r>
    </w:p>
    <w:p>
      <w:pPr>
        <w:pStyle w:val="6"/>
        <w:rPr>
          <w:rFonts w:cs="宋体"/>
          <w:color w:val="auto"/>
          <w:highlight w:val="none"/>
        </w:rPr>
      </w:pPr>
      <w:r>
        <w:rPr>
          <w:rFonts w:hint="eastAsia" w:cs="宋体"/>
          <w:color w:val="auto"/>
          <w:highlight w:val="none"/>
        </w:rPr>
        <w:t>（八）合同履行</w:t>
      </w:r>
      <w:bookmarkEnd w:id="20"/>
    </w:p>
    <w:p>
      <w:pPr>
        <w:ind w:firstLine="480"/>
        <w:rPr>
          <w:rFonts w:cs="宋体"/>
          <w:color w:val="auto"/>
          <w:szCs w:val="22"/>
          <w:highlight w:val="none"/>
        </w:rPr>
        <w:sectPr>
          <w:pgSz w:w="11907" w:h="16840"/>
          <w:pgMar w:top="1247" w:right="1304" w:bottom="1021" w:left="1304" w:header="720" w:footer="720" w:gutter="0"/>
          <w:pgNumType w:fmt="decimal"/>
          <w:cols w:space="720" w:num="1"/>
          <w:docGrid w:linePitch="326" w:charSpace="0"/>
        </w:sectPr>
      </w:pPr>
      <w:r>
        <w:rPr>
          <w:rFonts w:hint="eastAsia" w:cs="宋体"/>
          <w:color w:val="auto"/>
          <w:highlight w:val="none"/>
        </w:rPr>
        <w:t>必须由投标主体履行合同。</w:t>
      </w:r>
    </w:p>
    <w:bookmarkEnd w:id="14"/>
    <w:p>
      <w:pPr>
        <w:pStyle w:val="4"/>
        <w:rPr>
          <w:rFonts w:cs="宋体"/>
          <w:color w:val="auto"/>
          <w:highlight w:val="none"/>
        </w:rPr>
      </w:pPr>
      <w:bookmarkStart w:id="21" w:name="_Toc19339"/>
      <w:r>
        <w:rPr>
          <w:rFonts w:hint="eastAsia" w:cs="宋体"/>
          <w:color w:val="auto"/>
          <w:highlight w:val="none"/>
        </w:rPr>
        <w:t>第三章 投标人须知</w:t>
      </w:r>
      <w:bookmarkEnd w:id="21"/>
    </w:p>
    <w:p>
      <w:pPr>
        <w:pStyle w:val="5"/>
        <w:jc w:val="center"/>
        <w:rPr>
          <w:rFonts w:ascii="宋体" w:hAnsi="宋体" w:cs="宋体"/>
          <w:color w:val="auto"/>
          <w:highlight w:val="none"/>
        </w:rPr>
      </w:pPr>
      <w:bookmarkStart w:id="22" w:name="_Toc452457413"/>
      <w:bookmarkStart w:id="23" w:name="_Toc2290"/>
      <w:bookmarkStart w:id="24" w:name="_Toc30462"/>
      <w:r>
        <w:rPr>
          <w:rFonts w:hint="eastAsia" w:ascii="宋体" w:hAnsi="宋体" w:cs="宋体"/>
          <w:color w:val="auto"/>
          <w:highlight w:val="none"/>
        </w:rPr>
        <w:t>前附表</w:t>
      </w:r>
      <w:bookmarkEnd w:id="22"/>
      <w:bookmarkEnd w:id="23"/>
      <w:bookmarkEnd w:id="24"/>
    </w:p>
    <w:tbl>
      <w:tblPr>
        <w:tblStyle w:val="40"/>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spacing w:line="312" w:lineRule="auto"/>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cs="宋体"/>
                <w:color w:val="auto"/>
                <w:highlight w:val="none"/>
              </w:rPr>
            </w:pPr>
            <w:r>
              <w:rPr>
                <w:rFonts w:hint="eastAsia" w:cs="宋体"/>
                <w:color w:val="auto"/>
                <w:highlight w:val="none"/>
              </w:rPr>
              <w:t>项目名称：报告厅显示设备项目</w:t>
            </w:r>
          </w:p>
          <w:p>
            <w:pPr>
              <w:spacing w:line="312" w:lineRule="auto"/>
              <w:ind w:firstLine="0" w:firstLineChars="0"/>
              <w:rPr>
                <w:rFonts w:cs="宋体"/>
                <w:color w:val="auto"/>
                <w:highlight w:val="none"/>
              </w:rPr>
            </w:pPr>
            <w:r>
              <w:rPr>
                <w:rFonts w:hint="eastAsia" w:cs="宋体"/>
                <w:color w:val="auto"/>
                <w:highlight w:val="none"/>
              </w:rPr>
              <w:t>招标编号：ZJWSBJ-JD-201909G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cs="宋体"/>
                <w:color w:val="auto"/>
                <w:highlight w:val="none"/>
              </w:rPr>
            </w:pPr>
            <w:r>
              <w:rPr>
                <w:rFonts w:hint="eastAsia" w:cs="宋体"/>
                <w:color w:val="auto"/>
                <w:highlight w:val="none"/>
              </w:rPr>
              <w:t>采购人名称：浙江机电职业技术学院</w:t>
            </w:r>
          </w:p>
          <w:p>
            <w:pPr>
              <w:spacing w:line="312" w:lineRule="auto"/>
              <w:ind w:firstLine="0" w:firstLineChars="0"/>
              <w:rPr>
                <w:rFonts w:cs="宋体"/>
                <w:color w:val="auto"/>
                <w:highlight w:val="none"/>
              </w:rPr>
            </w:pPr>
            <w:r>
              <w:rPr>
                <w:rFonts w:hint="eastAsia" w:cs="宋体"/>
                <w:color w:val="auto"/>
                <w:highlight w:val="none"/>
              </w:rPr>
              <w:t>地址：杭州市滨江区滨文路528号</w:t>
            </w:r>
          </w:p>
          <w:p>
            <w:pPr>
              <w:spacing w:line="312" w:lineRule="auto"/>
              <w:ind w:firstLine="0" w:firstLineChars="0"/>
              <w:rPr>
                <w:rFonts w:cs="宋体"/>
                <w:color w:val="auto"/>
                <w:highlight w:val="none"/>
              </w:rPr>
            </w:pPr>
            <w:r>
              <w:rPr>
                <w:rFonts w:hint="eastAsia" w:cs="宋体"/>
                <w:color w:val="auto"/>
                <w:highlight w:val="none"/>
              </w:rPr>
              <w:t>联系人：刘勇明</w:t>
            </w:r>
          </w:p>
          <w:p>
            <w:pPr>
              <w:spacing w:line="312" w:lineRule="auto"/>
              <w:ind w:firstLine="0" w:firstLineChars="0"/>
              <w:rPr>
                <w:rFonts w:cs="宋体"/>
                <w:color w:val="auto"/>
                <w:szCs w:val="32"/>
                <w:highlight w:val="none"/>
              </w:rPr>
            </w:pPr>
            <w:r>
              <w:rPr>
                <w:rFonts w:hint="eastAsia" w:cs="宋体"/>
                <w:color w:val="auto"/>
                <w:highlight w:val="none"/>
              </w:rPr>
              <w:t>联系电话：</w:t>
            </w:r>
            <w:r>
              <w:rPr>
                <w:rFonts w:hint="eastAsia" w:cs="宋体"/>
                <w:color w:val="auto"/>
                <w:szCs w:val="32"/>
                <w:highlight w:val="none"/>
              </w:rPr>
              <w:t>0571-87773085</w:t>
            </w:r>
          </w:p>
          <w:p>
            <w:pPr>
              <w:spacing w:line="312" w:lineRule="auto"/>
              <w:ind w:firstLine="0" w:firstLineChars="0"/>
              <w:rPr>
                <w:rFonts w:cs="宋体"/>
                <w:color w:val="auto"/>
                <w:szCs w:val="32"/>
                <w:highlight w:val="none"/>
              </w:rPr>
            </w:pPr>
            <w:r>
              <w:rPr>
                <w:rFonts w:hint="eastAsia" w:cs="宋体"/>
                <w:color w:val="auto"/>
                <w:szCs w:val="32"/>
                <w:highlight w:val="none"/>
              </w:rPr>
              <w:t>采购项目联系人：陈老师</w:t>
            </w:r>
          </w:p>
          <w:p>
            <w:pPr>
              <w:spacing w:line="312" w:lineRule="auto"/>
              <w:ind w:firstLine="0" w:firstLineChars="0"/>
              <w:rPr>
                <w:rFonts w:cs="宋体"/>
                <w:color w:val="auto"/>
                <w:highlight w:val="none"/>
              </w:rPr>
            </w:pPr>
            <w:r>
              <w:rPr>
                <w:rFonts w:hint="eastAsia" w:cs="宋体"/>
                <w:color w:val="auto"/>
                <w:szCs w:val="32"/>
                <w:highlight w:val="none"/>
              </w:rPr>
              <w:t>联系电话：0571-87773063</w:t>
            </w:r>
          </w:p>
          <w:p>
            <w:pPr>
              <w:spacing w:line="312" w:lineRule="auto"/>
              <w:ind w:firstLine="0" w:firstLineChars="0"/>
              <w:rPr>
                <w:rFonts w:cs="宋体"/>
                <w:color w:val="auto"/>
                <w:highlight w:val="none"/>
              </w:rPr>
            </w:pPr>
            <w:r>
              <w:rPr>
                <w:rFonts w:hint="eastAsia" w:cs="宋体"/>
                <w:color w:val="auto"/>
                <w:highlight w:val="none"/>
              </w:rPr>
              <w:t>采购代理机构名称：浙江五石工程咨询有限公司</w:t>
            </w:r>
          </w:p>
          <w:p>
            <w:pPr>
              <w:spacing w:line="312" w:lineRule="auto"/>
              <w:ind w:firstLine="0" w:firstLineChars="0"/>
              <w:rPr>
                <w:rFonts w:cs="宋体"/>
                <w:color w:val="auto"/>
                <w:highlight w:val="none"/>
              </w:rPr>
            </w:pPr>
            <w:r>
              <w:rPr>
                <w:rFonts w:hint="eastAsia" w:cs="宋体"/>
                <w:color w:val="auto"/>
                <w:highlight w:val="none"/>
              </w:rPr>
              <w:t>地址：杭州市滨江区东方通信科技园启迪楼2楼1207室</w:t>
            </w:r>
          </w:p>
          <w:p>
            <w:pPr>
              <w:spacing w:line="312" w:lineRule="auto"/>
              <w:ind w:firstLine="0" w:firstLineChars="0"/>
              <w:rPr>
                <w:rFonts w:cs="宋体"/>
                <w:color w:val="auto"/>
                <w:highlight w:val="none"/>
              </w:rPr>
            </w:pPr>
            <w:r>
              <w:rPr>
                <w:rFonts w:hint="eastAsia" w:cs="宋体"/>
                <w:color w:val="auto"/>
                <w:highlight w:val="none"/>
              </w:rPr>
              <w:t>业务联系人：陈工</w:t>
            </w:r>
          </w:p>
          <w:p>
            <w:pPr>
              <w:spacing w:line="312" w:lineRule="auto"/>
              <w:ind w:firstLine="0" w:firstLineChars="0"/>
              <w:rPr>
                <w:rFonts w:cs="宋体"/>
                <w:color w:val="auto"/>
                <w:highlight w:val="none"/>
              </w:rPr>
            </w:pPr>
            <w:r>
              <w:rPr>
                <w:rFonts w:hint="eastAsia" w:cs="宋体"/>
                <w:color w:val="auto"/>
                <w:highlight w:val="none"/>
              </w:rPr>
              <w:t>联系电话：0571-86098397</w:t>
            </w:r>
          </w:p>
          <w:p>
            <w:pPr>
              <w:spacing w:line="312" w:lineRule="auto"/>
              <w:ind w:firstLine="0" w:firstLineChars="0"/>
              <w:rPr>
                <w:rFonts w:cs="宋体"/>
                <w:color w:val="auto"/>
                <w:highlight w:val="none"/>
              </w:rPr>
            </w:pPr>
            <w:r>
              <w:rPr>
                <w:rFonts w:hint="eastAsia" w:cs="宋体"/>
                <w:color w:val="auto"/>
                <w:highlight w:val="none"/>
              </w:rPr>
              <w:t>报名联系人：梁工</w:t>
            </w:r>
          </w:p>
          <w:p>
            <w:pPr>
              <w:spacing w:line="312" w:lineRule="auto"/>
              <w:ind w:firstLine="0" w:firstLineChars="0"/>
              <w:rPr>
                <w:rFonts w:cs="宋体"/>
                <w:color w:val="auto"/>
                <w:highlight w:val="none"/>
              </w:rPr>
            </w:pPr>
            <w:r>
              <w:rPr>
                <w:rFonts w:hint="eastAsia" w:cs="宋体"/>
                <w:color w:val="auto"/>
                <w:highlight w:val="none"/>
              </w:rPr>
              <w:t>联系电话：17746806483</w:t>
            </w:r>
          </w:p>
          <w:p>
            <w:pPr>
              <w:spacing w:line="312" w:lineRule="auto"/>
              <w:ind w:firstLine="0" w:firstLineChars="0"/>
              <w:rPr>
                <w:rFonts w:cs="宋体"/>
                <w:color w:val="auto"/>
                <w:highlight w:val="none"/>
              </w:rPr>
            </w:pPr>
            <w:r>
              <w:rPr>
                <w:rFonts w:hint="eastAsia" w:cs="宋体"/>
                <w:color w:val="auto"/>
                <w:highlight w:val="none"/>
              </w:rPr>
              <w:t>邮箱：2810140286@qq.com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highlight w:val="none"/>
              </w:rPr>
            </w:pPr>
            <w:r>
              <w:rPr>
                <w:rFonts w:hint="eastAsia" w:cs="宋体"/>
                <w:color w:val="auto"/>
                <w:kern w:val="0"/>
                <w:highlight w:val="none"/>
              </w:rPr>
              <w:t>3</w:t>
            </w:r>
          </w:p>
        </w:tc>
        <w:tc>
          <w:tcPr>
            <w:tcW w:w="8128" w:type="dxa"/>
          </w:tcPr>
          <w:p>
            <w:pPr>
              <w:spacing w:line="312" w:lineRule="auto"/>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4</w:t>
            </w:r>
          </w:p>
        </w:tc>
        <w:tc>
          <w:tcPr>
            <w:tcW w:w="8128" w:type="dxa"/>
          </w:tcPr>
          <w:p>
            <w:pPr>
              <w:spacing w:line="312" w:lineRule="auto"/>
              <w:ind w:firstLine="0" w:firstLineChars="0"/>
              <w:rPr>
                <w:rFonts w:cs="宋体"/>
                <w:color w:val="auto"/>
                <w:highlight w:val="none"/>
              </w:rPr>
            </w:pPr>
            <w:r>
              <w:rPr>
                <w:rFonts w:hint="eastAsia" w:cs="宋体"/>
                <w:color w:val="auto"/>
                <w:highlight w:val="none"/>
              </w:rPr>
              <w:t>供货地点：采购单位指定地点；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5</w:t>
            </w:r>
          </w:p>
        </w:tc>
        <w:tc>
          <w:tcPr>
            <w:tcW w:w="8128" w:type="dxa"/>
          </w:tcPr>
          <w:p>
            <w:pPr>
              <w:spacing w:line="312" w:lineRule="auto"/>
              <w:ind w:firstLine="0" w:firstLineChars="0"/>
              <w:rPr>
                <w:rFonts w:cs="宋体"/>
                <w:color w:val="auto"/>
                <w:highlight w:val="none"/>
              </w:rPr>
            </w:pPr>
            <w:r>
              <w:rPr>
                <w:rFonts w:hint="eastAsia" w:cs="宋体"/>
                <w:color w:val="auto"/>
                <w:highlight w:val="none"/>
              </w:rPr>
              <w:t>投标书递交至：杭州市滨江区东信大道66号东方通信科技园启迪楼2楼会议室（2）。</w:t>
            </w:r>
          </w:p>
          <w:p>
            <w:pPr>
              <w:spacing w:line="312" w:lineRule="auto"/>
              <w:ind w:firstLine="0" w:firstLineChars="0"/>
              <w:rPr>
                <w:rFonts w:cs="宋体"/>
                <w:color w:val="auto"/>
                <w:highlight w:val="none"/>
              </w:rPr>
            </w:pPr>
            <w:r>
              <w:rPr>
                <w:rFonts w:hint="eastAsia" w:cs="宋体"/>
                <w:color w:val="auto"/>
                <w:highlight w:val="none"/>
              </w:rPr>
              <w:t>现场接受投标时间：2019年0</w:t>
            </w:r>
            <w:r>
              <w:rPr>
                <w:rFonts w:hint="eastAsia" w:cs="宋体"/>
                <w:color w:val="auto"/>
                <w:highlight w:val="none"/>
                <w:lang w:val="en-US" w:eastAsia="zh-CN"/>
              </w:rPr>
              <w:t>7</w:t>
            </w:r>
            <w:r>
              <w:rPr>
                <w:rFonts w:hint="eastAsia" w:cs="宋体"/>
                <w:color w:val="auto"/>
                <w:highlight w:val="none"/>
              </w:rPr>
              <w:t>月0</w:t>
            </w:r>
            <w:r>
              <w:rPr>
                <w:rFonts w:hint="eastAsia" w:cs="宋体"/>
                <w:color w:val="auto"/>
                <w:highlight w:val="none"/>
                <w:lang w:val="en-US" w:eastAsia="zh-CN"/>
              </w:rPr>
              <w:t>4</w:t>
            </w:r>
            <w:r>
              <w:rPr>
                <w:rFonts w:hint="eastAsia" w:cs="宋体"/>
                <w:color w:val="auto"/>
                <w:highlight w:val="none"/>
              </w:rPr>
              <w:t>日13时30分(北京时间)</w:t>
            </w:r>
          </w:p>
          <w:p>
            <w:pPr>
              <w:spacing w:line="312" w:lineRule="auto"/>
              <w:ind w:firstLine="0" w:firstLineChars="0"/>
              <w:rPr>
                <w:rFonts w:cs="宋体"/>
                <w:color w:val="auto"/>
                <w:highlight w:val="none"/>
              </w:rPr>
            </w:pPr>
            <w:r>
              <w:rPr>
                <w:rFonts w:hint="eastAsia" w:cs="宋体"/>
                <w:color w:val="auto"/>
                <w:highlight w:val="none"/>
              </w:rPr>
              <w:t>投标截止时间：2019年0</w:t>
            </w:r>
            <w:r>
              <w:rPr>
                <w:rFonts w:hint="eastAsia" w:cs="宋体"/>
                <w:color w:val="auto"/>
                <w:highlight w:val="none"/>
                <w:lang w:val="en-US" w:eastAsia="zh-CN"/>
              </w:rPr>
              <w:t>7</w:t>
            </w:r>
            <w:r>
              <w:rPr>
                <w:rFonts w:hint="eastAsia" w:cs="宋体"/>
                <w:color w:val="auto"/>
                <w:highlight w:val="none"/>
              </w:rPr>
              <w:t>月0</w:t>
            </w:r>
            <w:r>
              <w:rPr>
                <w:rFonts w:hint="eastAsia" w:cs="宋体"/>
                <w:color w:val="auto"/>
                <w:highlight w:val="none"/>
                <w:lang w:val="en-US" w:eastAsia="zh-CN"/>
              </w:rPr>
              <w:t>4</w:t>
            </w:r>
            <w:r>
              <w:rPr>
                <w:rFonts w:hint="eastAsia" w:cs="宋体"/>
                <w:color w:val="auto"/>
                <w:highlight w:val="none"/>
              </w:rPr>
              <w:t>日1</w:t>
            </w:r>
            <w:r>
              <w:rPr>
                <w:rFonts w:hint="eastAsia" w:cs="宋体"/>
                <w:color w:val="auto"/>
                <w:highlight w:val="none"/>
                <w:lang w:val="en-US" w:eastAsia="zh-CN"/>
              </w:rPr>
              <w:t>4</w:t>
            </w:r>
            <w:r>
              <w:rPr>
                <w:rFonts w:hint="eastAsia" w:cs="宋体"/>
                <w:color w:val="auto"/>
                <w:highlight w:val="none"/>
              </w:rPr>
              <w:t>时</w:t>
            </w:r>
            <w:r>
              <w:rPr>
                <w:rFonts w:hint="eastAsia" w:cs="宋体"/>
                <w:color w:val="auto"/>
                <w:highlight w:val="none"/>
                <w:lang w:val="en-US" w:eastAsia="zh-CN"/>
              </w:rPr>
              <w:t>0</w:t>
            </w:r>
            <w:r>
              <w:rPr>
                <w:rFonts w:hint="eastAsia" w:cs="宋体"/>
                <w:color w:val="auto"/>
                <w:highlight w:val="none"/>
              </w:rPr>
              <w:t>0分(北京时间)</w:t>
            </w:r>
          </w:p>
          <w:p>
            <w:pPr>
              <w:spacing w:line="312" w:lineRule="auto"/>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6</w:t>
            </w:r>
          </w:p>
        </w:tc>
        <w:tc>
          <w:tcPr>
            <w:tcW w:w="8128" w:type="dxa"/>
          </w:tcPr>
          <w:p>
            <w:pPr>
              <w:spacing w:line="312" w:lineRule="auto"/>
              <w:ind w:firstLine="0" w:firstLineChars="0"/>
              <w:rPr>
                <w:rFonts w:cs="宋体"/>
                <w:color w:val="auto"/>
                <w:highlight w:val="none"/>
              </w:rPr>
            </w:pPr>
            <w:r>
              <w:rPr>
                <w:rFonts w:hint="eastAsia" w:cs="宋体"/>
                <w:color w:val="auto"/>
                <w:highlight w:val="none"/>
              </w:rPr>
              <w:t>开标时间：2019年0</w:t>
            </w:r>
            <w:r>
              <w:rPr>
                <w:rFonts w:hint="eastAsia" w:cs="宋体"/>
                <w:color w:val="auto"/>
                <w:highlight w:val="none"/>
                <w:lang w:val="en-US" w:eastAsia="zh-CN"/>
              </w:rPr>
              <w:t>7</w:t>
            </w:r>
            <w:r>
              <w:rPr>
                <w:rFonts w:hint="eastAsia" w:cs="宋体"/>
                <w:color w:val="auto"/>
                <w:highlight w:val="none"/>
              </w:rPr>
              <w:t>月0</w:t>
            </w:r>
            <w:r>
              <w:rPr>
                <w:rFonts w:hint="eastAsia" w:cs="宋体"/>
                <w:color w:val="auto"/>
                <w:highlight w:val="none"/>
                <w:lang w:val="en-US" w:eastAsia="zh-CN"/>
              </w:rPr>
              <w:t>4</w:t>
            </w:r>
            <w:r>
              <w:rPr>
                <w:rFonts w:hint="eastAsia" w:cs="宋体"/>
                <w:color w:val="auto"/>
                <w:highlight w:val="none"/>
              </w:rPr>
              <w:t>日1</w:t>
            </w:r>
            <w:r>
              <w:rPr>
                <w:rFonts w:hint="eastAsia" w:cs="宋体"/>
                <w:color w:val="auto"/>
                <w:highlight w:val="none"/>
                <w:lang w:val="en-US" w:eastAsia="zh-CN"/>
              </w:rPr>
              <w:t>4</w:t>
            </w:r>
            <w:r>
              <w:rPr>
                <w:rFonts w:hint="eastAsia" w:cs="宋体"/>
                <w:color w:val="auto"/>
                <w:highlight w:val="none"/>
              </w:rPr>
              <w:t>时</w:t>
            </w:r>
            <w:r>
              <w:rPr>
                <w:rFonts w:hint="eastAsia" w:cs="宋体"/>
                <w:color w:val="auto"/>
                <w:highlight w:val="none"/>
                <w:lang w:val="en-US" w:eastAsia="zh-CN"/>
              </w:rPr>
              <w:t>0</w:t>
            </w:r>
            <w:r>
              <w:rPr>
                <w:rFonts w:hint="eastAsia" w:cs="宋体"/>
                <w:color w:val="auto"/>
                <w:highlight w:val="none"/>
              </w:rPr>
              <w:t>0分(北京时间)</w:t>
            </w:r>
          </w:p>
          <w:p>
            <w:pPr>
              <w:spacing w:line="312" w:lineRule="auto"/>
              <w:ind w:firstLine="0" w:firstLineChars="0"/>
              <w:rPr>
                <w:rFonts w:cs="宋体"/>
                <w:color w:val="auto"/>
                <w:highlight w:val="none"/>
              </w:rPr>
            </w:pPr>
            <w:r>
              <w:rPr>
                <w:rFonts w:hint="eastAsia" w:cs="宋体"/>
                <w:color w:val="auto"/>
                <w:highlight w:val="none"/>
              </w:rPr>
              <w:t>开标地点：杭州市滨江区东信大道66号东方通信科技园启迪楼2楼会议室（2）。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7</w:t>
            </w:r>
          </w:p>
        </w:tc>
        <w:tc>
          <w:tcPr>
            <w:tcW w:w="8128" w:type="dxa"/>
          </w:tcPr>
          <w:p>
            <w:pPr>
              <w:spacing w:line="312" w:lineRule="auto"/>
              <w:ind w:firstLine="0" w:firstLineChars="0"/>
              <w:rPr>
                <w:rFonts w:cs="宋体"/>
                <w:b/>
                <w:bCs/>
                <w:color w:val="auto"/>
                <w:highlight w:val="none"/>
              </w:rPr>
            </w:pPr>
            <w:r>
              <w:rPr>
                <w:rFonts w:hint="eastAsia" w:cs="宋体"/>
                <w:b/>
                <w:bCs/>
                <w:color w:val="auto"/>
                <w:highlight w:val="none"/>
              </w:rPr>
              <w:t>投标文件份数：</w:t>
            </w:r>
          </w:p>
          <w:p>
            <w:pPr>
              <w:ind w:firstLine="0" w:firstLineChars="0"/>
              <w:rPr>
                <w:highlight w:val="none"/>
              </w:rPr>
            </w:pPr>
            <w:r>
              <w:rPr>
                <w:rFonts w:hint="eastAsia"/>
                <w:highlight w:val="none"/>
              </w:rPr>
              <w:t>（1）纸质版：资格证明文件正本一份，副本无需提供；报价文件正本一份，副本五份；商务技术文件正本一份，副本五份。</w:t>
            </w:r>
          </w:p>
          <w:p>
            <w:pPr>
              <w:ind w:firstLine="0" w:firstLineChars="0"/>
              <w:rPr>
                <w:highlight w:val="none"/>
              </w:rPr>
            </w:pPr>
            <w:r>
              <w:rPr>
                <w:rFonts w:hint="eastAsia"/>
                <w:highlight w:val="none"/>
              </w:rPr>
              <w:t>（2）电子版：一份，内容为已签字盖章的商务技术纸质响应文件正本的扫描件，PDF格式，U盘存储。</w:t>
            </w:r>
          </w:p>
          <w:p>
            <w:pPr>
              <w:spacing w:line="312" w:lineRule="auto"/>
              <w:ind w:firstLine="0" w:firstLineChars="0"/>
              <w:rPr>
                <w:rFonts w:cs="宋体"/>
                <w:color w:val="auto"/>
                <w:highlight w:val="none"/>
              </w:rPr>
            </w:pPr>
            <w:r>
              <w:rPr>
                <w:rFonts w:hint="eastAsia"/>
                <w:b/>
                <w:bCs/>
                <w:highlight w:val="none"/>
              </w:rPr>
              <w:t>★投标文件正、副本份数不足，投标无效。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8</w:t>
            </w:r>
          </w:p>
        </w:tc>
        <w:tc>
          <w:tcPr>
            <w:tcW w:w="8128" w:type="dxa"/>
          </w:tcPr>
          <w:p>
            <w:pPr>
              <w:spacing w:line="312" w:lineRule="auto"/>
              <w:ind w:firstLine="0" w:firstLineChars="0"/>
              <w:rPr>
                <w:rFonts w:cs="宋体"/>
                <w:color w:val="auto"/>
                <w:highlight w:val="none"/>
              </w:rPr>
            </w:pPr>
            <w:r>
              <w:rPr>
                <w:rFonts w:hint="eastAsia" w:cs="宋体"/>
                <w:bCs/>
                <w:color w:val="auto"/>
                <w:kern w:val="0"/>
                <w:szCs w:val="21"/>
                <w:highlight w:val="none"/>
              </w:rPr>
              <w:t>★</w:t>
            </w:r>
            <w:r>
              <w:rPr>
                <w:rFonts w:hint="eastAsia" w:cs="宋体"/>
                <w:color w:val="auto"/>
                <w:highlight w:val="none"/>
              </w:rPr>
              <w:t xml:space="preserve">  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9</w:t>
            </w:r>
          </w:p>
        </w:tc>
        <w:tc>
          <w:tcPr>
            <w:tcW w:w="8128" w:type="dxa"/>
            <w:vAlign w:val="center"/>
          </w:tcPr>
          <w:p>
            <w:pPr>
              <w:spacing w:line="312" w:lineRule="auto"/>
              <w:ind w:firstLine="0" w:firstLineChars="0"/>
              <w:rPr>
                <w:rFonts w:cs="宋体"/>
                <w:b/>
                <w:color w:val="auto"/>
                <w:szCs w:val="32"/>
                <w:highlight w:val="none"/>
              </w:rPr>
            </w:pPr>
            <w:r>
              <w:rPr>
                <w:rFonts w:hint="eastAsia" w:cs="宋体"/>
                <w:b/>
                <w:color w:val="auto"/>
                <w:szCs w:val="32"/>
                <w:highlight w:val="none"/>
              </w:rPr>
              <w:t>信息公告及评标结果公告媒体：</w:t>
            </w:r>
          </w:p>
          <w:p>
            <w:pPr>
              <w:spacing w:line="312" w:lineRule="auto"/>
              <w:ind w:firstLine="0" w:firstLineChars="0"/>
              <w:rPr>
                <w:rFonts w:cs="宋体"/>
                <w:color w:val="auto"/>
                <w:szCs w:val="32"/>
                <w:highlight w:val="none"/>
              </w:rPr>
            </w:pPr>
            <w:r>
              <w:rPr>
                <w:rFonts w:hint="eastAsia" w:cs="宋体"/>
                <w:color w:val="auto"/>
                <w:szCs w:val="32"/>
                <w:highlight w:val="none"/>
              </w:rPr>
              <w:t>浙江政府采购网上发布。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szCs w:val="32"/>
                <w:highlight w:val="none"/>
              </w:rPr>
            </w:pPr>
            <w:r>
              <w:rPr>
                <w:rFonts w:hint="eastAsia" w:cs="宋体"/>
                <w:color w:val="auto"/>
                <w:kern w:val="0"/>
                <w:szCs w:val="32"/>
                <w:highlight w:val="none"/>
              </w:rPr>
              <w:t>10</w:t>
            </w:r>
          </w:p>
        </w:tc>
        <w:tc>
          <w:tcPr>
            <w:tcW w:w="8128" w:type="dxa"/>
          </w:tcPr>
          <w:p>
            <w:pPr>
              <w:spacing w:line="312" w:lineRule="auto"/>
              <w:ind w:firstLine="0" w:firstLineChars="0"/>
              <w:rPr>
                <w:rFonts w:cs="宋体"/>
                <w:color w:val="auto"/>
                <w:highlight w:val="none"/>
              </w:rPr>
            </w:pPr>
            <w:r>
              <w:rPr>
                <w:rFonts w:hint="eastAsia" w:cs="宋体"/>
                <w:b/>
                <w:bCs/>
                <w:color w:val="auto"/>
                <w:highlight w:val="none"/>
              </w:rPr>
              <w:t>★投标报价</w:t>
            </w:r>
            <w:r>
              <w:rPr>
                <w:rFonts w:hint="eastAsia" w:cs="宋体"/>
                <w:color w:val="auto"/>
                <w:highlight w:val="none"/>
              </w:rPr>
              <w:t>：</w:t>
            </w:r>
          </w:p>
          <w:p>
            <w:pPr>
              <w:spacing w:line="312" w:lineRule="auto"/>
              <w:ind w:firstLine="0" w:firstLineChars="0"/>
              <w:rPr>
                <w:rFonts w:cs="宋体"/>
                <w:color w:val="auto"/>
                <w:highlight w:val="none"/>
              </w:rPr>
            </w:pPr>
            <w:r>
              <w:rPr>
                <w:rFonts w:hint="eastAsia" w:cs="宋体"/>
                <w:color w:val="auto"/>
                <w:highlight w:val="none"/>
              </w:rPr>
              <w:t>（1）投标报价是指一次性报出不得更改的价格，超过最高限价的投标报价无效；</w:t>
            </w:r>
          </w:p>
          <w:p>
            <w:pPr>
              <w:spacing w:line="312" w:lineRule="auto"/>
              <w:ind w:firstLine="0" w:firstLineChars="0"/>
              <w:rPr>
                <w:rFonts w:cs="宋体"/>
                <w:color w:val="auto"/>
                <w:highlight w:val="none"/>
              </w:rPr>
            </w:pPr>
            <w:r>
              <w:rPr>
                <w:rFonts w:hint="eastAsia" w:cs="宋体"/>
                <w:color w:val="auto"/>
                <w:highlight w:val="none"/>
              </w:rPr>
              <w:t>（2）投标报价是履行合同的最终价格，投标报价包括包括货款、标准附件、备品备件、专用工具、包装、运输、装卸、保险、税金、人工费、施工、施工垃圾运输、货到就位以及安装、调试、检验、检测、保修、招标代理服务费、通过验收直至交付使用单位，达到使用要求及质量标准、质保期服务等完成本项目所需的全部费用；</w:t>
            </w:r>
          </w:p>
          <w:p>
            <w:pPr>
              <w:spacing w:line="312" w:lineRule="auto"/>
              <w:ind w:firstLine="0" w:firstLineChars="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spacing w:line="312" w:lineRule="auto"/>
              <w:ind w:firstLine="0" w:firstLineChars="0"/>
              <w:rPr>
                <w:rFonts w:cs="宋体"/>
                <w:color w:val="auto"/>
                <w:highlight w:val="none"/>
              </w:rPr>
            </w:pPr>
            <w:r>
              <w:rPr>
                <w:rFonts w:hint="eastAsia" w:cs="宋体"/>
                <w:color w:val="auto"/>
                <w:highlight w:val="none"/>
              </w:rPr>
              <w:t>（4）本项目只允许一次报价，不允许以开标后调整的报价作为评标的依据（但按本招标文件修正原则进行修正并经评标委员会认定且经投标人确认同意的除外）。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spacing w:line="312" w:lineRule="auto"/>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12</w:t>
            </w:r>
          </w:p>
        </w:tc>
        <w:tc>
          <w:tcPr>
            <w:tcW w:w="8128" w:type="dxa"/>
            <w:vAlign w:val="center"/>
          </w:tcPr>
          <w:p>
            <w:pPr>
              <w:spacing w:line="312" w:lineRule="auto"/>
              <w:ind w:firstLine="0" w:firstLineChars="0"/>
              <w:rPr>
                <w:rFonts w:cs="宋体"/>
                <w:b/>
                <w:bCs/>
                <w:color w:val="auto"/>
                <w:szCs w:val="32"/>
                <w:highlight w:val="none"/>
              </w:rPr>
            </w:pPr>
            <w:r>
              <w:rPr>
                <w:rFonts w:hint="eastAsia" w:cs="宋体"/>
                <w:b/>
                <w:bCs/>
                <w:color w:val="auto"/>
                <w:szCs w:val="32"/>
                <w:highlight w:val="none"/>
              </w:rPr>
              <w:t>现场踏勘：</w:t>
            </w:r>
          </w:p>
          <w:p>
            <w:pPr>
              <w:spacing w:line="312" w:lineRule="auto"/>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r>
              <w:rPr>
                <w:rFonts w:hint="eastAsia" w:cs="宋体"/>
                <w:color w:val="auto"/>
                <w:szCs w:val="32"/>
                <w:highlight w:val="none"/>
              </w:rPr>
              <w:t>13</w:t>
            </w:r>
          </w:p>
        </w:tc>
        <w:tc>
          <w:tcPr>
            <w:tcW w:w="8128" w:type="dxa"/>
            <w:vAlign w:val="center"/>
          </w:tcPr>
          <w:p>
            <w:pPr>
              <w:spacing w:line="312" w:lineRule="auto"/>
              <w:ind w:firstLine="0" w:firstLineChars="0"/>
              <w:rPr>
                <w:rFonts w:cs="宋体"/>
                <w:b/>
                <w:bCs/>
                <w:color w:val="auto"/>
                <w:highlight w:val="none"/>
              </w:rPr>
            </w:pPr>
            <w:r>
              <w:rPr>
                <w:rFonts w:hint="eastAsia" w:cs="宋体"/>
                <w:b/>
                <w:bCs/>
                <w:color w:val="auto"/>
                <w:highlight w:val="none"/>
              </w:rPr>
              <w:t>招标代理服务费：</w:t>
            </w:r>
          </w:p>
          <w:p>
            <w:pPr>
              <w:spacing w:line="312" w:lineRule="auto"/>
              <w:ind w:firstLine="0" w:firstLineChars="0"/>
              <w:rPr>
                <w:rFonts w:cs="宋体"/>
                <w:color w:val="auto"/>
                <w:highlight w:val="none"/>
              </w:rPr>
            </w:pPr>
            <w:r>
              <w:rPr>
                <w:rFonts w:hint="eastAsia" w:cs="宋体"/>
                <w:color w:val="auto"/>
                <w:highlight w:val="none"/>
              </w:rPr>
              <w:t>（1）参照浙价服[2003]77号文规定的招标费率七折收取，按照中标通知书确定的金额，向中标人收取服务费，不足3000元按3000元收取；</w:t>
            </w:r>
          </w:p>
          <w:p>
            <w:pPr>
              <w:spacing w:line="312" w:lineRule="auto"/>
              <w:ind w:firstLine="0" w:firstLineChars="0"/>
              <w:rPr>
                <w:rFonts w:cs="宋体"/>
                <w:color w:val="auto"/>
                <w:highlight w:val="none"/>
              </w:rPr>
            </w:pPr>
            <w:r>
              <w:rPr>
                <w:rFonts w:hint="eastAsia" w:cs="宋体"/>
                <w:color w:val="auto"/>
                <w:highlight w:val="none"/>
              </w:rPr>
              <w:t>（2）中标人在领取中标通知书前，应向招标代理机构交纳招标代理服务费；</w:t>
            </w:r>
          </w:p>
          <w:p>
            <w:pPr>
              <w:spacing w:line="312" w:lineRule="auto"/>
              <w:ind w:firstLine="0" w:firstLineChars="0"/>
              <w:rPr>
                <w:rFonts w:cs="宋体"/>
                <w:color w:val="auto"/>
                <w:highlight w:val="none"/>
              </w:rPr>
            </w:pPr>
            <w:r>
              <w:rPr>
                <w:rFonts w:hint="eastAsia" w:cs="宋体"/>
                <w:color w:val="auto"/>
                <w:highlight w:val="none"/>
              </w:rPr>
              <w:t>（3）招标代理服务费以电汇方式支付；</w:t>
            </w:r>
          </w:p>
          <w:p>
            <w:pPr>
              <w:spacing w:line="312" w:lineRule="auto"/>
              <w:ind w:firstLine="0" w:firstLineChars="0"/>
              <w:rPr>
                <w:rFonts w:cs="宋体"/>
                <w:color w:val="auto"/>
                <w:highlight w:val="none"/>
              </w:rPr>
            </w:pPr>
            <w:r>
              <w:rPr>
                <w:rFonts w:hint="eastAsia" w:cs="宋体"/>
                <w:color w:val="auto"/>
                <w:highlight w:val="none"/>
              </w:rPr>
              <w:t>（4）中标人如未按上述规定办理，本招标代理机构有权对不足部分进行追索；</w:t>
            </w:r>
          </w:p>
          <w:p>
            <w:pPr>
              <w:spacing w:line="312" w:lineRule="auto"/>
              <w:ind w:firstLine="0" w:firstLineChars="0"/>
              <w:rPr>
                <w:rFonts w:cs="宋体"/>
                <w:color w:val="auto"/>
                <w:highlight w:val="none"/>
              </w:rPr>
            </w:pPr>
            <w:r>
              <w:rPr>
                <w:rFonts w:hint="eastAsia" w:cs="宋体"/>
                <w:color w:val="auto"/>
                <w:highlight w:val="none"/>
              </w:rPr>
              <w:t>（5）服务费缴纳账号：</w:t>
            </w:r>
          </w:p>
          <w:p>
            <w:pPr>
              <w:spacing w:line="312" w:lineRule="auto"/>
              <w:ind w:firstLine="0" w:firstLineChars="0"/>
              <w:rPr>
                <w:rFonts w:cs="宋体"/>
                <w:color w:val="auto"/>
                <w:highlight w:val="none"/>
              </w:rPr>
            </w:pPr>
            <w:r>
              <w:rPr>
                <w:rFonts w:hint="eastAsia" w:cs="宋体"/>
                <w:color w:val="auto"/>
                <w:highlight w:val="none"/>
              </w:rPr>
              <w:t>单位名称：浙江五石工程咨询有限公司萧山分公司</w:t>
            </w:r>
          </w:p>
          <w:p>
            <w:pPr>
              <w:spacing w:line="312" w:lineRule="auto"/>
              <w:ind w:firstLine="0" w:firstLineChars="0"/>
              <w:rPr>
                <w:rFonts w:cs="宋体"/>
                <w:color w:val="auto"/>
                <w:highlight w:val="none"/>
              </w:rPr>
            </w:pPr>
            <w:r>
              <w:rPr>
                <w:rFonts w:hint="eastAsia" w:cs="宋体"/>
                <w:color w:val="auto"/>
                <w:highlight w:val="none"/>
              </w:rPr>
              <w:t>开户银行：浙江民泰商业银行杭州钱江新城支行</w:t>
            </w:r>
          </w:p>
          <w:p>
            <w:pPr>
              <w:spacing w:line="312" w:lineRule="auto"/>
              <w:ind w:firstLine="0" w:firstLineChars="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szCs w:val="32"/>
                <w:highlight w:val="none"/>
              </w:rPr>
            </w:pPr>
          </w:p>
        </w:tc>
        <w:tc>
          <w:tcPr>
            <w:tcW w:w="8128" w:type="dxa"/>
            <w:vAlign w:val="center"/>
          </w:tcPr>
          <w:p>
            <w:pPr>
              <w:tabs>
                <w:tab w:val="left" w:pos="312"/>
              </w:tabs>
              <w:spacing w:line="312" w:lineRule="auto"/>
              <w:ind w:firstLine="0" w:firstLineChars="0"/>
              <w:rPr>
                <w:rFonts w:cs="宋体"/>
                <w:b/>
                <w:bCs/>
                <w:color w:val="auto"/>
                <w:highlight w:val="none"/>
              </w:rPr>
            </w:pPr>
            <w:r>
              <w:rPr>
                <w:rFonts w:hint="eastAsia"/>
                <w:b/>
                <w:bCs/>
                <w:color w:val="auto"/>
                <w:highlight w:val="none"/>
              </w:rPr>
              <w:t>中标后注意事项中标后注意事项：</w:t>
            </w:r>
          </w:p>
          <w:p>
            <w:pPr>
              <w:numPr>
                <w:ilvl w:val="0"/>
                <w:numId w:val="5"/>
              </w:numPr>
              <w:tabs>
                <w:tab w:val="left" w:pos="312"/>
              </w:tabs>
              <w:spacing w:line="312" w:lineRule="auto"/>
              <w:ind w:firstLineChars="0"/>
              <w:rPr>
                <w:rFonts w:cs="宋体"/>
                <w:color w:val="auto"/>
                <w:highlight w:val="none"/>
              </w:rPr>
            </w:pPr>
            <w:r>
              <w:rPr>
                <w:rFonts w:hint="eastAsia" w:cs="宋体"/>
                <w:color w:val="auto"/>
                <w:highlight w:val="none"/>
              </w:rPr>
              <w:t>中标人在中标之后领取通知书之前，应向招标代理机构交纳招标代理服务费。</w:t>
            </w:r>
          </w:p>
          <w:p>
            <w:pPr>
              <w:numPr>
                <w:ilvl w:val="0"/>
                <w:numId w:val="5"/>
              </w:numPr>
              <w:tabs>
                <w:tab w:val="left" w:pos="312"/>
              </w:tabs>
              <w:spacing w:line="312" w:lineRule="auto"/>
              <w:ind w:firstLineChars="0"/>
              <w:rPr>
                <w:rFonts w:cs="宋体"/>
                <w:color w:val="auto"/>
                <w:highlight w:val="none"/>
              </w:rPr>
            </w:pPr>
            <w:r>
              <w:rPr>
                <w:rFonts w:hint="eastAsia" w:cs="宋体"/>
                <w:color w:val="auto"/>
                <w:highlight w:val="none"/>
              </w:rPr>
              <w:t>若中标人未在约定时间内支付招标代理服务费，从逾期之日起按日利率千分之一承担违约金。</w:t>
            </w:r>
          </w:p>
          <w:p>
            <w:pPr>
              <w:spacing w:line="312" w:lineRule="auto"/>
              <w:ind w:firstLine="0" w:firstLineChars="0"/>
              <w:rPr>
                <w:rFonts w:cs="宋体"/>
                <w:color w:val="auto"/>
                <w:highlight w:val="none"/>
              </w:rPr>
            </w:pPr>
            <w:r>
              <w:rPr>
                <w:rFonts w:hint="eastAsia" w:cs="宋体"/>
                <w:color w:val="auto"/>
                <w:highlight w:val="none"/>
              </w:rPr>
              <w:t>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szCs w:val="32"/>
                <w:highlight w:val="none"/>
              </w:rPr>
            </w:pPr>
            <w:r>
              <w:rPr>
                <w:rFonts w:hint="eastAsia" w:cs="宋体"/>
                <w:color w:val="auto"/>
                <w:kern w:val="0"/>
                <w:szCs w:val="32"/>
                <w:highlight w:val="none"/>
              </w:rPr>
              <w:t>14</w:t>
            </w:r>
          </w:p>
        </w:tc>
        <w:tc>
          <w:tcPr>
            <w:tcW w:w="8128" w:type="dxa"/>
            <w:vAlign w:val="center"/>
          </w:tcPr>
          <w:p>
            <w:pPr>
              <w:spacing w:line="312" w:lineRule="auto"/>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2" w:type="dxa"/>
            <w:vAlign w:val="center"/>
          </w:tcPr>
          <w:p>
            <w:pPr>
              <w:spacing w:line="312" w:lineRule="auto"/>
              <w:ind w:firstLine="0" w:firstLineChars="0"/>
              <w:jc w:val="center"/>
              <w:rPr>
                <w:rFonts w:cs="宋体"/>
                <w:color w:val="auto"/>
                <w:kern w:val="0"/>
                <w:szCs w:val="32"/>
                <w:highlight w:val="none"/>
              </w:rPr>
            </w:pPr>
            <w:r>
              <w:rPr>
                <w:rFonts w:hint="eastAsia" w:cs="宋体"/>
                <w:color w:val="auto"/>
                <w:kern w:val="0"/>
                <w:szCs w:val="32"/>
                <w:highlight w:val="none"/>
              </w:rPr>
              <w:t>15</w:t>
            </w:r>
          </w:p>
        </w:tc>
        <w:tc>
          <w:tcPr>
            <w:tcW w:w="8128" w:type="dxa"/>
            <w:vAlign w:val="center"/>
          </w:tcPr>
          <w:p>
            <w:pPr>
              <w:spacing w:line="312" w:lineRule="auto"/>
              <w:ind w:firstLine="0" w:firstLineChars="0"/>
              <w:rPr>
                <w:rFonts w:cs="宋体"/>
                <w:b/>
                <w:bCs/>
                <w:color w:val="auto"/>
                <w:highlight w:val="none"/>
              </w:rPr>
            </w:pPr>
            <w:r>
              <w:rPr>
                <w:rFonts w:hint="eastAsia" w:cs="宋体"/>
                <w:b/>
                <w:bCs/>
                <w:color w:val="auto"/>
                <w:highlight w:val="none"/>
              </w:rPr>
              <w:t>质疑与投诉：</w:t>
            </w:r>
          </w:p>
          <w:p>
            <w:pPr>
              <w:spacing w:line="312" w:lineRule="auto"/>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spacing w:line="312" w:lineRule="auto"/>
              <w:ind w:firstLine="0" w:firstLineChars="0"/>
              <w:rPr>
                <w:rFonts w:cs="宋体"/>
                <w:color w:val="auto"/>
                <w:highlight w:val="none"/>
              </w:rPr>
            </w:pPr>
            <w:r>
              <w:rPr>
                <w:rFonts w:hint="eastAsia" w:cs="宋体"/>
                <w:color w:val="auto"/>
                <w:highlight w:val="none"/>
              </w:rPr>
              <w:t>质疑起算日期：</w:t>
            </w:r>
          </w:p>
          <w:p>
            <w:pPr>
              <w:spacing w:line="312" w:lineRule="auto"/>
              <w:ind w:firstLine="0" w:firstLineChars="0"/>
              <w:rPr>
                <w:rFonts w:cs="宋体"/>
                <w:color w:val="auto"/>
                <w:highlight w:val="none"/>
              </w:rPr>
            </w:pPr>
            <w:r>
              <w:rPr>
                <w:rFonts w:hint="eastAsia" w:cs="宋体"/>
                <w:color w:val="auto"/>
                <w:highlight w:val="none"/>
              </w:rPr>
              <w:t>1.对采购公告信息（含投标人资格条件）提出质疑的，质疑期限自采购公告发布之日起计算。</w:t>
            </w:r>
          </w:p>
          <w:p>
            <w:pPr>
              <w:spacing w:line="312" w:lineRule="auto"/>
              <w:ind w:firstLine="0" w:firstLineChars="0"/>
              <w:rPr>
                <w:rFonts w:cs="宋体"/>
                <w:color w:val="auto"/>
                <w:highlight w:val="none"/>
              </w:rPr>
            </w:pPr>
            <w:r>
              <w:rPr>
                <w:rFonts w:hint="eastAsia" w:cs="宋体"/>
                <w:color w:val="auto"/>
                <w:highlight w:val="none"/>
              </w:rPr>
              <w:t>2.对招标文件提出质疑的，质疑期限自投标人获得招标文件之日起计算。（发售截止日之后报名的供应商，质疑起算日期以发售截止日起计算）</w:t>
            </w:r>
          </w:p>
          <w:p>
            <w:pPr>
              <w:spacing w:line="312" w:lineRule="auto"/>
              <w:ind w:firstLine="0" w:firstLineChars="0"/>
              <w:rPr>
                <w:rFonts w:cs="宋体"/>
                <w:color w:val="auto"/>
                <w:highlight w:val="none"/>
              </w:rPr>
            </w:pPr>
            <w:r>
              <w:rPr>
                <w:rFonts w:hint="eastAsia" w:cs="宋体"/>
                <w:color w:val="auto"/>
                <w:highlight w:val="none"/>
              </w:rPr>
              <w:t>3.对招标过程提出质疑的，为各招标程序环节结束之日。否则，被质疑人可不予接受。</w:t>
            </w:r>
          </w:p>
          <w:p>
            <w:pPr>
              <w:spacing w:line="312" w:lineRule="auto"/>
              <w:ind w:firstLine="0" w:firstLineChars="0"/>
              <w:rPr>
                <w:rFonts w:cs="宋体"/>
                <w:color w:val="auto"/>
                <w:highlight w:val="none"/>
              </w:rPr>
            </w:pPr>
            <w:r>
              <w:rPr>
                <w:rFonts w:hint="eastAsia" w:cs="宋体"/>
                <w:color w:val="auto"/>
                <w:highlight w:val="none"/>
              </w:rPr>
              <w:t>4.对采购结果提出质疑的，质疑期限自采购结果公告（包括公示、预公告、结果变更公告等）之日起计算。</w:t>
            </w:r>
          </w:p>
          <w:p>
            <w:pPr>
              <w:spacing w:line="312" w:lineRule="auto"/>
              <w:ind w:firstLine="0" w:firstLineChars="0"/>
              <w:rPr>
                <w:rFonts w:cs="宋体"/>
                <w:color w:val="auto"/>
                <w:highlight w:val="none"/>
              </w:rPr>
            </w:pPr>
            <w:r>
              <w:rPr>
                <w:rFonts w:hint="eastAsia" w:cs="宋体"/>
                <w:color w:val="auto"/>
                <w:highlight w:val="none"/>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spacing w:line="312" w:lineRule="auto"/>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5"/>
        <w:jc w:val="center"/>
        <w:rPr>
          <w:rFonts w:ascii="宋体" w:hAnsi="宋体" w:cs="宋体"/>
          <w:color w:val="auto"/>
          <w:highlight w:val="none"/>
        </w:rPr>
      </w:pPr>
      <w:bookmarkStart w:id="25" w:name="_Toc179632546"/>
      <w:bookmarkStart w:id="26" w:name="_Toc246996175"/>
      <w:bookmarkStart w:id="27" w:name="_Toc246996918"/>
      <w:bookmarkStart w:id="28" w:name="_Toc152045529"/>
      <w:bookmarkStart w:id="29" w:name="_Toc296602420"/>
      <w:bookmarkStart w:id="30" w:name="_Toc247085689"/>
      <w:bookmarkStart w:id="31" w:name="_Toc452457414"/>
      <w:bookmarkStart w:id="32" w:name="_Toc152042305"/>
      <w:bookmarkStart w:id="33" w:name="_Toc144974497"/>
      <w:r>
        <w:rPr>
          <w:rFonts w:hint="eastAsia" w:ascii="宋体" w:hAnsi="宋体" w:cs="宋体"/>
          <w:color w:val="auto"/>
          <w:highlight w:val="none"/>
        </w:rPr>
        <w:br w:type="page"/>
      </w:r>
      <w:bookmarkEnd w:id="25"/>
      <w:bookmarkEnd w:id="26"/>
      <w:bookmarkEnd w:id="27"/>
      <w:bookmarkEnd w:id="28"/>
      <w:bookmarkEnd w:id="29"/>
      <w:bookmarkEnd w:id="30"/>
      <w:bookmarkEnd w:id="31"/>
      <w:bookmarkEnd w:id="32"/>
      <w:bookmarkEnd w:id="33"/>
      <w:bookmarkStart w:id="34" w:name="_Toc2440"/>
      <w:bookmarkStart w:id="35" w:name="_Toc24831"/>
      <w:bookmarkStart w:id="36" w:name="_Toc247085690"/>
      <w:bookmarkStart w:id="37" w:name="_Toc246996176"/>
      <w:bookmarkStart w:id="38" w:name="_Toc144974498"/>
      <w:bookmarkStart w:id="39" w:name="_Toc152042306"/>
      <w:bookmarkStart w:id="40" w:name="_Toc246996919"/>
      <w:bookmarkStart w:id="41" w:name="_Toc152045530"/>
      <w:bookmarkStart w:id="42" w:name="_Toc296602421"/>
      <w:bookmarkStart w:id="43" w:name="_Toc179632547"/>
      <w:r>
        <w:rPr>
          <w:rFonts w:hint="eastAsia" w:ascii="宋体" w:hAnsi="宋体" w:cs="宋体"/>
          <w:color w:val="auto"/>
          <w:highlight w:val="none"/>
        </w:rPr>
        <w:t>第一节 总则</w:t>
      </w:r>
      <w:bookmarkEnd w:id="34"/>
      <w:bookmarkEnd w:id="35"/>
    </w:p>
    <w:p>
      <w:pPr>
        <w:pStyle w:val="6"/>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6"/>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1.“采购人”系指浙江机电职业技术学院。</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w:t>
      </w:r>
      <w:r>
        <w:rPr>
          <w:rFonts w:hint="eastAsia" w:cs="宋体"/>
          <w:bCs/>
          <w:color w:val="auto"/>
          <w:kern w:val="0"/>
          <w:szCs w:val="21"/>
          <w:highlight w:val="none"/>
        </w:rPr>
        <w:t>★</w:t>
      </w:r>
      <w:r>
        <w:rPr>
          <w:rFonts w:hint="eastAsia" w:cs="宋体"/>
          <w:color w:val="auto"/>
          <w:highlight w:val="none"/>
        </w:rPr>
        <w:t>”系指实质性要求条款，投标人应做出实质性响应；“▲”系指重要条款。</w:t>
      </w:r>
    </w:p>
    <w:p>
      <w:pPr>
        <w:pStyle w:val="6"/>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6"/>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2.中标人在领取中标通知书前，应向招标代理机构交纳招标代理服务费，收费标准见“第一章投标人须知前附表-15”。</w:t>
      </w:r>
    </w:p>
    <w:p>
      <w:pPr>
        <w:pStyle w:val="6"/>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pPr>
        <w:pStyle w:val="6"/>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5"/>
        <w:jc w:val="center"/>
        <w:rPr>
          <w:rFonts w:ascii="宋体" w:hAnsi="宋体" w:cs="宋体"/>
          <w:color w:val="auto"/>
          <w:highlight w:val="none"/>
        </w:rPr>
      </w:pPr>
      <w:bookmarkStart w:id="44" w:name="_Toc14558"/>
      <w:bookmarkStart w:id="45" w:name="_Toc21367"/>
      <w:r>
        <w:rPr>
          <w:rFonts w:hint="eastAsia" w:ascii="宋体" w:hAnsi="宋体" w:cs="宋体"/>
          <w:color w:val="auto"/>
          <w:highlight w:val="none"/>
        </w:rPr>
        <w:t>第二节 招标文件</w:t>
      </w:r>
      <w:bookmarkEnd w:id="44"/>
      <w:bookmarkEnd w:id="45"/>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5"/>
        <w:jc w:val="center"/>
        <w:rPr>
          <w:rFonts w:ascii="宋体" w:hAnsi="宋体" w:cs="宋体"/>
          <w:color w:val="auto"/>
          <w:highlight w:val="none"/>
        </w:rPr>
      </w:pPr>
      <w:bookmarkStart w:id="46" w:name="_Toc450840075"/>
      <w:bookmarkStart w:id="47" w:name="_Toc7884"/>
      <w:bookmarkStart w:id="48" w:name="_Toc82873324"/>
      <w:bookmarkStart w:id="49" w:name="_Toc82338241"/>
      <w:bookmarkStart w:id="50" w:name="_Toc1096"/>
      <w:r>
        <w:rPr>
          <w:rFonts w:hint="eastAsia" w:ascii="宋体" w:hAnsi="宋体" w:cs="宋体"/>
          <w:color w:val="auto"/>
          <w:highlight w:val="none"/>
        </w:rPr>
        <w:t>第三节 投标文件</w:t>
      </w:r>
      <w:bookmarkEnd w:id="46"/>
      <w:bookmarkEnd w:id="47"/>
      <w:bookmarkEnd w:id="48"/>
      <w:bookmarkEnd w:id="49"/>
      <w:bookmarkEnd w:id="50"/>
    </w:p>
    <w:p>
      <w:pPr>
        <w:pStyle w:val="6"/>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6"/>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2.提供近三个月任意一个月有效的依法缴纳税收证明（完税凭证或税务部门出具的证明，新成立单位出具银行资信证明）；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3.提供近三个月任意一个月有效的依法缴纳社会保障资金证明（缴纳凭证或人社部门出具的证明）；</w:t>
      </w:r>
    </w:p>
    <w:p>
      <w:pPr>
        <w:ind w:firstLine="480"/>
        <w:rPr>
          <w:rFonts w:cs="宋体"/>
          <w:color w:val="auto"/>
          <w:highlight w:val="none"/>
        </w:rPr>
      </w:pPr>
      <w:r>
        <w:rPr>
          <w:rFonts w:hint="eastAsia" w:cs="宋体"/>
          <w:color w:val="auto"/>
          <w:highlight w:val="none"/>
        </w:rPr>
        <w:t>4.投标前三年无重大违法记录声明函（格式自拟）；</w:t>
      </w:r>
    </w:p>
    <w:p>
      <w:pPr>
        <w:ind w:firstLine="480"/>
        <w:rPr>
          <w:rFonts w:cs="宋体"/>
          <w:color w:val="auto"/>
          <w:highlight w:val="none"/>
        </w:rPr>
      </w:pPr>
      <w:r>
        <w:rPr>
          <w:rFonts w:hint="eastAsia"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rPr>
        <w:t>6.法定代表人证明书，法定代表人授权书（见附件六）（法定代表人参加投标的无须提供）、授权委托人身份证复印件、授权委托人社保证明（被委托人必须为本单位在职员工，并提供至少开标前三个月任意一个月的社保证明）；本项不作为资格证明文件审查内容。</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（4）法定代表人的身份证和法定代表人授权委托书（投标人的代表若为非法定代表人的，必须提交法定代表人授权书；身份证复印件、授权委托人社保证明（近三个月任意一个月的社保证明，附件六）</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（2）技术规范偏离表；（附件十三）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w:t>
      </w:r>
    </w:p>
    <w:p>
      <w:pPr>
        <w:ind w:firstLine="480"/>
        <w:rPr>
          <w:rFonts w:cs="宋体"/>
          <w:color w:val="auto"/>
          <w:highlight w:val="none"/>
        </w:rPr>
      </w:pPr>
      <w:r>
        <w:rPr>
          <w:rFonts w:hint="eastAsia" w:cs="宋体"/>
          <w:color w:val="auto"/>
          <w:highlight w:val="none"/>
        </w:rPr>
        <w:t>（4）工作进度安排及质量保证措施、验收方案；</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w:t>
      </w:r>
      <w:r>
        <w:rPr>
          <w:rFonts w:hint="eastAsia" w:cs="宋体"/>
          <w:color w:val="auto"/>
          <w:highlight w:val="none"/>
        </w:rPr>
        <w:t>如需要，</w:t>
      </w:r>
      <w:r>
        <w:rPr>
          <w:rFonts w:hint="eastAsia" w:cs="宋体"/>
          <w:color w:val="auto"/>
          <w:szCs w:val="32"/>
          <w:highlight w:val="none"/>
        </w:rPr>
        <w:t>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szCs w:val="32"/>
          <w:highlight w:val="none"/>
        </w:rPr>
      </w:pPr>
      <w:r>
        <w:rPr>
          <w:rFonts w:hint="eastAsia" w:cs="宋体"/>
          <w:color w:val="auto"/>
          <w:szCs w:val="32"/>
          <w:highlight w:val="none"/>
        </w:rPr>
        <w:t>（11）关于对采购文件中有关条款的拒绝声明（如果有）</w:t>
      </w:r>
    </w:p>
    <w:p>
      <w:pPr>
        <w:ind w:firstLine="480"/>
        <w:rPr>
          <w:rFonts w:cs="宋体"/>
          <w:color w:val="auto"/>
          <w:szCs w:val="32"/>
          <w:highlight w:val="none"/>
        </w:rPr>
      </w:pPr>
      <w:r>
        <w:rPr>
          <w:rFonts w:hint="eastAsia" w:cs="宋体"/>
          <w:color w:val="auto"/>
          <w:szCs w:val="32"/>
          <w:highlight w:val="none"/>
        </w:rPr>
        <w:t>（12）招标文件要求的或者投标人认为需要的其他技术文件或说明。（格式自拟）</w:t>
      </w:r>
    </w:p>
    <w:p>
      <w:pPr>
        <w:pStyle w:val="6"/>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1.投标报价是指一次性报出不得更改的价格，超过最高限价的投标报价无效；</w:t>
      </w:r>
    </w:p>
    <w:p>
      <w:pPr>
        <w:ind w:firstLine="480"/>
        <w:rPr>
          <w:rFonts w:cs="宋体"/>
          <w:color w:val="auto"/>
          <w:highlight w:val="none"/>
        </w:rPr>
      </w:pPr>
      <w:r>
        <w:rPr>
          <w:rFonts w:hint="eastAsia" w:cs="宋体"/>
          <w:color w:val="auto"/>
          <w:highlight w:val="none"/>
        </w:rPr>
        <w:t>2.</w:t>
      </w:r>
      <w:r>
        <w:rPr>
          <w:rFonts w:hint="eastAsia" w:cs="宋体"/>
          <w:color w:val="auto"/>
          <w:spacing w:val="-6"/>
          <w:highlight w:val="none"/>
        </w:rPr>
        <w:t>投标报价是履行合同的最终价格，投标报价包括包括货款、标准附件、备品备件、专用工具、包装、运输、装卸、保险、税金、人工费、施工、施工垃圾运输、货到就位</w:t>
      </w:r>
      <w:r>
        <w:rPr>
          <w:rFonts w:hint="eastAsia" w:cs="宋体"/>
          <w:color w:val="auto"/>
          <w:highlight w:val="none"/>
        </w:rPr>
        <w:t>以及安装、调试、检验、检测、保修、招标代理服务费、通过验收直至交付使用单位，达到使用要求及质量标准、质保期服务等完成本项目所需的全部费用。</w:t>
      </w:r>
    </w:p>
    <w:p>
      <w:pPr>
        <w:ind w:firstLine="480"/>
        <w:rPr>
          <w:rFonts w:cs="宋体"/>
          <w:color w:val="auto"/>
          <w:highlight w:val="none"/>
        </w:rPr>
      </w:pPr>
      <w:r>
        <w:rPr>
          <w:rFonts w:hint="eastAsia" w:cs="宋体"/>
          <w:color w:val="auto"/>
          <w:highlight w:val="none"/>
        </w:rPr>
        <w:t>3.投标人所报的价格在合同执行过程中是固定不变的，不得以任何理由予以变更，任何包含价格调整要求，将被认为是非响应性报价而予以拒绝。</w:t>
      </w:r>
    </w:p>
    <w:p>
      <w:pPr>
        <w:ind w:firstLine="480"/>
        <w:rPr>
          <w:rFonts w:cs="宋体"/>
          <w:color w:val="auto"/>
          <w:highlight w:val="none"/>
        </w:rPr>
      </w:pPr>
      <w:r>
        <w:rPr>
          <w:rFonts w:hint="eastAsia" w:cs="宋体"/>
          <w:color w:val="auto"/>
          <w:highlight w:val="none"/>
        </w:rPr>
        <w:t>4.本项目只允许一次报价，不允许以开标后调整的报价作为评标的依据（但按本招标文件修正原则进行修正并经评标委员会认定且经投标人确认同意的除外）</w:t>
      </w:r>
    </w:p>
    <w:p>
      <w:pPr>
        <w:pStyle w:val="6"/>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w:t>
      </w:r>
      <w:r>
        <w:rPr>
          <w:rFonts w:hint="eastAsia" w:cs="宋体"/>
          <w:b/>
          <w:color w:val="auto"/>
          <w:highlight w:val="none"/>
        </w:rPr>
        <w:t>投标人应将资格证明文件单独装订成册，报价文件单独装订成册，商务技术文件合并装订成册（含电子文档一份）</w:t>
      </w:r>
      <w:r>
        <w:rPr>
          <w:rFonts w:hint="eastAsia" w:cs="宋体"/>
          <w:color w:val="auto"/>
          <w:highlight w:val="none"/>
        </w:rPr>
        <w:t>，其中正本一份、副本四份，投标文件的封面应注明“正本“、“副本”字样，以及采购人名称、招标编号、招标项目名称、投标文件名称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480"/>
        <w:rPr>
          <w:rFonts w:cs="宋体"/>
          <w:color w:val="auto"/>
          <w:highlight w:val="none"/>
        </w:rPr>
      </w:pP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5"/>
        <w:jc w:val="center"/>
        <w:rPr>
          <w:rFonts w:ascii="宋体" w:hAnsi="宋体" w:cs="宋体"/>
          <w:color w:val="auto"/>
          <w:highlight w:val="none"/>
        </w:rPr>
      </w:pPr>
      <w:bookmarkStart w:id="51" w:name="_Toc12521"/>
      <w:bookmarkStart w:id="52" w:name="_Toc22229"/>
      <w:r>
        <w:rPr>
          <w:rFonts w:hint="eastAsia" w:ascii="宋体" w:hAnsi="宋体" w:cs="宋体"/>
          <w:color w:val="auto"/>
          <w:highlight w:val="none"/>
        </w:rPr>
        <w:t>第四节 投标文件的递交</w:t>
      </w:r>
      <w:bookmarkEnd w:id="51"/>
      <w:bookmarkEnd w:id="52"/>
    </w:p>
    <w:p>
      <w:pPr>
        <w:pStyle w:val="6"/>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（报价文件、资格证明文件、商务技术文件）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6"/>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2.投标方修改投标文件的书面村料，须密封送达招标方，同时应在封套上标明“修改投标文件（并注明招标编号）”和“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5"/>
        <w:jc w:val="center"/>
        <w:rPr>
          <w:rFonts w:ascii="宋体" w:hAnsi="宋体" w:cs="宋体"/>
          <w:color w:val="auto"/>
          <w:highlight w:val="none"/>
        </w:rPr>
      </w:pPr>
      <w:bookmarkStart w:id="53" w:name="_Toc6641"/>
      <w:bookmarkStart w:id="54" w:name="_Toc27893"/>
      <w:r>
        <w:rPr>
          <w:rFonts w:hint="eastAsia" w:ascii="宋体" w:hAnsi="宋体" w:cs="宋体"/>
          <w:color w:val="auto"/>
          <w:highlight w:val="none"/>
        </w:rPr>
        <w:t>第五节 开标</w:t>
      </w:r>
      <w:bookmarkEnd w:id="53"/>
      <w:bookmarkEnd w:id="54"/>
    </w:p>
    <w:p>
      <w:pPr>
        <w:pStyle w:val="6"/>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（2）采购代理机构接收投标文件并登记，各投标人法定代表人或其授权代表对投标文件的递交记录情况进行签字确认。未按招标文件要求密封包装的投标文件，将被当场拒绝。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6"/>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5"/>
        <w:jc w:val="center"/>
        <w:rPr>
          <w:rFonts w:ascii="宋体" w:hAnsi="宋体" w:cs="宋体"/>
          <w:color w:val="auto"/>
          <w:highlight w:val="none"/>
        </w:rPr>
      </w:pPr>
      <w:bookmarkStart w:id="55" w:name="_Toc13687"/>
      <w:bookmarkStart w:id="56" w:name="_Toc21731"/>
      <w:r>
        <w:rPr>
          <w:rFonts w:hint="eastAsia" w:ascii="宋体" w:hAnsi="宋体" w:cs="宋体"/>
          <w:color w:val="auto"/>
          <w:highlight w:val="none"/>
        </w:rPr>
        <w:t>第六节 评标</w:t>
      </w:r>
      <w:bookmarkEnd w:id="55"/>
      <w:bookmarkEnd w:id="56"/>
    </w:p>
    <w:p>
      <w:pPr>
        <w:pStyle w:val="6"/>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6"/>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6"/>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6"/>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6"/>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6"/>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（2）未提供或未按要求提供投标函、法定代表人资格证明书、投标声明书；</w:t>
      </w:r>
    </w:p>
    <w:p>
      <w:pPr>
        <w:ind w:firstLine="480"/>
        <w:rPr>
          <w:rFonts w:cs="宋体"/>
          <w:color w:val="auto"/>
          <w:highlight w:val="none"/>
        </w:rPr>
      </w:pPr>
      <w:r>
        <w:rPr>
          <w:rFonts w:hint="eastAsia" w:cs="宋体"/>
          <w:color w:val="auto"/>
          <w:highlight w:val="none"/>
        </w:rPr>
        <w:t>（3）法定代表人委托授权代表参加投标但未提供投标授权委托书的；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w:t>
      </w:r>
      <w:r>
        <w:rPr>
          <w:rFonts w:hint="eastAsia" w:cs="宋体"/>
          <w:bCs/>
          <w:color w:val="auto"/>
          <w:kern w:val="0"/>
          <w:szCs w:val="21"/>
          <w:highlight w:val="none"/>
        </w:rPr>
        <w:t>★</w:t>
      </w:r>
      <w:r>
        <w:rPr>
          <w:rFonts w:hint="eastAsia" w:cs="宋体"/>
          <w:color w:val="auto"/>
          <w:highlight w:val="none"/>
        </w:rPr>
        <w:t>”的项目发生实质性偏离的；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6"/>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6"/>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6"/>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5"/>
        <w:jc w:val="center"/>
        <w:rPr>
          <w:rFonts w:ascii="宋体" w:hAnsi="宋体" w:cs="宋体"/>
          <w:color w:val="auto"/>
          <w:highlight w:val="none"/>
        </w:rPr>
      </w:pPr>
      <w:bookmarkStart w:id="57" w:name="_Toc1387"/>
      <w:bookmarkStart w:id="58" w:name="_Toc24239"/>
      <w:r>
        <w:rPr>
          <w:rFonts w:hint="eastAsia" w:ascii="宋体" w:hAnsi="宋体" w:cs="宋体"/>
          <w:color w:val="auto"/>
          <w:highlight w:val="none"/>
        </w:rPr>
        <w:t>第七节 授予合同</w:t>
      </w:r>
      <w:bookmarkEnd w:id="57"/>
      <w:bookmarkEnd w:id="58"/>
    </w:p>
    <w:p>
      <w:pPr>
        <w:pStyle w:val="6"/>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2.采购代理机构自中标供应商确定之日起2个工作日内，发出中标通知书，并在浙江政府采购网等相关网站或媒体上公告中标结果。中标公告期限为1个工作日。</w:t>
      </w:r>
    </w:p>
    <w:p>
      <w:pPr>
        <w:pStyle w:val="6"/>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6"/>
        <w:rPr>
          <w:rFonts w:cs="宋体"/>
          <w:color w:val="auto"/>
          <w:highlight w:val="none"/>
        </w:rPr>
      </w:pPr>
      <w:r>
        <w:rPr>
          <w:rFonts w:hint="eastAsia" w:cs="宋体"/>
          <w:color w:val="auto"/>
          <w:highlight w:val="none"/>
        </w:rPr>
        <w:t>三、履约保证金</w:t>
      </w:r>
    </w:p>
    <w:p>
      <w:pPr>
        <w:ind w:firstLine="480"/>
        <w:rPr>
          <w:rFonts w:hint="eastAsia" w:cs="宋体"/>
          <w:color w:val="auto"/>
          <w:szCs w:val="32"/>
          <w:highlight w:val="none"/>
        </w:rPr>
      </w:pPr>
      <w:bookmarkStart w:id="59" w:name="_Toc17703"/>
      <w:bookmarkStart w:id="60" w:name="_Toc12481"/>
      <w:r>
        <w:rPr>
          <w:rFonts w:hint="eastAsia" w:cs="宋体"/>
          <w:color w:val="auto"/>
          <w:szCs w:val="32"/>
          <w:highlight w:val="none"/>
          <w:lang w:val="en-US" w:eastAsia="zh-CN"/>
        </w:rPr>
        <w:t>1.</w:t>
      </w:r>
      <w:r>
        <w:rPr>
          <w:rFonts w:hint="eastAsia" w:cs="宋体"/>
          <w:color w:val="auto"/>
          <w:szCs w:val="32"/>
          <w:highlight w:val="none"/>
        </w:rPr>
        <w:t>合同签订后</w:t>
      </w:r>
      <w:r>
        <w:rPr>
          <w:rFonts w:hint="eastAsia" w:cs="宋体"/>
          <w:color w:val="auto"/>
          <w:szCs w:val="32"/>
          <w:highlight w:val="none"/>
          <w:lang w:val="en-US" w:eastAsia="zh-CN"/>
        </w:rPr>
        <w:t>7天内</w:t>
      </w:r>
      <w:r>
        <w:rPr>
          <w:rFonts w:hint="eastAsia" w:cs="宋体"/>
          <w:color w:val="auto"/>
          <w:szCs w:val="32"/>
          <w:highlight w:val="none"/>
        </w:rPr>
        <w:t>向</w:t>
      </w:r>
      <w:r>
        <w:rPr>
          <w:rFonts w:hint="eastAsia" w:cs="宋体"/>
          <w:color w:val="auto"/>
          <w:szCs w:val="32"/>
          <w:highlight w:val="none"/>
          <w:lang w:val="en-US" w:eastAsia="zh-CN"/>
        </w:rPr>
        <w:t>采购人交纳</w:t>
      </w:r>
      <w:r>
        <w:rPr>
          <w:rFonts w:hint="eastAsia" w:cs="宋体"/>
          <w:color w:val="auto"/>
          <w:szCs w:val="32"/>
          <w:highlight w:val="none"/>
        </w:rPr>
        <w:t>合同总</w:t>
      </w:r>
      <w:r>
        <w:rPr>
          <w:rFonts w:hint="eastAsia" w:cs="宋体"/>
          <w:color w:val="auto"/>
          <w:szCs w:val="32"/>
          <w:highlight w:val="none"/>
          <w:lang w:val="en-US" w:eastAsia="zh-CN"/>
        </w:rPr>
        <w:t>金额</w:t>
      </w:r>
      <w:r>
        <w:rPr>
          <w:rFonts w:hint="eastAsia" w:cs="宋体"/>
          <w:color w:val="auto"/>
          <w:szCs w:val="32"/>
          <w:highlight w:val="none"/>
        </w:rPr>
        <w:t>5% 的履约保证金，履约保证金在交货验收后自动转为质量保证金。质量保证金自货物交付验收合格后12个月内无质量问题索赔和售后服务问题，无息退回。</w:t>
      </w:r>
    </w:p>
    <w:p>
      <w:pPr>
        <w:ind w:firstLine="480"/>
        <w:rPr>
          <w:rFonts w:cs="宋体"/>
          <w:color w:val="auto"/>
          <w:szCs w:val="32"/>
          <w:highlight w:val="none"/>
        </w:rPr>
      </w:pPr>
      <w:r>
        <w:rPr>
          <w:rFonts w:hint="eastAsia" w:cs="宋体"/>
          <w:color w:val="auto"/>
          <w:szCs w:val="32"/>
          <w:highlight w:val="none"/>
          <w:lang w:val="en-US" w:eastAsia="zh-CN"/>
        </w:rPr>
        <w:t>2.</w:t>
      </w:r>
      <w:r>
        <w:rPr>
          <w:rFonts w:hint="eastAsia" w:cs="宋体"/>
          <w:color w:val="auto"/>
          <w:szCs w:val="32"/>
          <w:highlight w:val="none"/>
        </w:rPr>
        <w:t>履约保证金的交付方式：</w:t>
      </w:r>
      <w:r>
        <w:rPr>
          <w:rFonts w:hint="eastAsia" w:cs="宋体"/>
          <w:color w:val="auto"/>
          <w:szCs w:val="32"/>
          <w:highlight w:val="none"/>
          <w:lang w:val="en-US" w:eastAsia="zh-CN"/>
        </w:rPr>
        <w:t>转账、</w:t>
      </w:r>
      <w:r>
        <w:rPr>
          <w:rFonts w:hint="eastAsia" w:cs="宋体"/>
          <w:color w:val="auto"/>
          <w:szCs w:val="32"/>
          <w:highlight w:val="none"/>
        </w:rPr>
        <w:t>支票、汇票、保函等非现金方式。</w:t>
      </w:r>
    </w:p>
    <w:p>
      <w:pPr>
        <w:pStyle w:val="5"/>
        <w:jc w:val="center"/>
        <w:rPr>
          <w:rFonts w:ascii="宋体" w:hAnsi="宋体" w:cs="宋体"/>
          <w:color w:val="auto"/>
          <w:highlight w:val="none"/>
        </w:rPr>
      </w:pPr>
      <w:r>
        <w:rPr>
          <w:rFonts w:hint="eastAsia" w:ascii="宋体" w:hAnsi="宋体" w:cs="宋体"/>
          <w:color w:val="auto"/>
          <w:highlight w:val="none"/>
        </w:rPr>
        <w:t>第八节 例外处理</w:t>
      </w:r>
      <w:bookmarkEnd w:id="59"/>
      <w:bookmarkEnd w:id="60"/>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footerReference r:id="rId17" w:type="default"/>
          <w:pgSz w:w="11906" w:h="16838"/>
          <w:pgMar w:top="1247" w:right="1247" w:bottom="1247" w:left="1247" w:header="170" w:footer="567" w:gutter="0"/>
          <w:pgNumType w:fmt="decimal"/>
          <w:cols w:space="720" w:num="1"/>
          <w:docGrid w:linePitch="381" w:charSpace="0"/>
        </w:sectPr>
      </w:pPr>
      <w:r>
        <w:rPr>
          <w:rFonts w:hint="eastAsia" w:cs="宋体"/>
          <w:color w:val="auto"/>
          <w:highlight w:val="none"/>
        </w:rPr>
        <w:t>2.可按省级财政部门的审批意见采用其他采购方式组织采购。</w:t>
      </w:r>
    </w:p>
    <w:p>
      <w:pPr>
        <w:pStyle w:val="4"/>
        <w:rPr>
          <w:rFonts w:cs="宋体"/>
          <w:color w:val="auto"/>
          <w:highlight w:val="none"/>
        </w:rPr>
      </w:pPr>
      <w:bookmarkStart w:id="61" w:name="_Toc82338233"/>
      <w:bookmarkStart w:id="62" w:name="_Toc82873316"/>
      <w:bookmarkStart w:id="63" w:name="_Toc450840079"/>
      <w:bookmarkStart w:id="64" w:name="_Toc29095"/>
      <w:r>
        <w:rPr>
          <w:rFonts w:hint="eastAsia" w:cs="宋体"/>
          <w:color w:val="auto"/>
          <w:highlight w:val="none"/>
        </w:rPr>
        <w:t xml:space="preserve">第四章 </w:t>
      </w:r>
      <w:bookmarkEnd w:id="61"/>
      <w:bookmarkEnd w:id="62"/>
      <w:bookmarkEnd w:id="63"/>
      <w:r>
        <w:rPr>
          <w:rFonts w:hint="eastAsia" w:cs="宋体"/>
          <w:color w:val="auto"/>
          <w:highlight w:val="none"/>
        </w:rPr>
        <w:t>评标办法及评分标准</w:t>
      </w:r>
      <w:bookmarkEnd w:id="64"/>
    </w:p>
    <w:p>
      <w:pPr>
        <w:pStyle w:val="5"/>
        <w:rPr>
          <w:rFonts w:ascii="宋体" w:hAnsi="宋体" w:cs="宋体"/>
          <w:color w:val="auto"/>
          <w:highlight w:val="none"/>
        </w:rPr>
      </w:pPr>
      <w:bookmarkStart w:id="65" w:name="_Toc11391"/>
      <w:bookmarkStart w:id="66" w:name="_Toc18942"/>
      <w:r>
        <w:rPr>
          <w:rFonts w:hint="eastAsia" w:ascii="宋体" w:hAnsi="宋体" w:cs="宋体"/>
          <w:color w:val="auto"/>
          <w:highlight w:val="none"/>
        </w:rPr>
        <w:t>一、评分总则</w:t>
      </w:r>
      <w:bookmarkEnd w:id="65"/>
      <w:bookmarkEnd w:id="66"/>
    </w:p>
    <w:p>
      <w:pPr>
        <w:ind w:firstLine="480"/>
        <w:rPr>
          <w:color w:val="auto"/>
          <w:highlight w:val="none"/>
        </w:rPr>
      </w:pPr>
      <w:r>
        <w:rPr>
          <w:rFonts w:hint="eastAsia"/>
          <w:color w:val="auto"/>
          <w:highlight w:val="none"/>
        </w:rPr>
        <w:t>本次招标的评标采用</w:t>
      </w:r>
      <w:r>
        <w:rPr>
          <w:rFonts w:hint="eastAsia"/>
          <w:b/>
          <w:bCs/>
          <w:color w:val="auto"/>
          <w:highlight w:val="none"/>
        </w:rPr>
        <w:t>综合评分法</w:t>
      </w:r>
      <w:r>
        <w:rPr>
          <w:rFonts w:hint="eastAsia"/>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color w:val="auto"/>
          <w:highlight w:val="none"/>
        </w:rPr>
      </w:pPr>
      <w:r>
        <w:rPr>
          <w:rFonts w:hint="eastAsia"/>
          <w:color w:val="auto"/>
          <w:highlight w:val="none"/>
        </w:rPr>
        <w:t>评分过程中采用四舍五入法，并保留小数2位；</w:t>
      </w:r>
    </w:p>
    <w:p>
      <w:pPr>
        <w:ind w:firstLine="480"/>
        <w:rPr>
          <w:color w:val="auto"/>
          <w:highlight w:val="none"/>
        </w:rPr>
      </w:pPr>
      <w:r>
        <w:rPr>
          <w:rFonts w:hint="eastAsia"/>
          <w:color w:val="auto"/>
          <w:highlight w:val="none"/>
        </w:rPr>
        <w:t>投标人评标综合得分=商务分+技术分+价格分；</w:t>
      </w:r>
    </w:p>
    <w:p>
      <w:pPr>
        <w:ind w:firstLine="480"/>
        <w:rPr>
          <w:color w:val="auto"/>
          <w:highlight w:val="none"/>
        </w:rPr>
      </w:pPr>
      <w:r>
        <w:rPr>
          <w:rFonts w:hint="eastAsia"/>
          <w:color w:val="auto"/>
          <w:highlight w:val="none"/>
        </w:rPr>
        <w:t>商务分、技术分按照评标委员会成员的独立评分结果的算术平均分计算，计算公式为：</w:t>
      </w:r>
    </w:p>
    <w:p>
      <w:pPr>
        <w:ind w:firstLine="480"/>
        <w:rPr>
          <w:color w:val="auto"/>
          <w:highlight w:val="none"/>
        </w:rPr>
      </w:pPr>
      <w:r>
        <w:rPr>
          <w:rFonts w:hint="eastAsia"/>
          <w:color w:val="auto"/>
          <w:highlight w:val="none"/>
        </w:rPr>
        <w:t>商务分=（评标委员会所有成员商务评分合计数）/（评标委员会组成人员数）；</w:t>
      </w:r>
    </w:p>
    <w:p>
      <w:pPr>
        <w:ind w:firstLine="480"/>
        <w:rPr>
          <w:color w:val="auto"/>
          <w:highlight w:val="none"/>
        </w:rPr>
      </w:pPr>
      <w:r>
        <w:rPr>
          <w:rFonts w:hint="eastAsia"/>
          <w:color w:val="auto"/>
          <w:highlight w:val="none"/>
        </w:rPr>
        <w:t>技术分=（评标委员会所有成员技术评分合计数）/（评标委员会组成人员数）。</w:t>
      </w:r>
    </w:p>
    <w:p>
      <w:pPr>
        <w:pStyle w:val="5"/>
        <w:rPr>
          <w:rFonts w:ascii="宋体" w:hAnsi="宋体" w:cs="宋体"/>
          <w:color w:val="auto"/>
          <w:highlight w:val="none"/>
        </w:rPr>
      </w:pPr>
      <w:bookmarkStart w:id="67" w:name="_Toc1192"/>
      <w:r>
        <w:rPr>
          <w:rFonts w:hint="eastAsia" w:ascii="宋体" w:hAnsi="宋体" w:cs="宋体"/>
          <w:color w:val="auto"/>
          <w:highlight w:val="none"/>
        </w:rPr>
        <w:t>二、评分内容及标准</w:t>
      </w:r>
      <w:bookmarkEnd w:id="67"/>
    </w:p>
    <w:p>
      <w:pPr>
        <w:ind w:firstLine="480"/>
        <w:rPr>
          <w:color w:val="auto"/>
          <w:highlight w:val="none"/>
        </w:rPr>
      </w:pPr>
      <w:r>
        <w:rPr>
          <w:rFonts w:hint="eastAsia"/>
          <w:color w:val="auto"/>
          <w:highlight w:val="none"/>
        </w:rPr>
        <w:t>本评标标准是对“投标方须知”中“</w:t>
      </w:r>
      <w:r>
        <w:rPr>
          <w:rFonts w:hint="eastAsia"/>
          <w:b/>
          <w:bCs/>
          <w:color w:val="auto"/>
          <w:highlight w:val="none"/>
        </w:rPr>
        <w:t>第五节开标</w:t>
      </w:r>
      <w:r>
        <w:rPr>
          <w:rFonts w:hint="eastAsia"/>
          <w:color w:val="auto"/>
          <w:highlight w:val="none"/>
        </w:rPr>
        <w:t>”、“</w:t>
      </w:r>
      <w:r>
        <w:rPr>
          <w:rFonts w:hint="eastAsia"/>
          <w:b/>
          <w:bCs/>
          <w:color w:val="auto"/>
          <w:highlight w:val="none"/>
        </w:rPr>
        <w:t>第六节评标</w:t>
      </w:r>
      <w:r>
        <w:rPr>
          <w:rFonts w:hint="eastAsia"/>
          <w:color w:val="auto"/>
          <w:highlight w:val="none"/>
        </w:rPr>
        <w:t>”以及其他相关条款的具体补充，如有矛盾，以本评标标准为准。</w:t>
      </w:r>
    </w:p>
    <w:p>
      <w:pPr>
        <w:ind w:firstLine="480"/>
        <w:rPr>
          <w:color w:val="auto"/>
          <w:highlight w:val="none"/>
        </w:rPr>
      </w:pPr>
      <w:r>
        <w:rPr>
          <w:rFonts w:hint="eastAsia"/>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40"/>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60" w:type="dxa"/>
            <w:noWrap/>
            <w:vAlign w:val="center"/>
          </w:tcPr>
          <w:p>
            <w:pPr>
              <w:pStyle w:val="52"/>
              <w:spacing w:line="240" w:lineRule="auto"/>
              <w:rPr>
                <w:rFonts w:ascii="宋体" w:eastAsia="宋体" w:cs="宋体"/>
                <w:color w:val="auto"/>
                <w:highlight w:val="none"/>
              </w:rPr>
            </w:pPr>
            <w:r>
              <w:rPr>
                <w:rFonts w:hint="eastAsia" w:ascii="宋体" w:eastAsia="宋体" w:cs="宋体"/>
                <w:b/>
                <w:color w:val="auto"/>
                <w:spacing w:val="-6"/>
                <w:highlight w:val="none"/>
              </w:rPr>
              <w:t>评审因素</w:t>
            </w:r>
          </w:p>
        </w:tc>
        <w:tc>
          <w:tcPr>
            <w:tcW w:w="709" w:type="dxa"/>
            <w:noWrap/>
            <w:vAlign w:val="center"/>
          </w:tcPr>
          <w:p>
            <w:pPr>
              <w:pStyle w:val="52"/>
              <w:spacing w:line="240" w:lineRule="auto"/>
              <w:rPr>
                <w:rFonts w:ascii="宋体" w:eastAsia="宋体" w:cs="宋体"/>
                <w:color w:val="auto"/>
                <w:highlight w:val="none"/>
              </w:rPr>
            </w:pPr>
            <w:r>
              <w:rPr>
                <w:rFonts w:hint="eastAsia" w:ascii="宋体" w:eastAsia="宋体" w:cs="宋体"/>
                <w:b/>
                <w:color w:val="auto"/>
                <w:spacing w:val="-6"/>
                <w:highlight w:val="none"/>
              </w:rPr>
              <w:t>分值</w:t>
            </w:r>
          </w:p>
        </w:tc>
        <w:tc>
          <w:tcPr>
            <w:tcW w:w="7371" w:type="dxa"/>
            <w:noWrap/>
            <w:vAlign w:val="center"/>
          </w:tcPr>
          <w:p>
            <w:pPr>
              <w:pStyle w:val="52"/>
              <w:spacing w:line="240" w:lineRule="auto"/>
              <w:rPr>
                <w:rFonts w:ascii="宋体" w:eastAsia="宋体" w:cs="宋体"/>
                <w:color w:val="auto"/>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40" w:type="dxa"/>
            <w:gridSpan w:val="3"/>
            <w:noWrap/>
            <w:vAlign w:val="center"/>
          </w:tcPr>
          <w:p>
            <w:pPr>
              <w:ind w:firstLine="0" w:firstLineChars="0"/>
              <w:jc w:val="center"/>
              <w:rPr>
                <w:rFonts w:cs="宋体"/>
                <w:color w:val="auto"/>
                <w:highlight w:val="none"/>
              </w:rPr>
            </w:pPr>
            <w:r>
              <w:rPr>
                <w:rFonts w:hint="eastAsia" w:cs="宋体"/>
                <w:b/>
                <w:bCs/>
                <w:color w:val="auto"/>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560" w:type="dxa"/>
            <w:noWrap/>
            <w:vAlign w:val="center"/>
          </w:tcPr>
          <w:p>
            <w:pPr>
              <w:pStyle w:val="15"/>
              <w:spacing w:line="360" w:lineRule="auto"/>
              <w:ind w:firstLine="0"/>
              <w:jc w:val="center"/>
              <w:rPr>
                <w:rFonts w:cs="宋体"/>
                <w:color w:val="auto"/>
                <w:highlight w:val="none"/>
              </w:rPr>
            </w:pPr>
            <w:r>
              <w:rPr>
                <w:rFonts w:hint="eastAsia" w:cs="宋体"/>
                <w:color w:val="auto"/>
                <w:spacing w:val="-6"/>
                <w:kern w:val="2"/>
                <w:szCs w:val="24"/>
                <w:highlight w:val="none"/>
              </w:rPr>
              <w:t>投标报价</w:t>
            </w:r>
          </w:p>
        </w:tc>
        <w:tc>
          <w:tcPr>
            <w:tcW w:w="709" w:type="dxa"/>
            <w:noWrap/>
            <w:vAlign w:val="center"/>
          </w:tcPr>
          <w:p>
            <w:pPr>
              <w:ind w:firstLine="0" w:firstLineChars="0"/>
              <w:jc w:val="center"/>
              <w:rPr>
                <w:rFonts w:cs="宋体"/>
                <w:color w:val="auto"/>
                <w:highlight w:val="none"/>
              </w:rPr>
            </w:pPr>
            <w:r>
              <w:rPr>
                <w:rFonts w:hint="eastAsia" w:cs="宋体"/>
                <w:color w:val="auto"/>
                <w:spacing w:val="-6"/>
                <w:highlight w:val="none"/>
              </w:rPr>
              <w:t>30</w:t>
            </w:r>
          </w:p>
        </w:tc>
        <w:tc>
          <w:tcPr>
            <w:tcW w:w="7371" w:type="dxa"/>
            <w:noWrap/>
            <w:vAlign w:val="center"/>
          </w:tcPr>
          <w:p>
            <w:pPr>
              <w:pStyle w:val="15"/>
              <w:spacing w:line="360" w:lineRule="auto"/>
              <w:ind w:firstLine="0"/>
              <w:rPr>
                <w:color w:val="auto"/>
                <w:highlight w:val="none"/>
              </w:rPr>
            </w:pPr>
            <w:r>
              <w:rPr>
                <w:rFonts w:hint="eastAsia"/>
                <w:color w:val="auto"/>
                <w:highlight w:val="none"/>
              </w:rPr>
              <w:t>价格分计算，满足招标文件要求且投标价格最低的投标报价为评标基准价，其他投标单位的价格分按照下列公式计算：</w:t>
            </w:r>
          </w:p>
          <w:p>
            <w:pPr>
              <w:ind w:firstLine="0" w:firstLineChars="0"/>
              <w:rPr>
                <w:color w:val="auto"/>
                <w:highlight w:val="none"/>
              </w:rPr>
            </w:pPr>
            <w:r>
              <w:rPr>
                <w:rFonts w:hint="eastAsia"/>
                <w:color w:val="auto"/>
                <w:highlight w:val="none"/>
              </w:rPr>
              <w:t>价格分=（评标基准价/投标报价）×30%×100</w:t>
            </w:r>
          </w:p>
          <w:p>
            <w:pPr>
              <w:pStyle w:val="14"/>
              <w:rPr>
                <w:color w:val="auto"/>
                <w:highlight w:val="none"/>
              </w:rPr>
            </w:pPr>
            <w:r>
              <w:rPr>
                <w:rFonts w:hint="eastAsia" w:ascii="宋体" w:eastAsia="宋体"/>
                <w:color w:val="auto"/>
                <w:sz w:val="24"/>
                <w:highlight w:val="none"/>
              </w:rPr>
              <w:t>本项目根据《政府采购促进中小企业发展暂行办法》（财库【2011】181号）规定，对小型和微型企业的价格给予6%的扣除，用扣除后的价格参与评审。监狱企业视同小型、微型企业。投标报价得分=(评标基准价／投标报价*94%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9640" w:type="dxa"/>
            <w:gridSpan w:val="3"/>
            <w:noWrap/>
            <w:vAlign w:val="center"/>
          </w:tcPr>
          <w:p>
            <w:pPr>
              <w:ind w:firstLine="0" w:firstLineChars="0"/>
              <w:jc w:val="center"/>
              <w:rPr>
                <w:rFonts w:cs="宋体"/>
                <w:b/>
                <w:bCs/>
                <w:color w:val="auto"/>
                <w:highlight w:val="none"/>
              </w:rPr>
            </w:pPr>
            <w:r>
              <w:rPr>
                <w:rFonts w:hint="eastAsia" w:cs="宋体"/>
                <w:b/>
                <w:bCs/>
                <w:color w:val="auto"/>
                <w:highlight w:val="none"/>
              </w:rPr>
              <w:t>商务分（21分）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restart"/>
            <w:noWrap/>
            <w:vAlign w:val="center"/>
          </w:tcPr>
          <w:p>
            <w:pPr>
              <w:spacing w:line="26" w:lineRule="atLeast"/>
              <w:ind w:firstLine="0" w:firstLineChars="0"/>
              <w:jc w:val="center"/>
              <w:rPr>
                <w:rFonts w:cs="宋体"/>
                <w:color w:val="auto"/>
                <w:highlight w:val="none"/>
              </w:rPr>
            </w:pPr>
            <w:r>
              <w:rPr>
                <w:rFonts w:hint="eastAsia"/>
                <w:color w:val="auto"/>
                <w:highlight w:val="none"/>
              </w:rPr>
              <w:t>投标产品生产厂家或投标人相关资质及认证等</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3</w:t>
            </w:r>
          </w:p>
        </w:tc>
        <w:tc>
          <w:tcPr>
            <w:tcW w:w="7371" w:type="dxa"/>
            <w:noWrap/>
            <w:vAlign w:val="center"/>
          </w:tcPr>
          <w:p>
            <w:pPr>
              <w:pStyle w:val="2"/>
              <w:spacing w:line="360" w:lineRule="auto"/>
              <w:jc w:val="both"/>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投标产品生产厂家：</w:t>
            </w:r>
          </w:p>
          <w:p>
            <w:pPr>
              <w:pStyle w:val="2"/>
              <w:spacing w:line="360" w:lineRule="auto"/>
              <w:jc w:val="both"/>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具有钢结构施工三级及安全生产许可证以上资质的，得1分；</w:t>
            </w:r>
          </w:p>
          <w:p>
            <w:pPr>
              <w:pStyle w:val="2"/>
              <w:spacing w:line="360" w:lineRule="auto"/>
              <w:jc w:val="both"/>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 xml:space="preserve">具有电子与智能化工程专业承包壹级及以上资质的，得1分； </w:t>
            </w:r>
          </w:p>
          <w:p>
            <w:pPr>
              <w:pStyle w:val="2"/>
              <w:spacing w:line="360" w:lineRule="auto"/>
              <w:jc w:val="both"/>
              <w:rPr>
                <w:rFonts w:ascii="宋体" w:hAnsi="宋体" w:eastAsia="宋体" w:cs="宋体"/>
                <w:color w:val="auto"/>
                <w:kern w:val="2"/>
                <w:szCs w:val="21"/>
                <w:highlight w:val="none"/>
              </w:rPr>
            </w:pPr>
            <w:r>
              <w:rPr>
                <w:rFonts w:hint="eastAsia" w:ascii="宋体" w:hAnsi="宋体" w:eastAsia="宋体" w:cs="宋体"/>
                <w:color w:val="auto"/>
                <w:kern w:val="2"/>
                <w:szCs w:val="21"/>
                <w:highlight w:val="none"/>
              </w:rPr>
              <w:t>具有AAA资信等级的，得1分；</w:t>
            </w:r>
          </w:p>
          <w:p>
            <w:pPr>
              <w:spacing w:line="26" w:lineRule="atLeast"/>
              <w:ind w:firstLine="0" w:firstLineChars="0"/>
              <w:rPr>
                <w:color w:val="auto"/>
                <w:highlight w:val="none"/>
              </w:rPr>
            </w:pPr>
            <w:r>
              <w:rPr>
                <w:rFonts w:hint="eastAsia" w:cs="宋体"/>
                <w:color w:val="auto"/>
                <w:szCs w:val="21"/>
                <w:highlight w:val="none"/>
              </w:rPr>
              <w:t>（投标文件中需提供资质证书复印件加盖投标人公章，投标人为生产厂家的提交原件备查，投标人为经销商或代理商的提供复印件加盖生产厂商公章备查，未提交不得分。）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continue"/>
            <w:noWrap/>
            <w:vAlign w:val="center"/>
          </w:tcPr>
          <w:p>
            <w:pPr>
              <w:spacing w:line="26" w:lineRule="atLeast"/>
              <w:ind w:firstLine="0" w:firstLineChars="0"/>
              <w:jc w:val="center"/>
              <w:rPr>
                <w:rFonts w:cs="宋体"/>
                <w:color w:val="auto"/>
                <w:highlight w:val="none"/>
              </w:rPr>
            </w:pP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1</w:t>
            </w:r>
          </w:p>
        </w:tc>
        <w:tc>
          <w:tcPr>
            <w:tcW w:w="7371" w:type="dxa"/>
            <w:noWrap/>
            <w:vAlign w:val="center"/>
          </w:tcPr>
          <w:p>
            <w:pPr>
              <w:spacing w:line="26" w:lineRule="atLeast"/>
              <w:ind w:firstLine="0" w:firstLineChars="0"/>
              <w:rPr>
                <w:color w:val="auto"/>
                <w:highlight w:val="none"/>
              </w:rPr>
            </w:pPr>
            <w:r>
              <w:rPr>
                <w:rFonts w:hint="eastAsia"/>
                <w:color w:val="auto"/>
                <w:highlight w:val="none"/>
              </w:rPr>
              <w:t>投标产品生产厂家：</w:t>
            </w:r>
          </w:p>
          <w:p>
            <w:pPr>
              <w:spacing w:line="26" w:lineRule="atLeast"/>
              <w:ind w:firstLine="0" w:firstLineChars="0"/>
              <w:rPr>
                <w:color w:val="auto"/>
                <w:highlight w:val="none"/>
              </w:rPr>
            </w:pPr>
            <w:r>
              <w:rPr>
                <w:rFonts w:hint="eastAsia"/>
                <w:color w:val="auto"/>
                <w:highlight w:val="none"/>
              </w:rPr>
              <w:t>具有有效的质量管理体系认证、环境管理体系认证、职业健康安全管理体系认证，得1分，否则不得分。</w:t>
            </w:r>
          </w:p>
          <w:p>
            <w:pPr>
              <w:spacing w:line="26" w:lineRule="atLeast"/>
              <w:ind w:firstLine="0" w:firstLineChars="0"/>
              <w:rPr>
                <w:color w:val="auto"/>
                <w:highlight w:val="none"/>
              </w:rPr>
            </w:pPr>
            <w:r>
              <w:rPr>
                <w:rFonts w:hint="eastAsia"/>
                <w:color w:val="auto"/>
                <w:highlight w:val="none"/>
              </w:rPr>
              <w:t>（投标文件中需提供认证证书复印件加盖投标人公章，投标人为生产厂家的提交原件备查，投标人为经销商或代理商的提供复印件加盖生产厂商公章备查，未提交不得分。）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质保期</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2</w:t>
            </w:r>
          </w:p>
        </w:tc>
        <w:tc>
          <w:tcPr>
            <w:tcW w:w="7371" w:type="dxa"/>
            <w:noWrap/>
            <w:vAlign w:val="center"/>
          </w:tcPr>
          <w:p>
            <w:pPr>
              <w:spacing w:line="26" w:lineRule="atLeast"/>
              <w:ind w:firstLine="0" w:firstLineChars="0"/>
              <w:rPr>
                <w:color w:val="auto"/>
                <w:highlight w:val="none"/>
              </w:rPr>
            </w:pPr>
            <w:r>
              <w:rPr>
                <w:rFonts w:hint="eastAsia"/>
                <w:color w:val="auto"/>
                <w:highlight w:val="none"/>
              </w:rPr>
              <w:t>质保期满足招标文件，且每增加十二个月加1分，增加不足十二个月的不加分；本项最高得2分。(提供相关证明文件,不提供本项不得分)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560"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节能产品环保产品、认证证书</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1</w:t>
            </w:r>
          </w:p>
        </w:tc>
        <w:tc>
          <w:tcPr>
            <w:tcW w:w="7371" w:type="dxa"/>
            <w:noWrap/>
            <w:vAlign w:val="center"/>
          </w:tcPr>
          <w:p>
            <w:pPr>
              <w:spacing w:line="26" w:lineRule="atLeast"/>
              <w:ind w:firstLine="0" w:firstLineChars="0"/>
              <w:rPr>
                <w:rFonts w:cs="宋体"/>
                <w:color w:val="auto"/>
                <w:highlight w:val="none"/>
              </w:rPr>
            </w:pPr>
            <w:r>
              <w:rPr>
                <w:rFonts w:hint="eastAsia" w:cs="宋体"/>
                <w:color w:val="auto"/>
                <w:szCs w:val="21"/>
                <w:highlight w:val="none"/>
              </w:rPr>
              <w:t>投标产品主体列入财政部、发改委、生态环境部等部门发布的“环境标志产品品目清单”的得0.5分。投标产品主体列入财政部、发改委、生态环境部等部门发布的“节能产品品目清单”的得0.5分。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类似业绩</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10</w:t>
            </w:r>
          </w:p>
        </w:tc>
        <w:tc>
          <w:tcPr>
            <w:tcW w:w="7371" w:type="dxa"/>
            <w:noWrap/>
            <w:vAlign w:val="center"/>
          </w:tcPr>
          <w:p>
            <w:pPr>
              <w:spacing w:line="26" w:lineRule="atLeast"/>
              <w:ind w:firstLine="0" w:firstLineChars="0"/>
              <w:rPr>
                <w:rFonts w:cs="宋体"/>
                <w:color w:val="auto"/>
                <w:highlight w:val="none"/>
              </w:rPr>
            </w:pPr>
            <w:r>
              <w:rPr>
                <w:rFonts w:hint="eastAsia"/>
                <w:color w:val="auto"/>
                <w:highlight w:val="none"/>
              </w:rPr>
              <w:t>投标人自201</w:t>
            </w:r>
            <w:r>
              <w:rPr>
                <w:rFonts w:hint="eastAsia"/>
                <w:color w:val="auto"/>
                <w:highlight w:val="none"/>
                <w:lang w:val="en-US" w:eastAsia="zh-CN"/>
              </w:rPr>
              <w:t>7</w:t>
            </w:r>
            <w:r>
              <w:rPr>
                <w:rFonts w:hint="eastAsia"/>
                <w:color w:val="auto"/>
                <w:highlight w:val="none"/>
              </w:rPr>
              <w:t>年</w:t>
            </w:r>
            <w:r>
              <w:rPr>
                <w:rFonts w:hint="eastAsia"/>
                <w:color w:val="auto"/>
                <w:highlight w:val="none"/>
                <w:lang w:val="en-US" w:eastAsia="zh-CN"/>
              </w:rPr>
              <w:t>6</w:t>
            </w:r>
            <w:r>
              <w:rPr>
                <w:rFonts w:hint="eastAsia"/>
                <w:color w:val="auto"/>
                <w:highlight w:val="none"/>
              </w:rPr>
              <w:t>月以来同类业绩</w:t>
            </w:r>
            <w:r>
              <w:rPr>
                <w:rFonts w:hint="eastAsia" w:cs="宋体"/>
                <w:color w:val="auto"/>
                <w:szCs w:val="21"/>
                <w:highlight w:val="none"/>
              </w:rPr>
              <w:t>(合同清单中有本次采购同类室内小间距产品)</w:t>
            </w:r>
            <w:r>
              <w:rPr>
                <w:rFonts w:hint="eastAsia"/>
                <w:color w:val="auto"/>
                <w:highlight w:val="none"/>
              </w:rPr>
              <w:t>，每个得2分，最高10分；（须提供相应的证明文件：合同复印件及中标通知书，缺一个不得分，</w:t>
            </w:r>
            <w:r>
              <w:rPr>
                <w:color w:val="auto"/>
                <w:highlight w:val="none"/>
              </w:rPr>
              <w:t>以合同签订时间为准。</w:t>
            </w:r>
            <w:r>
              <w:rPr>
                <w:rFonts w:hint="eastAsia"/>
                <w:color w:val="auto"/>
                <w:highlight w:val="none"/>
              </w:rPr>
              <w:t>原则上以投标文件中的复印件为准，若复印件不明确，评审小组以核查的原件为准，开标时请携带原件备查）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合同履约能力</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highlight w:val="none"/>
              </w:rPr>
              <w:t>2</w:t>
            </w:r>
          </w:p>
        </w:tc>
        <w:tc>
          <w:tcPr>
            <w:tcW w:w="7371" w:type="dxa"/>
            <w:noWrap/>
            <w:vAlign w:val="center"/>
          </w:tcPr>
          <w:p>
            <w:pPr>
              <w:spacing w:line="26" w:lineRule="atLeast"/>
              <w:ind w:firstLine="0" w:firstLineChars="0"/>
              <w:rPr>
                <w:color w:val="auto"/>
                <w:highlight w:val="none"/>
              </w:rPr>
            </w:pPr>
            <w:r>
              <w:rPr>
                <w:rFonts w:hint="eastAsia" w:cs="宋体"/>
                <w:color w:val="auto"/>
                <w:szCs w:val="21"/>
                <w:highlight w:val="none"/>
              </w:rPr>
              <w:t>投标人201</w:t>
            </w:r>
            <w:r>
              <w:rPr>
                <w:rFonts w:hint="eastAsia" w:cs="宋体"/>
                <w:color w:val="auto"/>
                <w:szCs w:val="21"/>
                <w:highlight w:val="none"/>
                <w:lang w:val="en-US" w:eastAsia="zh-CN"/>
              </w:rPr>
              <w:t>7</w:t>
            </w:r>
            <w:r>
              <w:rPr>
                <w:rFonts w:hint="eastAsia" w:cs="宋体"/>
                <w:color w:val="auto"/>
                <w:szCs w:val="21"/>
                <w:highlight w:val="none"/>
              </w:rPr>
              <w:t>年</w:t>
            </w:r>
            <w:r>
              <w:rPr>
                <w:rFonts w:hint="eastAsia" w:cs="宋体"/>
                <w:color w:val="auto"/>
                <w:szCs w:val="21"/>
                <w:highlight w:val="none"/>
                <w:lang w:val="en-US" w:eastAsia="zh-CN"/>
              </w:rPr>
              <w:t>6</w:t>
            </w:r>
            <w:r>
              <w:rPr>
                <w:rFonts w:hint="eastAsia" w:cs="宋体"/>
                <w:color w:val="auto"/>
                <w:szCs w:val="21"/>
                <w:highlight w:val="none"/>
              </w:rPr>
              <w:t>月以来同类业绩项目(合同清单中有与本次采购同类室内小间距产品)的用户评价和验收报告，每提供一份有效证明材料得0.5分，最高得2分（投标文件中提供复印件，不提供不得分，原件备查）。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0" w:type="dxa"/>
            <w:noWrap/>
            <w:vAlign w:val="center"/>
          </w:tcPr>
          <w:p>
            <w:pPr>
              <w:spacing w:line="26" w:lineRule="atLeast"/>
              <w:ind w:firstLine="0" w:firstLineChars="0"/>
              <w:jc w:val="center"/>
              <w:rPr>
                <w:rFonts w:cs="宋体"/>
                <w:color w:val="auto"/>
                <w:highlight w:val="none"/>
              </w:rPr>
            </w:pPr>
            <w:r>
              <w:rPr>
                <w:rFonts w:hint="eastAsia" w:cs="宋体"/>
                <w:color w:val="auto"/>
                <w:spacing w:val="-6"/>
                <w:highlight w:val="none"/>
              </w:rPr>
              <w:t>投标文件的编制情况</w:t>
            </w:r>
          </w:p>
        </w:tc>
        <w:tc>
          <w:tcPr>
            <w:tcW w:w="709" w:type="dxa"/>
            <w:noWrap/>
            <w:vAlign w:val="center"/>
          </w:tcPr>
          <w:p>
            <w:pPr>
              <w:spacing w:line="26" w:lineRule="atLeast"/>
              <w:ind w:firstLine="0" w:firstLineChars="0"/>
              <w:jc w:val="center"/>
              <w:rPr>
                <w:rFonts w:cs="宋体"/>
                <w:color w:val="auto"/>
                <w:highlight w:val="none"/>
              </w:rPr>
            </w:pPr>
            <w:r>
              <w:rPr>
                <w:rFonts w:hint="eastAsia" w:cs="宋体"/>
                <w:color w:val="auto"/>
                <w:spacing w:val="-6"/>
                <w:highlight w:val="none"/>
              </w:rPr>
              <w:t>2</w:t>
            </w:r>
          </w:p>
        </w:tc>
        <w:tc>
          <w:tcPr>
            <w:tcW w:w="7371" w:type="dxa"/>
            <w:noWrap/>
            <w:vAlign w:val="center"/>
          </w:tcPr>
          <w:p>
            <w:pPr>
              <w:pStyle w:val="15"/>
              <w:spacing w:line="26" w:lineRule="atLeast"/>
              <w:ind w:firstLine="0"/>
              <w:rPr>
                <w:rFonts w:cs="宋体"/>
                <w:color w:val="auto"/>
                <w:highlight w:val="none"/>
              </w:rPr>
            </w:pPr>
            <w:r>
              <w:rPr>
                <w:rFonts w:hint="eastAsia" w:cs="宋体"/>
                <w:color w:val="auto"/>
                <w:kern w:val="2"/>
                <w:szCs w:val="21"/>
                <w:highlight w:val="none"/>
              </w:rPr>
              <w:t>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9640" w:type="dxa"/>
            <w:gridSpan w:val="3"/>
            <w:noWrap/>
            <w:vAlign w:val="center"/>
          </w:tcPr>
          <w:p>
            <w:pPr>
              <w:pStyle w:val="15"/>
              <w:spacing w:line="360" w:lineRule="auto"/>
              <w:ind w:firstLine="0"/>
              <w:jc w:val="center"/>
              <w:rPr>
                <w:rFonts w:cs="宋体"/>
                <w:color w:val="auto"/>
                <w:kern w:val="2"/>
                <w:szCs w:val="24"/>
                <w:highlight w:val="none"/>
              </w:rPr>
            </w:pPr>
            <w:r>
              <w:rPr>
                <w:rFonts w:hint="eastAsia" w:cs="宋体"/>
                <w:b/>
                <w:bCs/>
                <w:color w:val="auto"/>
                <w:kern w:val="2"/>
                <w:szCs w:val="24"/>
                <w:highlight w:val="none"/>
              </w:rPr>
              <w:t>技术分（49分）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hint="eastAsia" w:eastAsia="宋体" w:cs="宋体"/>
                <w:color w:val="auto"/>
                <w:highlight w:val="none"/>
                <w:lang w:eastAsia="zh-CN"/>
              </w:rPr>
            </w:pPr>
            <w:r>
              <w:rPr>
                <w:rFonts w:hint="eastAsia" w:cs="宋体"/>
                <w:color w:val="auto"/>
                <w:highlight w:val="none"/>
              </w:rPr>
              <w:t>样品</w:t>
            </w:r>
            <w:bookmarkStart w:id="77" w:name="_GoBack"/>
            <w:bookmarkEnd w:id="77"/>
            <w:r>
              <w:rPr>
                <w:rFonts w:hint="eastAsia" w:cs="宋体"/>
                <w:color w:val="auto"/>
                <w:highlight w:val="none"/>
                <w:lang w:eastAsia="zh-CN"/>
              </w:rPr>
              <w:t>（</w:t>
            </w:r>
            <w:r>
              <w:rPr>
                <w:rFonts w:hint="eastAsia" w:cs="宋体"/>
                <w:color w:val="auto"/>
                <w:szCs w:val="24"/>
                <w:highlight w:val="none"/>
                <w:lang w:val="en-US" w:eastAsia="zh-CN"/>
              </w:rPr>
              <w:t>无</w:t>
            </w:r>
            <w:r>
              <w:rPr>
                <w:rFonts w:ascii="宋体" w:hAnsi="宋体" w:cs="宋体"/>
                <w:color w:val="auto"/>
                <w:szCs w:val="24"/>
                <w:highlight w:val="none"/>
              </w:rPr>
              <w:t>样品</w:t>
            </w:r>
            <w:r>
              <w:rPr>
                <w:rFonts w:hint="eastAsia" w:cs="宋体"/>
                <w:color w:val="auto"/>
                <w:szCs w:val="24"/>
                <w:highlight w:val="none"/>
                <w:lang w:val="en-US" w:eastAsia="zh-CN"/>
              </w:rPr>
              <w:t>不</w:t>
            </w:r>
            <w:r>
              <w:rPr>
                <w:rFonts w:ascii="宋体" w:hAnsi="宋体" w:cs="宋体"/>
                <w:color w:val="auto"/>
                <w:szCs w:val="24"/>
                <w:highlight w:val="none"/>
              </w:rPr>
              <w:t>得分</w:t>
            </w:r>
            <w:r>
              <w:rPr>
                <w:rFonts w:hint="eastAsia" w:cs="宋体"/>
                <w:color w:val="auto"/>
                <w:highlight w:val="none"/>
                <w:lang w:eastAsia="zh-CN"/>
              </w:rPr>
              <w:t>）</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14</w:t>
            </w:r>
          </w:p>
        </w:tc>
        <w:tc>
          <w:tcPr>
            <w:tcW w:w="7371" w:type="dxa"/>
            <w:noWrap/>
            <w:vAlign w:val="center"/>
          </w:tcPr>
          <w:p>
            <w:pPr>
              <w:pStyle w:val="105"/>
              <w:spacing w:line="312" w:lineRule="auto"/>
              <w:ind w:firstLine="0" w:firstLineChars="0"/>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查看箱体美观度、显示表面平整度、模块连接等；</w:t>
            </w:r>
            <w:r>
              <w:rPr>
                <w:rFonts w:hint="eastAsia" w:ascii="宋体" w:hAnsi="宋体" w:cs="宋体"/>
                <w:color w:val="auto"/>
                <w:szCs w:val="24"/>
                <w:highlight w:val="none"/>
                <w:lang w:val="en-US" w:eastAsia="zh-CN"/>
              </w:rPr>
              <w:t>0-4分</w:t>
            </w:r>
          </w:p>
          <w:p>
            <w:pPr>
              <w:pStyle w:val="105"/>
              <w:spacing w:line="312" w:lineRule="auto"/>
              <w:ind w:firstLine="0" w:firstLineChars="0"/>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zCs w:val="24"/>
                <w:highlight w:val="none"/>
                <w:lang w:val="en-US" w:eastAsia="zh-CN"/>
              </w:rPr>
              <w:t>.</w:t>
            </w:r>
            <w:r>
              <w:rPr>
                <w:rFonts w:hint="eastAsia" w:ascii="宋体" w:hAnsi="宋体" w:cs="宋体"/>
                <w:color w:val="auto"/>
                <w:szCs w:val="24"/>
                <w:highlight w:val="none"/>
              </w:rPr>
              <w:t>演示内容：全黑、全白、全红、全绿、全蓝、视频等；</w:t>
            </w:r>
            <w:r>
              <w:rPr>
                <w:rFonts w:hint="eastAsia" w:ascii="宋体" w:hAnsi="宋体" w:cs="宋体"/>
                <w:color w:val="auto"/>
                <w:szCs w:val="24"/>
                <w:highlight w:val="none"/>
                <w:lang w:val="en-US" w:eastAsia="zh-CN"/>
              </w:rPr>
              <w:t>0-5分</w:t>
            </w:r>
            <w:r>
              <w:rPr>
                <w:rFonts w:hint="eastAsia" w:ascii="宋体" w:hAnsi="宋体" w:cs="宋体"/>
                <w:color w:val="auto"/>
                <w:szCs w:val="24"/>
                <w:highlight w:val="none"/>
              </w:rPr>
              <w:t>。</w:t>
            </w:r>
          </w:p>
          <w:p>
            <w:pPr>
              <w:pStyle w:val="105"/>
              <w:spacing w:line="312" w:lineRule="auto"/>
              <w:ind w:firstLine="0" w:firstLineChars="0"/>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产品的性能功能情况进行综合评分：清晰度、亮度、对比度、刷新频率等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0-5</w:t>
            </w:r>
            <w:r>
              <w:rPr>
                <w:rFonts w:hint="eastAsia" w:ascii="宋体" w:hAnsi="宋体" w:cs="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投标产品技术响应情况</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14</w:t>
            </w:r>
          </w:p>
        </w:tc>
        <w:tc>
          <w:tcPr>
            <w:tcW w:w="7371" w:type="dxa"/>
            <w:noWrap/>
            <w:vAlign w:val="center"/>
          </w:tcPr>
          <w:p>
            <w:pPr>
              <w:spacing w:line="312" w:lineRule="auto"/>
              <w:ind w:firstLine="0" w:firstLineChars="0"/>
              <w:rPr>
                <w:rFonts w:cs="宋体"/>
                <w:color w:val="auto"/>
                <w:highlight w:val="none"/>
              </w:rPr>
            </w:pPr>
            <w:r>
              <w:rPr>
                <w:rFonts w:hint="eastAsia" w:cs="宋体"/>
                <w:color w:val="auto"/>
                <w:szCs w:val="21"/>
                <w:highlight w:val="none"/>
              </w:rPr>
              <w:t>投标产品的基本功能、产品性能、技术指标与需求的吻合程度和偏差情况（除打★以外）（包括所投标产品的详细配置、主要技术参数、随机软件、所要求的检测报告等，是否能够满足投标文件要求。全部满足14分(证明材料和产品彩页需加盖厂家公章)；对于标▲的技术指标负偏离每一项扣</w:t>
            </w:r>
            <w:r>
              <w:rPr>
                <w:rFonts w:hint="eastAsia" w:cs="宋体"/>
                <w:color w:val="auto"/>
                <w:szCs w:val="21"/>
                <w:highlight w:val="none"/>
                <w:lang w:val="en-US" w:eastAsia="zh-CN"/>
              </w:rPr>
              <w:t>2</w:t>
            </w:r>
            <w:r>
              <w:rPr>
                <w:rFonts w:hint="eastAsia" w:cs="宋体"/>
                <w:color w:val="auto"/>
                <w:szCs w:val="21"/>
                <w:highlight w:val="none"/>
              </w:rPr>
              <w:t>分，其它技术指标负偏离每一项扣1分，扣完为止。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highlight w:val="none"/>
              </w:rPr>
            </w:pPr>
            <w:r>
              <w:rPr>
                <w:rFonts w:hint="eastAsia" w:cs="宋体"/>
                <w:color w:val="auto"/>
                <w:szCs w:val="21"/>
                <w:highlight w:val="none"/>
              </w:rPr>
              <w:t>同品牌证明</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2</w:t>
            </w:r>
          </w:p>
        </w:tc>
        <w:tc>
          <w:tcPr>
            <w:tcW w:w="7371" w:type="dxa"/>
            <w:noWrap/>
            <w:vAlign w:val="center"/>
          </w:tcPr>
          <w:p>
            <w:pPr>
              <w:pStyle w:val="105"/>
              <w:spacing w:line="312" w:lineRule="auto"/>
              <w:ind w:firstLine="0" w:firstLineChars="0"/>
              <w:rPr>
                <w:rFonts w:ascii="宋体" w:hAnsi="宋体" w:cs="宋体"/>
                <w:color w:val="auto"/>
                <w:szCs w:val="24"/>
                <w:highlight w:val="none"/>
              </w:rPr>
            </w:pPr>
            <w:r>
              <w:rPr>
                <w:rFonts w:hint="eastAsia" w:ascii="宋体" w:hAnsi="宋体" w:cs="宋体"/>
                <w:color w:val="auto"/>
                <w:szCs w:val="21"/>
                <w:highlight w:val="none"/>
              </w:rPr>
              <w:t>为了保证稳定和兼容性显示屏、配电柜、开关电源，控制系统、软件、多视频控制器采用同一厂商品牌得2分，以上无法提供相应证明文件的不得分。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highlight w:val="none"/>
              </w:rPr>
            </w:pPr>
            <w:r>
              <w:rPr>
                <w:rFonts w:hint="eastAsia" w:cs="宋体"/>
                <w:color w:val="auto"/>
                <w:szCs w:val="21"/>
                <w:highlight w:val="none"/>
              </w:rPr>
              <w:t>项目实施计划</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8</w:t>
            </w:r>
          </w:p>
        </w:tc>
        <w:tc>
          <w:tcPr>
            <w:tcW w:w="7371" w:type="dxa"/>
            <w:noWrap/>
            <w:vAlign w:val="center"/>
          </w:tcPr>
          <w:p>
            <w:pPr>
              <w:pStyle w:val="105"/>
              <w:spacing w:line="312" w:lineRule="auto"/>
              <w:ind w:firstLine="0" w:firstLineChars="0"/>
              <w:rPr>
                <w:rFonts w:hint="eastAsia" w:ascii="宋体" w:hAnsi="宋体" w:eastAsia="宋体" w:cs="宋体"/>
                <w:color w:val="auto"/>
                <w:szCs w:val="24"/>
                <w:highlight w:val="none"/>
                <w:lang w:eastAsia="zh-CN"/>
              </w:rPr>
            </w:pPr>
            <w:r>
              <w:rPr>
                <w:rFonts w:hint="eastAsia" w:ascii="宋体" w:hAnsi="宋体" w:cs="宋体"/>
                <w:color w:val="auto"/>
                <w:szCs w:val="21"/>
                <w:highlight w:val="none"/>
              </w:rPr>
              <w:t>投标人对本项的投标产品的功能、结构等设计的合理性、美观性先进性、及</w:t>
            </w:r>
            <w:r>
              <w:rPr>
                <w:rFonts w:hint="eastAsia" w:ascii="宋体" w:hAnsi="宋体"/>
                <w:color w:val="auto"/>
                <w:highlight w:val="none"/>
              </w:rPr>
              <w:t>交货、验收方案、实施人员安排、备品备件供应等情况打分</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szCs w:val="21"/>
                <w:highlight w:val="none"/>
              </w:rPr>
            </w:pPr>
            <w:r>
              <w:rPr>
                <w:rFonts w:hint="eastAsia" w:cs="宋体"/>
                <w:color w:val="auto"/>
                <w:spacing w:val="-6"/>
                <w:highlight w:val="none"/>
              </w:rPr>
              <w:t>供应商售后服务</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5</w:t>
            </w:r>
          </w:p>
        </w:tc>
        <w:tc>
          <w:tcPr>
            <w:tcW w:w="7371" w:type="dxa"/>
            <w:noWrap/>
            <w:vAlign w:val="center"/>
          </w:tcPr>
          <w:p>
            <w:pPr>
              <w:pStyle w:val="105"/>
              <w:spacing w:line="312" w:lineRule="auto"/>
              <w:ind w:firstLine="0" w:firstLineChars="0"/>
              <w:rPr>
                <w:rFonts w:ascii="宋体" w:hAnsi="宋体" w:cs="宋体"/>
                <w:color w:val="auto"/>
                <w:szCs w:val="21"/>
                <w:highlight w:val="none"/>
              </w:rPr>
            </w:pPr>
            <w:r>
              <w:rPr>
                <w:rFonts w:hint="eastAsia" w:ascii="宋体" w:hAnsi="宋体" w:cs="宋体"/>
                <w:color w:val="auto"/>
                <w:szCs w:val="21"/>
                <w:highlight w:val="none"/>
              </w:rPr>
              <w:t>包括对售后服务承诺、故障响应修复时间、服务标准，人员配备，服务网点等打分。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szCs w:val="21"/>
                <w:highlight w:val="none"/>
              </w:rPr>
            </w:pPr>
            <w:r>
              <w:rPr>
                <w:rFonts w:hint="eastAsia" w:cs="宋体"/>
                <w:color w:val="auto"/>
                <w:spacing w:val="-6"/>
                <w:highlight w:val="none"/>
              </w:rPr>
              <w:t>技术培训服务</w:t>
            </w:r>
          </w:p>
        </w:tc>
        <w:tc>
          <w:tcPr>
            <w:tcW w:w="709" w:type="dxa"/>
            <w:noWrap/>
            <w:vAlign w:val="center"/>
          </w:tcPr>
          <w:p>
            <w:pPr>
              <w:spacing w:line="312" w:lineRule="auto"/>
              <w:ind w:firstLine="0" w:firstLineChars="0"/>
              <w:jc w:val="center"/>
              <w:rPr>
                <w:rFonts w:cs="宋体"/>
                <w:color w:val="auto"/>
                <w:highlight w:val="none"/>
              </w:rPr>
            </w:pPr>
            <w:r>
              <w:rPr>
                <w:rFonts w:hint="eastAsia" w:cs="宋体"/>
                <w:color w:val="auto"/>
                <w:highlight w:val="none"/>
              </w:rPr>
              <w:t>4</w:t>
            </w:r>
          </w:p>
        </w:tc>
        <w:tc>
          <w:tcPr>
            <w:tcW w:w="7371" w:type="dxa"/>
            <w:noWrap/>
            <w:vAlign w:val="center"/>
          </w:tcPr>
          <w:p>
            <w:pPr>
              <w:pStyle w:val="105"/>
              <w:spacing w:line="312" w:lineRule="auto"/>
              <w:ind w:firstLine="0" w:firstLineChars="0"/>
              <w:rPr>
                <w:rFonts w:ascii="宋体" w:hAnsi="宋体" w:cs="宋体"/>
                <w:color w:val="auto"/>
                <w:szCs w:val="21"/>
                <w:highlight w:val="none"/>
              </w:rPr>
            </w:pPr>
            <w:r>
              <w:rPr>
                <w:rFonts w:hint="eastAsia" w:ascii="宋体" w:hAnsi="宋体" w:cs="宋体"/>
                <w:color w:val="auto"/>
                <w:spacing w:val="-6"/>
                <w:highlight w:val="none"/>
              </w:rPr>
              <w:t>培训计划内容合理、详细可实施有针对性，培训人员资质及培训时间、培训地点等</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noWrap/>
            <w:vAlign w:val="center"/>
          </w:tcPr>
          <w:p>
            <w:pPr>
              <w:spacing w:line="312" w:lineRule="auto"/>
              <w:ind w:firstLine="0" w:firstLineChars="0"/>
              <w:jc w:val="center"/>
              <w:rPr>
                <w:rFonts w:cs="宋体"/>
                <w:color w:val="auto"/>
                <w:spacing w:val="-6"/>
                <w:highlight w:val="none"/>
              </w:rPr>
            </w:pPr>
            <w:r>
              <w:rPr>
                <w:rFonts w:hint="eastAsia" w:cs="宋体"/>
                <w:color w:val="auto"/>
                <w:spacing w:val="-6"/>
                <w:highlight w:val="none"/>
              </w:rPr>
              <w:t>备品备件及耗材</w:t>
            </w:r>
          </w:p>
        </w:tc>
        <w:tc>
          <w:tcPr>
            <w:tcW w:w="709" w:type="dxa"/>
            <w:noWrap/>
            <w:vAlign w:val="center"/>
          </w:tcPr>
          <w:p>
            <w:pPr>
              <w:spacing w:line="312" w:lineRule="auto"/>
              <w:ind w:firstLine="0" w:firstLineChars="0"/>
              <w:jc w:val="center"/>
              <w:rPr>
                <w:rFonts w:cs="宋体"/>
                <w:color w:val="auto"/>
                <w:spacing w:val="-6"/>
                <w:highlight w:val="none"/>
              </w:rPr>
            </w:pPr>
            <w:r>
              <w:rPr>
                <w:rFonts w:hint="eastAsia" w:cs="宋体"/>
                <w:color w:val="auto"/>
                <w:spacing w:val="-6"/>
                <w:highlight w:val="none"/>
              </w:rPr>
              <w:t>2</w:t>
            </w:r>
          </w:p>
        </w:tc>
        <w:tc>
          <w:tcPr>
            <w:tcW w:w="7371" w:type="dxa"/>
            <w:noWrap/>
            <w:vAlign w:val="center"/>
          </w:tcPr>
          <w:p>
            <w:pPr>
              <w:pStyle w:val="105"/>
              <w:spacing w:line="312" w:lineRule="auto"/>
              <w:ind w:firstLine="0" w:firstLineChars="0"/>
              <w:rPr>
                <w:rFonts w:ascii="宋体" w:hAnsi="宋体" w:cs="宋体"/>
                <w:color w:val="auto"/>
                <w:spacing w:val="-6"/>
                <w:szCs w:val="24"/>
                <w:highlight w:val="none"/>
              </w:rPr>
            </w:pPr>
            <w:r>
              <w:rPr>
                <w:rFonts w:hint="eastAsia" w:ascii="宋体" w:hAnsi="宋体" w:cs="宋体"/>
                <w:color w:val="auto"/>
                <w:spacing w:val="-6"/>
                <w:highlight w:val="none"/>
              </w:rPr>
              <w:t>根据各投标人同类配件及专用耗材供应让利幅度，酌情给分，最高得2分。</w:t>
            </w:r>
          </w:p>
        </w:tc>
      </w:tr>
    </w:tbl>
    <w:p>
      <w:pPr>
        <w:pStyle w:val="2"/>
        <w:rPr>
          <w:rFonts w:cs="宋体"/>
          <w:color w:val="auto"/>
          <w:highlight w:val="none"/>
        </w:rPr>
      </w:pPr>
    </w:p>
    <w:p>
      <w:pPr>
        <w:pStyle w:val="3"/>
        <w:rPr>
          <w:rFonts w:cs="宋体"/>
          <w:color w:val="auto"/>
          <w:highlight w:val="none"/>
        </w:rPr>
      </w:pPr>
    </w:p>
    <w:p>
      <w:pPr>
        <w:ind w:firstLine="480"/>
        <w:rPr>
          <w:color w:val="auto"/>
          <w:highlight w:val="none"/>
        </w:rPr>
        <w:sectPr>
          <w:pgSz w:w="11906" w:h="16838"/>
          <w:pgMar w:top="1440" w:right="1080" w:bottom="1440" w:left="1080" w:header="851" w:footer="992" w:gutter="0"/>
          <w:pgNumType w:fmt="decimal"/>
          <w:cols w:space="720" w:num="1"/>
          <w:docGrid w:type="lines" w:linePitch="312" w:charSpace="0"/>
        </w:sectPr>
      </w:pPr>
    </w:p>
    <w:p>
      <w:pPr>
        <w:pStyle w:val="4"/>
        <w:ind w:firstLine="643"/>
        <w:rPr>
          <w:rFonts w:cs="宋体"/>
          <w:color w:val="auto"/>
          <w:szCs w:val="24"/>
          <w:highlight w:val="none"/>
        </w:rPr>
      </w:pPr>
      <w:bookmarkStart w:id="68" w:name="_Toc12811"/>
      <w:r>
        <w:rPr>
          <w:rFonts w:hint="eastAsia" w:cs="宋体"/>
          <w:color w:val="auto"/>
          <w:szCs w:val="32"/>
          <w:highlight w:val="none"/>
        </w:rPr>
        <w:t>第五章 合同格式</w:t>
      </w:r>
      <w:bookmarkEnd w:id="68"/>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line="288" w:lineRule="auto"/>
        <w:ind w:left="5841" w:hanging="5841" w:hangingChars="2950"/>
        <w:rPr>
          <w:color w:val="auto"/>
          <w:spacing w:val="-6"/>
          <w:sz w:val="21"/>
          <w:szCs w:val="21"/>
          <w:highlight w:val="none"/>
        </w:rPr>
      </w:pPr>
    </w:p>
    <w:p>
      <w:pPr>
        <w:spacing w:line="288" w:lineRule="auto"/>
        <w:ind w:left="5841" w:hanging="5841" w:hangingChars="2950"/>
        <w:rPr>
          <w:color w:val="auto"/>
          <w:spacing w:val="-6"/>
          <w:sz w:val="21"/>
          <w:szCs w:val="21"/>
          <w:highlight w:val="none"/>
        </w:rPr>
      </w:pPr>
      <w:r>
        <w:rPr>
          <w:color w:val="auto"/>
          <w:spacing w:val="-6"/>
          <w:sz w:val="21"/>
          <w:szCs w:val="21"/>
          <w:highlight w:val="none"/>
        </w:rPr>
        <w:t>项目编号：</w:t>
      </w:r>
    </w:p>
    <w:p>
      <w:pPr>
        <w:spacing w:line="288" w:lineRule="auto"/>
        <w:ind w:left="5841" w:hanging="5841" w:hangingChars="2950"/>
        <w:rPr>
          <w:color w:val="auto"/>
          <w:spacing w:val="-6"/>
          <w:sz w:val="21"/>
          <w:szCs w:val="21"/>
          <w:highlight w:val="none"/>
        </w:rPr>
      </w:pPr>
      <w:r>
        <w:rPr>
          <w:color w:val="auto"/>
          <w:spacing w:val="-6"/>
          <w:sz w:val="21"/>
          <w:szCs w:val="21"/>
          <w:highlight w:val="none"/>
        </w:rPr>
        <w:t>确认书编号：</w:t>
      </w:r>
    </w:p>
    <w:p>
      <w:pPr>
        <w:spacing w:line="288" w:lineRule="auto"/>
        <w:ind w:firstLine="396"/>
        <w:rPr>
          <w:color w:val="auto"/>
          <w:spacing w:val="-6"/>
          <w:sz w:val="21"/>
          <w:szCs w:val="21"/>
          <w:highlight w:val="none"/>
        </w:rPr>
      </w:pPr>
      <w:r>
        <w:rPr>
          <w:color w:val="auto"/>
          <w:spacing w:val="-6"/>
          <w:sz w:val="21"/>
          <w:szCs w:val="21"/>
          <w:highlight w:val="none"/>
        </w:rPr>
        <w:t>甲方（采购人）：</w:t>
      </w:r>
      <w:r>
        <w:rPr>
          <w:rFonts w:hint="eastAsia"/>
          <w:color w:val="auto"/>
          <w:spacing w:val="-6"/>
          <w:sz w:val="21"/>
          <w:szCs w:val="21"/>
          <w:highlight w:val="none"/>
          <w:u w:val="single"/>
        </w:rPr>
        <w:t>浙江机电职业技术学院</w:t>
      </w:r>
    </w:p>
    <w:p>
      <w:pPr>
        <w:spacing w:line="288" w:lineRule="auto"/>
        <w:ind w:firstLine="396"/>
        <w:rPr>
          <w:color w:val="auto"/>
          <w:spacing w:val="-6"/>
          <w:sz w:val="21"/>
          <w:szCs w:val="21"/>
          <w:highlight w:val="none"/>
        </w:rPr>
      </w:pPr>
      <w:r>
        <w:rPr>
          <w:color w:val="auto"/>
          <w:spacing w:val="-6"/>
          <w:sz w:val="21"/>
          <w:szCs w:val="21"/>
          <w:highlight w:val="none"/>
        </w:rPr>
        <w:t>乙方（供应商）：</w:t>
      </w:r>
    </w:p>
    <w:p>
      <w:pPr>
        <w:spacing w:line="288" w:lineRule="auto"/>
        <w:ind w:firstLine="396"/>
        <w:rPr>
          <w:color w:val="auto"/>
          <w:spacing w:val="-6"/>
          <w:sz w:val="21"/>
          <w:szCs w:val="21"/>
          <w:highlight w:val="none"/>
        </w:rPr>
      </w:pPr>
      <w:r>
        <w:rPr>
          <w:color w:val="auto"/>
          <w:spacing w:val="-6"/>
          <w:sz w:val="21"/>
          <w:szCs w:val="21"/>
          <w:highlight w:val="none"/>
        </w:rPr>
        <w:t>采购代理机构（鉴证方）：</w:t>
      </w:r>
      <w:bookmarkStart w:id="69" w:name="B07_项目编号"/>
      <w:r>
        <w:rPr>
          <w:rFonts w:hint="eastAsia"/>
          <w:color w:val="auto"/>
          <w:spacing w:val="-6"/>
          <w:sz w:val="21"/>
          <w:szCs w:val="21"/>
          <w:highlight w:val="none"/>
        </w:rPr>
        <w:t>浙江五石工程咨询有限公司</w:t>
      </w:r>
    </w:p>
    <w:p>
      <w:pPr>
        <w:spacing w:line="288" w:lineRule="auto"/>
        <w:ind w:firstLine="420"/>
        <w:rPr>
          <w:color w:val="auto"/>
          <w:sz w:val="21"/>
          <w:szCs w:val="21"/>
          <w:highlight w:val="none"/>
        </w:rPr>
      </w:pPr>
      <w:r>
        <w:rPr>
          <w:color w:val="auto"/>
          <w:sz w:val="21"/>
          <w:szCs w:val="21"/>
          <w:highlight w:val="none"/>
        </w:rPr>
        <w:t>经采购代理机构对</w:t>
      </w:r>
      <w:r>
        <w:rPr>
          <w:rFonts w:hint="eastAsia"/>
          <w:color w:val="auto"/>
          <w:sz w:val="21"/>
          <w:szCs w:val="21"/>
          <w:highlight w:val="none"/>
        </w:rPr>
        <w:t>采购项目</w:t>
      </w:r>
      <w:r>
        <w:rPr>
          <w:color w:val="auto"/>
          <w:sz w:val="21"/>
          <w:szCs w:val="21"/>
          <w:highlight w:val="none"/>
        </w:rPr>
        <w:t>通过</w:t>
      </w:r>
      <w:r>
        <w:rPr>
          <w:rFonts w:hint="eastAsia"/>
          <w:color w:val="auto"/>
          <w:sz w:val="21"/>
          <w:szCs w:val="21"/>
          <w:highlight w:val="none"/>
          <w:lang w:val="en-US" w:eastAsia="zh-CN"/>
        </w:rPr>
        <w:t xml:space="preserve"> </w:t>
      </w:r>
      <w:r>
        <w:rPr>
          <w:rFonts w:hint="eastAsia"/>
          <w:color w:val="auto"/>
          <w:sz w:val="21"/>
          <w:szCs w:val="21"/>
          <w:highlight w:val="none"/>
          <w:u w:val="single"/>
        </w:rPr>
        <w:t>公开招标</w:t>
      </w:r>
      <w:r>
        <w:rPr>
          <w:rFonts w:hint="eastAsia"/>
          <w:color w:val="auto"/>
          <w:sz w:val="21"/>
          <w:szCs w:val="21"/>
          <w:highlight w:val="none"/>
          <w:u w:val="single"/>
          <w:lang w:val="en-US" w:eastAsia="zh-CN"/>
        </w:rPr>
        <w:t xml:space="preserve"> </w:t>
      </w:r>
      <w:r>
        <w:rPr>
          <w:color w:val="auto"/>
          <w:sz w:val="21"/>
          <w:szCs w:val="21"/>
          <w:highlight w:val="none"/>
        </w:rPr>
        <w:t>方式采购</w:t>
      </w:r>
      <w:bookmarkEnd w:id="69"/>
      <w:r>
        <w:rPr>
          <w:color w:val="auto"/>
          <w:sz w:val="21"/>
          <w:szCs w:val="21"/>
          <w:highlight w:val="none"/>
        </w:rPr>
        <w:t>，确定</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为中标单位，甲</w:t>
      </w:r>
      <w:r>
        <w:rPr>
          <w:rFonts w:hint="eastAsia"/>
          <w:color w:val="auto"/>
          <w:sz w:val="21"/>
          <w:szCs w:val="21"/>
          <w:highlight w:val="none"/>
        </w:rPr>
        <w:t>、</w:t>
      </w:r>
      <w:r>
        <w:rPr>
          <w:color w:val="auto"/>
          <w:sz w:val="21"/>
          <w:szCs w:val="21"/>
          <w:highlight w:val="none"/>
        </w:rPr>
        <w:t>乙双方友好协商，达成以下条款：</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第一条：采购商品清单及合同价格</w:t>
      </w:r>
      <w:r>
        <w:rPr>
          <w:rFonts w:hint="eastAsia" w:hAnsi="宋体"/>
          <w:b/>
          <w:color w:val="auto"/>
          <w:szCs w:val="21"/>
          <w:highlight w:val="none"/>
          <w:lang w:val="en-US" w:eastAsia="zh-CN"/>
        </w:rPr>
        <w:t xml:space="preserve">   </w:t>
      </w:r>
      <w:r>
        <w:rPr>
          <w:rFonts w:hAnsi="宋体"/>
          <w:color w:val="auto"/>
          <w:szCs w:val="21"/>
          <w:highlight w:val="none"/>
        </w:rPr>
        <w:t>单位：元</w:t>
      </w:r>
    </w:p>
    <w:tbl>
      <w:tblPr>
        <w:tblStyle w:val="40"/>
        <w:tblW w:w="91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76"/>
        <w:gridCol w:w="850"/>
        <w:gridCol w:w="1843"/>
        <w:gridCol w:w="992"/>
        <w:gridCol w:w="116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jc w:val="center"/>
        </w:trPr>
        <w:tc>
          <w:tcPr>
            <w:tcW w:w="1688"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产品名称</w:t>
            </w:r>
          </w:p>
        </w:tc>
        <w:tc>
          <w:tcPr>
            <w:tcW w:w="1276"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厂家</w:t>
            </w:r>
            <w:r>
              <w:rPr>
                <w:rFonts w:hint="eastAsia"/>
                <w:color w:val="auto"/>
                <w:sz w:val="21"/>
                <w:szCs w:val="21"/>
                <w:highlight w:val="none"/>
              </w:rPr>
              <w:t>（全称）</w:t>
            </w:r>
          </w:p>
        </w:tc>
        <w:tc>
          <w:tcPr>
            <w:tcW w:w="850"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品牌</w:t>
            </w:r>
          </w:p>
        </w:tc>
        <w:tc>
          <w:tcPr>
            <w:tcW w:w="1843"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规格型号</w:t>
            </w:r>
            <w:r>
              <w:rPr>
                <w:rFonts w:hint="eastAsia"/>
                <w:color w:val="auto"/>
                <w:sz w:val="21"/>
                <w:szCs w:val="21"/>
                <w:highlight w:val="none"/>
              </w:rPr>
              <w:t>、</w:t>
            </w:r>
            <w:r>
              <w:rPr>
                <w:color w:val="auto"/>
                <w:sz w:val="21"/>
                <w:szCs w:val="21"/>
                <w:highlight w:val="none"/>
              </w:rPr>
              <w:t>材质</w:t>
            </w:r>
          </w:p>
        </w:tc>
        <w:tc>
          <w:tcPr>
            <w:tcW w:w="992"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数量</w:t>
            </w:r>
          </w:p>
        </w:tc>
        <w:tc>
          <w:tcPr>
            <w:tcW w:w="1160" w:type="dxa"/>
            <w:noWrap/>
            <w:vAlign w:val="center"/>
          </w:tcPr>
          <w:p>
            <w:pPr>
              <w:spacing w:line="288" w:lineRule="auto"/>
              <w:ind w:firstLine="0" w:firstLineChars="0"/>
              <w:jc w:val="center"/>
              <w:rPr>
                <w:color w:val="auto"/>
                <w:sz w:val="21"/>
                <w:szCs w:val="21"/>
                <w:highlight w:val="none"/>
              </w:rPr>
            </w:pPr>
            <w:r>
              <w:rPr>
                <w:color w:val="auto"/>
                <w:sz w:val="21"/>
                <w:szCs w:val="21"/>
                <w:highlight w:val="none"/>
              </w:rPr>
              <w:t>含税单价</w:t>
            </w:r>
          </w:p>
        </w:tc>
        <w:tc>
          <w:tcPr>
            <w:tcW w:w="1327" w:type="dxa"/>
            <w:noWrap/>
            <w:vAlign w:val="center"/>
          </w:tcPr>
          <w:p>
            <w:pPr>
              <w:spacing w:line="288" w:lineRule="auto"/>
              <w:ind w:firstLine="0" w:firstLineChars="0"/>
              <w:jc w:val="center"/>
              <w:rPr>
                <w:color w:val="auto"/>
                <w:sz w:val="21"/>
                <w:szCs w:val="21"/>
                <w:highlight w:val="none"/>
              </w:rPr>
            </w:pPr>
            <w:r>
              <w:rPr>
                <w:rFonts w:hint="eastAsia"/>
                <w:color w:val="auto"/>
                <w:sz w:val="21"/>
                <w:szCs w:val="21"/>
                <w:highlight w:val="none"/>
              </w:rPr>
              <w:t>含税</w:t>
            </w:r>
            <w:r>
              <w:rPr>
                <w:color w:val="auto"/>
                <w:sz w:val="21"/>
                <w:szCs w:val="21"/>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1688" w:type="dxa"/>
            <w:noWrap/>
            <w:vAlign w:val="center"/>
          </w:tcPr>
          <w:p>
            <w:pPr>
              <w:adjustRightInd w:val="0"/>
              <w:snapToGrid w:val="0"/>
              <w:ind w:firstLine="0" w:firstLineChars="0"/>
              <w:jc w:val="left"/>
              <w:rPr>
                <w:color w:val="auto"/>
                <w:spacing w:val="20"/>
                <w:sz w:val="21"/>
                <w:szCs w:val="21"/>
                <w:highlight w:val="none"/>
              </w:rPr>
            </w:pPr>
          </w:p>
        </w:tc>
        <w:tc>
          <w:tcPr>
            <w:tcW w:w="1276" w:type="dxa"/>
            <w:noWrap/>
            <w:vAlign w:val="center"/>
          </w:tcPr>
          <w:p>
            <w:pPr>
              <w:widowControl/>
              <w:ind w:firstLine="0" w:firstLineChars="0"/>
              <w:jc w:val="center"/>
              <w:rPr>
                <w:color w:val="auto"/>
                <w:kern w:val="0"/>
                <w:sz w:val="21"/>
                <w:szCs w:val="21"/>
                <w:highlight w:val="none"/>
              </w:rPr>
            </w:pPr>
          </w:p>
        </w:tc>
        <w:tc>
          <w:tcPr>
            <w:tcW w:w="850" w:type="dxa"/>
            <w:noWrap/>
            <w:vAlign w:val="center"/>
          </w:tcPr>
          <w:p>
            <w:pPr>
              <w:widowControl/>
              <w:ind w:firstLine="0" w:firstLineChars="0"/>
              <w:jc w:val="center"/>
              <w:rPr>
                <w:color w:val="auto"/>
                <w:kern w:val="0"/>
                <w:sz w:val="21"/>
                <w:szCs w:val="21"/>
                <w:highlight w:val="none"/>
              </w:rPr>
            </w:pPr>
          </w:p>
        </w:tc>
        <w:tc>
          <w:tcPr>
            <w:tcW w:w="1843" w:type="dxa"/>
            <w:noWrap/>
            <w:vAlign w:val="center"/>
          </w:tcPr>
          <w:p>
            <w:pPr>
              <w:widowControl/>
              <w:ind w:left="-118" w:leftChars="-49" w:firstLine="0" w:firstLineChars="0"/>
              <w:jc w:val="center"/>
              <w:rPr>
                <w:color w:val="auto"/>
                <w:kern w:val="0"/>
                <w:sz w:val="21"/>
                <w:szCs w:val="21"/>
                <w:highlight w:val="none"/>
              </w:rPr>
            </w:pPr>
          </w:p>
        </w:tc>
        <w:tc>
          <w:tcPr>
            <w:tcW w:w="992" w:type="dxa"/>
            <w:noWrap/>
            <w:vAlign w:val="center"/>
          </w:tcPr>
          <w:p>
            <w:pPr>
              <w:adjustRightInd w:val="0"/>
              <w:snapToGrid w:val="0"/>
              <w:ind w:firstLine="0" w:firstLineChars="0"/>
              <w:jc w:val="center"/>
              <w:rPr>
                <w:color w:val="auto"/>
                <w:spacing w:val="20"/>
                <w:sz w:val="21"/>
                <w:szCs w:val="21"/>
                <w:highlight w:val="none"/>
              </w:rPr>
            </w:pPr>
          </w:p>
        </w:tc>
        <w:tc>
          <w:tcPr>
            <w:tcW w:w="1160" w:type="dxa"/>
            <w:noWrap/>
            <w:vAlign w:val="center"/>
          </w:tcPr>
          <w:p>
            <w:pPr>
              <w:widowControl/>
              <w:ind w:firstLine="0" w:firstLineChars="0"/>
              <w:rPr>
                <w:color w:val="auto"/>
                <w:kern w:val="0"/>
                <w:sz w:val="21"/>
                <w:szCs w:val="21"/>
                <w:highlight w:val="none"/>
              </w:rPr>
            </w:pPr>
          </w:p>
        </w:tc>
        <w:tc>
          <w:tcPr>
            <w:tcW w:w="1327" w:type="dxa"/>
            <w:noWrap/>
            <w:vAlign w:val="center"/>
          </w:tcPr>
          <w:p>
            <w:pPr>
              <w:widowControl/>
              <w:ind w:firstLine="0" w:firstLineChars="0"/>
              <w:rPr>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jc w:val="center"/>
        </w:trPr>
        <w:tc>
          <w:tcPr>
            <w:tcW w:w="7809" w:type="dxa"/>
            <w:gridSpan w:val="6"/>
            <w:noWrap/>
            <w:vAlign w:val="center"/>
          </w:tcPr>
          <w:p>
            <w:pPr>
              <w:spacing w:line="288" w:lineRule="auto"/>
              <w:ind w:firstLine="0" w:firstLineChars="0"/>
              <w:rPr>
                <w:color w:val="auto"/>
                <w:sz w:val="21"/>
                <w:szCs w:val="21"/>
                <w:highlight w:val="none"/>
              </w:rPr>
            </w:pPr>
            <w:r>
              <w:rPr>
                <w:color w:val="auto"/>
                <w:sz w:val="21"/>
                <w:szCs w:val="21"/>
                <w:highlight w:val="none"/>
              </w:rPr>
              <w:t>合计：</w:t>
            </w:r>
          </w:p>
        </w:tc>
        <w:tc>
          <w:tcPr>
            <w:tcW w:w="1327" w:type="dxa"/>
            <w:noWrap/>
            <w:vAlign w:val="center"/>
          </w:tcPr>
          <w:p>
            <w:pPr>
              <w:spacing w:line="288" w:lineRule="auto"/>
              <w:ind w:firstLine="0" w:firstLineChars="0"/>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 w:hRule="atLeast"/>
          <w:jc w:val="center"/>
        </w:trPr>
        <w:tc>
          <w:tcPr>
            <w:tcW w:w="9136" w:type="dxa"/>
            <w:gridSpan w:val="7"/>
            <w:noWrap/>
            <w:vAlign w:val="center"/>
          </w:tcPr>
          <w:p>
            <w:pPr>
              <w:spacing w:line="288" w:lineRule="auto"/>
              <w:ind w:firstLine="0" w:firstLineChars="0"/>
              <w:rPr>
                <w:color w:val="auto"/>
                <w:sz w:val="21"/>
                <w:szCs w:val="21"/>
                <w:highlight w:val="none"/>
              </w:rPr>
            </w:pPr>
            <w:r>
              <w:rPr>
                <w:color w:val="auto"/>
                <w:sz w:val="21"/>
                <w:szCs w:val="21"/>
                <w:highlight w:val="none"/>
              </w:rPr>
              <w:t>合同总价（人民币大写）：</w:t>
            </w:r>
          </w:p>
        </w:tc>
      </w:tr>
    </w:tbl>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注：以上合同总价包括完成所有产品供货及履行所有规定服务所产生的全部税费，型号规格材质在清单中未标明的，以投标文件、招标文件标注的为准。</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第二条：质量保证</w:t>
      </w:r>
    </w:p>
    <w:p>
      <w:pPr>
        <w:pStyle w:val="20"/>
        <w:spacing w:line="288" w:lineRule="auto"/>
        <w:ind w:firstLine="420" w:firstLineChars="200"/>
        <w:rPr>
          <w:rFonts w:hAnsi="宋体"/>
          <w:color w:val="auto"/>
          <w:szCs w:val="21"/>
          <w:highlight w:val="none"/>
        </w:rPr>
      </w:pPr>
      <w:r>
        <w:rPr>
          <w:rFonts w:hAnsi="宋体"/>
          <w:color w:val="auto"/>
          <w:szCs w:val="21"/>
          <w:highlight w:val="none"/>
        </w:rPr>
        <w:t>乙方保证本所供货物是</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lang w:val="en-US" w:eastAsia="zh-CN"/>
        </w:rPr>
        <w:t xml:space="preserve">   </w:t>
      </w:r>
      <w:r>
        <w:rPr>
          <w:rFonts w:hAnsi="宋体"/>
          <w:color w:val="auto"/>
          <w:szCs w:val="21"/>
          <w:highlight w:val="none"/>
        </w:rPr>
        <w:t>年</w:t>
      </w:r>
      <w:r>
        <w:rPr>
          <w:rFonts w:hint="eastAsia" w:hAnsi="宋体"/>
          <w:color w:val="auto"/>
          <w:szCs w:val="21"/>
          <w:highlight w:val="none"/>
          <w:lang w:val="en-US" w:eastAsia="zh-CN"/>
        </w:rPr>
        <w:t xml:space="preserve">   </w:t>
      </w:r>
      <w:r>
        <w:rPr>
          <w:rFonts w:hAnsi="宋体"/>
          <w:color w:val="auto"/>
          <w:szCs w:val="21"/>
          <w:highlight w:val="none"/>
        </w:rPr>
        <w:t>月份后生产的符合本合同约定和国家技术标准的原厂全新合格产品；否则，甲方有权拒收或有权随时退货并要求乙方退还全款和支付总价款</w:t>
      </w:r>
      <w:r>
        <w:rPr>
          <w:rFonts w:ascii="Times New Roman" w:hAnsi="Times New Roman"/>
          <w:color w:val="auto"/>
          <w:szCs w:val="21"/>
          <w:highlight w:val="none"/>
        </w:rPr>
        <w:t>20%</w:t>
      </w:r>
      <w:r>
        <w:rPr>
          <w:rFonts w:hAnsi="宋体"/>
          <w:color w:val="auto"/>
          <w:szCs w:val="21"/>
          <w:highlight w:val="none"/>
        </w:rPr>
        <w:t>的违约金，由此产生的一切责任和后果由乙方承担。</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乙方应根据运输距离及货物防潮、防锈、防震、防水、防破损等要求对货物实行包装，确保货物安全、完好送达甲方。</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第三条：交货时间、地点</w:t>
      </w:r>
    </w:p>
    <w:p>
      <w:pPr>
        <w:pStyle w:val="20"/>
        <w:spacing w:line="288" w:lineRule="auto"/>
        <w:ind w:left="34" w:firstLine="420" w:firstLineChars="200"/>
        <w:rPr>
          <w:rFonts w:ascii="Times New Roman" w:hAnsi="Times New Roman"/>
          <w:color w:val="auto"/>
          <w:szCs w:val="21"/>
          <w:highlight w:val="none"/>
        </w:rPr>
      </w:pPr>
      <w:r>
        <w:rPr>
          <w:rFonts w:hAnsi="宋体"/>
          <w:color w:val="auto"/>
          <w:szCs w:val="21"/>
          <w:highlight w:val="none"/>
        </w:rPr>
        <w:t>乙方应在</w:t>
      </w:r>
      <w:r>
        <w:rPr>
          <w:rFonts w:ascii="Times New Roman" w:hAnsi="Times New Roman"/>
          <w:color w:val="auto"/>
          <w:szCs w:val="21"/>
          <w:highlight w:val="none"/>
        </w:rPr>
        <w:t>20</w:t>
      </w:r>
      <w:r>
        <w:rPr>
          <w:rFonts w:ascii="Times New Roman" w:hAnsi="Times New Roman"/>
          <w:color w:val="auto"/>
          <w:szCs w:val="21"/>
          <w:highlight w:val="none"/>
          <w:u w:val="single"/>
        </w:rPr>
        <w:t>1</w:t>
      </w:r>
      <w:r>
        <w:rPr>
          <w:rFonts w:hint="eastAsia" w:ascii="Times New Roman" w:hAnsi="Times New Roman"/>
          <w:color w:val="auto"/>
          <w:szCs w:val="21"/>
          <w:highlight w:val="none"/>
          <w:u w:val="single"/>
          <w:lang w:val="en-US" w:eastAsia="zh-CN"/>
        </w:rPr>
        <w:t xml:space="preserve">  </w:t>
      </w:r>
      <w:r>
        <w:rPr>
          <w:rFonts w:hAnsi="宋体"/>
          <w:color w:val="auto"/>
          <w:szCs w:val="21"/>
          <w:highlight w:val="none"/>
        </w:rPr>
        <w:t>年</w:t>
      </w:r>
      <w:r>
        <w:rPr>
          <w:rFonts w:hint="eastAsia" w:hAnsi="宋体"/>
          <w:color w:val="auto"/>
          <w:szCs w:val="21"/>
          <w:highlight w:val="none"/>
          <w:lang w:val="en-US" w:eastAsia="zh-CN"/>
        </w:rPr>
        <w:t xml:space="preserve"> </w:t>
      </w:r>
      <w:r>
        <w:rPr>
          <w:rFonts w:hAnsi="宋体"/>
          <w:color w:val="auto"/>
          <w:szCs w:val="21"/>
          <w:highlight w:val="none"/>
        </w:rPr>
        <w:t>月</w:t>
      </w:r>
      <w:r>
        <w:rPr>
          <w:rFonts w:hint="eastAsia" w:hAnsi="宋体"/>
          <w:color w:val="auto"/>
          <w:szCs w:val="21"/>
          <w:highlight w:val="none"/>
          <w:lang w:val="en-US" w:eastAsia="zh-CN"/>
        </w:rPr>
        <w:t xml:space="preserve">   </w:t>
      </w:r>
      <w:r>
        <w:rPr>
          <w:rFonts w:hAnsi="宋体"/>
          <w:color w:val="auto"/>
          <w:szCs w:val="21"/>
          <w:highlight w:val="none"/>
        </w:rPr>
        <w:t>日</w:t>
      </w:r>
      <w:r>
        <w:rPr>
          <w:rFonts w:hint="eastAsia" w:hAnsi="宋体"/>
          <w:color w:val="auto"/>
          <w:szCs w:val="21"/>
          <w:highlight w:val="none"/>
          <w:lang w:val="en-US" w:eastAsia="zh-CN"/>
        </w:rPr>
        <w:t xml:space="preserve">   </w:t>
      </w:r>
      <w:r>
        <w:rPr>
          <w:rFonts w:hAnsi="宋体"/>
          <w:color w:val="auto"/>
          <w:szCs w:val="21"/>
          <w:highlight w:val="none"/>
        </w:rPr>
        <w:t>前，将货物运送至甲方</w:t>
      </w:r>
      <w:r>
        <w:rPr>
          <w:rFonts w:hint="eastAsia" w:hAnsi="宋体"/>
          <w:color w:val="auto"/>
          <w:szCs w:val="21"/>
          <w:highlight w:val="none"/>
        </w:rPr>
        <w:t>校区</w:t>
      </w:r>
      <w:r>
        <w:rPr>
          <w:rFonts w:hAnsi="宋体"/>
          <w:color w:val="auto"/>
          <w:szCs w:val="21"/>
          <w:highlight w:val="none"/>
        </w:rPr>
        <w:t>所在地，并完成安装调试摆放</w:t>
      </w:r>
      <w:r>
        <w:rPr>
          <w:rFonts w:hint="eastAsia" w:hAnsi="宋体"/>
          <w:color w:val="auto"/>
          <w:szCs w:val="21"/>
          <w:highlight w:val="none"/>
        </w:rPr>
        <w:t>，经甲方验收合格</w:t>
      </w:r>
      <w:r>
        <w:rPr>
          <w:rFonts w:hAnsi="宋体"/>
          <w:color w:val="auto"/>
          <w:szCs w:val="21"/>
          <w:highlight w:val="none"/>
        </w:rPr>
        <w:t>。同时向甲方提供货物的</w:t>
      </w:r>
      <w:r>
        <w:rPr>
          <w:rFonts w:hint="eastAsia" w:hAnsi="宋体"/>
          <w:color w:val="auto"/>
          <w:szCs w:val="21"/>
          <w:highlight w:val="none"/>
        </w:rPr>
        <w:t>合格证、质量保证书或保修卡</w:t>
      </w:r>
      <w:r>
        <w:rPr>
          <w:rFonts w:hAnsi="宋体"/>
          <w:color w:val="auto"/>
          <w:szCs w:val="21"/>
          <w:highlight w:val="none"/>
        </w:rPr>
        <w:t>、使用说明等必备资料和必备配附件。</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第四条：售后服务</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乙方提供的货物质保期为</w:t>
      </w:r>
      <w:r>
        <w:rPr>
          <w:rFonts w:hint="eastAsia" w:hAnsi="宋体"/>
          <w:color w:val="auto"/>
          <w:szCs w:val="21"/>
          <w:highlight w:val="none"/>
          <w:lang w:val="en-US" w:eastAsia="zh-CN"/>
        </w:rPr>
        <w:t xml:space="preserve">   </w:t>
      </w:r>
      <w:r>
        <w:rPr>
          <w:rFonts w:hAnsi="宋体"/>
          <w:color w:val="auto"/>
          <w:szCs w:val="21"/>
          <w:highlight w:val="none"/>
        </w:rPr>
        <w:t>年，从货物验收合格交付甲方</w:t>
      </w:r>
      <w:r>
        <w:rPr>
          <w:rFonts w:hint="eastAsia" w:hAnsi="宋体"/>
          <w:color w:val="auto"/>
          <w:szCs w:val="21"/>
          <w:highlight w:val="none"/>
        </w:rPr>
        <w:t>正常</w:t>
      </w:r>
      <w:r>
        <w:rPr>
          <w:rFonts w:hAnsi="宋体"/>
          <w:color w:val="auto"/>
          <w:szCs w:val="21"/>
          <w:highlight w:val="none"/>
        </w:rPr>
        <w:t>使用之日起算，除人为原因造成的故障外，保修包换；质保期满后，乙方负责提供配件和维修服务，酌收备件成本费用，易损件长期提供。</w:t>
      </w:r>
    </w:p>
    <w:p>
      <w:pPr>
        <w:pStyle w:val="20"/>
        <w:spacing w:line="288" w:lineRule="auto"/>
        <w:ind w:right="-125" w:rightChars="-52"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乙方保证所供货物发生故障时，最迟在</w:t>
      </w:r>
      <w:r>
        <w:rPr>
          <w:rFonts w:ascii="Times New Roman" w:hAnsi="Times New Roman"/>
          <w:color w:val="auto"/>
          <w:szCs w:val="21"/>
          <w:highlight w:val="none"/>
        </w:rPr>
        <w:t>48</w:t>
      </w:r>
      <w:r>
        <w:rPr>
          <w:rFonts w:hAnsi="宋体"/>
          <w:color w:val="auto"/>
          <w:szCs w:val="21"/>
          <w:highlight w:val="none"/>
        </w:rPr>
        <w:t>小时内修复，并采取提供临时替用品等措施，以保证甲方的正常工作。</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第五条：验收</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乙方将所供货物运至甲方并完成安装调试后，由甲方组织验收。货物从验收合格交付甲方使用次日起</w:t>
      </w:r>
      <w:r>
        <w:rPr>
          <w:rFonts w:ascii="Times New Roman" w:hAnsi="Times New Roman"/>
          <w:color w:val="auto"/>
          <w:szCs w:val="21"/>
          <w:highlight w:val="none"/>
        </w:rPr>
        <w:t>30</w:t>
      </w:r>
      <w:r>
        <w:rPr>
          <w:rFonts w:hAnsi="宋体"/>
          <w:color w:val="auto"/>
          <w:szCs w:val="21"/>
          <w:highlight w:val="none"/>
        </w:rPr>
        <w:t>天内（不含修理期），出现非甲方人为因素造成的无法排除的故障，或经两次修理后仍不能使用的，乙方除调换或退货外，还应向甲方支付合同总价款</w:t>
      </w:r>
      <w:r>
        <w:rPr>
          <w:rFonts w:ascii="Times New Roman" w:hAnsi="Times New Roman"/>
          <w:color w:val="auto"/>
          <w:szCs w:val="21"/>
          <w:highlight w:val="none"/>
        </w:rPr>
        <w:t>20%</w:t>
      </w:r>
      <w:r>
        <w:rPr>
          <w:rFonts w:hAnsi="宋体"/>
          <w:color w:val="auto"/>
          <w:szCs w:val="21"/>
          <w:highlight w:val="none"/>
        </w:rPr>
        <w:t>的违约金。</w:t>
      </w:r>
    </w:p>
    <w:p>
      <w:pPr>
        <w:pStyle w:val="20"/>
        <w:spacing w:line="288" w:lineRule="auto"/>
        <w:ind w:firstLine="422" w:firstLineChars="200"/>
        <w:rPr>
          <w:rFonts w:ascii="Times New Roman" w:hAnsi="Times New Roman"/>
          <w:b/>
          <w:color w:val="auto"/>
          <w:szCs w:val="21"/>
          <w:highlight w:val="none"/>
        </w:rPr>
      </w:pPr>
      <w:r>
        <w:rPr>
          <w:rFonts w:hAnsi="宋体"/>
          <w:b/>
          <w:color w:val="auto"/>
          <w:szCs w:val="21"/>
          <w:highlight w:val="none"/>
        </w:rPr>
        <w:t>第六条：履约（质量）保证金</w:t>
      </w:r>
    </w:p>
    <w:p>
      <w:pPr>
        <w:ind w:firstLine="48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合同签订后7天内向采购人交纳合同总金额5% 的履约保证金，履约保证金在交货验收后自动转为质量保证金。质量保证金自货物交付验收合格后12个月内无质量问题索赔和售后服务问题，无息退回。（遇寒暑假及国定假日顺延）。</w:t>
      </w:r>
    </w:p>
    <w:p>
      <w:pPr>
        <w:ind w:firstLine="480"/>
        <w:rPr>
          <w:rFonts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履约保证金的交付方式：转账、支票、汇票、保函等非现金方式。</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第七条：付款方式</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货物自乙方送达甲方指定地点，安装调试摆放完毕并经甲方验收合格和正常运行</w:t>
      </w:r>
      <w:r>
        <w:rPr>
          <w:rFonts w:hint="eastAsia" w:hAnsi="宋体"/>
          <w:color w:val="auto"/>
          <w:szCs w:val="21"/>
          <w:highlight w:val="none"/>
        </w:rPr>
        <w:t>（使用）</w:t>
      </w:r>
      <w:r>
        <w:rPr>
          <w:rFonts w:hAnsi="宋体"/>
          <w:color w:val="auto"/>
          <w:szCs w:val="21"/>
          <w:highlight w:val="none"/>
        </w:rPr>
        <w:t>后的</w:t>
      </w:r>
      <w:r>
        <w:rPr>
          <w:rFonts w:hint="eastAsia" w:hAnsi="宋体"/>
          <w:color w:val="auto"/>
          <w:szCs w:val="21"/>
          <w:highlight w:val="none"/>
        </w:rPr>
        <w:t>二十个工作日</w:t>
      </w:r>
      <w:r>
        <w:rPr>
          <w:rFonts w:hAnsi="宋体"/>
          <w:color w:val="auto"/>
          <w:szCs w:val="21"/>
          <w:highlight w:val="none"/>
        </w:rPr>
        <w:t>内，甲方收到乙方开具的正规发票后向乙方全额支付合同总额，即</w:t>
      </w:r>
      <w:r>
        <w:rPr>
          <w:rFonts w:ascii="Times New Roman" w:hAnsi="Times New Roman"/>
          <w:color w:val="auto"/>
          <w:szCs w:val="21"/>
          <w:highlight w:val="none"/>
        </w:rPr>
        <w:t>¥</w:t>
      </w:r>
      <w:r>
        <w:rPr>
          <w:rFonts w:hint="eastAsia" w:ascii="Times New Roman" w:hAnsi="Times New Roman"/>
          <w:color w:val="auto"/>
          <w:szCs w:val="21"/>
          <w:highlight w:val="none"/>
          <w:u w:val="single"/>
          <w:lang w:val="en-US" w:eastAsia="zh-CN"/>
        </w:rPr>
        <w:t xml:space="preserve">   </w:t>
      </w:r>
      <w:r>
        <w:rPr>
          <w:rFonts w:hAnsi="宋体"/>
          <w:color w:val="auto"/>
          <w:szCs w:val="21"/>
          <w:highlight w:val="none"/>
        </w:rPr>
        <w:t>元（大写：</w:t>
      </w:r>
      <w:r>
        <w:rPr>
          <w:rFonts w:hint="eastAsia" w:hAnsi="宋体"/>
          <w:color w:val="auto"/>
          <w:szCs w:val="21"/>
          <w:highlight w:val="none"/>
          <w:u w:val="single"/>
          <w:lang w:val="en-US" w:eastAsia="zh-CN"/>
        </w:rPr>
        <w:t xml:space="preserve">    </w:t>
      </w:r>
      <w:r>
        <w:rPr>
          <w:rFonts w:ascii="Times New Roman" w:hAnsi="Times New Roman"/>
          <w:color w:val="auto"/>
          <w:szCs w:val="21"/>
          <w:highlight w:val="none"/>
          <w:u w:val="single"/>
        </w:rPr>
        <w:t>整</w:t>
      </w:r>
      <w:r>
        <w:rPr>
          <w:rFonts w:hAnsi="宋体"/>
          <w:color w:val="auto"/>
          <w:szCs w:val="21"/>
          <w:highlight w:val="none"/>
        </w:rPr>
        <w:t>）。</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第八条：违约责任</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乙方逾期履行合同义务的，应向甲方偿付合同总价万分之五每日的违约金。</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甲方逾期支付货款的，应向乙方偿付逾期金额万分之五每日的滞纳金。</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货物验收合格交付正常使用之日起一年内，乙方未能全面履行合同约定或有违约行为的，质量保证金不予退还，并按合同规定承担其他违约责任。</w:t>
      </w:r>
    </w:p>
    <w:p>
      <w:pPr>
        <w:pStyle w:val="20"/>
        <w:spacing w:line="288" w:lineRule="auto"/>
        <w:ind w:firstLine="420" w:firstLineChars="200"/>
        <w:rPr>
          <w:rFonts w:hAnsi="宋体"/>
          <w:color w:val="auto"/>
          <w:szCs w:val="21"/>
          <w:highlight w:val="none"/>
        </w:rPr>
      </w:pPr>
      <w:r>
        <w:rPr>
          <w:rFonts w:hint="eastAsia" w:hAnsi="宋体"/>
          <w:color w:val="auto"/>
          <w:szCs w:val="21"/>
          <w:highlight w:val="none"/>
        </w:rPr>
        <w:t>4.本合同货物须由乙方直接供应，不得转让、转包、分包他人供应；否则，甲方有权解除合同、拒付（或要求退还）合同价款、没收履约（质量）保证金，并要求乙方支付合同价款20%的违约金。</w:t>
      </w:r>
    </w:p>
    <w:p>
      <w:pPr>
        <w:pStyle w:val="20"/>
        <w:spacing w:line="288" w:lineRule="auto"/>
        <w:ind w:firstLine="420" w:firstLineChars="200"/>
        <w:rPr>
          <w:rFonts w:ascii="Times New Roman" w:hAnsi="Times New Roman"/>
          <w:color w:val="auto"/>
          <w:szCs w:val="21"/>
          <w:highlight w:val="none"/>
        </w:rPr>
      </w:pPr>
      <w:r>
        <w:rPr>
          <w:rFonts w:hint="eastAsia" w:hAnsi="宋体"/>
          <w:color w:val="auto"/>
          <w:szCs w:val="21"/>
          <w:highlight w:val="none"/>
        </w:rPr>
        <w:t>5.乙方所供货物侵犯第三方知识产权的，乙方应承担由此造成的所有损失（包括但不限于侵权赔偿款、诉讼费、律师费、向甲方退还已收全款并按合同价款的20%支付违约金等）。</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第九条：争议的解决</w:t>
      </w:r>
    </w:p>
    <w:p>
      <w:pPr>
        <w:pStyle w:val="20"/>
        <w:spacing w:line="288" w:lineRule="auto"/>
        <w:ind w:firstLine="420" w:firstLineChars="200"/>
        <w:rPr>
          <w:rFonts w:ascii="Times New Roman" w:hAnsi="Times New Roman"/>
          <w:color w:val="auto"/>
          <w:szCs w:val="21"/>
          <w:highlight w:val="none"/>
        </w:rPr>
      </w:pPr>
      <w:r>
        <w:rPr>
          <w:rFonts w:hAnsi="宋体"/>
          <w:color w:val="auto"/>
          <w:szCs w:val="21"/>
          <w:highlight w:val="none"/>
        </w:rPr>
        <w:t>本合同纠纷由双方协商解决，协商不成，由甲方所在地人民法院诉讼解决。</w:t>
      </w:r>
    </w:p>
    <w:p>
      <w:pPr>
        <w:pStyle w:val="20"/>
        <w:spacing w:line="288" w:lineRule="auto"/>
        <w:ind w:firstLine="422" w:firstLineChars="200"/>
        <w:rPr>
          <w:rFonts w:ascii="Times New Roman" w:hAnsi="Times New Roman"/>
          <w:color w:val="auto"/>
          <w:szCs w:val="21"/>
          <w:highlight w:val="none"/>
        </w:rPr>
      </w:pPr>
      <w:r>
        <w:rPr>
          <w:rFonts w:hAnsi="宋体"/>
          <w:b/>
          <w:color w:val="auto"/>
          <w:szCs w:val="21"/>
          <w:highlight w:val="none"/>
        </w:rPr>
        <w:t>第十条：合同的生效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Ansi="宋体"/>
          <w:color w:val="auto"/>
          <w:szCs w:val="21"/>
          <w:highlight w:val="none"/>
        </w:rPr>
        <w:t>本合同经甲、乙双方法定代表人或其委托代理人签字并加盖单位印章后生效。</w:t>
      </w:r>
    </w:p>
    <w:p>
      <w:pPr>
        <w:pStyle w:val="20"/>
        <w:spacing w:line="288"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w:t>
      </w:r>
      <w:r>
        <w:rPr>
          <w:rFonts w:hAnsi="宋体"/>
          <w:color w:val="auto"/>
          <w:szCs w:val="21"/>
          <w:highlight w:val="none"/>
        </w:rPr>
        <w:t>本合同一式</w:t>
      </w:r>
      <w:r>
        <w:rPr>
          <w:rFonts w:hint="eastAsia" w:hAnsi="宋体"/>
          <w:color w:val="auto"/>
          <w:szCs w:val="21"/>
          <w:highlight w:val="none"/>
          <w:lang w:val="en-US" w:eastAsia="zh-CN"/>
        </w:rPr>
        <w:t xml:space="preserve">  </w:t>
      </w:r>
      <w:r>
        <w:rPr>
          <w:rFonts w:hAnsi="宋体"/>
          <w:color w:val="auto"/>
          <w:szCs w:val="21"/>
          <w:highlight w:val="none"/>
        </w:rPr>
        <w:t>份，甲方执</w:t>
      </w:r>
      <w:r>
        <w:rPr>
          <w:rFonts w:hint="eastAsia" w:hAnsi="宋体"/>
          <w:color w:val="auto"/>
          <w:szCs w:val="21"/>
          <w:highlight w:val="none"/>
          <w:lang w:val="en-US" w:eastAsia="zh-CN"/>
        </w:rPr>
        <w:t xml:space="preserve">  </w:t>
      </w:r>
      <w:r>
        <w:rPr>
          <w:rFonts w:hAnsi="宋体"/>
          <w:color w:val="auto"/>
          <w:szCs w:val="21"/>
          <w:highlight w:val="none"/>
        </w:rPr>
        <w:t>份，乙方和鉴证方各执</w:t>
      </w:r>
      <w:r>
        <w:rPr>
          <w:rFonts w:hint="eastAsia" w:hAnsi="宋体"/>
          <w:color w:val="auto"/>
          <w:szCs w:val="21"/>
          <w:highlight w:val="none"/>
          <w:lang w:val="en-US" w:eastAsia="zh-CN"/>
        </w:rPr>
        <w:t xml:space="preserve">  </w:t>
      </w:r>
      <w:r>
        <w:rPr>
          <w:rFonts w:hAnsi="宋体"/>
          <w:color w:val="auto"/>
          <w:szCs w:val="21"/>
          <w:highlight w:val="none"/>
        </w:rPr>
        <w:t>份，具有同等法律效力。</w:t>
      </w:r>
    </w:p>
    <w:p>
      <w:pPr>
        <w:pStyle w:val="20"/>
        <w:spacing w:line="288" w:lineRule="auto"/>
        <w:ind w:firstLine="420" w:firstLineChars="200"/>
        <w:rPr>
          <w:rFonts w:hAnsi="宋体"/>
          <w:color w:val="auto"/>
          <w:szCs w:val="21"/>
          <w:highlight w:val="none"/>
        </w:rPr>
      </w:pPr>
      <w:r>
        <w:rPr>
          <w:rFonts w:ascii="Times New Roman" w:hAnsi="Times New Roman"/>
          <w:color w:val="auto"/>
          <w:szCs w:val="21"/>
          <w:highlight w:val="none"/>
        </w:rPr>
        <w:t>3.</w:t>
      </w:r>
      <w:r>
        <w:rPr>
          <w:rFonts w:hAnsi="宋体"/>
          <w:color w:val="auto"/>
          <w:szCs w:val="21"/>
          <w:highlight w:val="none"/>
        </w:rPr>
        <w:t>本合同附件及双方的</w:t>
      </w:r>
      <w:r>
        <w:rPr>
          <w:rFonts w:hint="eastAsia" w:hAnsi="宋体"/>
          <w:color w:val="auto"/>
          <w:szCs w:val="21"/>
          <w:highlight w:val="none"/>
          <w:lang w:val="en-US" w:eastAsia="zh-CN"/>
        </w:rPr>
        <w:t>招标</w:t>
      </w:r>
      <w:r>
        <w:rPr>
          <w:rFonts w:hAnsi="宋体"/>
          <w:color w:val="auto"/>
          <w:szCs w:val="21"/>
          <w:highlight w:val="none"/>
        </w:rPr>
        <w:t>文件、</w:t>
      </w:r>
      <w:r>
        <w:rPr>
          <w:rFonts w:hint="eastAsia" w:hAnsi="宋体"/>
          <w:color w:val="auto"/>
          <w:szCs w:val="21"/>
          <w:highlight w:val="none"/>
          <w:lang w:val="en-US" w:eastAsia="zh-CN"/>
        </w:rPr>
        <w:t>投标</w:t>
      </w:r>
      <w:r>
        <w:rPr>
          <w:rFonts w:hAnsi="宋体"/>
          <w:color w:val="auto"/>
          <w:szCs w:val="21"/>
          <w:highlight w:val="none"/>
        </w:rPr>
        <w:t>文件、</w:t>
      </w:r>
      <w:r>
        <w:rPr>
          <w:rFonts w:hint="eastAsia" w:hAnsi="宋体"/>
          <w:color w:val="auto"/>
          <w:szCs w:val="21"/>
          <w:highlight w:val="none"/>
          <w:lang w:val="en-US" w:eastAsia="zh-CN"/>
        </w:rPr>
        <w:t>询标纪要</w:t>
      </w:r>
      <w:r>
        <w:rPr>
          <w:rFonts w:hAnsi="宋体"/>
          <w:color w:val="auto"/>
          <w:szCs w:val="21"/>
          <w:highlight w:val="none"/>
        </w:rPr>
        <w:t>等系本合同的组成部分。</w:t>
      </w:r>
    </w:p>
    <w:p>
      <w:pPr>
        <w:pStyle w:val="20"/>
        <w:spacing w:line="288" w:lineRule="auto"/>
        <w:ind w:firstLine="420" w:firstLineChars="200"/>
        <w:rPr>
          <w:rFonts w:ascii="Times New Roman" w:hAnsi="Times New Roman"/>
          <w:color w:val="auto"/>
          <w:szCs w:val="21"/>
          <w:highlight w:val="none"/>
        </w:rPr>
      </w:pPr>
    </w:p>
    <w:tbl>
      <w:tblPr>
        <w:tblStyle w:val="40"/>
        <w:tblW w:w="10065"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2"/>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甲方（公章）：</w:t>
            </w:r>
            <w:r>
              <w:rPr>
                <w:rFonts w:hint="eastAsia"/>
                <w:color w:val="auto"/>
                <w:spacing w:val="-6"/>
                <w:sz w:val="21"/>
                <w:szCs w:val="21"/>
                <w:highlight w:val="none"/>
              </w:rPr>
              <w:t>浙江机电职业技术学院</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乙方（公章）：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(签字</w:t>
            </w:r>
            <w:r>
              <w:rPr>
                <w:rFonts w:hint="eastAsia"/>
                <w:color w:val="auto"/>
                <w:spacing w:val="-6"/>
                <w:sz w:val="21"/>
                <w:szCs w:val="21"/>
                <w:highlight w:val="none"/>
              </w:rPr>
              <w:t>或盖章</w:t>
            </w:r>
            <w:r>
              <w:rPr>
                <w:color w:val="auto"/>
                <w:spacing w:val="-6"/>
                <w:sz w:val="21"/>
                <w:szCs w:val="21"/>
                <w:highlight w:val="none"/>
              </w:rPr>
              <w:t>）</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法定代表人或其委托代理人：</w:t>
            </w:r>
          </w:p>
          <w:p>
            <w:pPr>
              <w:ind w:firstLine="396"/>
              <w:rPr>
                <w:color w:val="auto"/>
                <w:spacing w:val="-6"/>
                <w:sz w:val="21"/>
                <w:szCs w:val="21"/>
                <w:highlight w:val="none"/>
              </w:rPr>
            </w:pPr>
            <w:r>
              <w:rPr>
                <w:color w:val="auto"/>
                <w:spacing w:val="-6"/>
                <w:sz w:val="21"/>
                <w:szCs w:val="21"/>
                <w:highlight w:val="none"/>
              </w:rPr>
              <w:t>（签字</w:t>
            </w:r>
            <w:r>
              <w:rPr>
                <w:rFonts w:hint="eastAsia"/>
                <w:color w:val="auto"/>
                <w:spacing w:val="-6"/>
                <w:sz w:val="21"/>
                <w:szCs w:val="21"/>
                <w:highlight w:val="none"/>
              </w:rPr>
              <w:t>或盖章</w:t>
            </w:r>
            <w:r>
              <w:rPr>
                <w:color w:val="auto"/>
                <w:spacing w:val="-6"/>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地址：</w:t>
            </w:r>
            <w:r>
              <w:rPr>
                <w:rFonts w:hint="eastAsia"/>
                <w:color w:val="auto"/>
                <w:spacing w:val="-6"/>
                <w:sz w:val="21"/>
                <w:szCs w:val="21"/>
                <w:highlight w:val="none"/>
              </w:rPr>
              <w:t>杭州市滨江区滨文路528号</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邮编：</w:t>
            </w:r>
            <w:r>
              <w:rPr>
                <w:color w:val="auto"/>
                <w:sz w:val="21"/>
                <w:szCs w:val="21"/>
                <w:highlight w:val="none"/>
              </w:rPr>
              <w:t>310053</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电话：</w:t>
            </w:r>
            <w:r>
              <w:rPr>
                <w:rFonts w:hint="eastAsia"/>
                <w:color w:val="auto"/>
                <w:spacing w:val="-6"/>
                <w:sz w:val="21"/>
                <w:szCs w:val="21"/>
                <w:highlight w:val="none"/>
              </w:rPr>
              <w:t>0571-87773085</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传真：</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传真：</w:t>
            </w:r>
            <w:r>
              <w:rPr>
                <w:color w:val="auto"/>
                <w:spacing w:val="-6"/>
                <w:sz w:val="21"/>
                <w:szCs w:val="21"/>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电子邮箱：</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开户银行：</w:t>
            </w:r>
            <w:r>
              <w:rPr>
                <w:rFonts w:hint="eastAsia"/>
                <w:color w:val="auto"/>
                <w:spacing w:val="-6"/>
                <w:sz w:val="21"/>
                <w:szCs w:val="21"/>
                <w:highlight w:val="none"/>
              </w:rPr>
              <w:t>工行杭州景江苑支行</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2" w:type="dxa"/>
            <w:noWrap/>
            <w:vAlign w:val="center"/>
          </w:tcPr>
          <w:p>
            <w:pPr>
              <w:ind w:firstLine="396"/>
              <w:rPr>
                <w:color w:val="auto"/>
                <w:spacing w:val="-6"/>
                <w:sz w:val="21"/>
                <w:szCs w:val="21"/>
                <w:highlight w:val="none"/>
              </w:rPr>
            </w:pPr>
            <w:r>
              <w:rPr>
                <w:color w:val="auto"/>
                <w:spacing w:val="-6"/>
                <w:sz w:val="21"/>
                <w:szCs w:val="21"/>
                <w:highlight w:val="none"/>
              </w:rPr>
              <w:t>帐号：</w:t>
            </w:r>
            <w:r>
              <w:rPr>
                <w:rFonts w:hint="eastAsia"/>
                <w:color w:val="auto"/>
                <w:spacing w:val="-6"/>
                <w:sz w:val="21"/>
                <w:szCs w:val="21"/>
                <w:highlight w:val="none"/>
              </w:rPr>
              <w:t>1202023419100001848</w:t>
            </w:r>
          </w:p>
        </w:tc>
        <w:tc>
          <w:tcPr>
            <w:tcW w:w="4533" w:type="dxa"/>
            <w:noWrap/>
            <w:vAlign w:val="center"/>
          </w:tcPr>
          <w:p>
            <w:pPr>
              <w:ind w:firstLine="396"/>
              <w:rPr>
                <w:color w:val="auto"/>
                <w:spacing w:val="-6"/>
                <w:sz w:val="21"/>
                <w:szCs w:val="21"/>
                <w:highlight w:val="none"/>
              </w:rPr>
            </w:pPr>
            <w:r>
              <w:rPr>
                <w:color w:val="auto"/>
                <w:spacing w:val="-6"/>
                <w:sz w:val="21"/>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ign w:val="center"/>
          </w:tcPr>
          <w:p>
            <w:pPr>
              <w:ind w:firstLine="396"/>
              <w:rPr>
                <w:color w:val="auto"/>
                <w:spacing w:val="-6"/>
                <w:sz w:val="21"/>
                <w:szCs w:val="21"/>
                <w:highlight w:val="none"/>
              </w:rPr>
            </w:pPr>
            <w:r>
              <w:rPr>
                <w:color w:val="auto"/>
                <w:spacing w:val="-6"/>
                <w:sz w:val="21"/>
                <w:szCs w:val="21"/>
                <w:highlight w:val="none"/>
              </w:rPr>
              <w:t>合同签订地点：</w:t>
            </w:r>
            <w:r>
              <w:rPr>
                <w:rFonts w:hint="eastAsia"/>
                <w:color w:val="auto"/>
                <w:spacing w:val="-6"/>
                <w:sz w:val="21"/>
                <w:szCs w:val="21"/>
                <w:highlight w:val="none"/>
              </w:rPr>
              <w:t>杭州市滨江区滨文路528号</w:t>
            </w:r>
            <w:r>
              <w:rPr>
                <w:color w:val="auto"/>
                <w:spacing w:val="-6"/>
                <w:sz w:val="21"/>
                <w:szCs w:val="21"/>
                <w:highlight w:val="none"/>
              </w:rPr>
              <w:t>签订时间：年月日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ign w:val="center"/>
          </w:tcPr>
          <w:p>
            <w:pPr>
              <w:ind w:firstLine="396"/>
              <w:rPr>
                <w:color w:val="auto"/>
                <w:spacing w:val="-6"/>
                <w:sz w:val="21"/>
                <w:szCs w:val="21"/>
                <w:highlight w:val="none"/>
              </w:rPr>
            </w:pPr>
            <w:r>
              <w:rPr>
                <w:color w:val="auto"/>
                <w:spacing w:val="-6"/>
                <w:sz w:val="21"/>
                <w:szCs w:val="21"/>
                <w:highlight w:val="none"/>
              </w:rPr>
              <w:t>合同鉴证方（</w:t>
            </w:r>
            <w:r>
              <w:rPr>
                <w:rFonts w:hint="eastAsia"/>
                <w:color w:val="auto"/>
                <w:spacing w:val="-6"/>
                <w:sz w:val="21"/>
                <w:szCs w:val="21"/>
                <w:highlight w:val="none"/>
              </w:rPr>
              <w:t>鉴证</w:t>
            </w:r>
            <w:r>
              <w:rPr>
                <w:color w:val="auto"/>
                <w:spacing w:val="-6"/>
                <w:sz w:val="21"/>
                <w:szCs w:val="21"/>
                <w:highlight w:val="none"/>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ign w:val="center"/>
          </w:tcPr>
          <w:p>
            <w:pPr>
              <w:ind w:firstLine="420"/>
              <w:rPr>
                <w:color w:val="auto"/>
                <w:spacing w:val="-6"/>
                <w:sz w:val="21"/>
                <w:szCs w:val="21"/>
                <w:highlight w:val="none"/>
              </w:rPr>
            </w:pPr>
            <w:r>
              <w:rPr>
                <w:color w:val="auto"/>
                <w:sz w:val="21"/>
                <w:szCs w:val="21"/>
                <w:highlight w:val="none"/>
              </w:rPr>
              <w:t>地址：</w:t>
            </w:r>
            <w:r>
              <w:rPr>
                <w:rFonts w:hint="eastAsia"/>
                <w:color w:val="auto"/>
                <w:sz w:val="21"/>
                <w:szCs w:val="21"/>
                <w:highlight w:val="none"/>
              </w:rPr>
              <w:t>杭州市滨江区东信大道66号东方通信科技园启迪楼1207室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ign w:val="center"/>
          </w:tcPr>
          <w:p>
            <w:pPr>
              <w:ind w:firstLine="396"/>
              <w:rPr>
                <w:color w:val="auto"/>
                <w:spacing w:val="-6"/>
                <w:sz w:val="21"/>
                <w:szCs w:val="21"/>
                <w:highlight w:val="none"/>
              </w:rPr>
            </w:pPr>
            <w:r>
              <w:rPr>
                <w:color w:val="auto"/>
                <w:spacing w:val="-6"/>
                <w:sz w:val="21"/>
                <w:szCs w:val="21"/>
                <w:highlight w:val="none"/>
              </w:rPr>
              <w:t>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65" w:type="dxa"/>
            <w:gridSpan w:val="2"/>
            <w:noWrap/>
            <w:vAlign w:val="center"/>
          </w:tcPr>
          <w:p>
            <w:pPr>
              <w:ind w:firstLine="396"/>
              <w:rPr>
                <w:color w:val="auto"/>
                <w:spacing w:val="-6"/>
                <w:sz w:val="21"/>
                <w:szCs w:val="21"/>
                <w:highlight w:val="none"/>
              </w:rPr>
            </w:pPr>
            <w:r>
              <w:rPr>
                <w:color w:val="auto"/>
                <w:spacing w:val="-6"/>
                <w:sz w:val="21"/>
                <w:szCs w:val="21"/>
                <w:highlight w:val="none"/>
              </w:rPr>
              <w:t>电话：</w:t>
            </w:r>
            <w:r>
              <w:rPr>
                <w:rFonts w:hint="eastAsia"/>
                <w:color w:val="auto"/>
                <w:spacing w:val="-6"/>
                <w:sz w:val="21"/>
                <w:szCs w:val="21"/>
                <w:highlight w:val="none"/>
              </w:rPr>
              <w:t>0571-86098397</w:t>
            </w:r>
            <w:r>
              <w:rPr>
                <w:rFonts w:hint="eastAsia"/>
                <w:color w:val="auto"/>
                <w:spacing w:val="-6"/>
                <w:sz w:val="21"/>
                <w:szCs w:val="21"/>
                <w:highlight w:val="none"/>
                <w:lang w:val="en-US" w:eastAsia="zh-CN"/>
              </w:rPr>
              <w:t xml:space="preserve">         </w:t>
            </w:r>
            <w:r>
              <w:rPr>
                <w:color w:val="auto"/>
                <w:spacing w:val="-6"/>
                <w:sz w:val="21"/>
                <w:szCs w:val="21"/>
                <w:highlight w:val="none"/>
              </w:rPr>
              <w:t>鉴证时间：</w:t>
            </w:r>
            <w:r>
              <w:rPr>
                <w:rFonts w:hint="eastAsia"/>
                <w:color w:val="auto"/>
                <w:spacing w:val="-6"/>
                <w:sz w:val="21"/>
                <w:szCs w:val="21"/>
                <w:highlight w:val="none"/>
                <w:lang w:val="en-US" w:eastAsia="zh-CN"/>
              </w:rPr>
              <w:t xml:space="preserve">     </w:t>
            </w:r>
            <w:r>
              <w:rPr>
                <w:color w:val="auto"/>
                <w:spacing w:val="-6"/>
                <w:sz w:val="21"/>
                <w:szCs w:val="21"/>
                <w:highlight w:val="none"/>
              </w:rPr>
              <w:t>年</w:t>
            </w:r>
            <w:r>
              <w:rPr>
                <w:rFonts w:hint="eastAsia"/>
                <w:color w:val="auto"/>
                <w:spacing w:val="-6"/>
                <w:sz w:val="21"/>
                <w:szCs w:val="21"/>
                <w:highlight w:val="none"/>
                <w:lang w:val="en-US" w:eastAsia="zh-CN"/>
              </w:rPr>
              <w:t xml:space="preserve">   </w:t>
            </w:r>
            <w:r>
              <w:rPr>
                <w:color w:val="auto"/>
                <w:spacing w:val="-6"/>
                <w:sz w:val="21"/>
                <w:szCs w:val="21"/>
                <w:highlight w:val="none"/>
              </w:rPr>
              <w:t>月</w:t>
            </w:r>
            <w:r>
              <w:rPr>
                <w:rFonts w:hint="eastAsia"/>
                <w:color w:val="auto"/>
                <w:spacing w:val="-6"/>
                <w:sz w:val="21"/>
                <w:szCs w:val="21"/>
                <w:highlight w:val="none"/>
                <w:lang w:val="en-US" w:eastAsia="zh-CN"/>
              </w:rPr>
              <w:t xml:space="preserve">    </w:t>
            </w:r>
            <w:r>
              <w:rPr>
                <w:color w:val="auto"/>
                <w:spacing w:val="-6"/>
                <w:sz w:val="21"/>
                <w:szCs w:val="21"/>
                <w:highlight w:val="none"/>
              </w:rPr>
              <w:t>日</w:t>
            </w:r>
          </w:p>
        </w:tc>
      </w:tr>
    </w:tbl>
    <w:p>
      <w:pPr>
        <w:ind w:firstLine="480"/>
        <w:rPr>
          <w:color w:val="auto"/>
          <w:highlight w:val="none"/>
        </w:rPr>
      </w:pPr>
      <w:r>
        <w:rPr>
          <w:color w:val="auto"/>
          <w:highlight w:val="none"/>
        </w:rPr>
        <w:br w:type="page"/>
      </w:r>
    </w:p>
    <w:p>
      <w:pPr>
        <w:ind w:firstLine="480"/>
        <w:rPr>
          <w:color w:val="auto"/>
          <w:highlight w:val="none"/>
        </w:rPr>
      </w:pPr>
      <w:r>
        <w:rPr>
          <w:color w:val="auto"/>
          <w:highlight w:val="none"/>
        </w:rPr>
        <w:t>附件</w:t>
      </w:r>
      <w:r>
        <w:rPr>
          <w:rFonts w:hint="eastAsia"/>
          <w:color w:val="auto"/>
          <w:highlight w:val="none"/>
        </w:rPr>
        <w:t>（</w:t>
      </w:r>
      <w:r>
        <w:rPr>
          <w:rFonts w:hint="eastAsia"/>
          <w:b/>
          <w:color w:val="auto"/>
          <w:highlight w:val="none"/>
        </w:rPr>
        <w:t>请严格按照投标文件填写</w:t>
      </w:r>
      <w:r>
        <w:rPr>
          <w:rFonts w:hint="eastAsia"/>
          <w:color w:val="auto"/>
          <w:highlight w:val="none"/>
        </w:rPr>
        <w:t>配置清单和服务承诺）：</w:t>
      </w:r>
    </w:p>
    <w:p>
      <w:pPr>
        <w:ind w:firstLine="482"/>
        <w:rPr>
          <w:b/>
          <w:color w:val="auto"/>
          <w:highlight w:val="none"/>
        </w:rPr>
      </w:pPr>
      <w:r>
        <w:rPr>
          <w:rFonts w:hint="eastAsia"/>
          <w:b/>
          <w:color w:val="auto"/>
          <w:highlight w:val="none"/>
        </w:rPr>
        <w:t>一、配置清单</w:t>
      </w:r>
    </w:p>
    <w:p>
      <w:pPr>
        <w:ind w:firstLine="480"/>
        <w:rPr>
          <w:color w:val="auto"/>
          <w:highlight w:val="none"/>
        </w:rPr>
      </w:pPr>
    </w:p>
    <w:p>
      <w:pPr>
        <w:ind w:firstLine="482"/>
        <w:rPr>
          <w:b/>
          <w:color w:val="auto"/>
          <w:highlight w:val="none"/>
        </w:rPr>
      </w:pPr>
      <w:r>
        <w:rPr>
          <w:rFonts w:hint="eastAsia"/>
          <w:b/>
          <w:color w:val="auto"/>
          <w:highlight w:val="none"/>
        </w:rPr>
        <w:t>二、服务承诺</w:t>
      </w:r>
    </w:p>
    <w:p>
      <w:pPr>
        <w:ind w:firstLine="480"/>
        <w:rPr>
          <w:color w:val="auto"/>
          <w:highlight w:val="none"/>
        </w:rPr>
      </w:pPr>
    </w:p>
    <w:p>
      <w:pPr>
        <w:ind w:firstLine="480"/>
        <w:rPr>
          <w:rFonts w:cs="宋体"/>
          <w:color w:val="auto"/>
          <w:highlight w:val="none"/>
        </w:rPr>
      </w:pPr>
    </w:p>
    <w:p>
      <w:pPr>
        <w:pStyle w:val="2"/>
        <w:rPr>
          <w:rFonts w:ascii="宋体" w:hAnsi="宋体" w:eastAsia="宋体" w:cs="宋体"/>
          <w:color w:val="auto"/>
          <w:highlight w:val="none"/>
        </w:rPr>
      </w:pPr>
    </w:p>
    <w:p>
      <w:pPr>
        <w:pStyle w:val="4"/>
        <w:rPr>
          <w:rFonts w:cs="宋体"/>
          <w:color w:val="auto"/>
          <w:highlight w:val="none"/>
        </w:rPr>
        <w:sectPr>
          <w:footerReference r:id="rId18" w:type="default"/>
          <w:pgSz w:w="11907" w:h="16840"/>
          <w:pgMar w:top="1247" w:right="1304" w:bottom="1021" w:left="1304" w:header="720" w:footer="720" w:gutter="0"/>
          <w:pgNumType w:fmt="decimal"/>
          <w:cols w:space="720" w:num="1"/>
          <w:docGrid w:linePitch="286" w:charSpace="0"/>
        </w:sectPr>
      </w:pPr>
      <w:bookmarkStart w:id="70" w:name="_Toc450840088"/>
    </w:p>
    <w:bookmarkEnd w:id="36"/>
    <w:bookmarkEnd w:id="37"/>
    <w:bookmarkEnd w:id="38"/>
    <w:bookmarkEnd w:id="39"/>
    <w:bookmarkEnd w:id="40"/>
    <w:bookmarkEnd w:id="41"/>
    <w:bookmarkEnd w:id="42"/>
    <w:bookmarkEnd w:id="43"/>
    <w:bookmarkEnd w:id="70"/>
    <w:p>
      <w:pPr>
        <w:pStyle w:val="4"/>
        <w:rPr>
          <w:rFonts w:cs="宋体"/>
          <w:color w:val="auto"/>
          <w:highlight w:val="none"/>
        </w:rPr>
      </w:pPr>
      <w:bookmarkStart w:id="71" w:name="_Toc22636"/>
      <w:bookmarkStart w:id="72" w:name="_Toc12832"/>
      <w:r>
        <w:rPr>
          <w:rFonts w:hint="eastAsia" w:cs="宋体"/>
          <w:color w:val="auto"/>
          <w:highlight w:val="none"/>
        </w:rPr>
        <w:t>第六章 投标文件格式</w:t>
      </w:r>
      <w:bookmarkEnd w:id="71"/>
      <w:bookmarkEnd w:id="72"/>
    </w:p>
    <w:p>
      <w:pPr>
        <w:pStyle w:val="20"/>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6"/>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20"/>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UDoz2AAAAAoBAAAPAAAAAAAAAAEAIAAAACIAAABkcnMvZG93bnJl&#10;di54bWxQSwECFAAUAAAACACHTuJABvHaqv0BAAAEBAAADgAAAAAAAAABACAAAAAnAQAAZHJzL2Uy&#10;b0RvYy54bWxQSwUGAAAAAAYABgBZAQAAlg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p>
    <w:p>
      <w:pPr>
        <w:pStyle w:val="6"/>
        <w:rPr>
          <w:rFonts w:cs="宋体"/>
          <w:color w:val="auto"/>
          <w:highlight w:val="none"/>
        </w:rPr>
      </w:pPr>
      <w:r>
        <w:rPr>
          <w:rFonts w:hint="eastAsia" w:cs="宋体"/>
          <w:color w:val="auto"/>
          <w:highlight w:val="none"/>
        </w:rPr>
        <w:t>投标文件封面</w:t>
      </w:r>
    </w:p>
    <w:p>
      <w:pPr>
        <w:ind w:firstLine="800"/>
        <w:jc w:val="center"/>
        <w:rPr>
          <w:rFonts w:cs="宋体"/>
          <w:color w:val="auto"/>
          <w:sz w:val="40"/>
          <w:szCs w:val="40"/>
          <w:highlight w:val="none"/>
        </w:rPr>
      </w:pP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pgNumType w:fmt="decimal"/>
          <w:cols w:space="720" w:num="1"/>
          <w:docGrid w:linePitch="286" w:charSpace="0"/>
        </w:sectPr>
      </w:pPr>
      <w:r>
        <w:rPr>
          <w:rFonts w:hint="eastAsia" w:cs="宋体"/>
          <w:color w:val="auto"/>
          <w:sz w:val="30"/>
          <w:szCs w:val="30"/>
          <w:highlight w:val="none"/>
        </w:rPr>
        <w:t>日期：    年  月  日</w:t>
      </w:r>
    </w:p>
    <w:p>
      <w:pPr>
        <w:pStyle w:val="6"/>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浙江机电职业技术学院、浙江五石工程咨询有限公司</w:t>
      </w:r>
      <w:r>
        <w:rPr>
          <w:rFonts w:hint="eastAsia" w:cs="宋体"/>
          <w:color w:val="auto"/>
          <w:spacing w:val="-6"/>
          <w:highlight w:val="none"/>
        </w:rPr>
        <w:t>：</w:t>
      </w:r>
    </w:p>
    <w:p>
      <w:pPr>
        <w:snapToGrid w:val="0"/>
        <w:ind w:firstLine="480"/>
        <w:rPr>
          <w:rFonts w:ascii="宋体" w:hAnsi="宋体" w:cs="宋体"/>
          <w:color w:val="auto"/>
          <w:highlight w:val="none"/>
        </w:rPr>
      </w:pP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(投标人全称)授权</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(全权代表姓名)</w:t>
      </w:r>
      <w:r>
        <w:rPr>
          <w:rFonts w:hint="eastAsia" w:ascii="宋体" w:hAnsi="宋体" w:cs="宋体"/>
          <w:color w:val="auto"/>
          <w:kern w:val="0"/>
          <w:highlight w:val="none"/>
          <w:u w:val="single"/>
          <w:lang w:val="zh-CN"/>
        </w:rPr>
        <w:t xml:space="preserve">              </w:t>
      </w:r>
      <w:r>
        <w:rPr>
          <w:rFonts w:hint="eastAsia" w:ascii="宋体" w:hAnsi="宋体" w:cs="宋体"/>
          <w:color w:val="auto"/>
          <w:highlight w:val="none"/>
        </w:rPr>
        <w:t>(职务、职称)为全权代表，参加贵方组织的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pPr>
        <w:snapToGrid w:val="0"/>
        <w:ind w:firstLine="480"/>
        <w:rPr>
          <w:rFonts w:ascii="宋体" w:hAnsi="宋体" w:cs="宋体"/>
          <w:color w:val="auto"/>
          <w:highlight w:val="none"/>
        </w:rPr>
      </w:pPr>
      <w:r>
        <w:rPr>
          <w:rFonts w:hint="eastAsia" w:ascii="宋体" w:hAnsi="宋体" w:cs="宋体"/>
          <w:color w:val="auto"/>
          <w:highlight w:val="none"/>
        </w:rPr>
        <w:t>1、我方同意在投标人</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规定的开标日期起遵守本投标文件中的承诺且在投标有效期满之前均具有约束力。</w:t>
      </w:r>
    </w:p>
    <w:p>
      <w:pPr>
        <w:snapToGrid w:val="0"/>
        <w:ind w:firstLine="480"/>
        <w:rPr>
          <w:rFonts w:ascii="宋体" w:hAnsi="宋体" w:cs="宋体"/>
          <w:color w:val="auto"/>
          <w:highlight w:val="none"/>
        </w:rPr>
      </w:pPr>
      <w:r>
        <w:rPr>
          <w:rFonts w:hint="eastAsia" w:ascii="宋体" w:hAnsi="宋体" w:cs="宋体"/>
          <w:color w:val="auto"/>
          <w:highlight w:val="none"/>
        </w:rPr>
        <w:t>2、我方承诺已经具备《中华人民共和国政府采购法》中规定的参加政府采购活动的供应商应当具备的条件：</w:t>
      </w:r>
    </w:p>
    <w:p>
      <w:pPr>
        <w:snapToGrid w:val="0"/>
        <w:ind w:firstLine="480"/>
        <w:rPr>
          <w:rFonts w:ascii="宋体" w:hAnsi="宋体" w:cs="宋体"/>
          <w:color w:val="auto"/>
          <w:highlight w:val="none"/>
        </w:rPr>
      </w:pPr>
      <w:r>
        <w:rPr>
          <w:rFonts w:hint="eastAsia" w:ascii="宋体" w:hAnsi="宋体" w:cs="宋体"/>
          <w:color w:val="auto"/>
          <w:highlight w:val="none"/>
        </w:rPr>
        <w:t>(1)具有独立承担民事责任的能力；</w:t>
      </w:r>
    </w:p>
    <w:p>
      <w:pPr>
        <w:snapToGrid w:val="0"/>
        <w:ind w:firstLine="480"/>
        <w:rPr>
          <w:rFonts w:ascii="宋体" w:hAnsi="宋体" w:cs="宋体"/>
          <w:color w:val="auto"/>
          <w:highlight w:val="none"/>
        </w:rPr>
      </w:pPr>
      <w:r>
        <w:rPr>
          <w:rFonts w:hint="eastAsia" w:ascii="宋体" w:hAnsi="宋体" w:cs="宋体"/>
          <w:color w:val="auto"/>
          <w:highlight w:val="none"/>
        </w:rPr>
        <w:t>(2)遵守国家法律、行政法规，具有良好的信誉和商业道德；</w:t>
      </w:r>
    </w:p>
    <w:p>
      <w:pPr>
        <w:snapToGrid w:val="0"/>
        <w:ind w:firstLine="480"/>
        <w:rPr>
          <w:rFonts w:ascii="宋体" w:hAnsi="宋体" w:cs="宋体"/>
          <w:color w:val="auto"/>
          <w:highlight w:val="none"/>
        </w:rPr>
      </w:pPr>
      <w:r>
        <w:rPr>
          <w:rFonts w:hint="eastAsia" w:ascii="宋体" w:hAnsi="宋体" w:cs="宋体"/>
          <w:color w:val="auto"/>
          <w:highlight w:val="none"/>
        </w:rPr>
        <w:t>(3)具有履行合同的能力和良好的履行合同记录；</w:t>
      </w:r>
    </w:p>
    <w:p>
      <w:pPr>
        <w:snapToGrid w:val="0"/>
        <w:ind w:firstLine="480"/>
        <w:rPr>
          <w:rFonts w:ascii="宋体" w:hAnsi="宋体" w:cs="宋体"/>
          <w:color w:val="auto"/>
          <w:highlight w:val="none"/>
        </w:rPr>
      </w:pPr>
      <w:r>
        <w:rPr>
          <w:rFonts w:hint="eastAsia" w:ascii="宋体" w:hAnsi="宋体" w:cs="宋体"/>
          <w:color w:val="auto"/>
          <w:highlight w:val="none"/>
        </w:rPr>
        <w:t>(4)良好的资金、财务状况；</w:t>
      </w:r>
    </w:p>
    <w:p>
      <w:pPr>
        <w:snapToGrid w:val="0"/>
        <w:ind w:firstLine="480"/>
        <w:rPr>
          <w:rFonts w:ascii="宋体" w:hAnsi="宋体" w:cs="宋体"/>
          <w:color w:val="auto"/>
          <w:highlight w:val="none"/>
        </w:rPr>
      </w:pPr>
      <w:r>
        <w:rPr>
          <w:rFonts w:hint="eastAsia" w:ascii="宋体" w:hAnsi="宋体" w:cs="宋体"/>
          <w:color w:val="auto"/>
          <w:highlight w:val="none"/>
        </w:rPr>
        <w:t>(5)产品及生产所需装备符合中国政府规定的相应技术标准和环保标准；</w:t>
      </w:r>
    </w:p>
    <w:p>
      <w:pPr>
        <w:snapToGrid w:val="0"/>
        <w:ind w:firstLine="480"/>
        <w:rPr>
          <w:rFonts w:ascii="宋体" w:hAnsi="宋体" w:cs="宋体"/>
          <w:color w:val="auto"/>
          <w:highlight w:val="none"/>
        </w:rPr>
      </w:pPr>
      <w:r>
        <w:rPr>
          <w:rFonts w:hint="eastAsia" w:ascii="宋体" w:hAnsi="宋体" w:cs="宋体"/>
          <w:color w:val="auto"/>
          <w:highlight w:val="none"/>
        </w:rPr>
        <w:t>(6)没有违反政府采购法规、政策的记录；</w:t>
      </w:r>
    </w:p>
    <w:p>
      <w:pPr>
        <w:snapToGrid w:val="0"/>
        <w:ind w:firstLine="480"/>
        <w:rPr>
          <w:rFonts w:ascii="宋体" w:hAnsi="宋体" w:cs="宋体"/>
          <w:color w:val="auto"/>
          <w:highlight w:val="none"/>
        </w:rPr>
      </w:pPr>
      <w:r>
        <w:rPr>
          <w:rFonts w:hint="eastAsia" w:ascii="宋体" w:hAnsi="宋体" w:cs="宋体"/>
          <w:color w:val="auto"/>
          <w:highlight w:val="none"/>
        </w:rPr>
        <w:t>(7)没有发生重大经济纠纷和走私犯罪记录。</w:t>
      </w:r>
    </w:p>
    <w:p>
      <w:pPr>
        <w:pStyle w:val="20"/>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3、提供</w:t>
      </w:r>
      <w:r>
        <w:rPr>
          <w:rFonts w:hint="eastAsia" w:hAnsi="宋体" w:cs="宋体"/>
          <w:color w:val="auto"/>
          <w:kern w:val="44"/>
          <w:sz w:val="24"/>
          <w:highlight w:val="none"/>
        </w:rPr>
        <w:t>编制和提交采购响应文件须知</w:t>
      </w:r>
      <w:r>
        <w:rPr>
          <w:rFonts w:hint="eastAsia" w:hAnsi="宋体" w:cs="宋体"/>
          <w:color w:val="auto"/>
          <w:sz w:val="24"/>
          <w:highlight w:val="none"/>
        </w:rPr>
        <w:t>规定的全部投标文件，包括</w:t>
      </w:r>
      <w:r>
        <w:rPr>
          <w:rFonts w:hint="eastAsia" w:hAnsi="宋体" w:cs="宋体"/>
          <w:b/>
          <w:color w:val="auto"/>
          <w:sz w:val="24"/>
          <w:szCs w:val="24"/>
          <w:highlight w:val="none"/>
        </w:rPr>
        <w:t>资格文件正本1份；报价文件正本1份，副本</w:t>
      </w:r>
      <w:r>
        <w:rPr>
          <w:rFonts w:hint="eastAsia" w:hAnsi="宋体" w:cs="宋体"/>
          <w:color w:val="auto"/>
          <w:kern w:val="0"/>
          <w:sz w:val="24"/>
          <w:highlight w:val="none"/>
          <w:u w:val="single"/>
          <w:lang w:val="zh-CN"/>
        </w:rPr>
        <w:t>5</w:t>
      </w:r>
      <w:r>
        <w:rPr>
          <w:rFonts w:hint="eastAsia" w:hAnsi="宋体" w:cs="宋体"/>
          <w:b/>
          <w:color w:val="auto"/>
          <w:sz w:val="24"/>
          <w:szCs w:val="24"/>
          <w:highlight w:val="none"/>
        </w:rPr>
        <w:t>份；商务技术文件正本1份，副本</w:t>
      </w:r>
      <w:r>
        <w:rPr>
          <w:rFonts w:hint="eastAsia" w:hAnsi="宋体" w:cs="宋体"/>
          <w:color w:val="auto"/>
          <w:kern w:val="0"/>
          <w:sz w:val="24"/>
          <w:highlight w:val="none"/>
          <w:u w:val="single"/>
          <w:lang w:val="zh-CN"/>
        </w:rPr>
        <w:t xml:space="preserve"> 5</w:t>
      </w:r>
      <w:r>
        <w:rPr>
          <w:rFonts w:hint="eastAsia" w:hAnsi="宋体" w:cs="宋体"/>
          <w:b/>
          <w:color w:val="auto"/>
          <w:sz w:val="24"/>
          <w:szCs w:val="24"/>
          <w:highlight w:val="none"/>
        </w:rPr>
        <w:t>份；电子版</w:t>
      </w:r>
      <w:r>
        <w:rPr>
          <w:rFonts w:hint="eastAsia" w:hAnsi="宋体" w:cs="宋体"/>
          <w:b/>
          <w:color w:val="auto"/>
          <w:sz w:val="24"/>
          <w:szCs w:val="24"/>
          <w:highlight w:val="none"/>
          <w:u w:val="single"/>
        </w:rPr>
        <w:t>1</w:t>
      </w:r>
      <w:r>
        <w:rPr>
          <w:rFonts w:hint="eastAsia" w:hAnsi="宋体" w:cs="宋体"/>
          <w:b/>
          <w:color w:val="auto"/>
          <w:sz w:val="24"/>
          <w:szCs w:val="24"/>
          <w:highlight w:val="none"/>
        </w:rPr>
        <w:t>份。</w:t>
      </w:r>
      <w:r>
        <w:rPr>
          <w:rFonts w:hint="eastAsia" w:hAnsi="宋体" w:cs="宋体"/>
          <w:color w:val="auto"/>
          <w:sz w:val="24"/>
          <w:highlight w:val="none"/>
        </w:rPr>
        <w:t>具体内容为：</w:t>
      </w:r>
    </w:p>
    <w:p>
      <w:pPr>
        <w:snapToGrid w:val="0"/>
        <w:ind w:firstLine="480"/>
        <w:rPr>
          <w:rFonts w:ascii="宋体" w:hAnsi="宋体" w:cs="宋体"/>
          <w:color w:val="auto"/>
          <w:highlight w:val="none"/>
        </w:rPr>
      </w:pPr>
      <w:r>
        <w:rPr>
          <w:rFonts w:hint="eastAsia" w:ascii="宋体" w:hAnsi="宋体" w:cs="宋体"/>
          <w:color w:val="auto"/>
          <w:highlight w:val="none"/>
        </w:rPr>
        <w:t>(1)开标一览表及投标报价明细清单；</w:t>
      </w:r>
    </w:p>
    <w:p>
      <w:pPr>
        <w:snapToGrid w:val="0"/>
        <w:ind w:firstLine="480"/>
        <w:rPr>
          <w:rFonts w:ascii="宋体" w:hAnsi="宋体" w:cs="宋体"/>
          <w:color w:val="auto"/>
          <w:highlight w:val="none"/>
        </w:rPr>
      </w:pPr>
      <w:r>
        <w:rPr>
          <w:rFonts w:hint="eastAsia" w:ascii="宋体" w:hAnsi="宋体" w:cs="宋体"/>
          <w:color w:val="auto"/>
          <w:highlight w:val="none"/>
        </w:rPr>
        <w:t>(2)投标商务</w:t>
      </w:r>
      <w:r>
        <w:rPr>
          <w:rFonts w:hint="eastAsia" w:ascii="宋体" w:hAnsi="宋体" w:cs="宋体"/>
          <w:color w:val="auto"/>
          <w:kern w:val="0"/>
          <w:highlight w:val="none"/>
          <w:lang w:val="zh-CN"/>
        </w:rPr>
        <w:t>技术文件和</w:t>
      </w:r>
      <w:r>
        <w:rPr>
          <w:rFonts w:hint="eastAsia" w:ascii="宋体" w:hAnsi="宋体" w:cs="宋体"/>
          <w:color w:val="auto"/>
          <w:highlight w:val="none"/>
          <w:lang w:val="zh-CN"/>
        </w:rPr>
        <w:t>资格文件</w:t>
      </w:r>
      <w:r>
        <w:rPr>
          <w:rFonts w:hint="eastAsia" w:ascii="宋体" w:hAnsi="宋体" w:cs="宋体"/>
          <w:color w:val="auto"/>
          <w:highlight w:val="none"/>
        </w:rPr>
        <w:t>；</w:t>
      </w:r>
    </w:p>
    <w:p>
      <w:pPr>
        <w:snapToGrid w:val="0"/>
        <w:ind w:firstLine="480"/>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kern w:val="44"/>
          <w:highlight w:val="none"/>
        </w:rPr>
        <w:t>编制和提交采购响应文件须知</w:t>
      </w:r>
      <w:r>
        <w:rPr>
          <w:rFonts w:hint="eastAsia" w:ascii="宋体" w:hAnsi="宋体" w:cs="宋体"/>
          <w:color w:val="auto"/>
          <w:highlight w:val="none"/>
        </w:rPr>
        <w:t>要求投标人提交的全部文件；</w:t>
      </w:r>
    </w:p>
    <w:p>
      <w:pPr>
        <w:snapToGrid w:val="0"/>
        <w:ind w:firstLine="480"/>
        <w:rPr>
          <w:rFonts w:ascii="宋体" w:hAnsi="宋体" w:cs="宋体"/>
          <w:color w:val="auto"/>
          <w:highlight w:val="none"/>
        </w:rPr>
      </w:pPr>
      <w:r>
        <w:rPr>
          <w:rFonts w:hint="eastAsia" w:ascii="宋体" w:hAnsi="宋体" w:cs="宋体"/>
          <w:color w:val="auto"/>
          <w:highlight w:val="none"/>
        </w:rPr>
        <w:t>(4)按招标文件要求提供和交付的货物和服务的投标报价详见投标(开标)一览表；</w:t>
      </w:r>
    </w:p>
    <w:p>
      <w:pPr>
        <w:snapToGrid w:val="0"/>
        <w:ind w:firstLine="480"/>
        <w:rPr>
          <w:rFonts w:ascii="宋体" w:hAnsi="宋体" w:cs="宋体"/>
          <w:color w:val="auto"/>
          <w:highlight w:val="none"/>
        </w:rPr>
      </w:pPr>
      <w:r>
        <w:rPr>
          <w:rFonts w:hint="eastAsia" w:ascii="宋体" w:hAnsi="宋体" w:cs="宋体"/>
          <w:color w:val="auto"/>
          <w:highlight w:val="none"/>
        </w:rPr>
        <w:t>(5)保证忠实地执行双方所签订的合同，并承担合同规定的责任和义务；</w:t>
      </w:r>
    </w:p>
    <w:p>
      <w:pPr>
        <w:snapToGrid w:val="0"/>
        <w:ind w:firstLine="480"/>
        <w:rPr>
          <w:rFonts w:ascii="宋体" w:hAnsi="宋体" w:cs="宋体"/>
          <w:color w:val="auto"/>
          <w:highlight w:val="none"/>
        </w:rPr>
      </w:pPr>
      <w:r>
        <w:rPr>
          <w:rFonts w:hint="eastAsia" w:ascii="宋体" w:hAnsi="宋体" w:cs="宋体"/>
          <w:color w:val="auto"/>
          <w:highlight w:val="none"/>
        </w:rPr>
        <w:t>(6)保证遵守招标文件中的其他有关规定。</w:t>
      </w:r>
    </w:p>
    <w:p>
      <w:pPr>
        <w:snapToGrid w:val="0"/>
        <w:ind w:firstLine="480"/>
        <w:rPr>
          <w:rFonts w:ascii="宋体" w:hAnsi="宋体" w:cs="宋体"/>
          <w:color w:val="auto"/>
          <w:highlight w:val="none"/>
        </w:rPr>
      </w:pPr>
      <w:r>
        <w:rPr>
          <w:rFonts w:hint="eastAsia" w:ascii="宋体" w:hAnsi="宋体" w:cs="宋体"/>
          <w:color w:val="auto"/>
          <w:highlight w:val="none"/>
        </w:rPr>
        <w:t>4、我方承诺投标有效期从提交投标文件的截止之日起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天，不少于招标文件中载明的投标有效期（从提交投标文件的截止之日起90天）。</w:t>
      </w:r>
    </w:p>
    <w:p>
      <w:pPr>
        <w:snapToGrid w:val="0"/>
        <w:ind w:firstLine="480"/>
        <w:rPr>
          <w:rFonts w:ascii="宋体" w:hAnsi="宋体" w:cs="宋体"/>
          <w:color w:val="auto"/>
          <w:highlight w:val="none"/>
        </w:rPr>
      </w:pPr>
      <w:r>
        <w:rPr>
          <w:rFonts w:hint="eastAsia" w:ascii="宋体" w:hAnsi="宋体" w:cs="宋体"/>
          <w:color w:val="auto"/>
          <w:highlight w:val="none"/>
        </w:rPr>
        <w:t>5、我方完全理解贵方不一定要接受最低价的投标。</w:t>
      </w:r>
    </w:p>
    <w:p>
      <w:pPr>
        <w:snapToGrid w:val="0"/>
        <w:ind w:firstLine="480"/>
        <w:rPr>
          <w:rFonts w:ascii="宋体" w:hAnsi="宋体" w:cs="宋体"/>
          <w:color w:val="auto"/>
          <w:highlight w:val="none"/>
        </w:rPr>
      </w:pPr>
      <w:r>
        <w:rPr>
          <w:rFonts w:hint="eastAsia" w:ascii="宋体" w:hAnsi="宋体" w:cs="宋体"/>
          <w:color w:val="auto"/>
          <w:highlight w:val="none"/>
        </w:rPr>
        <w:t>6、我方愿意向贵方提供任何与该项投标有关的数据、情况和技术资料。若贵方需要，我方愿意提供我方作出的一切承诺的证明材料。</w:t>
      </w:r>
    </w:p>
    <w:p>
      <w:pPr>
        <w:snapToGrid w:val="0"/>
        <w:ind w:firstLine="480"/>
        <w:rPr>
          <w:rFonts w:ascii="宋体" w:hAnsi="宋体" w:cs="宋体"/>
          <w:color w:val="auto"/>
          <w:highlight w:val="none"/>
        </w:rPr>
      </w:pPr>
      <w:r>
        <w:rPr>
          <w:rFonts w:hint="eastAsia" w:ascii="宋体" w:hAnsi="宋体" w:cs="宋体"/>
          <w:color w:val="auto"/>
          <w:highlight w:val="none"/>
        </w:rPr>
        <w:t>7、我方已详细审核全部招标文件，包括招标文件修改书(如果有)、参考资料及有关附件，确认无误。</w:t>
      </w:r>
    </w:p>
    <w:p>
      <w:pPr>
        <w:snapToGrid w:val="0"/>
        <w:ind w:firstLine="480"/>
        <w:rPr>
          <w:rFonts w:ascii="宋体" w:hAnsi="宋体" w:cs="宋体"/>
          <w:color w:val="auto"/>
          <w:highlight w:val="none"/>
        </w:rPr>
      </w:pPr>
      <w:r>
        <w:rPr>
          <w:rFonts w:hint="eastAsia" w:ascii="宋体" w:hAnsi="宋体" w:cs="宋体"/>
          <w:color w:val="auto"/>
          <w:highlight w:val="none"/>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ascii="宋体" w:hAnsi="宋体" w:cs="宋体"/>
          <w:color w:val="auto"/>
          <w:highlight w:val="none"/>
        </w:rPr>
      </w:pPr>
      <w:r>
        <w:rPr>
          <w:rFonts w:hint="eastAsia" w:ascii="宋体" w:hAnsi="宋体" w:cs="宋体"/>
          <w:color w:val="auto"/>
          <w:highlight w:val="none"/>
        </w:rPr>
        <w:t>a)提供虚假材料谋取中标、成交的；</w:t>
      </w:r>
    </w:p>
    <w:p>
      <w:pPr>
        <w:snapToGrid w:val="0"/>
        <w:ind w:firstLine="480"/>
        <w:rPr>
          <w:rFonts w:ascii="宋体" w:hAnsi="宋体" w:cs="宋体"/>
          <w:color w:val="auto"/>
          <w:highlight w:val="none"/>
        </w:rPr>
      </w:pPr>
      <w:r>
        <w:rPr>
          <w:rFonts w:hint="eastAsia" w:ascii="宋体" w:hAnsi="宋体" w:cs="宋体"/>
          <w:color w:val="auto"/>
          <w:highlight w:val="none"/>
        </w:rPr>
        <w:t>b)采取不正当手段诋毁、排挤其他供应商的；</w:t>
      </w:r>
    </w:p>
    <w:p>
      <w:pPr>
        <w:snapToGrid w:val="0"/>
        <w:ind w:firstLine="480"/>
        <w:rPr>
          <w:rFonts w:ascii="宋体" w:hAnsi="宋体" w:cs="宋体"/>
          <w:color w:val="auto"/>
          <w:highlight w:val="none"/>
        </w:rPr>
      </w:pPr>
      <w:r>
        <w:rPr>
          <w:rFonts w:hint="eastAsia" w:ascii="宋体" w:hAnsi="宋体" w:cs="宋体"/>
          <w:color w:val="auto"/>
          <w:highlight w:val="none"/>
        </w:rPr>
        <w:t>c)与采购人、其它供应商或者采购代理机构恶意串通的；</w:t>
      </w:r>
    </w:p>
    <w:p>
      <w:pPr>
        <w:snapToGrid w:val="0"/>
        <w:ind w:firstLine="480"/>
        <w:rPr>
          <w:rFonts w:ascii="宋体" w:hAnsi="宋体" w:cs="宋体"/>
          <w:color w:val="auto"/>
          <w:highlight w:val="none"/>
        </w:rPr>
      </w:pPr>
      <w:r>
        <w:rPr>
          <w:rFonts w:hint="eastAsia" w:ascii="宋体" w:hAnsi="宋体" w:cs="宋体"/>
          <w:color w:val="auto"/>
          <w:highlight w:val="none"/>
        </w:rPr>
        <w:t>d)向采购人、采购代理机构行贿或者提供其他不正当利益的；</w:t>
      </w:r>
    </w:p>
    <w:p>
      <w:pPr>
        <w:snapToGrid w:val="0"/>
        <w:ind w:firstLine="480"/>
        <w:rPr>
          <w:rFonts w:ascii="宋体" w:hAnsi="宋体" w:cs="宋体"/>
          <w:color w:val="auto"/>
          <w:highlight w:val="none"/>
        </w:rPr>
      </w:pPr>
      <w:r>
        <w:rPr>
          <w:rFonts w:hint="eastAsia" w:ascii="宋体" w:hAnsi="宋体" w:cs="宋体"/>
          <w:color w:val="auto"/>
          <w:highlight w:val="none"/>
        </w:rPr>
        <w:t>e)在招标采购过程中与采购人进行协商谈判的；</w:t>
      </w:r>
    </w:p>
    <w:p>
      <w:pPr>
        <w:snapToGrid w:val="0"/>
        <w:ind w:firstLine="480"/>
        <w:rPr>
          <w:rFonts w:ascii="宋体" w:hAnsi="宋体" w:cs="宋体"/>
          <w:color w:val="auto"/>
          <w:highlight w:val="none"/>
        </w:rPr>
      </w:pPr>
      <w:r>
        <w:rPr>
          <w:rFonts w:hint="eastAsia" w:ascii="宋体" w:hAnsi="宋体" w:cs="宋体"/>
          <w:color w:val="auto"/>
          <w:highlight w:val="none"/>
        </w:rPr>
        <w:t>f)拒绝有关部门监督检查或提供虚假情况的。</w:t>
      </w:r>
    </w:p>
    <w:p>
      <w:pPr>
        <w:snapToGrid w:val="0"/>
        <w:ind w:firstLine="480"/>
        <w:rPr>
          <w:rFonts w:ascii="宋体" w:hAnsi="宋体" w:cs="宋体"/>
          <w:color w:val="auto"/>
          <w:highlight w:val="none"/>
        </w:rPr>
      </w:pPr>
      <w:r>
        <w:rPr>
          <w:rFonts w:hint="eastAsia" w:ascii="宋体" w:hAnsi="宋体" w:cs="宋体"/>
          <w:color w:val="auto"/>
          <w:highlight w:val="none"/>
        </w:rPr>
        <w:t>供应商有前款第a)至e)项情形之一的，中标、成交无效。</w:t>
      </w:r>
    </w:p>
    <w:p>
      <w:pPr>
        <w:ind w:firstLine="3600" w:firstLineChars="1500"/>
        <w:rPr>
          <w:rFonts w:ascii="宋体" w:hAnsi="宋体" w:cs="宋体"/>
          <w:color w:val="auto"/>
          <w:highlight w:val="none"/>
        </w:rPr>
      </w:pPr>
    </w:p>
    <w:p>
      <w:pPr>
        <w:pStyle w:val="2"/>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napToGrid w:val="0"/>
        <w:ind w:left="480" w:leftChars="200" w:firstLine="4200" w:firstLineChars="1750"/>
        <w:rPr>
          <w:rFonts w:ascii="宋体" w:hAnsi="宋体" w:cs="宋体"/>
          <w:color w:val="auto"/>
          <w:kern w:val="0"/>
          <w:highlight w:val="none"/>
          <w:u w:val="single"/>
          <w:lang w:val="zh-CN"/>
        </w:rPr>
      </w:pPr>
    </w:p>
    <w:p>
      <w:pPr>
        <w:ind w:firstLine="480"/>
        <w:rPr>
          <w:rFonts w:ascii="宋体" w:hAnsi="宋体" w:cs="宋体"/>
          <w:color w:val="auto"/>
          <w:highlight w:val="none"/>
        </w:rPr>
      </w:pPr>
      <w:r>
        <w:rPr>
          <w:rFonts w:hint="eastAsia" w:ascii="宋体" w:hAnsi="宋体" w:cs="宋体"/>
          <w:color w:val="auto"/>
          <w:highlight w:val="none"/>
          <w:lang w:val="zh-CN"/>
        </w:rPr>
        <w:t>联系人：                           联系电话</w:t>
      </w:r>
      <w:r>
        <w:rPr>
          <w:rFonts w:hint="eastAsia" w:cs="宋体"/>
          <w:color w:val="auto"/>
          <w:highlight w:val="none"/>
          <w:lang w:val="zh-CN"/>
        </w:rPr>
        <w:t>（</w:t>
      </w:r>
      <w:r>
        <w:rPr>
          <w:rFonts w:hint="eastAsia" w:cs="宋体"/>
          <w:color w:val="auto"/>
          <w:highlight w:val="none"/>
          <w:lang w:val="en-US" w:eastAsia="zh-CN"/>
        </w:rPr>
        <w:t>移动电话</w:t>
      </w:r>
      <w:r>
        <w:rPr>
          <w:rFonts w:hint="eastAsia" w:cs="宋体"/>
          <w:color w:val="auto"/>
          <w:highlight w:val="none"/>
          <w:lang w:val="zh-CN"/>
        </w:rPr>
        <w:t>）</w:t>
      </w:r>
      <w:r>
        <w:rPr>
          <w:rFonts w:hint="eastAsia" w:ascii="宋体" w:hAnsi="宋体" w:cs="宋体"/>
          <w:color w:val="auto"/>
          <w:highlight w:val="none"/>
          <w:lang w:val="zh-CN"/>
        </w:rPr>
        <w:t xml:space="preserve">：                 </w:t>
      </w:r>
    </w:p>
    <w:p>
      <w:pPr>
        <w:ind w:firstLine="480"/>
        <w:rPr>
          <w:rFonts w:ascii="宋体" w:hAnsi="宋体" w:cs="宋体"/>
          <w:color w:val="auto"/>
          <w:highlight w:val="none"/>
        </w:rPr>
      </w:pPr>
      <w:r>
        <w:rPr>
          <w:rFonts w:hint="eastAsia" w:ascii="宋体" w:hAnsi="宋体" w:cs="宋体"/>
          <w:color w:val="auto"/>
          <w:highlight w:val="none"/>
          <w:lang w:val="zh-CN"/>
        </w:rPr>
        <w:t xml:space="preserve">联系地址：                                                    </w:t>
      </w:r>
    </w:p>
    <w:p>
      <w:pPr>
        <w:ind w:firstLine="480"/>
        <w:rPr>
          <w:rFonts w:ascii="宋体" w:hAnsi="宋体" w:cs="宋体"/>
          <w:color w:val="auto"/>
          <w:highlight w:val="none"/>
        </w:rPr>
      </w:pPr>
      <w:r>
        <w:rPr>
          <w:rFonts w:hint="eastAsia" w:ascii="宋体" w:hAnsi="宋体" w:cs="宋体"/>
          <w:color w:val="auto"/>
          <w:highlight w:val="none"/>
          <w:lang w:val="zh-CN"/>
        </w:rPr>
        <w:t xml:space="preserve">邮政编码：                     传真号码：                     </w:t>
      </w:r>
    </w:p>
    <w:p>
      <w:pPr>
        <w:ind w:firstLine="482"/>
        <w:rPr>
          <w:rFonts w:ascii="宋体" w:hAnsi="宋体" w:cs="宋体"/>
          <w:b/>
          <w:bCs/>
          <w:color w:val="auto"/>
          <w:highlight w:val="none"/>
          <w:lang w:val="zh-CN"/>
        </w:rPr>
      </w:pPr>
    </w:p>
    <w:p>
      <w:pPr>
        <w:ind w:firstLine="482"/>
        <w:rPr>
          <w:rFonts w:ascii="宋体" w:hAnsi="宋体" w:cs="宋体"/>
          <w:b/>
          <w:bCs/>
          <w:color w:val="auto"/>
          <w:highlight w:val="none"/>
          <w:lang w:val="zh-CN"/>
        </w:rPr>
      </w:pPr>
      <w:r>
        <w:rPr>
          <w:rFonts w:hint="eastAsia" w:ascii="宋体" w:hAnsi="宋体" w:cs="宋体"/>
          <w:b/>
          <w:bCs/>
          <w:color w:val="auto"/>
          <w:highlight w:val="none"/>
          <w:lang w:val="zh-CN"/>
        </w:rPr>
        <w:t>注：未按照本投标响应函要求填报的将被视为非实质性响应投标，从而可能导致该投标被拒绝。</w:t>
      </w:r>
    </w:p>
    <w:p>
      <w:pPr>
        <w:ind w:firstLine="4080" w:firstLineChars="1700"/>
        <w:rPr>
          <w:rFonts w:hint="eastAsia" w:cs="宋体"/>
          <w:color w:val="auto"/>
          <w:highlight w:val="none"/>
        </w:rPr>
      </w:pPr>
    </w:p>
    <w:p>
      <w:pPr>
        <w:pStyle w:val="2"/>
        <w:rPr>
          <w:color w:val="auto"/>
          <w:highlight w:val="none"/>
        </w:rPr>
      </w:pPr>
    </w:p>
    <w:p>
      <w:pPr>
        <w:pStyle w:val="6"/>
        <w:rPr>
          <w:rFonts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color w:val="auto"/>
          <w:highlight w:val="none"/>
        </w:rPr>
      </w:pPr>
      <w:r>
        <w:rPr>
          <w:rFonts w:hint="eastAsia"/>
          <w:color w:val="auto"/>
          <w:highlight w:val="none"/>
        </w:rPr>
        <w:t>附件二 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0" w:firstLineChars="0"/>
        <w:rPr>
          <w:rFonts w:ascii="宋体" w:hAnsi="宋体" w:cs="宋体"/>
          <w:color w:val="auto"/>
          <w:highlight w:val="none"/>
        </w:rPr>
      </w:pPr>
      <w:bookmarkStart w:id="73" w:name="_Toc18686"/>
      <w:r>
        <w:rPr>
          <w:rFonts w:hint="eastAsia" w:ascii="宋体" w:hAnsi="宋体" w:cs="宋体"/>
          <w:color w:val="auto"/>
          <w:highlight w:val="none"/>
        </w:rPr>
        <w:t>致：</w:t>
      </w:r>
      <w:r>
        <w:rPr>
          <w:rFonts w:hint="eastAsia" w:cs="宋体"/>
          <w:bCs/>
          <w:color w:val="auto"/>
          <w:spacing w:val="-6"/>
          <w:highlight w:val="none"/>
          <w:lang w:val="en-US" w:eastAsia="zh-CN"/>
        </w:rPr>
        <w:t>浙江机电职业技术学院</w:t>
      </w:r>
      <w:r>
        <w:rPr>
          <w:rFonts w:hint="eastAsia" w:ascii="宋体" w:hAnsi="宋体" w:cs="宋体"/>
          <w:bCs/>
          <w:color w:val="auto"/>
          <w:spacing w:val="-6"/>
          <w:highlight w:val="none"/>
        </w:rPr>
        <w:t>、浙江五石工程咨询有限公司</w:t>
      </w:r>
      <w:r>
        <w:rPr>
          <w:rFonts w:hint="eastAsia" w:ascii="宋体" w:hAnsi="宋体" w:cs="宋体"/>
          <w:color w:val="auto"/>
          <w:spacing w:val="-6"/>
          <w:highlight w:val="none"/>
        </w:rPr>
        <w:t>：</w:t>
      </w:r>
      <w:r>
        <w:rPr>
          <w:rFonts w:hint="eastAsia" w:ascii="宋体" w:hAnsi="宋体" w:cs="宋体"/>
          <w:color w:val="auto"/>
          <w:highlight w:val="none"/>
        </w:rPr>
        <w:t xml:space="preserve"> </w:t>
      </w:r>
    </w:p>
    <w:p>
      <w:pPr>
        <w:pStyle w:val="177"/>
        <w:keepNext w:val="0"/>
        <w:pageBreakBefore w:val="0"/>
        <w:tabs>
          <w:tab w:val="clear" w:pos="720"/>
        </w:tabs>
        <w:ind w:firstLine="480"/>
        <w:jc w:val="both"/>
        <w:outlineLvl w:val="9"/>
        <w:rPr>
          <w:rFonts w:ascii="宋体" w:hAnsi="宋体" w:eastAsia="宋体" w:cs="宋体"/>
          <w:b w:val="0"/>
          <w:color w:val="auto"/>
          <w:kern w:val="0"/>
          <w:sz w:val="24"/>
          <w:highlight w:val="none"/>
          <w:lang w:val="zh-CN"/>
        </w:rPr>
      </w:pPr>
      <w:r>
        <w:rPr>
          <w:rFonts w:hint="eastAsia" w:ascii="宋体" w:hAnsi="宋体" w:eastAsia="宋体" w:cs="宋体"/>
          <w:b w:val="0"/>
          <w:color w:val="auto"/>
          <w:kern w:val="0"/>
          <w:sz w:val="24"/>
          <w:highlight w:val="none"/>
          <w:lang w:val="zh-CN"/>
        </w:rPr>
        <w:t>按招标文件要求，我方（</w:t>
      </w:r>
      <w:r>
        <w:rPr>
          <w:rFonts w:hint="eastAsia" w:ascii="宋体" w:hAnsi="宋体" w:eastAsia="宋体" w:cs="宋体"/>
          <w:b w:val="0"/>
          <w:color w:val="auto"/>
          <w:kern w:val="0"/>
          <w:sz w:val="24"/>
          <w:highlight w:val="none"/>
        </w:rPr>
        <w:t>投标人</w:t>
      </w:r>
      <w:r>
        <w:rPr>
          <w:rFonts w:hint="eastAsia" w:ascii="宋体" w:hAnsi="宋体" w:eastAsia="宋体" w:cs="宋体"/>
          <w:b w:val="0"/>
          <w:color w:val="auto"/>
          <w:kern w:val="0"/>
          <w:sz w:val="24"/>
          <w:highlight w:val="none"/>
          <w:lang w:val="zh-CN"/>
        </w:rPr>
        <w:t>）承诺按照如下开标一览表的价格完成[</w:t>
      </w:r>
      <w:r>
        <w:rPr>
          <w:rFonts w:hint="eastAsia" w:ascii="宋体" w:hAnsi="宋体" w:eastAsia="宋体" w:cs="宋体"/>
          <w:b w:val="0"/>
          <w:color w:val="auto"/>
          <w:kern w:val="0"/>
          <w:sz w:val="24"/>
          <w:highlight w:val="none"/>
        </w:rPr>
        <w:t>项目</w:t>
      </w:r>
      <w:r>
        <w:rPr>
          <w:rFonts w:hint="eastAsia" w:ascii="宋体" w:hAnsi="宋体" w:eastAsia="宋体" w:cs="宋体"/>
          <w:b w:val="0"/>
          <w:color w:val="auto"/>
          <w:kern w:val="0"/>
          <w:sz w:val="24"/>
          <w:highlight w:val="none"/>
          <w:lang w:val="zh-CN"/>
        </w:rPr>
        <w:t>编号：</w:t>
      </w:r>
      <w:r>
        <w:rPr>
          <w:rFonts w:hint="eastAsia" w:ascii="宋体" w:hAnsi="宋体" w:eastAsia="宋体" w:cs="宋体"/>
          <w:b w:val="0"/>
          <w:color w:val="auto"/>
          <w:kern w:val="0"/>
          <w:sz w:val="24"/>
          <w:highlight w:val="none"/>
          <w:u w:val="single"/>
        </w:rPr>
        <w:t xml:space="preserve">       </w:t>
      </w:r>
      <w:r>
        <w:rPr>
          <w:rFonts w:hint="eastAsia" w:ascii="宋体" w:hAnsi="宋体" w:eastAsia="宋体" w:cs="宋体"/>
          <w:b w:val="0"/>
          <w:color w:val="auto"/>
          <w:kern w:val="0"/>
          <w:sz w:val="24"/>
          <w:highlight w:val="none"/>
          <w:lang w:val="zh-CN"/>
        </w:rPr>
        <w:t>]项目名称：</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kern w:val="0"/>
          <w:sz w:val="24"/>
          <w:highlight w:val="none"/>
          <w:lang w:val="zh-CN"/>
        </w:rPr>
        <w:t>]的</w:t>
      </w:r>
      <w:r>
        <w:rPr>
          <w:rFonts w:hint="eastAsia" w:ascii="宋体" w:hAnsi="宋体" w:eastAsia="宋体" w:cs="宋体"/>
          <w:b w:val="0"/>
          <w:color w:val="auto"/>
          <w:kern w:val="0"/>
          <w:sz w:val="24"/>
          <w:highlight w:val="none"/>
        </w:rPr>
        <w:t>内容</w:t>
      </w:r>
      <w:r>
        <w:rPr>
          <w:rFonts w:hint="eastAsia" w:ascii="宋体" w:hAnsi="宋体" w:eastAsia="宋体" w:cs="宋体"/>
          <w:b w:val="0"/>
          <w:color w:val="auto"/>
          <w:kern w:val="0"/>
          <w:sz w:val="24"/>
          <w:highlight w:val="none"/>
          <w:lang w:val="zh-CN"/>
        </w:rPr>
        <w:t>实施。</w:t>
      </w:r>
      <w:bookmarkEnd w:id="73"/>
    </w:p>
    <w:p>
      <w:pPr>
        <w:ind w:firstLine="482"/>
        <w:jc w:val="center"/>
        <w:rPr>
          <w:rFonts w:ascii="宋体" w:hAnsi="宋体" w:cs="宋体"/>
          <w:b/>
          <w:color w:val="auto"/>
          <w:kern w:val="0"/>
          <w:highlight w:val="none"/>
          <w:lang w:val="zh-CN"/>
        </w:rPr>
      </w:pPr>
      <w:r>
        <w:rPr>
          <w:rFonts w:hint="eastAsia" w:ascii="宋体" w:hAnsi="宋体" w:cs="宋体"/>
          <w:b/>
          <w:color w:val="auto"/>
          <w:kern w:val="0"/>
          <w:highlight w:val="none"/>
          <w:lang w:val="zh-CN"/>
        </w:rPr>
        <w:t>开标一览表</w:t>
      </w:r>
    </w:p>
    <w:p>
      <w:pPr>
        <w:pStyle w:val="20"/>
        <w:wordWrap w:val="0"/>
        <w:snapToGrid w:val="0"/>
        <w:spacing w:line="360" w:lineRule="auto"/>
        <w:ind w:firstLine="480"/>
        <w:jc w:val="center"/>
        <w:rPr>
          <w:color w:val="auto"/>
          <w:highlight w:val="none"/>
          <w:lang w:val="zh-CN"/>
        </w:rPr>
      </w:pPr>
      <w:r>
        <w:rPr>
          <w:rFonts w:hint="eastAsia" w:hAnsi="宋体" w:cs="宋体"/>
          <w:b/>
          <w:bCs/>
          <w:color w:val="auto"/>
          <w:sz w:val="24"/>
          <w:szCs w:val="24"/>
          <w:highlight w:val="none"/>
        </w:rPr>
        <w:t xml:space="preserve">                                                   金额单位：          </w:t>
      </w:r>
      <w:r>
        <w:rPr>
          <w:rFonts w:hint="eastAsia" w:hAnsi="宋体" w:cs="宋体"/>
          <w:color w:val="auto"/>
          <w:sz w:val="24"/>
          <w:szCs w:val="24"/>
          <w:highlight w:val="none"/>
        </w:rPr>
        <w:t xml:space="preserve"> </w:t>
      </w:r>
    </w:p>
    <w:tbl>
      <w:tblPr>
        <w:tblStyle w:val="40"/>
        <w:tblW w:w="103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764"/>
        <w:gridCol w:w="1528"/>
        <w:gridCol w:w="1671"/>
        <w:gridCol w:w="750"/>
        <w:gridCol w:w="788"/>
        <w:gridCol w:w="712"/>
        <w:gridCol w:w="177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94"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764" w:type="dxa"/>
            <w:vAlign w:val="center"/>
          </w:tcPr>
          <w:p>
            <w:pPr>
              <w:spacing w:line="240" w:lineRule="auto"/>
              <w:ind w:firstLine="0" w:firstLineChars="0"/>
              <w:rPr>
                <w:rFonts w:ascii="宋体" w:hAnsi="宋体" w:cs="宋体"/>
                <w:b/>
                <w:color w:val="auto"/>
                <w:highlight w:val="none"/>
              </w:rPr>
            </w:pPr>
            <w:r>
              <w:rPr>
                <w:rFonts w:hint="eastAsia" w:ascii="宋体" w:hAnsi="宋体" w:cs="宋体"/>
                <w:b/>
                <w:color w:val="auto"/>
                <w:highlight w:val="none"/>
              </w:rPr>
              <w:t>名称</w:t>
            </w:r>
          </w:p>
        </w:tc>
        <w:tc>
          <w:tcPr>
            <w:tcW w:w="152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品牌</w:t>
            </w:r>
          </w:p>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（如果有）</w:t>
            </w:r>
          </w:p>
        </w:tc>
        <w:tc>
          <w:tcPr>
            <w:tcW w:w="1671"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规格型号</w:t>
            </w:r>
          </w:p>
        </w:tc>
        <w:tc>
          <w:tcPr>
            <w:tcW w:w="75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数量</w:t>
            </w:r>
          </w:p>
        </w:tc>
        <w:tc>
          <w:tcPr>
            <w:tcW w:w="788"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单价</w:t>
            </w:r>
          </w:p>
        </w:tc>
        <w:tc>
          <w:tcPr>
            <w:tcW w:w="712"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总价</w:t>
            </w:r>
          </w:p>
        </w:tc>
        <w:tc>
          <w:tcPr>
            <w:tcW w:w="1770"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质保期</w:t>
            </w:r>
          </w:p>
        </w:tc>
        <w:tc>
          <w:tcPr>
            <w:tcW w:w="1643" w:type="dxa"/>
            <w:vAlign w:val="center"/>
          </w:tcPr>
          <w:p>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货物的制造商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1</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2</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3</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4</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94" w:type="dxa"/>
            <w:vAlign w:val="center"/>
          </w:tcPr>
          <w:p>
            <w:pPr>
              <w:ind w:firstLine="0" w:firstLineChars="0"/>
              <w:rPr>
                <w:rFonts w:ascii="宋体" w:hAnsi="宋体" w:cs="宋体"/>
                <w:color w:val="auto"/>
                <w:highlight w:val="none"/>
              </w:rPr>
            </w:pPr>
            <w:r>
              <w:rPr>
                <w:rFonts w:hint="eastAsia" w:ascii="宋体" w:hAnsi="宋体" w:cs="宋体"/>
                <w:color w:val="auto"/>
                <w:highlight w:val="none"/>
              </w:rPr>
              <w:t>5</w:t>
            </w:r>
          </w:p>
        </w:tc>
        <w:tc>
          <w:tcPr>
            <w:tcW w:w="764" w:type="dxa"/>
            <w:vAlign w:val="center"/>
          </w:tcPr>
          <w:p>
            <w:pPr>
              <w:snapToGrid w:val="0"/>
              <w:ind w:firstLine="0" w:firstLineChars="0"/>
              <w:rPr>
                <w:rFonts w:ascii="宋体" w:hAnsi="宋体" w:cs="宋体"/>
                <w:color w:val="auto"/>
                <w:highlight w:val="none"/>
              </w:rPr>
            </w:pPr>
          </w:p>
        </w:tc>
        <w:tc>
          <w:tcPr>
            <w:tcW w:w="1528" w:type="dxa"/>
            <w:vAlign w:val="center"/>
          </w:tcPr>
          <w:p>
            <w:pPr>
              <w:snapToGrid w:val="0"/>
              <w:ind w:firstLine="0" w:firstLineChars="0"/>
              <w:rPr>
                <w:rFonts w:ascii="宋体" w:hAnsi="宋体" w:cs="宋体"/>
                <w:color w:val="auto"/>
                <w:highlight w:val="none"/>
              </w:rPr>
            </w:pPr>
          </w:p>
        </w:tc>
        <w:tc>
          <w:tcPr>
            <w:tcW w:w="1671" w:type="dxa"/>
            <w:vAlign w:val="center"/>
          </w:tcPr>
          <w:p>
            <w:pPr>
              <w:snapToGrid w:val="0"/>
              <w:ind w:firstLine="0" w:firstLineChars="0"/>
              <w:rPr>
                <w:rFonts w:ascii="宋体" w:hAnsi="宋体" w:cs="宋体"/>
                <w:color w:val="auto"/>
                <w:highlight w:val="none"/>
              </w:rPr>
            </w:pPr>
          </w:p>
        </w:tc>
        <w:tc>
          <w:tcPr>
            <w:tcW w:w="750" w:type="dxa"/>
            <w:vAlign w:val="center"/>
          </w:tcPr>
          <w:p>
            <w:pPr>
              <w:snapToGrid w:val="0"/>
              <w:ind w:firstLine="0" w:firstLineChars="0"/>
              <w:rPr>
                <w:rFonts w:ascii="宋体" w:hAnsi="宋体" w:cs="宋体"/>
                <w:color w:val="auto"/>
                <w:highlight w:val="none"/>
              </w:rPr>
            </w:pPr>
          </w:p>
        </w:tc>
        <w:tc>
          <w:tcPr>
            <w:tcW w:w="788" w:type="dxa"/>
            <w:vAlign w:val="center"/>
          </w:tcPr>
          <w:p>
            <w:pPr>
              <w:ind w:firstLine="0" w:firstLineChars="0"/>
              <w:rPr>
                <w:rFonts w:ascii="宋体" w:hAnsi="宋体" w:cs="宋体"/>
                <w:color w:val="auto"/>
                <w:highlight w:val="none"/>
              </w:rPr>
            </w:pPr>
          </w:p>
        </w:tc>
        <w:tc>
          <w:tcPr>
            <w:tcW w:w="712" w:type="dxa"/>
            <w:vAlign w:val="center"/>
          </w:tcPr>
          <w:p>
            <w:pPr>
              <w:ind w:firstLine="0" w:firstLineChars="0"/>
              <w:rPr>
                <w:rFonts w:ascii="宋体" w:hAnsi="宋体" w:cs="宋体"/>
                <w:color w:val="auto"/>
                <w:highlight w:val="none"/>
              </w:rPr>
            </w:pPr>
          </w:p>
        </w:tc>
        <w:tc>
          <w:tcPr>
            <w:tcW w:w="1770" w:type="dxa"/>
            <w:vAlign w:val="center"/>
          </w:tcPr>
          <w:p>
            <w:pPr>
              <w:ind w:firstLine="0" w:firstLineChars="0"/>
              <w:rPr>
                <w:rFonts w:ascii="宋体" w:hAnsi="宋体" w:cs="宋体"/>
                <w:color w:val="auto"/>
                <w:highlight w:val="none"/>
              </w:rPr>
            </w:pPr>
          </w:p>
        </w:tc>
        <w:tc>
          <w:tcPr>
            <w:tcW w:w="1643" w:type="dxa"/>
            <w:vAlign w:val="center"/>
          </w:tcPr>
          <w:p>
            <w:pPr>
              <w:ind w:firstLine="0" w:firstLineChars="0"/>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投标报价（小写）</w:t>
            </w:r>
          </w:p>
        </w:tc>
        <w:tc>
          <w:tcPr>
            <w:tcW w:w="5663" w:type="dxa"/>
            <w:gridSpan w:val="5"/>
            <w:vAlign w:val="center"/>
          </w:tcPr>
          <w:p>
            <w:pPr>
              <w:ind w:firstLine="48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4657" w:type="dxa"/>
            <w:gridSpan w:val="4"/>
            <w:vAlign w:val="center"/>
          </w:tcPr>
          <w:p>
            <w:pPr>
              <w:ind w:firstLine="482"/>
              <w:rPr>
                <w:rFonts w:ascii="宋体" w:hAnsi="宋体" w:cs="宋体"/>
                <w:b/>
                <w:color w:val="auto"/>
                <w:highlight w:val="none"/>
              </w:rPr>
            </w:pPr>
            <w:r>
              <w:rPr>
                <w:rFonts w:hint="eastAsia" w:ascii="宋体" w:hAnsi="宋体" w:cs="宋体"/>
                <w:b/>
                <w:color w:val="auto"/>
                <w:highlight w:val="none"/>
              </w:rPr>
              <w:t>投标报价（大写）</w:t>
            </w:r>
          </w:p>
        </w:tc>
        <w:tc>
          <w:tcPr>
            <w:tcW w:w="5663" w:type="dxa"/>
            <w:gridSpan w:val="5"/>
            <w:vAlign w:val="center"/>
          </w:tcPr>
          <w:p>
            <w:pPr>
              <w:ind w:firstLine="480"/>
              <w:jc w:val="center"/>
              <w:rPr>
                <w:rFonts w:ascii="宋体" w:hAnsi="宋体" w:cs="宋体"/>
                <w:color w:val="auto"/>
                <w:highlight w:val="none"/>
              </w:rPr>
            </w:pPr>
          </w:p>
        </w:tc>
      </w:tr>
    </w:tbl>
    <w:p>
      <w:pPr>
        <w:snapToGrid w:val="0"/>
        <w:ind w:firstLine="0" w:firstLineChars="0"/>
        <w:rPr>
          <w:rFonts w:ascii="宋体" w:hAnsi="宋体" w:cs="宋体"/>
          <w:b/>
          <w:color w:val="auto"/>
          <w:kern w:val="0"/>
          <w:highlight w:val="none"/>
          <w:lang w:val="zh-CN"/>
        </w:rPr>
      </w:pPr>
    </w:p>
    <w:p>
      <w:pPr>
        <w:snapToGrid w:val="0"/>
        <w:ind w:firstLine="0" w:firstLineChars="0"/>
        <w:rPr>
          <w:rFonts w:ascii="宋体" w:hAnsi="宋体" w:cs="宋体"/>
          <w:color w:val="auto"/>
          <w:kern w:val="0"/>
          <w:highlight w:val="none"/>
          <w:lang w:val="zh-CN"/>
        </w:rPr>
      </w:pPr>
      <w:r>
        <w:rPr>
          <w:rFonts w:hint="eastAsia" w:ascii="宋体" w:hAnsi="宋体" w:cs="宋体"/>
          <w:b/>
          <w:color w:val="auto"/>
          <w:kern w:val="0"/>
          <w:highlight w:val="none"/>
          <w:lang w:val="zh-CN"/>
        </w:rPr>
        <w:t>注：</w:t>
      </w:r>
      <w:r>
        <w:rPr>
          <w:rFonts w:hint="eastAsia" w:ascii="宋体" w:hAnsi="宋体" w:cs="宋体"/>
          <w:color w:val="auto"/>
          <w:kern w:val="0"/>
          <w:highlight w:val="none"/>
          <w:lang w:val="zh-CN"/>
        </w:rPr>
        <w:t>1、投标人需按本表格式填写，不得自行更改。</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2、有关本项目实施所涉及的一切费用（详见前附表）均计入报价。</w:t>
      </w:r>
    </w:p>
    <w:p>
      <w:pPr>
        <w:snapToGrid w:val="0"/>
        <w:ind w:firstLine="480"/>
        <w:rPr>
          <w:rFonts w:ascii="宋体" w:hAnsi="宋体" w:cs="宋体"/>
          <w:color w:val="auto"/>
          <w:kern w:val="0"/>
          <w:highlight w:val="none"/>
          <w:lang w:val="zh-CN"/>
        </w:rPr>
      </w:pPr>
      <w:r>
        <w:rPr>
          <w:rFonts w:hint="eastAsia" w:ascii="宋体" w:hAnsi="宋体" w:cs="宋体"/>
          <w:color w:val="auto"/>
          <w:kern w:val="0"/>
          <w:highlight w:val="none"/>
          <w:lang w:val="zh-CN"/>
        </w:rPr>
        <w:t>3、以上表格要求细分项目及报价。</w:t>
      </w:r>
    </w:p>
    <w:p>
      <w:pPr>
        <w:snapToGrid w:val="0"/>
        <w:ind w:firstLine="482"/>
        <w:rPr>
          <w:rFonts w:ascii="宋体" w:hAnsi="宋体" w:cs="宋体"/>
          <w:b/>
          <w:color w:val="auto"/>
          <w:kern w:val="0"/>
          <w:highlight w:val="none"/>
          <w:lang w:val="zh-CN"/>
        </w:rPr>
      </w:pPr>
      <w:r>
        <w:rPr>
          <w:rFonts w:hint="eastAsia" w:ascii="宋体" w:hAnsi="宋体" w:cs="宋体"/>
          <w:b/>
          <w:color w:val="auto"/>
          <w:kern w:val="0"/>
          <w:highlight w:val="none"/>
          <w:lang w:val="zh-CN"/>
        </w:rPr>
        <w:t>4、特别提示：采购机构将对</w:t>
      </w:r>
      <w:r>
        <w:rPr>
          <w:rFonts w:hint="eastAsia" w:ascii="宋体" w:hAnsi="宋体" w:cs="宋体"/>
          <w:b/>
          <w:color w:val="auto"/>
          <w:kern w:val="0"/>
          <w:highlight w:val="none"/>
        </w:rPr>
        <w:t>项目名称和项目编号，中标供应商名称、地址和中标金额，主要中标标的的名称、规格型号、数量、单价、服务要求等</w:t>
      </w:r>
      <w:r>
        <w:rPr>
          <w:rFonts w:hint="eastAsia" w:ascii="宋体" w:hAnsi="宋体" w:cs="宋体"/>
          <w:b/>
          <w:color w:val="auto"/>
          <w:kern w:val="0"/>
          <w:highlight w:val="none"/>
          <w:lang w:val="zh-CN"/>
        </w:rPr>
        <w:t>予以公示。</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w:t>
      </w:r>
    </w:p>
    <w:p>
      <w:pPr>
        <w:ind w:firstLine="480"/>
        <w:rPr>
          <w:rFonts w:ascii="宋体" w:hAnsi="宋体" w:cs="宋体"/>
          <w:color w:val="auto"/>
          <w:highlight w:val="none"/>
        </w:rPr>
      </w:pPr>
      <w:r>
        <w:rPr>
          <w:rFonts w:hint="eastAsia" w:ascii="宋体" w:hAnsi="宋体" w:cs="宋体"/>
          <w:color w:val="auto"/>
          <w:highlight w:val="none"/>
        </w:rPr>
        <w:t>日期：  年   月   日</w:t>
      </w:r>
    </w:p>
    <w:p>
      <w:pPr>
        <w:jc w:val="left"/>
        <w:rPr>
          <w:rFonts w:cs="宋体"/>
          <w:color w:val="auto"/>
          <w:spacing w:val="-6"/>
          <w:highlight w:val="none"/>
        </w:rPr>
      </w:pP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附件三 投标报价明细表</w:t>
      </w:r>
    </w:p>
    <w:p>
      <w:pPr>
        <w:pStyle w:val="20"/>
        <w:snapToGrid w:val="0"/>
        <w:spacing w:line="360" w:lineRule="auto"/>
        <w:rPr>
          <w:rFonts w:hAnsi="宋体" w:cs="宋体"/>
          <w:color w:val="auto"/>
          <w:szCs w:val="24"/>
          <w:highlight w:val="none"/>
        </w:rPr>
      </w:pPr>
      <w:r>
        <w:rPr>
          <w:rFonts w:hint="eastAsia" w:hAnsi="宋体" w:cs="宋体"/>
          <w:color w:val="auto"/>
          <w:szCs w:val="24"/>
          <w:highlight w:val="none"/>
        </w:rPr>
        <w:t>项目名称：                     金额单位：人民币（元）</w:t>
      </w:r>
    </w:p>
    <w:tbl>
      <w:tblPr>
        <w:tblStyle w:val="40"/>
        <w:tblW w:w="852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52"/>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注：格式可根据实际情况自拟。</w:t>
      </w:r>
    </w:p>
    <w:p>
      <w:pPr>
        <w:ind w:firstLine="480"/>
        <w:rPr>
          <w:rFonts w:hint="eastAsia" w:ascii="宋体" w:hAnsi="宋体" w:cs="宋体"/>
          <w:color w:val="auto"/>
          <w:highlight w:val="none"/>
        </w:rPr>
      </w:pPr>
    </w:p>
    <w:p>
      <w:pPr>
        <w:ind w:firstLine="480"/>
        <w:rPr>
          <w:rFonts w:hint="eastAsia" w:ascii="宋体" w:hAnsi="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hint="eastAsia" w:cs="宋体"/>
          <w:color w:val="auto"/>
          <w:highlight w:val="none"/>
        </w:rPr>
      </w:pPr>
    </w:p>
    <w:p>
      <w:pPr>
        <w:pStyle w:val="3"/>
        <w:rPr>
          <w:color w:val="auto"/>
          <w:highlight w:val="none"/>
        </w:rPr>
      </w:pPr>
    </w:p>
    <w:p>
      <w:pPr>
        <w:ind w:firstLine="480"/>
        <w:rPr>
          <w:rFonts w:cs="宋体"/>
          <w:color w:val="auto"/>
          <w:highlight w:val="none"/>
        </w:rPr>
        <w:sectPr>
          <w:footerReference r:id="rId19" w:type="default"/>
          <w:pgSz w:w="11906" w:h="16838"/>
          <w:pgMar w:top="1440" w:right="1797" w:bottom="1440" w:left="1797" w:header="851" w:footer="851" w:gutter="0"/>
          <w:pgNumType w:fmt="decimal"/>
          <w:cols w:space="720" w:num="1"/>
          <w:docGrid w:linePitch="312" w:charSpace="0"/>
        </w:sectPr>
      </w:pPr>
    </w:p>
    <w:p>
      <w:pPr>
        <w:pStyle w:val="6"/>
        <w:rPr>
          <w:rFonts w:hint="eastAsia" w:eastAsia="宋体" w:cs="宋体"/>
          <w:color w:val="auto"/>
          <w:highlight w:val="none"/>
          <w:lang w:eastAsia="zh-CN"/>
        </w:rPr>
      </w:pPr>
      <w:r>
        <w:rPr>
          <w:rFonts w:hint="eastAsia" w:cs="宋体"/>
          <w:color w:val="auto"/>
          <w:highlight w:val="none"/>
        </w:rPr>
        <w:t>附件四 商务技术标评分索引</w:t>
      </w:r>
      <w:r>
        <w:rPr>
          <w:rFonts w:hint="eastAsia" w:cs="宋体"/>
          <w:color w:val="auto"/>
          <w:highlight w:val="none"/>
          <w:lang w:eastAsia="zh-CN"/>
        </w:rPr>
        <w:t>（</w:t>
      </w:r>
      <w:r>
        <w:rPr>
          <w:rFonts w:hint="eastAsia" w:cs="宋体"/>
          <w:color w:val="auto"/>
          <w:highlight w:val="none"/>
          <w:lang w:val="en-US" w:eastAsia="zh-CN"/>
        </w:rPr>
        <w:t>请放在目录前页</w:t>
      </w:r>
      <w:r>
        <w:rPr>
          <w:rFonts w:hint="eastAsia" w:cs="宋体"/>
          <w:color w:val="auto"/>
          <w:highlight w:val="none"/>
          <w:lang w:eastAsia="zh-CN"/>
        </w:rPr>
        <w:t>）</w:t>
      </w:r>
    </w:p>
    <w:tbl>
      <w:tblPr>
        <w:tblStyle w:val="40"/>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Layout w:type="fixed"/>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Layout w:type="fixed"/>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2"/>
        <w:rPr>
          <w:rFonts w:ascii="宋体" w:hAnsi="宋体" w:cs="宋体"/>
          <w:b/>
          <w:color w:val="auto"/>
          <w:kern w:val="0"/>
          <w:szCs w:val="20"/>
          <w:highlight w:val="none"/>
        </w:rPr>
      </w:pPr>
      <w:r>
        <w:rPr>
          <w:rFonts w:hint="eastAsia" w:ascii="宋体" w:hAnsi="宋体" w:cs="宋体"/>
          <w:b/>
          <w:color w:val="auto"/>
          <w:kern w:val="0"/>
          <w:szCs w:val="20"/>
          <w:highlight w:val="none"/>
        </w:rPr>
        <w:t>根据评分标准自行调整。</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pgNumType w:fmt="decimal"/>
          <w:cols w:space="720" w:num="1"/>
          <w:docGrid w:linePitch="286" w:charSpace="0"/>
        </w:sectPr>
      </w:pPr>
      <w:r>
        <w:rPr>
          <w:rFonts w:hint="eastAsia" w:cs="宋体"/>
          <w:color w:val="auto"/>
          <w:highlight w:val="none"/>
        </w:rPr>
        <w:tab/>
      </w:r>
    </w:p>
    <w:p>
      <w:pPr>
        <w:pStyle w:val="6"/>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浙江机电职业技术学院、浙江五石工程咨询有限公司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（投标人名称）系中华人民共和国合法企业，经营地址。</w:t>
      </w:r>
    </w:p>
    <w:p>
      <w:pPr>
        <w:ind w:firstLine="456"/>
        <w:rPr>
          <w:rFonts w:cs="宋体"/>
          <w:color w:val="auto"/>
          <w:spacing w:val="-6"/>
          <w:highlight w:val="none"/>
        </w:rPr>
      </w:pPr>
      <w:r>
        <w:rPr>
          <w:rFonts w:hint="eastAsia" w:cs="宋体"/>
          <w:color w:val="auto"/>
          <w:spacing w:val="-6"/>
          <w:highlight w:val="none"/>
        </w:rPr>
        <w:t>我方愿意参加贵方组织的浙江机电职业技术学院</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5"/>
        <w:spacing w:line="360" w:lineRule="auto"/>
        <w:ind w:firstLine="456" w:firstLineChars="200"/>
        <w:rPr>
          <w:rFonts w:cs="宋体"/>
          <w:color w:val="auto"/>
          <w:spacing w:val="-6"/>
          <w:szCs w:val="24"/>
          <w:highlight w:val="none"/>
        </w:rPr>
      </w:pPr>
      <w:r>
        <w:rPr>
          <w:rFonts w:hint="eastAsia" w:cs="宋体"/>
          <w:color w:val="auto"/>
          <w:spacing w:val="-6"/>
          <w:szCs w:val="24"/>
          <w:highlight w:val="none"/>
        </w:rPr>
        <w:t>3.我方最近三年内的被公开披露或查处的违法违规行为有：</w:t>
      </w:r>
    </w:p>
    <w:p>
      <w:pPr>
        <w:pStyle w:val="15"/>
        <w:spacing w:line="360" w:lineRule="auto"/>
        <w:ind w:firstLine="456" w:firstLineChars="200"/>
        <w:rPr>
          <w:rFonts w:cs="宋体"/>
          <w:color w:val="auto"/>
          <w:spacing w:val="-6"/>
          <w:szCs w:val="24"/>
          <w:highlight w:val="none"/>
        </w:rPr>
      </w:pPr>
      <w:r>
        <w:rPr>
          <w:rFonts w:hint="eastAsia" w:cs="宋体"/>
          <w:color w:val="auto"/>
          <w:spacing w:val="-6"/>
          <w:szCs w:val="24"/>
          <w:highlight w:val="none"/>
        </w:rPr>
        <w:t>___________________________________________________________________________</w:t>
      </w:r>
    </w:p>
    <w:p>
      <w:pPr>
        <w:pStyle w:val="15"/>
        <w:spacing w:line="360" w:lineRule="auto"/>
        <w:ind w:firstLine="456" w:firstLineChars="200"/>
        <w:rPr>
          <w:rFonts w:cs="宋体"/>
          <w:color w:val="auto"/>
          <w:spacing w:val="-6"/>
          <w:szCs w:val="24"/>
          <w:highlight w:val="none"/>
        </w:rPr>
      </w:pPr>
      <w:r>
        <w:rPr>
          <w:rFonts w:hint="eastAsia" w:cs="宋体"/>
          <w:color w:val="auto"/>
          <w:spacing w:val="-6"/>
          <w:szCs w:val="24"/>
          <w:highlight w:val="none"/>
        </w:rPr>
        <w:t>4.以上事项如有虚假或隐瞒，我方愿意承担一切后果和责任。</w:t>
      </w: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pStyle w:val="105"/>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2"/>
        <w:rPr>
          <w:rFonts w:ascii="宋体" w:hAnsi="宋体" w:eastAsia="宋体"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浙江机电职业技术学院、浙江五石工程咨询有限公司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4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法定代表人（签字或盖章）：</w:t>
      </w:r>
    </w:p>
    <w:p>
      <w:pPr>
        <w:ind w:firstLine="480"/>
        <w:rPr>
          <w:rFonts w:hint="eastAsia" w:ascii="宋体" w:hAnsi="宋体" w:cs="宋体"/>
          <w:color w:val="auto"/>
          <w:highlight w:val="none"/>
        </w:rPr>
      </w:pPr>
      <w:r>
        <w:rPr>
          <w:rFonts w:hint="eastAsia" w:ascii="宋体" w:hAnsi="宋体" w:cs="宋体"/>
          <w:color w:val="auto"/>
          <w:highlight w:val="none"/>
        </w:rPr>
        <w:t>日期：  年   月   日</w:t>
      </w:r>
    </w:p>
    <w:p>
      <w:pPr>
        <w:pStyle w:val="2"/>
        <w:rPr>
          <w:rFonts w:hint="eastAsia" w:cs="宋体"/>
          <w:bCs/>
          <w:color w:val="auto"/>
          <w:spacing w:val="-6"/>
          <w:highlight w:val="none"/>
        </w:rPr>
      </w:pPr>
    </w:p>
    <w:p>
      <w:pPr>
        <w:pStyle w:val="3"/>
        <w:rPr>
          <w:color w:val="auto"/>
          <w:highlight w:val="none"/>
        </w:rPr>
        <w:sectPr>
          <w:pgSz w:w="11907" w:h="16840"/>
          <w:pgMar w:top="1247" w:right="1304" w:bottom="1021" w:left="1304" w:header="720" w:footer="720" w:gutter="0"/>
          <w:pgNumType w:fmt="decimal"/>
          <w:cols w:space="720" w:num="1"/>
          <w:docGrid w:linePitch="286" w:charSpace="0"/>
        </w:sectPr>
      </w:pP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浙江机电职业技术学院、浙江五石工程咨询有限公司</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（投标人全称）法定代表人</w:t>
      </w:r>
      <w:r>
        <w:rPr>
          <w:rFonts w:hint="eastAsia" w:ascii="宋体" w:hAnsi="宋体" w:cs="宋体"/>
          <w:color w:val="auto"/>
          <w:highlight w:val="none"/>
          <w:u w:val="singl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授权</w:t>
      </w:r>
      <w:r>
        <w:rPr>
          <w:rFonts w:hint="eastAsia" w:ascii="宋体" w:hAnsi="宋体" w:cs="宋体"/>
          <w:color w:val="auto"/>
          <w:highlight w:val="none"/>
          <w:u w:val="single"/>
        </w:rPr>
        <w:t xml:space="preserve">                       </w:t>
      </w:r>
      <w:r>
        <w:rPr>
          <w:rFonts w:hint="eastAsia" w:ascii="宋体" w:hAnsi="宋体" w:cs="宋体"/>
          <w:color w:val="auto"/>
          <w:highlight w:val="none"/>
        </w:rPr>
        <w:t>（全权代表姓名、职务）为全权代表，参加贵方组织的</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项目（招标编号）采购活动，全权处理采购活动中的一切事宜。</w:t>
      </w:r>
    </w:p>
    <w:p>
      <w:pPr>
        <w:ind w:firstLine="0" w:firstLineChars="0"/>
        <w:rPr>
          <w:rFonts w:ascii="宋体" w:hAnsi="宋体" w:cs="宋体"/>
          <w:color w:val="auto"/>
          <w:highlight w:val="none"/>
        </w:rPr>
      </w:pPr>
      <w:r>
        <w:rPr>
          <w:rFonts w:hint="eastAsia" w:ascii="宋体" w:hAnsi="宋体" w:cs="宋体"/>
          <w:color w:val="auto"/>
          <w:highlight w:val="none"/>
        </w:rPr>
        <w:t xml:space="preserve">    本授权书于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日签署生效，特此声明。</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附法定代表人、授权委托人身份证复印件正反面及社保证明。</w:t>
      </w:r>
    </w:p>
    <w:p>
      <w:pPr>
        <w:ind w:firstLine="0" w:firstLineChars="0"/>
        <w:rPr>
          <w:rFonts w:ascii="宋体" w:hAnsi="宋体" w:cs="宋体"/>
          <w:color w:val="auto"/>
          <w:highlight w:val="none"/>
        </w:rPr>
      </w:pPr>
      <w:r>
        <w:rPr>
          <w:rFonts w:hint="eastAsia" w:ascii="宋体" w:hAnsi="宋体" w:cs="宋体"/>
          <w:color w:val="auto"/>
          <w:highlight w:val="none"/>
        </w:rPr>
        <w:t>法定代表人（签字或签章）：</w:t>
      </w:r>
    </w:p>
    <w:p>
      <w:pPr>
        <w:ind w:firstLine="0" w:firstLineChars="0"/>
        <w:rPr>
          <w:rFonts w:ascii="宋体" w:hAnsi="宋体" w:cs="宋体"/>
          <w:color w:val="auto"/>
          <w:highlight w:val="none"/>
        </w:rPr>
      </w:pPr>
    </w:p>
    <w:p>
      <w:pPr>
        <w:ind w:firstLine="0" w:firstLineChars="0"/>
        <w:rPr>
          <w:rFonts w:ascii="宋体" w:hAnsi="宋体" w:cs="宋体"/>
          <w:color w:val="auto"/>
          <w:highlight w:val="none"/>
        </w:rPr>
      </w:pPr>
      <w:r>
        <w:rPr>
          <w:rFonts w:hint="eastAsia" w:ascii="宋体" w:hAnsi="宋体" w:cs="宋体"/>
          <w:color w:val="auto"/>
          <w:highlight w:val="none"/>
        </w:rPr>
        <w:t>投标人名称（公章）：</w:t>
      </w:r>
    </w:p>
    <w:p>
      <w:pPr>
        <w:ind w:firstLine="0" w:firstLineChars="0"/>
        <w:rPr>
          <w:rFonts w:ascii="宋体" w:hAnsi="宋体" w:cs="宋体"/>
          <w:color w:val="auto"/>
          <w:highlight w:val="none"/>
        </w:rPr>
      </w:pPr>
      <w:r>
        <w:rPr>
          <w:rFonts w:hint="eastAsia" w:ascii="宋体" w:hAnsi="宋体" w:cs="宋体"/>
          <w:color w:val="auto"/>
          <w:highlight w:val="none"/>
        </w:rPr>
        <w:t>日期：</w:t>
      </w:r>
    </w:p>
    <w:p>
      <w:pPr>
        <w:ind w:firstLine="0" w:firstLineChars="0"/>
        <w:rPr>
          <w:rFonts w:ascii="宋体" w:hAnsi="宋体" w:cs="宋体"/>
          <w:color w:val="auto"/>
          <w:highlight w:val="none"/>
        </w:rPr>
      </w:pPr>
      <w:r>
        <w:rPr>
          <w:rFonts w:hint="eastAsia" w:ascii="宋体" w:hAnsi="宋体" w:cs="宋体"/>
          <w:color w:val="auto"/>
          <w:highlight w:val="none"/>
        </w:rPr>
        <w:t xml:space="preserve"> </w:t>
      </w:r>
    </w:p>
    <w:p>
      <w:pPr>
        <w:ind w:firstLine="0" w:firstLineChars="0"/>
        <w:rPr>
          <w:rFonts w:ascii="宋体" w:hAnsi="宋体" w:cs="宋体"/>
          <w:color w:val="auto"/>
          <w:highlight w:val="none"/>
        </w:rPr>
      </w:pPr>
      <w:r>
        <w:rPr>
          <w:rFonts w:hint="eastAsia" w:ascii="宋体" w:hAnsi="宋体" w:cs="宋体"/>
          <w:color w:val="auto"/>
          <w:highlight w:val="none"/>
        </w:rPr>
        <w:t xml:space="preserve"> 附：</w:t>
      </w:r>
    </w:p>
    <w:p>
      <w:pPr>
        <w:ind w:firstLine="0" w:firstLineChars="0"/>
        <w:rPr>
          <w:rFonts w:ascii="宋体" w:hAnsi="宋体" w:cs="宋体"/>
          <w:color w:val="auto"/>
          <w:highlight w:val="none"/>
        </w:rPr>
      </w:pPr>
      <w:r>
        <w:rPr>
          <w:rFonts w:hint="eastAsia" w:ascii="宋体" w:hAnsi="宋体" w:cs="宋体"/>
          <w:color w:val="auto"/>
          <w:highlight w:val="none"/>
        </w:rPr>
        <w:t>全权代表姓名（签字）：</w:t>
      </w:r>
    </w:p>
    <w:p>
      <w:pPr>
        <w:ind w:firstLine="0" w:firstLineChars="0"/>
        <w:rPr>
          <w:rFonts w:ascii="宋体" w:hAnsi="宋体" w:cs="宋体"/>
          <w:color w:val="auto"/>
          <w:highlight w:val="none"/>
        </w:rPr>
      </w:pPr>
      <w:r>
        <w:rPr>
          <w:rFonts w:hint="eastAsia" w:ascii="宋体" w:hAnsi="宋体" w:cs="宋体"/>
          <w:color w:val="auto"/>
          <w:highlight w:val="none"/>
        </w:rPr>
        <w:t xml:space="preserve">    职        务：</w:t>
      </w:r>
    </w:p>
    <w:p>
      <w:pPr>
        <w:ind w:firstLine="0" w:firstLineChars="0"/>
        <w:rPr>
          <w:rFonts w:ascii="宋体" w:hAnsi="宋体" w:cs="宋体"/>
          <w:color w:val="auto"/>
          <w:highlight w:val="none"/>
        </w:rPr>
      </w:pPr>
      <w:r>
        <w:rPr>
          <w:rFonts w:hint="eastAsia" w:ascii="宋体" w:hAnsi="宋体" w:cs="宋体"/>
          <w:color w:val="auto"/>
          <w:highlight w:val="none"/>
        </w:rPr>
        <w:t xml:space="preserve">    详细通讯地址：</w:t>
      </w:r>
    </w:p>
    <w:p>
      <w:pPr>
        <w:ind w:firstLine="0" w:firstLineChars="0"/>
        <w:rPr>
          <w:rFonts w:ascii="宋体" w:hAnsi="宋体" w:cs="宋体"/>
          <w:color w:val="auto"/>
          <w:highlight w:val="none"/>
        </w:rPr>
      </w:pPr>
      <w:r>
        <w:rPr>
          <w:rFonts w:hint="eastAsia" w:ascii="宋体" w:hAnsi="宋体" w:cs="宋体"/>
          <w:color w:val="auto"/>
          <w:highlight w:val="none"/>
        </w:rPr>
        <w:t xml:space="preserve">    邮 政  编 码：</w:t>
      </w:r>
    </w:p>
    <w:p>
      <w:pPr>
        <w:ind w:firstLine="0" w:firstLineChars="0"/>
        <w:rPr>
          <w:rFonts w:ascii="宋体" w:hAnsi="宋体" w:cs="宋体"/>
          <w:color w:val="auto"/>
          <w:highlight w:val="none"/>
        </w:rPr>
      </w:pPr>
      <w:r>
        <w:rPr>
          <w:rFonts w:hint="eastAsia" w:ascii="宋体" w:hAnsi="宋体" w:cs="宋体"/>
          <w:color w:val="auto"/>
          <w:highlight w:val="none"/>
        </w:rPr>
        <w:t xml:space="preserve">    传        真：</w:t>
      </w:r>
    </w:p>
    <w:p>
      <w:pPr>
        <w:ind w:firstLine="0" w:firstLineChars="0"/>
        <w:rPr>
          <w:rFonts w:ascii="宋体" w:hAnsi="宋体" w:cs="宋体"/>
          <w:color w:val="auto"/>
          <w:highlight w:val="none"/>
        </w:rPr>
      </w:pPr>
      <w:r>
        <w:rPr>
          <w:rFonts w:hint="eastAsia" w:ascii="宋体" w:hAnsi="宋体" w:cs="宋体"/>
          <w:color w:val="auto"/>
          <w:highlight w:val="none"/>
        </w:rPr>
        <w:t xml:space="preserve">    移 动  电 话：</w:t>
      </w:r>
    </w:p>
    <w:p>
      <w:pPr>
        <w:ind w:firstLine="0" w:firstLineChars="0"/>
        <w:rPr>
          <w:rFonts w:ascii="宋体" w:hAnsi="宋体"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jc w:val="both"/>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40"/>
        <w:tblW w:w="8848" w:type="dxa"/>
        <w:tblInd w:w="28" w:type="dxa"/>
        <w:tblLayout w:type="fixed"/>
        <w:tblCellMar>
          <w:top w:w="0" w:type="dxa"/>
          <w:left w:w="28" w:type="dxa"/>
          <w:bottom w:w="0" w:type="dxa"/>
          <w:right w:w="28" w:type="dxa"/>
        </w:tblCellMar>
      </w:tblPr>
      <w:tblGrid>
        <w:gridCol w:w="2368"/>
        <w:gridCol w:w="2490"/>
        <w:gridCol w:w="1575"/>
        <w:gridCol w:w="2415"/>
      </w:tblGrid>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Layout w:type="fixed"/>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Layout w:type="fixed"/>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Layout w:type="fixed"/>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pgNumType w:fmt="decimal"/>
          <w:cols w:space="720" w:num="1"/>
          <w:docGrid w:linePitch="271" w:charSpace="0"/>
        </w:sectPr>
      </w:pPr>
    </w:p>
    <w:p>
      <w:pPr>
        <w:pStyle w:val="6"/>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40"/>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hint="eastAsia" w:cs="宋体"/>
          <w:color w:val="auto"/>
          <w:highlight w:val="none"/>
        </w:rPr>
      </w:pPr>
    </w:p>
    <w:p>
      <w:pPr>
        <w:pStyle w:val="3"/>
        <w:rPr>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浙江机电职业技术学院：</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hint="eastAsia" w:cs="宋体"/>
          <w:color w:val="auto"/>
          <w:highlight w:val="none"/>
        </w:rPr>
      </w:pPr>
    </w:p>
    <w:p>
      <w:pPr>
        <w:pStyle w:val="3"/>
        <w:rPr>
          <w:color w:val="auto"/>
          <w:highlight w:val="none"/>
        </w:rPr>
      </w:pPr>
    </w:p>
    <w:p>
      <w:pPr>
        <w:ind w:firstLine="480"/>
        <w:rPr>
          <w:rFonts w:cs="宋体"/>
          <w:color w:val="auto"/>
          <w:szCs w:val="40"/>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附件十一 投标人企业类型声明函</w:t>
      </w:r>
    </w:p>
    <w:p>
      <w:pPr>
        <w:pStyle w:val="29"/>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2.本公司参加浙江机电职业技术学院</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480"/>
        <w:jc w:val="center"/>
        <w:rPr>
          <w:rFonts w:cs="宋体"/>
          <w:color w:val="auto"/>
          <w:highlight w:val="none"/>
        </w:rPr>
      </w:pPr>
    </w:p>
    <w:p>
      <w:pPr>
        <w:pStyle w:val="2"/>
        <w:rPr>
          <w:rFonts w:cs="宋体"/>
          <w:color w:val="auto"/>
          <w:highlight w:val="none"/>
        </w:rPr>
      </w:pPr>
    </w:p>
    <w:p>
      <w:pPr>
        <w:pStyle w:val="3"/>
        <w:rPr>
          <w:color w:val="auto"/>
          <w:highlight w:val="none"/>
        </w:rPr>
        <w:sectPr>
          <w:pgSz w:w="11907" w:h="16840"/>
          <w:pgMar w:top="1247" w:right="1304" w:bottom="1021" w:left="1304" w:header="720" w:footer="720" w:gutter="0"/>
          <w:pgNumType w:fmt="decimal"/>
          <w:cols w:space="720" w:num="1"/>
          <w:docGrid w:linePitch="286" w:charSpace="0"/>
        </w:sectPr>
      </w:pPr>
    </w:p>
    <w:p>
      <w:pPr>
        <w:pStyle w:val="7"/>
        <w:ind w:firstLine="482"/>
        <w:rPr>
          <w:rFonts w:cs="宋体"/>
          <w:color w:val="auto"/>
          <w:highlight w:val="none"/>
        </w:rPr>
      </w:pPr>
      <w:r>
        <w:rPr>
          <w:rFonts w:hint="eastAsia" w:cs="宋体"/>
          <w:color w:val="auto"/>
          <w:highlight w:val="none"/>
        </w:rPr>
        <w:t>中、小微企业资格证明材料（满足以下其一即可）</w:t>
      </w:r>
    </w:p>
    <w:p>
      <w:pPr>
        <w:ind w:firstLine="480"/>
        <w:rPr>
          <w:color w:val="auto"/>
          <w:highlight w:val="none"/>
        </w:rPr>
      </w:pPr>
      <w:r>
        <w:rPr>
          <w:rFonts w:hint="eastAsia"/>
          <w:color w:val="auto"/>
          <w:highlight w:val="none"/>
        </w:rPr>
        <w:t>（1）供应商和报价产品生产企业在当地中小企业行政主管部门的确认意见或《中小企业申明函》。</w:t>
      </w:r>
    </w:p>
    <w:p>
      <w:pPr>
        <w:ind w:firstLine="480"/>
        <w:rPr>
          <w:color w:val="auto"/>
          <w:highlight w:val="none"/>
        </w:rPr>
      </w:pPr>
      <w:r>
        <w:rPr>
          <w:rFonts w:hint="eastAsia"/>
          <w:color w:val="auto"/>
          <w:highlight w:val="none"/>
        </w:rPr>
        <w:t>（2）供应商和报价产品生产企业相关网站的网页打印件并（网页打印件应当显示为小型或微型企业）加盖公章。相关网站：小微企业名录（http://xwqy.gsxt.gov.cn/）或浙江省政府采购网（http://www.zjzfcg.gov.cn/）</w:t>
      </w:r>
    </w:p>
    <w:p>
      <w:pPr>
        <w:ind w:firstLine="480"/>
        <w:rPr>
          <w:color w:val="auto"/>
          <w:highlight w:val="none"/>
        </w:rPr>
      </w:pPr>
      <w:r>
        <w:rPr>
          <w:rFonts w:hint="eastAsia"/>
          <w:color w:val="auto"/>
          <w:highlight w:val="none"/>
        </w:rPr>
        <w:t>（3） 供应商和报价产品生产企业已通过浙江政府采购网申请注册并成为正式入库供应商的网页打印件并（网页打印件应当显示为小型或微型企业）加盖公章。</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6"/>
        <w:rPr>
          <w:rFonts w:cs="宋体"/>
          <w:color w:val="auto"/>
          <w:highlight w:val="none"/>
        </w:rPr>
        <w:sectPr>
          <w:pgSz w:w="11907" w:h="16840"/>
          <w:pgMar w:top="1247" w:right="1304" w:bottom="1021" w:left="1304" w:header="720" w:footer="720" w:gutter="0"/>
          <w:pgNumType w:fmt="decimal"/>
          <w:cols w:space="720" w:num="1"/>
          <w:docGrid w:linePitch="286" w:charSpace="0"/>
        </w:sectPr>
      </w:pPr>
    </w:p>
    <w:p>
      <w:pPr>
        <w:pStyle w:val="7"/>
        <w:ind w:firstLine="482"/>
        <w:rPr>
          <w:rFonts w:cs="宋体"/>
          <w:color w:val="auto"/>
          <w:highlight w:val="none"/>
        </w:rPr>
      </w:pPr>
      <w:r>
        <w:rPr>
          <w:rFonts w:hint="eastAsia"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7"/>
        <w:ind w:firstLine="482"/>
        <w:rPr>
          <w:rFonts w:cs="宋体"/>
          <w:color w:val="auto"/>
          <w:highlight w:val="none"/>
        </w:rPr>
      </w:pPr>
      <w:r>
        <w:rPr>
          <w:rFonts w:hint="eastAsia"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浙江机电职业技术学院</w:t>
      </w:r>
      <w:r>
        <w:rPr>
          <w:rFonts w:hint="eastAsia" w:cs="宋体"/>
          <w:color w:val="auto"/>
          <w:spacing w:val="6"/>
          <w:highlight w:val="none"/>
        </w:rPr>
        <w:t>的南苑会议室多媒体设备项目活动提供本单位制造的货物，或者提供其他残疾人福利性单位制造的货物（不包括使用非残疾人福利性单位注册商标的货物）。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40"/>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rFonts w:hint="eastAsia" w:cs="宋体"/>
          <w:color w:val="auto"/>
          <w:szCs w:val="22"/>
          <w:highlight w:val="none"/>
        </w:rPr>
      </w:pPr>
    </w:p>
    <w:p>
      <w:pPr>
        <w:pStyle w:val="3"/>
        <w:rPr>
          <w:color w:val="auto"/>
          <w:highlight w:val="none"/>
        </w:rPr>
        <w:sectPr>
          <w:pgSz w:w="11907" w:h="16840"/>
          <w:pgMar w:top="1247" w:right="1304" w:bottom="1021" w:left="1304" w:header="720" w:footer="720" w:gutter="0"/>
          <w:pgNumType w:fmt="decimal"/>
          <w:cols w:space="720" w:num="1"/>
          <w:docGrid w:linePitch="326" w:charSpace="0"/>
        </w:sectPr>
      </w:pPr>
    </w:p>
    <w:p>
      <w:pPr>
        <w:pStyle w:val="6"/>
        <w:rPr>
          <w:rFonts w:cs="宋体"/>
          <w:color w:val="auto"/>
          <w:highlight w:val="none"/>
        </w:rPr>
      </w:pPr>
      <w:r>
        <w:rPr>
          <w:rFonts w:hint="eastAsia" w:cs="宋体"/>
          <w:color w:val="auto"/>
          <w:highlight w:val="none"/>
        </w:rPr>
        <w:t>附件十三 技术规范偏离表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40"/>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adjustRightInd w:val="0"/>
        <w:snapToGrid w:val="0"/>
        <w:spacing w:line="312" w:lineRule="auto"/>
        <w:ind w:firstLine="0" w:firstLineChars="0"/>
        <w:rPr>
          <w:rFonts w:cs="宋体"/>
          <w:color w:val="auto"/>
          <w:sz w:val="22"/>
          <w:szCs w:val="21"/>
          <w:highlight w:val="none"/>
        </w:rPr>
      </w:pPr>
      <w:r>
        <w:rPr>
          <w:rFonts w:hint="eastAsia" w:cs="宋体"/>
          <w:color w:val="auto"/>
          <w:sz w:val="22"/>
          <w:szCs w:val="21"/>
          <w:highlight w:val="none"/>
        </w:rPr>
        <w:t>注：1.逐项按照招标文件要求填写响应规格；</w:t>
      </w:r>
    </w:p>
    <w:p>
      <w:pPr>
        <w:adjustRightInd w:val="0"/>
        <w:snapToGrid w:val="0"/>
        <w:spacing w:line="312" w:lineRule="auto"/>
        <w:ind w:firstLine="0" w:firstLineChars="0"/>
        <w:rPr>
          <w:rFonts w:cs="宋体"/>
          <w:color w:val="auto"/>
          <w:sz w:val="22"/>
          <w:szCs w:val="21"/>
          <w:highlight w:val="none"/>
        </w:rPr>
      </w:pPr>
      <w:r>
        <w:rPr>
          <w:rFonts w:hint="eastAsia" w:cs="宋体"/>
          <w:color w:val="auto"/>
          <w:sz w:val="22"/>
          <w:szCs w:val="21"/>
          <w:highlight w:val="none"/>
        </w:rPr>
        <w:t>2.表后需提供</w:t>
      </w:r>
      <w:r>
        <w:rPr>
          <w:rFonts w:hint="eastAsia" w:cs="宋体"/>
          <w:b/>
          <w:bCs/>
          <w:color w:val="auto"/>
          <w:sz w:val="22"/>
          <w:szCs w:val="21"/>
          <w:highlight w:val="none"/>
        </w:rPr>
        <w:t>技术支持资料</w:t>
      </w:r>
      <w:r>
        <w:rPr>
          <w:rFonts w:hint="eastAsia" w:cs="宋体"/>
          <w:color w:val="auto"/>
          <w:sz w:val="22"/>
          <w:szCs w:val="21"/>
          <w:highlight w:val="none"/>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cs="宋体"/>
          <w:color w:val="auto"/>
          <w:sz w:val="22"/>
          <w:szCs w:val="21"/>
          <w:highlight w:val="none"/>
        </w:rPr>
      </w:pPr>
      <w:r>
        <w:rPr>
          <w:rFonts w:hint="eastAsia" w:cs="宋体"/>
          <w:color w:val="auto"/>
          <w:sz w:val="22"/>
          <w:szCs w:val="21"/>
          <w:highlight w:val="none"/>
        </w:rPr>
        <w:t>3.投标人可提供同等于或优于招标文件要求的设备和服务。</w:t>
      </w:r>
    </w:p>
    <w:p>
      <w:pPr>
        <w:pStyle w:val="2"/>
        <w:rPr>
          <w:rFonts w:cs="宋体"/>
          <w:color w:val="auto"/>
          <w:highlight w:val="none"/>
        </w:rPr>
      </w:pPr>
    </w:p>
    <w:p>
      <w:pPr>
        <w:pStyle w:val="3"/>
        <w:rPr>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2"/>
        <w:rPr>
          <w:color w:val="auto"/>
          <w:highlight w:val="none"/>
        </w:rPr>
      </w:pPr>
    </w:p>
    <w:p>
      <w:pPr>
        <w:pStyle w:val="6"/>
        <w:rPr>
          <w:rFonts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highlight w:val="none"/>
        </w:rPr>
      </w:pPr>
      <w:bookmarkStart w:id="74" w:name="_Toc188842693"/>
      <w:bookmarkStart w:id="75" w:name="_Toc188943147"/>
      <w:bookmarkStart w:id="76" w:name="_Toc189033156"/>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74"/>
      <w:bookmarkEnd w:id="75"/>
      <w:bookmarkEnd w:id="76"/>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40"/>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Layout w:type="fixed"/>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Layout w:type="fixed"/>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r>
        <w:tblPrEx>
          <w:tblLayout w:type="fixed"/>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Lines="50"/>
              <w:ind w:firstLine="480"/>
              <w:rPr>
                <w:rFonts w:cs="宋体"/>
                <w:color w:val="auto"/>
                <w:highlight w:val="none"/>
              </w:rPr>
            </w:pPr>
          </w:p>
        </w:tc>
      </w:tr>
    </w:tbl>
    <w:p>
      <w:pPr>
        <w:ind w:firstLine="0" w:firstLineChars="0"/>
        <w:rPr>
          <w:rFonts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left="119" w:firstLine="0" w:firstLineChars="0"/>
        <w:rPr>
          <w:rFonts w:cs="宋体"/>
          <w:b/>
          <w:color w:val="auto"/>
          <w:highlight w:val="none"/>
        </w:rPr>
      </w:pPr>
    </w:p>
    <w:p>
      <w:pPr>
        <w:ind w:firstLine="0" w:firstLineChars="0"/>
        <w:rPr>
          <w:rFonts w:cs="宋体"/>
          <w:color w:val="auto"/>
          <w:highlight w:val="none"/>
        </w:rPr>
        <w:sectPr>
          <w:footerReference r:id="rId20" w:type="default"/>
          <w:footerReference r:id="rId21" w:type="even"/>
          <w:pgSz w:w="11906" w:h="16838"/>
          <w:pgMar w:top="1440" w:right="1106" w:bottom="1440" w:left="1622" w:header="851" w:footer="851" w:gutter="0"/>
          <w:pgNumType w:fmt="decimal"/>
          <w:cols w:space="720" w:num="1"/>
          <w:docGrid w:linePitch="312" w:charSpace="0"/>
        </w:sectPr>
      </w:pPr>
    </w:p>
    <w:p>
      <w:pPr>
        <w:pStyle w:val="6"/>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2"/>
        <w:rPr>
          <w:rFonts w:ascii="宋体" w:hAnsi="宋体" w:eastAsia="宋体" w:cs="宋体"/>
          <w:color w:val="auto"/>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40"/>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pgNumType w:fmt="decimal"/>
          <w:cols w:space="720" w:num="1"/>
          <w:docGrid w:linePitch="286" w:charSpace="0"/>
        </w:sectPr>
      </w:pPr>
    </w:p>
    <w:p>
      <w:pPr>
        <w:pStyle w:val="6"/>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40"/>
        <w:tblW w:w="1006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r>
        <w:rPr>
          <w:rFonts w:hint="eastAsia" w:cs="宋体"/>
          <w:i/>
          <w:color w:val="auto"/>
          <w:spacing w:val="4"/>
          <w:highlight w:val="none"/>
          <w:lang w:eastAsia="zh-CN"/>
        </w:rPr>
        <w:t>，</w:t>
      </w:r>
      <w:r>
        <w:rPr>
          <w:rFonts w:hint="eastAsia" w:cs="宋体"/>
          <w:i/>
          <w:color w:val="auto"/>
          <w:spacing w:val="4"/>
          <w:highlight w:val="none"/>
          <w:lang w:val="en-US" w:eastAsia="zh-CN"/>
        </w:rPr>
        <w:t>格式可自拟</w:t>
      </w:r>
      <w:r>
        <w:rPr>
          <w:rFonts w:hint="eastAsia" w:cs="宋体"/>
          <w:i/>
          <w:color w:val="auto"/>
          <w:spacing w:val="4"/>
          <w:highlight w:val="none"/>
        </w:rPr>
        <w:t>）</w:t>
      </w: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pStyle w:val="6"/>
        <w:rPr>
          <w:rFonts w:cs="宋体"/>
          <w:color w:val="auto"/>
          <w:highlight w:val="none"/>
        </w:rPr>
        <w:sectPr>
          <w:pgSz w:w="11907" w:h="16840"/>
          <w:pgMar w:top="1247" w:right="1304" w:bottom="1021" w:left="1304" w:header="720" w:footer="720" w:gutter="0"/>
          <w:pgNumType w:fmt="decimal"/>
          <w:cols w:space="720" w:num="1"/>
          <w:docGrid w:linePitch="286" w:charSpace="0"/>
        </w:sectPr>
      </w:pPr>
    </w:p>
    <w:p>
      <w:pPr>
        <w:pStyle w:val="6"/>
        <w:rPr>
          <w:rFonts w:cs="宋体"/>
          <w:color w:val="auto"/>
          <w:szCs w:val="40"/>
          <w:highlight w:val="none"/>
        </w:rPr>
      </w:pPr>
      <w:r>
        <w:rPr>
          <w:rFonts w:hint="eastAsia" w:cs="宋体"/>
          <w:color w:val="auto"/>
          <w:szCs w:val="40"/>
          <w:highlight w:val="none"/>
        </w:rPr>
        <w:t>附件十八 培训计划（若需要）</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40"/>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ind w:firstLine="480"/>
        <w:rPr>
          <w:rFonts w:ascii="宋体" w:hAnsi="宋体" w:cs="宋体"/>
          <w:color w:val="auto"/>
          <w:highlight w:val="none"/>
        </w:rPr>
      </w:pPr>
      <w:r>
        <w:rPr>
          <w:rFonts w:hint="eastAsia" w:ascii="宋体" w:hAnsi="宋体" w:cs="宋体"/>
          <w:color w:val="auto"/>
          <w:highlight w:val="none"/>
        </w:rPr>
        <w:t>投标人名称（公章）：</w:t>
      </w:r>
    </w:p>
    <w:p>
      <w:pPr>
        <w:ind w:firstLine="480"/>
        <w:rPr>
          <w:rFonts w:ascii="宋体" w:hAnsi="宋体" w:cs="宋体"/>
          <w:color w:val="auto"/>
          <w:highlight w:val="none"/>
        </w:rPr>
      </w:pPr>
      <w:r>
        <w:rPr>
          <w:rFonts w:hint="eastAsia" w:ascii="宋体" w:hAnsi="宋体" w:cs="宋体"/>
          <w:color w:val="auto"/>
          <w:highlight w:val="none"/>
        </w:rPr>
        <w:t>法定代表人或其授权代表（签字或盖章）：</w:t>
      </w:r>
    </w:p>
    <w:p>
      <w:pPr>
        <w:ind w:firstLine="480"/>
        <w:rPr>
          <w:rFonts w:ascii="宋体" w:hAnsi="宋体" w:cs="宋体"/>
          <w:color w:val="auto"/>
          <w:highlight w:val="none"/>
        </w:rPr>
      </w:pPr>
      <w:r>
        <w:rPr>
          <w:rFonts w:hint="eastAsia" w:ascii="宋体" w:hAnsi="宋体" w:cs="宋体"/>
          <w:color w:val="auto"/>
          <w:highlight w:val="none"/>
        </w:rPr>
        <w:t>日期：  年   月   日</w:t>
      </w:r>
    </w:p>
    <w:p>
      <w:pPr>
        <w:adjustRightInd w:val="0"/>
        <w:snapToGrid w:val="0"/>
        <w:ind w:firstLine="0" w:firstLineChars="0"/>
        <w:rPr>
          <w:rFonts w:cs="宋体"/>
          <w:color w:val="auto"/>
          <w:szCs w:val="22"/>
          <w:highlight w:val="none"/>
        </w:rPr>
        <w:sectPr>
          <w:pgSz w:w="11907" w:h="16840"/>
          <w:pgMar w:top="1247" w:right="1304" w:bottom="1021" w:left="1304" w:header="720" w:footer="720" w:gutter="0"/>
          <w:pgNumType w:fmt="decimal"/>
          <w:cols w:space="720" w:num="1"/>
        </w:sectPr>
      </w:pPr>
    </w:p>
    <w:p>
      <w:pPr>
        <w:pStyle w:val="6"/>
        <w:rPr>
          <w:rFonts w:cs="宋体"/>
          <w:color w:val="auto"/>
          <w:highlight w:val="none"/>
        </w:rPr>
      </w:pPr>
      <w:r>
        <w:rPr>
          <w:rFonts w:hint="eastAsia" w:cs="宋体"/>
          <w:color w:val="auto"/>
          <w:szCs w:val="22"/>
          <w:highlight w:val="none"/>
        </w:rPr>
        <w:t>附件十九</w:t>
      </w:r>
      <w:r>
        <w:rPr>
          <w:rFonts w:hint="eastAsia" w:cs="宋体"/>
          <w:color w:val="auto"/>
          <w:highlight w:val="none"/>
        </w:rPr>
        <w:t xml:space="preserve">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p>
    <w:p>
      <w:pPr>
        <w:adjustRightInd w:val="0"/>
        <w:snapToGrid w:val="0"/>
        <w:ind w:firstLine="480"/>
        <w:rPr>
          <w:rFonts w:cs="宋体"/>
          <w:color w:val="auto"/>
          <w:highlight w:val="none"/>
        </w:rPr>
      </w:pPr>
      <w:r>
        <w:rPr>
          <w:rFonts w:hint="eastAsia" w:cs="宋体"/>
          <w:color w:val="auto"/>
          <w:highlight w:val="none"/>
        </w:rPr>
        <w:t>地址：                          邮编：</w:t>
      </w:r>
    </w:p>
    <w:p>
      <w:pPr>
        <w:adjustRightInd w:val="0"/>
        <w:snapToGrid w:val="0"/>
        <w:ind w:firstLine="480"/>
        <w:rPr>
          <w:rFonts w:cs="宋体"/>
          <w:color w:val="auto"/>
          <w:highlight w:val="none"/>
        </w:rPr>
      </w:pPr>
      <w:r>
        <w:rPr>
          <w:rFonts w:hint="eastAsia" w:cs="宋体"/>
          <w:color w:val="auto"/>
          <w:highlight w:val="none"/>
        </w:rPr>
        <w:t>联系人：                        联系电话：</w:t>
      </w:r>
    </w:p>
    <w:p>
      <w:pPr>
        <w:adjustRightInd w:val="0"/>
        <w:snapToGrid w:val="0"/>
        <w:ind w:firstLine="480"/>
        <w:rPr>
          <w:rFonts w:cs="宋体"/>
          <w:color w:val="auto"/>
          <w:highlight w:val="none"/>
          <w:u w:val="dotted"/>
        </w:rPr>
      </w:pPr>
      <w:r>
        <w:rPr>
          <w:rFonts w:hint="eastAsia" w:cs="宋体"/>
          <w:color w:val="auto"/>
          <w:highlight w:val="none"/>
        </w:rPr>
        <w:t>授权代表：</w:t>
      </w:r>
    </w:p>
    <w:p>
      <w:pPr>
        <w:adjustRightInd w:val="0"/>
        <w:snapToGrid w:val="0"/>
        <w:ind w:firstLine="480"/>
        <w:rPr>
          <w:rFonts w:cs="宋体"/>
          <w:color w:val="auto"/>
          <w:highlight w:val="none"/>
        </w:rPr>
      </w:pPr>
      <w:r>
        <w:rPr>
          <w:rFonts w:hint="eastAsia" w:cs="宋体"/>
          <w:color w:val="auto"/>
          <w:highlight w:val="none"/>
        </w:rPr>
        <w:t>联系电话：</w:t>
      </w:r>
    </w:p>
    <w:p>
      <w:pPr>
        <w:adjustRightInd w:val="0"/>
        <w:snapToGrid w:val="0"/>
        <w:ind w:firstLine="480"/>
        <w:rPr>
          <w:rFonts w:cs="宋体"/>
          <w:color w:val="auto"/>
          <w:highlight w:val="none"/>
        </w:rPr>
      </w:pPr>
      <w:r>
        <w:rPr>
          <w:rFonts w:hint="eastAsia" w:cs="宋体"/>
          <w:color w:val="auto"/>
          <w:highlight w:val="none"/>
        </w:rPr>
        <w:t>地址：                          邮编：</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p>
    <w:p>
      <w:pPr>
        <w:adjustRightInd w:val="0"/>
        <w:snapToGrid w:val="0"/>
        <w:ind w:firstLine="480"/>
        <w:rPr>
          <w:rFonts w:cs="宋体"/>
          <w:color w:val="auto"/>
          <w:highlight w:val="none"/>
        </w:rPr>
      </w:pPr>
      <w:r>
        <w:rPr>
          <w:rFonts w:hint="eastAsia" w:cs="宋体"/>
          <w:color w:val="auto"/>
          <w:highlight w:val="none"/>
        </w:rPr>
        <w:t>质疑项目的编号：                包号：</w:t>
      </w:r>
    </w:p>
    <w:p>
      <w:pPr>
        <w:adjustRightInd w:val="0"/>
        <w:snapToGrid w:val="0"/>
        <w:ind w:firstLine="480"/>
        <w:rPr>
          <w:rFonts w:cs="宋体"/>
          <w:color w:val="auto"/>
          <w:highlight w:val="none"/>
          <w:u w:val="dotted"/>
        </w:rPr>
      </w:pPr>
      <w:r>
        <w:rPr>
          <w:rFonts w:hint="eastAsia" w:cs="宋体"/>
          <w:color w:val="auto"/>
          <w:highlight w:val="none"/>
        </w:rPr>
        <w:t>采购人名称：</w:t>
      </w:r>
    </w:p>
    <w:p>
      <w:pPr>
        <w:adjustRightInd w:val="0"/>
        <w:snapToGrid w:val="0"/>
        <w:ind w:firstLine="480"/>
        <w:rPr>
          <w:rFonts w:cs="宋体"/>
          <w:color w:val="auto"/>
          <w:highlight w:val="none"/>
        </w:rPr>
      </w:pPr>
      <w:r>
        <w:rPr>
          <w:rFonts w:hint="eastAsia" w:cs="宋体"/>
          <w:color w:val="auto"/>
          <w:highlight w:val="none"/>
        </w:rPr>
        <w:t>采购文件获取日期：</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p>
    <w:p>
      <w:pPr>
        <w:adjustRightInd w:val="0"/>
        <w:snapToGrid w:val="0"/>
        <w:ind w:firstLine="480"/>
        <w:rPr>
          <w:rFonts w:cs="宋体"/>
          <w:color w:val="auto"/>
          <w:highlight w:val="none"/>
          <w:u w:val="dotted"/>
        </w:rPr>
      </w:pPr>
      <w:r>
        <w:rPr>
          <w:rFonts w:hint="eastAsia" w:cs="宋体"/>
          <w:color w:val="auto"/>
          <w:highlight w:val="none"/>
        </w:rPr>
        <w:t>事实依据：</w:t>
      </w:r>
    </w:p>
    <w:p>
      <w:pPr>
        <w:adjustRightInd w:val="0"/>
        <w:snapToGrid w:val="0"/>
        <w:ind w:firstLine="480"/>
        <w:rPr>
          <w:rFonts w:cs="宋体"/>
          <w:color w:val="auto"/>
          <w:highlight w:val="none"/>
          <w:u w:val="dotted"/>
        </w:rPr>
      </w:pPr>
      <w:r>
        <w:rPr>
          <w:rFonts w:hint="eastAsia" w:cs="宋体"/>
          <w:color w:val="auto"/>
          <w:highlight w:val="none"/>
        </w:rPr>
        <w:t>法律依据：</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tabs>
          <w:tab w:val="left" w:pos="6876"/>
        </w:tabs>
        <w:ind w:firstLine="643"/>
        <w:jc w:val="left"/>
        <w:rPr>
          <w:rFonts w:hint="eastAsia" w:eastAsia="宋体" w:cs="宋体"/>
          <w:b/>
          <w:color w:val="auto"/>
          <w:sz w:val="32"/>
          <w:highlight w:val="none"/>
          <w:lang w:eastAsia="zh-CN"/>
        </w:rPr>
      </w:pPr>
      <w:r>
        <w:rPr>
          <w:rFonts w:hint="eastAsia" w:cs="宋体"/>
          <w:b/>
          <w:color w:val="auto"/>
          <w:sz w:val="32"/>
          <w:highlight w:val="none"/>
          <w:lang w:eastAsia="zh-CN"/>
        </w:rPr>
        <w:tab/>
      </w: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p>
      <w:pPr>
        <w:ind w:firstLine="440"/>
        <w:rPr>
          <w:rFonts w:cs="宋体"/>
          <w:i/>
          <w:color w:val="auto"/>
          <w:sz w:val="22"/>
          <w:szCs w:val="22"/>
          <w:highlight w:val="none"/>
        </w:rPr>
      </w:pPr>
    </w:p>
    <w:sectPr>
      <w:footerReference r:id="rId22"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calaSansLF-Regular">
    <w:altName w:val="Trebuchet MS"/>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p>
                      </w:txbxContent>
                    </wps:txbx>
                    <wps:bodyPr wrap="none" lIns="0" tIns="0" rIns="0" bIns="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SNNZCtAQAAUAMA&#10;AA4AAAAAAAAAAQAgAAAAHgEAAGRycy9lMm9Eb2MueG1sUEsFBgAAAAAGAAYAWQEAAD0FAAAAAA==&#10;">
              <v:fill on="f" focussize="0,0"/>
              <v:stroke on="f"/>
              <v:imagedata o:title=""/>
              <o:lock v:ext="edit" aspectratio="f"/>
              <v:textbox inset="0mm,0mm,0mm,0mm" style="mso-fit-shape-to-text:t;">
                <w:txbxContent>
                  <w:p>
                    <w:pPr>
                      <w:pStyle w:val="25"/>
                      <w:ind w:firstLine="360"/>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6"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EgiNLqtAQAAUAMA&#10;AA4AAAAAAAAAAQAgAAAAHgEAAGRycy9lMm9Eb2MueG1sUEsFBgAAAAAGAAYAWQEAAD0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outside;mso-position-horizontal-relative:margin;mso-wrap-style:none;z-index:2516531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LO/ZUrgEAAFA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both"/>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7"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36" o:spid="_x0000_s1026" o:spt="202" type="#_x0000_t202" style="position:absolute;left:0pt;margin-top:0pt;height:144pt;width:144pt;mso-position-horizontal:outside;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X0sjZrgEAAFA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8"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Pbu61+tAQAAUAMA&#10;AA4AAAAAAAAAAQAgAAAAHgEAAGRycy9lMm9Eb2MueG1sUEsFBgAAAAAGAAYAWQEAAD0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56</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560"/>
      <w:jc w:val="cente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rMvVrgEAAFAD&#10;AAAOAAAAAAAAAAEAIAAAAB4BAABkcnMvZTJvRG9jLnhtbFBLBQYAAAAABgAGAFkBAAA+BQAAAAA=&#10;">
              <v:fill on="f" focussize="0,0"/>
              <v:stroke on="f"/>
              <v:imagedata o:title=""/>
              <o:lock v:ext="edit" aspectratio="f"/>
              <v:textbox inset="0mm,0mm,0mm,0mm" style="mso-fit-shape-to-text:t;">
                <w:txbxContent>
                  <w:p>
                    <w:pPr>
                      <w:pStyle w:val="25"/>
                      <w:ind w:firstLine="36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58</w:t>
                    </w:r>
                    <w:r>
                      <w:rPr>
                        <w:rFonts w:hint="eastAsia"/>
                        <w:lang w:eastAsia="zh-CN"/>
                      </w:rPr>
                      <w:fldChar w:fldCharType="end"/>
                    </w:r>
                    <w:r>
                      <w:rPr>
                        <w:rFonts w:hint="eastAsia"/>
                        <w:lang w:eastAsia="zh-CN"/>
                      </w:rPr>
                      <w:t xml:space="preserve"> 页 共 </w:t>
                    </w:r>
                    <w:r>
                      <w:rPr>
                        <w:rFonts w:hint="eastAsia"/>
                        <w:lang w:val="en-US" w:eastAsia="zh-CN"/>
                      </w:rPr>
                      <w:t>59</w:t>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p>
                      </w:txbxContent>
                    </wps:txbx>
                    <wps:bodyPr wrap="none" lIns="0" tIns="0" rIns="0" bIns="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7j1zjrgEAAFAD&#10;AAAOAAAAAAAAAAEAIAAAAB4BAABkcnMvZTJvRG9jLnhtbFBLBQYAAAAABgAGAFkBAAA+BQAAAAA=&#10;">
              <v:fill on="f" focussize="0,0"/>
              <v:stroke on="f"/>
              <v:imagedata o:title=""/>
              <o:lock v:ext="edit" aspectratio="f"/>
              <v:textbox inset="0mm,0mm,0mm,0mm" style="mso-fit-shape-to-text:t;">
                <w:txbxContent>
                  <w:p>
                    <w:pPr>
                      <w:pStyle w:val="25"/>
                      <w:ind w:firstLine="36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780" w:firstLineChars="1800"/>
      <w:rPr>
        <w:i/>
        <w:iC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PVg5Ua8BAABQ&#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150"/>
        <w:tab w:val="clear" w:pos="4153"/>
      </w:tabs>
      <w:ind w:firstLine="4200" w:firstLineChars="2000"/>
    </w:pPr>
    <w:r>
      <w:rPr>
        <w:sz w:val="21"/>
      </w:rPr>
      <mc:AlternateContent>
        <mc:Choice Requires="wps">
          <w:drawing>
            <wp:anchor distT="0" distB="0" distL="114300" distR="114300" simplePos="0" relativeHeight="2516520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520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ZD1SGrgEAAFAD&#10;AAAOAAAAAAAAAAEAIAAAAB4BAABkcnMvZTJvRG9jLnhtbFBLBQYAAAAABgAGAFkBAAA+BQ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5"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wps:txbx>
                    <wps:bodyPr wrap="none" lIns="0" tIns="0" rIns="0" bIns="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9gxNK8BAABQ&#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rPr>
                        <w:rFonts w:hint="eastAsia"/>
                        <w:lang w:val="en-US" w:eastAsia="zh-CN"/>
                      </w:rPr>
                      <w:t>59</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left" w:pos="3358"/>
      </w:tabs>
      <w:ind w:firstLine="0" w:firstLineChars="0"/>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10" w:firstLineChars="100"/>
      <w:jc w:val="both"/>
      <w:rPr>
        <w:sz w:val="21"/>
        <w:szCs w:val="21"/>
      </w:rPr>
    </w:pPr>
    <w:r>
      <w:rPr>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0" b="0"/>
              <wp:wrapNone/>
              <wp:docPr id="1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ind w:firstLine="480"/>
                          </w:pPr>
                        </w:p>
                      </w:txbxContent>
                    </wps:txbx>
                    <wps:bodyPr wrap="none" lIns="0" tIns="0" rIns="0" bIns="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e18wqqwEAAE8DAAAO&#10;AAAAAAAAAAEAIAAAAB4BAABkcnMvZTJvRG9jLnhtbFBLBQYAAAAABgAGAFkBAAA7BQAAAAA=&#10;">
              <v:fill on="f" focussize="0,0"/>
              <v:stroke on="f"/>
              <v:imagedata o:title=""/>
              <o:lock v:ext="edit" aspectratio="f"/>
              <v:textbox inset="0mm,0mm,0mm,0mm" style="mso-fit-shape-to-text:t;">
                <w:txbxContent>
                  <w:p>
                    <w:pPr>
                      <w:ind w:firstLine="480"/>
                    </w:pPr>
                  </w:p>
                </w:txbxContent>
              </v:textbox>
            </v:shape>
          </w:pict>
        </mc:Fallback>
      </mc:AlternateContent>
    </w:r>
    <w:r>
      <w:rPr>
        <w:rFonts w:hint="eastAsia"/>
        <w:sz w:val="21"/>
        <w:szCs w:val="21"/>
      </w:rPr>
      <w:t xml:space="preserve">浙江五石工程咨询有限公司招标文件                           </w:t>
    </w:r>
    <w:r>
      <w:rPr>
        <w:rFonts w:hint="eastAsia"/>
        <w:i/>
        <w:iCs/>
        <w:sz w:val="21"/>
        <w:szCs w:val="21"/>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0FA87"/>
    <w:multiLevelType w:val="singleLevel"/>
    <w:tmpl w:val="86C0FA87"/>
    <w:lvl w:ilvl="0" w:tentative="0">
      <w:start w:val="1"/>
      <w:numFmt w:val="decimal"/>
      <w:lvlText w:val="%1."/>
      <w:lvlJc w:val="left"/>
      <w:pPr>
        <w:ind w:left="425" w:hanging="425"/>
      </w:pPr>
      <w:rPr>
        <w:rFonts w:hint="default"/>
      </w:rPr>
    </w:lvl>
  </w:abstractNum>
  <w:abstractNum w:abstractNumId="1">
    <w:nsid w:val="B9FECD7A"/>
    <w:multiLevelType w:val="singleLevel"/>
    <w:tmpl w:val="B9FECD7A"/>
    <w:lvl w:ilvl="0" w:tentative="0">
      <w:start w:val="1"/>
      <w:numFmt w:val="decimal"/>
      <w:lvlText w:val="(%1)"/>
      <w:lvlJc w:val="left"/>
      <w:pPr>
        <w:ind w:left="425" w:hanging="425"/>
      </w:pPr>
      <w:rPr>
        <w:rFonts w:hint="default"/>
      </w:rPr>
    </w:lvl>
  </w:abstractNum>
  <w:abstractNum w:abstractNumId="2">
    <w:nsid w:val="CC221EA5"/>
    <w:multiLevelType w:val="singleLevel"/>
    <w:tmpl w:val="CC221EA5"/>
    <w:lvl w:ilvl="0" w:tentative="0">
      <w:start w:val="1"/>
      <w:numFmt w:val="decimal"/>
      <w:lvlText w:val="%1."/>
      <w:lvlJc w:val="left"/>
      <w:pPr>
        <w:ind w:left="425" w:hanging="425"/>
      </w:pPr>
      <w:rPr>
        <w:rFonts w:hint="default"/>
      </w:rPr>
    </w:lvl>
  </w:abstractNum>
  <w:abstractNum w:abstractNumId="3">
    <w:nsid w:val="13CBDD06"/>
    <w:multiLevelType w:val="singleLevel"/>
    <w:tmpl w:val="13CBDD06"/>
    <w:lvl w:ilvl="0" w:tentative="0">
      <w:start w:val="1"/>
      <w:numFmt w:val="decimal"/>
      <w:lvlText w:val="%1."/>
      <w:lvlJc w:val="left"/>
      <w:pPr>
        <w:ind w:left="425" w:hanging="425"/>
      </w:pPr>
      <w:rPr>
        <w:rFonts w:hint="default"/>
      </w:rPr>
    </w:lvl>
  </w:abstractNum>
  <w:abstractNum w:abstractNumId="4">
    <w:nsid w:val="47F94027"/>
    <w:multiLevelType w:val="singleLevel"/>
    <w:tmpl w:val="47F94027"/>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06799"/>
    <w:rsid w:val="00011721"/>
    <w:rsid w:val="00011EA0"/>
    <w:rsid w:val="00011FCC"/>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B1739"/>
    <w:rsid w:val="000B18F5"/>
    <w:rsid w:val="000B58E3"/>
    <w:rsid w:val="000B5D45"/>
    <w:rsid w:val="000C250F"/>
    <w:rsid w:val="000C2DAF"/>
    <w:rsid w:val="000C30E1"/>
    <w:rsid w:val="000C5DBD"/>
    <w:rsid w:val="000D00C3"/>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66F7"/>
    <w:rsid w:val="00127E3B"/>
    <w:rsid w:val="00134E45"/>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19C5"/>
    <w:rsid w:val="0017260C"/>
    <w:rsid w:val="0017509E"/>
    <w:rsid w:val="00175465"/>
    <w:rsid w:val="00176C19"/>
    <w:rsid w:val="00181D19"/>
    <w:rsid w:val="00182B31"/>
    <w:rsid w:val="0018410D"/>
    <w:rsid w:val="001843C6"/>
    <w:rsid w:val="00184FB7"/>
    <w:rsid w:val="001858A6"/>
    <w:rsid w:val="00186FFB"/>
    <w:rsid w:val="00187352"/>
    <w:rsid w:val="00187590"/>
    <w:rsid w:val="00187674"/>
    <w:rsid w:val="00190477"/>
    <w:rsid w:val="00193F39"/>
    <w:rsid w:val="00194B73"/>
    <w:rsid w:val="00195532"/>
    <w:rsid w:val="00195F5B"/>
    <w:rsid w:val="001A0A45"/>
    <w:rsid w:val="001A1F36"/>
    <w:rsid w:val="001A24A9"/>
    <w:rsid w:val="001A2DB7"/>
    <w:rsid w:val="001A6304"/>
    <w:rsid w:val="001B0AEC"/>
    <w:rsid w:val="001B0B85"/>
    <w:rsid w:val="001B4607"/>
    <w:rsid w:val="001B6084"/>
    <w:rsid w:val="001B68D8"/>
    <w:rsid w:val="001C031F"/>
    <w:rsid w:val="001C09CF"/>
    <w:rsid w:val="001C14ED"/>
    <w:rsid w:val="001C42CD"/>
    <w:rsid w:val="001C441C"/>
    <w:rsid w:val="001C4DD1"/>
    <w:rsid w:val="001C4DE4"/>
    <w:rsid w:val="001C6768"/>
    <w:rsid w:val="001C6957"/>
    <w:rsid w:val="001C6E99"/>
    <w:rsid w:val="001C78A7"/>
    <w:rsid w:val="001D2793"/>
    <w:rsid w:val="001D6435"/>
    <w:rsid w:val="001D67D5"/>
    <w:rsid w:val="001E4700"/>
    <w:rsid w:val="001E6BA1"/>
    <w:rsid w:val="001F050C"/>
    <w:rsid w:val="001F1D58"/>
    <w:rsid w:val="001F2B86"/>
    <w:rsid w:val="001F72A2"/>
    <w:rsid w:val="001F7AB6"/>
    <w:rsid w:val="00200224"/>
    <w:rsid w:val="00201004"/>
    <w:rsid w:val="00202DB8"/>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7B7"/>
    <w:rsid w:val="002452ED"/>
    <w:rsid w:val="00250660"/>
    <w:rsid w:val="002510A9"/>
    <w:rsid w:val="0025343D"/>
    <w:rsid w:val="002539A2"/>
    <w:rsid w:val="00254E25"/>
    <w:rsid w:val="0026022B"/>
    <w:rsid w:val="0026688A"/>
    <w:rsid w:val="00266937"/>
    <w:rsid w:val="00267608"/>
    <w:rsid w:val="00267CCE"/>
    <w:rsid w:val="00270528"/>
    <w:rsid w:val="0027327B"/>
    <w:rsid w:val="00277B3D"/>
    <w:rsid w:val="00281B19"/>
    <w:rsid w:val="00282430"/>
    <w:rsid w:val="00283A95"/>
    <w:rsid w:val="00283DBA"/>
    <w:rsid w:val="00287043"/>
    <w:rsid w:val="00295A8D"/>
    <w:rsid w:val="002A0D60"/>
    <w:rsid w:val="002A1458"/>
    <w:rsid w:val="002A2966"/>
    <w:rsid w:val="002A2D74"/>
    <w:rsid w:val="002A350A"/>
    <w:rsid w:val="002A5004"/>
    <w:rsid w:val="002A5605"/>
    <w:rsid w:val="002A7D0E"/>
    <w:rsid w:val="002B1E3C"/>
    <w:rsid w:val="002B4EEF"/>
    <w:rsid w:val="002B510A"/>
    <w:rsid w:val="002B5196"/>
    <w:rsid w:val="002B5982"/>
    <w:rsid w:val="002B5F05"/>
    <w:rsid w:val="002B6139"/>
    <w:rsid w:val="002C1486"/>
    <w:rsid w:val="002C549E"/>
    <w:rsid w:val="002C55D2"/>
    <w:rsid w:val="002D3BB1"/>
    <w:rsid w:val="002D4566"/>
    <w:rsid w:val="002D4D08"/>
    <w:rsid w:val="002D6292"/>
    <w:rsid w:val="002D73CD"/>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7FBE"/>
    <w:rsid w:val="0032148E"/>
    <w:rsid w:val="0032495C"/>
    <w:rsid w:val="00325B6A"/>
    <w:rsid w:val="0032613D"/>
    <w:rsid w:val="00327F94"/>
    <w:rsid w:val="00330393"/>
    <w:rsid w:val="0033149C"/>
    <w:rsid w:val="00335987"/>
    <w:rsid w:val="00336BC0"/>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84D"/>
    <w:rsid w:val="003E2AB8"/>
    <w:rsid w:val="003E69EF"/>
    <w:rsid w:val="003E7AC3"/>
    <w:rsid w:val="003F281F"/>
    <w:rsid w:val="003F296A"/>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1C02"/>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503E"/>
    <w:rsid w:val="0058622B"/>
    <w:rsid w:val="00587A9A"/>
    <w:rsid w:val="005964EA"/>
    <w:rsid w:val="005A002A"/>
    <w:rsid w:val="005A130D"/>
    <w:rsid w:val="005A1ACF"/>
    <w:rsid w:val="005A1B31"/>
    <w:rsid w:val="005A4392"/>
    <w:rsid w:val="005A7C49"/>
    <w:rsid w:val="005B6142"/>
    <w:rsid w:val="005C0C63"/>
    <w:rsid w:val="005C0E04"/>
    <w:rsid w:val="005C19C0"/>
    <w:rsid w:val="005C6B3F"/>
    <w:rsid w:val="005D46CD"/>
    <w:rsid w:val="005D4A96"/>
    <w:rsid w:val="005D5E1B"/>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742"/>
    <w:rsid w:val="0068504F"/>
    <w:rsid w:val="00690CFF"/>
    <w:rsid w:val="00690F83"/>
    <w:rsid w:val="0069131A"/>
    <w:rsid w:val="006923A4"/>
    <w:rsid w:val="00693444"/>
    <w:rsid w:val="006938F3"/>
    <w:rsid w:val="006A06BA"/>
    <w:rsid w:val="006A31FD"/>
    <w:rsid w:val="006A482E"/>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5547"/>
    <w:rsid w:val="00701BD2"/>
    <w:rsid w:val="00703DFE"/>
    <w:rsid w:val="0070413B"/>
    <w:rsid w:val="007066D4"/>
    <w:rsid w:val="00706F94"/>
    <w:rsid w:val="00711281"/>
    <w:rsid w:val="0071168F"/>
    <w:rsid w:val="007133A7"/>
    <w:rsid w:val="00714D40"/>
    <w:rsid w:val="0071607F"/>
    <w:rsid w:val="00716992"/>
    <w:rsid w:val="00717FBE"/>
    <w:rsid w:val="0072004D"/>
    <w:rsid w:val="00720A4F"/>
    <w:rsid w:val="00721700"/>
    <w:rsid w:val="007238B9"/>
    <w:rsid w:val="007256CA"/>
    <w:rsid w:val="00731786"/>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70034"/>
    <w:rsid w:val="00772782"/>
    <w:rsid w:val="00772DBD"/>
    <w:rsid w:val="0077469F"/>
    <w:rsid w:val="00774992"/>
    <w:rsid w:val="007805C7"/>
    <w:rsid w:val="00781678"/>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1E90"/>
    <w:rsid w:val="0080561C"/>
    <w:rsid w:val="00805DA0"/>
    <w:rsid w:val="00813D5B"/>
    <w:rsid w:val="008143A5"/>
    <w:rsid w:val="008153C6"/>
    <w:rsid w:val="00816D37"/>
    <w:rsid w:val="00817EFC"/>
    <w:rsid w:val="00820225"/>
    <w:rsid w:val="008208E7"/>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2E74"/>
    <w:rsid w:val="008630CF"/>
    <w:rsid w:val="00863205"/>
    <w:rsid w:val="00863AA6"/>
    <w:rsid w:val="0086405A"/>
    <w:rsid w:val="00865708"/>
    <w:rsid w:val="00866030"/>
    <w:rsid w:val="0086685B"/>
    <w:rsid w:val="00873F7F"/>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DE4"/>
    <w:rsid w:val="008B63ED"/>
    <w:rsid w:val="008B72F5"/>
    <w:rsid w:val="008B7CD5"/>
    <w:rsid w:val="008B7DC8"/>
    <w:rsid w:val="008C3CCF"/>
    <w:rsid w:val="008C63E2"/>
    <w:rsid w:val="008C741E"/>
    <w:rsid w:val="008D0DFF"/>
    <w:rsid w:val="008D11C5"/>
    <w:rsid w:val="008D2B04"/>
    <w:rsid w:val="008D3DC8"/>
    <w:rsid w:val="008D4867"/>
    <w:rsid w:val="008D4A85"/>
    <w:rsid w:val="008D761B"/>
    <w:rsid w:val="008D7C91"/>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53BC"/>
    <w:rsid w:val="00915E4E"/>
    <w:rsid w:val="009178D0"/>
    <w:rsid w:val="00917EF0"/>
    <w:rsid w:val="00921EB3"/>
    <w:rsid w:val="0092282C"/>
    <w:rsid w:val="00923A58"/>
    <w:rsid w:val="009249F8"/>
    <w:rsid w:val="00930BA8"/>
    <w:rsid w:val="0093785D"/>
    <w:rsid w:val="00937F71"/>
    <w:rsid w:val="00940BBF"/>
    <w:rsid w:val="00943BC8"/>
    <w:rsid w:val="00944741"/>
    <w:rsid w:val="00946A18"/>
    <w:rsid w:val="00950FF3"/>
    <w:rsid w:val="0095126D"/>
    <w:rsid w:val="00951580"/>
    <w:rsid w:val="009539A2"/>
    <w:rsid w:val="009539F3"/>
    <w:rsid w:val="0095737E"/>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F97"/>
    <w:rsid w:val="00B16BAF"/>
    <w:rsid w:val="00B21805"/>
    <w:rsid w:val="00B234F6"/>
    <w:rsid w:val="00B23EA1"/>
    <w:rsid w:val="00B24D66"/>
    <w:rsid w:val="00B25010"/>
    <w:rsid w:val="00B25637"/>
    <w:rsid w:val="00B2646E"/>
    <w:rsid w:val="00B26DF0"/>
    <w:rsid w:val="00B273CA"/>
    <w:rsid w:val="00B27E1C"/>
    <w:rsid w:val="00B27E49"/>
    <w:rsid w:val="00B333BE"/>
    <w:rsid w:val="00B334D5"/>
    <w:rsid w:val="00B3632A"/>
    <w:rsid w:val="00B4133E"/>
    <w:rsid w:val="00B4367A"/>
    <w:rsid w:val="00B440A3"/>
    <w:rsid w:val="00B45C49"/>
    <w:rsid w:val="00B46ACC"/>
    <w:rsid w:val="00B51B99"/>
    <w:rsid w:val="00B56F8E"/>
    <w:rsid w:val="00B57506"/>
    <w:rsid w:val="00B627FD"/>
    <w:rsid w:val="00B666BB"/>
    <w:rsid w:val="00B67128"/>
    <w:rsid w:val="00B7177D"/>
    <w:rsid w:val="00B72636"/>
    <w:rsid w:val="00B72B6B"/>
    <w:rsid w:val="00B734A3"/>
    <w:rsid w:val="00B74E07"/>
    <w:rsid w:val="00B757B0"/>
    <w:rsid w:val="00B75B6F"/>
    <w:rsid w:val="00B7754F"/>
    <w:rsid w:val="00B81E5E"/>
    <w:rsid w:val="00B8205F"/>
    <w:rsid w:val="00B83A8F"/>
    <w:rsid w:val="00B84D2E"/>
    <w:rsid w:val="00B9192E"/>
    <w:rsid w:val="00B91B62"/>
    <w:rsid w:val="00B939AC"/>
    <w:rsid w:val="00B948A0"/>
    <w:rsid w:val="00B954D6"/>
    <w:rsid w:val="00B972D7"/>
    <w:rsid w:val="00B97E4A"/>
    <w:rsid w:val="00BA1774"/>
    <w:rsid w:val="00BA31C9"/>
    <w:rsid w:val="00BA5BA6"/>
    <w:rsid w:val="00BA7D9C"/>
    <w:rsid w:val="00BB033B"/>
    <w:rsid w:val="00BB2CD1"/>
    <w:rsid w:val="00BB3FF1"/>
    <w:rsid w:val="00BB46DD"/>
    <w:rsid w:val="00BB4E29"/>
    <w:rsid w:val="00BB534A"/>
    <w:rsid w:val="00BB6D81"/>
    <w:rsid w:val="00BC3172"/>
    <w:rsid w:val="00BC588C"/>
    <w:rsid w:val="00BC710C"/>
    <w:rsid w:val="00BD23F2"/>
    <w:rsid w:val="00BD4341"/>
    <w:rsid w:val="00BD5CC8"/>
    <w:rsid w:val="00BD6EF0"/>
    <w:rsid w:val="00BE073B"/>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2AF5"/>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38DF"/>
    <w:rsid w:val="00CC4133"/>
    <w:rsid w:val="00CC5CB8"/>
    <w:rsid w:val="00CC6722"/>
    <w:rsid w:val="00CC70BF"/>
    <w:rsid w:val="00CC7FD2"/>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6D8B"/>
    <w:rsid w:val="00D57109"/>
    <w:rsid w:val="00D57421"/>
    <w:rsid w:val="00D575E6"/>
    <w:rsid w:val="00D62454"/>
    <w:rsid w:val="00D70AC4"/>
    <w:rsid w:val="00D7171D"/>
    <w:rsid w:val="00D73C04"/>
    <w:rsid w:val="00D74CF3"/>
    <w:rsid w:val="00D77E6B"/>
    <w:rsid w:val="00D818E5"/>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18ED"/>
    <w:rsid w:val="00E221EF"/>
    <w:rsid w:val="00E27ED1"/>
    <w:rsid w:val="00E30ACB"/>
    <w:rsid w:val="00E31700"/>
    <w:rsid w:val="00E32B9F"/>
    <w:rsid w:val="00E335A5"/>
    <w:rsid w:val="00E33708"/>
    <w:rsid w:val="00E34545"/>
    <w:rsid w:val="00E35027"/>
    <w:rsid w:val="00E36879"/>
    <w:rsid w:val="00E37FA9"/>
    <w:rsid w:val="00E40758"/>
    <w:rsid w:val="00E40F88"/>
    <w:rsid w:val="00E44264"/>
    <w:rsid w:val="00E45328"/>
    <w:rsid w:val="00E45E27"/>
    <w:rsid w:val="00E479F6"/>
    <w:rsid w:val="00E50C26"/>
    <w:rsid w:val="00E51177"/>
    <w:rsid w:val="00E521C8"/>
    <w:rsid w:val="00E544B2"/>
    <w:rsid w:val="00E57012"/>
    <w:rsid w:val="00E623AB"/>
    <w:rsid w:val="00E629B0"/>
    <w:rsid w:val="00E66531"/>
    <w:rsid w:val="00E666C3"/>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697F"/>
    <w:rsid w:val="00E97BB5"/>
    <w:rsid w:val="00EA27E3"/>
    <w:rsid w:val="00EA3335"/>
    <w:rsid w:val="00EA33AB"/>
    <w:rsid w:val="00EA3A6C"/>
    <w:rsid w:val="00EA773C"/>
    <w:rsid w:val="00EA79AF"/>
    <w:rsid w:val="00EA7F50"/>
    <w:rsid w:val="00EB16A5"/>
    <w:rsid w:val="00EB20B1"/>
    <w:rsid w:val="00EB713F"/>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13B5"/>
    <w:rsid w:val="00F01936"/>
    <w:rsid w:val="00F05916"/>
    <w:rsid w:val="00F05EC5"/>
    <w:rsid w:val="00F10401"/>
    <w:rsid w:val="00F16CB9"/>
    <w:rsid w:val="00F17DAE"/>
    <w:rsid w:val="00F20EFD"/>
    <w:rsid w:val="00F227B9"/>
    <w:rsid w:val="00F25157"/>
    <w:rsid w:val="00F277A2"/>
    <w:rsid w:val="00F31F60"/>
    <w:rsid w:val="00F33890"/>
    <w:rsid w:val="00F33B48"/>
    <w:rsid w:val="00F34962"/>
    <w:rsid w:val="00F40F18"/>
    <w:rsid w:val="00F4120E"/>
    <w:rsid w:val="00F41536"/>
    <w:rsid w:val="00F418DF"/>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CF2"/>
    <w:rsid w:val="00FA3492"/>
    <w:rsid w:val="00FA3AE1"/>
    <w:rsid w:val="00FA49C0"/>
    <w:rsid w:val="00FA56A1"/>
    <w:rsid w:val="00FA5B10"/>
    <w:rsid w:val="00FA5CD7"/>
    <w:rsid w:val="00FA688C"/>
    <w:rsid w:val="00FB08B6"/>
    <w:rsid w:val="00FB43F1"/>
    <w:rsid w:val="00FB49A3"/>
    <w:rsid w:val="00FB5216"/>
    <w:rsid w:val="00FB76D3"/>
    <w:rsid w:val="00FC0FE8"/>
    <w:rsid w:val="00FC2217"/>
    <w:rsid w:val="00FC25B9"/>
    <w:rsid w:val="00FC2CE1"/>
    <w:rsid w:val="00FC3A91"/>
    <w:rsid w:val="00FC3C6C"/>
    <w:rsid w:val="00FC3F8F"/>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1F855A7"/>
    <w:rsid w:val="02132159"/>
    <w:rsid w:val="024462E0"/>
    <w:rsid w:val="027215CE"/>
    <w:rsid w:val="02F01C71"/>
    <w:rsid w:val="05D5153E"/>
    <w:rsid w:val="079E733B"/>
    <w:rsid w:val="07C347C1"/>
    <w:rsid w:val="07DE14DB"/>
    <w:rsid w:val="08175594"/>
    <w:rsid w:val="096B3B63"/>
    <w:rsid w:val="09A01D70"/>
    <w:rsid w:val="0A257CAF"/>
    <w:rsid w:val="0AB85334"/>
    <w:rsid w:val="0B0070A3"/>
    <w:rsid w:val="0B3C6897"/>
    <w:rsid w:val="0C3646D8"/>
    <w:rsid w:val="0C550739"/>
    <w:rsid w:val="0EE43718"/>
    <w:rsid w:val="0EE90B68"/>
    <w:rsid w:val="0F612084"/>
    <w:rsid w:val="0F9C5416"/>
    <w:rsid w:val="0FBC0D1A"/>
    <w:rsid w:val="102927A5"/>
    <w:rsid w:val="104C58A2"/>
    <w:rsid w:val="120C495C"/>
    <w:rsid w:val="120E0E48"/>
    <w:rsid w:val="123F4C14"/>
    <w:rsid w:val="124C6492"/>
    <w:rsid w:val="125819C2"/>
    <w:rsid w:val="12836BF7"/>
    <w:rsid w:val="12B1627A"/>
    <w:rsid w:val="12ED2A15"/>
    <w:rsid w:val="12F12AA5"/>
    <w:rsid w:val="141A42B8"/>
    <w:rsid w:val="147A2410"/>
    <w:rsid w:val="148A7F1B"/>
    <w:rsid w:val="14C23955"/>
    <w:rsid w:val="15FC3115"/>
    <w:rsid w:val="16593538"/>
    <w:rsid w:val="17445402"/>
    <w:rsid w:val="188C4D73"/>
    <w:rsid w:val="18E00489"/>
    <w:rsid w:val="19282791"/>
    <w:rsid w:val="19530714"/>
    <w:rsid w:val="1A5841D0"/>
    <w:rsid w:val="1A8E1C36"/>
    <w:rsid w:val="1BBD474E"/>
    <w:rsid w:val="1C0B4DB7"/>
    <w:rsid w:val="1CC2392C"/>
    <w:rsid w:val="1D7C153E"/>
    <w:rsid w:val="1D873C32"/>
    <w:rsid w:val="1E507DAD"/>
    <w:rsid w:val="20577A77"/>
    <w:rsid w:val="206B0F43"/>
    <w:rsid w:val="20CB3924"/>
    <w:rsid w:val="21C3592D"/>
    <w:rsid w:val="21C5263E"/>
    <w:rsid w:val="225A2932"/>
    <w:rsid w:val="23594B35"/>
    <w:rsid w:val="23EA5690"/>
    <w:rsid w:val="244157BB"/>
    <w:rsid w:val="244D2BCF"/>
    <w:rsid w:val="247240E4"/>
    <w:rsid w:val="24D54DB0"/>
    <w:rsid w:val="24F82B87"/>
    <w:rsid w:val="269E2F62"/>
    <w:rsid w:val="274F2171"/>
    <w:rsid w:val="275E4EBE"/>
    <w:rsid w:val="27797DE0"/>
    <w:rsid w:val="282B626E"/>
    <w:rsid w:val="28FC2B68"/>
    <w:rsid w:val="29223179"/>
    <w:rsid w:val="29523F82"/>
    <w:rsid w:val="299D7FA1"/>
    <w:rsid w:val="29AA4023"/>
    <w:rsid w:val="2A0F5C0D"/>
    <w:rsid w:val="2A456589"/>
    <w:rsid w:val="2A5B4807"/>
    <w:rsid w:val="2ADE0C2E"/>
    <w:rsid w:val="2C1864B9"/>
    <w:rsid w:val="2C5466FC"/>
    <w:rsid w:val="2D4477EE"/>
    <w:rsid w:val="2DC41DAC"/>
    <w:rsid w:val="2DD4300E"/>
    <w:rsid w:val="2EC14611"/>
    <w:rsid w:val="2F967026"/>
    <w:rsid w:val="30187442"/>
    <w:rsid w:val="30593343"/>
    <w:rsid w:val="315541EE"/>
    <w:rsid w:val="3191543B"/>
    <w:rsid w:val="31F5436E"/>
    <w:rsid w:val="31FC073B"/>
    <w:rsid w:val="32136E54"/>
    <w:rsid w:val="32243194"/>
    <w:rsid w:val="3263631F"/>
    <w:rsid w:val="32C00D78"/>
    <w:rsid w:val="330A6326"/>
    <w:rsid w:val="332D1CBE"/>
    <w:rsid w:val="349953B5"/>
    <w:rsid w:val="349A334C"/>
    <w:rsid w:val="34BF5F9A"/>
    <w:rsid w:val="354C0D37"/>
    <w:rsid w:val="386001EC"/>
    <w:rsid w:val="39C55B61"/>
    <w:rsid w:val="3CA543B9"/>
    <w:rsid w:val="3CAA46F7"/>
    <w:rsid w:val="3D1457C5"/>
    <w:rsid w:val="3E675C43"/>
    <w:rsid w:val="3F255D56"/>
    <w:rsid w:val="4082593F"/>
    <w:rsid w:val="40C7099B"/>
    <w:rsid w:val="40F11F15"/>
    <w:rsid w:val="411728C0"/>
    <w:rsid w:val="41235A35"/>
    <w:rsid w:val="41973458"/>
    <w:rsid w:val="43925F39"/>
    <w:rsid w:val="44720E16"/>
    <w:rsid w:val="448518DB"/>
    <w:rsid w:val="44C41913"/>
    <w:rsid w:val="44D619FA"/>
    <w:rsid w:val="45C64C0F"/>
    <w:rsid w:val="47E24271"/>
    <w:rsid w:val="482B2304"/>
    <w:rsid w:val="48857FBF"/>
    <w:rsid w:val="48AB6F27"/>
    <w:rsid w:val="48DE11B8"/>
    <w:rsid w:val="49EC54AD"/>
    <w:rsid w:val="4AB7573A"/>
    <w:rsid w:val="4B2C1C2C"/>
    <w:rsid w:val="4B8A72CF"/>
    <w:rsid w:val="4BC84A02"/>
    <w:rsid w:val="4C1065B5"/>
    <w:rsid w:val="4C70027F"/>
    <w:rsid w:val="4CB53BE6"/>
    <w:rsid w:val="4D346816"/>
    <w:rsid w:val="4DDF3F73"/>
    <w:rsid w:val="4ECD7D52"/>
    <w:rsid w:val="4F8119B1"/>
    <w:rsid w:val="4F92238A"/>
    <w:rsid w:val="50731BAF"/>
    <w:rsid w:val="50C40F9C"/>
    <w:rsid w:val="510E0E2A"/>
    <w:rsid w:val="51150617"/>
    <w:rsid w:val="52FA6F72"/>
    <w:rsid w:val="533700C8"/>
    <w:rsid w:val="54492F90"/>
    <w:rsid w:val="548C1D47"/>
    <w:rsid w:val="54963849"/>
    <w:rsid w:val="55555A5E"/>
    <w:rsid w:val="561142CA"/>
    <w:rsid w:val="56B332E9"/>
    <w:rsid w:val="573672BE"/>
    <w:rsid w:val="5A0D6B08"/>
    <w:rsid w:val="5CE760ED"/>
    <w:rsid w:val="5EEC4DA1"/>
    <w:rsid w:val="5F281498"/>
    <w:rsid w:val="607E7302"/>
    <w:rsid w:val="624A41D3"/>
    <w:rsid w:val="62CE0974"/>
    <w:rsid w:val="641724DD"/>
    <w:rsid w:val="648D4DC3"/>
    <w:rsid w:val="64937B40"/>
    <w:rsid w:val="64E414E0"/>
    <w:rsid w:val="65991807"/>
    <w:rsid w:val="66476B0A"/>
    <w:rsid w:val="665F1C74"/>
    <w:rsid w:val="66A43656"/>
    <w:rsid w:val="68106E2A"/>
    <w:rsid w:val="685F5364"/>
    <w:rsid w:val="68F63773"/>
    <w:rsid w:val="6B5962BC"/>
    <w:rsid w:val="6B892C6A"/>
    <w:rsid w:val="6B922F24"/>
    <w:rsid w:val="6BF32268"/>
    <w:rsid w:val="6C1E03F6"/>
    <w:rsid w:val="6CEC2537"/>
    <w:rsid w:val="6DB8617E"/>
    <w:rsid w:val="6F0B6E34"/>
    <w:rsid w:val="6F384895"/>
    <w:rsid w:val="70730315"/>
    <w:rsid w:val="70AD2F80"/>
    <w:rsid w:val="72233ABC"/>
    <w:rsid w:val="729C2D95"/>
    <w:rsid w:val="72BC0BF9"/>
    <w:rsid w:val="72D14842"/>
    <w:rsid w:val="73384149"/>
    <w:rsid w:val="73A243D2"/>
    <w:rsid w:val="74835DA9"/>
    <w:rsid w:val="75DC2DB7"/>
    <w:rsid w:val="76C84CCD"/>
    <w:rsid w:val="76F01E2B"/>
    <w:rsid w:val="789573EB"/>
    <w:rsid w:val="7A3065F1"/>
    <w:rsid w:val="7AA01F48"/>
    <w:rsid w:val="7C4D5033"/>
    <w:rsid w:val="7C8B5068"/>
    <w:rsid w:val="7CD703F6"/>
    <w:rsid w:val="7D0D0409"/>
    <w:rsid w:val="7EB87E83"/>
    <w:rsid w:val="7F163D65"/>
    <w:rsid w:val="7F246FFD"/>
    <w:rsid w:val="7FFE4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4">
    <w:name w:val="heading 1"/>
    <w:basedOn w:val="1"/>
    <w:next w:val="1"/>
    <w:link w:val="134"/>
    <w:qFormat/>
    <w:uiPriority w:val="0"/>
    <w:pPr>
      <w:keepNext/>
      <w:keepLines/>
      <w:ind w:firstLine="0" w:firstLineChars="0"/>
      <w:jc w:val="center"/>
      <w:outlineLvl w:val="0"/>
    </w:pPr>
    <w:rPr>
      <w:b/>
      <w:bCs/>
      <w:kern w:val="44"/>
      <w:sz w:val="32"/>
      <w:szCs w:val="52"/>
    </w:rPr>
  </w:style>
  <w:style w:type="paragraph" w:styleId="5">
    <w:name w:val="heading 2"/>
    <w:basedOn w:val="1"/>
    <w:next w:val="1"/>
    <w:link w:val="125"/>
    <w:qFormat/>
    <w:uiPriority w:val="0"/>
    <w:pPr>
      <w:keepNext/>
      <w:keepLines/>
      <w:ind w:firstLine="0" w:firstLineChars="0"/>
      <w:jc w:val="left"/>
      <w:outlineLvl w:val="1"/>
    </w:pPr>
    <w:rPr>
      <w:rFonts w:ascii="Cambria" w:hAnsi="Cambria"/>
      <w:b/>
      <w:bCs/>
      <w:sz w:val="28"/>
      <w:szCs w:val="32"/>
    </w:rPr>
  </w:style>
  <w:style w:type="paragraph" w:styleId="6">
    <w:name w:val="heading 3"/>
    <w:basedOn w:val="1"/>
    <w:next w:val="1"/>
    <w:link w:val="172"/>
    <w:qFormat/>
    <w:uiPriority w:val="0"/>
    <w:pPr>
      <w:keepNext/>
      <w:keepLines/>
      <w:ind w:firstLine="0" w:firstLineChars="0"/>
      <w:outlineLvl w:val="2"/>
    </w:pPr>
    <w:rPr>
      <w:b/>
      <w:bCs/>
      <w:szCs w:val="32"/>
    </w:rPr>
  </w:style>
  <w:style w:type="paragraph" w:styleId="7">
    <w:name w:val="heading 4"/>
    <w:basedOn w:val="1"/>
    <w:next w:val="1"/>
    <w:link w:val="141"/>
    <w:qFormat/>
    <w:uiPriority w:val="9"/>
    <w:pPr>
      <w:keepNext/>
      <w:keepLines/>
      <w:adjustRightInd w:val="0"/>
      <w:snapToGrid w:val="0"/>
      <w:outlineLvl w:val="3"/>
    </w:pPr>
    <w:rPr>
      <w:b/>
      <w:bCs/>
      <w:szCs w:val="28"/>
    </w:rPr>
  </w:style>
  <w:style w:type="character" w:default="1" w:styleId="42">
    <w:name w:val="Default Paragraph Font"/>
    <w:semiHidden/>
    <w:unhideWhenUsed/>
    <w:uiPriority w:val="1"/>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138"/>
    <w:unhideWhenUsed/>
    <w:qFormat/>
    <w:uiPriority w:val="0"/>
    <w:pPr>
      <w:spacing w:line="240" w:lineRule="auto"/>
      <w:ind w:firstLine="420" w:firstLineChars="0"/>
    </w:pPr>
    <w:rPr>
      <w:sz w:val="21"/>
    </w:rPr>
  </w:style>
  <w:style w:type="paragraph" w:styleId="10">
    <w:name w:val="Document Map"/>
    <w:basedOn w:val="1"/>
    <w:link w:val="159"/>
    <w:unhideWhenUsed/>
    <w:qFormat/>
    <w:uiPriority w:val="0"/>
    <w:rPr>
      <w:kern w:val="0"/>
      <w:sz w:val="18"/>
      <w:szCs w:val="18"/>
    </w:rPr>
  </w:style>
  <w:style w:type="paragraph" w:styleId="11">
    <w:name w:val="annotation text"/>
    <w:basedOn w:val="1"/>
    <w:link w:val="135"/>
    <w:unhideWhenUsed/>
    <w:qFormat/>
    <w:uiPriority w:val="0"/>
    <w:pPr>
      <w:spacing w:line="240" w:lineRule="auto"/>
      <w:ind w:firstLine="0" w:firstLineChars="0"/>
      <w:jc w:val="left"/>
    </w:pPr>
    <w:rPr>
      <w:sz w:val="21"/>
    </w:rPr>
  </w:style>
  <w:style w:type="paragraph" w:styleId="12">
    <w:name w:val="Body Text 3"/>
    <w:basedOn w:val="1"/>
    <w:link w:val="169"/>
    <w:unhideWhenUsed/>
    <w:qFormat/>
    <w:uiPriority w:val="0"/>
    <w:pPr>
      <w:spacing w:line="440" w:lineRule="atLeast"/>
      <w:ind w:firstLine="0" w:firstLineChars="0"/>
      <w:jc w:val="center"/>
    </w:pPr>
    <w:rPr>
      <w:rFonts w:ascii="楷体_GB2312" w:eastAsia="楷体_GB2312"/>
      <w:b/>
      <w:color w:val="000000"/>
      <w:sz w:val="30"/>
    </w:rPr>
  </w:style>
  <w:style w:type="paragraph" w:styleId="13">
    <w:name w:val="List Bullet 3"/>
    <w:basedOn w:val="1"/>
    <w:unhideWhenUsed/>
    <w:qFormat/>
    <w:uiPriority w:val="0"/>
    <w:pPr>
      <w:tabs>
        <w:tab w:val="left" w:pos="720"/>
      </w:tabs>
      <w:spacing w:line="240" w:lineRule="auto"/>
      <w:ind w:left="780" w:hanging="360" w:firstLineChars="0"/>
    </w:pPr>
  </w:style>
  <w:style w:type="paragraph" w:styleId="14">
    <w:name w:val="Body Text"/>
    <w:basedOn w:val="1"/>
    <w:link w:val="149"/>
    <w:unhideWhenUsed/>
    <w:qFormat/>
    <w:uiPriority w:val="0"/>
    <w:pPr>
      <w:adjustRightInd w:val="0"/>
      <w:spacing w:line="315" w:lineRule="atLeast"/>
      <w:ind w:firstLine="0" w:firstLineChars="0"/>
      <w:jc w:val="left"/>
    </w:pPr>
    <w:rPr>
      <w:rFonts w:ascii="仿宋_GB2312" w:eastAsia="仿宋_GB2312"/>
      <w:kern w:val="0"/>
      <w:sz w:val="28"/>
      <w:szCs w:val="20"/>
    </w:rPr>
  </w:style>
  <w:style w:type="paragraph" w:styleId="15">
    <w:name w:val="Body Text Indent"/>
    <w:basedOn w:val="1"/>
    <w:link w:val="170"/>
    <w:unhideWhenUsed/>
    <w:qFormat/>
    <w:uiPriority w:val="0"/>
    <w:pPr>
      <w:widowControl/>
      <w:autoSpaceDE w:val="0"/>
      <w:autoSpaceDN w:val="0"/>
      <w:snapToGrid w:val="0"/>
      <w:spacing w:before="120" w:line="400" w:lineRule="atLeast"/>
      <w:ind w:firstLine="570" w:firstLineChars="0"/>
    </w:pPr>
    <w:rPr>
      <w:kern w:val="0"/>
      <w:szCs w:val="20"/>
    </w:rPr>
  </w:style>
  <w:style w:type="paragraph" w:styleId="16">
    <w:name w:val="List 2"/>
    <w:basedOn w:val="1"/>
    <w:unhideWhenUsed/>
    <w:qFormat/>
    <w:uiPriority w:val="0"/>
    <w:pPr>
      <w:spacing w:line="240" w:lineRule="auto"/>
      <w:ind w:left="100" w:leftChars="200" w:hanging="200" w:hangingChars="200"/>
    </w:pPr>
  </w:style>
  <w:style w:type="paragraph" w:styleId="17">
    <w:name w:val="List Bullet 2"/>
    <w:basedOn w:val="1"/>
    <w:next w:val="13"/>
    <w:unhideWhenUsed/>
    <w:qFormat/>
    <w:uiPriority w:val="0"/>
    <w:pPr>
      <w:tabs>
        <w:tab w:val="left" w:pos="360"/>
        <w:tab w:val="left" w:pos="780"/>
      </w:tabs>
      <w:spacing w:after="100" w:afterAutospacing="1" w:line="240" w:lineRule="auto"/>
      <w:ind w:left="360" w:hanging="36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161"/>
    <w:unhideWhenUsed/>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27"/>
    <w:unhideWhenUsed/>
    <w:qFormat/>
    <w:uiPriority w:val="0"/>
    <w:pPr>
      <w:spacing w:line="240" w:lineRule="auto"/>
      <w:ind w:left="100" w:leftChars="2500" w:firstLine="0" w:firstLineChars="0"/>
    </w:pPr>
    <w:rPr>
      <w:color w:val="000000"/>
    </w:rPr>
  </w:style>
  <w:style w:type="paragraph" w:styleId="23">
    <w:name w:val="Body Text Indent 2"/>
    <w:basedOn w:val="1"/>
    <w:link w:val="164"/>
    <w:unhideWhenUsed/>
    <w:qFormat/>
    <w:uiPriority w:val="0"/>
    <w:pPr>
      <w:widowControl/>
      <w:spacing w:line="480" w:lineRule="atLeast"/>
      <w:ind w:firstLine="480" w:firstLineChars="0"/>
    </w:pPr>
    <w:rPr>
      <w:kern w:val="0"/>
      <w:szCs w:val="20"/>
    </w:rPr>
  </w:style>
  <w:style w:type="paragraph" w:styleId="24">
    <w:name w:val="Balloon Text"/>
    <w:basedOn w:val="1"/>
    <w:link w:val="121"/>
    <w:unhideWhenUsed/>
    <w:qFormat/>
    <w:uiPriority w:val="0"/>
    <w:rPr>
      <w:kern w:val="0"/>
      <w:sz w:val="18"/>
      <w:szCs w:val="18"/>
    </w:rPr>
  </w:style>
  <w:style w:type="paragraph" w:styleId="25">
    <w:name w:val="footer"/>
    <w:basedOn w:val="1"/>
    <w:link w:val="174"/>
    <w:unhideWhenUsed/>
    <w:qFormat/>
    <w:uiPriority w:val="99"/>
    <w:pPr>
      <w:tabs>
        <w:tab w:val="center" w:pos="4153"/>
        <w:tab w:val="right" w:pos="8306"/>
      </w:tabs>
      <w:snapToGrid w:val="0"/>
      <w:jc w:val="left"/>
    </w:pPr>
    <w:rPr>
      <w:kern w:val="0"/>
      <w:sz w:val="18"/>
      <w:szCs w:val="18"/>
    </w:rPr>
  </w:style>
  <w:style w:type="paragraph" w:styleId="26">
    <w:name w:val="header"/>
    <w:basedOn w:val="1"/>
    <w:link w:val="1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133"/>
    <w:unhideWhenUsed/>
    <w:qFormat/>
    <w:uiPriority w:val="0"/>
    <w:pPr>
      <w:autoSpaceDE w:val="0"/>
      <w:autoSpaceDN w:val="0"/>
      <w:spacing w:line="400" w:lineRule="atLeast"/>
      <w:ind w:firstLine="443"/>
    </w:pPr>
    <w:rPr>
      <w:rFonts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150"/>
    <w:unhideWhenUsed/>
    <w:qFormat/>
    <w:uiPriority w:val="0"/>
    <w:pPr>
      <w:spacing w:line="240" w:lineRule="auto"/>
      <w:ind w:firstLine="0" w:firstLineChars="0"/>
    </w:pPr>
    <w:rPr>
      <w:b/>
      <w:bCs/>
      <w:color w:val="000000"/>
      <w:sz w:val="28"/>
    </w:rPr>
  </w:style>
  <w:style w:type="paragraph" w:styleId="35">
    <w:name w:val="HTML Preformatted"/>
    <w:basedOn w:val="1"/>
    <w:link w:val="11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7">
    <w:name w:val="Title"/>
    <w:basedOn w:val="1"/>
    <w:link w:val="168"/>
    <w:qFormat/>
    <w:uiPriority w:val="0"/>
    <w:pPr>
      <w:spacing w:line="240" w:lineRule="auto"/>
      <w:ind w:firstLine="0" w:firstLineChars="0"/>
      <w:jc w:val="center"/>
    </w:pPr>
    <w:rPr>
      <w:sz w:val="30"/>
    </w:rPr>
  </w:style>
  <w:style w:type="paragraph" w:styleId="38">
    <w:name w:val="annotation subject"/>
    <w:basedOn w:val="11"/>
    <w:next w:val="11"/>
    <w:link w:val="120"/>
    <w:unhideWhenUsed/>
    <w:qFormat/>
    <w:uiPriority w:val="0"/>
    <w:rPr>
      <w:b/>
      <w:bCs/>
    </w:rPr>
  </w:style>
  <w:style w:type="paragraph" w:styleId="39">
    <w:name w:val="Body Text First Indent"/>
    <w:basedOn w:val="14"/>
    <w:link w:val="167"/>
    <w:unhideWhenUsed/>
    <w:qFormat/>
    <w:uiPriority w:val="0"/>
    <w:pPr>
      <w:adjustRightInd/>
      <w:spacing w:after="120" w:line="240" w:lineRule="auto"/>
      <w:ind w:firstLine="420" w:firstLineChars="100"/>
      <w:jc w:val="both"/>
    </w:pPr>
    <w:rPr>
      <w:rFonts w:ascii="Times New Roman"/>
      <w:kern w:val="2"/>
      <w:sz w:val="21"/>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3">
    <w:name w:val="Strong"/>
    <w:qFormat/>
    <w:uiPriority w:val="22"/>
    <w:rPr>
      <w:b/>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Emphasis"/>
    <w:qFormat/>
    <w:uiPriority w:val="20"/>
    <w:rPr>
      <w:i/>
      <w:iCs/>
    </w:rPr>
  </w:style>
  <w:style w:type="character" w:styleId="47">
    <w:name w:val="Hyperlink"/>
    <w:unhideWhenUsed/>
    <w:qFormat/>
    <w:uiPriority w:val="99"/>
    <w:rPr>
      <w:color w:val="0000FF"/>
      <w:u w:val="single"/>
    </w:rPr>
  </w:style>
  <w:style w:type="character" w:styleId="48">
    <w:name w:val="annotation reference"/>
    <w:unhideWhenUsed/>
    <w:qFormat/>
    <w:uiPriority w:val="0"/>
    <w:rPr>
      <w:sz w:val="21"/>
      <w:szCs w:val="21"/>
    </w:rPr>
  </w:style>
  <w:style w:type="paragraph" w:customStyle="1" w:styleId="4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50">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1">
    <w:name w:val="Char1"/>
    <w:basedOn w:val="1"/>
    <w:qFormat/>
    <w:uiPriority w:val="0"/>
    <w:rPr>
      <w:rFonts w:ascii="Tahoma" w:hAnsi="Tahoma"/>
      <w:szCs w:val="20"/>
    </w:rPr>
  </w:style>
  <w:style w:type="paragraph" w:customStyle="1" w:styleId="5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53">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4">
    <w:name w:val="Char2"/>
    <w:basedOn w:val="1"/>
    <w:qFormat/>
    <w:uiPriority w:val="0"/>
    <w:pPr>
      <w:spacing w:line="240" w:lineRule="auto"/>
      <w:ind w:firstLine="0" w:firstLineChars="0"/>
    </w:pPr>
    <w:rPr>
      <w:rFonts w:ascii="仿宋_GB2312" w:eastAsia="仿宋_GB2312"/>
      <w:b/>
      <w:sz w:val="32"/>
      <w:szCs w:val="32"/>
    </w:rPr>
  </w:style>
  <w:style w:type="paragraph" w:customStyle="1" w:styleId="55">
    <w:name w:val="af17cgridlangnp1033langf"/>
    <w:qFormat/>
    <w:uiPriority w:val="0"/>
    <w:pPr>
      <w:widowControl w:val="0"/>
      <w:autoSpaceDE w:val="0"/>
      <w:autoSpaceDN w:val="0"/>
      <w:adjustRightInd w:val="0"/>
      <w:spacing w:before="156" w:line="360" w:lineRule="atLeast"/>
      <w:ind w:left="567" w:firstLine="510"/>
      <w:jc w:val="both"/>
    </w:pPr>
    <w:rPr>
      <w:rFonts w:ascii="Calibri Light" w:hAnsi="Calibri Light" w:eastAsia="宋体" w:cs="Calibri Light"/>
      <w:lang w:val="en-US" w:eastAsia="zh-CN" w:bidi="ar-SA"/>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59">
    <w:name w:val="Char Char Char Char Char Char"/>
    <w:basedOn w:val="1"/>
    <w:qFormat/>
    <w:uiPriority w:val="0"/>
    <w:pPr>
      <w:spacing w:line="240" w:lineRule="auto"/>
    </w:pPr>
    <w:rPr>
      <w:rFonts w:ascii="Tahoma" w:hAnsi="Tahoma"/>
      <w:szCs w:val="20"/>
    </w:rPr>
  </w:style>
  <w:style w:type="paragraph" w:customStyle="1" w:styleId="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6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62">
    <w:name w:val="p0"/>
    <w:basedOn w:val="1"/>
    <w:qFormat/>
    <w:uiPriority w:val="0"/>
    <w:pPr>
      <w:widowControl/>
      <w:spacing w:line="240" w:lineRule="auto"/>
      <w:ind w:firstLine="0" w:firstLineChars="0"/>
    </w:pPr>
    <w:rPr>
      <w:kern w:val="0"/>
      <w:szCs w:val="21"/>
    </w:rPr>
  </w:style>
  <w:style w:type="paragraph" w:customStyle="1" w:styleId="63">
    <w:name w:val="列出段落1"/>
    <w:basedOn w:val="1"/>
    <w:qFormat/>
    <w:uiPriority w:val="0"/>
    <w:pPr>
      <w:ind w:firstLine="420"/>
    </w:pPr>
    <w:rPr>
      <w:rFonts w:ascii="Times New Roman" w:hAnsi="Times New Roman"/>
    </w:rPr>
  </w:style>
  <w:style w:type="paragraph" w:customStyle="1" w:styleId="64">
    <w:name w:val="Char Char Char Char Char Char Char Char"/>
    <w:basedOn w:val="1"/>
    <w:qFormat/>
    <w:uiPriority w:val="0"/>
    <w:pPr>
      <w:tabs>
        <w:tab w:val="left" w:pos="360"/>
      </w:tabs>
      <w:spacing w:line="240" w:lineRule="auto"/>
      <w:ind w:firstLine="0" w:firstLineChars="0"/>
    </w:pPr>
    <w:rPr>
      <w:szCs w:val="20"/>
    </w:rPr>
  </w:style>
  <w:style w:type="paragraph" w:customStyle="1" w:styleId="65">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68">
    <w:name w:val="小标题2"/>
    <w:basedOn w:val="1"/>
    <w:next w:val="1"/>
    <w:qFormat/>
    <w:uiPriority w:val="0"/>
    <w:pPr>
      <w:spacing w:beforeLines="20" w:afterLines="20" w:line="400" w:lineRule="exact"/>
    </w:pPr>
    <w:rPr>
      <w:rFonts w:eastAsia="楷体_GB2312"/>
    </w:rPr>
  </w:style>
  <w:style w:type="paragraph" w:customStyle="1" w:styleId="69">
    <w:name w:val="标题3"/>
    <w:basedOn w:val="6"/>
    <w:qFormat/>
    <w:uiPriority w:val="0"/>
    <w:pPr>
      <w:spacing w:before="260" w:after="260" w:line="415" w:lineRule="auto"/>
    </w:pPr>
    <w:rPr>
      <w:sz w:val="28"/>
      <w:szCs w:val="28"/>
    </w:rPr>
  </w:style>
  <w:style w:type="paragraph" w:customStyle="1" w:styleId="70">
    <w:name w:val="List Paragraph1"/>
    <w:basedOn w:val="1"/>
    <w:qFormat/>
    <w:uiPriority w:val="0"/>
    <w:pPr>
      <w:spacing w:line="240" w:lineRule="auto"/>
      <w:ind w:firstLine="420"/>
    </w:pPr>
  </w:style>
  <w:style w:type="paragraph" w:customStyle="1" w:styleId="71">
    <w:name w:val="Proposals body"/>
    <w:basedOn w:val="1"/>
    <w:next w:val="1"/>
    <w:qFormat/>
    <w:uiPriority w:val="0"/>
    <w:pPr>
      <w:widowControl/>
      <w:snapToGrid w:val="0"/>
      <w:ind w:firstLine="0" w:firstLineChars="0"/>
      <w:jc w:val="left"/>
    </w:pPr>
    <w:rPr>
      <w:color w:val="000000"/>
      <w:kern w:val="0"/>
      <w:szCs w:val="20"/>
    </w:rPr>
  </w:style>
  <w:style w:type="paragraph" w:customStyle="1" w:styleId="72">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73">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74">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75">
    <w:name w:val="head 1.1"/>
    <w:basedOn w:val="76"/>
    <w:qFormat/>
    <w:uiPriority w:val="0"/>
    <w:pPr>
      <w:spacing w:before="260" w:after="260" w:line="240" w:lineRule="auto"/>
      <w:ind w:left="840" w:firstLine="0" w:firstLineChars="0"/>
    </w:pPr>
    <w:rPr>
      <w:bCs/>
      <w:szCs w:val="22"/>
    </w:rPr>
  </w:style>
  <w:style w:type="paragraph" w:styleId="76">
    <w:name w:val="List Paragraph"/>
    <w:basedOn w:val="1"/>
    <w:qFormat/>
    <w:uiPriority w:val="0"/>
    <w:pPr>
      <w:ind w:firstLine="420"/>
    </w:pPr>
  </w:style>
  <w:style w:type="paragraph" w:customStyle="1" w:styleId="7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78">
    <w:name w:val="_Style 76"/>
    <w:basedOn w:val="5"/>
    <w:next w:val="1"/>
    <w:qFormat/>
    <w:uiPriority w:val="39"/>
    <w:pPr>
      <w:widowControl/>
      <w:spacing w:line="240" w:lineRule="auto"/>
      <w:outlineLvl w:val="9"/>
    </w:pPr>
    <w:rPr>
      <w:kern w:val="0"/>
      <w:sz w:val="21"/>
      <w:szCs w:val="28"/>
    </w:rPr>
  </w:style>
  <w:style w:type="paragraph" w:customStyle="1" w:styleId="79">
    <w:name w:val="_Style 54"/>
    <w:basedOn w:val="1"/>
    <w:qFormat/>
    <w:uiPriority w:val="0"/>
    <w:pPr>
      <w:spacing w:line="240" w:lineRule="auto"/>
      <w:ind w:firstLine="0" w:firstLineChars="0"/>
    </w:pPr>
  </w:style>
  <w:style w:type="paragraph" w:customStyle="1" w:styleId="80">
    <w:name w:val="Char"/>
    <w:basedOn w:val="1"/>
    <w:qFormat/>
    <w:uiPriority w:val="0"/>
    <w:pPr>
      <w:spacing w:line="240" w:lineRule="auto"/>
      <w:ind w:firstLine="0" w:firstLineChars="0"/>
    </w:pPr>
    <w:rPr>
      <w:rFonts w:ascii="仿宋_GB2312" w:eastAsia="仿宋_GB2312"/>
      <w:b/>
      <w:sz w:val="32"/>
      <w:szCs w:val="32"/>
    </w:rPr>
  </w:style>
  <w:style w:type="paragraph" w:customStyle="1" w:styleId="81">
    <w:name w:val="正文缩进1"/>
    <w:basedOn w:val="1"/>
    <w:next w:val="15"/>
    <w:qFormat/>
    <w:uiPriority w:val="0"/>
    <w:pPr>
      <w:autoSpaceDE w:val="0"/>
      <w:autoSpaceDN w:val="0"/>
      <w:adjustRightInd w:val="0"/>
      <w:snapToGrid w:val="0"/>
      <w:spacing w:after="120"/>
      <w:ind w:left="420" w:firstLine="480" w:firstLineChars="0"/>
    </w:pPr>
    <w:rPr>
      <w:szCs w:val="20"/>
    </w:rPr>
  </w:style>
  <w:style w:type="paragraph" w:customStyle="1" w:styleId="8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86">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88">
    <w:name w:val="1"/>
    <w:basedOn w:val="1"/>
    <w:next w:val="36"/>
    <w:qFormat/>
    <w:uiPriority w:val="0"/>
    <w:pPr>
      <w:widowControl/>
      <w:spacing w:before="100" w:beforeAutospacing="1" w:after="100" w:afterAutospacing="1" w:line="240" w:lineRule="auto"/>
      <w:ind w:firstLine="0" w:firstLineChars="0"/>
      <w:jc w:val="left"/>
    </w:pPr>
    <w:rPr>
      <w:kern w:val="0"/>
    </w:rPr>
  </w:style>
  <w:style w:type="paragraph" w:customStyle="1" w:styleId="89">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9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92">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93">
    <w:name w:val="font8"/>
    <w:basedOn w:val="1"/>
    <w:qFormat/>
    <w:uiPriority w:val="0"/>
    <w:pPr>
      <w:widowControl/>
      <w:spacing w:before="100" w:beforeAutospacing="1" w:after="100" w:afterAutospacing="1" w:line="240" w:lineRule="auto"/>
      <w:ind w:firstLine="0" w:firstLineChars="0"/>
      <w:jc w:val="left"/>
    </w:pPr>
    <w:rPr>
      <w:rFonts w:ascii="Calibri" w:hAnsi="Calibri" w:cs="宋体"/>
      <w:color w:val="000000"/>
      <w:kern w:val="0"/>
      <w:sz w:val="18"/>
      <w:szCs w:val="18"/>
    </w:rPr>
  </w:style>
  <w:style w:type="paragraph" w:customStyle="1" w:styleId="94">
    <w:name w:val="Char Char Char"/>
    <w:basedOn w:val="1"/>
    <w:qFormat/>
    <w:uiPriority w:val="0"/>
    <w:pPr>
      <w:spacing w:line="240" w:lineRule="auto"/>
      <w:ind w:firstLine="0" w:firstLineChars="0"/>
    </w:pPr>
    <w:rPr>
      <w:rFonts w:ascii="Tahoma" w:hAnsi="Tahoma"/>
      <w:szCs w:val="20"/>
    </w:rPr>
  </w:style>
  <w:style w:type="paragraph" w:customStyle="1" w:styleId="95">
    <w:name w:val="样式1"/>
    <w:basedOn w:val="1"/>
    <w:qFormat/>
    <w:uiPriority w:val="0"/>
    <w:pPr>
      <w:spacing w:line="360" w:lineRule="exact"/>
    </w:pPr>
    <w:rPr>
      <w:rFonts w:ascii="Arial" w:hAnsi="Arial"/>
      <w:sz w:val="21"/>
    </w:rPr>
  </w:style>
  <w:style w:type="paragraph" w:customStyle="1" w:styleId="96">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97">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8">
    <w:name w:val="默认段落字体 Para Char"/>
    <w:basedOn w:val="1"/>
    <w:qFormat/>
    <w:uiPriority w:val="0"/>
    <w:pPr>
      <w:spacing w:line="240" w:lineRule="auto"/>
      <w:ind w:firstLine="0" w:firstLineChars="0"/>
    </w:pPr>
  </w:style>
  <w:style w:type="paragraph" w:customStyle="1" w:styleId="9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01">
    <w:name w:val="正文格式"/>
    <w:basedOn w:val="1"/>
    <w:qFormat/>
    <w:uiPriority w:val="0"/>
    <w:pPr>
      <w:widowControl/>
      <w:adjustRightInd w:val="0"/>
      <w:snapToGrid w:val="0"/>
      <w:ind w:firstLine="482" w:firstLineChars="0"/>
    </w:pPr>
    <w:rPr>
      <w:kern w:val="0"/>
      <w:szCs w:val="20"/>
    </w:rPr>
  </w:style>
  <w:style w:type="paragraph" w:customStyle="1" w:styleId="102">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3">
    <w:name w:val="_Style 40"/>
    <w:basedOn w:val="1"/>
    <w:qFormat/>
    <w:uiPriority w:val="0"/>
    <w:pPr>
      <w:spacing w:line="240" w:lineRule="auto"/>
      <w:ind w:firstLine="0" w:firstLineChars="0"/>
    </w:pPr>
  </w:style>
  <w:style w:type="paragraph" w:customStyle="1" w:styleId="104">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05">
    <w:name w:val="默认段落字体 Para Char Char Char Char Char Char Char Char Char1 Char Char Char Char"/>
    <w:basedOn w:val="1"/>
    <w:qFormat/>
    <w:uiPriority w:val="0"/>
    <w:rPr>
      <w:rFonts w:ascii="Tahoma" w:hAnsi="Tahoma"/>
      <w:szCs w:val="20"/>
    </w:rPr>
  </w:style>
  <w:style w:type="paragraph" w:styleId="106">
    <w:name w:val="No Spacing"/>
    <w:link w:val="158"/>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0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0">
    <w:name w:val="Blockquote"/>
    <w:basedOn w:val="1"/>
    <w:qFormat/>
    <w:uiPriority w:val="0"/>
    <w:pPr>
      <w:autoSpaceDE w:val="0"/>
      <w:autoSpaceDN w:val="0"/>
      <w:adjustRightInd w:val="0"/>
      <w:spacing w:before="100" w:after="100"/>
      <w:ind w:left="360" w:right="360"/>
      <w:jc w:val="left"/>
    </w:pPr>
    <w:rPr>
      <w:kern w:val="0"/>
    </w:rPr>
  </w:style>
  <w:style w:type="paragraph" w:customStyle="1" w:styleId="11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2">
    <w:name w:val="正文－恩普"/>
    <w:basedOn w:val="9"/>
    <w:qFormat/>
    <w:uiPriority w:val="0"/>
    <w:pPr>
      <w:widowControl/>
      <w:spacing w:afterLines="50" w:line="360" w:lineRule="auto"/>
      <w:ind w:firstLine="480" w:firstLineChars="200"/>
      <w:jc w:val="left"/>
    </w:pPr>
  </w:style>
  <w:style w:type="paragraph" w:customStyle="1" w:styleId="113">
    <w:name w:val="(aNormal) + 宋体"/>
    <w:basedOn w:val="1"/>
    <w:link w:val="154"/>
    <w:qFormat/>
    <w:uiPriority w:val="0"/>
    <w:pPr>
      <w:widowControl/>
      <w:spacing w:before="240" w:after="120" w:line="240" w:lineRule="auto"/>
      <w:ind w:firstLine="0" w:firstLineChars="0"/>
    </w:pPr>
    <w:rPr>
      <w:kern w:val="0"/>
      <w:sz w:val="20"/>
      <w:szCs w:val="20"/>
      <w:lang w:val="en-GB"/>
    </w:rPr>
  </w:style>
  <w:style w:type="paragraph" w:customStyle="1" w:styleId="114">
    <w:name w:val="head 1.1.1"/>
    <w:basedOn w:val="76"/>
    <w:qFormat/>
    <w:uiPriority w:val="0"/>
    <w:pPr>
      <w:spacing w:line="240" w:lineRule="auto"/>
      <w:ind w:left="1260" w:firstLine="0" w:firstLineChars="0"/>
    </w:pPr>
    <w:rPr>
      <w:rFonts w:ascii="Calibri" w:hAnsi="Calibri"/>
      <w:bCs/>
      <w:szCs w:val="22"/>
    </w:rPr>
  </w:style>
  <w:style w:type="paragraph" w:customStyle="1" w:styleId="115">
    <w:name w:val="p16"/>
    <w:basedOn w:val="1"/>
    <w:qFormat/>
    <w:uiPriority w:val="0"/>
    <w:pPr>
      <w:widowControl/>
      <w:spacing w:line="240" w:lineRule="auto"/>
      <w:ind w:left="420" w:hanging="420" w:firstLineChars="0"/>
    </w:pPr>
    <w:rPr>
      <w:kern w:val="0"/>
      <w:szCs w:val="21"/>
    </w:rPr>
  </w:style>
  <w:style w:type="character" w:customStyle="1" w:styleId="116">
    <w:name w:val="_Style 114"/>
    <w:qFormat/>
    <w:uiPriority w:val="0"/>
    <w:rPr>
      <w:i/>
      <w:iCs/>
      <w:color w:val="808080"/>
    </w:rPr>
  </w:style>
  <w:style w:type="character" w:customStyle="1" w:styleId="117">
    <w:name w:val="HTML 预设格式 Char"/>
    <w:link w:val="35"/>
    <w:semiHidden/>
    <w:qFormat/>
    <w:uiPriority w:val="0"/>
    <w:rPr>
      <w:rFonts w:ascii="Arial Unicode MS" w:hAnsi="Arial Unicode MS" w:eastAsia="Arial Unicode MS" w:cs="Arial Unicode MS"/>
    </w:rPr>
  </w:style>
  <w:style w:type="character" w:customStyle="1" w:styleId="118">
    <w:name w:val="l17"/>
    <w:basedOn w:val="42"/>
    <w:qFormat/>
    <w:uiPriority w:val="0"/>
  </w:style>
  <w:style w:type="character" w:customStyle="1" w:styleId="119">
    <w:name w:val="页眉 Char"/>
    <w:link w:val="26"/>
    <w:qFormat/>
    <w:uiPriority w:val="99"/>
    <w:rPr>
      <w:sz w:val="18"/>
      <w:szCs w:val="18"/>
    </w:rPr>
  </w:style>
  <w:style w:type="character" w:customStyle="1" w:styleId="120">
    <w:name w:val="批注主题 Char"/>
    <w:link w:val="38"/>
    <w:semiHidden/>
    <w:qFormat/>
    <w:uiPriority w:val="0"/>
    <w:rPr>
      <w:rFonts w:ascii="Times New Roman" w:hAnsi="Times New Roman"/>
      <w:b/>
      <w:bCs/>
      <w:kern w:val="2"/>
      <w:sz w:val="21"/>
      <w:szCs w:val="24"/>
    </w:rPr>
  </w:style>
  <w:style w:type="character" w:customStyle="1" w:styleId="121">
    <w:name w:val="批注框文本 Char"/>
    <w:link w:val="24"/>
    <w:semiHidden/>
    <w:qFormat/>
    <w:uiPriority w:val="0"/>
    <w:rPr>
      <w:rFonts w:ascii="Times New Roman" w:hAnsi="Times New Roman" w:eastAsia="宋体" w:cs="Times New Roman"/>
      <w:sz w:val="18"/>
      <w:szCs w:val="18"/>
    </w:rPr>
  </w:style>
  <w:style w:type="character" w:customStyle="1" w:styleId="122">
    <w:name w:val="Char Char3"/>
    <w:qFormat/>
    <w:uiPriority w:val="0"/>
    <w:rPr>
      <w:rFonts w:hint="eastAsia" w:ascii="宋体" w:hAnsi="Courier New" w:eastAsia="宋体"/>
      <w:kern w:val="2"/>
      <w:sz w:val="21"/>
      <w:lang w:val="en-US" w:eastAsia="zh-CN" w:bidi="ar-SA"/>
    </w:rPr>
  </w:style>
  <w:style w:type="character" w:customStyle="1" w:styleId="123">
    <w:name w:val="标题 Char"/>
    <w:qFormat/>
    <w:uiPriority w:val="0"/>
    <w:rPr>
      <w:rFonts w:ascii="Cambria" w:hAnsi="Cambria" w:cs="Times New Roman"/>
      <w:b/>
      <w:bCs/>
      <w:kern w:val="2"/>
      <w:sz w:val="32"/>
      <w:szCs w:val="32"/>
    </w:rPr>
  </w:style>
  <w:style w:type="character" w:customStyle="1" w:styleId="124">
    <w:name w:val="Char Char"/>
    <w:qFormat/>
    <w:uiPriority w:val="0"/>
    <w:rPr>
      <w:rFonts w:hint="eastAsia" w:ascii="宋体" w:hAnsi="Courier New" w:eastAsia="宋体"/>
      <w:kern w:val="2"/>
      <w:sz w:val="21"/>
      <w:lang w:val="en-US" w:eastAsia="zh-CN" w:bidi="ar-SA"/>
    </w:rPr>
  </w:style>
  <w:style w:type="character" w:customStyle="1" w:styleId="125">
    <w:name w:val="标题 2 Char"/>
    <w:link w:val="5"/>
    <w:qFormat/>
    <w:uiPriority w:val="0"/>
    <w:rPr>
      <w:rFonts w:ascii="Cambria" w:hAnsi="Cambria" w:eastAsia="宋体"/>
      <w:b/>
      <w:bCs/>
      <w:kern w:val="2"/>
      <w:sz w:val="28"/>
      <w:szCs w:val="32"/>
    </w:rPr>
  </w:style>
  <w:style w:type="character" w:customStyle="1" w:styleId="126">
    <w:name w:val="font141"/>
    <w:qFormat/>
    <w:uiPriority w:val="0"/>
    <w:rPr>
      <w:rFonts w:hint="default" w:ascii="Times New Roman" w:hAnsi="Times New Roman" w:cs="Times New Roman"/>
      <w:color w:val="000000"/>
      <w:sz w:val="20"/>
      <w:szCs w:val="20"/>
      <w:u w:val="none"/>
    </w:rPr>
  </w:style>
  <w:style w:type="character" w:customStyle="1" w:styleId="127">
    <w:name w:val="日期 Char"/>
    <w:link w:val="22"/>
    <w:semiHidden/>
    <w:qFormat/>
    <w:uiPriority w:val="0"/>
    <w:rPr>
      <w:rFonts w:ascii="Times New Roman" w:hAnsi="Times New Roman"/>
      <w:color w:val="000000"/>
      <w:kern w:val="2"/>
      <w:sz w:val="24"/>
      <w:szCs w:val="24"/>
    </w:rPr>
  </w:style>
  <w:style w:type="character" w:customStyle="1" w:styleId="128">
    <w:name w:val="style1"/>
    <w:basedOn w:val="42"/>
    <w:qFormat/>
    <w:uiPriority w:val="0"/>
  </w:style>
  <w:style w:type="character" w:customStyle="1" w:styleId="129">
    <w:name w:val="font21"/>
    <w:basedOn w:val="42"/>
    <w:qFormat/>
    <w:uiPriority w:val="0"/>
    <w:rPr>
      <w:rFonts w:hint="eastAsia" w:ascii="宋体" w:hAnsi="宋体" w:eastAsia="宋体" w:cs="宋体"/>
      <w:color w:val="000000"/>
      <w:sz w:val="20"/>
      <w:szCs w:val="20"/>
      <w:u w:val="none"/>
    </w:rPr>
  </w:style>
  <w:style w:type="character" w:customStyle="1" w:styleId="130">
    <w:name w:val="font121"/>
    <w:qFormat/>
    <w:uiPriority w:val="0"/>
    <w:rPr>
      <w:rFonts w:hint="eastAsia" w:ascii="宋体" w:hAnsi="宋体" w:eastAsia="宋体" w:cs="宋体"/>
      <w:b/>
      <w:color w:val="000000"/>
      <w:sz w:val="20"/>
      <w:szCs w:val="20"/>
      <w:u w:val="none"/>
    </w:rPr>
  </w:style>
  <w:style w:type="character" w:customStyle="1" w:styleId="131">
    <w:name w:val="font71"/>
    <w:qFormat/>
    <w:uiPriority w:val="0"/>
    <w:rPr>
      <w:rFonts w:ascii="Arial" w:hAnsi="Arial" w:cs="Arial"/>
      <w:b/>
      <w:color w:val="333333"/>
      <w:sz w:val="20"/>
      <w:szCs w:val="20"/>
      <w:u w:val="none"/>
    </w:rPr>
  </w:style>
  <w:style w:type="character" w:customStyle="1" w:styleId="132">
    <w:name w:val="apple-converted-space"/>
    <w:basedOn w:val="42"/>
    <w:qFormat/>
    <w:uiPriority w:val="0"/>
  </w:style>
  <w:style w:type="character" w:customStyle="1" w:styleId="133">
    <w:name w:val="正文文本缩进 3 Char"/>
    <w:link w:val="31"/>
    <w:semiHidden/>
    <w:qFormat/>
    <w:uiPriority w:val="0"/>
    <w:rPr>
      <w:rFonts w:ascii="Times New Roman" w:hAnsi="Times New Roman" w:eastAsia="黑体"/>
      <w:color w:val="000000"/>
      <w:kern w:val="2"/>
      <w:sz w:val="24"/>
      <w:szCs w:val="24"/>
    </w:rPr>
  </w:style>
  <w:style w:type="character" w:customStyle="1" w:styleId="134">
    <w:name w:val="标题 1 Char"/>
    <w:link w:val="4"/>
    <w:qFormat/>
    <w:uiPriority w:val="0"/>
    <w:rPr>
      <w:rFonts w:ascii="宋体" w:hAnsi="宋体" w:eastAsia="宋体" w:cs="宋体"/>
      <w:b/>
      <w:bCs/>
      <w:kern w:val="44"/>
      <w:sz w:val="32"/>
      <w:szCs w:val="52"/>
    </w:rPr>
  </w:style>
  <w:style w:type="character" w:customStyle="1" w:styleId="135">
    <w:name w:val="批注文字 Char"/>
    <w:link w:val="11"/>
    <w:semiHidden/>
    <w:qFormat/>
    <w:uiPriority w:val="0"/>
    <w:rPr>
      <w:rFonts w:ascii="Times New Roman" w:hAnsi="Times New Roman"/>
      <w:kern w:val="2"/>
      <w:sz w:val="21"/>
      <w:szCs w:val="24"/>
    </w:rPr>
  </w:style>
  <w:style w:type="character" w:customStyle="1" w:styleId="136">
    <w:name w:val="s"/>
    <w:basedOn w:val="42"/>
    <w:qFormat/>
    <w:uiPriority w:val="0"/>
  </w:style>
  <w:style w:type="character" w:customStyle="1" w:styleId="137">
    <w:name w:val="纯文本 Char"/>
    <w:qFormat/>
    <w:uiPriority w:val="0"/>
    <w:rPr>
      <w:rFonts w:ascii="宋体" w:hAnsi="Courier New" w:cs="Courier New"/>
      <w:kern w:val="2"/>
      <w:sz w:val="21"/>
      <w:szCs w:val="21"/>
    </w:rPr>
  </w:style>
  <w:style w:type="character" w:customStyle="1" w:styleId="138">
    <w:name w:val="正文缩进 Char"/>
    <w:link w:val="9"/>
    <w:semiHidden/>
    <w:qFormat/>
    <w:locked/>
    <w:uiPriority w:val="0"/>
    <w:rPr>
      <w:kern w:val="2"/>
      <w:sz w:val="21"/>
      <w:szCs w:val="24"/>
    </w:rPr>
  </w:style>
  <w:style w:type="character" w:customStyle="1" w:styleId="139">
    <w:name w:val="无"/>
    <w:qFormat/>
    <w:uiPriority w:val="0"/>
  </w:style>
  <w:style w:type="character" w:customStyle="1" w:styleId="140">
    <w:name w:val="body001"/>
    <w:qFormat/>
    <w:uiPriority w:val="0"/>
    <w:rPr>
      <w:rFonts w:hint="default" w:ascii="ˎ̥" w:hAnsi="ˎ̥"/>
      <w:color w:val="333333"/>
      <w:sz w:val="18"/>
      <w:szCs w:val="18"/>
    </w:rPr>
  </w:style>
  <w:style w:type="character" w:customStyle="1" w:styleId="141">
    <w:name w:val="标题 4 Char"/>
    <w:link w:val="7"/>
    <w:qFormat/>
    <w:uiPriority w:val="9"/>
    <w:rPr>
      <w:rFonts w:ascii="宋体" w:hAnsi="宋体" w:eastAsia="宋体" w:cs="Times New Roman"/>
      <w:b/>
      <w:bCs/>
      <w:kern w:val="2"/>
      <w:sz w:val="24"/>
      <w:szCs w:val="28"/>
    </w:rPr>
  </w:style>
  <w:style w:type="character" w:customStyle="1" w:styleId="142">
    <w:name w:val="font151"/>
    <w:qFormat/>
    <w:uiPriority w:val="0"/>
    <w:rPr>
      <w:rFonts w:hint="eastAsia" w:ascii="宋体" w:hAnsi="宋体" w:eastAsia="宋体" w:cs="宋体"/>
      <w:b/>
      <w:color w:val="000000"/>
      <w:sz w:val="20"/>
      <w:szCs w:val="20"/>
      <w:u w:val="none"/>
    </w:rPr>
  </w:style>
  <w:style w:type="character" w:customStyle="1" w:styleId="143">
    <w:name w:val="font131"/>
    <w:qFormat/>
    <w:uiPriority w:val="0"/>
    <w:rPr>
      <w:rFonts w:hint="eastAsia" w:ascii="宋体" w:hAnsi="宋体" w:eastAsia="宋体" w:cs="宋体"/>
      <w:color w:val="000000"/>
      <w:sz w:val="18"/>
      <w:szCs w:val="18"/>
      <w:u w:val="none"/>
    </w:rPr>
  </w:style>
  <w:style w:type="character" w:customStyle="1" w:styleId="144">
    <w:name w:val="hei16b1"/>
    <w:qFormat/>
    <w:uiPriority w:val="0"/>
    <w:rPr>
      <w:rFonts w:hint="default" w:ascii="Arial" w:hAnsi="Arial" w:cs="Arial"/>
      <w:b/>
      <w:bCs/>
      <w:color w:val="000000"/>
      <w:sz w:val="24"/>
      <w:szCs w:val="24"/>
    </w:rPr>
  </w:style>
  <w:style w:type="character" w:customStyle="1" w:styleId="145">
    <w:name w:val="font171"/>
    <w:qFormat/>
    <w:uiPriority w:val="0"/>
    <w:rPr>
      <w:rFonts w:hint="eastAsia" w:ascii="宋体" w:hAnsi="宋体" w:eastAsia="宋体" w:cs="宋体"/>
      <w:color w:val="000000"/>
      <w:sz w:val="20"/>
      <w:szCs w:val="20"/>
      <w:u w:val="none"/>
    </w:rPr>
  </w:style>
  <w:style w:type="character" w:customStyle="1" w:styleId="146">
    <w:name w:val="font01"/>
    <w:qFormat/>
    <w:uiPriority w:val="0"/>
    <w:rPr>
      <w:rFonts w:hint="eastAsia" w:ascii="宋体" w:hAnsi="宋体" w:eastAsia="宋体" w:cs="宋体"/>
      <w:b/>
      <w:color w:val="333333"/>
      <w:sz w:val="20"/>
      <w:szCs w:val="20"/>
      <w:u w:val="none"/>
    </w:rPr>
  </w:style>
  <w:style w:type="character" w:customStyle="1" w:styleId="147">
    <w:name w:val="search_content1"/>
    <w:qFormat/>
    <w:uiPriority w:val="0"/>
    <w:rPr>
      <w:sz w:val="20"/>
      <w:szCs w:val="20"/>
    </w:rPr>
  </w:style>
  <w:style w:type="character" w:customStyle="1" w:styleId="148">
    <w:name w:val="style8"/>
    <w:basedOn w:val="42"/>
    <w:qFormat/>
    <w:uiPriority w:val="0"/>
  </w:style>
  <w:style w:type="character" w:customStyle="1" w:styleId="149">
    <w:name w:val="正文文本 Char"/>
    <w:link w:val="14"/>
    <w:semiHidden/>
    <w:qFormat/>
    <w:uiPriority w:val="0"/>
    <w:rPr>
      <w:rFonts w:ascii="仿宋_GB2312" w:hAnsi="Times New Roman" w:eastAsia="仿宋_GB2312"/>
      <w:sz w:val="28"/>
    </w:rPr>
  </w:style>
  <w:style w:type="character" w:customStyle="1" w:styleId="150">
    <w:name w:val="正文文本 2 Char"/>
    <w:link w:val="34"/>
    <w:semiHidden/>
    <w:qFormat/>
    <w:uiPriority w:val="0"/>
    <w:rPr>
      <w:rFonts w:ascii="Times New Roman" w:hAnsi="Times New Roman"/>
      <w:b/>
      <w:bCs/>
      <w:color w:val="000000"/>
      <w:kern w:val="2"/>
      <w:sz w:val="28"/>
      <w:szCs w:val="24"/>
    </w:rPr>
  </w:style>
  <w:style w:type="character" w:customStyle="1" w:styleId="151">
    <w:name w:val="huei12b1"/>
    <w:qFormat/>
    <w:uiPriority w:val="0"/>
    <w:rPr>
      <w:b/>
      <w:bCs/>
      <w:color w:val="333333"/>
      <w:sz w:val="20"/>
      <w:szCs w:val="20"/>
    </w:rPr>
  </w:style>
  <w:style w:type="character" w:customStyle="1" w:styleId="152">
    <w:name w:val="wz1"/>
    <w:basedOn w:val="42"/>
    <w:qFormat/>
    <w:uiPriority w:val="0"/>
  </w:style>
  <w:style w:type="character" w:customStyle="1" w:styleId="153">
    <w:name w:val="unnamed1"/>
    <w:basedOn w:val="42"/>
    <w:qFormat/>
    <w:uiPriority w:val="0"/>
  </w:style>
  <w:style w:type="character" w:customStyle="1" w:styleId="154">
    <w:name w:val="(aNormal) + 宋体 Char"/>
    <w:link w:val="113"/>
    <w:qFormat/>
    <w:locked/>
    <w:uiPriority w:val="0"/>
    <w:rPr>
      <w:rFonts w:ascii="宋体" w:hAnsi="宋体"/>
      <w:lang w:val="en-GB"/>
    </w:rPr>
  </w:style>
  <w:style w:type="character" w:customStyle="1" w:styleId="155">
    <w:name w:val="页脚 字符"/>
    <w:qFormat/>
    <w:uiPriority w:val="99"/>
    <w:rPr>
      <w:rFonts w:eastAsia="宋体"/>
      <w:kern w:val="2"/>
      <w:sz w:val="18"/>
      <w:lang w:val="en-US" w:eastAsia="zh-CN" w:bidi="ar-SA"/>
    </w:rPr>
  </w:style>
  <w:style w:type="character" w:customStyle="1" w:styleId="156">
    <w:name w:val="Char Char2"/>
    <w:qFormat/>
    <w:uiPriority w:val="0"/>
    <w:rPr>
      <w:rFonts w:hint="eastAsia" w:ascii="宋体" w:hAnsi="Courier New" w:eastAsia="宋体"/>
      <w:kern w:val="2"/>
      <w:sz w:val="21"/>
    </w:rPr>
  </w:style>
  <w:style w:type="character" w:customStyle="1" w:styleId="157">
    <w:name w:val="content"/>
    <w:basedOn w:val="42"/>
    <w:qFormat/>
    <w:uiPriority w:val="0"/>
  </w:style>
  <w:style w:type="character" w:customStyle="1" w:styleId="158">
    <w:name w:val="无间隔 Char"/>
    <w:link w:val="106"/>
    <w:qFormat/>
    <w:locked/>
    <w:uiPriority w:val="0"/>
    <w:rPr>
      <w:rFonts w:cs="Calibri"/>
      <w:kern w:val="2"/>
      <w:sz w:val="21"/>
      <w:szCs w:val="22"/>
      <w:lang w:val="en-US" w:eastAsia="zh-CN" w:bidi="ar-SA"/>
    </w:rPr>
  </w:style>
  <w:style w:type="character" w:customStyle="1" w:styleId="159">
    <w:name w:val="文档结构图 Char"/>
    <w:link w:val="10"/>
    <w:semiHidden/>
    <w:qFormat/>
    <w:uiPriority w:val="0"/>
    <w:rPr>
      <w:rFonts w:ascii="宋体" w:hAnsi="Times New Roman" w:eastAsia="宋体" w:cs="Times New Roman"/>
      <w:sz w:val="18"/>
      <w:szCs w:val="18"/>
    </w:rPr>
  </w:style>
  <w:style w:type="character" w:customStyle="1" w:styleId="160">
    <w:name w:val="button1"/>
    <w:qFormat/>
    <w:uiPriority w:val="0"/>
    <w:rPr>
      <w:rFonts w:hint="default" w:ascii="Verdana" w:hAnsi="Verdana"/>
      <w:b/>
      <w:bCs/>
      <w:sz w:val="20"/>
      <w:szCs w:val="20"/>
    </w:rPr>
  </w:style>
  <w:style w:type="character" w:customStyle="1" w:styleId="161">
    <w:name w:val="纯文本 Char1"/>
    <w:link w:val="20"/>
    <w:qFormat/>
    <w:locked/>
    <w:uiPriority w:val="0"/>
    <w:rPr>
      <w:rFonts w:ascii="宋体" w:hAnsi="Courier New"/>
      <w:kern w:val="2"/>
      <w:sz w:val="21"/>
    </w:rPr>
  </w:style>
  <w:style w:type="character" w:customStyle="1" w:styleId="162">
    <w:name w:val="unnamed51"/>
    <w:qFormat/>
    <w:uiPriority w:val="0"/>
    <w:rPr>
      <w:sz w:val="22"/>
      <w:szCs w:val="22"/>
    </w:rPr>
  </w:style>
  <w:style w:type="character" w:customStyle="1" w:styleId="163">
    <w:name w:val="纯文本 字符"/>
    <w:qFormat/>
    <w:uiPriority w:val="0"/>
    <w:rPr>
      <w:rFonts w:ascii="宋体" w:hAnsi="Courier New" w:eastAsia="宋体" w:cs="Courier New"/>
      <w:kern w:val="2"/>
      <w:sz w:val="21"/>
      <w:szCs w:val="21"/>
      <w:lang w:val="en-US" w:eastAsia="zh-CN" w:bidi="ar-SA"/>
    </w:rPr>
  </w:style>
  <w:style w:type="character" w:customStyle="1" w:styleId="164">
    <w:name w:val="正文文本缩进 2 Char"/>
    <w:link w:val="23"/>
    <w:semiHidden/>
    <w:qFormat/>
    <w:uiPriority w:val="0"/>
    <w:rPr>
      <w:rFonts w:ascii="宋体" w:hAnsi="Times New Roman"/>
      <w:sz w:val="24"/>
    </w:rPr>
  </w:style>
  <w:style w:type="character" w:customStyle="1" w:styleId="165">
    <w:name w:val="页眉 字符"/>
    <w:qFormat/>
    <w:locked/>
    <w:uiPriority w:val="0"/>
    <w:rPr>
      <w:rFonts w:eastAsia="宋体"/>
      <w:kern w:val="2"/>
      <w:sz w:val="18"/>
      <w:lang w:val="en-US" w:eastAsia="zh-CN" w:bidi="ar-SA"/>
    </w:rPr>
  </w:style>
  <w:style w:type="character" w:customStyle="1" w:styleId="166">
    <w:name w:val="font161"/>
    <w:qFormat/>
    <w:uiPriority w:val="0"/>
    <w:rPr>
      <w:rFonts w:hint="eastAsia" w:ascii="宋体" w:hAnsi="宋体" w:eastAsia="宋体" w:cs="宋体"/>
      <w:b/>
      <w:color w:val="000000"/>
      <w:sz w:val="18"/>
      <w:szCs w:val="18"/>
      <w:u w:val="none"/>
    </w:rPr>
  </w:style>
  <w:style w:type="character" w:customStyle="1" w:styleId="167">
    <w:name w:val="正文首行缩进 Char"/>
    <w:link w:val="39"/>
    <w:semiHidden/>
    <w:qFormat/>
    <w:uiPriority w:val="0"/>
    <w:rPr>
      <w:rFonts w:ascii="Times New Roman" w:hAnsi="Times New Roman" w:eastAsia="仿宋_GB2312"/>
      <w:kern w:val="2"/>
      <w:sz w:val="21"/>
      <w:szCs w:val="24"/>
    </w:rPr>
  </w:style>
  <w:style w:type="character" w:customStyle="1" w:styleId="168">
    <w:name w:val="标题 Char1"/>
    <w:link w:val="37"/>
    <w:qFormat/>
    <w:locked/>
    <w:uiPriority w:val="0"/>
    <w:rPr>
      <w:rFonts w:ascii="Times New Roman" w:hAnsi="Times New Roman"/>
      <w:kern w:val="2"/>
      <w:sz w:val="30"/>
      <w:szCs w:val="24"/>
    </w:rPr>
  </w:style>
  <w:style w:type="character" w:customStyle="1" w:styleId="169">
    <w:name w:val="正文文本 3 Char"/>
    <w:link w:val="12"/>
    <w:semiHidden/>
    <w:qFormat/>
    <w:uiPriority w:val="0"/>
    <w:rPr>
      <w:rFonts w:ascii="楷体_GB2312" w:hAnsi="Times New Roman" w:eastAsia="楷体_GB2312"/>
      <w:b/>
      <w:color w:val="000000"/>
      <w:kern w:val="2"/>
      <w:sz w:val="30"/>
      <w:szCs w:val="24"/>
    </w:rPr>
  </w:style>
  <w:style w:type="character" w:customStyle="1" w:styleId="170">
    <w:name w:val="正文文本缩进 Char"/>
    <w:link w:val="15"/>
    <w:semiHidden/>
    <w:qFormat/>
    <w:uiPriority w:val="0"/>
    <w:rPr>
      <w:rFonts w:ascii="宋体" w:hAnsi="Times New Roman"/>
      <w:sz w:val="24"/>
    </w:rPr>
  </w:style>
  <w:style w:type="character" w:customStyle="1" w:styleId="171">
    <w:name w:val="search_result_snap1"/>
    <w:qFormat/>
    <w:uiPriority w:val="0"/>
    <w:rPr>
      <w:sz w:val="21"/>
      <w:szCs w:val="21"/>
    </w:rPr>
  </w:style>
  <w:style w:type="character" w:customStyle="1" w:styleId="172">
    <w:name w:val="标题 3 Char"/>
    <w:link w:val="6"/>
    <w:qFormat/>
    <w:uiPriority w:val="0"/>
    <w:rPr>
      <w:rFonts w:ascii="宋体" w:hAnsi="宋体" w:eastAsia="宋体"/>
      <w:b/>
      <w:bCs/>
      <w:kern w:val="2"/>
      <w:sz w:val="24"/>
      <w:szCs w:val="32"/>
    </w:rPr>
  </w:style>
  <w:style w:type="character" w:customStyle="1" w:styleId="173">
    <w:name w:val="正文文本缩进 字符"/>
    <w:qFormat/>
    <w:uiPriority w:val="0"/>
    <w:rPr>
      <w:rFonts w:ascii="仿宋_GB2312" w:eastAsia="仿宋_GB2312"/>
      <w:kern w:val="2"/>
      <w:sz w:val="28"/>
      <w:lang w:val="en-US" w:eastAsia="zh-CN" w:bidi="ar-SA"/>
    </w:rPr>
  </w:style>
  <w:style w:type="character" w:customStyle="1" w:styleId="174">
    <w:name w:val="页脚 Char"/>
    <w:link w:val="25"/>
    <w:qFormat/>
    <w:uiPriority w:val="99"/>
    <w:rPr>
      <w:sz w:val="18"/>
      <w:szCs w:val="18"/>
    </w:rPr>
  </w:style>
  <w:style w:type="character" w:customStyle="1" w:styleId="175">
    <w:name w:val="font51"/>
    <w:basedOn w:val="42"/>
    <w:qFormat/>
    <w:uiPriority w:val="0"/>
    <w:rPr>
      <w:rFonts w:hint="eastAsia" w:ascii="宋体" w:hAnsi="宋体" w:eastAsia="宋体" w:cs="宋体"/>
      <w:color w:val="000000"/>
      <w:sz w:val="20"/>
      <w:szCs w:val="20"/>
      <w:u w:val="none"/>
    </w:rPr>
  </w:style>
  <w:style w:type="character" w:customStyle="1" w:styleId="176">
    <w:name w:val="font11"/>
    <w:basedOn w:val="42"/>
    <w:qFormat/>
    <w:uiPriority w:val="0"/>
    <w:rPr>
      <w:rFonts w:hint="eastAsia" w:ascii="宋体" w:hAnsi="宋体" w:eastAsia="宋体" w:cs="宋体"/>
      <w:color w:val="4472C4"/>
      <w:sz w:val="20"/>
      <w:szCs w:val="20"/>
      <w:u w:val="none"/>
    </w:rPr>
  </w:style>
  <w:style w:type="paragraph" w:customStyle="1" w:styleId="177">
    <w:name w:val="部分1"/>
    <w:basedOn w:val="1"/>
    <w:qFormat/>
    <w:uiPriority w:val="99"/>
    <w:pPr>
      <w:keepNext/>
      <w:pageBreakBefore/>
      <w:tabs>
        <w:tab w:val="left" w:pos="720"/>
      </w:tabs>
      <w:jc w:val="center"/>
      <w:outlineLvl w:val="0"/>
    </w:pPr>
    <w:rPr>
      <w:rFonts w:eastAsia="黑体"/>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60</Pages>
  <Words>4855</Words>
  <Characters>27677</Characters>
  <Lines>230</Lines>
  <Paragraphs>64</Paragraphs>
  <TotalTime>18</TotalTime>
  <ScaleCrop>false</ScaleCrop>
  <LinksUpToDate>false</LinksUpToDate>
  <CharactersWithSpaces>32468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2018-11-09T06:34:00Z</dcterms:created>
  <dc:creator>Administrator</dc:creator>
  <cp:lastModifiedBy>TZ</cp:lastModifiedBy>
  <cp:lastPrinted>2019-03-25T07:04:00Z</cp:lastPrinted>
  <dcterms:modified xsi:type="dcterms:W3CDTF">2019-06-14T09:19:29Z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