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项目名称：厨房设备更新</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确认书号：[2019]29169号、[2019]29170号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ZJWSBJ-JL-201916G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间：二〇一九年六月......................</w:t>
      </w: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29169号、[2019]29170号的批准，浙江五石工程咨询有限公司受中国计量大学委托，就</w:t>
      </w:r>
      <w:r>
        <w:rPr>
          <w:rFonts w:hint="eastAsia"/>
          <w:color w:val="auto"/>
          <w:highlight w:val="none"/>
          <w:u w:val="single"/>
        </w:rPr>
        <w:t>厨房设备更新</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29586"/>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ZJWSBJ-JL-201916G</w:t>
      </w:r>
    </w:p>
    <w:p>
      <w:pPr>
        <w:pStyle w:val="5"/>
        <w:rPr>
          <w:rFonts w:ascii="宋体" w:hAnsi="宋体" w:cs="宋体"/>
          <w:color w:val="auto"/>
          <w:sz w:val="24"/>
          <w:szCs w:val="24"/>
          <w:highlight w:val="none"/>
        </w:rPr>
      </w:pPr>
      <w:bookmarkStart w:id="5"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Fonts w:ascii="宋体" w:hAnsi="宋体" w:cs="宋体"/>
          <w:color w:val="auto"/>
          <w:sz w:val="24"/>
          <w:szCs w:val="24"/>
          <w:highlight w:val="none"/>
        </w:rPr>
      </w:pPr>
      <w:bookmarkStart w:id="6" w:name="_Toc5262"/>
      <w:r>
        <w:rPr>
          <w:rStyle w:val="42"/>
          <w:rFonts w:hint="eastAsia" w:ascii="宋体" w:hAnsi="宋体" w:cs="宋体"/>
          <w:b/>
          <w:color w:val="auto"/>
          <w:sz w:val="24"/>
          <w:szCs w:val="24"/>
          <w:highlight w:val="none"/>
        </w:rPr>
        <w:t>三、项目概况</w:t>
      </w:r>
      <w:bookmarkEnd w:id="6"/>
    </w:p>
    <w:tbl>
      <w:tblPr>
        <w:tblStyle w:val="39"/>
        <w:tblW w:w="9632" w:type="dxa"/>
        <w:tblInd w:w="0" w:type="dxa"/>
        <w:tblLayout w:type="fixed"/>
        <w:tblCellMar>
          <w:top w:w="15" w:type="dxa"/>
          <w:left w:w="15" w:type="dxa"/>
          <w:bottom w:w="15" w:type="dxa"/>
          <w:right w:w="15" w:type="dxa"/>
        </w:tblCellMar>
      </w:tblPr>
      <w:tblGrid>
        <w:gridCol w:w="679"/>
        <w:gridCol w:w="1695"/>
        <w:gridCol w:w="855"/>
        <w:gridCol w:w="825"/>
        <w:gridCol w:w="2310"/>
        <w:gridCol w:w="1155"/>
        <w:gridCol w:w="1215"/>
        <w:gridCol w:w="898"/>
      </w:tblGrid>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预算金额(元)</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最高限价（元）</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厨房设备更新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项</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半封闭绳式传送带、风柜</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具体详见项目需求说明</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334100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334100</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bookmarkStart w:id="7" w:name="_Toc24393"/>
      <w:r>
        <w:rPr>
          <w:rStyle w:val="42"/>
          <w:rFonts w:hint="eastAsia" w:ascii="宋体" w:hAnsi="宋体" w:cs="宋体"/>
          <w:b/>
          <w:color w:val="auto"/>
          <w:sz w:val="24"/>
          <w:szCs w:val="24"/>
          <w:highlight w:val="none"/>
        </w:rPr>
        <w:t>四、投标人资格要求:</w:t>
      </w:r>
      <w:bookmarkEnd w:id="7"/>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2019-06-1</w:t>
      </w:r>
      <w:r>
        <w:rPr>
          <w:rFonts w:hint="eastAsia" w:ascii="宋体" w:hAnsi="宋体" w:cs="宋体"/>
          <w:color w:val="auto"/>
          <w:highlight w:val="none"/>
          <w:lang w:val="en-US" w:eastAsia="zh-CN"/>
        </w:rPr>
        <w:t>3</w:t>
      </w:r>
      <w:r>
        <w:rPr>
          <w:rFonts w:hint="eastAsia" w:ascii="宋体" w:hAnsi="宋体" w:cs="宋体"/>
          <w:color w:val="auto"/>
          <w:highlight w:val="none"/>
        </w:rPr>
        <w:t>至2019-06-</w:t>
      </w:r>
      <w:r>
        <w:rPr>
          <w:rFonts w:hint="eastAsia" w:ascii="宋体" w:hAnsi="宋体" w:cs="宋体"/>
          <w:color w:val="auto"/>
          <w:highlight w:val="none"/>
          <w:lang w:val="en-US" w:eastAsia="zh-CN"/>
        </w:rPr>
        <w:t>20</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hint="eastAsia"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highlight w:val="none"/>
        </w:rPr>
      </w:pPr>
      <w:r>
        <w:rPr>
          <w:rStyle w:val="42"/>
          <w:rFonts w:hint="eastAsia" w:cs="宋体"/>
          <w:b w:val="0"/>
          <w:highlight w:val="none"/>
          <w:lang w:val="en-US" w:eastAsia="zh-CN"/>
        </w:rPr>
        <w:t>6）</w:t>
      </w:r>
      <w:r>
        <w:rPr>
          <w:rFonts w:hint="eastAsia" w:ascii="宋体" w:hAnsi="宋体" w:cs="宋体"/>
          <w:kern w:val="0"/>
          <w:sz w:val="24"/>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 xml:space="preserve">4.招标文件售价：每本300元（售后不退）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rPr>
      </w:pPr>
      <w:bookmarkStart w:id="8"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rPr>
        <w:t>投标截止时间、开标时间及地点</w:t>
      </w:r>
      <w:bookmarkEnd w:id="8"/>
    </w:p>
    <w:p>
      <w:pPr>
        <w:pStyle w:val="5"/>
        <w:ind w:firstLine="482" w:firstLineChars="200"/>
        <w:rPr>
          <w:rFonts w:ascii="宋体" w:hAnsi="宋体" w:cs="宋体"/>
          <w:b w:val="0"/>
          <w:bCs w:val="0"/>
          <w:color w:val="auto"/>
          <w:sz w:val="24"/>
          <w:szCs w:val="24"/>
          <w:highlight w:val="none"/>
        </w:rPr>
      </w:pPr>
      <w:bookmarkStart w:id="9" w:name="_Toc2231"/>
      <w:r>
        <w:rPr>
          <w:rStyle w:val="42"/>
          <w:rFonts w:hint="eastAsia" w:ascii="宋体" w:hAnsi="宋体" w:cs="宋体"/>
          <w:b/>
          <w:color w:val="auto"/>
          <w:sz w:val="24"/>
          <w:szCs w:val="24"/>
          <w:highlight w:val="none"/>
        </w:rPr>
        <w:t>1.投标截止时间：</w:t>
      </w:r>
      <w:r>
        <w:rPr>
          <w:rFonts w:hint="eastAsia" w:ascii="宋体" w:hAnsi="宋体" w:cs="宋体"/>
          <w:b w:val="0"/>
          <w:bCs w:val="0"/>
          <w:color w:val="auto"/>
          <w:sz w:val="24"/>
          <w:szCs w:val="24"/>
          <w:highlight w:val="none"/>
        </w:rPr>
        <w:t>2019-07-0</w:t>
      </w:r>
      <w:bookmarkEnd w:id="9"/>
      <w:r>
        <w:rPr>
          <w:rFonts w:hint="eastAsia" w:ascii="宋体" w:hAnsi="宋体" w:cs="宋体"/>
          <w:b w:val="0"/>
          <w:bCs w:val="0"/>
          <w:color w:val="auto"/>
          <w:sz w:val="24"/>
          <w:szCs w:val="24"/>
          <w:highlight w:val="none"/>
          <w:lang w:val="en-US" w:eastAsia="zh-CN"/>
        </w:rPr>
        <w:t>3  14</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rPr>
        <w:t>0:00</w:t>
      </w:r>
    </w:p>
    <w:p>
      <w:pPr>
        <w:pStyle w:val="5"/>
        <w:ind w:firstLine="482" w:firstLineChars="200"/>
        <w:rPr>
          <w:rStyle w:val="42"/>
          <w:rFonts w:ascii="宋体" w:hAnsi="宋体" w:cs="宋体"/>
          <w:b w:val="0"/>
          <w:bCs w:val="0"/>
          <w:color w:val="auto"/>
          <w:sz w:val="24"/>
          <w:szCs w:val="24"/>
          <w:highlight w:val="none"/>
        </w:rPr>
      </w:pPr>
      <w:bookmarkStart w:id="10" w:name="_Toc22852"/>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2019-07-0</w:t>
      </w:r>
      <w:bookmarkEnd w:id="10"/>
      <w:r>
        <w:rPr>
          <w:rStyle w:val="42"/>
          <w:rFonts w:hint="eastAsia" w:ascii="宋体" w:hAnsi="宋体" w:cs="宋体"/>
          <w:b w:val="0"/>
          <w:bCs w:val="0"/>
          <w:color w:val="auto"/>
          <w:sz w:val="24"/>
          <w:szCs w:val="24"/>
          <w:highlight w:val="none"/>
          <w:lang w:val="en-US" w:eastAsia="zh-CN"/>
        </w:rPr>
        <w:t>3  14</w:t>
      </w:r>
      <w:r>
        <w:rPr>
          <w:rStyle w:val="42"/>
          <w:rFonts w:hint="eastAsia" w:ascii="宋体" w:hAnsi="宋体" w:cs="宋体"/>
          <w:b w:val="0"/>
          <w:bCs w:val="0"/>
          <w:color w:val="auto"/>
          <w:sz w:val="24"/>
          <w:szCs w:val="24"/>
          <w:highlight w:val="none"/>
        </w:rPr>
        <w:t>:</w:t>
      </w:r>
      <w:r>
        <w:rPr>
          <w:rStyle w:val="42"/>
          <w:rFonts w:hint="eastAsia" w:ascii="宋体" w:hAnsi="宋体" w:cs="宋体"/>
          <w:b w:val="0"/>
          <w:bCs w:val="0"/>
          <w:color w:val="auto"/>
          <w:sz w:val="24"/>
          <w:szCs w:val="24"/>
          <w:highlight w:val="none"/>
          <w:lang w:val="en-US" w:eastAsia="zh-CN"/>
        </w:rPr>
        <w:t>0</w:t>
      </w:r>
      <w:r>
        <w:rPr>
          <w:rStyle w:val="42"/>
          <w:rFonts w:hint="eastAsia" w:ascii="宋体" w:hAnsi="宋体" w:cs="宋体"/>
          <w:b w:val="0"/>
          <w:bCs w:val="0"/>
          <w:color w:val="auto"/>
          <w:sz w:val="24"/>
          <w:szCs w:val="24"/>
          <w:highlight w:val="none"/>
        </w:rPr>
        <w:t>0:00</w:t>
      </w:r>
    </w:p>
    <w:p>
      <w:pPr>
        <w:pStyle w:val="5"/>
        <w:ind w:firstLine="482" w:firstLineChars="200"/>
        <w:rPr>
          <w:rStyle w:val="42"/>
          <w:rFonts w:ascii="宋体" w:hAnsi="宋体" w:cs="宋体"/>
          <w:b w:val="0"/>
          <w:bCs w:val="0"/>
          <w:color w:val="auto"/>
          <w:sz w:val="24"/>
          <w:szCs w:val="24"/>
          <w:highlight w:val="none"/>
        </w:rPr>
      </w:pPr>
      <w:bookmarkStart w:id="11" w:name="_Toc26036"/>
      <w:r>
        <w:rPr>
          <w:rStyle w:val="42"/>
          <w:rFonts w:hint="eastAsia" w:ascii="宋体" w:hAnsi="宋体" w:cs="宋体"/>
          <w:b/>
          <w:color w:val="auto"/>
          <w:sz w:val="24"/>
          <w:szCs w:val="24"/>
          <w:highlight w:val="none"/>
        </w:rPr>
        <w:t>3.开标地点：</w:t>
      </w:r>
      <w:bookmarkEnd w:id="11"/>
      <w:r>
        <w:rPr>
          <w:rStyle w:val="42"/>
          <w:rFonts w:hint="eastAsia" w:ascii="宋体" w:hAnsi="宋体" w:cs="宋体"/>
          <w:b w:val="0"/>
          <w:bCs w:val="0"/>
          <w:color w:val="auto"/>
          <w:sz w:val="24"/>
          <w:szCs w:val="24"/>
          <w:highlight w:val="none"/>
        </w:rPr>
        <w:t>中国计量大学明德北楼B305室</w:t>
      </w:r>
    </w:p>
    <w:p>
      <w:pPr>
        <w:pStyle w:val="5"/>
        <w:rPr>
          <w:rFonts w:ascii="宋体" w:hAnsi="宋体" w:cs="宋体"/>
          <w:color w:val="auto"/>
          <w:sz w:val="24"/>
          <w:szCs w:val="24"/>
          <w:highlight w:val="none"/>
        </w:rPr>
      </w:pPr>
      <w:bookmarkStart w:id="12" w:name="_Toc15758"/>
      <w:r>
        <w:rPr>
          <w:rStyle w:val="42"/>
          <w:rFonts w:hint="eastAsia" w:ascii="宋体" w:hAnsi="宋体" w:cs="宋体"/>
          <w:b/>
          <w:color w:val="auto"/>
          <w:sz w:val="24"/>
          <w:szCs w:val="24"/>
          <w:highlight w:val="none"/>
        </w:rPr>
        <w:t>八、投标保证金：无</w:t>
      </w:r>
      <w:bookmarkEnd w:id="12"/>
    </w:p>
    <w:p>
      <w:pPr>
        <w:pStyle w:val="5"/>
        <w:rPr>
          <w:rFonts w:ascii="宋体" w:hAnsi="宋体" w:cs="宋体"/>
          <w:color w:val="auto"/>
          <w:sz w:val="24"/>
          <w:szCs w:val="24"/>
          <w:highlight w:val="none"/>
        </w:rPr>
      </w:pPr>
      <w:bookmarkStart w:id="13" w:name="_Toc6191"/>
      <w:r>
        <w:rPr>
          <w:rStyle w:val="42"/>
          <w:rFonts w:hint="eastAsia" w:ascii="宋体" w:hAnsi="宋体" w:cs="宋体"/>
          <w:b/>
          <w:color w:val="auto"/>
          <w:sz w:val="24"/>
          <w:szCs w:val="24"/>
          <w:highlight w:val="none"/>
        </w:rPr>
        <w:t>九、其他事项：</w:t>
      </w:r>
      <w:bookmarkEnd w:id="1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14" w:name="_Toc5293"/>
      <w:r>
        <w:rPr>
          <w:rStyle w:val="42"/>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采购项目联系人：朱老师</w:t>
      </w:r>
    </w:p>
    <w:p>
      <w:pPr>
        <w:ind w:firstLine="480"/>
        <w:rPr>
          <w:rFonts w:ascii="宋体" w:hAnsi="宋体" w:cs="宋体"/>
          <w:color w:val="auto"/>
          <w:highlight w:val="none"/>
        </w:rPr>
      </w:pPr>
      <w:r>
        <w:rPr>
          <w:rFonts w:hint="eastAsia" w:ascii="宋体" w:hAnsi="宋体" w:cs="宋体"/>
          <w:color w:val="auto"/>
          <w:highlight w:val="none"/>
        </w:rPr>
        <w:t>联系电话：0571-86845007</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2019年6月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15" w:name="_Toc8514"/>
      <w:r>
        <w:rPr>
          <w:rFonts w:hint="eastAsia" w:cs="宋体"/>
          <w:color w:val="auto"/>
          <w:highlight w:val="none"/>
        </w:rPr>
        <w:t>第二章 项目需求说明</w:t>
      </w:r>
      <w:bookmarkEnd w:id="15"/>
    </w:p>
    <w:p>
      <w:pPr>
        <w:pStyle w:val="5"/>
        <w:rPr>
          <w:rFonts w:ascii="宋体" w:hAnsi="宋体" w:cs="宋体"/>
          <w:color w:val="auto"/>
          <w:sz w:val="24"/>
          <w:szCs w:val="40"/>
          <w:highlight w:val="none"/>
        </w:rPr>
      </w:pPr>
      <w:bookmarkStart w:id="16" w:name="_Toc18187"/>
      <w:bookmarkStart w:id="17" w:name="_Toc21112"/>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21"/>
        <w:gridCol w:w="70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821"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700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规格（型号）技术参数</w:t>
            </w:r>
          </w:p>
        </w:tc>
        <w:tc>
          <w:tcPr>
            <w:tcW w:w="876"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21"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半封闭绳式传送带</w:t>
            </w:r>
          </w:p>
        </w:tc>
        <w:tc>
          <w:tcPr>
            <w:tcW w:w="700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产品功能：通过圆带传送餐具，可与现餐厅洗碗机设备配套使用，高效省时省力。</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一、规格技术参数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1、设备规格:16800*480*950mm（两条） 。</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2、电源要求：220V/50Hz/1PH ，总功率不大于1KW。</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3.四条平行的圆带通过PP驱动轮带动平底托盘在不锈钢机架表面滑动，实现平底托盘直线、水平转弯以及爬坡传送，传送过程无噪音。</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4.整机采用304不锈钢材质，台面和支撑腿材料厚度≥1.5mm，主/副机头支架材料厚度≥3.0mm，配置高弹高韧耐磨加粗聚安酯圆带</w:t>
            </w:r>
            <w:r>
              <w:rPr>
                <w:rFonts w:hint="eastAsia" w:ascii="宋体" w:hAnsi="宋体" w:cs="宋体"/>
                <w:color w:val="auto"/>
                <w:sz w:val="21"/>
                <w:szCs w:val="21"/>
                <w:highlight w:val="none"/>
                <w:lang w:val="en-US" w:eastAsia="zh-CN"/>
              </w:rPr>
              <w:t>(投标单位需提供50</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长的圆带样品</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，圆带直径为≥18mm，抗扯力≥3000N，内嵌加强芯直径≥5mm，经久耐用。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5.内置传动电机和变频器(电机配置≥750W，变频器配置≥0.75KW )，具有无极变频调速，柔性启动功能，运行稳定可靠。</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6.传送速度为5～20米/分钟，可在速度范围内根据实际需要选择任意的传送速度，实时数显传送速度，外置调速电位器，操作简单。</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7.整体采用不锈钢一体冲压的托盘导向槽，内置抽屉式残渣篮，可直接用水冲洗台面，清洁方便。</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8.前端配置急停开关，末端配置电源控制箱，防水的操作面板上配置启动开、停止开关、清洗开关、急停开关和调速电位器。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9.需提供“防护等级不低于IP45的检测报告" ，制造商加盖公章。</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二、需配4组活动式调羹箱、筷子箱、分类垃圾回收箱。</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三、投标单位需提供传送带整体设计图纸并标注技术餐数。</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四、拆除旧设备，搬运到指定地点，安装新设备（该价包含拆除和安装的费用）</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推荐</w:t>
            </w:r>
            <w:r>
              <w:rPr>
                <w:rFonts w:hint="eastAsia" w:ascii="宋体" w:hAnsi="宋体" w:cs="宋体"/>
                <w:color w:val="auto"/>
                <w:sz w:val="21"/>
                <w:szCs w:val="21"/>
                <w:highlight w:val="none"/>
              </w:rPr>
              <w:t xml:space="preserve">品牌：上海新雷、中山迈科、温特豪德 </w:t>
            </w:r>
          </w:p>
        </w:tc>
        <w:tc>
          <w:tcPr>
            <w:tcW w:w="876"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21"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半封闭绳式传送带</w:t>
            </w:r>
          </w:p>
        </w:tc>
        <w:tc>
          <w:tcPr>
            <w:tcW w:w="700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产品功能：通过圆带传送餐具，可与现餐厅洗碗机设备配套使用，高效省时省力。</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一、规格技术参数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1、设备规格:8000*480*950mm（一条）  。</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2、电源要求：220V/50Hz/1PH ，总功率不大于1KW。</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3.四条平行的圆带通过PP驱动轮带动平底托盘在不锈钢机架表面滑动，实现平底托盘直线、水平转弯以及爬坡传送，传送过程无噪音。</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4.整机采用304不锈钢材质，台面和支撑腿材料厚度≥1.5mm，主/副机头支架材料厚度≥3.0mm，配置高弹高韧耐磨加粗聚安酯圆带</w:t>
            </w:r>
            <w:r>
              <w:rPr>
                <w:rFonts w:hint="eastAsia" w:ascii="宋体" w:hAnsi="宋体" w:cs="宋体"/>
                <w:color w:val="auto"/>
                <w:sz w:val="21"/>
                <w:szCs w:val="21"/>
                <w:highlight w:val="none"/>
                <w:lang w:val="en-US" w:eastAsia="zh-CN"/>
              </w:rPr>
              <w:t>(投标单位需提供50</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长的圆带样品</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，圆带直径为≥18mm，抗扯力≥3000N，内嵌加强芯直径≥5mm，经久耐用。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5.内置传动电机和变频器(电机配置≥750W，变频器配置≥0.75KW )，具有无极变频调速，柔性启动功能，运行稳定可靠。</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6.传送速度为5～20米/分钟，可在速度范围内根据实际需要选择任意的传送速度，实时数显传送速度，外置调速电位器，操作简单。</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7.整体采用不锈钢一体冲压的托盘导向槽，内置抽屉式残渣篮，可直接用水冲洗台面，清洁方便。</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8.前端配置急停开关，末端配置电源控制箱，防水的操作面板上配置启动开、停止开关、清洗开关、急停开关和调速电位器。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9.需提供“防护等级不低于IP45的检测报告" ，制造商加盖公章。</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二、需配4组活动式调羹箱、筷子箱、分类垃圾回收箱。</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三、投标单位需提供传送带整体设计图纸并标注技术餐数。</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四、拆除旧设备，搬运到指定地点，安装新设备（该价包含拆除和安装的费用）</w:t>
            </w:r>
          </w:p>
          <w:p>
            <w:pPr>
              <w:keepNext w:val="0"/>
              <w:keepLines w:val="0"/>
              <w:pageBreakBefore w:val="0"/>
              <w:widowControl w:val="0"/>
              <w:kinsoku/>
              <w:wordWrap/>
              <w:overflowPunct/>
              <w:topLinePunct w:val="0"/>
              <w:autoSpaceDE/>
              <w:autoSpaceDN/>
              <w:bidi w:val="0"/>
              <w:adjustRightInd/>
              <w:snapToGrid/>
              <w:spacing w:line="312" w:lineRule="auto"/>
              <w:ind w:left="36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品牌：上海新雷、中山迈科、温特豪德 。</w:t>
            </w:r>
          </w:p>
        </w:tc>
        <w:tc>
          <w:tcPr>
            <w:tcW w:w="876"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21"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风  柜</w:t>
            </w:r>
          </w:p>
        </w:tc>
        <w:tc>
          <w:tcPr>
            <w:tcW w:w="7004" w:type="dxa"/>
            <w:noWrap/>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一、基本配置要求：标准配置</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二、主要技术指标要求：</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1、结构紧凑美观。箱体采用优质不锈钢板制造，箱板为复式板结构，内层为消声材料，进一步降低了噪声。</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2、提供不同的进出口方向，以满足用户不同的安装需要。</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3、风机采用模具化生产，具有效率高，噪声低，风量大，运行平稳，质量稳定，经久耐用等特点。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4、技术参数需求：主轴转数：700-730；风量（m3/h）：25000-40500；全压（Pa）：845-950。功率：15KW/380V。含风柜配套支架，配减震垫。</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5、配套需求：</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,1)</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报价包含风柜配套不锈钢风管，约48㎡（以现场测量为准），δ=1.0mm，配A3钢法兰；</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,2)</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根据现场实际情况做好电机防水措施；</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6、参考尺寸：1165*1360*1165（mm）。</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●报价包含3台旧风柜及出风口配套不锈钢风管约48㎡拆除及搬运费、搬运至两公里以内的东校区地下室。</w:t>
            </w:r>
          </w:p>
        </w:tc>
        <w:tc>
          <w:tcPr>
            <w:tcW w:w="876" w:type="dxa"/>
            <w:noWrap/>
            <w:vAlign w:val="center"/>
          </w:tcPr>
          <w:p>
            <w:pPr>
              <w:keepNext w:val="0"/>
              <w:keepLines w:val="0"/>
              <w:pageBreakBefore w:val="0"/>
              <w:widowControl w:val="0"/>
              <w:kinsoku/>
              <w:wordWrap/>
              <w:overflowPunct/>
              <w:topLinePunct w:val="0"/>
              <w:autoSpaceDE/>
              <w:autoSpaceDN/>
              <w:bidi w:val="0"/>
              <w:adjustRightInd/>
              <w:snapToGrid/>
              <w:spacing w:beforeLines="50" w:afterLines="50" w:line="312"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r>
    </w:tbl>
    <w:p>
      <w:pPr>
        <w:pStyle w:val="9"/>
        <w:ind w:firstLine="0"/>
        <w:rPr>
          <w:rFonts w:ascii="Arial" w:hAnsi="宋体" w:cs="Arial"/>
          <w:color w:val="auto"/>
          <w:kern w:val="0"/>
          <w:szCs w:val="21"/>
          <w:highlight w:val="none"/>
        </w:rPr>
      </w:pPr>
    </w:p>
    <w:p>
      <w:pPr>
        <w:pStyle w:val="5"/>
        <w:rPr>
          <w:rFonts w:ascii="宋体" w:hAnsi="宋体" w:cs="宋体"/>
          <w:color w:val="auto"/>
          <w:sz w:val="24"/>
          <w:szCs w:val="40"/>
          <w:highlight w:val="none"/>
        </w:rPr>
      </w:pPr>
      <w:bookmarkStart w:id="19" w:name="_Toc6282"/>
      <w:bookmarkStart w:id="20" w:name="_Toc4822"/>
      <w:r>
        <w:rPr>
          <w:rFonts w:hint="eastAsia" w:ascii="宋体" w:hAnsi="宋体" w:cs="宋体"/>
          <w:color w:val="auto"/>
          <w:sz w:val="24"/>
          <w:szCs w:val="40"/>
          <w:highlight w:val="none"/>
        </w:rPr>
        <w:t>二、商务要求</w:t>
      </w:r>
    </w:p>
    <w:p>
      <w:pPr>
        <w:pStyle w:val="6"/>
        <w:rPr>
          <w:color w:val="auto"/>
          <w:highlight w:val="none"/>
        </w:rPr>
      </w:pPr>
      <w:r>
        <w:rPr>
          <w:rFonts w:hint="eastAsia"/>
          <w:color w:val="auto"/>
          <w:highlight w:val="none"/>
        </w:rPr>
        <w:t>（一）供货期</w:t>
      </w:r>
      <w:bookmarkEnd w:id="19"/>
      <w:bookmarkEnd w:id="20"/>
    </w:p>
    <w:p>
      <w:pPr>
        <w:ind w:firstLine="480"/>
        <w:rPr>
          <w:rFonts w:ascii="宋体" w:hAnsi="宋体" w:cs="宋体"/>
          <w:color w:val="auto"/>
          <w:szCs w:val="32"/>
          <w:highlight w:val="none"/>
        </w:rPr>
      </w:pPr>
      <w:bookmarkStart w:id="21" w:name="_Toc3146"/>
      <w:r>
        <w:rPr>
          <w:rFonts w:hint="eastAsia" w:ascii="宋体" w:hAnsi="宋体" w:cs="宋体"/>
          <w:color w:val="auto"/>
          <w:szCs w:val="32"/>
          <w:highlight w:val="none"/>
        </w:rPr>
        <w:t>合同签订之日起30个工作日天内完成供货、安装、调试工作。</w:t>
      </w:r>
    </w:p>
    <w:p>
      <w:pPr>
        <w:pStyle w:val="6"/>
        <w:rPr>
          <w:color w:val="auto"/>
          <w:highlight w:val="none"/>
        </w:rPr>
      </w:pPr>
      <w:bookmarkStart w:id="22" w:name="_Toc14429"/>
      <w:r>
        <w:rPr>
          <w:rFonts w:hint="eastAsia"/>
          <w:color w:val="auto"/>
          <w:highlight w:val="none"/>
        </w:rPr>
        <w:t>（二）质保期</w:t>
      </w:r>
      <w:bookmarkEnd w:id="21"/>
      <w:bookmarkEnd w:id="22"/>
    </w:p>
    <w:p>
      <w:pPr>
        <w:ind w:firstLine="480"/>
        <w:rPr>
          <w:rFonts w:ascii="宋体" w:hAnsi="宋体" w:cs="宋体"/>
          <w:color w:val="auto"/>
          <w:szCs w:val="32"/>
          <w:highlight w:val="none"/>
        </w:rPr>
      </w:pPr>
      <w:r>
        <w:rPr>
          <w:rFonts w:hint="eastAsia" w:ascii="宋体" w:hAnsi="宋体" w:cs="宋体"/>
          <w:bCs/>
          <w:color w:val="auto"/>
          <w:kern w:val="0"/>
          <w:szCs w:val="21"/>
          <w:highlight w:val="none"/>
        </w:rPr>
        <w:t>★</w:t>
      </w:r>
      <w:r>
        <w:rPr>
          <w:rFonts w:hint="eastAsia" w:ascii="宋体" w:hAnsi="宋体" w:cs="宋体"/>
          <w:color w:val="auto"/>
          <w:szCs w:val="32"/>
          <w:highlight w:val="none"/>
        </w:rPr>
        <w:t>验收合格第二个月开始算起，提供3年的质保期。</w:t>
      </w:r>
    </w:p>
    <w:p>
      <w:pPr>
        <w:pStyle w:val="6"/>
        <w:rPr>
          <w:color w:val="auto"/>
          <w:highlight w:val="none"/>
        </w:rPr>
      </w:pPr>
      <w:bookmarkStart w:id="23" w:name="_Toc22183"/>
      <w:bookmarkStart w:id="24" w:name="_Toc10286"/>
      <w:r>
        <w:rPr>
          <w:rFonts w:hint="eastAsia"/>
          <w:color w:val="auto"/>
          <w:highlight w:val="none"/>
        </w:rPr>
        <w:t>（三）保存和运输要求</w:t>
      </w:r>
      <w:bookmarkEnd w:id="23"/>
      <w:bookmarkEnd w:id="24"/>
    </w:p>
    <w:p>
      <w:pPr>
        <w:ind w:firstLine="48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6"/>
        <w:rPr>
          <w:color w:val="auto"/>
          <w:highlight w:val="none"/>
        </w:rPr>
      </w:pPr>
      <w:bookmarkStart w:id="25" w:name="_Toc3643"/>
      <w:bookmarkStart w:id="26" w:name="_Toc14375"/>
      <w:r>
        <w:rPr>
          <w:rFonts w:hint="eastAsia"/>
          <w:color w:val="auto"/>
          <w:highlight w:val="none"/>
        </w:rPr>
        <w:t>（四）验收标准</w:t>
      </w:r>
      <w:bookmarkEnd w:id="25"/>
      <w:bookmarkEnd w:id="26"/>
    </w:p>
    <w:p>
      <w:pPr>
        <w:ind w:firstLine="48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6"/>
        <w:rPr>
          <w:color w:val="auto"/>
          <w:highlight w:val="none"/>
        </w:rPr>
      </w:pPr>
      <w:bookmarkStart w:id="27" w:name="_Toc32145"/>
      <w:bookmarkStart w:id="28" w:name="_Toc30601"/>
      <w:r>
        <w:rPr>
          <w:rFonts w:hint="eastAsia"/>
          <w:color w:val="auto"/>
          <w:highlight w:val="none"/>
        </w:rPr>
        <w:t>（五）售后服务</w:t>
      </w:r>
      <w:bookmarkEnd w:id="27"/>
      <w:bookmarkEnd w:id="28"/>
    </w:p>
    <w:p>
      <w:pPr>
        <w:ind w:firstLine="480"/>
        <w:rPr>
          <w:rFonts w:ascii="宋体" w:hAnsi="宋体" w:cs="宋体"/>
          <w:color w:val="auto"/>
          <w:szCs w:val="32"/>
          <w:highlight w:val="none"/>
        </w:rPr>
      </w:pPr>
      <w:r>
        <w:rPr>
          <w:rFonts w:hint="eastAsia" w:ascii="宋体" w:hAnsi="宋体" w:cs="宋体"/>
          <w:color w:val="auto"/>
          <w:szCs w:val="32"/>
          <w:highlight w:val="none"/>
        </w:rPr>
        <w:t>5.1.质保期内因不能排除的故障而影响工作的情况每发生一次，其质保期相应延长60天，质保期内因货物本身缺陷造成各种故障应由中标人免费予以更换，否则将扣除质量保证金作为对采购人的补偿。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color w:val="auto"/>
          <w:szCs w:val="32"/>
          <w:highlight w:val="none"/>
        </w:rPr>
      </w:pPr>
      <w:r>
        <w:rPr>
          <w:rFonts w:hint="eastAsia" w:ascii="宋体" w:hAnsi="宋体" w:cs="宋体"/>
          <w:color w:val="auto"/>
          <w:szCs w:val="32"/>
          <w:highlight w:val="none"/>
        </w:rPr>
        <w:t>5.2质保期满后，仅收取零配件成本费用，免人工费。合同货物出现故障后，中标人接到采购人通知后，应在8小时内达到甲方现场，不超过2个工作日内解决故障。</w:t>
      </w:r>
    </w:p>
    <w:p>
      <w:pPr>
        <w:pStyle w:val="6"/>
        <w:rPr>
          <w:color w:val="auto"/>
          <w:highlight w:val="none"/>
        </w:rPr>
      </w:pPr>
      <w:bookmarkStart w:id="29" w:name="_Toc30062"/>
      <w:bookmarkStart w:id="30" w:name="_Toc11395"/>
      <w:r>
        <w:rPr>
          <w:rFonts w:hint="eastAsia"/>
          <w:color w:val="auto"/>
          <w:highlight w:val="none"/>
        </w:rPr>
        <w:t>（六）履约保证金及质量保证金</w:t>
      </w:r>
      <w:bookmarkEnd w:id="29"/>
      <w:bookmarkEnd w:id="30"/>
    </w:p>
    <w:p>
      <w:pPr>
        <w:ind w:firstLine="480"/>
        <w:rPr>
          <w:rFonts w:hint="eastAsia" w:ascii="宋体" w:hAnsi="宋体" w:cs="宋体"/>
          <w:color w:val="auto"/>
          <w:szCs w:val="32"/>
          <w:highlight w:val="none"/>
        </w:rPr>
      </w:pPr>
      <w:r>
        <w:rPr>
          <w:rFonts w:hint="eastAsia" w:ascii="宋体" w:hAnsi="宋体" w:cs="宋体"/>
          <w:color w:val="auto"/>
          <w:szCs w:val="32"/>
          <w:highlight w:val="none"/>
        </w:rPr>
        <w:t>6.1合同签订后向</w:t>
      </w:r>
      <w:r>
        <w:rPr>
          <w:rFonts w:hint="eastAsia" w:ascii="宋体" w:hAnsi="宋体" w:cs="宋体"/>
          <w:color w:val="auto"/>
          <w:szCs w:val="32"/>
          <w:highlight w:val="none"/>
          <w:lang w:val="en-US" w:eastAsia="zh-CN"/>
        </w:rPr>
        <w:t>采购人</w:t>
      </w:r>
      <w:r>
        <w:rPr>
          <w:rFonts w:hint="eastAsia" w:ascii="宋体" w:hAnsi="宋体" w:cs="宋体"/>
          <w:color w:val="auto"/>
          <w:szCs w:val="32"/>
          <w:highlight w:val="none"/>
        </w:rPr>
        <w:t>支付合同总价5% 的履约保证金，履约保证金在交货验收后自动转为质量保证金。质量保证金自货物交付验收合格后12个月内无质量问题索赔和售后服务问题，无息退回。</w:t>
      </w:r>
    </w:p>
    <w:p>
      <w:pPr>
        <w:ind w:firstLine="480"/>
        <w:rPr>
          <w:rFonts w:ascii="宋体" w:hAnsi="宋体" w:cs="宋体"/>
          <w:color w:val="auto"/>
          <w:szCs w:val="32"/>
          <w:highlight w:val="none"/>
        </w:rPr>
      </w:pPr>
      <w:r>
        <w:rPr>
          <w:rFonts w:hint="eastAsia" w:ascii="宋体" w:hAnsi="宋体" w:cs="宋体"/>
          <w:color w:val="auto"/>
          <w:szCs w:val="32"/>
          <w:highlight w:val="none"/>
          <w:lang w:val="en-US" w:eastAsia="zh-CN"/>
        </w:rPr>
        <w:t>6.2</w:t>
      </w:r>
      <w:r>
        <w:rPr>
          <w:rFonts w:hint="eastAsia" w:ascii="宋体" w:hAnsi="宋体" w:cs="宋体"/>
          <w:color w:val="auto"/>
          <w:szCs w:val="32"/>
          <w:highlight w:val="none"/>
        </w:rPr>
        <w:t xml:space="preserve">履约保证金的交付方式：支票、汇票、保函等非现金方式。 </w:t>
      </w:r>
    </w:p>
    <w:p>
      <w:pPr>
        <w:pStyle w:val="6"/>
        <w:rPr>
          <w:color w:val="auto"/>
          <w:highlight w:val="none"/>
        </w:rPr>
      </w:pPr>
      <w:bookmarkStart w:id="31" w:name="_Toc11083"/>
      <w:bookmarkStart w:id="32" w:name="_Toc27073"/>
      <w:r>
        <w:rPr>
          <w:rFonts w:hint="eastAsia"/>
          <w:color w:val="auto"/>
          <w:highlight w:val="none"/>
        </w:rPr>
        <w:t>（七）付款方式</w:t>
      </w:r>
      <w:bookmarkEnd w:id="31"/>
      <w:bookmarkEnd w:id="32"/>
    </w:p>
    <w:p>
      <w:pPr>
        <w:snapToGrid w:val="0"/>
        <w:ind w:firstLine="480"/>
        <w:rPr>
          <w:color w:val="auto"/>
          <w:szCs w:val="32"/>
          <w:highlight w:val="none"/>
        </w:rPr>
      </w:pPr>
      <w:bookmarkStart w:id="33" w:name="_Toc12425"/>
      <w:r>
        <w:rPr>
          <w:rFonts w:hint="eastAsia"/>
          <w:color w:val="auto"/>
          <w:szCs w:val="32"/>
          <w:highlight w:val="none"/>
        </w:rPr>
        <w:t>货到安装、调试验收合格后15个工作日内，由中标人提供中标人开具的全额发票后，采购人向中标人支付合同总价100%的货款。</w:t>
      </w:r>
    </w:p>
    <w:p>
      <w:pPr>
        <w:pStyle w:val="6"/>
        <w:rPr>
          <w:color w:val="auto"/>
          <w:highlight w:val="none"/>
        </w:rPr>
      </w:pPr>
      <w:bookmarkStart w:id="34" w:name="_Toc12409"/>
      <w:r>
        <w:rPr>
          <w:rFonts w:hint="eastAsia"/>
          <w:color w:val="auto"/>
          <w:highlight w:val="none"/>
        </w:rPr>
        <w:t>（八）合同履行</w:t>
      </w:r>
      <w:bookmarkEnd w:id="33"/>
      <w:bookmarkEnd w:id="34"/>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6"/>
        <w:rPr>
          <w:color w:val="auto"/>
          <w:highlight w:val="none"/>
        </w:rPr>
      </w:pPr>
      <w:bookmarkStart w:id="35" w:name="_Toc26669"/>
      <w:bookmarkStart w:id="36" w:name="_Toc28352"/>
      <w:r>
        <w:rPr>
          <w:rFonts w:hint="eastAsia"/>
          <w:color w:val="auto"/>
          <w:highlight w:val="none"/>
        </w:rPr>
        <w:t>（九）培训</w:t>
      </w:r>
      <w:bookmarkEnd w:id="35"/>
      <w:bookmarkEnd w:id="36"/>
    </w:p>
    <w:p>
      <w:pPr>
        <w:ind w:firstLine="480"/>
        <w:rPr>
          <w:color w:val="auto"/>
          <w:szCs w:val="32"/>
          <w:highlight w:val="none"/>
        </w:rPr>
      </w:pPr>
      <w:r>
        <w:rPr>
          <w:rFonts w:hint="eastAsia"/>
          <w:color w:val="auto"/>
          <w:szCs w:val="32"/>
          <w:highlight w:val="none"/>
        </w:rPr>
        <w:t>9.1中标人应对采购人的操作人员、维修人员免费进行培训。</w:t>
      </w:r>
    </w:p>
    <w:p>
      <w:pPr>
        <w:ind w:firstLine="480"/>
        <w:rPr>
          <w:color w:val="auto"/>
          <w:szCs w:val="32"/>
          <w:highlight w:val="none"/>
        </w:rPr>
      </w:pPr>
      <w:r>
        <w:rPr>
          <w:rFonts w:hint="eastAsia"/>
          <w:color w:val="auto"/>
          <w:szCs w:val="32"/>
          <w:highlight w:val="none"/>
        </w:rPr>
        <w:t>9.2中标人应提供相应的培训计划。</w:t>
      </w:r>
    </w:p>
    <w:p>
      <w:pPr>
        <w:ind w:firstLine="480"/>
        <w:rPr>
          <w:color w:val="auto"/>
          <w:szCs w:val="32"/>
          <w:highlight w:val="none"/>
        </w:rPr>
      </w:pPr>
      <w:r>
        <w:rPr>
          <w:rFonts w:hint="eastAsia"/>
          <w:color w:val="auto"/>
          <w:szCs w:val="32"/>
          <w:highlight w:val="none"/>
        </w:rPr>
        <w:t>9.3中标人应对上述内容的实现方式、地点、人数、时间在投标文件中详细说明。</w:t>
      </w:r>
    </w:p>
    <w:p>
      <w:pPr>
        <w:pStyle w:val="6"/>
        <w:rPr>
          <w:color w:val="auto"/>
          <w:highlight w:val="none"/>
        </w:rPr>
      </w:pPr>
      <w:bookmarkStart w:id="37" w:name="_Toc4662"/>
      <w:bookmarkStart w:id="38" w:name="_Toc30890"/>
      <w:r>
        <w:rPr>
          <w:rFonts w:hint="eastAsia"/>
          <w:color w:val="auto"/>
          <w:highlight w:val="none"/>
        </w:rPr>
        <w:t>（十）安装调试</w:t>
      </w:r>
      <w:bookmarkEnd w:id="37"/>
      <w:bookmarkEnd w:id="38"/>
    </w:p>
    <w:p>
      <w:pPr>
        <w:ind w:firstLine="480"/>
        <w:rPr>
          <w:color w:val="auto"/>
          <w:szCs w:val="32"/>
          <w:highlight w:val="none"/>
        </w:rPr>
      </w:pPr>
      <w:r>
        <w:rPr>
          <w:rFonts w:hint="eastAsia"/>
          <w:color w:val="auto"/>
          <w:szCs w:val="32"/>
          <w:highlight w:val="none"/>
        </w:rPr>
        <w:t>10.1安装地点：采购人指定地点。</w:t>
      </w:r>
    </w:p>
    <w:p>
      <w:pPr>
        <w:ind w:firstLine="480"/>
        <w:rPr>
          <w:color w:val="auto"/>
          <w:szCs w:val="32"/>
          <w:highlight w:val="none"/>
        </w:rPr>
      </w:pPr>
      <w:r>
        <w:rPr>
          <w:rFonts w:hint="eastAsia"/>
          <w:color w:val="auto"/>
          <w:szCs w:val="32"/>
          <w:highlight w:val="none"/>
        </w:rPr>
        <w:t>10.2安装完成时间：签订合同后30个工作日内完成安装和调试（“投标人须知前附表”有规定的除外），如在规定的时间内由于中标人的原因不能完成安装和调试，中标人应承担由此给采购人造成的损失。</w:t>
      </w:r>
    </w:p>
    <w:p>
      <w:pPr>
        <w:ind w:firstLine="480"/>
        <w:rPr>
          <w:color w:val="auto"/>
          <w:szCs w:val="32"/>
          <w:highlight w:val="none"/>
        </w:rPr>
      </w:pPr>
      <w:r>
        <w:rPr>
          <w:rFonts w:hint="eastAsia"/>
          <w:color w:val="auto"/>
          <w:szCs w:val="32"/>
          <w:highlight w:val="none"/>
        </w:rPr>
        <w:t>10.3安装标准：符合我国国家有关技术规范要求和技术标准，所有的软件和硬件必须保证同时安装到位。</w:t>
      </w:r>
    </w:p>
    <w:p>
      <w:pPr>
        <w:ind w:firstLine="480"/>
        <w:rPr>
          <w:color w:val="auto"/>
          <w:szCs w:val="32"/>
          <w:highlight w:val="none"/>
        </w:rPr>
      </w:pPr>
      <w:r>
        <w:rPr>
          <w:rFonts w:hint="eastAsia"/>
          <w:color w:val="auto"/>
          <w:szCs w:val="32"/>
          <w:highlight w:val="none"/>
        </w:rPr>
        <w:t>10.4中标人应免费提供合同货物的安装服务。</w:t>
      </w:r>
    </w:p>
    <w:p>
      <w:pPr>
        <w:ind w:firstLine="480"/>
        <w:rPr>
          <w:color w:val="auto"/>
          <w:szCs w:val="32"/>
          <w:highlight w:val="none"/>
        </w:rPr>
      </w:pPr>
      <w:r>
        <w:rPr>
          <w:rFonts w:hint="eastAsia"/>
          <w:color w:val="auto"/>
          <w:szCs w:val="32"/>
          <w:highlight w:val="none"/>
        </w:rPr>
        <w:t>10.5中标人在投标文件中应提供安装调试计划、对安装场地和环境的要求。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4"/>
        <w:rPr>
          <w:color w:val="auto"/>
          <w:highlight w:val="none"/>
        </w:rPr>
      </w:pPr>
      <w:bookmarkStart w:id="39" w:name="_Toc17984"/>
      <w:r>
        <w:rPr>
          <w:rFonts w:hint="eastAsia" w:cs="宋体"/>
          <w:color w:val="auto"/>
          <w:highlight w:val="none"/>
        </w:rPr>
        <w:t>第三章 投标人须知</w:t>
      </w:r>
      <w:bookmarkEnd w:id="39"/>
    </w:p>
    <w:p>
      <w:pPr>
        <w:pStyle w:val="5"/>
        <w:jc w:val="center"/>
        <w:rPr>
          <w:rFonts w:ascii="宋体" w:hAnsi="宋体" w:cs="宋体"/>
          <w:color w:val="auto"/>
          <w:highlight w:val="none"/>
        </w:rPr>
      </w:pPr>
      <w:bookmarkStart w:id="40" w:name="_Toc452457413"/>
      <w:bookmarkStart w:id="41" w:name="_Toc2290"/>
      <w:bookmarkStart w:id="42" w:name="_Toc21699"/>
      <w:r>
        <w:rPr>
          <w:rFonts w:hint="eastAsia" w:ascii="宋体" w:hAnsi="宋体" w:cs="宋体"/>
          <w:color w:val="auto"/>
          <w:highlight w:val="none"/>
        </w:rPr>
        <w:t>前 附 表</w:t>
      </w:r>
      <w:bookmarkEnd w:id="40"/>
      <w:bookmarkEnd w:id="41"/>
      <w:bookmarkEnd w:id="42"/>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3.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4.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5.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投标单位需提供50mm长的圆带样品</w:t>
            </w:r>
            <w:r>
              <w:rPr>
                <w:rFonts w:hint="eastAsia" w:ascii="宋体" w:hAnsi="宋体" w:cs="宋体"/>
                <w:color w:val="auto"/>
                <w:highlight w:val="none"/>
                <w:lang w:val="en-US" w:eastAsia="zh-CN"/>
              </w:rPr>
              <w:t>1件，具体要求详见第二章具体技术要求说明，样品与商务技术文件一起密封递交。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9"/>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noWrap/>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43" w:name="_Toc246996175"/>
      <w:bookmarkStart w:id="44" w:name="_Toc246996918"/>
      <w:bookmarkStart w:id="45" w:name="_Toc452457414"/>
      <w:bookmarkStart w:id="46" w:name="_Toc152045529"/>
      <w:bookmarkStart w:id="47" w:name="_Toc179632546"/>
      <w:bookmarkStart w:id="48" w:name="_Toc152042305"/>
      <w:bookmarkStart w:id="49" w:name="_Toc247085689"/>
      <w:bookmarkStart w:id="50" w:name="_Toc296602420"/>
      <w:bookmarkStart w:id="51" w:name="_Toc144974497"/>
      <w:r>
        <w:rPr>
          <w:rFonts w:hint="eastAsia" w:ascii="宋体" w:hAnsi="宋体" w:cs="宋体"/>
          <w:color w:val="auto"/>
          <w:highlight w:val="none"/>
        </w:rPr>
        <w:br w:type="page"/>
      </w:r>
      <w:bookmarkEnd w:id="43"/>
      <w:bookmarkEnd w:id="44"/>
      <w:bookmarkEnd w:id="45"/>
      <w:bookmarkEnd w:id="46"/>
      <w:bookmarkEnd w:id="47"/>
      <w:bookmarkEnd w:id="48"/>
      <w:bookmarkEnd w:id="49"/>
      <w:bookmarkEnd w:id="50"/>
      <w:bookmarkEnd w:id="51"/>
      <w:bookmarkStart w:id="52" w:name="_Toc22147"/>
      <w:bookmarkStart w:id="53" w:name="_Toc2440"/>
      <w:bookmarkStart w:id="54" w:name="_Toc179632547"/>
      <w:bookmarkStart w:id="55" w:name="_Toc152045530"/>
      <w:bookmarkStart w:id="56" w:name="_Toc246996919"/>
      <w:bookmarkStart w:id="57" w:name="_Toc247085690"/>
      <w:bookmarkStart w:id="58" w:name="_Toc144974498"/>
      <w:bookmarkStart w:id="59" w:name="_Toc296602421"/>
      <w:bookmarkStart w:id="60" w:name="_Toc246996176"/>
      <w:bookmarkStart w:id="61" w:name="_Toc152042306"/>
      <w:r>
        <w:rPr>
          <w:rFonts w:hint="eastAsia" w:ascii="宋体" w:hAnsi="宋体" w:cs="宋体"/>
          <w:color w:val="auto"/>
          <w:highlight w:val="none"/>
        </w:rPr>
        <w:t>第一节 总 则</w:t>
      </w:r>
      <w:bookmarkEnd w:id="52"/>
      <w:bookmarkEnd w:id="53"/>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9"/>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2" w:name="_Toc91899879"/>
      <w:bookmarkStart w:id="63" w:name="_Toc16985"/>
      <w:r>
        <w:rPr>
          <w:rFonts w:hint="eastAsia" w:ascii="宋体" w:hAnsi="宋体" w:cs="宋体"/>
          <w:b/>
          <w:bCs/>
          <w:color w:val="auto"/>
          <w:sz w:val="28"/>
          <w:szCs w:val="32"/>
          <w:highlight w:val="none"/>
        </w:rPr>
        <w:t>第二节 招标文件</w:t>
      </w:r>
      <w:bookmarkEnd w:id="62"/>
      <w:r>
        <w:rPr>
          <w:rFonts w:hint="eastAsia" w:ascii="宋体" w:hAnsi="宋体" w:cs="宋体"/>
          <w:b/>
          <w:bCs/>
          <w:color w:val="auto"/>
          <w:sz w:val="28"/>
          <w:szCs w:val="32"/>
          <w:highlight w:val="none"/>
        </w:rPr>
        <w:t>的构成、澄清、修改</w:t>
      </w:r>
      <w:bookmarkEnd w:id="63"/>
    </w:p>
    <w:p>
      <w:pPr>
        <w:pStyle w:val="6"/>
        <w:rPr>
          <w:rFonts w:ascii="宋体" w:hAnsi="宋体" w:cs="宋体"/>
          <w:color w:val="auto"/>
          <w:highlight w:val="none"/>
        </w:rPr>
      </w:pPr>
      <w:bookmarkStart w:id="64" w:name="_Toc91899880"/>
      <w:bookmarkStart w:id="65" w:name="_Hlt74730307"/>
      <w:r>
        <w:rPr>
          <w:rFonts w:hint="eastAsia" w:ascii="宋体" w:hAnsi="宋体" w:cs="宋体"/>
          <w:color w:val="auto"/>
          <w:highlight w:val="none"/>
        </w:rPr>
        <w:t>一、招标文件的构成</w:t>
      </w:r>
      <w:bookmarkEnd w:id="64"/>
    </w:p>
    <w:bookmarkEnd w:id="65"/>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66" w:name="_Toc204"/>
      <w:bookmarkStart w:id="67" w:name="_Toc450840075"/>
      <w:bookmarkStart w:id="68" w:name="_Toc82873324"/>
      <w:bookmarkStart w:id="69" w:name="_Toc82338241"/>
      <w:bookmarkStart w:id="70" w:name="_Toc1096"/>
      <w:r>
        <w:rPr>
          <w:rFonts w:hint="eastAsia" w:ascii="宋体" w:hAnsi="宋体" w:cs="宋体"/>
          <w:color w:val="auto"/>
          <w:highlight w:val="none"/>
        </w:rPr>
        <w:t>第三节 投标文件</w:t>
      </w:r>
      <w:bookmarkEnd w:id="66"/>
      <w:bookmarkEnd w:id="67"/>
      <w:bookmarkEnd w:id="68"/>
      <w:bookmarkEnd w:id="69"/>
      <w:bookmarkEnd w:id="70"/>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1"/>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1"/>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71" w:name="_Toc12521"/>
      <w:bookmarkStart w:id="72" w:name="_Toc1"/>
      <w:r>
        <w:rPr>
          <w:rFonts w:hint="eastAsia" w:ascii="宋体" w:hAnsi="宋体" w:cs="宋体"/>
          <w:color w:val="auto"/>
          <w:highlight w:val="none"/>
        </w:rPr>
        <w:t>第四节 投标文件的递交</w:t>
      </w:r>
      <w:bookmarkEnd w:id="71"/>
      <w:bookmarkEnd w:id="72"/>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73" w:name="_Toc20835"/>
      <w:bookmarkStart w:id="74" w:name="_Toc27893"/>
      <w:r>
        <w:rPr>
          <w:rFonts w:hint="eastAsia" w:ascii="宋体" w:hAnsi="宋体" w:cs="宋体"/>
          <w:color w:val="auto"/>
          <w:highlight w:val="none"/>
        </w:rPr>
        <w:t>第五节 开标</w:t>
      </w:r>
      <w:bookmarkEnd w:id="73"/>
      <w:bookmarkEnd w:id="74"/>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75" w:name="_Toc13687"/>
      <w:bookmarkStart w:id="76" w:name="_Toc13357"/>
      <w:r>
        <w:rPr>
          <w:rFonts w:hint="eastAsia" w:ascii="宋体" w:hAnsi="宋体" w:cs="宋体"/>
          <w:color w:val="auto"/>
          <w:highlight w:val="none"/>
        </w:rPr>
        <w:t>第六节 评标</w:t>
      </w:r>
      <w:bookmarkEnd w:id="75"/>
      <w:bookmarkEnd w:id="76"/>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77" w:name="_Toc31535"/>
      <w:bookmarkStart w:id="78" w:name="_Toc24239"/>
      <w:r>
        <w:rPr>
          <w:rFonts w:hint="eastAsia" w:ascii="宋体" w:hAnsi="宋体" w:cs="宋体"/>
          <w:color w:val="auto"/>
          <w:highlight w:val="none"/>
        </w:rPr>
        <w:t>第七节 授予合同</w:t>
      </w:r>
      <w:bookmarkEnd w:id="77"/>
      <w:bookmarkEnd w:id="78"/>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2.采购代理机构自中标供应商确定之日起2个工作日内，发出中标通知书，并在中国计量大学采购网等相关网站或媒体上公告中标结果。中标公告期限为1个工作日。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0"/>
        <w:spacing w:line="288" w:lineRule="auto"/>
        <w:ind w:firstLine="420" w:firstLineChars="200"/>
        <w:rPr>
          <w:rFonts w:hAnsi="宋体"/>
          <w:color w:val="auto"/>
          <w:szCs w:val="21"/>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bookmarkStart w:id="79" w:name="_Toc12481"/>
      <w:bookmarkStart w:id="80" w:name="_Toc15220"/>
      <w:r>
        <w:rPr>
          <w:rFonts w:hint="eastAsia" w:ascii="宋体" w:hAnsi="宋体" w:cs="宋体"/>
          <w:color w:val="auto"/>
          <w:highlight w:val="none"/>
        </w:rPr>
        <w:t>第八节 例外处理</w:t>
      </w:r>
      <w:bookmarkEnd w:id="79"/>
      <w:bookmarkEnd w:id="80"/>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81" w:name="_Toc82338233"/>
      <w:bookmarkStart w:id="82" w:name="_Toc82873316"/>
      <w:bookmarkStart w:id="83" w:name="_Toc450840079"/>
      <w:bookmarkStart w:id="84" w:name="_Toc20600"/>
      <w:r>
        <w:rPr>
          <w:rFonts w:hint="eastAsia" w:cs="宋体"/>
          <w:color w:val="auto"/>
          <w:highlight w:val="none"/>
        </w:rPr>
        <w:t xml:space="preserve">第四章 </w:t>
      </w:r>
      <w:bookmarkEnd w:id="81"/>
      <w:bookmarkEnd w:id="82"/>
      <w:bookmarkEnd w:id="83"/>
      <w:r>
        <w:rPr>
          <w:rFonts w:hint="eastAsia" w:cs="宋体"/>
          <w:color w:val="auto"/>
          <w:highlight w:val="none"/>
        </w:rPr>
        <w:t>评标办法及评分标准</w:t>
      </w:r>
      <w:bookmarkEnd w:id="84"/>
    </w:p>
    <w:p>
      <w:pPr>
        <w:pStyle w:val="5"/>
        <w:rPr>
          <w:rFonts w:ascii="宋体" w:hAnsi="宋体" w:cs="宋体"/>
          <w:color w:val="auto"/>
          <w:highlight w:val="none"/>
        </w:rPr>
      </w:pPr>
      <w:bookmarkStart w:id="85" w:name="_Toc3811"/>
      <w:bookmarkStart w:id="86" w:name="_Toc11391"/>
      <w:bookmarkStart w:id="87" w:name="_Toc3110"/>
      <w:bookmarkStart w:id="88" w:name="OLE_LINK3"/>
      <w:r>
        <w:rPr>
          <w:rFonts w:hint="eastAsia" w:ascii="宋体" w:hAnsi="宋体" w:cs="宋体"/>
          <w:color w:val="auto"/>
          <w:highlight w:val="none"/>
        </w:rPr>
        <w:t>一、评分总则</w:t>
      </w:r>
      <w:bookmarkEnd w:id="85"/>
      <w:bookmarkEnd w:id="86"/>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89" w:name="_Toc7789"/>
      <w:r>
        <w:rPr>
          <w:rFonts w:hint="eastAsia" w:ascii="宋体" w:hAnsi="宋体" w:cs="宋体"/>
          <w:color w:val="auto"/>
          <w:highlight w:val="none"/>
        </w:rPr>
        <w:t>二、评分内容及标准</w:t>
      </w:r>
      <w:bookmarkEnd w:id="87"/>
      <w:bookmarkEnd w:id="89"/>
    </w:p>
    <w:bookmarkEnd w:id="88"/>
    <w:p>
      <w:pPr>
        <w:ind w:firstLine="480"/>
        <w:rPr>
          <w:rFonts w:hint="eastAsia" w:ascii="宋体" w:hAnsi="宋体" w:cs="宋体"/>
          <w:color w:val="auto"/>
          <w:szCs w:val="32"/>
          <w:highlight w:val="none"/>
        </w:rPr>
      </w:pPr>
      <w:bookmarkStart w:id="90" w:name="_Toc82338234"/>
      <w:bookmarkStart w:id="91"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highlight w:val="none"/>
              </w:rPr>
            </w:pPr>
            <w:r>
              <w:rPr>
                <w:rFonts w:hint="eastAsia" w:ascii="宋体" w:hAnsi="宋体" w:cs="宋体"/>
                <w:color w:val="auto"/>
                <w:szCs w:val="32"/>
                <w:highlight w:val="none"/>
              </w:rPr>
              <w:br w:type="page"/>
            </w:r>
            <w:bookmarkStart w:id="92"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（35分）</w:t>
            </w:r>
          </w:p>
        </w:tc>
        <w:tc>
          <w:tcPr>
            <w:tcW w:w="6888" w:type="dxa"/>
            <w:tcBorders>
              <w:top w:val="single" w:color="auto" w:sz="4" w:space="0"/>
              <w:left w:val="single" w:color="auto" w:sz="4" w:space="0"/>
              <w:bottom w:val="single" w:color="auto" w:sz="4" w:space="0"/>
              <w:right w:val="single" w:color="auto" w:sz="4" w:space="0"/>
            </w:tcBorders>
            <w:noWrap/>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价格分=（评标基准价/投标报价）×35%×100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highlight w:val="none"/>
              </w:rPr>
            </w:pPr>
            <w:r>
              <w:rPr>
                <w:rFonts w:hint="eastAsia"/>
                <w:color w:val="auto"/>
                <w:highlight w:val="none"/>
              </w:rPr>
              <w:t>商务资信</w:t>
            </w:r>
          </w:p>
          <w:p>
            <w:pPr>
              <w:spacing w:line="240" w:lineRule="auto"/>
              <w:ind w:firstLine="0" w:firstLineChars="0"/>
              <w:jc w:val="center"/>
              <w:rPr>
                <w:rFonts w:hint="eastAsia"/>
                <w:color w:val="auto"/>
                <w:highlight w:val="none"/>
              </w:rPr>
            </w:pPr>
            <w:r>
              <w:rPr>
                <w:rFonts w:hint="eastAsia"/>
                <w:color w:val="auto"/>
                <w:highlight w:val="none"/>
              </w:rPr>
              <w:t>（10分）</w:t>
            </w: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投标人具有有效期内的体系（ISO9001认证、ISO14001认证）认证证书的，每个得1分，最高</w:t>
            </w:r>
            <w:r>
              <w:rPr>
                <w:rFonts w:ascii="宋体" w:hAnsi="宋体" w:cs="宋体"/>
                <w:color w:val="auto"/>
                <w:highlight w:val="none"/>
              </w:rPr>
              <w:t>2</w:t>
            </w:r>
            <w:r>
              <w:rPr>
                <w:rFonts w:hint="eastAsia" w:ascii="宋体" w:hAnsi="宋体" w:cs="宋体"/>
                <w:color w:val="auto"/>
                <w:highlight w:val="none"/>
              </w:rPr>
              <w:t>分。（投标文件中提供复印件，原件备查）</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pStyle w:val="9"/>
              <w:ind w:firstLine="0"/>
              <w:rPr>
                <w:rFonts w:ascii="宋体" w:hAnsi="宋体" w:cs="宋体"/>
                <w:color w:val="auto"/>
                <w:sz w:val="24"/>
                <w:szCs w:val="21"/>
                <w:highlight w:val="none"/>
              </w:rPr>
            </w:pPr>
            <w:r>
              <w:rPr>
                <w:rFonts w:hint="eastAsia" w:ascii="宋体" w:hAnsi="宋体" w:cs="宋体"/>
                <w:color w:val="auto"/>
                <w:sz w:val="24"/>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left w:val="single" w:color="auto" w:sz="4" w:space="0"/>
              <w:right w:val="single" w:color="auto" w:sz="4" w:space="0"/>
            </w:tcBorders>
            <w:noWrap/>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技术（55分）</w:t>
            </w: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rPr>
              <w:t>投标产品的基本功能、技术指标与需求的吻合程度和偏差情况（除★以外）（包括所投标产品的详细配置、主要技术参数、随机软件等，是否能够满足投标文件要求。全部满足1</w:t>
            </w:r>
            <w:r>
              <w:rPr>
                <w:rFonts w:hint="eastAsia" w:ascii="宋体" w:hAnsi="宋体" w:cs="宋体"/>
                <w:color w:val="auto"/>
                <w:highlight w:val="none"/>
                <w:lang w:val="en-US" w:eastAsia="zh-CN"/>
              </w:rPr>
              <w:t>8</w:t>
            </w:r>
            <w:r>
              <w:rPr>
                <w:rFonts w:hint="eastAsia" w:ascii="宋体" w:hAnsi="宋体" w:cs="宋体"/>
                <w:color w:val="auto"/>
                <w:highlight w:val="none"/>
              </w:rPr>
              <w:t>分；技术指标负偏离每一项扣3分，扣完为止。</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highlight w:val="none"/>
              </w:rPr>
            </w:pPr>
            <w:r>
              <w:rPr>
                <w:rFonts w:hint="eastAsia"/>
                <w:color w:val="auto"/>
                <w:highlight w:val="none"/>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根据设备的先进性，投标产品品牌在国际国内市场知名度、信誉度、认可度等综合打分。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pStyle w:val="15"/>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完整合理的有针对性的售后服务方案、</w:t>
            </w:r>
            <w:r>
              <w:rPr>
                <w:rFonts w:hint="eastAsia" w:hAnsi="宋体" w:cs="宋体"/>
                <w:color w:val="auto"/>
                <w:szCs w:val="24"/>
                <w:highlight w:val="none"/>
              </w:rPr>
              <w:t>专业服务力量和服务保障</w:t>
            </w:r>
            <w:r>
              <w:rPr>
                <w:rFonts w:hint="eastAsia" w:hAnsi="宋体" w:cs="宋体"/>
                <w:bCs/>
                <w:color w:val="auto"/>
                <w:spacing w:val="-6"/>
                <w:szCs w:val="24"/>
                <w:highlight w:val="none"/>
              </w:rPr>
              <w:t>（除商务偏离表要求外）。</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培训计划内容（除商务偏离表中响应规格以外内容）合理、详细，培训范围广，可实施有针对性。</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投标人对本项目的合理化建议和改进措施</w:t>
            </w:r>
            <w:r>
              <w:rPr>
                <w:rFonts w:hint="eastAsia" w:ascii="宋体" w:hAnsi="宋体" w:cs="宋体"/>
                <w:bCs/>
                <w:color w:val="auto"/>
                <w:highlight w:val="none"/>
              </w:rPr>
              <w:t>合理、可行性。</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投标人提供的备品备件种类数量和质保期满后的配件的价格</w:t>
            </w:r>
            <w:r>
              <w:rPr>
                <w:rFonts w:hint="eastAsia" w:ascii="宋体" w:hAnsi="宋体" w:cs="宋体"/>
                <w:color w:val="auto"/>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pStyle w:val="15"/>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投标人承诺给予采购人的各种优惠折扣率、力度。</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spacing w:val="-6"/>
                <w:highlight w:val="none"/>
              </w:rPr>
              <w:t>装订、目录编制、提供相关资料是否完善，表格等制作情况酌情评分。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90"/>
    <w:bookmarkEnd w:id="91"/>
    <w:bookmarkEnd w:id="92"/>
    <w:p>
      <w:pPr>
        <w:pStyle w:val="4"/>
        <w:ind w:firstLine="643"/>
        <w:rPr>
          <w:color w:val="auto"/>
          <w:szCs w:val="24"/>
          <w:highlight w:val="none"/>
        </w:rPr>
      </w:pPr>
      <w:bookmarkStart w:id="93" w:name="_Toc1503"/>
      <w:r>
        <w:rPr>
          <w:rFonts w:hint="eastAsia" w:cs="宋体"/>
          <w:color w:val="auto"/>
          <w:szCs w:val="32"/>
          <w:highlight w:val="none"/>
        </w:rPr>
        <w:t>第五章 合同格式</w:t>
      </w:r>
      <w:bookmarkEnd w:id="93"/>
    </w:p>
    <w:p>
      <w:pPr>
        <w:ind w:firstLine="440"/>
        <w:rPr>
          <w:color w:val="auto"/>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bookmarkStart w:id="94" w:name="_Toc450840088"/>
    </w:p>
    <w:p>
      <w:pPr>
        <w:spacing w:after="312"/>
        <w:ind w:firstLine="602"/>
        <w:jc w:val="center"/>
        <w:rPr>
          <w:b/>
          <w:color w:val="auto"/>
          <w:sz w:val="44"/>
          <w:highlight w:val="none"/>
        </w:rPr>
      </w:pPr>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5"/>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5"/>
        <w:spacing w:line="240" w:lineRule="auto"/>
        <w:ind w:left="315" w:firstLine="482"/>
        <w:contextualSpacing/>
        <w:rPr>
          <w:b/>
          <w:color w:val="auto"/>
          <w:szCs w:val="24"/>
          <w:highlight w:val="none"/>
        </w:rPr>
      </w:pPr>
      <w:r>
        <w:rPr>
          <w:rFonts w:hint="eastAsia"/>
          <w:b/>
          <w:color w:val="auto"/>
          <w:szCs w:val="24"/>
          <w:highlight w:val="none"/>
        </w:rPr>
        <w:t>乙方（供方）：</w:t>
      </w:r>
    </w:p>
    <w:p>
      <w:pPr>
        <w:pStyle w:val="15"/>
        <w:tabs>
          <w:tab w:val="left" w:pos="6240"/>
        </w:tabs>
        <w:spacing w:after="312"/>
        <w:ind w:firstLine="0"/>
        <w:contextualSpacing/>
        <w:jc w:val="left"/>
        <w:rPr>
          <w:color w:val="auto"/>
          <w:sz w:val="21"/>
          <w:szCs w:val="21"/>
          <w:highlight w:val="none"/>
        </w:rPr>
      </w:pPr>
    </w:p>
    <w:p>
      <w:pPr>
        <w:pStyle w:val="15"/>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  （项目名称和编号）的公开招标的结果,签署本合同。</w:t>
      </w:r>
    </w:p>
    <w:p>
      <w:pPr>
        <w:snapToGrid w:val="0"/>
        <w:spacing w:after="312"/>
        <w:ind w:firstLine="442"/>
        <w:contextualSpacing/>
        <w:rPr>
          <w:b/>
          <w:color w:val="auto"/>
          <w:sz w:val="22"/>
          <w:szCs w:val="22"/>
          <w:highlight w:val="none"/>
        </w:rPr>
      </w:pP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9"/>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noWrap/>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noWrap/>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noWrap/>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noWrap/>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noWrap/>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noWrap/>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noWrap/>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noWrap/>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noWrap/>
            <w:vAlign w:val="center"/>
          </w:tcPr>
          <w:p>
            <w:pPr>
              <w:adjustRightInd w:val="0"/>
              <w:snapToGrid w:val="0"/>
              <w:spacing w:beforeLines="5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364"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492"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856"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850"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992"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552" w:type="dxa"/>
            <w:noWrap/>
            <w:vAlign w:val="center"/>
          </w:tcPr>
          <w:p>
            <w:pPr>
              <w:adjustRightInd w:val="0"/>
              <w:snapToGrid w:val="0"/>
              <w:spacing w:beforeLines="5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noWrap/>
            <w:vAlign w:val="center"/>
          </w:tcPr>
          <w:p>
            <w:pPr>
              <w:adjustRightInd w:val="0"/>
              <w:snapToGrid w:val="0"/>
              <w:spacing w:beforeLines="5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364"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492"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856"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850"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992" w:type="dxa"/>
            <w:noWrap/>
            <w:vAlign w:val="center"/>
          </w:tcPr>
          <w:p>
            <w:pPr>
              <w:adjustRightInd w:val="0"/>
              <w:snapToGrid w:val="0"/>
              <w:spacing w:beforeLines="50" w:afterLines="50" w:line="300" w:lineRule="auto"/>
              <w:ind w:firstLine="440"/>
              <w:jc w:val="center"/>
              <w:rPr>
                <w:color w:val="auto"/>
                <w:sz w:val="22"/>
                <w:szCs w:val="22"/>
                <w:highlight w:val="none"/>
              </w:rPr>
            </w:pPr>
          </w:p>
        </w:tc>
        <w:tc>
          <w:tcPr>
            <w:tcW w:w="1552" w:type="dxa"/>
            <w:noWrap/>
            <w:vAlign w:val="center"/>
          </w:tcPr>
          <w:p>
            <w:pPr>
              <w:adjustRightInd w:val="0"/>
              <w:snapToGrid w:val="0"/>
              <w:spacing w:beforeLines="5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noWrap/>
            <w:vAlign w:val="center"/>
          </w:tcPr>
          <w:p>
            <w:pPr>
              <w:pStyle w:val="22"/>
              <w:adjustRightInd w:val="0"/>
              <w:snapToGrid w:val="0"/>
              <w:spacing w:beforeLines="5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p>
          <w:p>
            <w:pPr>
              <w:pStyle w:val="22"/>
              <w:adjustRightInd w:val="0"/>
              <w:snapToGrid w:val="0"/>
              <w:spacing w:beforeLines="50" w:afterLines="50" w:line="300" w:lineRule="auto"/>
              <w:ind w:left="0" w:leftChars="0"/>
              <w:jc w:val="left"/>
              <w:rPr>
                <w:rFonts w:ascii="Calibri" w:hAnsi="Calibri"/>
                <w:color w:val="auto"/>
                <w:sz w:val="22"/>
                <w:szCs w:val="22"/>
                <w:highlight w:val="none"/>
              </w:rPr>
            </w:pP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20"/>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20"/>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20"/>
        <w:ind w:firstLine="420"/>
        <w:contextualSpacing/>
        <w:rPr>
          <w:rFonts w:hAnsi="宋体"/>
          <w:color w:val="auto"/>
          <w:sz w:val="22"/>
          <w:szCs w:val="22"/>
          <w:highlight w:val="none"/>
        </w:rPr>
      </w:pPr>
      <w:r>
        <w:rPr>
          <w:rFonts w:hint="eastAsia" w:hAnsi="宋体"/>
          <w:color w:val="auto"/>
          <w:sz w:val="22"/>
          <w:szCs w:val="22"/>
          <w:highlight w:val="none"/>
        </w:rPr>
        <w:t>乙方须于合同签订后向甲方支付合同总价</w:t>
      </w:r>
      <w:r>
        <w:rPr>
          <w:rFonts w:hint="eastAsia" w:hAnsi="宋体"/>
          <w:color w:val="auto"/>
          <w:sz w:val="22"/>
          <w:szCs w:val="22"/>
          <w:highlight w:val="none"/>
          <w:u w:val="single"/>
        </w:rPr>
        <w:t xml:space="preserve"> 5% </w:t>
      </w:r>
      <w:r>
        <w:rPr>
          <w:rFonts w:hint="eastAsia" w:hAnsi="宋体"/>
          <w:color w:val="auto"/>
          <w:sz w:val="22"/>
          <w:szCs w:val="22"/>
          <w:highlight w:val="none"/>
        </w:rPr>
        <w:t>的履约保证金，共计人民币¥元 ，履约保证金在交货验收后自动转为质量保证金。质量保证金自</w:t>
      </w:r>
      <w:r>
        <w:rPr>
          <w:rFonts w:hint="eastAsia" w:hAnsi="宋体" w:cs="宋体"/>
          <w:color w:val="auto"/>
          <w:spacing w:val="-6"/>
          <w:sz w:val="22"/>
          <w:szCs w:val="22"/>
          <w:highlight w:val="none"/>
        </w:rPr>
        <w:t>货物交付验收合格后</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20"/>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20"/>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个工作日，甲方向乙方全额支付合同总额，即¥元（大写：</w:t>
      </w:r>
      <w:r>
        <w:rPr>
          <w:rFonts w:hint="eastAsia" w:hAnsi="宋体"/>
          <w:b/>
          <w:color w:val="auto"/>
          <w:sz w:val="22"/>
          <w:szCs w:val="22"/>
          <w:highlight w:val="none"/>
        </w:rPr>
        <w:t>）。</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2、产品质量保修期为 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20"/>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2"/>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9"/>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noWrap/>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noWrap/>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noWrap/>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9"/>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noWrap/>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noWrap/>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noWrap/>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noWrap/>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noWrap/>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noWrap/>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firstLine="0" w:firstLineChars="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firstLine="0" w:firstLineChars="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left="120" w:hanging="120" w:hangingChars="5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firstLine="0" w:firstLineChars="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firstLine="0" w:firstLineChars="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noWrap/>
            <w:vAlign w:val="center"/>
          </w:tcPr>
          <w:p>
            <w:pPr>
              <w:spacing w:line="240" w:lineRule="auto"/>
              <w:ind w:firstLine="0" w:firstLineChars="0"/>
              <w:jc w:val="center"/>
              <w:rPr>
                <w:rFonts w:cs="Arial"/>
                <w:color w:val="auto"/>
                <w:szCs w:val="21"/>
                <w:highlight w:val="none"/>
              </w:rPr>
            </w:pPr>
          </w:p>
        </w:tc>
        <w:tc>
          <w:tcPr>
            <w:tcW w:w="2329" w:type="dxa"/>
            <w:noWrap/>
            <w:vAlign w:val="center"/>
          </w:tcPr>
          <w:p>
            <w:pPr>
              <w:spacing w:line="240" w:lineRule="auto"/>
              <w:ind w:firstLine="0" w:firstLineChars="0"/>
              <w:jc w:val="center"/>
              <w:rPr>
                <w:rFonts w:cs="Arial"/>
                <w:color w:val="auto"/>
                <w:szCs w:val="21"/>
                <w:highlight w:val="none"/>
              </w:rPr>
            </w:pPr>
          </w:p>
        </w:tc>
        <w:tc>
          <w:tcPr>
            <w:tcW w:w="1985" w:type="dxa"/>
            <w:noWrap/>
          </w:tcPr>
          <w:p>
            <w:pPr>
              <w:spacing w:line="300" w:lineRule="exact"/>
              <w:ind w:firstLine="0" w:firstLineChars="0"/>
              <w:jc w:val="center"/>
              <w:rPr>
                <w:color w:val="auto"/>
                <w:szCs w:val="21"/>
                <w:highlight w:val="none"/>
              </w:rPr>
            </w:pPr>
          </w:p>
        </w:tc>
        <w:tc>
          <w:tcPr>
            <w:tcW w:w="1417" w:type="dxa"/>
            <w:noWrap/>
          </w:tcPr>
          <w:p>
            <w:pPr>
              <w:spacing w:line="300" w:lineRule="exact"/>
              <w:ind w:firstLine="0" w:firstLineChars="0"/>
              <w:jc w:val="center"/>
              <w:rPr>
                <w:color w:val="auto"/>
                <w:szCs w:val="21"/>
                <w:highlight w:val="none"/>
              </w:rPr>
            </w:pPr>
          </w:p>
        </w:tc>
        <w:tc>
          <w:tcPr>
            <w:tcW w:w="1073" w:type="dxa"/>
            <w:noWrap/>
            <w:vAlign w:val="center"/>
          </w:tcPr>
          <w:p>
            <w:pPr>
              <w:spacing w:line="300" w:lineRule="exact"/>
              <w:ind w:firstLine="0" w:firstLineChars="0"/>
              <w:jc w:val="center"/>
              <w:rPr>
                <w:color w:val="auto"/>
                <w:szCs w:val="21"/>
                <w:highlight w:val="none"/>
              </w:rPr>
            </w:pPr>
          </w:p>
        </w:tc>
        <w:tc>
          <w:tcPr>
            <w:tcW w:w="1418" w:type="dxa"/>
            <w:noWrap/>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ind w:firstLine="480"/>
        <w:rPr>
          <w:color w:val="auto"/>
          <w:highlight w:val="none"/>
        </w:rPr>
      </w:pPr>
    </w:p>
    <w:p>
      <w:pPr>
        <w:pStyle w:val="20"/>
        <w:spacing w:before="120" w:after="120" w:line="288" w:lineRule="auto"/>
        <w:ind w:firstLine="420" w:firstLineChars="200"/>
        <w:rPr>
          <w:rFonts w:hAnsi="宋体"/>
          <w:color w:val="auto"/>
          <w:szCs w:val="21"/>
          <w:highlight w:val="none"/>
        </w:rPr>
      </w:pPr>
    </w:p>
    <w:p>
      <w:pPr>
        <w:pStyle w:val="20"/>
        <w:spacing w:before="120" w:after="120" w:line="288" w:lineRule="auto"/>
        <w:ind w:firstLine="420" w:firstLineChars="200"/>
        <w:rPr>
          <w:rFonts w:ascii="Times New Roman" w:hAnsi="Times New Roman"/>
          <w:color w:val="auto"/>
          <w:szCs w:val="21"/>
          <w:highlight w:val="none"/>
        </w:rPr>
      </w:pPr>
    </w:p>
    <w:p>
      <w:pPr>
        <w:ind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95" w:name="_Toc27145"/>
      <w:r>
        <w:rPr>
          <w:rFonts w:hint="eastAsia" w:cs="宋体"/>
          <w:color w:val="auto"/>
          <w:highlight w:val="none"/>
        </w:rPr>
        <w:t>第六章 投标文件格式</w:t>
      </w:r>
      <w:bookmarkEnd w:id="94"/>
      <w:bookmarkEnd w:id="95"/>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13970" b="88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1A6M9gAAAAKAQAADwAAAAAAAAABACAAAAAiAAAAZHJzL2Rvd25yZXYueG1sUEsB&#10;AhQAFAAAAAgAh07iQNOn9db1AQAA9gMAAA4AAAAAAAAAAQAgAAAAJwEAAGRycy9lMm9Eb2MueG1s&#10;UEsFBgAAAAAGAAYAWQEAAI4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3"/>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4"/>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4"/>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4"/>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4"/>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15"/>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5"/>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15"/>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5"/>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5"/>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firstLine="0" w:firstLineChars="0"/>
              <w:rPr>
                <w:color w:val="auto"/>
                <w:highlight w:val="none"/>
              </w:rPr>
            </w:pPr>
            <w:r>
              <w:rPr>
                <w:rFonts w:hint="eastAsia" w:ascii="宋体" w:hAnsi="宋体"/>
                <w:color w:val="auto"/>
                <w:kern w:val="0"/>
                <w:highlight w:val="none"/>
              </w:rPr>
              <w:t>提供响应文件递交截止日前1日历天17:00（北京时间）的查询信息网站截图，查询渠道：“</w:t>
            </w:r>
            <w:r>
              <w:rPr>
                <w:rFonts w:hint="eastAsia"/>
                <w:color w:val="auto"/>
                <w:highlight w:val="none"/>
              </w:rPr>
              <w:t>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45"/>
                <w:rFonts w:hint="eastAsia"/>
                <w:color w:val="auto"/>
                <w:highlight w:val="none"/>
              </w:rPr>
              <w:t>ww.gsxt.gov.cn/corp-query-homepage.html</w:t>
            </w:r>
            <w:r>
              <w:rPr>
                <w:rStyle w:val="45"/>
                <w:rFonts w:hint="eastAsia"/>
                <w:color w:val="auto"/>
                <w:highlight w:val="none"/>
              </w:rPr>
              <w:fldChar w:fldCharType="end"/>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本项目接受联合体投标，联合体投标的，须具有房地产代理（服务）的单位作为联合体牵头人，并许出具联合体协议书。</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20"/>
        <w:adjustRightInd w:val="0"/>
        <w:snapToGrid w:val="0"/>
        <w:spacing w:line="300" w:lineRule="auto"/>
        <w:jc w:val="center"/>
        <w:rPr>
          <w:rFonts w:ascii="Arial" w:hAnsi="Arial" w:eastAsia="华文中宋" w:cs="Arial"/>
          <w:b/>
          <w:bCs/>
          <w:color w:val="auto"/>
          <w:sz w:val="32"/>
          <w:highlight w:val="none"/>
        </w:rPr>
      </w:pPr>
      <w:r>
        <w:rPr>
          <w:rFonts w:hint="eastAsia" w:ascii="Arial" w:hAnsi="Arial" w:eastAsia="华文中宋" w:cs="Arial"/>
          <w:b/>
          <w:bCs/>
          <w:color w:val="auto"/>
          <w:sz w:val="32"/>
          <w:highlight w:val="none"/>
        </w:rPr>
        <w:t>联合体协议书</w:t>
      </w:r>
    </w:p>
    <w:p>
      <w:pPr>
        <w:snapToGrid w:val="0"/>
        <w:ind w:firstLine="480"/>
        <w:rPr>
          <w:rFonts w:ascii="宋体" w:hAnsi="宋体"/>
          <w:color w:val="auto"/>
          <w:highlight w:val="none"/>
        </w:rPr>
      </w:pPr>
      <w:r>
        <w:rPr>
          <w:rFonts w:hint="eastAsia" w:ascii="宋体" w:hAnsi="宋体"/>
          <w:color w:val="auto"/>
          <w:highlight w:val="none"/>
        </w:rPr>
        <w:t>中国计量大学：</w:t>
      </w:r>
    </w:p>
    <w:p>
      <w:pPr>
        <w:snapToGrid w:val="0"/>
        <w:ind w:firstLine="480"/>
        <w:rPr>
          <w:rFonts w:ascii="宋体" w:hAnsi="宋体"/>
          <w:color w:val="auto"/>
          <w:highlight w:val="none"/>
        </w:rPr>
      </w:pPr>
      <w:r>
        <w:rPr>
          <w:rFonts w:hint="eastAsia" w:ascii="宋体" w:hAnsi="宋体"/>
          <w:color w:val="auto"/>
          <w:highlight w:val="none"/>
        </w:rPr>
        <w:t>（所有成员单位名称）自愿组成联合体，共同参加    （项目名称）投标。现就联合体投标事宜订立如下协议。</w:t>
      </w:r>
    </w:p>
    <w:p>
      <w:pPr>
        <w:snapToGrid w:val="0"/>
        <w:ind w:firstLine="480"/>
        <w:rPr>
          <w:rFonts w:ascii="宋体" w:hAnsi="宋体"/>
          <w:color w:val="auto"/>
          <w:highlight w:val="none"/>
        </w:rPr>
      </w:pPr>
      <w:r>
        <w:rPr>
          <w:rFonts w:hint="eastAsia" w:ascii="宋体" w:hAnsi="宋体"/>
          <w:color w:val="auto"/>
          <w:highlight w:val="none"/>
        </w:rPr>
        <w:t>1、   （某成员单位名称）为    （联合体名称）牵头人。</w:t>
      </w:r>
    </w:p>
    <w:p>
      <w:pPr>
        <w:snapToGrid w:val="0"/>
        <w:ind w:firstLine="480"/>
        <w:rPr>
          <w:rFonts w:ascii="宋体" w:hAnsi="宋体"/>
          <w:color w:val="auto"/>
          <w:highlight w:val="none"/>
        </w:rPr>
      </w:pPr>
      <w:r>
        <w:rPr>
          <w:rFonts w:hint="eastAsia" w:ascii="宋体" w:hAnsi="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napToGrid w:val="0"/>
        <w:ind w:firstLine="480"/>
        <w:rPr>
          <w:rFonts w:ascii="宋体" w:hAnsi="宋体"/>
          <w:color w:val="auto"/>
          <w:highlight w:val="none"/>
        </w:rPr>
      </w:pPr>
      <w:r>
        <w:rPr>
          <w:rFonts w:hint="eastAsia" w:ascii="宋体" w:hAnsi="宋体"/>
          <w:color w:val="auto"/>
          <w:highlight w:val="none"/>
        </w:rPr>
        <w:t xml:space="preserve">4、联合体各成员单位内部的职责分工如下：                  </w:t>
      </w:r>
    </w:p>
    <w:p>
      <w:pPr>
        <w:snapToGrid w:val="0"/>
        <w:ind w:firstLine="480"/>
        <w:rPr>
          <w:rFonts w:ascii="宋体" w:hAnsi="宋体"/>
          <w:color w:val="auto"/>
          <w:highlight w:val="none"/>
        </w:rPr>
      </w:pPr>
      <w:r>
        <w:rPr>
          <w:rFonts w:hint="eastAsia" w:ascii="宋体" w:hAnsi="宋体"/>
          <w:color w:val="auto"/>
          <w:highlight w:val="none"/>
        </w:rPr>
        <w:t xml:space="preserve">    。</w:t>
      </w:r>
    </w:p>
    <w:p>
      <w:pPr>
        <w:snapToGrid w:val="0"/>
        <w:ind w:firstLine="480"/>
        <w:rPr>
          <w:rFonts w:ascii="宋体" w:hAnsi="宋体"/>
          <w:color w:val="auto"/>
          <w:highlight w:val="none"/>
        </w:rPr>
      </w:pPr>
      <w:r>
        <w:rPr>
          <w:rFonts w:hint="eastAsia" w:ascii="宋体" w:hAnsi="宋体"/>
          <w:color w:val="auto"/>
          <w:highlight w:val="none"/>
        </w:rPr>
        <w:t>5、作为联合体组成双方对本次报价予以确认，并承诺按此价格保质保量完成对应工作内容。</w:t>
      </w:r>
    </w:p>
    <w:p>
      <w:pPr>
        <w:snapToGrid w:val="0"/>
        <w:ind w:firstLine="480"/>
        <w:rPr>
          <w:rFonts w:ascii="宋体" w:hAnsi="宋体"/>
          <w:color w:val="auto"/>
          <w:highlight w:val="none"/>
        </w:rPr>
      </w:pPr>
      <w:r>
        <w:rPr>
          <w:rFonts w:hint="eastAsia" w:ascii="宋体" w:hAnsi="宋体"/>
          <w:color w:val="auto"/>
          <w:highlight w:val="none"/>
        </w:rPr>
        <w:t>6、本协议书自签署之日起生效，合同履行完毕后自动失效。</w:t>
      </w:r>
    </w:p>
    <w:p>
      <w:pPr>
        <w:snapToGrid w:val="0"/>
        <w:ind w:firstLine="480"/>
        <w:rPr>
          <w:rFonts w:ascii="宋体" w:hAnsi="宋体"/>
          <w:color w:val="auto"/>
          <w:highlight w:val="none"/>
        </w:rPr>
      </w:pPr>
      <w:r>
        <w:rPr>
          <w:rFonts w:hint="eastAsia" w:ascii="宋体" w:hAnsi="宋体"/>
          <w:color w:val="auto"/>
          <w:highlight w:val="none"/>
        </w:rPr>
        <w:t>7、本协议书一式     份，联合体成员和采购人各执一份。</w:t>
      </w:r>
    </w:p>
    <w:p>
      <w:pPr>
        <w:snapToGrid w:val="0"/>
        <w:ind w:firstLine="480"/>
        <w:rPr>
          <w:rFonts w:ascii="宋体" w:hAnsi="宋体"/>
          <w:color w:val="auto"/>
          <w:highlight w:val="none"/>
        </w:rPr>
      </w:pPr>
      <w:r>
        <w:rPr>
          <w:rFonts w:hint="eastAsia" w:ascii="宋体" w:hAnsi="宋体"/>
          <w:color w:val="auto"/>
          <w:highlight w:val="none"/>
        </w:rPr>
        <w:t>注：本协议书由委托代理人签字的，应附法定代表人签字的授权委托书。</w:t>
      </w:r>
    </w:p>
    <w:p>
      <w:pPr>
        <w:snapToGrid w:val="0"/>
        <w:ind w:firstLine="480"/>
        <w:rPr>
          <w:rFonts w:ascii="宋体" w:hAnsi="宋体"/>
          <w:color w:val="auto"/>
          <w:highlight w:val="none"/>
        </w:rPr>
      </w:pP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牵头人名称：（盖单位章）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成员名称：（盖单位章）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82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vssNkAAAAJAQAADwAAAAAAAAABACAAAAAiAAAAZHJzL2Rvd25yZXYueG1sUEsB&#10;AhQAFAAAAAgAh07iQDv4dZT0AQAA9gMAAA4AAAAAAAAAAQAgAAAAKAEAAGRycy9lMm9Eb2MueG1s&#10;UEsFBgAAAAAGAAYAWQEAAI4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96" w:name="_Toc6136"/>
      <w:r>
        <w:rPr>
          <w:rFonts w:hint="eastAsia" w:ascii="宋体" w:hAnsi="宋体" w:cs="宋体"/>
          <w:b/>
          <w:color w:val="auto"/>
          <w:kern w:val="0"/>
          <w:sz w:val="36"/>
          <w:highlight w:val="none"/>
        </w:rPr>
        <w:t>报价文件目录</w:t>
      </w:r>
      <w:bookmarkEnd w:id="96"/>
    </w:p>
    <w:p>
      <w:pPr>
        <w:ind w:firstLine="480"/>
        <w:outlineLvl w:val="0"/>
        <w:rPr>
          <w:rFonts w:ascii="宋体" w:hAnsi="宋体" w:cs="宋体"/>
          <w:color w:val="auto"/>
          <w:kern w:val="0"/>
          <w:highlight w:val="none"/>
        </w:rPr>
      </w:pPr>
      <w:bookmarkStart w:id="97" w:name="_Toc16666"/>
      <w:r>
        <w:rPr>
          <w:rFonts w:hint="eastAsia" w:ascii="宋体" w:hAnsi="宋体" w:cs="宋体"/>
          <w:color w:val="auto"/>
          <w:kern w:val="0"/>
          <w:highlight w:val="none"/>
        </w:rPr>
        <w:t>（1）投标响应函………………………………………………………………（页码）</w:t>
      </w:r>
      <w:bookmarkEnd w:id="97"/>
    </w:p>
    <w:p>
      <w:pPr>
        <w:ind w:firstLine="480"/>
        <w:outlineLvl w:val="0"/>
        <w:rPr>
          <w:rFonts w:ascii="宋体" w:hAnsi="宋体" w:cs="宋体"/>
          <w:color w:val="auto"/>
          <w:kern w:val="0"/>
          <w:highlight w:val="none"/>
        </w:rPr>
      </w:pPr>
      <w:bookmarkStart w:id="98" w:name="_Toc9814"/>
      <w:r>
        <w:rPr>
          <w:rFonts w:hint="eastAsia" w:ascii="宋体" w:hAnsi="宋体" w:cs="宋体"/>
          <w:color w:val="auto"/>
          <w:kern w:val="0"/>
          <w:highlight w:val="none"/>
        </w:rPr>
        <w:t>（2）开标一览表………………………………………………………………（页码）</w:t>
      </w:r>
      <w:bookmarkEnd w:id="98"/>
    </w:p>
    <w:p>
      <w:pPr>
        <w:ind w:firstLine="480"/>
        <w:outlineLvl w:val="0"/>
        <w:rPr>
          <w:rFonts w:ascii="宋体" w:hAnsi="宋体" w:cs="宋体"/>
          <w:color w:val="auto"/>
          <w:kern w:val="0"/>
          <w:highlight w:val="none"/>
        </w:rPr>
      </w:pPr>
      <w:bookmarkStart w:id="99" w:name="_Toc10349"/>
      <w:r>
        <w:rPr>
          <w:rFonts w:hint="eastAsia" w:ascii="宋体" w:hAnsi="宋体" w:cs="宋体"/>
          <w:color w:val="auto"/>
          <w:kern w:val="0"/>
          <w:highlight w:val="none"/>
        </w:rPr>
        <w:t>（3）投标报价明细表…………………………………………………………（页码）</w:t>
      </w:r>
      <w:bookmarkEnd w:id="99"/>
    </w:p>
    <w:p>
      <w:pPr>
        <w:ind w:firstLine="480"/>
        <w:outlineLvl w:val="0"/>
        <w:rPr>
          <w:rFonts w:ascii="宋体" w:hAnsi="宋体" w:cs="宋体"/>
          <w:color w:val="auto"/>
          <w:highlight w:val="none"/>
        </w:rPr>
      </w:pPr>
      <w:bookmarkStart w:id="100"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00"/>
    </w:p>
    <w:p>
      <w:pPr>
        <w:pStyle w:val="6"/>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(投标人全称)授权(全权代表姓名)(职务、职称)为全权代表，参加贵方组织的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5</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1" w:name="_Toc14446"/>
      <w:r>
        <w:rPr>
          <w:rFonts w:hint="eastAsia" w:ascii="宋体" w:hAnsi="宋体" w:eastAsia="宋体" w:cs="宋体"/>
          <w:bCs/>
          <w:color w:val="auto"/>
          <w:kern w:val="2"/>
          <w:sz w:val="24"/>
          <w:szCs w:val="32"/>
          <w:highlight w:val="none"/>
        </w:rPr>
        <w:t>开标一览表</w:t>
      </w:r>
      <w:bookmarkEnd w:id="101"/>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02"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编号：]项目名称：]的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02"/>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金额单位：</w:t>
      </w:r>
    </w:p>
    <w:tbl>
      <w:tblPr>
        <w:tblStyle w:val="39"/>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3" w:name="_Toc17346"/>
      <w:r>
        <w:rPr>
          <w:rFonts w:hint="eastAsia" w:ascii="宋体" w:hAnsi="宋体" w:eastAsia="宋体" w:cs="宋体"/>
          <w:bCs/>
          <w:color w:val="auto"/>
          <w:kern w:val="2"/>
          <w:sz w:val="24"/>
          <w:szCs w:val="32"/>
          <w:highlight w:val="none"/>
        </w:rPr>
        <w:t>投标报价明细表</w:t>
      </w:r>
      <w:bookmarkEnd w:id="103"/>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项目名称：           项目编号：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金额单位：</w:t>
      </w:r>
    </w:p>
    <w:tbl>
      <w:tblPr>
        <w:tblStyle w:val="39"/>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95"/>
        <w:gridCol w:w="1260"/>
        <w:gridCol w:w="1158"/>
        <w:gridCol w:w="717"/>
        <w:gridCol w:w="938"/>
        <w:gridCol w:w="938"/>
        <w:gridCol w:w="938"/>
        <w:gridCol w:w="7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1095"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260"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158"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717"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938"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938"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供货期</w:t>
            </w:r>
          </w:p>
        </w:tc>
        <w:tc>
          <w:tcPr>
            <w:tcW w:w="938" w:type="dxa"/>
            <w:tcBorders>
              <w:top w:val="doub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717" w:type="dxa"/>
            <w:tcBorders>
              <w:top w:val="double" w:color="auto" w:sz="4" w:space="0"/>
              <w:left w:val="single" w:color="auto" w:sz="4" w:space="0"/>
              <w:bottom w:val="single" w:color="auto" w:sz="4" w:space="0"/>
              <w:right w:val="double" w:color="auto" w:sz="4" w:space="0"/>
            </w:tcBorders>
            <w:noWrap/>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1095"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noWrap/>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1095"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noWrap/>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1095"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noWrap/>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1095"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noWrap/>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67" w:type="dxa"/>
            <w:tcBorders>
              <w:top w:val="double" w:color="auto" w:sz="4" w:space="0"/>
              <w:left w:val="doub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1095"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noWrap/>
            <w:vAlign w:val="center"/>
          </w:tcPr>
          <w:p>
            <w:pPr>
              <w:ind w:firstLine="0" w:firstLineChars="0"/>
              <w:jc w:val="center"/>
              <w:rPr>
                <w:rFonts w:ascii="宋体" w:hAnsi="宋体"/>
                <w:color w:val="auto"/>
                <w:spacing w:val="20"/>
                <w:highlight w:val="none"/>
              </w:rPr>
            </w:pP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2.本公司参加中国计量大学（项目名称）采购活动（按投标形式选择填写）：</w:t>
      </w:r>
    </w:p>
    <w:p>
      <w:pPr>
        <w:ind w:firstLine="480"/>
        <w:rPr>
          <w:rFonts w:hint="eastAsia" w:ascii="宋体" w:hAnsi="宋体" w:cs="宋体"/>
          <w:highlight w:val="none"/>
        </w:rPr>
      </w:pPr>
      <w:r>
        <w:rPr>
          <w:rFonts w:hint="eastAsia" w:ascii="宋体" w:hAnsi="宋体" w:cs="宋体"/>
          <w:highlight w:val="none"/>
        </w:rPr>
        <w:t>（1）□本公司为直接投标人提供本企业提供的</w:t>
      </w:r>
      <w:r>
        <w:rPr>
          <w:rFonts w:hint="eastAsia" w:ascii="宋体" w:hAnsi="宋体" w:cs="宋体"/>
          <w:highlight w:val="none"/>
          <w:lang w:val="en-US" w:eastAsia="zh-CN"/>
        </w:rPr>
        <w:t>货物</w:t>
      </w:r>
      <w:r>
        <w:rPr>
          <w:rFonts w:hint="eastAsia" w:ascii="宋体" w:hAnsi="宋体" w:cs="宋体"/>
          <w:highlight w:val="none"/>
        </w:rPr>
        <w:t>。</w:t>
      </w:r>
    </w:p>
    <w:p>
      <w:pPr>
        <w:ind w:firstLine="480"/>
        <w:rPr>
          <w:rFonts w:ascii="宋体" w:hAnsi="宋体"/>
          <w:sz w:val="24"/>
          <w:highlight w:val="none"/>
        </w:rPr>
      </w:pPr>
      <w:r>
        <w:rPr>
          <w:rFonts w:hint="eastAsia" w:ascii="宋体" w:hAnsi="宋体"/>
          <w:sz w:val="24"/>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bookmarkStart w:id="105" w:name="_GoBack"/>
      <w:bookmarkEnd w:id="105"/>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82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177LDZAAAACQEAAA8AAAAAAAAAAQAgAAAAIgAAAGRycy9kb3ducmV2LnhtbFBL&#10;AQIUABQAAAAIAIdO4kDay7Ha9QEAAPYDAAAOAAAAAAAAAAEAIAAAACg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04"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04"/>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……………………………（页码）</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……………………………………………………………………（页码）</w:t>
      </w:r>
    </w:p>
    <w:p>
      <w:pPr>
        <w:numPr>
          <w:ilvl w:val="0"/>
          <w:numId w:val="16"/>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………………………………………………………………（页码）</w:t>
      </w:r>
    </w:p>
    <w:p>
      <w:pPr>
        <w:numPr>
          <w:ilvl w:val="0"/>
          <w:numId w:val="16"/>
        </w:numPr>
        <w:ind w:firstLineChars="0"/>
        <w:rPr>
          <w:color w:val="auto"/>
          <w:highlight w:val="none"/>
        </w:rPr>
      </w:pPr>
      <w:r>
        <w:rPr>
          <w:rFonts w:hint="eastAsia" w:ascii="宋体" w:hAnsi="宋体" w:cs="宋体"/>
          <w:color w:val="auto"/>
          <w:kern w:val="0"/>
          <w:highlight w:val="none"/>
        </w:rPr>
        <w:t>技术服务方案………………………………………………………………（页码）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（投标人全称）法定代表人</w:t>
      </w:r>
    </w:p>
    <w:p>
      <w:pPr>
        <w:ind w:firstLine="0" w:firstLineChars="0"/>
        <w:rPr>
          <w:rFonts w:ascii="宋体" w:hAnsi="宋体" w:cs="宋体"/>
          <w:color w:val="auto"/>
          <w:highlight w:val="none"/>
        </w:rPr>
      </w:pPr>
      <w:r>
        <w:rPr>
          <w:rFonts w:hint="eastAsia" w:ascii="宋体" w:hAnsi="宋体" w:cs="宋体"/>
          <w:color w:val="auto"/>
          <w:highlight w:val="none"/>
        </w:rPr>
        <w:t>授权（全权代表姓名、职务）为全权代表，参加贵方组织的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本授权书于年月日签署生效，特此声明。</w:t>
      </w:r>
    </w:p>
    <w:p>
      <w:pPr>
        <w:ind w:firstLine="0" w:firstLineChars="0"/>
        <w:rPr>
          <w:rFonts w:ascii="宋体" w:hAnsi="宋体" w:cs="宋体"/>
          <w:color w:val="auto"/>
          <w:highlight w:val="none"/>
        </w:rPr>
      </w:pP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附件十四 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highlight w:val="none"/>
        </w:rPr>
      </w:pPr>
    </w:p>
    <w:p>
      <w:pPr>
        <w:ind w:firstLine="480"/>
        <w:rPr>
          <w:rFonts w:ascii="宋体" w:hAnsi="宋体"/>
          <w:color w:val="auto"/>
          <w:highlight w:val="none"/>
        </w:rPr>
      </w:pPr>
    </w:p>
    <w:p>
      <w:pPr>
        <w:ind w:firstLine="480"/>
        <w:rPr>
          <w:color w:val="auto"/>
          <w:highlight w:val="none"/>
        </w:rPr>
      </w:pPr>
      <w:r>
        <w:rPr>
          <w:rFonts w:hint="eastAsia"/>
          <w:color w:val="auto"/>
          <w:highlight w:val="none"/>
        </w:rPr>
        <w:br w:type="page"/>
      </w:r>
    </w:p>
    <w:bookmarkEnd w:id="54"/>
    <w:bookmarkEnd w:id="55"/>
    <w:bookmarkEnd w:id="56"/>
    <w:bookmarkEnd w:id="57"/>
    <w:bookmarkEnd w:id="58"/>
    <w:bookmarkEnd w:id="59"/>
    <w:bookmarkEnd w:id="60"/>
    <w:bookmarkEnd w:id="61"/>
    <w:p>
      <w:pPr>
        <w:pStyle w:val="6"/>
        <w:rPr>
          <w:rFonts w:ascii="宋体" w:hAnsi="宋体" w:cs="宋体"/>
          <w:color w:val="auto"/>
          <w:highlight w:val="none"/>
        </w:rPr>
      </w:pPr>
      <w:r>
        <w:rPr>
          <w:rFonts w:hint="eastAsia" w:ascii="宋体" w:hAnsi="宋体" w:cs="宋体"/>
          <w:color w:val="auto"/>
          <w:highlight w:val="none"/>
        </w:rPr>
        <w:t>附件十五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H92mey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c9fCOz&#10;AQAAWw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63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jDtXrIB&#10;AABbAwAADgAAAAAAAAABACAAAAAeAQAAZHJzL2Uyb0RvYy54bWxQSwUGAAAAAAYABgBZAQAAQgUA&#10;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63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k20u3YAAAADAEAAA8AAAAAAAAAAQAgAAAAIgAAAGRycy9kb3ducmV2LnhtbFBLAQIUABQAAAAI&#10;AIdO4kBbCpj7tAEAAFoDAAAOAAAAAAAAAAEAIAAAACcBAABkcnMvZTJvRG9jLnhtbFBLBQYAAAAA&#10;BgAGAFkBAABNBQ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rPr>
        <w:lang w:val="zh-CN"/>
      </w:rP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E88mSW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JOMd8G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Dm01eG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41C5F5BA"/>
    <w:multiLevelType w:val="singleLevel"/>
    <w:tmpl w:val="41C5F5BA"/>
    <w:lvl w:ilvl="0" w:tentative="0">
      <w:start w:val="1"/>
      <w:numFmt w:val="decimal"/>
      <w:lvlText w:val="%1."/>
      <w:lvlJc w:val="left"/>
      <w:pPr>
        <w:ind w:left="425" w:hanging="425"/>
      </w:pPr>
      <w:rPr>
        <w:rFonts w:hint="default"/>
      </w:rPr>
    </w:lvl>
  </w:abstractNum>
  <w:abstractNum w:abstractNumId="11">
    <w:nsid w:val="4BFDDBFF"/>
    <w:multiLevelType w:val="singleLevel"/>
    <w:tmpl w:val="4BFDDBFF"/>
    <w:lvl w:ilvl="0" w:tentative="0">
      <w:start w:val="1"/>
      <w:numFmt w:val="decimal"/>
      <w:suff w:val="nothing"/>
      <w:lvlText w:val="（%1）"/>
      <w:lvlJc w:val="left"/>
    </w:lvl>
  </w:abstractNum>
  <w:abstractNum w:abstractNumId="1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76112D"/>
    <w:multiLevelType w:val="singleLevel"/>
    <w:tmpl w:val="7E76112D"/>
    <w:lvl w:ilvl="0" w:tentative="0">
      <w:start w:val="9"/>
      <w:numFmt w:val="decimal"/>
      <w:lvlText w:val="%1."/>
      <w:lvlJc w:val="left"/>
      <w:pPr>
        <w:tabs>
          <w:tab w:val="left" w:pos="312"/>
        </w:tabs>
      </w:pPr>
    </w:lvl>
  </w:abstractNum>
  <w:num w:numId="1">
    <w:abstractNumId w:val="12"/>
  </w:num>
  <w:num w:numId="2">
    <w:abstractNumId w:val="14"/>
  </w:num>
  <w:num w:numId="3">
    <w:abstractNumId w:val="8"/>
  </w:num>
  <w:num w:numId="4">
    <w:abstractNumId w:val="10"/>
  </w:num>
  <w:num w:numId="5">
    <w:abstractNumId w:val="11"/>
  </w:num>
  <w:num w:numId="6">
    <w:abstractNumId w:val="2"/>
  </w:num>
  <w:num w:numId="7">
    <w:abstractNumId w:val="4"/>
  </w:num>
  <w:num w:numId="8">
    <w:abstractNumId w:val="1"/>
  </w:num>
  <w:num w:numId="9">
    <w:abstractNumId w:val="15"/>
  </w:num>
  <w:num w:numId="10">
    <w:abstractNumId w:val="7"/>
  </w:num>
  <w:num w:numId="11">
    <w:abstractNumId w:val="5"/>
  </w:num>
  <w:num w:numId="12">
    <w:abstractNumId w:val="13"/>
  </w:num>
  <w:num w:numId="13">
    <w:abstractNumId w:val="6"/>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45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4E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10E3"/>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3103"/>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520BC4"/>
    <w:rsid w:val="01A01AFA"/>
    <w:rsid w:val="01A9153E"/>
    <w:rsid w:val="01C915B4"/>
    <w:rsid w:val="01CB5453"/>
    <w:rsid w:val="01E26FF1"/>
    <w:rsid w:val="02132159"/>
    <w:rsid w:val="0269067C"/>
    <w:rsid w:val="02F01C71"/>
    <w:rsid w:val="04415EE3"/>
    <w:rsid w:val="05273450"/>
    <w:rsid w:val="05B01605"/>
    <w:rsid w:val="06F32C4C"/>
    <w:rsid w:val="07221759"/>
    <w:rsid w:val="07845EBA"/>
    <w:rsid w:val="07996EB4"/>
    <w:rsid w:val="079E733B"/>
    <w:rsid w:val="07D945DC"/>
    <w:rsid w:val="07F07569"/>
    <w:rsid w:val="082D669C"/>
    <w:rsid w:val="092D4ADB"/>
    <w:rsid w:val="094B0040"/>
    <w:rsid w:val="096D0679"/>
    <w:rsid w:val="09A13A7B"/>
    <w:rsid w:val="09D51869"/>
    <w:rsid w:val="0A676977"/>
    <w:rsid w:val="0B5673B8"/>
    <w:rsid w:val="0BA33880"/>
    <w:rsid w:val="0C6A240E"/>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667568"/>
    <w:rsid w:val="15871E93"/>
    <w:rsid w:val="15F003C1"/>
    <w:rsid w:val="15F61009"/>
    <w:rsid w:val="15FC3115"/>
    <w:rsid w:val="17445402"/>
    <w:rsid w:val="182E60ED"/>
    <w:rsid w:val="18E00489"/>
    <w:rsid w:val="19282791"/>
    <w:rsid w:val="192C2D7A"/>
    <w:rsid w:val="19810432"/>
    <w:rsid w:val="19F45009"/>
    <w:rsid w:val="1A5E1863"/>
    <w:rsid w:val="1AB83062"/>
    <w:rsid w:val="1D7C153E"/>
    <w:rsid w:val="1E055C9E"/>
    <w:rsid w:val="1E646060"/>
    <w:rsid w:val="1E8D072E"/>
    <w:rsid w:val="1F0136F8"/>
    <w:rsid w:val="1F8A0112"/>
    <w:rsid w:val="20015A6D"/>
    <w:rsid w:val="200C3AA1"/>
    <w:rsid w:val="20173234"/>
    <w:rsid w:val="20B733EB"/>
    <w:rsid w:val="20CB3924"/>
    <w:rsid w:val="21220D3E"/>
    <w:rsid w:val="214A3DCF"/>
    <w:rsid w:val="21BF72A1"/>
    <w:rsid w:val="21C3592D"/>
    <w:rsid w:val="21C55F53"/>
    <w:rsid w:val="21FC530F"/>
    <w:rsid w:val="225A2932"/>
    <w:rsid w:val="22A84E37"/>
    <w:rsid w:val="22FF52B3"/>
    <w:rsid w:val="233A2E59"/>
    <w:rsid w:val="23594B35"/>
    <w:rsid w:val="23EA5690"/>
    <w:rsid w:val="244157BB"/>
    <w:rsid w:val="247240E4"/>
    <w:rsid w:val="24CA3246"/>
    <w:rsid w:val="24D54DB0"/>
    <w:rsid w:val="24F82B87"/>
    <w:rsid w:val="256C4FF8"/>
    <w:rsid w:val="25D27E7B"/>
    <w:rsid w:val="26700C16"/>
    <w:rsid w:val="274F2171"/>
    <w:rsid w:val="275E0F3C"/>
    <w:rsid w:val="27797DE0"/>
    <w:rsid w:val="27965B8B"/>
    <w:rsid w:val="282657F7"/>
    <w:rsid w:val="28FC2B68"/>
    <w:rsid w:val="29172B11"/>
    <w:rsid w:val="29223179"/>
    <w:rsid w:val="29523F82"/>
    <w:rsid w:val="297F63E2"/>
    <w:rsid w:val="29AA4023"/>
    <w:rsid w:val="29BB51C4"/>
    <w:rsid w:val="29FF498C"/>
    <w:rsid w:val="2A3B1864"/>
    <w:rsid w:val="2A456589"/>
    <w:rsid w:val="2A5B4807"/>
    <w:rsid w:val="2AC46B39"/>
    <w:rsid w:val="2ADE0C2E"/>
    <w:rsid w:val="2B16314B"/>
    <w:rsid w:val="2B53670E"/>
    <w:rsid w:val="2C0E274C"/>
    <w:rsid w:val="2C1864B9"/>
    <w:rsid w:val="2C274826"/>
    <w:rsid w:val="2C3042EA"/>
    <w:rsid w:val="2C5466FC"/>
    <w:rsid w:val="2CD55087"/>
    <w:rsid w:val="2D4477EE"/>
    <w:rsid w:val="2DC41DAC"/>
    <w:rsid w:val="2DD4300E"/>
    <w:rsid w:val="2E413F38"/>
    <w:rsid w:val="2EC14611"/>
    <w:rsid w:val="30300320"/>
    <w:rsid w:val="305E4CC4"/>
    <w:rsid w:val="31C47AF9"/>
    <w:rsid w:val="31EE4BAA"/>
    <w:rsid w:val="31F5436E"/>
    <w:rsid w:val="32243194"/>
    <w:rsid w:val="3263631F"/>
    <w:rsid w:val="32C00D78"/>
    <w:rsid w:val="33222A9A"/>
    <w:rsid w:val="33277A4F"/>
    <w:rsid w:val="332D1CBE"/>
    <w:rsid w:val="33480719"/>
    <w:rsid w:val="339D5261"/>
    <w:rsid w:val="34955EDA"/>
    <w:rsid w:val="349A334C"/>
    <w:rsid w:val="34CA78C0"/>
    <w:rsid w:val="35586223"/>
    <w:rsid w:val="35A418C4"/>
    <w:rsid w:val="36253B84"/>
    <w:rsid w:val="368920CF"/>
    <w:rsid w:val="37D078F7"/>
    <w:rsid w:val="37F76452"/>
    <w:rsid w:val="38436088"/>
    <w:rsid w:val="38CE707C"/>
    <w:rsid w:val="39104B12"/>
    <w:rsid w:val="3A1B760C"/>
    <w:rsid w:val="3A604C15"/>
    <w:rsid w:val="3B216441"/>
    <w:rsid w:val="3BFB42C7"/>
    <w:rsid w:val="3CAA46F7"/>
    <w:rsid w:val="3CE57D2D"/>
    <w:rsid w:val="3CE77BA9"/>
    <w:rsid w:val="3E217459"/>
    <w:rsid w:val="3E221038"/>
    <w:rsid w:val="3F255D56"/>
    <w:rsid w:val="3F416A26"/>
    <w:rsid w:val="4082593F"/>
    <w:rsid w:val="415B0151"/>
    <w:rsid w:val="41681941"/>
    <w:rsid w:val="41E47D60"/>
    <w:rsid w:val="423D6569"/>
    <w:rsid w:val="44560F40"/>
    <w:rsid w:val="44720E16"/>
    <w:rsid w:val="44B40707"/>
    <w:rsid w:val="44C41913"/>
    <w:rsid w:val="44D619FA"/>
    <w:rsid w:val="45A42FFE"/>
    <w:rsid w:val="45E54860"/>
    <w:rsid w:val="466C6EAA"/>
    <w:rsid w:val="47C12905"/>
    <w:rsid w:val="482B2304"/>
    <w:rsid w:val="4853715D"/>
    <w:rsid w:val="48857FBF"/>
    <w:rsid w:val="48DE11B8"/>
    <w:rsid w:val="49205619"/>
    <w:rsid w:val="4922547B"/>
    <w:rsid w:val="49D54F3C"/>
    <w:rsid w:val="4A1F67CA"/>
    <w:rsid w:val="4AB7573A"/>
    <w:rsid w:val="4AC061CC"/>
    <w:rsid w:val="4AC63524"/>
    <w:rsid w:val="4B8A72CF"/>
    <w:rsid w:val="4B916FA0"/>
    <w:rsid w:val="4B972445"/>
    <w:rsid w:val="4C1065B5"/>
    <w:rsid w:val="4C70027F"/>
    <w:rsid w:val="4D943011"/>
    <w:rsid w:val="4DDF3F73"/>
    <w:rsid w:val="4F8119B1"/>
    <w:rsid w:val="4F92238A"/>
    <w:rsid w:val="4FE062A3"/>
    <w:rsid w:val="500269BC"/>
    <w:rsid w:val="5043798C"/>
    <w:rsid w:val="50731BAF"/>
    <w:rsid w:val="510E0E2A"/>
    <w:rsid w:val="515B5BAE"/>
    <w:rsid w:val="51C25525"/>
    <w:rsid w:val="52250F63"/>
    <w:rsid w:val="523633D6"/>
    <w:rsid w:val="5298489A"/>
    <w:rsid w:val="52E223AA"/>
    <w:rsid w:val="53FD089E"/>
    <w:rsid w:val="54321EEE"/>
    <w:rsid w:val="54453B17"/>
    <w:rsid w:val="54963849"/>
    <w:rsid w:val="55323649"/>
    <w:rsid w:val="556A2FD5"/>
    <w:rsid w:val="55D634ED"/>
    <w:rsid w:val="56AF0C3B"/>
    <w:rsid w:val="56B332E9"/>
    <w:rsid w:val="571826D1"/>
    <w:rsid w:val="57C62622"/>
    <w:rsid w:val="585D5FB5"/>
    <w:rsid w:val="593B0594"/>
    <w:rsid w:val="59BF3C49"/>
    <w:rsid w:val="5C0B789C"/>
    <w:rsid w:val="5C372F37"/>
    <w:rsid w:val="5CC441E1"/>
    <w:rsid w:val="5CE760ED"/>
    <w:rsid w:val="5D673A5A"/>
    <w:rsid w:val="5D8D5661"/>
    <w:rsid w:val="5DD710EB"/>
    <w:rsid w:val="5EA62EF7"/>
    <w:rsid w:val="5EBA517D"/>
    <w:rsid w:val="5EEC4DA1"/>
    <w:rsid w:val="5F281498"/>
    <w:rsid w:val="600960AF"/>
    <w:rsid w:val="62CE0974"/>
    <w:rsid w:val="62E0024A"/>
    <w:rsid w:val="63463232"/>
    <w:rsid w:val="641724DD"/>
    <w:rsid w:val="648D4DC3"/>
    <w:rsid w:val="64937B40"/>
    <w:rsid w:val="64E414E0"/>
    <w:rsid w:val="656B25DE"/>
    <w:rsid w:val="65991807"/>
    <w:rsid w:val="665F1C74"/>
    <w:rsid w:val="66687E2A"/>
    <w:rsid w:val="66730C34"/>
    <w:rsid w:val="66A43656"/>
    <w:rsid w:val="66EF7312"/>
    <w:rsid w:val="6715553C"/>
    <w:rsid w:val="67822F4A"/>
    <w:rsid w:val="67A04650"/>
    <w:rsid w:val="680F0D3C"/>
    <w:rsid w:val="687A3370"/>
    <w:rsid w:val="68F63773"/>
    <w:rsid w:val="69814EAD"/>
    <w:rsid w:val="6AAC6B9E"/>
    <w:rsid w:val="6B865118"/>
    <w:rsid w:val="6B8A06CA"/>
    <w:rsid w:val="6BA33D7F"/>
    <w:rsid w:val="6BF32268"/>
    <w:rsid w:val="6BFC2786"/>
    <w:rsid w:val="6C0D5A20"/>
    <w:rsid w:val="6C1E03F6"/>
    <w:rsid w:val="6C2C2459"/>
    <w:rsid w:val="6C35332C"/>
    <w:rsid w:val="6C887360"/>
    <w:rsid w:val="6CB561F9"/>
    <w:rsid w:val="6D476454"/>
    <w:rsid w:val="6E39307B"/>
    <w:rsid w:val="6E875598"/>
    <w:rsid w:val="6EAC6D88"/>
    <w:rsid w:val="6F0247A4"/>
    <w:rsid w:val="6F2C13F5"/>
    <w:rsid w:val="70730315"/>
    <w:rsid w:val="709A551D"/>
    <w:rsid w:val="71E963C9"/>
    <w:rsid w:val="72B566B1"/>
    <w:rsid w:val="72BC0BF9"/>
    <w:rsid w:val="72D14842"/>
    <w:rsid w:val="74425093"/>
    <w:rsid w:val="757C7A9C"/>
    <w:rsid w:val="758461E8"/>
    <w:rsid w:val="75B4359A"/>
    <w:rsid w:val="75DC2DB7"/>
    <w:rsid w:val="766E3BB5"/>
    <w:rsid w:val="76C84CCD"/>
    <w:rsid w:val="76F01E2B"/>
    <w:rsid w:val="76F22868"/>
    <w:rsid w:val="77672932"/>
    <w:rsid w:val="77EF2BAB"/>
    <w:rsid w:val="78E131DA"/>
    <w:rsid w:val="7AA01F48"/>
    <w:rsid w:val="7B0A05EE"/>
    <w:rsid w:val="7C4D5033"/>
    <w:rsid w:val="7C660A57"/>
    <w:rsid w:val="7C8B5068"/>
    <w:rsid w:val="7E785E85"/>
    <w:rsid w:val="7F753532"/>
    <w:rsid w:val="7FCD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5"/>
    <w:semiHidden/>
    <w:qFormat/>
    <w:uiPriority w:val="0"/>
    <w:rPr>
      <w:rFonts w:ascii="Arial Unicode MS" w:hAnsi="Arial Unicode MS" w:eastAsia="Arial Unicode MS" w:cs="Arial Unicode MS"/>
    </w:rPr>
  </w:style>
  <w:style w:type="character" w:customStyle="1" w:styleId="49">
    <w:name w:val="正文文本缩进 2 Char"/>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6"/>
    <w:qFormat/>
    <w:uiPriority w:val="0"/>
    <w:rPr>
      <w:b/>
      <w:bCs/>
      <w:kern w:val="2"/>
      <w:sz w:val="24"/>
      <w:szCs w:val="32"/>
    </w:rPr>
  </w:style>
  <w:style w:type="character" w:customStyle="1" w:styleId="54">
    <w:name w:val="批注主题 Char"/>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Char"/>
    <w:link w:val="25"/>
    <w:qFormat/>
    <w:uiPriority w:val="99"/>
    <w:rPr>
      <w:sz w:val="18"/>
      <w:szCs w:val="18"/>
    </w:rPr>
  </w:style>
  <w:style w:type="character" w:customStyle="1" w:styleId="68">
    <w:name w:val="标题 2 Char"/>
    <w:link w:val="5"/>
    <w:qFormat/>
    <w:uiPriority w:val="0"/>
    <w:rPr>
      <w:rFonts w:ascii="Cambria" w:hAnsi="Cambria" w:eastAsia="宋体"/>
      <w:b/>
      <w:bCs/>
      <w:kern w:val="2"/>
      <w:sz w:val="28"/>
      <w:szCs w:val="32"/>
    </w:rPr>
  </w:style>
  <w:style w:type="character" w:customStyle="1" w:styleId="69">
    <w:name w:val="正文文本 Char"/>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4"/>
    <w:semiHidden/>
    <w:qFormat/>
    <w:uiPriority w:val="0"/>
    <w:rPr>
      <w:rFonts w:ascii="Times New Roman" w:hAnsi="Times New Roman"/>
      <w:b/>
      <w:bCs/>
      <w:color w:val="000000"/>
      <w:kern w:val="2"/>
      <w:sz w:val="28"/>
      <w:szCs w:val="24"/>
    </w:rPr>
  </w:style>
  <w:style w:type="character" w:customStyle="1" w:styleId="78">
    <w:name w:val="正文文本缩进 Char"/>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1"/>
    <w:semiHidden/>
    <w:qFormat/>
    <w:uiPriority w:val="0"/>
    <w:rPr>
      <w:rFonts w:ascii="Times New Roman" w:hAnsi="Times New Roman"/>
      <w:kern w:val="2"/>
      <w:sz w:val="21"/>
      <w:szCs w:val="24"/>
    </w:rPr>
  </w:style>
  <w:style w:type="character" w:customStyle="1" w:styleId="81">
    <w:name w:val="正文文本缩进 3 Char"/>
    <w:link w:val="31"/>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4"/>
    <w:semiHidden/>
    <w:qFormat/>
    <w:uiPriority w:val="0"/>
    <w:rPr>
      <w:rFonts w:ascii="Times New Roman" w:hAnsi="Times New Roman" w:eastAsia="宋体" w:cs="Times New Roman"/>
      <w:sz w:val="18"/>
      <w:szCs w:val="18"/>
    </w:rPr>
  </w:style>
  <w:style w:type="character" w:customStyle="1" w:styleId="88">
    <w:name w:val="页眉 Char"/>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Char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2"/>
    <w:semiHidden/>
    <w:qFormat/>
    <w:uiPriority w:val="0"/>
    <w:rPr>
      <w:rFonts w:ascii="楷体_GB2312" w:hAnsi="Times New Roman" w:eastAsia="楷体_GB2312"/>
      <w:b/>
      <w:color w:val="000000"/>
      <w:kern w:val="2"/>
      <w:sz w:val="30"/>
      <w:szCs w:val="24"/>
    </w:rPr>
  </w:style>
  <w:style w:type="character" w:customStyle="1" w:styleId="96">
    <w:name w:val="标题 Char1"/>
    <w:link w:val="37"/>
    <w:qFormat/>
    <w:locked/>
    <w:uiPriority w:val="0"/>
    <w:rPr>
      <w:rFonts w:ascii="Times New Roman" w:hAnsi="Times New Roman"/>
      <w:kern w:val="2"/>
      <w:sz w:val="30"/>
      <w:szCs w:val="24"/>
    </w:rPr>
  </w:style>
  <w:style w:type="character" w:customStyle="1" w:styleId="97">
    <w:name w:val="标题 4 Char"/>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Char"/>
    <w:link w:val="6"/>
    <w:qFormat/>
    <w:uiPriority w:val="0"/>
    <w:rPr>
      <w:rFonts w:ascii="Times New Roman" w:hAnsi="Times New Roman"/>
      <w:b/>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5330</Words>
  <Characters>30383</Characters>
  <Lines>253</Lines>
  <Paragraphs>71</Paragraphs>
  <TotalTime>0</TotalTime>
  <ScaleCrop>false</ScaleCrop>
  <LinksUpToDate>false</LinksUpToDate>
  <CharactersWithSpaces>35642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TZ</cp:lastModifiedBy>
  <cp:lastPrinted>2018-11-09T06:35:00Z</cp:lastPrinted>
  <dcterms:modified xsi:type="dcterms:W3CDTF">2019-06-13T13:36:58Z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