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pacing w:val="-6"/>
          <w:sz w:val="52"/>
          <w:szCs w:val="72"/>
          <w:highlight w:val="none"/>
        </w:rPr>
      </w:pPr>
      <w:r>
        <w:rPr>
          <w:rFonts w:hint="eastAsia" w:ascii="宋体" w:hAnsi="宋体" w:eastAsia="宋体" w:cs="宋体"/>
          <w:b/>
          <w:color w:val="auto"/>
          <w:spacing w:val="-6"/>
          <w:sz w:val="52"/>
          <w:szCs w:val="72"/>
          <w:highlight w:val="none"/>
        </w:rPr>
        <w:t>2022年第19届亚运会组委会</w:t>
      </w: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p>
    <w:p>
      <w:pPr>
        <w:pStyle w:val="23"/>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72"/>
          <w:szCs w:val="72"/>
          <w:highlight w:val="none"/>
        </w:rPr>
      </w:pPr>
      <w:r>
        <w:rPr>
          <w:rFonts w:hint="eastAsia" w:ascii="宋体" w:hAnsi="宋体" w:eastAsia="宋体" w:cs="宋体"/>
          <w:b/>
          <w:color w:val="auto"/>
          <w:spacing w:val="-6"/>
          <w:sz w:val="72"/>
          <w:szCs w:val="72"/>
          <w:highlight w:val="none"/>
        </w:rPr>
        <w:t>竞争性磋商文件</w:t>
      </w:r>
    </w:p>
    <w:p>
      <w:pPr>
        <w:spacing w:line="360" w:lineRule="auto"/>
        <w:jc w:val="center"/>
        <w:rPr>
          <w:rFonts w:hint="eastAsia" w:ascii="宋体" w:hAnsi="宋体" w:eastAsia="宋体" w:cs="宋体"/>
          <w:color w:val="auto"/>
          <w:sz w:val="44"/>
          <w:szCs w:val="44"/>
          <w:highlight w:val="none"/>
        </w:rPr>
      </w:pPr>
    </w:p>
    <w:p>
      <w:pPr>
        <w:pStyle w:val="23"/>
        <w:rPr>
          <w:rFonts w:hint="eastAsia" w:ascii="宋体" w:hAnsi="宋体" w:eastAsia="宋体" w:cs="宋体"/>
          <w:color w:val="auto"/>
          <w:sz w:val="44"/>
          <w:szCs w:val="44"/>
          <w:highlight w:val="none"/>
        </w:rPr>
      </w:pPr>
    </w:p>
    <w:p>
      <w:pPr>
        <w:pStyle w:val="24"/>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sz w:val="44"/>
          <w:szCs w:val="44"/>
          <w:highlight w:val="none"/>
        </w:rPr>
      </w:pPr>
    </w:p>
    <w:p>
      <w:pPr>
        <w:snapToGrid w:val="0"/>
        <w:spacing w:line="360" w:lineRule="auto"/>
        <w:ind w:firstLine="482" w:firstLineChars="1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项目名称：2022年亚运会餐饮服务规划和安全保障研究</w:t>
      </w:r>
    </w:p>
    <w:p>
      <w:pPr>
        <w:snapToGrid w:val="0"/>
        <w:spacing w:line="360" w:lineRule="auto"/>
        <w:ind w:firstLine="482" w:firstLineChars="1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项目编号：ZJWSBJ-YZW-201901C</w:t>
      </w:r>
    </w:p>
    <w:p>
      <w:pPr>
        <w:snapToGrid w:val="0"/>
        <w:spacing w:line="360" w:lineRule="auto"/>
        <w:ind w:firstLine="482" w:firstLineChars="1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w:t>
      </w:r>
      <w:r>
        <w:rPr>
          <w:rFonts w:hint="eastAsia" w:ascii="宋体" w:hAnsi="宋体" w:eastAsia="宋体" w:cs="宋体"/>
          <w:b/>
          <w:bCs/>
          <w:color w:val="auto"/>
          <w:sz w:val="28"/>
          <w:szCs w:val="28"/>
          <w:highlight w:val="none"/>
        </w:rPr>
        <w:t>杭政采分-2019-02906[HZZFCG-YS-2019-08930]</w:t>
      </w:r>
      <w:r>
        <w:rPr>
          <w:rFonts w:hint="eastAsia" w:ascii="宋体" w:hAnsi="宋体" w:eastAsia="宋体" w:cs="宋体"/>
          <w:b/>
          <w:bCs/>
          <w:color w:val="auto"/>
          <w:sz w:val="32"/>
          <w:szCs w:val="32"/>
          <w:highlight w:val="none"/>
        </w:rPr>
        <w:t>、</w:t>
      </w:r>
    </w:p>
    <w:p>
      <w:pPr>
        <w:snapToGrid w:val="0"/>
        <w:spacing w:line="360" w:lineRule="auto"/>
        <w:ind w:firstLine="2108" w:firstLineChars="750"/>
        <w:rPr>
          <w:rFonts w:hint="eastAsia" w:ascii="宋体" w:hAnsi="宋体" w:eastAsia="宋体" w:cs="宋体"/>
          <w:color w:val="auto"/>
          <w:sz w:val="22"/>
          <w:szCs w:val="22"/>
          <w:highlight w:val="none"/>
        </w:rPr>
      </w:pPr>
      <w:r>
        <w:rPr>
          <w:rFonts w:hint="eastAsia" w:ascii="宋体" w:hAnsi="宋体" w:eastAsia="宋体" w:cs="宋体"/>
          <w:b/>
          <w:bCs/>
          <w:color w:val="auto"/>
          <w:sz w:val="28"/>
          <w:szCs w:val="28"/>
          <w:highlight w:val="none"/>
        </w:rPr>
        <w:t>杭政采分-2019-02906[HZZFCG-YS-2019-08764]</w:t>
      </w:r>
    </w:p>
    <w:p>
      <w:pPr>
        <w:snapToGrid w:val="0"/>
        <w:spacing w:line="360" w:lineRule="auto"/>
        <w:ind w:firstLine="482" w:firstLineChars="1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 购 人：2022年第19届亚运会组委会</w:t>
      </w:r>
    </w:p>
    <w:p>
      <w:pPr>
        <w:snapToGrid w:val="0"/>
        <w:spacing w:line="360" w:lineRule="auto"/>
        <w:ind w:firstLine="482" w:firstLineChars="1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采购代理机构：浙江五石工程咨询有限公司</w:t>
      </w:r>
    </w:p>
    <w:p>
      <w:pPr>
        <w:snapToGrid w:val="0"/>
        <w:spacing w:line="360" w:lineRule="auto"/>
        <w:ind w:firstLine="482" w:firstLineChars="150"/>
        <w:rPr>
          <w:rFonts w:hint="eastAsia" w:ascii="宋体" w:hAnsi="宋体" w:eastAsia="宋体" w:cs="宋体"/>
          <w:b/>
          <w:bCs/>
          <w:color w:val="auto"/>
          <w:sz w:val="32"/>
          <w:szCs w:val="32"/>
          <w:highlight w:val="none"/>
        </w:rPr>
        <w:sectPr>
          <w:headerReference r:id="rId5" w:type="first"/>
          <w:headerReference r:id="rId3" w:type="default"/>
          <w:footerReference r:id="rId6" w:type="default"/>
          <w:headerReference r:id="rId4" w:type="even"/>
          <w:footerReference r:id="rId7" w:type="even"/>
          <w:type w:val="continuous"/>
          <w:pgSz w:w="11906" w:h="16838"/>
          <w:pgMar w:top="1440" w:right="1416"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间：二〇一九年十</w:t>
      </w:r>
      <w:r>
        <w:rPr>
          <w:rFonts w:hint="eastAsia"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月</w:t>
      </w:r>
    </w:p>
    <w:p>
      <w:pPr>
        <w:pStyle w:val="3"/>
        <w:rPr>
          <w:rFonts w:ascii="Times New Roman"/>
          <w:color w:val="auto"/>
          <w:sz w:val="20"/>
          <w:highlight w:val="none"/>
        </w:rPr>
      </w:pPr>
    </w:p>
    <w:p>
      <w:pPr>
        <w:pStyle w:val="4"/>
        <w:tabs>
          <w:tab w:val="left" w:pos="1084"/>
        </w:tabs>
        <w:ind w:right="27"/>
        <w:rPr>
          <w:color w:val="auto"/>
          <w:highlight w:val="none"/>
        </w:rPr>
      </w:pPr>
      <w:bookmarkStart w:id="0" w:name="第一部分 采购公告"/>
      <w:bookmarkEnd w:id="0"/>
      <w:bookmarkStart w:id="1" w:name="_Toc6090"/>
      <w:r>
        <w:rPr>
          <w:color w:val="auto"/>
          <w:highlight w:val="none"/>
        </w:rPr>
        <w:t>目</w:t>
      </w:r>
      <w:r>
        <w:rPr>
          <w:color w:val="auto"/>
          <w:highlight w:val="none"/>
        </w:rPr>
        <w:tab/>
      </w:r>
      <w:r>
        <w:rPr>
          <w:color w:val="auto"/>
          <w:highlight w:val="none"/>
        </w:rPr>
        <w:t>录</w:t>
      </w:r>
      <w:bookmarkEnd w:id="1"/>
    </w:p>
    <w:sdt>
      <w:sdtPr>
        <w:rPr>
          <w:rFonts w:ascii="宋体" w:hAnsi="宋体" w:eastAsia="宋体" w:cs="宋体"/>
          <w:color w:val="auto"/>
          <w:sz w:val="21"/>
          <w:szCs w:val="22"/>
          <w:highlight w:val="none"/>
          <w:lang w:val="zh-CN" w:eastAsia="zh-CN" w:bidi="zh-CN"/>
        </w:rPr>
        <w:id w:val="147467783"/>
        <w15:color w:val="DBDBDB"/>
        <w:docPartObj>
          <w:docPartGallery w:val="Table of Contents"/>
          <w:docPartUnique/>
        </w:docPartObj>
      </w:sdtPr>
      <w:sdtEndPr>
        <w:rPr>
          <w:rFonts w:ascii="宋体" w:hAnsi="宋体" w:eastAsia="宋体" w:cs="宋体"/>
          <w:color w:val="auto"/>
          <w:sz w:val="22"/>
          <w:szCs w:val="22"/>
          <w:highlight w:val="none"/>
          <w:lang w:val="zh-CN" w:eastAsia="zh-CN" w:bidi="zh-CN"/>
        </w:rPr>
      </w:sdtEndPr>
      <w:sdtContent>
        <w:p>
          <w:pPr>
            <w:spacing w:before="0" w:beforeLines="0" w:after="0" w:afterLines="0" w:line="240" w:lineRule="auto"/>
            <w:ind w:left="0" w:leftChars="0" w:right="0" w:rightChars="0" w:firstLine="0" w:firstLineChars="0"/>
            <w:jc w:val="center"/>
            <w:rPr>
              <w:color w:val="auto"/>
              <w:highlight w:val="none"/>
            </w:rPr>
          </w:pPr>
        </w:p>
        <w:p>
          <w:pPr>
            <w:pStyle w:val="25"/>
            <w:tabs>
              <w:tab w:val="right" w:pos="2400"/>
              <w:tab w:val="right" w:leader="dot" w:pos="10060"/>
            </w:tabs>
            <w:rPr>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_Toc6699 </w:instrText>
          </w:r>
          <w:r>
            <w:rPr>
              <w:color w:val="auto"/>
              <w:sz w:val="28"/>
              <w:szCs w:val="28"/>
              <w:highlight w:val="none"/>
            </w:rPr>
            <w:fldChar w:fldCharType="separate"/>
          </w:r>
          <w:r>
            <w:rPr>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_Toc6699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_Toc10669 </w:instrText>
          </w:r>
          <w:r>
            <w:rPr>
              <w:color w:val="auto"/>
              <w:sz w:val="28"/>
              <w:szCs w:val="28"/>
              <w:highlight w:val="none"/>
            </w:rPr>
            <w:fldChar w:fldCharType="separate"/>
          </w:r>
          <w:r>
            <w:rPr>
              <w:color w:val="auto"/>
              <w:sz w:val="28"/>
              <w:szCs w:val="28"/>
              <w:highlight w:val="none"/>
            </w:rPr>
            <w:t>第二部分 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_Toc10669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_Toc10861 </w:instrText>
          </w:r>
          <w:r>
            <w:rPr>
              <w:color w:val="auto"/>
              <w:sz w:val="28"/>
              <w:szCs w:val="28"/>
              <w:highlight w:val="none"/>
            </w:rPr>
            <w:fldChar w:fldCharType="separate"/>
          </w:r>
          <w:r>
            <w:rPr>
              <w:color w:val="auto"/>
              <w:sz w:val="28"/>
              <w:szCs w:val="28"/>
              <w:highlight w:val="none"/>
            </w:rPr>
            <w:t>前 附 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_Toc10861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_Toc199 </w:instrText>
          </w:r>
          <w:r>
            <w:rPr>
              <w:color w:val="auto"/>
              <w:sz w:val="28"/>
              <w:szCs w:val="28"/>
              <w:highlight w:val="none"/>
            </w:rPr>
            <w:fldChar w:fldCharType="separate"/>
          </w:r>
          <w:r>
            <w:rPr>
              <w:color w:val="auto"/>
              <w:sz w:val="28"/>
              <w:szCs w:val="28"/>
              <w:highlight w:val="none"/>
            </w:rPr>
            <w:t>一、总则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_Toc199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_Toc152 </w:instrText>
          </w:r>
          <w:r>
            <w:rPr>
              <w:color w:val="auto"/>
              <w:sz w:val="28"/>
              <w:szCs w:val="28"/>
              <w:highlight w:val="none"/>
            </w:rPr>
            <w:fldChar w:fldCharType="separate"/>
          </w:r>
          <w:r>
            <w:rPr>
              <w:color w:val="auto"/>
              <w:sz w:val="28"/>
              <w:szCs w:val="28"/>
              <w:highlight w:val="none"/>
            </w:rPr>
            <w:t>二、竞争性磋商文件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_Toc4729 </w:instrText>
          </w:r>
          <w:r>
            <w:rPr>
              <w:color w:val="auto"/>
              <w:sz w:val="28"/>
              <w:szCs w:val="28"/>
              <w:highlight w:val="none"/>
            </w:rPr>
            <w:fldChar w:fldCharType="separate"/>
          </w:r>
          <w:r>
            <w:rPr>
              <w:color w:val="auto"/>
              <w:sz w:val="28"/>
              <w:szCs w:val="28"/>
              <w:highlight w:val="none"/>
            </w:rPr>
            <w:t>三、响应文件的编制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_Toc4729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_Toc6914 </w:instrText>
          </w:r>
          <w:r>
            <w:rPr>
              <w:color w:val="auto"/>
              <w:sz w:val="28"/>
              <w:szCs w:val="28"/>
              <w:highlight w:val="none"/>
            </w:rPr>
            <w:fldChar w:fldCharType="separate"/>
          </w:r>
          <w:r>
            <w:rPr>
              <w:color w:val="auto"/>
              <w:sz w:val="28"/>
              <w:szCs w:val="28"/>
              <w:highlight w:val="none"/>
            </w:rPr>
            <w:t>四、响应文件的提交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_Toc6914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_Toc12373 </w:instrText>
          </w:r>
          <w:r>
            <w:rPr>
              <w:color w:val="auto"/>
              <w:sz w:val="28"/>
              <w:szCs w:val="28"/>
              <w:highlight w:val="none"/>
            </w:rPr>
            <w:fldChar w:fldCharType="separate"/>
          </w:r>
          <w:r>
            <w:rPr>
              <w:color w:val="auto"/>
              <w:sz w:val="28"/>
              <w:szCs w:val="28"/>
              <w:highlight w:val="none"/>
            </w:rPr>
            <w:t>五、响应文件的开启</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_Toc12373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_Toc26436 </w:instrText>
          </w:r>
          <w:r>
            <w:rPr>
              <w:color w:val="auto"/>
              <w:sz w:val="28"/>
              <w:szCs w:val="28"/>
              <w:highlight w:val="none"/>
            </w:rPr>
            <w:fldChar w:fldCharType="separate"/>
          </w:r>
          <w:r>
            <w:rPr>
              <w:color w:val="auto"/>
              <w:sz w:val="28"/>
              <w:szCs w:val="28"/>
              <w:highlight w:val="none"/>
            </w:rPr>
            <w:t>六、磋商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_Toc26436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_Toc4783 </w:instrText>
          </w:r>
          <w:r>
            <w:rPr>
              <w:color w:val="auto"/>
              <w:sz w:val="28"/>
              <w:szCs w:val="28"/>
              <w:highlight w:val="none"/>
            </w:rPr>
            <w:fldChar w:fldCharType="separate"/>
          </w:r>
          <w:r>
            <w:rPr>
              <w:color w:val="auto"/>
              <w:sz w:val="28"/>
              <w:szCs w:val="28"/>
              <w:highlight w:val="none"/>
            </w:rPr>
            <w:t>七、确定成交供应商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_Toc4783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_Toc16635 </w:instrText>
          </w:r>
          <w:r>
            <w:rPr>
              <w:color w:val="auto"/>
              <w:sz w:val="28"/>
              <w:szCs w:val="28"/>
              <w:highlight w:val="none"/>
            </w:rPr>
            <w:fldChar w:fldCharType="separate"/>
          </w:r>
          <w:r>
            <w:rPr>
              <w:color w:val="auto"/>
              <w:sz w:val="28"/>
              <w:szCs w:val="28"/>
              <w:highlight w:val="none"/>
            </w:rPr>
            <w:t>八、合同签订及其他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_Toc16635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 </w:instrText>
          </w:r>
          <w:r>
            <w:rPr>
              <w:color w:val="auto"/>
              <w:sz w:val="28"/>
              <w:szCs w:val="28"/>
              <w:highlight w:val="none"/>
            </w:rPr>
            <w:fldChar w:fldCharType="separate"/>
          </w:r>
          <w:r>
            <w:rPr>
              <w:color w:val="auto"/>
              <w:sz w:val="28"/>
              <w:szCs w:val="28"/>
              <w:highlight w:val="none"/>
            </w:rPr>
            <w:t>第三部分 项目技术规范和服务要求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_Toc21124 </w:instrText>
          </w:r>
          <w:r>
            <w:rPr>
              <w:color w:val="auto"/>
              <w:sz w:val="28"/>
              <w:szCs w:val="28"/>
              <w:highlight w:val="none"/>
            </w:rPr>
            <w:fldChar w:fldCharType="separate"/>
          </w:r>
          <w:r>
            <w:rPr>
              <w:color w:val="auto"/>
              <w:sz w:val="28"/>
              <w:szCs w:val="28"/>
              <w:highlight w:val="none"/>
            </w:rPr>
            <w:t>第四部分 采购合同的一般和特殊条款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_Toc21124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25"/>
            <w:keepNext w:val="0"/>
            <w:keepLines w:val="0"/>
            <w:pageBreakBefore w:val="0"/>
            <w:widowControl/>
            <w:tabs>
              <w:tab w:val="right" w:leader="dot" w:pos="10060"/>
            </w:tabs>
            <w:kinsoku/>
            <w:wordWrap/>
            <w:overflowPunct/>
            <w:topLinePunct w:val="0"/>
            <w:autoSpaceDE/>
            <w:autoSpaceDN/>
            <w:bidi w:val="0"/>
            <w:adjustRightInd/>
            <w:snapToGrid/>
            <w:spacing w:line="36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_Toc7897 </w:instrText>
          </w:r>
          <w:r>
            <w:rPr>
              <w:color w:val="auto"/>
              <w:sz w:val="28"/>
              <w:szCs w:val="28"/>
              <w:highlight w:val="none"/>
            </w:rPr>
            <w:fldChar w:fldCharType="separate"/>
          </w:r>
          <w:r>
            <w:rPr>
              <w:color w:val="auto"/>
              <w:sz w:val="28"/>
              <w:szCs w:val="28"/>
              <w:highlight w:val="none"/>
            </w:rPr>
            <w:t>第五部分 应提交的有关格式范例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_Toc7897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pPr>
            <w:pStyle w:val="25"/>
            <w:tabs>
              <w:tab w:val="right" w:leader="dot" w:pos="10060"/>
            </w:tabs>
            <w:ind w:left="0" w:leftChars="0" w:firstLine="0" w:firstLineChars="0"/>
            <w:rPr>
              <w:color w:val="auto"/>
              <w:highlight w:val="none"/>
            </w:rPr>
          </w:pPr>
          <w:bookmarkStart w:id="208" w:name="_GoBack"/>
          <w:bookmarkEnd w:id="208"/>
        </w:p>
        <w:p>
          <w:pPr>
            <w:pStyle w:val="26"/>
            <w:tabs>
              <w:tab w:val="right" w:leader="dot" w:pos="10060"/>
            </w:tabs>
            <w:rPr>
              <w:b/>
              <w:color w:val="auto"/>
              <w:highlight w:val="none"/>
            </w:rPr>
          </w:pPr>
        </w:p>
        <w:p>
          <w:pPr>
            <w:spacing w:after="0"/>
            <w:rPr>
              <w:color w:val="auto"/>
              <w:highlight w:val="none"/>
            </w:rPr>
            <w:sectPr>
              <w:footerReference r:id="rId8" w:type="default"/>
              <w:pgSz w:w="11900" w:h="16840"/>
              <w:pgMar w:top="1100" w:right="820" w:bottom="720" w:left="1020" w:header="0" w:footer="529" w:gutter="0"/>
              <w:pgNumType w:start="2"/>
            </w:sectPr>
          </w:pPr>
          <w:r>
            <w:rPr>
              <w:color w:val="auto"/>
              <w:highlight w:val="none"/>
            </w:rPr>
            <w:fldChar w:fldCharType="end"/>
          </w:r>
        </w:p>
      </w:sdtContent>
    </w:sdt>
    <w:p>
      <w:pPr>
        <w:pStyle w:val="4"/>
        <w:ind w:right="26"/>
        <w:outlineLvl w:val="0"/>
        <w:rPr>
          <w:color w:val="auto"/>
          <w:highlight w:val="none"/>
        </w:rPr>
      </w:pPr>
      <w:bookmarkStart w:id="2" w:name="_Toc6699"/>
      <w:r>
        <w:rPr>
          <w:color w:val="auto"/>
          <w:highlight w:val="none"/>
        </w:rPr>
        <w:t>第一部分 采购公告</w:t>
      </w:r>
      <w:bookmarkEnd w:id="2"/>
    </w:p>
    <w:p>
      <w:pPr>
        <w:pStyle w:val="3"/>
        <w:spacing w:before="239"/>
        <w:ind w:left="765"/>
        <w:rPr>
          <w:color w:val="auto"/>
          <w:highlight w:val="none"/>
        </w:rPr>
      </w:pPr>
      <w:r>
        <w:rPr>
          <w:color w:val="auto"/>
          <w:highlight w:val="none"/>
        </w:rPr>
        <w:t>根据《中华人民共和国政府采购法》等有关规定，</w:t>
      </w:r>
      <w:r>
        <w:rPr>
          <w:rFonts w:hint="eastAsia"/>
          <w:color w:val="auto"/>
          <w:highlight w:val="none"/>
          <w:lang w:eastAsia="zh-CN"/>
        </w:rPr>
        <w:t>浙江五石工程咨询有限公司</w:t>
      </w:r>
      <w:r>
        <w:rPr>
          <w:color w:val="auto"/>
          <w:highlight w:val="none"/>
        </w:rPr>
        <w:t>受 2022</w:t>
      </w:r>
    </w:p>
    <w:p>
      <w:pPr>
        <w:pStyle w:val="3"/>
        <w:spacing w:before="159" w:line="364" w:lineRule="auto"/>
        <w:ind w:right="314"/>
        <w:rPr>
          <w:color w:val="auto"/>
          <w:spacing w:val="-3"/>
          <w:highlight w:val="none"/>
        </w:rPr>
      </w:pPr>
      <w:r>
        <w:rPr>
          <w:color w:val="auto"/>
          <w:spacing w:val="-17"/>
          <w:highlight w:val="none"/>
        </w:rPr>
        <w:t xml:space="preserve">年第 </w:t>
      </w:r>
      <w:r>
        <w:rPr>
          <w:color w:val="auto"/>
          <w:highlight w:val="none"/>
        </w:rPr>
        <w:t>19</w:t>
      </w:r>
      <w:r>
        <w:rPr>
          <w:color w:val="auto"/>
          <w:spacing w:val="-3"/>
          <w:highlight w:val="none"/>
        </w:rPr>
        <w:t xml:space="preserve"> 届亚运会组委会委托，就</w:t>
      </w:r>
      <w:r>
        <w:rPr>
          <w:rFonts w:hint="eastAsia"/>
          <w:color w:val="auto"/>
          <w:spacing w:val="-3"/>
          <w:highlight w:val="none"/>
          <w:lang w:eastAsia="zh-CN"/>
        </w:rPr>
        <w:t>2022年亚运会餐饮服务规划和安全保障研究</w:t>
      </w:r>
      <w:r>
        <w:rPr>
          <w:color w:val="auto"/>
          <w:spacing w:val="-3"/>
          <w:highlight w:val="none"/>
        </w:rPr>
        <w:t>进行竞争性磋商，欢迎国内合格的供应商前来参与竞争。</w:t>
      </w:r>
    </w:p>
    <w:p>
      <w:pPr>
        <w:keepNext w:val="0"/>
        <w:keepLines w:val="0"/>
        <w:pageBreakBefore w:val="0"/>
        <w:widowControl w:val="0"/>
        <w:kinsoku/>
        <w:wordWrap/>
        <w:overflowPunct/>
        <w:topLinePunct w:val="0"/>
        <w:autoSpaceDE w:val="0"/>
        <w:autoSpaceDN w:val="0"/>
        <w:bidi w:val="0"/>
        <w:adjustRightInd/>
        <w:snapToGrid/>
        <w:spacing w:line="240" w:lineRule="auto"/>
        <w:ind w:firstLine="241" w:firstLineChars="100"/>
        <w:textAlignment w:val="auto"/>
        <w:rPr>
          <w:rFonts w:hint="eastAsia"/>
          <w:b/>
          <w:bCs/>
          <w:color w:val="auto"/>
          <w:sz w:val="24"/>
          <w:szCs w:val="24"/>
          <w:highlight w:val="none"/>
          <w:lang w:val="zh-CN" w:eastAsia="zh-CN"/>
        </w:rPr>
      </w:pPr>
      <w:bookmarkStart w:id="3" w:name="_Toc501022747"/>
      <w:bookmarkStart w:id="4" w:name="_Toc24579"/>
      <w:r>
        <w:rPr>
          <w:rFonts w:hint="eastAsia"/>
          <w:b/>
          <w:bCs/>
          <w:color w:val="auto"/>
          <w:sz w:val="24"/>
          <w:szCs w:val="24"/>
          <w:highlight w:val="none"/>
          <w:lang w:val="zh-CN" w:eastAsia="zh-CN"/>
        </w:rPr>
        <w:t>一、项目编号</w:t>
      </w:r>
      <w:bookmarkStart w:id="5" w:name="B08_项目编号"/>
      <w:r>
        <w:rPr>
          <w:rFonts w:hint="eastAsia"/>
          <w:b/>
          <w:bCs/>
          <w:color w:val="auto"/>
          <w:sz w:val="24"/>
          <w:szCs w:val="24"/>
          <w:highlight w:val="none"/>
          <w:lang w:val="zh-CN" w:eastAsia="zh-CN"/>
        </w:rPr>
        <w:t>：</w:t>
      </w:r>
      <w:bookmarkEnd w:id="3"/>
      <w:bookmarkEnd w:id="4"/>
      <w:bookmarkEnd w:id="5"/>
      <w:r>
        <w:rPr>
          <w:rFonts w:hint="eastAsia"/>
          <w:b/>
          <w:bCs/>
          <w:color w:val="auto"/>
          <w:sz w:val="24"/>
          <w:szCs w:val="24"/>
          <w:highlight w:val="none"/>
          <w:lang w:val="zh-CN" w:eastAsia="zh-CN"/>
        </w:rPr>
        <w:t>ZJWSBJ-YZW-201901C</w:t>
      </w:r>
    </w:p>
    <w:p>
      <w:pPr>
        <w:keepNext w:val="0"/>
        <w:keepLines w:val="0"/>
        <w:pageBreakBefore w:val="0"/>
        <w:widowControl w:val="0"/>
        <w:kinsoku/>
        <w:wordWrap/>
        <w:overflowPunct/>
        <w:topLinePunct w:val="0"/>
        <w:autoSpaceDE w:val="0"/>
        <w:autoSpaceDN w:val="0"/>
        <w:bidi w:val="0"/>
        <w:adjustRightInd/>
        <w:snapToGrid/>
        <w:spacing w:line="240" w:lineRule="auto"/>
        <w:ind w:firstLine="241" w:firstLineChars="100"/>
        <w:textAlignment w:val="auto"/>
        <w:rPr>
          <w:rFonts w:ascii="宋体" w:hAnsi="宋体" w:eastAsia="宋体" w:cs="宋体"/>
          <w:b/>
          <w:bCs/>
          <w:color w:val="auto"/>
          <w:sz w:val="24"/>
          <w:szCs w:val="24"/>
          <w:highlight w:val="none"/>
          <w:lang w:val="zh-CN" w:eastAsia="zh-CN" w:bidi="zh-CN"/>
        </w:rPr>
      </w:pPr>
      <w:bookmarkStart w:id="6" w:name="_Toc501022748"/>
      <w:bookmarkStart w:id="7" w:name="_Toc17183"/>
      <w:r>
        <w:rPr>
          <w:rFonts w:hint="eastAsia" w:ascii="宋体" w:hAnsi="宋体" w:eastAsia="宋体" w:cs="宋体"/>
          <w:b/>
          <w:bCs/>
          <w:color w:val="auto"/>
          <w:sz w:val="24"/>
          <w:szCs w:val="24"/>
          <w:highlight w:val="none"/>
          <w:lang w:val="zh-CN" w:eastAsia="zh-CN" w:bidi="zh-CN"/>
        </w:rPr>
        <w:t>二、</w:t>
      </w:r>
      <w:r>
        <w:rPr>
          <w:rFonts w:hint="eastAsia" w:ascii="宋体" w:hAnsi="宋体" w:eastAsia="宋体" w:cs="宋体"/>
          <w:b/>
          <w:bCs/>
          <w:color w:val="auto"/>
          <w:sz w:val="24"/>
          <w:szCs w:val="24"/>
          <w:highlight w:val="none"/>
          <w:lang w:val="en-US" w:eastAsia="zh-CN" w:bidi="zh-CN"/>
        </w:rPr>
        <w:t>项目名称</w:t>
      </w:r>
      <w:r>
        <w:rPr>
          <w:rFonts w:hint="eastAsia" w:ascii="宋体" w:hAnsi="宋体" w:eastAsia="宋体" w:cs="宋体"/>
          <w:b/>
          <w:bCs/>
          <w:color w:val="auto"/>
          <w:sz w:val="24"/>
          <w:szCs w:val="24"/>
          <w:highlight w:val="none"/>
          <w:lang w:val="zh-CN" w:eastAsia="zh-CN" w:bidi="zh-CN"/>
        </w:rPr>
        <w:t>：</w:t>
      </w:r>
      <w:bookmarkEnd w:id="6"/>
      <w:bookmarkEnd w:id="7"/>
      <w:r>
        <w:rPr>
          <w:rFonts w:hint="eastAsia" w:ascii="宋体" w:hAnsi="宋体" w:eastAsia="宋体" w:cs="宋体"/>
          <w:b/>
          <w:bCs/>
          <w:color w:val="auto"/>
          <w:sz w:val="24"/>
          <w:szCs w:val="24"/>
          <w:highlight w:val="none"/>
          <w:lang w:val="zh-CN" w:eastAsia="zh-CN" w:bidi="zh-CN"/>
        </w:rPr>
        <w:t>2022年亚运会餐饮服务规划和安全保障研究</w:t>
      </w:r>
    </w:p>
    <w:p>
      <w:pPr>
        <w:keepNext w:val="0"/>
        <w:keepLines w:val="0"/>
        <w:pageBreakBefore w:val="0"/>
        <w:widowControl w:val="0"/>
        <w:kinsoku/>
        <w:wordWrap/>
        <w:overflowPunct/>
        <w:topLinePunct w:val="0"/>
        <w:autoSpaceDE w:val="0"/>
        <w:autoSpaceDN w:val="0"/>
        <w:bidi w:val="0"/>
        <w:adjustRightInd/>
        <w:snapToGrid/>
        <w:spacing w:before="0" w:line="240" w:lineRule="auto"/>
        <w:ind w:left="283" w:right="6167" w:firstLine="0"/>
        <w:jc w:val="left"/>
        <w:textAlignment w:val="auto"/>
        <w:rPr>
          <w:b/>
          <w:bCs/>
          <w:color w:val="auto"/>
          <w:sz w:val="24"/>
          <w:szCs w:val="24"/>
          <w:highlight w:val="none"/>
        </w:rPr>
      </w:pPr>
      <w:r>
        <w:rPr>
          <w:b/>
          <w:bCs/>
          <w:color w:val="auto"/>
          <w:sz w:val="24"/>
          <w:szCs w:val="24"/>
          <w:highlight w:val="none"/>
        </w:rPr>
        <w:t>三、采购方式：竞争性磋商</w:t>
      </w:r>
    </w:p>
    <w:p>
      <w:pPr>
        <w:pStyle w:val="9"/>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r>
        <w:rPr>
          <w:color w:val="auto"/>
          <w:highlight w:val="none"/>
        </w:rPr>
        <w:t>四、项目概况（内容、用途、数量、简要技术要求等）：</w:t>
      </w:r>
    </w:p>
    <w:p>
      <w:pPr>
        <w:pStyle w:val="3"/>
        <w:spacing w:before="1"/>
        <w:ind w:left="0"/>
        <w:rPr>
          <w:b/>
          <w:color w:val="auto"/>
          <w:sz w:val="12"/>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285"/>
        <w:gridCol w:w="1102"/>
        <w:gridCol w:w="1213"/>
        <w:gridCol w:w="1282"/>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项目名称</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数量单位</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w:t>
            </w:r>
          </w:p>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（万元）</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最高限价</w:t>
            </w:r>
          </w:p>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（万元）</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2022年亚运会餐饮服务规划和安全保障研究</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1项</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95</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90</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highlight w:val="none"/>
              </w:rPr>
              <w:t>从杭州亚运会筹备和项目研究的实际出发，从三个方面对杭州亚运会餐饮服务和安全保障进行全面研究，具体包括：《杭州亚运会赛事餐饮的整体规划研究》、《杭州亚运会赛事餐饮运行及管理研究（含服务商遴选）》、《杭州亚运会赛事餐饮供应链和食品安全管理研究》。</w:t>
            </w:r>
            <w:r>
              <w:rPr>
                <w:rFonts w:hint="eastAsia" w:ascii="宋体" w:hAnsi="宋体" w:eastAsia="宋体" w:cs="宋体"/>
                <w:color w:val="auto"/>
                <w:highlight w:val="none"/>
                <w:lang w:val="en-US" w:eastAsia="zh-CN"/>
              </w:rPr>
              <w:t>具体详见“第二章 采购需求”</w:t>
            </w:r>
          </w:p>
        </w:tc>
      </w:tr>
    </w:tbl>
    <w:p>
      <w:pPr>
        <w:spacing w:before="123"/>
        <w:ind w:left="283" w:right="0" w:firstLine="0"/>
        <w:jc w:val="left"/>
        <w:rPr>
          <w:b/>
          <w:color w:val="auto"/>
          <w:sz w:val="24"/>
          <w:highlight w:val="none"/>
        </w:rPr>
      </w:pPr>
      <w:r>
        <w:rPr>
          <w:b/>
          <w:color w:val="auto"/>
          <w:sz w:val="24"/>
          <w:highlight w:val="none"/>
        </w:rPr>
        <w:t>五、供应商资格要求：</w:t>
      </w:r>
    </w:p>
    <w:p>
      <w:pPr>
        <w:pStyle w:val="19"/>
        <w:numPr>
          <w:ilvl w:val="0"/>
          <w:numId w:val="1"/>
        </w:numPr>
        <w:tabs>
          <w:tab w:val="left" w:pos="1369"/>
        </w:tabs>
        <w:spacing w:before="158" w:after="0" w:line="364" w:lineRule="auto"/>
        <w:ind w:left="1003" w:right="981" w:hanging="238"/>
        <w:jc w:val="left"/>
        <w:rPr>
          <w:color w:val="auto"/>
          <w:sz w:val="22"/>
          <w:highlight w:val="none"/>
        </w:rPr>
      </w:pPr>
      <w:r>
        <w:rPr>
          <w:b/>
          <w:color w:val="auto"/>
          <w:spacing w:val="-1"/>
          <w:sz w:val="24"/>
          <w:highlight w:val="none"/>
        </w:rPr>
        <w:t xml:space="preserve">基本资格条件：符合《中华人民共和国政府采购法》第二十二条的规定： </w:t>
      </w:r>
      <w:r>
        <w:rPr>
          <w:color w:val="auto"/>
          <w:sz w:val="24"/>
          <w:highlight w:val="none"/>
        </w:rPr>
        <w:t>a.具有独立承担民事责任的能力；</w:t>
      </w:r>
    </w:p>
    <w:p>
      <w:pPr>
        <w:pStyle w:val="3"/>
        <w:spacing w:line="364" w:lineRule="auto"/>
        <w:ind w:left="1003" w:right="4014"/>
        <w:jc w:val="both"/>
        <w:rPr>
          <w:color w:val="auto"/>
          <w:highlight w:val="none"/>
        </w:rPr>
      </w:pPr>
      <w:r>
        <w:rPr>
          <w:color w:val="auto"/>
          <w:highlight w:val="none"/>
        </w:rPr>
        <w:t>b.具有良好的商业信誉和健全的财务会计制度； c.具有履行合同所必需的设备和专业技术能力； d.有依法缴纳税收和社会保障资金的良好记录；</w:t>
      </w:r>
    </w:p>
    <w:p>
      <w:pPr>
        <w:pStyle w:val="3"/>
        <w:spacing w:line="362" w:lineRule="auto"/>
        <w:ind w:left="1003" w:right="2094"/>
        <w:rPr>
          <w:color w:val="auto"/>
          <w:highlight w:val="none"/>
        </w:rPr>
      </w:pPr>
      <w:r>
        <w:rPr>
          <w:color w:val="auto"/>
          <w:highlight w:val="none"/>
        </w:rPr>
        <w:t>e.参加政府采购活动前三年内，在经营活动中没有重大违法记录； f.法律、行政法规规定的其他条件。</w:t>
      </w:r>
    </w:p>
    <w:p>
      <w:pPr>
        <w:pStyle w:val="9"/>
        <w:numPr>
          <w:ilvl w:val="0"/>
          <w:numId w:val="1"/>
        </w:numPr>
        <w:tabs>
          <w:tab w:val="left" w:pos="1373"/>
        </w:tabs>
        <w:spacing w:before="3" w:after="0" w:line="364" w:lineRule="auto"/>
        <w:ind w:left="283" w:right="273" w:firstLine="482"/>
        <w:jc w:val="left"/>
        <w:rPr>
          <w:color w:val="auto"/>
          <w:sz w:val="22"/>
          <w:highlight w:val="none"/>
        </w:rPr>
      </w:pPr>
      <w:r>
        <w:rPr>
          <w:color w:val="auto"/>
          <w:highlight w:val="none"/>
        </w:rPr>
        <w:t>符合《中华人民共和国政府采购法实施条例》第十八条和财库[2016]125</w:t>
      </w:r>
      <w:r>
        <w:rPr>
          <w:color w:val="auto"/>
          <w:spacing w:val="-12"/>
          <w:highlight w:val="none"/>
        </w:rPr>
        <w:t xml:space="preserve"> 号文件要求：</w:t>
      </w:r>
    </w:p>
    <w:p>
      <w:pPr>
        <w:pStyle w:val="19"/>
        <w:numPr>
          <w:ilvl w:val="1"/>
          <w:numId w:val="1"/>
        </w:numPr>
        <w:tabs>
          <w:tab w:val="left" w:pos="1246"/>
        </w:tabs>
        <w:spacing w:before="0" w:after="0" w:line="364" w:lineRule="auto"/>
        <w:ind w:left="523" w:right="314" w:firstLine="480"/>
        <w:jc w:val="both"/>
        <w:rPr>
          <w:color w:val="auto"/>
          <w:sz w:val="24"/>
          <w:highlight w:val="none"/>
        </w:rPr>
      </w:pPr>
      <w:r>
        <w:rPr>
          <w:color w:val="auto"/>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9"/>
        <w:numPr>
          <w:ilvl w:val="1"/>
          <w:numId w:val="1"/>
        </w:numPr>
        <w:tabs>
          <w:tab w:val="left" w:pos="1246"/>
        </w:tabs>
        <w:spacing w:before="0" w:after="0" w:line="364" w:lineRule="auto"/>
        <w:ind w:left="523" w:right="311" w:firstLine="480"/>
        <w:jc w:val="both"/>
        <w:rPr>
          <w:color w:val="auto"/>
          <w:sz w:val="24"/>
          <w:highlight w:val="none"/>
        </w:rPr>
      </w:pPr>
      <w:r>
        <w:rPr>
          <w:color w:val="auto"/>
          <w:sz w:val="24"/>
          <w:highlight w:val="none"/>
        </w:rPr>
        <w:t>被列入失信被执行人、重大税收违法案件当事人名单、政府采购严重违法失信行为记录名单及其它不符合《中华人民共和国政府采购法》第二十二条规定条件的，其磋商响应将被拒绝。</w:t>
      </w:r>
    </w:p>
    <w:p>
      <w:pPr>
        <w:spacing w:after="0" w:line="364" w:lineRule="auto"/>
        <w:jc w:val="both"/>
        <w:rPr>
          <w:color w:val="auto"/>
          <w:sz w:val="24"/>
          <w:highlight w:val="none"/>
        </w:rPr>
        <w:sectPr>
          <w:pgSz w:w="11900" w:h="16840"/>
          <w:pgMar w:top="1100" w:right="820" w:bottom="800" w:left="1020" w:header="0" w:footer="529" w:gutter="0"/>
        </w:sectPr>
      </w:pPr>
    </w:p>
    <w:p>
      <w:pPr>
        <w:pStyle w:val="19"/>
        <w:numPr>
          <w:ilvl w:val="0"/>
          <w:numId w:val="1"/>
        </w:numPr>
        <w:tabs>
          <w:tab w:val="left" w:pos="1367"/>
        </w:tabs>
        <w:spacing w:before="56" w:after="0" w:line="240" w:lineRule="auto"/>
        <w:ind w:left="1366" w:right="0" w:hanging="602"/>
        <w:jc w:val="left"/>
        <w:rPr>
          <w:color w:val="auto"/>
          <w:sz w:val="22"/>
          <w:highlight w:val="none"/>
        </w:rPr>
      </w:pPr>
      <w:r>
        <w:rPr>
          <w:b/>
          <w:color w:val="auto"/>
          <w:sz w:val="24"/>
          <w:highlight w:val="none"/>
        </w:rPr>
        <w:t>特定资格条件：</w:t>
      </w:r>
      <w:r>
        <w:rPr>
          <w:color w:val="auto"/>
          <w:sz w:val="24"/>
          <w:highlight w:val="none"/>
          <w:u w:val="single"/>
        </w:rPr>
        <w:t>无</w:t>
      </w:r>
      <w:r>
        <w:rPr>
          <w:color w:val="auto"/>
          <w:sz w:val="24"/>
          <w:highlight w:val="none"/>
        </w:rPr>
        <w:t>；</w:t>
      </w:r>
    </w:p>
    <w:p>
      <w:pPr>
        <w:pStyle w:val="19"/>
        <w:numPr>
          <w:ilvl w:val="0"/>
          <w:numId w:val="1"/>
        </w:numPr>
        <w:tabs>
          <w:tab w:val="left" w:pos="1367"/>
        </w:tabs>
        <w:spacing w:before="158" w:after="0" w:line="364" w:lineRule="auto"/>
        <w:ind w:left="283" w:right="5332" w:firstLine="482"/>
        <w:jc w:val="left"/>
        <w:rPr>
          <w:b/>
          <w:color w:val="auto"/>
          <w:sz w:val="22"/>
          <w:highlight w:val="none"/>
        </w:rPr>
      </w:pPr>
      <w:r>
        <w:rPr>
          <w:color w:val="auto"/>
          <w:sz w:val="24"/>
          <w:highlight w:val="none"/>
        </w:rPr>
        <w:t>本项目</w:t>
      </w:r>
      <w:r>
        <w:rPr>
          <w:color w:val="auto"/>
          <w:sz w:val="24"/>
          <w:highlight w:val="none"/>
          <w:u w:val="single"/>
        </w:rPr>
        <w:t>不</w:t>
      </w:r>
      <w:r>
        <w:rPr>
          <w:color w:val="auto"/>
          <w:spacing w:val="-2"/>
          <w:sz w:val="24"/>
          <w:highlight w:val="none"/>
        </w:rPr>
        <w:t>接受联合体参加磋商。</w:t>
      </w:r>
      <w:r>
        <w:rPr>
          <w:b/>
          <w:color w:val="auto"/>
          <w:sz w:val="24"/>
          <w:highlight w:val="none"/>
        </w:rPr>
        <w:t>六、报名时间及地点等：</w:t>
      </w:r>
    </w:p>
    <w:p>
      <w:pPr>
        <w:pStyle w:val="3"/>
        <w:spacing w:line="364" w:lineRule="auto"/>
        <w:ind w:left="765" w:right="1252"/>
        <w:rPr>
          <w:color w:val="auto"/>
          <w:highlight w:val="none"/>
        </w:rPr>
      </w:pPr>
      <w:r>
        <w:rPr>
          <w:color w:val="auto"/>
          <w:highlight w:val="none"/>
        </w:rPr>
        <w:t>磋商文件发售时间：2019-</w:t>
      </w:r>
      <w:r>
        <w:rPr>
          <w:rFonts w:hint="eastAsia"/>
          <w:color w:val="auto"/>
          <w:highlight w:val="none"/>
          <w:lang w:val="en-US" w:eastAsia="zh-CN"/>
        </w:rPr>
        <w:t>12</w:t>
      </w:r>
      <w:r>
        <w:rPr>
          <w:color w:val="auto"/>
          <w:highlight w:val="none"/>
        </w:rPr>
        <w:t>-</w:t>
      </w:r>
      <w:r>
        <w:rPr>
          <w:rFonts w:hint="eastAsia"/>
          <w:color w:val="auto"/>
          <w:highlight w:val="none"/>
          <w:lang w:val="en-US" w:eastAsia="zh-CN"/>
        </w:rPr>
        <w:t>01</w:t>
      </w:r>
      <w:r>
        <w:rPr>
          <w:color w:val="auto"/>
          <w:spacing w:val="-40"/>
          <w:highlight w:val="none"/>
        </w:rPr>
        <w:t xml:space="preserve"> 至 </w:t>
      </w:r>
      <w:r>
        <w:rPr>
          <w:color w:val="auto"/>
          <w:highlight w:val="none"/>
        </w:rPr>
        <w:t>2019-</w:t>
      </w:r>
      <w:r>
        <w:rPr>
          <w:rFonts w:hint="eastAsia"/>
          <w:color w:val="auto"/>
          <w:highlight w:val="none"/>
          <w:lang w:val="en-US" w:eastAsia="zh-CN"/>
        </w:rPr>
        <w:t>12</w:t>
      </w:r>
      <w:r>
        <w:rPr>
          <w:color w:val="auto"/>
          <w:highlight w:val="none"/>
        </w:rPr>
        <w:t>-</w:t>
      </w:r>
      <w:r>
        <w:rPr>
          <w:rFonts w:hint="eastAsia"/>
          <w:color w:val="auto"/>
          <w:highlight w:val="none"/>
          <w:lang w:val="en-US" w:eastAsia="zh-CN"/>
        </w:rPr>
        <w:t>09</w:t>
      </w:r>
      <w:r>
        <w:rPr>
          <w:color w:val="auto"/>
          <w:highlight w:val="none"/>
        </w:rPr>
        <w:t>（双休日及法定节假日除外</w:t>
      </w:r>
      <w:r>
        <w:rPr>
          <w:color w:val="auto"/>
          <w:spacing w:val="-17"/>
          <w:highlight w:val="none"/>
        </w:rPr>
        <w:t xml:space="preserve">） </w:t>
      </w:r>
      <w:r>
        <w:rPr>
          <w:color w:val="auto"/>
          <w:highlight w:val="none"/>
        </w:rPr>
        <w:t>上午：9：00-1</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color w:val="auto"/>
          <w:highlight w:val="none"/>
        </w:rPr>
        <w:t>0 下午：1</w:t>
      </w:r>
      <w:r>
        <w:rPr>
          <w:rFonts w:hint="eastAsia"/>
          <w:color w:val="auto"/>
          <w:highlight w:val="none"/>
          <w:lang w:val="en-US" w:eastAsia="zh-CN"/>
        </w:rPr>
        <w:t>3</w:t>
      </w:r>
      <w:r>
        <w:rPr>
          <w:color w:val="auto"/>
          <w:highlight w:val="none"/>
        </w:rPr>
        <w:t>：</w:t>
      </w:r>
      <w:r>
        <w:rPr>
          <w:rFonts w:hint="eastAsia"/>
          <w:color w:val="auto"/>
          <w:highlight w:val="none"/>
          <w:lang w:val="en-US" w:eastAsia="zh-CN"/>
        </w:rPr>
        <w:t>3</w:t>
      </w:r>
      <w:r>
        <w:rPr>
          <w:color w:val="auto"/>
          <w:highlight w:val="none"/>
        </w:rPr>
        <w:t>0-1</w:t>
      </w:r>
      <w:r>
        <w:rPr>
          <w:rFonts w:hint="eastAsia"/>
          <w:color w:val="auto"/>
          <w:highlight w:val="none"/>
          <w:lang w:val="en-US" w:eastAsia="zh-CN"/>
        </w:rPr>
        <w:t>6</w:t>
      </w:r>
      <w:r>
        <w:rPr>
          <w:color w:val="auto"/>
          <w:highlight w:val="none"/>
        </w:rPr>
        <w:t>：</w:t>
      </w:r>
      <w:r>
        <w:rPr>
          <w:rFonts w:hint="eastAsia"/>
          <w:color w:val="auto"/>
          <w:highlight w:val="none"/>
          <w:lang w:val="en-US" w:eastAsia="zh-CN"/>
        </w:rPr>
        <w:t>3</w:t>
      </w:r>
      <w:r>
        <w:rPr>
          <w:color w:val="auto"/>
          <w:highlight w:val="none"/>
        </w:rPr>
        <w:t>0</w:t>
      </w:r>
    </w:p>
    <w:p>
      <w:pPr>
        <w:pStyle w:val="3"/>
        <w:spacing w:line="306" w:lineRule="exact"/>
        <w:ind w:left="765"/>
        <w:rPr>
          <w:rFonts w:hint="eastAsia" w:eastAsia="宋体"/>
          <w:color w:val="auto"/>
          <w:highlight w:val="none"/>
          <w:lang w:val="en-US" w:eastAsia="zh-CN"/>
        </w:rPr>
      </w:pPr>
      <w:r>
        <w:rPr>
          <w:color w:val="auto"/>
          <w:spacing w:val="-6"/>
          <w:highlight w:val="none"/>
        </w:rPr>
        <w:t>地点：</w:t>
      </w:r>
      <w:r>
        <w:rPr>
          <w:rFonts w:hint="eastAsia"/>
          <w:color w:val="auto"/>
          <w:spacing w:val="-6"/>
          <w:highlight w:val="none"/>
        </w:rPr>
        <w:t>（1）现场报名：现场报名需携带报名资料，并现场交纳报名费。（2）网上报名：前往浙江五石工程咨询有限公司官网：http://zjwsbidding.com/招投标专区进行报名</w:t>
      </w:r>
      <w:r>
        <w:rPr>
          <w:rFonts w:hint="eastAsia"/>
          <w:color w:val="auto"/>
          <w:spacing w:val="-6"/>
          <w:highlight w:val="none"/>
          <w:lang w:eastAsia="zh-CN"/>
        </w:rPr>
        <w:t>。</w:t>
      </w:r>
    </w:p>
    <w:p>
      <w:pPr>
        <w:pStyle w:val="3"/>
        <w:spacing w:before="158"/>
        <w:ind w:left="765"/>
        <w:rPr>
          <w:color w:val="auto"/>
          <w:highlight w:val="none"/>
        </w:rPr>
      </w:pPr>
      <w:r>
        <w:rPr>
          <w:color w:val="auto"/>
          <w:spacing w:val="-6"/>
          <w:highlight w:val="none"/>
        </w:rPr>
        <w:t xml:space="preserve">磋商文件售价：每本 </w:t>
      </w:r>
      <w:r>
        <w:rPr>
          <w:color w:val="auto"/>
          <w:highlight w:val="none"/>
        </w:rPr>
        <w:t>500.00</w:t>
      </w:r>
      <w:r>
        <w:rPr>
          <w:color w:val="auto"/>
          <w:spacing w:val="-30"/>
          <w:highlight w:val="none"/>
        </w:rPr>
        <w:t xml:space="preserve"> 元</w:t>
      </w:r>
      <w:r>
        <w:rPr>
          <w:color w:val="auto"/>
          <w:highlight w:val="none"/>
        </w:rPr>
        <w:t>（售后不退</w:t>
      </w:r>
      <w:r>
        <w:rPr>
          <w:color w:val="auto"/>
          <w:spacing w:val="-17"/>
          <w:highlight w:val="none"/>
        </w:rPr>
        <w:t xml:space="preserve">） </w:t>
      </w:r>
    </w:p>
    <w:p>
      <w:pPr>
        <w:pStyle w:val="3"/>
        <w:spacing w:before="161" w:line="364" w:lineRule="auto"/>
        <w:ind w:right="314" w:firstLine="482"/>
        <w:rPr>
          <w:rFonts w:hint="eastAsia" w:eastAsia="宋体"/>
          <w:color w:val="auto"/>
          <w:highlight w:val="none"/>
          <w:lang w:val="en-US" w:eastAsia="zh-CN"/>
        </w:rPr>
      </w:pPr>
      <w:r>
        <w:rPr>
          <w:color w:val="auto"/>
          <w:highlight w:val="none"/>
        </w:rPr>
        <w:t>获取磋商文件时须提交的文件资料：营业执照复印件或法人证书复印件、授权委托书、身份证复印件</w:t>
      </w:r>
      <w:r>
        <w:rPr>
          <w:rFonts w:hint="eastAsia"/>
          <w:color w:val="auto"/>
          <w:highlight w:val="none"/>
          <w:lang w:eastAsia="zh-CN"/>
        </w:rPr>
        <w:t>、</w:t>
      </w:r>
      <w:r>
        <w:rPr>
          <w:rFonts w:hint="eastAsia" w:ascii="宋体" w:hAnsi="宋体" w:eastAsia="宋体" w:cs="宋体"/>
          <w:color w:val="auto"/>
          <w:highlight w:val="none"/>
        </w:rPr>
        <w:t>供应商报名登记表（网上报名不需要提供）</w:t>
      </w:r>
      <w:r>
        <w:rPr>
          <w:rFonts w:hint="eastAsia" w:cs="宋体"/>
          <w:color w:val="auto"/>
          <w:highlight w:val="none"/>
          <w:lang w:eastAsia="zh-CN"/>
        </w:rPr>
        <w:t>。</w:t>
      </w:r>
    </w:p>
    <w:p>
      <w:pPr>
        <w:pStyle w:val="3"/>
        <w:spacing w:line="364" w:lineRule="auto"/>
        <w:ind w:right="314" w:firstLine="482"/>
        <w:jc w:val="both"/>
        <w:rPr>
          <w:color w:val="auto"/>
          <w:highlight w:val="none"/>
        </w:rPr>
      </w:pPr>
      <w:r>
        <w:rPr>
          <w:color w:val="auto"/>
          <w:highlight w:val="none"/>
        </w:rPr>
        <w:t>提示：（1）采购机构将拒绝接受非报名供应商的响应文件。（2）磋商文件领取截止时间之后有潜在供应商提出要求获取磋商文件的，采购机构将允许其获取，但该供应商如对磋商文件有异议的，应于自磋商文件领取截止时间之日起七个工作日内以书面形式向采购机构提出。</w:t>
      </w:r>
    </w:p>
    <w:p>
      <w:pPr>
        <w:pStyle w:val="9"/>
        <w:spacing w:line="305" w:lineRule="exact"/>
        <w:jc w:val="both"/>
        <w:rPr>
          <w:color w:val="auto"/>
          <w:highlight w:val="none"/>
        </w:rPr>
      </w:pPr>
      <w:r>
        <w:rPr>
          <w:color w:val="auto"/>
          <w:highlight w:val="none"/>
        </w:rPr>
        <w:t>七、响应文件提交的截止时间：</w:t>
      </w:r>
      <w:r>
        <w:rPr>
          <w:rFonts w:hint="eastAsia"/>
          <w:color w:val="auto"/>
          <w:highlight w:val="none"/>
          <w:lang w:eastAsia="zh-CN"/>
        </w:rPr>
        <w:t>2019-12-11</w:t>
      </w:r>
      <w:r>
        <w:rPr>
          <w:color w:val="auto"/>
          <w:spacing w:val="118"/>
          <w:highlight w:val="none"/>
        </w:rPr>
        <w:t xml:space="preserve"> </w:t>
      </w:r>
      <w:r>
        <w:rPr>
          <w:color w:val="auto"/>
          <w:highlight w:val="none"/>
        </w:rPr>
        <w:t>14:00:00</w:t>
      </w:r>
    </w:p>
    <w:p>
      <w:pPr>
        <w:spacing w:before="159"/>
        <w:ind w:left="283" w:right="0" w:firstLine="0"/>
        <w:jc w:val="both"/>
        <w:rPr>
          <w:b/>
          <w:color w:val="auto"/>
          <w:sz w:val="24"/>
          <w:highlight w:val="none"/>
        </w:rPr>
      </w:pPr>
      <w:r>
        <w:rPr>
          <w:b/>
          <w:color w:val="auto"/>
          <w:sz w:val="24"/>
          <w:highlight w:val="none"/>
        </w:rPr>
        <w:t>八、响应文件提交的地点：</w:t>
      </w:r>
      <w:r>
        <w:rPr>
          <w:rFonts w:hint="eastAsia"/>
          <w:b/>
          <w:color w:val="auto"/>
          <w:sz w:val="24"/>
          <w:highlight w:val="none"/>
        </w:rPr>
        <w:t>杭州市滨江区东信大道66号东方通信科技园启迪楼2楼会议室（2）</w:t>
      </w:r>
    </w:p>
    <w:p>
      <w:pPr>
        <w:spacing w:before="158"/>
        <w:ind w:left="283" w:right="0" w:firstLine="0"/>
        <w:jc w:val="both"/>
        <w:rPr>
          <w:b/>
          <w:color w:val="auto"/>
          <w:sz w:val="24"/>
          <w:highlight w:val="none"/>
        </w:rPr>
      </w:pPr>
      <w:r>
        <w:rPr>
          <w:b/>
          <w:color w:val="auto"/>
          <w:sz w:val="24"/>
          <w:highlight w:val="none"/>
        </w:rPr>
        <w:t>九、响应文件开启时间：</w:t>
      </w:r>
      <w:r>
        <w:rPr>
          <w:rFonts w:hint="eastAsia"/>
          <w:b/>
          <w:color w:val="auto"/>
          <w:sz w:val="24"/>
          <w:highlight w:val="none"/>
          <w:lang w:eastAsia="zh-CN"/>
        </w:rPr>
        <w:t>2019-12-11</w:t>
      </w:r>
      <w:r>
        <w:rPr>
          <w:b/>
          <w:color w:val="auto"/>
          <w:spacing w:val="120"/>
          <w:sz w:val="24"/>
          <w:highlight w:val="none"/>
        </w:rPr>
        <w:t xml:space="preserve"> </w:t>
      </w:r>
      <w:r>
        <w:rPr>
          <w:b/>
          <w:color w:val="auto"/>
          <w:sz w:val="24"/>
          <w:highlight w:val="none"/>
        </w:rPr>
        <w:t>14:00:00</w:t>
      </w:r>
    </w:p>
    <w:p>
      <w:pPr>
        <w:spacing w:before="159"/>
        <w:ind w:left="283" w:right="0" w:firstLine="0"/>
        <w:jc w:val="both"/>
        <w:rPr>
          <w:rFonts w:hint="eastAsia"/>
          <w:b/>
          <w:color w:val="auto"/>
          <w:sz w:val="24"/>
          <w:highlight w:val="none"/>
        </w:rPr>
      </w:pPr>
      <w:r>
        <w:rPr>
          <w:b/>
          <w:color w:val="auto"/>
          <w:sz w:val="24"/>
          <w:highlight w:val="none"/>
        </w:rPr>
        <w:t>十、响应文件开启地点：</w:t>
      </w:r>
      <w:r>
        <w:rPr>
          <w:rFonts w:hint="eastAsia"/>
          <w:b/>
          <w:color w:val="auto"/>
          <w:sz w:val="24"/>
          <w:highlight w:val="none"/>
        </w:rPr>
        <w:t>杭州市滨江区东信大道66号东方通信科技园启迪楼2楼会议室（2）</w:t>
      </w:r>
    </w:p>
    <w:p>
      <w:pPr>
        <w:spacing w:before="161" w:line="362" w:lineRule="auto"/>
        <w:ind w:left="283" w:right="3147" w:firstLine="0"/>
        <w:jc w:val="both"/>
        <w:rPr>
          <w:b/>
          <w:color w:val="auto"/>
          <w:sz w:val="24"/>
          <w:highlight w:val="none"/>
        </w:rPr>
      </w:pPr>
      <w:r>
        <w:rPr>
          <w:b/>
          <w:color w:val="auto"/>
          <w:sz w:val="24"/>
          <w:highlight w:val="none"/>
        </w:rPr>
        <w:t>十一、质疑和投诉：</w:t>
      </w:r>
    </w:p>
    <w:p>
      <w:pPr>
        <w:pStyle w:val="3"/>
        <w:spacing w:before="4" w:line="364" w:lineRule="auto"/>
        <w:ind w:right="311" w:firstLine="482"/>
        <w:jc w:val="both"/>
        <w:rPr>
          <w:color w:val="auto"/>
          <w:highlight w:val="none"/>
        </w:rPr>
      </w:pPr>
      <w:r>
        <w:rPr>
          <w:color w:val="auto"/>
          <w:highlight w:val="none"/>
        </w:rPr>
        <w:t>供应商认为磋商文件、采购过程和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p>
    <w:p>
      <w:pPr>
        <w:pStyle w:val="9"/>
        <w:spacing w:line="305" w:lineRule="exact"/>
        <w:rPr>
          <w:color w:val="auto"/>
          <w:highlight w:val="none"/>
        </w:rPr>
      </w:pPr>
      <w:r>
        <w:rPr>
          <w:color w:val="auto"/>
          <w:highlight w:val="none"/>
        </w:rPr>
        <w:t>十二、其它事项：</w:t>
      </w:r>
    </w:p>
    <w:p>
      <w:pPr>
        <w:spacing w:before="161" w:line="364" w:lineRule="auto"/>
        <w:ind w:left="283" w:right="302" w:firstLine="482"/>
        <w:jc w:val="both"/>
        <w:rPr>
          <w:color w:val="auto"/>
          <w:sz w:val="24"/>
          <w:highlight w:val="none"/>
        </w:rPr>
      </w:pPr>
      <w:r>
        <w:rPr>
          <w:color w:val="auto"/>
          <w:sz w:val="24"/>
          <w:highlight w:val="none"/>
        </w:rPr>
        <w:t>1、各</w:t>
      </w:r>
      <w:r>
        <w:rPr>
          <w:b/>
          <w:color w:val="auto"/>
          <w:sz w:val="24"/>
          <w:highlight w:val="none"/>
        </w:rPr>
        <w:t>磋商供应商</w:t>
      </w:r>
      <w:r>
        <w:rPr>
          <w:color w:val="auto"/>
          <w:sz w:val="24"/>
          <w:highlight w:val="none"/>
        </w:rPr>
        <w:t>请在响应文件递交截止时间之前在</w:t>
      </w:r>
      <w:r>
        <w:rPr>
          <w:b/>
          <w:color w:val="auto"/>
          <w:sz w:val="24"/>
          <w:highlight w:val="none"/>
        </w:rPr>
        <w:t>浙江政府采购网</w:t>
      </w:r>
      <w:r>
        <w:rPr>
          <w:color w:val="auto"/>
          <w:sz w:val="24"/>
          <w:highlight w:val="none"/>
        </w:rPr>
        <w:t>进行免费注册， 具体详见网站供应商注册要求。如尚未注册，请登录相关网站进行注册并将</w:t>
      </w:r>
      <w:r>
        <w:rPr>
          <w:b/>
          <w:color w:val="auto"/>
          <w:sz w:val="24"/>
          <w:highlight w:val="none"/>
        </w:rPr>
        <w:t>书面材料提交复核</w:t>
      </w:r>
      <w:r>
        <w:rPr>
          <w:color w:val="auto"/>
          <w:sz w:val="24"/>
          <w:highlight w:val="none"/>
        </w:rPr>
        <w:t>。</w:t>
      </w:r>
    </w:p>
    <w:p>
      <w:pPr>
        <w:pStyle w:val="3"/>
        <w:spacing w:before="56" w:line="362" w:lineRule="auto"/>
        <w:ind w:left="521" w:leftChars="237" w:right="314" w:firstLine="285" w:firstLineChars="119"/>
        <w:rPr>
          <w:rFonts w:hint="eastAsia" w:eastAsia="宋体"/>
          <w:color w:val="auto"/>
          <w:highlight w:val="none"/>
          <w:lang w:eastAsia="zh-CN"/>
        </w:rPr>
      </w:pPr>
      <w:bookmarkStart w:id="8" w:name="第二部分 磋商须知"/>
      <w:bookmarkEnd w:id="8"/>
      <w:r>
        <w:rPr>
          <w:color w:val="auto"/>
          <w:highlight w:val="none"/>
        </w:rPr>
        <w:t>2</w:t>
      </w:r>
      <w:r>
        <w:rPr>
          <w:color w:val="auto"/>
          <w:spacing w:val="-3"/>
          <w:highlight w:val="none"/>
        </w:rPr>
        <w:t>、书面质疑受理地点：</w:t>
      </w:r>
      <w:r>
        <w:rPr>
          <w:rFonts w:hint="eastAsia"/>
          <w:color w:val="auto"/>
          <w:spacing w:val="-3"/>
          <w:highlight w:val="none"/>
        </w:rPr>
        <w:t>杭州市滨江区东方通信科技园启迪楼2楼1215室</w:t>
      </w:r>
      <w:r>
        <w:rPr>
          <w:color w:val="auto"/>
          <w:spacing w:val="-6"/>
          <w:highlight w:val="none"/>
        </w:rPr>
        <w:t>，联系人：</w:t>
      </w:r>
      <w:r>
        <w:rPr>
          <w:rFonts w:hint="eastAsia"/>
          <w:color w:val="auto"/>
          <w:spacing w:val="-6"/>
          <w:highlight w:val="none"/>
          <w:lang w:val="en-US" w:eastAsia="zh-CN"/>
        </w:rPr>
        <w:t>毛</w:t>
      </w:r>
      <w:r>
        <w:rPr>
          <w:color w:val="auto"/>
          <w:spacing w:val="-6"/>
          <w:highlight w:val="none"/>
        </w:rPr>
        <w:t>工，联系电话：</w:t>
      </w:r>
      <w:r>
        <w:rPr>
          <w:rFonts w:hint="eastAsia" w:ascii="宋体" w:hAnsi="宋体" w:eastAsia="宋体" w:cs="宋体"/>
          <w:color w:val="auto"/>
          <w:kern w:val="0"/>
          <w:highlight w:val="none"/>
        </w:rPr>
        <w:t>0571-87919156</w:t>
      </w:r>
      <w:r>
        <w:rPr>
          <w:rFonts w:hint="eastAsia" w:cs="宋体"/>
          <w:color w:val="auto"/>
          <w:kern w:val="0"/>
          <w:highlight w:val="none"/>
          <w:lang w:eastAsia="zh-CN"/>
        </w:rPr>
        <w:t>。</w:t>
      </w:r>
    </w:p>
    <w:p>
      <w:pPr>
        <w:spacing w:before="5"/>
        <w:ind w:left="765" w:right="0" w:firstLine="0"/>
        <w:jc w:val="left"/>
        <w:rPr>
          <w:color w:val="auto"/>
          <w:sz w:val="24"/>
          <w:highlight w:val="none"/>
        </w:rPr>
      </w:pPr>
      <w:r>
        <w:rPr>
          <w:b/>
          <w:color w:val="auto"/>
          <w:sz w:val="24"/>
          <w:highlight w:val="none"/>
        </w:rPr>
        <w:t>3、需要落实的政府采购政策：</w:t>
      </w:r>
      <w:r>
        <w:rPr>
          <w:color w:val="auto"/>
          <w:sz w:val="24"/>
          <w:highlight w:val="none"/>
        </w:rPr>
        <w:t>a.扶持中小企业（监狱企业、残疾人福利性单位）。</w:t>
      </w:r>
    </w:p>
    <w:p>
      <w:pPr>
        <w:spacing w:before="158" w:line="364" w:lineRule="auto"/>
        <w:ind w:left="283" w:right="6052" w:firstLine="482"/>
        <w:jc w:val="left"/>
        <w:rPr>
          <w:b/>
          <w:color w:val="auto"/>
          <w:sz w:val="24"/>
          <w:highlight w:val="none"/>
        </w:rPr>
      </w:pPr>
      <w:r>
        <w:rPr>
          <w:color w:val="auto"/>
          <w:sz w:val="24"/>
          <w:highlight w:val="none"/>
        </w:rPr>
        <w:t>4</w:t>
      </w:r>
      <w:r>
        <w:rPr>
          <w:color w:val="auto"/>
          <w:spacing w:val="-8"/>
          <w:sz w:val="24"/>
          <w:highlight w:val="none"/>
        </w:rPr>
        <w:t xml:space="preserve">、本公告期限为 </w:t>
      </w:r>
      <w:r>
        <w:rPr>
          <w:color w:val="auto"/>
          <w:sz w:val="24"/>
          <w:highlight w:val="none"/>
        </w:rPr>
        <w:t>3</w:t>
      </w:r>
      <w:r>
        <w:rPr>
          <w:color w:val="auto"/>
          <w:spacing w:val="-13"/>
          <w:sz w:val="24"/>
          <w:highlight w:val="none"/>
        </w:rPr>
        <w:t xml:space="preserve"> 个工作日。</w:t>
      </w:r>
      <w:r>
        <w:rPr>
          <w:b/>
          <w:color w:val="auto"/>
          <w:sz w:val="24"/>
          <w:highlight w:val="none"/>
        </w:rPr>
        <w:t>十三、采购需求：</w:t>
      </w:r>
    </w:p>
    <w:p>
      <w:pPr>
        <w:pStyle w:val="3"/>
        <w:spacing w:line="306" w:lineRule="exact"/>
        <w:ind w:left="765"/>
        <w:rPr>
          <w:color w:val="auto"/>
          <w:highlight w:val="none"/>
        </w:rPr>
      </w:pPr>
      <w:r>
        <w:rPr>
          <w:color w:val="auto"/>
          <w:highlight w:val="none"/>
        </w:rPr>
        <w:t>详见附件。</w:t>
      </w:r>
    </w:p>
    <w:p>
      <w:pPr>
        <w:pStyle w:val="9"/>
        <w:spacing w:before="160"/>
        <w:rPr>
          <w:color w:val="auto"/>
          <w:highlight w:val="none"/>
        </w:rPr>
      </w:pPr>
      <w:r>
        <w:rPr>
          <w:color w:val="auto"/>
          <w:highlight w:val="none"/>
        </w:rPr>
        <w:t>十四、公告发布范围：</w:t>
      </w:r>
    </w:p>
    <w:p>
      <w:pPr>
        <w:spacing w:before="161" w:line="362" w:lineRule="auto"/>
        <w:ind w:left="283" w:right="5212" w:firstLine="482"/>
        <w:jc w:val="left"/>
        <w:rPr>
          <w:b/>
          <w:color w:val="auto"/>
          <w:sz w:val="24"/>
          <w:highlight w:val="none"/>
        </w:rPr>
      </w:pPr>
      <w:r>
        <w:rPr>
          <w:color w:val="auto"/>
          <w:sz w:val="24"/>
          <w:highlight w:val="none"/>
        </w:rPr>
        <w:t>浙江政府采购网、杭州市政府采购网。</w:t>
      </w:r>
      <w:r>
        <w:rPr>
          <w:b/>
          <w:color w:val="auto"/>
          <w:sz w:val="24"/>
          <w:highlight w:val="none"/>
        </w:rPr>
        <w:t>十五、联系方式：</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rPr>
        <w:t>1.采购人名称：</w:t>
      </w:r>
      <w:r>
        <w:rPr>
          <w:rFonts w:hint="eastAsia" w:ascii="宋体" w:hAnsi="宋体" w:eastAsia="宋体" w:cs="宋体"/>
          <w:color w:val="auto"/>
          <w:highlight w:val="none"/>
        </w:rPr>
        <w:t>2022年第19届亚运会组委会</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联系人：顾老师</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联系电话：0571-85255235</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地址：浙江省杭州市富春路150号昆仑中心B座</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2.代理机构名称：浙江五石工程咨询有限公司  </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项目联系人：陈工</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联系电话：0571-86098397-808</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报名联系人：梁工</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联系电话：17746806483</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邮箱：2810140286@qq.com</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质疑联系人及电话：毛工/0571-87919156</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浙江五石工程咨询有限公司官网：http://zjwsbidding.com/</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地址：杭州市滨江区东方通信科技园启迪楼2楼1207室</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3.同级政府采购监督管理部门名称：杭州市财政局政府采购监管处</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联系人：吕老师</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监督投诉电话：0571-87715261</w:t>
      </w:r>
    </w:p>
    <w:p>
      <w:pPr>
        <w:keepNext w:val="0"/>
        <w:keepLines w:val="0"/>
        <w:pageBreakBefore w:val="0"/>
        <w:widowControl w:val="0"/>
        <w:kinsoku/>
        <w:wordWrap/>
        <w:overflowPunct/>
        <w:topLinePunct w:val="0"/>
        <w:autoSpaceDE w:val="0"/>
        <w:autoSpaceDN w:val="0"/>
        <w:bidi w:val="0"/>
        <w:adjustRightInd/>
        <w:snapToGrid/>
        <w:spacing w:line="360" w:lineRule="auto"/>
        <w:ind w:firstLine="660" w:firstLineChars="3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传真：0571-87233325</w:t>
      </w:r>
    </w:p>
    <w:p>
      <w:pPr>
        <w:keepNext w:val="0"/>
        <w:keepLines w:val="0"/>
        <w:pageBreakBefore w:val="0"/>
        <w:widowControl w:val="0"/>
        <w:kinsoku/>
        <w:wordWrap/>
        <w:overflowPunct/>
        <w:topLinePunct w:val="0"/>
        <w:autoSpaceDE w:val="0"/>
        <w:autoSpaceDN w:val="0"/>
        <w:bidi w:val="0"/>
        <w:adjustRightInd/>
        <w:snapToGrid/>
        <w:spacing w:after="0" w:line="362" w:lineRule="auto"/>
        <w:ind w:firstLine="660" w:firstLineChars="300"/>
        <w:textAlignment w:val="auto"/>
        <w:rPr>
          <w:color w:val="auto"/>
          <w:highlight w:val="none"/>
        </w:rPr>
        <w:sectPr>
          <w:pgSz w:w="11900" w:h="16840"/>
          <w:pgMar w:top="1080" w:right="820" w:bottom="800" w:left="1020" w:header="0" w:footer="529" w:gutter="0"/>
        </w:sectPr>
      </w:pPr>
      <w:r>
        <w:rPr>
          <w:rFonts w:hint="eastAsia" w:ascii="宋体" w:hAnsi="宋体" w:eastAsia="宋体" w:cs="宋体"/>
          <w:color w:val="auto"/>
          <w:kern w:val="0"/>
          <w:highlight w:val="none"/>
        </w:rPr>
        <w:t>地址：杭州市中河中路152号617办公室</w:t>
      </w:r>
    </w:p>
    <w:p>
      <w:pPr>
        <w:pStyle w:val="4"/>
        <w:ind w:right="26"/>
        <w:outlineLvl w:val="0"/>
        <w:rPr>
          <w:color w:val="auto"/>
          <w:highlight w:val="none"/>
        </w:rPr>
      </w:pPr>
      <w:bookmarkStart w:id="9" w:name="_Toc10669"/>
      <w:r>
        <w:rPr>
          <w:color w:val="auto"/>
          <w:highlight w:val="none"/>
        </w:rPr>
        <w:t>第二部分 磋商须知</w:t>
      </w:r>
      <w:bookmarkEnd w:id="9"/>
    </w:p>
    <w:p>
      <w:pPr>
        <w:pStyle w:val="5"/>
        <w:spacing w:before="239"/>
        <w:ind w:right="31"/>
        <w:rPr>
          <w:color w:val="auto"/>
          <w:highlight w:val="none"/>
        </w:rPr>
      </w:pPr>
      <w:bookmarkStart w:id="10" w:name="前 附 表"/>
      <w:bookmarkEnd w:id="10"/>
      <w:bookmarkStart w:id="11" w:name="_Toc10861"/>
      <w:r>
        <w:rPr>
          <w:color w:val="auto"/>
          <w:highlight w:val="none"/>
        </w:rPr>
        <w:t>前 附 表</w:t>
      </w:r>
      <w:bookmarkEnd w:id="11"/>
    </w:p>
    <w:p>
      <w:pPr>
        <w:pStyle w:val="3"/>
        <w:spacing w:before="5"/>
        <w:ind w:left="0"/>
        <w:rPr>
          <w:b/>
          <w:color w:val="auto"/>
          <w:sz w:val="16"/>
          <w:highlight w:val="none"/>
        </w:rPr>
      </w:pPr>
    </w:p>
    <w:tbl>
      <w:tblPr>
        <w:tblStyle w:val="16"/>
        <w:tblW w:w="0" w:type="auto"/>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
        <w:gridCol w:w="652"/>
        <w:gridCol w:w="3"/>
        <w:gridCol w:w="1550"/>
        <w:gridCol w:w="7372"/>
        <w:gridCol w:w="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642" w:hRule="atLeast"/>
        </w:trPr>
        <w:tc>
          <w:tcPr>
            <w:tcW w:w="655" w:type="dxa"/>
            <w:gridSpan w:val="2"/>
            <w:tcBorders>
              <w:bottom w:val="single" w:color="000000" w:sz="2" w:space="0"/>
              <w:right w:val="single" w:color="000000" w:sz="2" w:space="0"/>
            </w:tcBorders>
          </w:tcPr>
          <w:p>
            <w:pPr>
              <w:pStyle w:val="20"/>
              <w:spacing w:before="1"/>
              <w:rPr>
                <w:b/>
                <w:color w:val="auto"/>
                <w:sz w:val="17"/>
                <w:highlight w:val="none"/>
              </w:rPr>
            </w:pPr>
          </w:p>
          <w:p>
            <w:pPr>
              <w:pStyle w:val="20"/>
              <w:ind w:left="66" w:right="56"/>
              <w:jc w:val="center"/>
              <w:rPr>
                <w:color w:val="auto"/>
                <w:sz w:val="24"/>
                <w:highlight w:val="none"/>
              </w:rPr>
            </w:pPr>
            <w:r>
              <w:rPr>
                <w:color w:val="auto"/>
                <w:sz w:val="24"/>
                <w:highlight w:val="none"/>
              </w:rPr>
              <w:t>条款</w:t>
            </w:r>
          </w:p>
        </w:tc>
        <w:tc>
          <w:tcPr>
            <w:tcW w:w="8925" w:type="dxa"/>
            <w:gridSpan w:val="3"/>
            <w:tcBorders>
              <w:left w:val="single" w:color="000000" w:sz="2" w:space="0"/>
              <w:bottom w:val="single" w:color="000000" w:sz="2" w:space="0"/>
            </w:tcBorders>
          </w:tcPr>
          <w:p>
            <w:pPr>
              <w:pStyle w:val="20"/>
              <w:spacing w:before="1"/>
              <w:rPr>
                <w:b/>
                <w:color w:val="auto"/>
                <w:sz w:val="17"/>
                <w:highlight w:val="none"/>
              </w:rPr>
            </w:pPr>
          </w:p>
          <w:p>
            <w:pPr>
              <w:pStyle w:val="20"/>
              <w:ind w:left="3968" w:right="3940"/>
              <w:jc w:val="center"/>
              <w:rPr>
                <w:b/>
                <w:color w:val="auto"/>
                <w:sz w:val="24"/>
                <w:highlight w:val="none"/>
              </w:rPr>
            </w:pPr>
            <w:r>
              <w:rPr>
                <w:b/>
                <w:color w:val="auto"/>
                <w:sz w:val="24"/>
                <w:highlight w:val="none"/>
              </w:rPr>
              <w:t>内容规定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5220" w:hRule="atLeast"/>
        </w:trPr>
        <w:tc>
          <w:tcPr>
            <w:tcW w:w="655" w:type="dxa"/>
            <w:gridSpan w:val="2"/>
            <w:tcBorders>
              <w:top w:val="single" w:color="000000" w:sz="2" w:space="0"/>
              <w:bottom w:val="single" w:color="000000" w:sz="2" w:space="0"/>
              <w:right w:val="single" w:color="000000" w:sz="2" w:space="0"/>
            </w:tcBorders>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9"/>
              <w:rPr>
                <w:b/>
                <w:color w:val="auto"/>
                <w:sz w:val="27"/>
                <w:highlight w:val="none"/>
              </w:rPr>
            </w:pPr>
          </w:p>
          <w:p>
            <w:pPr>
              <w:pStyle w:val="20"/>
              <w:ind w:left="10"/>
              <w:jc w:val="center"/>
              <w:rPr>
                <w:color w:val="auto"/>
                <w:sz w:val="24"/>
                <w:highlight w:val="none"/>
              </w:rPr>
            </w:pPr>
            <w:r>
              <w:rPr>
                <w:color w:val="auto"/>
                <w:sz w:val="24"/>
                <w:highlight w:val="none"/>
              </w:rPr>
              <w:t>1</w:t>
            </w:r>
          </w:p>
        </w:tc>
        <w:tc>
          <w:tcPr>
            <w:tcW w:w="8925" w:type="dxa"/>
            <w:gridSpan w:val="3"/>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auto"/>
                <w:sz w:val="24"/>
                <w:highlight w:val="none"/>
              </w:rPr>
            </w:pPr>
            <w:r>
              <w:rPr>
                <w:color w:val="auto"/>
                <w:sz w:val="24"/>
                <w:highlight w:val="none"/>
              </w:rPr>
              <w:t>项目说明</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4"/>
                <w:highlight w:val="none"/>
              </w:rPr>
            </w:pPr>
            <w:r>
              <w:rPr>
                <w:rFonts w:hint="eastAsia"/>
                <w:b/>
                <w:color w:val="auto"/>
                <w:sz w:val="24"/>
                <w:highlight w:val="none"/>
              </w:rPr>
              <w:t>一、项目名称：</w:t>
            </w:r>
            <w:r>
              <w:rPr>
                <w:rFonts w:hint="eastAsia"/>
                <w:color w:val="auto"/>
                <w:sz w:val="24"/>
                <w:highlight w:val="none"/>
                <w:lang w:eastAsia="zh-CN"/>
              </w:rPr>
              <w:t>2022年亚运会餐饮服务规划和安全保障研究</w:t>
            </w:r>
            <w:r>
              <w:rPr>
                <w:rFonts w:hint="eastAsia"/>
                <w:color w:val="auto"/>
                <w:sz w:val="24"/>
                <w:highlight w:val="none"/>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51"/>
              <w:jc w:val="both"/>
              <w:textAlignment w:val="auto"/>
              <w:rPr>
                <w:color w:val="auto"/>
                <w:sz w:val="24"/>
                <w:highlight w:val="none"/>
              </w:rPr>
            </w:pPr>
            <w:r>
              <w:rPr>
                <w:b/>
                <w:color w:val="auto"/>
                <w:sz w:val="24"/>
                <w:highlight w:val="none"/>
              </w:rPr>
              <w:t>二、项目内容：</w:t>
            </w:r>
            <w:r>
              <w:rPr>
                <w:rFonts w:hint="eastAsia"/>
                <w:color w:val="auto"/>
                <w:sz w:val="24"/>
                <w:highlight w:val="none"/>
                <w:lang w:eastAsia="zh-CN"/>
              </w:rPr>
              <w:t>2022年亚运会餐饮服务规划和安全保障研究</w:t>
            </w:r>
            <w:r>
              <w:rPr>
                <w:color w:val="auto"/>
                <w:sz w:val="24"/>
                <w:highlight w:val="none"/>
              </w:rPr>
              <w:t>，主要包括：</w:t>
            </w:r>
            <w:r>
              <w:rPr>
                <w:rFonts w:hint="eastAsia"/>
                <w:color w:val="auto"/>
                <w:sz w:val="24"/>
                <w:highlight w:val="none"/>
              </w:rPr>
              <w:t>从杭州亚运会筹备和项目研究的实际出发，从三个方面对杭州亚运会餐饮服务和安全保障进行全面研究，具体包括：《杭州亚运会赛事餐饮的整体规划研究》、《杭州亚运会赛事餐饮运行及管理研究（含服务商遴选）》、《杭州亚运会赛事餐饮供应链和食品安全管理研究》。</w:t>
            </w:r>
            <w:r>
              <w:rPr>
                <w:color w:val="auto"/>
                <w:sz w:val="24"/>
                <w:highlight w:val="none"/>
              </w:rPr>
              <w:t>具体详见磋商文件第三部分《项目技术规范和服务要求》。</w:t>
            </w:r>
          </w:p>
          <w:p>
            <w:pPr>
              <w:pStyle w:val="20"/>
              <w:spacing w:line="304" w:lineRule="exact"/>
              <w:rPr>
                <w:b/>
                <w:color w:val="auto"/>
                <w:sz w:val="24"/>
                <w:highlight w:val="none"/>
              </w:rPr>
            </w:pPr>
            <w:r>
              <w:rPr>
                <w:b/>
                <w:color w:val="auto"/>
                <w:sz w:val="24"/>
                <w:highlight w:val="none"/>
              </w:rPr>
              <w:t>三、项目实施地点：杭州。</w:t>
            </w:r>
          </w:p>
          <w:p>
            <w:pPr>
              <w:pStyle w:val="20"/>
              <w:spacing w:before="150"/>
              <w:rPr>
                <w:rFonts w:hint="eastAsia" w:eastAsia="宋体"/>
                <w:b/>
                <w:color w:val="auto"/>
                <w:sz w:val="24"/>
                <w:highlight w:val="none"/>
                <w:lang w:eastAsia="zh-CN"/>
              </w:rPr>
            </w:pPr>
            <w:r>
              <w:rPr>
                <w:b/>
                <w:color w:val="auto"/>
                <w:sz w:val="24"/>
                <w:highlight w:val="none"/>
              </w:rPr>
              <w:t>四、项目服务期限：</w:t>
            </w:r>
            <w:r>
              <w:rPr>
                <w:rFonts w:hint="eastAsia"/>
                <w:b/>
                <w:color w:val="auto"/>
                <w:sz w:val="24"/>
                <w:highlight w:val="none"/>
              </w:rPr>
              <w:t>最后方案提交验收和结题时间为2020年9月31日前</w:t>
            </w:r>
            <w:r>
              <w:rPr>
                <w:rFonts w:hint="eastAsia"/>
                <w:b/>
                <w:color w:val="auto"/>
                <w:sz w:val="24"/>
                <w:highlight w:val="none"/>
                <w:lang w:eastAsia="zh-CN"/>
              </w:rPr>
              <w:t>。</w:t>
            </w:r>
          </w:p>
          <w:p>
            <w:pPr>
              <w:pStyle w:val="20"/>
              <w:spacing w:before="153"/>
              <w:rPr>
                <w:b/>
                <w:color w:val="auto"/>
                <w:sz w:val="24"/>
                <w:highlight w:val="none"/>
              </w:rPr>
            </w:pPr>
            <w:r>
              <w:rPr>
                <w:b/>
                <w:color w:val="auto"/>
                <w:sz w:val="24"/>
                <w:highlight w:val="none"/>
              </w:rPr>
              <w:t>五、要求质量标准：</w:t>
            </w:r>
            <w:r>
              <w:rPr>
                <w:color w:val="auto"/>
                <w:sz w:val="24"/>
                <w:highlight w:val="none"/>
              </w:rPr>
              <w:t>符合合同及磋商文件要求</w:t>
            </w:r>
            <w:r>
              <w:rPr>
                <w:b/>
                <w:color w:val="auto"/>
                <w:sz w:val="24"/>
                <w:highlight w:val="none"/>
              </w:rPr>
              <w:t>。</w:t>
            </w:r>
          </w:p>
          <w:p>
            <w:pPr>
              <w:pStyle w:val="20"/>
              <w:spacing w:before="151"/>
              <w:rPr>
                <w:color w:val="auto"/>
                <w:sz w:val="24"/>
                <w:highlight w:val="none"/>
              </w:rPr>
            </w:pPr>
            <w:r>
              <w:rPr>
                <w:b/>
                <w:color w:val="auto"/>
                <w:sz w:val="24"/>
                <w:highlight w:val="none"/>
              </w:rPr>
              <w:t>六、主要服务内容及要求：</w:t>
            </w:r>
            <w:r>
              <w:rPr>
                <w:color w:val="auto"/>
                <w:sz w:val="24"/>
                <w:highlight w:val="none"/>
              </w:rPr>
              <w:t>详见第三部分—项目技术规范和服务要求。</w:t>
            </w:r>
          </w:p>
          <w:p>
            <w:pPr>
              <w:pStyle w:val="20"/>
              <w:spacing w:before="1" w:line="460" w:lineRule="atLeast"/>
              <w:ind w:right="17"/>
              <w:rPr>
                <w:color w:val="auto"/>
                <w:sz w:val="24"/>
                <w:highlight w:val="none"/>
              </w:rPr>
            </w:pPr>
            <w:r>
              <w:rPr>
                <w:b/>
                <w:color w:val="auto"/>
                <w:sz w:val="24"/>
                <w:highlight w:val="none"/>
              </w:rPr>
              <w:t xml:space="preserve">七、采购预算： 采购计划文号： </w:t>
            </w:r>
            <w:r>
              <w:rPr>
                <w:rFonts w:hint="eastAsia" w:ascii="宋体" w:hAnsi="宋体" w:eastAsia="宋体" w:cs="宋体"/>
                <w:color w:val="auto"/>
                <w:highlight w:val="none"/>
              </w:rPr>
              <w:t>杭政采分-2019-02906[HZZFCG-YS-2019-08930]、杭政采分-2019-02906[HZZFCG-YS-2019-08764]</w:t>
            </w:r>
            <w:r>
              <w:rPr>
                <w:rFonts w:hint="eastAsia" w:cs="宋体"/>
                <w:color w:val="auto"/>
                <w:highlight w:val="none"/>
                <w:lang w:eastAsia="zh-CN"/>
              </w:rPr>
              <w:t>。</w:t>
            </w:r>
            <w:r>
              <w:rPr>
                <w:b/>
                <w:color w:val="auto"/>
                <w:sz w:val="24"/>
                <w:highlight w:val="none"/>
              </w:rPr>
              <w:t xml:space="preserve">采购预算 </w:t>
            </w:r>
            <w:r>
              <w:rPr>
                <w:rFonts w:hint="eastAsia"/>
                <w:color w:val="auto"/>
                <w:sz w:val="24"/>
                <w:highlight w:val="none"/>
                <w:lang w:val="en-US" w:eastAsia="zh-CN"/>
              </w:rPr>
              <w:t>95</w:t>
            </w:r>
            <w:r>
              <w:rPr>
                <w:color w:val="auto"/>
                <w:sz w:val="24"/>
                <w:highlight w:val="none"/>
              </w:rPr>
              <w:t>万元人民币，本项目最高限价</w:t>
            </w:r>
            <w:r>
              <w:rPr>
                <w:rFonts w:hint="eastAsia"/>
                <w:color w:val="auto"/>
                <w:sz w:val="24"/>
                <w:highlight w:val="none"/>
                <w:lang w:val="en-US" w:eastAsia="zh-CN"/>
              </w:rPr>
              <w:t>90</w:t>
            </w:r>
            <w:r>
              <w:rPr>
                <w:color w:val="auto"/>
                <w:sz w:val="24"/>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620" w:hRule="atLeast"/>
        </w:trPr>
        <w:tc>
          <w:tcPr>
            <w:tcW w:w="655" w:type="dxa"/>
            <w:gridSpan w:val="2"/>
            <w:tcBorders>
              <w:top w:val="single" w:color="000000" w:sz="2" w:space="0"/>
              <w:bottom w:val="single" w:color="000000" w:sz="2" w:space="0"/>
              <w:right w:val="single" w:color="000000" w:sz="2" w:space="0"/>
            </w:tcBorders>
          </w:tcPr>
          <w:p>
            <w:pPr>
              <w:pStyle w:val="20"/>
              <w:spacing w:before="208"/>
              <w:ind w:left="10"/>
              <w:jc w:val="center"/>
              <w:rPr>
                <w:color w:val="auto"/>
                <w:sz w:val="24"/>
                <w:highlight w:val="none"/>
              </w:rPr>
            </w:pPr>
            <w:r>
              <w:rPr>
                <w:color w:val="auto"/>
                <w:sz w:val="24"/>
                <w:highlight w:val="none"/>
              </w:rPr>
              <w:t>2</w:t>
            </w:r>
          </w:p>
        </w:tc>
        <w:tc>
          <w:tcPr>
            <w:tcW w:w="1550" w:type="dxa"/>
            <w:tcBorders>
              <w:top w:val="single" w:color="000000" w:sz="2" w:space="0"/>
              <w:left w:val="single" w:color="000000" w:sz="2" w:space="0"/>
              <w:bottom w:val="single" w:color="000000" w:sz="2" w:space="0"/>
              <w:right w:val="single" w:color="000000" w:sz="2" w:space="0"/>
            </w:tcBorders>
          </w:tcPr>
          <w:p>
            <w:pPr>
              <w:pStyle w:val="20"/>
              <w:spacing w:before="208"/>
              <w:ind w:left="87"/>
              <w:rPr>
                <w:b/>
                <w:color w:val="auto"/>
                <w:sz w:val="24"/>
                <w:highlight w:val="none"/>
              </w:rPr>
            </w:pPr>
            <w:r>
              <w:rPr>
                <w:b/>
                <w:color w:val="auto"/>
                <w:sz w:val="24"/>
                <w:highlight w:val="none"/>
              </w:rPr>
              <w:t>合同名称</w:t>
            </w:r>
          </w:p>
        </w:tc>
        <w:tc>
          <w:tcPr>
            <w:tcW w:w="7375" w:type="dxa"/>
            <w:gridSpan w:val="2"/>
            <w:tcBorders>
              <w:top w:val="single" w:color="000000" w:sz="2" w:space="0"/>
              <w:left w:val="single" w:color="000000" w:sz="2" w:space="0"/>
              <w:bottom w:val="single" w:color="000000" w:sz="2" w:space="0"/>
            </w:tcBorders>
          </w:tcPr>
          <w:p>
            <w:pPr>
              <w:pStyle w:val="20"/>
              <w:spacing w:before="208"/>
              <w:ind w:left="87"/>
              <w:rPr>
                <w:color w:val="auto"/>
                <w:sz w:val="24"/>
                <w:highlight w:val="none"/>
              </w:rPr>
            </w:pPr>
            <w:r>
              <w:rPr>
                <w:color w:val="auto"/>
                <w:sz w:val="24"/>
                <w:highlight w:val="none"/>
              </w:rPr>
              <w:t>《</w:t>
            </w:r>
            <w:r>
              <w:rPr>
                <w:rFonts w:hint="eastAsia"/>
                <w:color w:val="auto"/>
                <w:sz w:val="24"/>
                <w:highlight w:val="none"/>
                <w:lang w:eastAsia="zh-CN"/>
              </w:rPr>
              <w:t>2022年亚运会餐饮服务规划和安全保障研究</w:t>
            </w:r>
            <w:r>
              <w:rPr>
                <w:color w:val="auto"/>
                <w:sz w:val="24"/>
                <w:highlight w:val="none"/>
              </w:rPr>
              <w:t>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620" w:hRule="atLeast"/>
        </w:trPr>
        <w:tc>
          <w:tcPr>
            <w:tcW w:w="655" w:type="dxa"/>
            <w:gridSpan w:val="2"/>
            <w:tcBorders>
              <w:top w:val="single" w:color="000000" w:sz="2" w:space="0"/>
              <w:bottom w:val="single" w:color="000000" w:sz="2" w:space="0"/>
              <w:right w:val="single" w:color="000000" w:sz="2" w:space="0"/>
            </w:tcBorders>
          </w:tcPr>
          <w:p>
            <w:pPr>
              <w:pStyle w:val="20"/>
              <w:spacing w:before="207"/>
              <w:ind w:left="10"/>
              <w:jc w:val="center"/>
              <w:rPr>
                <w:color w:val="auto"/>
                <w:sz w:val="24"/>
                <w:highlight w:val="none"/>
              </w:rPr>
            </w:pPr>
            <w:r>
              <w:rPr>
                <w:color w:val="auto"/>
                <w:sz w:val="24"/>
                <w:highlight w:val="none"/>
              </w:rPr>
              <w:t>3</w:t>
            </w:r>
          </w:p>
        </w:tc>
        <w:tc>
          <w:tcPr>
            <w:tcW w:w="8925" w:type="dxa"/>
            <w:gridSpan w:val="3"/>
            <w:tcBorders>
              <w:top w:val="single" w:color="000000" w:sz="2" w:space="0"/>
              <w:left w:val="single" w:color="000000" w:sz="2" w:space="0"/>
              <w:bottom w:val="single" w:color="000000" w:sz="2" w:space="0"/>
            </w:tcBorders>
          </w:tcPr>
          <w:p>
            <w:pPr>
              <w:pStyle w:val="20"/>
              <w:spacing w:before="207"/>
              <w:ind w:left="87"/>
              <w:rPr>
                <w:color w:val="auto"/>
                <w:sz w:val="24"/>
                <w:highlight w:val="none"/>
              </w:rPr>
            </w:pPr>
            <w:r>
              <w:rPr>
                <w:b/>
                <w:color w:val="auto"/>
                <w:sz w:val="24"/>
                <w:highlight w:val="none"/>
              </w:rPr>
              <w:t>磋商有效期：</w:t>
            </w:r>
            <w:r>
              <w:rPr>
                <w:color w:val="auto"/>
                <w:sz w:val="24"/>
                <w:highlight w:val="none"/>
              </w:rPr>
              <w:t>自响应文件递交截止日起 90 天内有效。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620" w:hRule="atLeast"/>
        </w:trPr>
        <w:tc>
          <w:tcPr>
            <w:tcW w:w="655" w:type="dxa"/>
            <w:gridSpan w:val="2"/>
            <w:tcBorders>
              <w:top w:val="single" w:color="000000" w:sz="2" w:space="0"/>
              <w:bottom w:val="single" w:color="000000" w:sz="2" w:space="0"/>
              <w:right w:val="single" w:color="000000" w:sz="2" w:space="0"/>
            </w:tcBorders>
          </w:tcPr>
          <w:p>
            <w:pPr>
              <w:pStyle w:val="20"/>
              <w:spacing w:before="208"/>
              <w:ind w:left="10"/>
              <w:jc w:val="center"/>
              <w:rPr>
                <w:color w:val="auto"/>
                <w:sz w:val="24"/>
                <w:highlight w:val="none"/>
              </w:rPr>
            </w:pPr>
            <w:r>
              <w:rPr>
                <w:color w:val="auto"/>
                <w:sz w:val="24"/>
                <w:highlight w:val="none"/>
              </w:rPr>
              <w:t>4</w:t>
            </w:r>
          </w:p>
        </w:tc>
        <w:tc>
          <w:tcPr>
            <w:tcW w:w="8925" w:type="dxa"/>
            <w:gridSpan w:val="3"/>
            <w:tcBorders>
              <w:top w:val="single" w:color="000000" w:sz="2" w:space="0"/>
              <w:left w:val="single" w:color="000000" w:sz="2" w:space="0"/>
              <w:bottom w:val="single" w:color="000000" w:sz="2" w:space="0"/>
            </w:tcBorders>
          </w:tcPr>
          <w:p>
            <w:pPr>
              <w:pStyle w:val="20"/>
              <w:spacing w:before="208"/>
              <w:ind w:left="87"/>
              <w:rPr>
                <w:b/>
                <w:color w:val="auto"/>
                <w:sz w:val="24"/>
                <w:highlight w:val="none"/>
              </w:rPr>
            </w:pPr>
            <w:r>
              <w:rPr>
                <w:b/>
                <w:color w:val="auto"/>
                <w:sz w:val="24"/>
                <w:highlight w:val="none"/>
              </w:rPr>
              <w:t>磋商保证金：本项目不要求提交磋商保证金。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2460" w:hRule="atLeast"/>
        </w:trPr>
        <w:tc>
          <w:tcPr>
            <w:tcW w:w="655" w:type="dxa"/>
            <w:gridSpan w:val="2"/>
            <w:tcBorders>
              <w:top w:val="single" w:color="000000" w:sz="2" w:space="0"/>
              <w:bottom w:val="single" w:color="000000" w:sz="2" w:space="0"/>
              <w:right w:val="single" w:color="000000" w:sz="2" w:space="0"/>
            </w:tcBorders>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206"/>
              <w:ind w:left="10"/>
              <w:jc w:val="center"/>
              <w:rPr>
                <w:color w:val="auto"/>
                <w:sz w:val="24"/>
                <w:highlight w:val="none"/>
              </w:rPr>
            </w:pPr>
            <w:r>
              <w:rPr>
                <w:color w:val="auto"/>
                <w:sz w:val="24"/>
                <w:highlight w:val="none"/>
              </w:rPr>
              <w:t>5</w:t>
            </w:r>
          </w:p>
        </w:tc>
        <w:tc>
          <w:tcPr>
            <w:tcW w:w="8925" w:type="dxa"/>
            <w:gridSpan w:val="3"/>
            <w:tcBorders>
              <w:top w:val="single" w:color="000000" w:sz="2" w:space="0"/>
              <w:left w:val="single" w:color="000000" w:sz="2" w:space="0"/>
              <w:bottom w:val="single" w:color="000000" w:sz="2" w:space="0"/>
            </w:tcBorders>
          </w:tcPr>
          <w:p>
            <w:pPr>
              <w:pStyle w:val="20"/>
              <w:spacing w:before="207" w:line="360" w:lineRule="auto"/>
              <w:ind w:left="87" w:right="1114"/>
              <w:rPr>
                <w:b/>
                <w:color w:val="auto"/>
                <w:sz w:val="24"/>
                <w:highlight w:val="none"/>
              </w:rPr>
            </w:pPr>
            <w:r>
              <w:rPr>
                <w:b/>
                <w:color w:val="auto"/>
                <w:sz w:val="24"/>
                <w:highlight w:val="none"/>
              </w:rPr>
              <w:t>响应文件份数：正本壹份、副本叁份。同时提供响应文件电子文档壹份。装订：不接受活页装订的响应文件。</w:t>
            </w:r>
          </w:p>
          <w:p>
            <w:pPr>
              <w:pStyle w:val="20"/>
              <w:spacing w:line="357" w:lineRule="auto"/>
              <w:ind w:left="87" w:right="1598"/>
              <w:rPr>
                <w:b/>
                <w:color w:val="auto"/>
                <w:sz w:val="24"/>
                <w:highlight w:val="none"/>
              </w:rPr>
            </w:pPr>
            <w:r>
              <w:rPr>
                <w:b/>
                <w:color w:val="auto"/>
                <w:spacing w:val="-1"/>
                <w:sz w:val="24"/>
                <w:highlight w:val="none"/>
              </w:rPr>
              <w:t>密封：响应文件需密封包装。未密封包装的响应文件将被当场拒绝。</w:t>
            </w:r>
            <w:r>
              <w:rPr>
                <w:b/>
                <w:color w:val="auto"/>
                <w:sz w:val="24"/>
                <w:highlight w:val="none"/>
              </w:rPr>
              <w:t>签署：按磋商文件第五部分要求。</w:t>
            </w:r>
          </w:p>
          <w:p>
            <w:pPr>
              <w:pStyle w:val="20"/>
              <w:spacing w:before="2"/>
              <w:ind w:left="87"/>
              <w:rPr>
                <w:b/>
                <w:color w:val="auto"/>
                <w:sz w:val="24"/>
                <w:highlight w:val="none"/>
              </w:rPr>
            </w:pPr>
            <w:r>
              <w:rPr>
                <w:b/>
                <w:color w:val="auto"/>
                <w:w w:val="95"/>
                <w:sz w:val="24"/>
                <w:highlight w:val="none"/>
              </w:rPr>
              <w:t>盖章：按磋商文件第五部分要求。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625" w:hRule="atLeast"/>
        </w:trPr>
        <w:tc>
          <w:tcPr>
            <w:tcW w:w="655" w:type="dxa"/>
            <w:gridSpan w:val="2"/>
            <w:tcBorders>
              <w:top w:val="single" w:color="000000" w:sz="2" w:space="0"/>
              <w:bottom w:val="single" w:color="000000" w:sz="2" w:space="0"/>
              <w:right w:val="single" w:color="000000" w:sz="2" w:space="0"/>
            </w:tcBorders>
          </w:tcPr>
          <w:p>
            <w:pPr>
              <w:pStyle w:val="20"/>
              <w:spacing w:before="212"/>
              <w:ind w:left="10"/>
              <w:jc w:val="center"/>
              <w:rPr>
                <w:color w:val="auto"/>
                <w:sz w:val="24"/>
                <w:highlight w:val="none"/>
              </w:rPr>
            </w:pPr>
            <w:r>
              <w:rPr>
                <w:color w:val="auto"/>
                <w:sz w:val="24"/>
                <w:highlight w:val="none"/>
              </w:rPr>
              <w:t>6</w:t>
            </w:r>
          </w:p>
        </w:tc>
        <w:tc>
          <w:tcPr>
            <w:tcW w:w="8925" w:type="dxa"/>
            <w:gridSpan w:val="3"/>
            <w:tcBorders>
              <w:top w:val="single" w:color="000000" w:sz="2" w:space="0"/>
              <w:left w:val="single" w:color="000000" w:sz="2" w:space="0"/>
              <w:bottom w:val="single" w:color="000000" w:sz="2" w:space="0"/>
            </w:tcBorders>
          </w:tcPr>
          <w:p>
            <w:pPr>
              <w:pStyle w:val="20"/>
              <w:tabs>
                <w:tab w:val="left" w:pos="4668"/>
              </w:tabs>
              <w:spacing w:before="212"/>
              <w:ind w:left="87"/>
              <w:rPr>
                <w:b/>
                <w:color w:val="auto"/>
                <w:sz w:val="24"/>
                <w:highlight w:val="none"/>
              </w:rPr>
            </w:pPr>
            <w:r>
              <w:rPr>
                <w:b/>
                <w:color w:val="auto"/>
                <w:sz w:val="24"/>
                <w:highlight w:val="none"/>
              </w:rPr>
              <w:t>提交首次响应文件截止时间：</w:t>
            </w:r>
            <w:r>
              <w:rPr>
                <w:rFonts w:hint="eastAsia"/>
                <w:b/>
                <w:color w:val="auto"/>
                <w:sz w:val="24"/>
                <w:highlight w:val="none"/>
                <w:lang w:eastAsia="zh-CN"/>
              </w:rPr>
              <w:t>2019-12-11</w:t>
            </w:r>
            <w:r>
              <w:rPr>
                <w:b/>
                <w:color w:val="auto"/>
                <w:sz w:val="24"/>
                <w:highlight w:val="none"/>
              </w:rPr>
              <w:tab/>
            </w:r>
            <w:r>
              <w:rPr>
                <w:b/>
                <w:color w:val="auto"/>
                <w:sz w:val="24"/>
                <w:highlight w:val="none"/>
              </w:rPr>
              <w:t>14:00:00。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1080" w:hRule="atLeast"/>
        </w:trPr>
        <w:tc>
          <w:tcPr>
            <w:tcW w:w="655" w:type="dxa"/>
            <w:gridSpan w:val="2"/>
            <w:tcBorders>
              <w:top w:val="single" w:color="000000" w:sz="2" w:space="0"/>
              <w:bottom w:val="single" w:color="000000" w:sz="2" w:space="0"/>
              <w:right w:val="single" w:color="000000" w:sz="2" w:space="0"/>
            </w:tcBorders>
          </w:tcPr>
          <w:p>
            <w:pPr>
              <w:pStyle w:val="20"/>
              <w:spacing w:before="2"/>
              <w:rPr>
                <w:b/>
                <w:color w:val="auto"/>
                <w:sz w:val="34"/>
                <w:highlight w:val="none"/>
              </w:rPr>
            </w:pPr>
          </w:p>
          <w:p>
            <w:pPr>
              <w:pStyle w:val="20"/>
              <w:ind w:left="10"/>
              <w:jc w:val="center"/>
              <w:rPr>
                <w:color w:val="auto"/>
                <w:sz w:val="24"/>
                <w:highlight w:val="none"/>
              </w:rPr>
            </w:pPr>
            <w:r>
              <w:rPr>
                <w:color w:val="auto"/>
                <w:sz w:val="24"/>
                <w:highlight w:val="none"/>
              </w:rPr>
              <w:t>7</w:t>
            </w:r>
          </w:p>
        </w:tc>
        <w:tc>
          <w:tcPr>
            <w:tcW w:w="8925" w:type="dxa"/>
            <w:gridSpan w:val="3"/>
            <w:tcBorders>
              <w:top w:val="single" w:color="000000" w:sz="2" w:space="0"/>
              <w:left w:val="single" w:color="000000" w:sz="2" w:space="0"/>
              <w:bottom w:val="single" w:color="000000" w:sz="2" w:space="0"/>
            </w:tcBorders>
          </w:tcPr>
          <w:p>
            <w:pPr>
              <w:pStyle w:val="20"/>
              <w:spacing w:before="207"/>
              <w:ind w:left="87"/>
              <w:rPr>
                <w:color w:val="auto"/>
                <w:sz w:val="24"/>
                <w:highlight w:val="none"/>
              </w:rPr>
            </w:pPr>
            <w:r>
              <w:rPr>
                <w:b/>
                <w:color w:val="auto"/>
                <w:sz w:val="24"/>
                <w:highlight w:val="none"/>
              </w:rPr>
              <w:t>响应文件递交至单位：</w:t>
            </w:r>
            <w:r>
              <w:rPr>
                <w:rFonts w:hint="eastAsia"/>
                <w:color w:val="auto"/>
                <w:sz w:val="24"/>
                <w:highlight w:val="none"/>
                <w:lang w:eastAsia="zh-CN"/>
              </w:rPr>
              <w:t>浙江五石工程咨询有限公司</w:t>
            </w:r>
            <w:r>
              <w:rPr>
                <w:color w:val="auto"/>
                <w:sz w:val="24"/>
                <w:highlight w:val="none"/>
              </w:rPr>
              <w:t>；</w:t>
            </w:r>
          </w:p>
          <w:p>
            <w:pPr>
              <w:pStyle w:val="20"/>
              <w:spacing w:before="153"/>
              <w:ind w:left="87"/>
              <w:rPr>
                <w:color w:val="auto"/>
                <w:sz w:val="24"/>
                <w:highlight w:val="none"/>
              </w:rPr>
            </w:pPr>
            <w:r>
              <w:rPr>
                <w:b/>
                <w:color w:val="auto"/>
                <w:sz w:val="24"/>
                <w:highlight w:val="none"/>
              </w:rPr>
              <w:t>响应文件递交至地点：</w:t>
            </w:r>
            <w:r>
              <w:rPr>
                <w:rFonts w:hint="eastAsia"/>
                <w:color w:val="auto"/>
                <w:sz w:val="24"/>
                <w:highlight w:val="none"/>
              </w:rPr>
              <w:t>杭州市滨江区东信大道66号东方通信科技园启迪楼2楼会议室（2）</w:t>
            </w:r>
            <w:r>
              <w:rPr>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3" w:type="dxa"/>
          <w:trHeight w:val="1077" w:hRule="atLeast"/>
        </w:trPr>
        <w:tc>
          <w:tcPr>
            <w:tcW w:w="655" w:type="dxa"/>
            <w:gridSpan w:val="2"/>
            <w:tcBorders>
              <w:top w:val="single" w:color="000000" w:sz="2" w:space="0"/>
              <w:bottom w:val="single" w:color="000000" w:sz="2" w:space="0"/>
              <w:right w:val="single" w:color="000000" w:sz="2" w:space="0"/>
            </w:tcBorders>
          </w:tcPr>
          <w:p>
            <w:pPr>
              <w:pStyle w:val="20"/>
              <w:spacing w:before="2"/>
              <w:rPr>
                <w:b/>
                <w:color w:val="auto"/>
                <w:sz w:val="34"/>
                <w:highlight w:val="none"/>
              </w:rPr>
            </w:pPr>
          </w:p>
          <w:p>
            <w:pPr>
              <w:pStyle w:val="20"/>
              <w:ind w:left="10"/>
              <w:jc w:val="center"/>
              <w:rPr>
                <w:color w:val="auto"/>
                <w:sz w:val="24"/>
                <w:highlight w:val="none"/>
              </w:rPr>
            </w:pPr>
            <w:r>
              <w:rPr>
                <w:color w:val="auto"/>
                <w:sz w:val="24"/>
                <w:highlight w:val="none"/>
              </w:rPr>
              <w:t>8</w:t>
            </w:r>
          </w:p>
        </w:tc>
        <w:tc>
          <w:tcPr>
            <w:tcW w:w="8925" w:type="dxa"/>
            <w:gridSpan w:val="3"/>
            <w:tcBorders>
              <w:top w:val="single" w:color="000000" w:sz="2" w:space="0"/>
              <w:left w:val="single" w:color="000000" w:sz="2" w:space="0"/>
              <w:bottom w:val="single" w:color="000000" w:sz="2" w:space="0"/>
            </w:tcBorders>
          </w:tcPr>
          <w:p>
            <w:pPr>
              <w:pStyle w:val="20"/>
              <w:tabs>
                <w:tab w:val="left" w:pos="4186"/>
              </w:tabs>
              <w:spacing w:before="207"/>
              <w:ind w:left="87"/>
              <w:rPr>
                <w:b/>
                <w:color w:val="auto"/>
                <w:sz w:val="24"/>
                <w:highlight w:val="none"/>
              </w:rPr>
            </w:pPr>
            <w:r>
              <w:rPr>
                <w:b/>
                <w:color w:val="auto"/>
                <w:sz w:val="24"/>
                <w:highlight w:val="none"/>
              </w:rPr>
              <w:t>首次响应文件开启时间：</w:t>
            </w:r>
            <w:r>
              <w:rPr>
                <w:rFonts w:hint="eastAsia"/>
                <w:b/>
                <w:color w:val="auto"/>
                <w:sz w:val="24"/>
                <w:highlight w:val="none"/>
                <w:lang w:eastAsia="zh-CN"/>
              </w:rPr>
              <w:t>2019-12-11</w:t>
            </w:r>
            <w:r>
              <w:rPr>
                <w:b/>
                <w:color w:val="auto"/>
                <w:sz w:val="24"/>
                <w:highlight w:val="none"/>
              </w:rPr>
              <w:tab/>
            </w:r>
            <w:r>
              <w:rPr>
                <w:b/>
                <w:color w:val="auto"/>
                <w:sz w:val="24"/>
                <w:highlight w:val="none"/>
              </w:rPr>
              <w:t>14:00:00；</w:t>
            </w:r>
          </w:p>
          <w:p>
            <w:pPr>
              <w:pStyle w:val="20"/>
              <w:spacing w:before="153"/>
              <w:ind w:left="87"/>
              <w:rPr>
                <w:color w:val="auto"/>
                <w:sz w:val="24"/>
                <w:highlight w:val="none"/>
              </w:rPr>
            </w:pPr>
            <w:r>
              <w:rPr>
                <w:b/>
                <w:color w:val="auto"/>
                <w:sz w:val="24"/>
                <w:highlight w:val="none"/>
              </w:rPr>
              <w:t>首次响应文件开启地点：</w:t>
            </w:r>
            <w:r>
              <w:rPr>
                <w:rFonts w:hint="eastAsia"/>
                <w:color w:val="auto"/>
                <w:sz w:val="24"/>
                <w:highlight w:val="none"/>
              </w:rPr>
              <w:t>杭州市滨江区东信大道66号东方通信科技园启迪楼2楼会议室（2）</w:t>
            </w:r>
            <w:r>
              <w:rPr>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199"/>
              <w:ind w:left="10"/>
              <w:jc w:val="center"/>
              <w:rPr>
                <w:color w:val="auto"/>
                <w:sz w:val="24"/>
                <w:highlight w:val="none"/>
              </w:rPr>
            </w:pPr>
            <w:r>
              <w:rPr>
                <w:color w:val="auto"/>
                <w:sz w:val="24"/>
                <w:highlight w:val="none"/>
              </w:rPr>
              <w:t>9</w:t>
            </w:r>
          </w:p>
        </w:tc>
        <w:tc>
          <w:tcPr>
            <w:tcW w:w="8925" w:type="dxa"/>
            <w:gridSpan w:val="3"/>
            <w:tcBorders>
              <w:top w:val="single" w:color="000000" w:sz="2" w:space="0"/>
              <w:left w:val="single" w:color="000000" w:sz="2" w:space="0"/>
              <w:bottom w:val="single" w:color="000000" w:sz="2" w:space="0"/>
            </w:tcBorders>
            <w:vAlign w:val="top"/>
          </w:tcPr>
          <w:p>
            <w:pPr>
              <w:pStyle w:val="20"/>
              <w:spacing w:before="203"/>
              <w:ind w:left="87"/>
              <w:rPr>
                <w:color w:val="auto"/>
                <w:sz w:val="24"/>
                <w:highlight w:val="none"/>
              </w:rPr>
            </w:pPr>
            <w:r>
              <w:rPr>
                <w:b/>
                <w:color w:val="auto"/>
                <w:sz w:val="24"/>
                <w:highlight w:val="none"/>
              </w:rPr>
              <w:t>澄清：</w:t>
            </w:r>
            <w:r>
              <w:rPr>
                <w:color w:val="auto"/>
                <w:spacing w:val="-3"/>
                <w:sz w:val="24"/>
                <w:highlight w:val="none"/>
              </w:rPr>
              <w:t xml:space="preserve">已获取磋商文件的潜在供应商，若有问题需要澄清，应于 </w:t>
            </w:r>
            <w:r>
              <w:rPr>
                <w:color w:val="auto"/>
                <w:sz w:val="24"/>
                <w:highlight w:val="none"/>
              </w:rPr>
              <w:t>2019</w:t>
            </w:r>
            <w:r>
              <w:rPr>
                <w:color w:val="auto"/>
                <w:spacing w:val="-40"/>
                <w:sz w:val="24"/>
                <w:highlight w:val="none"/>
              </w:rPr>
              <w:t xml:space="preserve"> 年 </w:t>
            </w:r>
            <w:r>
              <w:rPr>
                <w:rFonts w:hint="eastAsia"/>
                <w:color w:val="auto"/>
                <w:sz w:val="24"/>
                <w:highlight w:val="none"/>
                <w:lang w:val="en-US" w:eastAsia="zh-CN"/>
              </w:rPr>
              <w:t>12</w:t>
            </w:r>
            <w:r>
              <w:rPr>
                <w:color w:val="auto"/>
                <w:spacing w:val="-40"/>
                <w:sz w:val="24"/>
                <w:highlight w:val="none"/>
              </w:rPr>
              <w:t>月</w:t>
            </w:r>
            <w:r>
              <w:rPr>
                <w:rFonts w:hint="eastAsia"/>
                <w:color w:val="auto"/>
                <w:spacing w:val="-40"/>
                <w:sz w:val="24"/>
                <w:highlight w:val="none"/>
                <w:lang w:val="en-US" w:eastAsia="zh-CN"/>
              </w:rPr>
              <w:t>10</w:t>
            </w:r>
            <w:r>
              <w:rPr>
                <w:color w:val="auto"/>
                <w:spacing w:val="-30"/>
                <w:sz w:val="24"/>
                <w:highlight w:val="none"/>
              </w:rPr>
              <w:t xml:space="preserve"> 日</w:t>
            </w:r>
          </w:p>
          <w:p>
            <w:pPr>
              <w:pStyle w:val="20"/>
              <w:spacing w:before="153" w:line="357" w:lineRule="auto"/>
              <w:ind w:left="87" w:right="63"/>
              <w:rPr>
                <w:b/>
                <w:color w:val="auto"/>
                <w:sz w:val="24"/>
                <w:highlight w:val="none"/>
              </w:rPr>
            </w:pPr>
            <w:r>
              <w:rPr>
                <w:color w:val="auto"/>
                <w:spacing w:val="-20"/>
                <w:sz w:val="24"/>
                <w:highlight w:val="none"/>
              </w:rPr>
              <w:t xml:space="preserve">下午 </w:t>
            </w:r>
            <w:r>
              <w:rPr>
                <w:color w:val="auto"/>
                <w:sz w:val="24"/>
                <w:highlight w:val="none"/>
              </w:rPr>
              <w:t>1</w:t>
            </w:r>
            <w:r>
              <w:rPr>
                <w:rFonts w:hint="eastAsia"/>
                <w:color w:val="auto"/>
                <w:sz w:val="24"/>
                <w:highlight w:val="none"/>
                <w:lang w:val="en-US" w:eastAsia="zh-CN"/>
              </w:rPr>
              <w:t>6</w:t>
            </w:r>
            <w:r>
              <w:rPr>
                <w:color w:val="auto"/>
                <w:spacing w:val="-9"/>
                <w:sz w:val="24"/>
                <w:highlight w:val="none"/>
              </w:rPr>
              <w:t>时前，以书面形式送达采购代理机构，由采购代理机构与采购人共同解答。</w:t>
            </w:r>
            <w:r>
              <w:rPr>
                <w:b/>
                <w:color w:val="auto"/>
                <w:sz w:val="24"/>
                <w:highlight w:val="none"/>
              </w:rPr>
              <w:t>质疑：供应商在法定质疑期内应当一次性提出针对同一采购程序环节的质疑。</w:t>
            </w:r>
          </w:p>
          <w:p>
            <w:pPr>
              <w:pStyle w:val="3"/>
              <w:spacing w:before="56" w:line="362" w:lineRule="auto"/>
              <w:ind w:left="0" w:leftChars="0" w:right="314" w:firstLine="0" w:firstLineChars="0"/>
              <w:rPr>
                <w:color w:val="auto"/>
                <w:sz w:val="24"/>
                <w:highlight w:val="none"/>
              </w:rPr>
            </w:pPr>
            <w:r>
              <w:rPr>
                <w:b/>
                <w:color w:val="auto"/>
                <w:sz w:val="24"/>
                <w:highlight w:val="none"/>
              </w:rPr>
              <w:t>接收质疑函的方式：</w:t>
            </w:r>
            <w:r>
              <w:rPr>
                <w:color w:val="auto"/>
                <w:sz w:val="24"/>
                <w:highlight w:val="none"/>
              </w:rPr>
              <w:t>书面形式。</w:t>
            </w:r>
            <w:r>
              <w:rPr>
                <w:b/>
                <w:color w:val="auto"/>
                <w:sz w:val="24"/>
                <w:highlight w:val="none"/>
              </w:rPr>
              <w:t>联系人：</w:t>
            </w:r>
            <w:r>
              <w:rPr>
                <w:rFonts w:hint="eastAsia"/>
                <w:color w:val="auto"/>
                <w:sz w:val="24"/>
                <w:highlight w:val="none"/>
                <w:lang w:val="en-US" w:eastAsia="zh-CN"/>
              </w:rPr>
              <w:t>毛</w:t>
            </w:r>
            <w:r>
              <w:rPr>
                <w:color w:val="auto"/>
                <w:sz w:val="24"/>
                <w:highlight w:val="none"/>
              </w:rPr>
              <w:t>工，</w:t>
            </w:r>
            <w:r>
              <w:rPr>
                <w:color w:val="auto"/>
                <w:spacing w:val="-6"/>
                <w:highlight w:val="none"/>
              </w:rPr>
              <w:t>联系电话：</w:t>
            </w:r>
            <w:r>
              <w:rPr>
                <w:rFonts w:hint="eastAsia" w:ascii="宋体" w:hAnsi="宋体" w:eastAsia="宋体" w:cs="宋体"/>
                <w:color w:val="auto"/>
                <w:kern w:val="0"/>
                <w:highlight w:val="none"/>
              </w:rPr>
              <w:t>0571-87919156</w:t>
            </w:r>
            <w:r>
              <w:rPr>
                <w:rFonts w:hint="eastAsia" w:cs="宋体"/>
                <w:color w:val="auto"/>
                <w:kern w:val="0"/>
                <w:highlight w:val="none"/>
                <w:lang w:eastAsia="zh-CN"/>
              </w:rPr>
              <w:t>。</w:t>
            </w:r>
            <w:r>
              <w:rPr>
                <w:rFonts w:hint="eastAsia" w:cs="宋体"/>
                <w:color w:val="auto"/>
                <w:kern w:val="0"/>
                <w:highlight w:val="none"/>
                <w:lang w:val="en-US" w:eastAsia="zh-CN"/>
              </w:rPr>
              <w:t>地址</w:t>
            </w:r>
            <w:r>
              <w:rPr>
                <w:b/>
                <w:color w:val="auto"/>
                <w:sz w:val="24"/>
                <w:highlight w:val="none"/>
              </w:rPr>
              <w:t>：</w:t>
            </w:r>
            <w:r>
              <w:rPr>
                <w:rFonts w:hint="eastAsia"/>
                <w:color w:val="auto"/>
                <w:spacing w:val="-3"/>
                <w:highlight w:val="none"/>
              </w:rPr>
              <w:t>杭州市滨江区东方通信科技园启迪楼2楼1215室</w:t>
            </w:r>
            <w:r>
              <w:rPr>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spacing w:before="10"/>
              <w:rPr>
                <w:b/>
                <w:color w:val="auto"/>
                <w:sz w:val="27"/>
                <w:highlight w:val="none"/>
              </w:rPr>
            </w:pPr>
          </w:p>
          <w:p>
            <w:pPr>
              <w:pStyle w:val="20"/>
              <w:ind w:left="66" w:right="56"/>
              <w:jc w:val="center"/>
              <w:rPr>
                <w:color w:val="auto"/>
                <w:sz w:val="24"/>
                <w:highlight w:val="none"/>
              </w:rPr>
            </w:pPr>
            <w:r>
              <w:rPr>
                <w:color w:val="auto"/>
                <w:sz w:val="24"/>
                <w:highlight w:val="none"/>
              </w:rPr>
              <w:t>10</w:t>
            </w:r>
          </w:p>
        </w:tc>
        <w:tc>
          <w:tcPr>
            <w:tcW w:w="8925" w:type="dxa"/>
            <w:gridSpan w:val="3"/>
            <w:tcBorders>
              <w:top w:val="single" w:color="000000" w:sz="2" w:space="0"/>
              <w:left w:val="single" w:color="000000" w:sz="2" w:space="0"/>
              <w:bottom w:val="single" w:color="000000" w:sz="2" w:space="0"/>
            </w:tcBorders>
            <w:vAlign w:val="top"/>
          </w:tcPr>
          <w:p>
            <w:pPr>
              <w:pStyle w:val="20"/>
              <w:spacing w:before="202"/>
              <w:ind w:left="87"/>
              <w:rPr>
                <w:color w:val="auto"/>
                <w:sz w:val="24"/>
                <w:highlight w:val="none"/>
              </w:rPr>
            </w:pPr>
            <w:r>
              <w:rPr>
                <w:b/>
                <w:color w:val="auto"/>
                <w:sz w:val="24"/>
                <w:highlight w:val="none"/>
              </w:rPr>
              <w:t>资格审查方法：</w:t>
            </w:r>
            <w:r>
              <w:rPr>
                <w:color w:val="auto"/>
                <w:sz w:val="24"/>
                <w:highlight w:val="none"/>
              </w:rPr>
              <w:t>资格后审。资格后审是指在响应文件开启后根据磋商文件的规定对</w:t>
            </w:r>
          </w:p>
          <w:p>
            <w:pPr>
              <w:pStyle w:val="20"/>
              <w:spacing w:before="1" w:line="460" w:lineRule="atLeast"/>
              <w:ind w:left="87" w:right="58"/>
              <w:rPr>
                <w:color w:val="auto"/>
                <w:sz w:val="24"/>
                <w:highlight w:val="none"/>
              </w:rPr>
            </w:pPr>
            <w:r>
              <w:rPr>
                <w:color w:val="auto"/>
                <w:sz w:val="24"/>
                <w:highlight w:val="none"/>
              </w:rPr>
              <w:t>磋商供应商进行的资格审查，资格后审不合格的磋商供应商，对其响应文件作无效处理。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spacing w:before="203"/>
              <w:ind w:left="66" w:right="56"/>
              <w:jc w:val="center"/>
              <w:rPr>
                <w:color w:val="auto"/>
                <w:sz w:val="24"/>
                <w:highlight w:val="none"/>
              </w:rPr>
            </w:pPr>
            <w:r>
              <w:rPr>
                <w:color w:val="auto"/>
                <w:sz w:val="24"/>
                <w:highlight w:val="none"/>
              </w:rPr>
              <w:t>11</w:t>
            </w:r>
          </w:p>
        </w:tc>
        <w:tc>
          <w:tcPr>
            <w:tcW w:w="8925" w:type="dxa"/>
            <w:gridSpan w:val="3"/>
            <w:tcBorders>
              <w:top w:val="single" w:color="000000" w:sz="2" w:space="0"/>
              <w:left w:val="single" w:color="000000" w:sz="2" w:space="0"/>
              <w:bottom w:val="single" w:color="000000" w:sz="2" w:space="0"/>
            </w:tcBorders>
            <w:vAlign w:val="top"/>
          </w:tcPr>
          <w:p>
            <w:pPr>
              <w:pStyle w:val="20"/>
              <w:spacing w:before="203"/>
              <w:ind w:left="87"/>
              <w:rPr>
                <w:color w:val="auto"/>
                <w:sz w:val="24"/>
                <w:highlight w:val="none"/>
              </w:rPr>
            </w:pPr>
            <w:r>
              <w:rPr>
                <w:b/>
                <w:color w:val="auto"/>
                <w:sz w:val="24"/>
                <w:highlight w:val="none"/>
              </w:rPr>
              <w:t>评审办法：</w:t>
            </w:r>
            <w:r>
              <w:rPr>
                <w:color w:val="auto"/>
                <w:sz w:val="24"/>
                <w:highlight w:val="none"/>
              </w:rPr>
              <w:t>综合评分法。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spacing w:before="9"/>
              <w:rPr>
                <w:b/>
                <w:color w:val="auto"/>
                <w:sz w:val="27"/>
                <w:highlight w:val="none"/>
              </w:rPr>
            </w:pPr>
          </w:p>
          <w:p>
            <w:pPr>
              <w:pStyle w:val="20"/>
              <w:ind w:left="66" w:right="56"/>
              <w:jc w:val="center"/>
              <w:rPr>
                <w:color w:val="auto"/>
                <w:sz w:val="24"/>
                <w:highlight w:val="none"/>
              </w:rPr>
            </w:pPr>
            <w:r>
              <w:rPr>
                <w:color w:val="auto"/>
                <w:sz w:val="24"/>
                <w:highlight w:val="none"/>
              </w:rPr>
              <w:t>12</w:t>
            </w:r>
          </w:p>
        </w:tc>
        <w:tc>
          <w:tcPr>
            <w:tcW w:w="8925" w:type="dxa"/>
            <w:gridSpan w:val="3"/>
            <w:tcBorders>
              <w:top w:val="single" w:color="000000" w:sz="2" w:space="0"/>
              <w:left w:val="single" w:color="000000" w:sz="2" w:space="0"/>
              <w:bottom w:val="single" w:color="000000" w:sz="2" w:space="0"/>
            </w:tcBorders>
            <w:vAlign w:val="top"/>
          </w:tcPr>
          <w:p>
            <w:pPr>
              <w:pStyle w:val="20"/>
              <w:spacing w:before="49" w:line="460" w:lineRule="atLeast"/>
              <w:ind w:left="87" w:right="51"/>
              <w:jc w:val="both"/>
              <w:rPr>
                <w:color w:val="auto"/>
                <w:sz w:val="24"/>
                <w:highlight w:val="none"/>
              </w:rPr>
            </w:pPr>
            <w:r>
              <w:rPr>
                <w:b/>
                <w:color w:val="auto"/>
                <w:sz w:val="24"/>
                <w:highlight w:val="none"/>
              </w:rPr>
              <w:t>采购代理服务费：</w:t>
            </w:r>
            <w:r>
              <w:rPr>
                <w:color w:val="auto"/>
                <w:sz w:val="24"/>
                <w:highlight w:val="none"/>
              </w:rPr>
              <w:t>本项目的代理费由成交供应商支付。计费标准：以成交金额的1.</w:t>
            </w:r>
            <w:r>
              <w:rPr>
                <w:rFonts w:hint="eastAsia"/>
                <w:color w:val="auto"/>
                <w:sz w:val="24"/>
                <w:highlight w:val="none"/>
                <w:lang w:val="en-US" w:eastAsia="zh-CN"/>
              </w:rPr>
              <w:t>1</w:t>
            </w:r>
            <w:r>
              <w:rPr>
                <w:color w:val="auto"/>
                <w:sz w:val="24"/>
                <w:highlight w:val="none"/>
              </w:rPr>
              <w:t>%计取。结算方式及时间为：在领取成交通知书时由成交供应商一次性向采购代理机构付清。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spacing w:before="10"/>
              <w:rPr>
                <w:b/>
                <w:color w:val="auto"/>
                <w:sz w:val="33"/>
                <w:highlight w:val="none"/>
              </w:rPr>
            </w:pPr>
          </w:p>
          <w:p>
            <w:pPr>
              <w:pStyle w:val="20"/>
              <w:ind w:left="66" w:right="56"/>
              <w:jc w:val="center"/>
              <w:rPr>
                <w:color w:val="auto"/>
                <w:sz w:val="24"/>
                <w:highlight w:val="none"/>
              </w:rPr>
            </w:pPr>
            <w:r>
              <w:rPr>
                <w:color w:val="auto"/>
                <w:sz w:val="24"/>
                <w:highlight w:val="none"/>
              </w:rPr>
              <w:t>13</w:t>
            </w:r>
          </w:p>
        </w:tc>
        <w:tc>
          <w:tcPr>
            <w:tcW w:w="8925" w:type="dxa"/>
            <w:gridSpan w:val="3"/>
            <w:tcBorders>
              <w:top w:val="single" w:color="000000" w:sz="2" w:space="0"/>
              <w:left w:val="single" w:color="000000" w:sz="2" w:space="0"/>
              <w:bottom w:val="single" w:color="000000" w:sz="2" w:space="0"/>
            </w:tcBorders>
            <w:vAlign w:val="top"/>
          </w:tcPr>
          <w:p>
            <w:pPr>
              <w:pStyle w:val="20"/>
              <w:spacing w:before="50" w:line="460" w:lineRule="atLeast"/>
              <w:ind w:left="87" w:right="149"/>
              <w:rPr>
                <w:b/>
                <w:color w:val="auto"/>
                <w:sz w:val="24"/>
                <w:highlight w:val="none"/>
              </w:rPr>
            </w:pPr>
            <w:r>
              <w:rPr>
                <w:b/>
                <w:color w:val="auto"/>
                <w:sz w:val="24"/>
                <w:highlight w:val="none"/>
              </w:rPr>
              <w:t>现场组织：本项目现场组织按照《浙江省政府采购活动现场组织管理办法》浙财采监〔2015〕13 号文件执行。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6"/>
              <w:rPr>
                <w:b/>
                <w:color w:val="auto"/>
                <w:sz w:val="21"/>
                <w:highlight w:val="none"/>
              </w:rPr>
            </w:pPr>
          </w:p>
          <w:p>
            <w:pPr>
              <w:pStyle w:val="20"/>
              <w:ind w:left="66" w:right="56"/>
              <w:jc w:val="center"/>
              <w:rPr>
                <w:color w:val="auto"/>
                <w:sz w:val="24"/>
                <w:highlight w:val="none"/>
              </w:rPr>
            </w:pPr>
            <w:r>
              <w:rPr>
                <w:color w:val="auto"/>
                <w:sz w:val="24"/>
                <w:highlight w:val="none"/>
              </w:rPr>
              <w:t>14</w:t>
            </w:r>
          </w:p>
        </w:tc>
        <w:tc>
          <w:tcPr>
            <w:tcW w:w="8925" w:type="dxa"/>
            <w:gridSpan w:val="3"/>
            <w:tcBorders>
              <w:top w:val="single" w:color="000000" w:sz="2" w:space="0"/>
              <w:left w:val="single" w:color="000000" w:sz="2" w:space="0"/>
              <w:bottom w:val="single" w:color="000000" w:sz="2" w:space="0"/>
            </w:tcBorders>
            <w:vAlign w:val="top"/>
          </w:tcPr>
          <w:p>
            <w:pPr>
              <w:pStyle w:val="20"/>
              <w:spacing w:before="202"/>
              <w:ind w:left="87"/>
              <w:rPr>
                <w:b/>
                <w:color w:val="auto"/>
                <w:sz w:val="24"/>
                <w:highlight w:val="none"/>
              </w:rPr>
            </w:pPr>
            <w:r>
              <w:rPr>
                <w:b/>
                <w:color w:val="auto"/>
                <w:sz w:val="24"/>
                <w:highlight w:val="none"/>
              </w:rPr>
              <w:t>信用记录查询：依据财库[2016]125 号文件执行</w:t>
            </w:r>
          </w:p>
          <w:p>
            <w:pPr>
              <w:pStyle w:val="20"/>
              <w:spacing w:before="154"/>
              <w:ind w:left="87"/>
              <w:rPr>
                <w:color w:val="auto"/>
                <w:sz w:val="24"/>
                <w:highlight w:val="none"/>
              </w:rPr>
            </w:pPr>
            <w:r>
              <w:rPr>
                <w:b/>
                <w:color w:val="auto"/>
                <w:spacing w:val="-22"/>
                <w:sz w:val="24"/>
                <w:highlight w:val="none"/>
              </w:rPr>
              <w:t xml:space="preserve">查 询 渠 道 ： </w:t>
            </w:r>
            <w:r>
              <w:rPr>
                <w:color w:val="auto"/>
                <w:spacing w:val="-21"/>
                <w:sz w:val="24"/>
                <w:highlight w:val="none"/>
              </w:rPr>
              <w:t xml:space="preserve">信 用 中 国 </w:t>
            </w:r>
            <w:r>
              <w:rPr>
                <w:color w:val="auto"/>
                <w:sz w:val="24"/>
                <w:highlight w:val="none"/>
              </w:rPr>
              <w:t xml:space="preserve">（ </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color w:val="auto"/>
                <w:sz w:val="24"/>
                <w:highlight w:val="none"/>
              </w:rPr>
              <w:t xml:space="preserve">www.creditchina.gov.cn </w:t>
            </w:r>
            <w:r>
              <w:rPr>
                <w:color w:val="auto"/>
                <w:sz w:val="24"/>
                <w:highlight w:val="none"/>
              </w:rPr>
              <w:fldChar w:fldCharType="end"/>
            </w:r>
            <w:r>
              <w:rPr>
                <w:color w:val="auto"/>
                <w:sz w:val="24"/>
                <w:highlight w:val="none"/>
              </w:rPr>
              <w:t>）</w:t>
            </w:r>
            <w:r>
              <w:rPr>
                <w:color w:val="auto"/>
                <w:spacing w:val="-23"/>
                <w:sz w:val="24"/>
                <w:highlight w:val="none"/>
              </w:rPr>
              <w:t xml:space="preserve"> 、 中 国 政 府 采 购 网</w:t>
            </w:r>
          </w:p>
          <w:p>
            <w:pPr>
              <w:pStyle w:val="20"/>
              <w:spacing w:before="151"/>
              <w:ind w:left="87"/>
              <w:rPr>
                <w:color w:val="auto"/>
                <w:sz w:val="24"/>
                <w:highlight w:val="none"/>
              </w:rPr>
            </w:pP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color w:val="auto"/>
                <w:sz w:val="24"/>
                <w:highlight w:val="none"/>
              </w:rPr>
              <w:t>（www.ccgp.gov.cn</w:t>
            </w:r>
            <w:r>
              <w:rPr>
                <w:color w:val="auto"/>
                <w:sz w:val="24"/>
                <w:highlight w:val="none"/>
              </w:rPr>
              <w:fldChar w:fldCharType="end"/>
            </w:r>
            <w:r>
              <w:rPr>
                <w:color w:val="auto"/>
                <w:sz w:val="24"/>
                <w:highlight w:val="none"/>
              </w:rPr>
              <w:t>）；</w:t>
            </w:r>
          </w:p>
          <w:p>
            <w:pPr>
              <w:pStyle w:val="20"/>
              <w:spacing w:before="153" w:line="360" w:lineRule="auto"/>
              <w:ind w:left="87" w:right="3058"/>
              <w:rPr>
                <w:b/>
                <w:color w:val="auto"/>
                <w:sz w:val="24"/>
                <w:highlight w:val="none"/>
              </w:rPr>
            </w:pPr>
            <w:r>
              <w:rPr>
                <w:b/>
                <w:color w:val="auto"/>
                <w:sz w:val="24"/>
                <w:highlight w:val="none"/>
              </w:rPr>
              <w:t>截止时点：</w:t>
            </w:r>
            <w:r>
              <w:rPr>
                <w:color w:val="auto"/>
                <w:spacing w:val="-4"/>
                <w:sz w:val="24"/>
                <w:highlight w:val="none"/>
              </w:rPr>
              <w:t xml:space="preserve">截止提交首次响应文件截止时间前 </w:t>
            </w:r>
            <w:r>
              <w:rPr>
                <w:color w:val="auto"/>
                <w:sz w:val="24"/>
                <w:highlight w:val="none"/>
              </w:rPr>
              <w:t>3</w:t>
            </w:r>
            <w:r>
              <w:rPr>
                <w:color w:val="auto"/>
                <w:spacing w:val="-20"/>
                <w:sz w:val="24"/>
                <w:highlight w:val="none"/>
              </w:rPr>
              <w:t xml:space="preserve"> 年内； </w:t>
            </w:r>
            <w:r>
              <w:rPr>
                <w:b/>
                <w:color w:val="auto"/>
                <w:sz w:val="24"/>
                <w:highlight w:val="none"/>
              </w:rPr>
              <w:t>查询记录和证据的留存：网站查询，打印留存。</w:t>
            </w:r>
          </w:p>
          <w:p>
            <w:pPr>
              <w:pStyle w:val="20"/>
              <w:spacing w:line="304" w:lineRule="exact"/>
              <w:ind w:left="87"/>
              <w:rPr>
                <w:color w:val="auto"/>
                <w:sz w:val="24"/>
                <w:highlight w:val="none"/>
              </w:rPr>
            </w:pPr>
            <w:r>
              <w:rPr>
                <w:b/>
                <w:color w:val="auto"/>
                <w:sz w:val="24"/>
                <w:highlight w:val="none"/>
              </w:rPr>
              <w:t>使用规则：</w:t>
            </w:r>
            <w:r>
              <w:rPr>
                <w:color w:val="auto"/>
                <w:sz w:val="24"/>
                <w:highlight w:val="none"/>
              </w:rPr>
              <w:t>被列入失信被执行人、重大税收违法案件当事人名单、政府采购严重违</w:t>
            </w:r>
          </w:p>
          <w:p>
            <w:pPr>
              <w:pStyle w:val="20"/>
              <w:spacing w:before="1" w:line="460" w:lineRule="atLeast"/>
              <w:ind w:left="87" w:right="183"/>
              <w:rPr>
                <w:color w:val="auto"/>
                <w:sz w:val="24"/>
                <w:highlight w:val="none"/>
              </w:rPr>
            </w:pPr>
            <w:r>
              <w:rPr>
                <w:color w:val="auto"/>
                <w:sz w:val="24"/>
                <w:highlight w:val="none"/>
              </w:rPr>
              <w:t>法失信行为记录名单及其它不符合《中华人民共和国政府采购法》第二十二条规定条件的，其磋商响应将被拒绝。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 w:type="dxa"/>
          <w:trHeight w:val="0" w:hRule="atLeast"/>
        </w:trPr>
        <w:tc>
          <w:tcPr>
            <w:tcW w:w="655" w:type="dxa"/>
            <w:gridSpan w:val="2"/>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201"/>
              <w:ind w:left="66" w:right="56"/>
              <w:jc w:val="center"/>
              <w:rPr>
                <w:color w:val="auto"/>
                <w:sz w:val="24"/>
                <w:highlight w:val="none"/>
              </w:rPr>
            </w:pPr>
            <w:r>
              <w:rPr>
                <w:color w:val="auto"/>
                <w:sz w:val="24"/>
                <w:highlight w:val="none"/>
              </w:rPr>
              <w:t>15</w:t>
            </w:r>
          </w:p>
        </w:tc>
        <w:tc>
          <w:tcPr>
            <w:tcW w:w="8925" w:type="dxa"/>
            <w:gridSpan w:val="3"/>
            <w:tcBorders>
              <w:top w:val="single" w:color="000000" w:sz="2" w:space="0"/>
              <w:left w:val="single" w:color="000000" w:sz="2" w:space="0"/>
              <w:bottom w:val="single" w:color="000000" w:sz="2" w:space="0"/>
            </w:tcBorders>
            <w:vAlign w:val="top"/>
          </w:tcPr>
          <w:p>
            <w:pPr>
              <w:pStyle w:val="20"/>
              <w:spacing w:before="202"/>
              <w:ind w:left="87"/>
              <w:rPr>
                <w:b/>
                <w:color w:val="auto"/>
                <w:sz w:val="24"/>
                <w:highlight w:val="none"/>
              </w:rPr>
            </w:pPr>
            <w:r>
              <w:rPr>
                <w:b/>
                <w:color w:val="auto"/>
                <w:sz w:val="24"/>
                <w:highlight w:val="none"/>
              </w:rPr>
              <w:t>扶持中小企业（监狱企业、残疾人福利性单位）：</w:t>
            </w:r>
          </w:p>
          <w:p>
            <w:pPr>
              <w:pStyle w:val="20"/>
              <w:spacing w:before="153" w:line="357" w:lineRule="auto"/>
              <w:ind w:left="87" w:right="58"/>
              <w:jc w:val="both"/>
              <w:rPr>
                <w:color w:val="auto"/>
                <w:sz w:val="24"/>
                <w:highlight w:val="none"/>
              </w:rPr>
            </w:pPr>
            <w:r>
              <w:rPr>
                <w:color w:val="auto"/>
                <w:spacing w:val="-1"/>
                <w:sz w:val="24"/>
                <w:highlight w:val="none"/>
              </w:rPr>
              <w:t>根据《浙江省财政厅、浙江省中小企业局转发财政部、工业和信息化部关于印发&lt;政</w:t>
            </w:r>
            <w:r>
              <w:rPr>
                <w:color w:val="auto"/>
                <w:spacing w:val="4"/>
                <w:sz w:val="24"/>
                <w:highlight w:val="none"/>
              </w:rPr>
              <w:t>府采购促进中小企业发展暂行办法&gt;的通知》（浙财采监</w:t>
            </w:r>
            <w:r>
              <w:rPr>
                <w:color w:val="auto"/>
                <w:sz w:val="24"/>
                <w:highlight w:val="none"/>
              </w:rPr>
              <w:t>[2012]11</w:t>
            </w:r>
            <w:r>
              <w:rPr>
                <w:color w:val="auto"/>
                <w:spacing w:val="-26"/>
                <w:sz w:val="24"/>
                <w:highlight w:val="none"/>
              </w:rPr>
              <w:t xml:space="preserve"> 号</w:t>
            </w:r>
            <w:r>
              <w:rPr>
                <w:color w:val="auto"/>
                <w:spacing w:val="7"/>
                <w:sz w:val="24"/>
                <w:highlight w:val="none"/>
              </w:rPr>
              <w:t>）</w:t>
            </w:r>
            <w:r>
              <w:rPr>
                <w:color w:val="auto"/>
                <w:spacing w:val="3"/>
                <w:sz w:val="24"/>
                <w:highlight w:val="none"/>
              </w:rPr>
              <w:t>及《浙江省财政厅 浙江省经济和信息化委员会关于简化中小企业类别确认流程有关事项的通</w:t>
            </w:r>
          </w:p>
          <w:p>
            <w:pPr>
              <w:pStyle w:val="20"/>
              <w:spacing w:before="6"/>
              <w:ind w:left="87"/>
              <w:jc w:val="both"/>
              <w:rPr>
                <w:color w:val="auto"/>
                <w:sz w:val="24"/>
                <w:highlight w:val="none"/>
              </w:rPr>
            </w:pPr>
            <w:r>
              <w:rPr>
                <w:color w:val="auto"/>
                <w:spacing w:val="5"/>
                <w:sz w:val="24"/>
                <w:highlight w:val="none"/>
              </w:rPr>
              <w:t>知》</w:t>
            </w:r>
            <w:r>
              <w:rPr>
                <w:color w:val="auto"/>
                <w:spacing w:val="4"/>
                <w:sz w:val="24"/>
                <w:highlight w:val="none"/>
              </w:rPr>
              <w:t>（浙财采监〔</w:t>
            </w:r>
            <w:r>
              <w:rPr>
                <w:color w:val="auto"/>
                <w:sz w:val="24"/>
                <w:highlight w:val="none"/>
              </w:rPr>
              <w:t>2018</w:t>
            </w:r>
            <w:r>
              <w:rPr>
                <w:color w:val="auto"/>
                <w:spacing w:val="4"/>
                <w:sz w:val="24"/>
                <w:highlight w:val="none"/>
              </w:rPr>
              <w:t>〕</w:t>
            </w:r>
            <w:r>
              <w:rPr>
                <w:color w:val="auto"/>
                <w:sz w:val="24"/>
                <w:highlight w:val="none"/>
              </w:rPr>
              <w:t>2</w:t>
            </w:r>
            <w:r>
              <w:rPr>
                <w:color w:val="auto"/>
                <w:spacing w:val="-22"/>
                <w:sz w:val="24"/>
                <w:highlight w:val="none"/>
              </w:rPr>
              <w:t xml:space="preserve"> 号</w:t>
            </w:r>
            <w:r>
              <w:rPr>
                <w:color w:val="auto"/>
                <w:spacing w:val="5"/>
                <w:sz w:val="24"/>
                <w:highlight w:val="none"/>
              </w:rPr>
              <w:t>）</w:t>
            </w:r>
            <w:r>
              <w:rPr>
                <w:color w:val="auto"/>
                <w:spacing w:val="3"/>
                <w:sz w:val="24"/>
                <w:highlight w:val="none"/>
              </w:rPr>
              <w:t>，对浙江政府采购网正式入库供应商的小型、微型</w:t>
            </w:r>
          </w:p>
        </w:tc>
      </w:tr>
    </w:tbl>
    <w:p>
      <w:pPr>
        <w:spacing w:after="0"/>
        <w:jc w:val="both"/>
        <w:rPr>
          <w:color w:val="auto"/>
          <w:sz w:val="24"/>
          <w:highlight w:val="none"/>
        </w:rPr>
        <w:sectPr>
          <w:pgSz w:w="11900" w:h="16840"/>
          <w:pgMar w:top="1140" w:right="820" w:bottom="720" w:left="1020" w:header="0" w:footer="529" w:gutter="0"/>
        </w:sectPr>
      </w:pPr>
    </w:p>
    <w:tbl>
      <w:tblPr>
        <w:tblStyle w:val="16"/>
        <w:tblW w:w="0" w:type="auto"/>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5"/>
        <w:gridCol w:w="89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655" w:type="dxa"/>
            <w:tcBorders>
              <w:bottom w:val="single" w:color="000000" w:sz="2" w:space="0"/>
              <w:right w:val="single" w:color="000000" w:sz="2" w:space="0"/>
            </w:tcBorders>
            <w:vAlign w:val="top"/>
          </w:tcPr>
          <w:p>
            <w:pPr>
              <w:pStyle w:val="20"/>
              <w:spacing w:before="214"/>
              <w:ind w:left="66" w:right="56"/>
              <w:jc w:val="center"/>
              <w:rPr>
                <w:color w:val="auto"/>
                <w:sz w:val="24"/>
                <w:highlight w:val="none"/>
              </w:rPr>
            </w:pPr>
            <w:r>
              <w:rPr>
                <w:color w:val="auto"/>
                <w:sz w:val="24"/>
                <w:highlight w:val="none"/>
              </w:rPr>
              <w:t>条款</w:t>
            </w:r>
          </w:p>
        </w:tc>
        <w:tc>
          <w:tcPr>
            <w:tcW w:w="8925" w:type="dxa"/>
            <w:tcBorders>
              <w:left w:val="single" w:color="000000" w:sz="2" w:space="0"/>
              <w:bottom w:val="single" w:color="000000" w:sz="2" w:space="0"/>
            </w:tcBorders>
            <w:vAlign w:val="top"/>
          </w:tcPr>
          <w:p>
            <w:pPr>
              <w:pStyle w:val="20"/>
              <w:spacing w:before="214"/>
              <w:ind w:left="3968" w:right="3940"/>
              <w:jc w:val="center"/>
              <w:rPr>
                <w:b/>
                <w:color w:val="auto"/>
                <w:sz w:val="24"/>
                <w:highlight w:val="none"/>
              </w:rPr>
            </w:pPr>
            <w:r>
              <w:rPr>
                <w:b/>
                <w:color w:val="auto"/>
                <w:sz w:val="24"/>
                <w:highlight w:val="none"/>
              </w:rPr>
              <w:t>内容规定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655" w:type="dxa"/>
            <w:tcBorders>
              <w:top w:val="single" w:color="000000" w:sz="2" w:space="0"/>
              <w:bottom w:val="single" w:color="000000" w:sz="2" w:space="0"/>
              <w:right w:val="single" w:color="000000" w:sz="2" w:space="0"/>
            </w:tcBorders>
            <w:vAlign w:val="top"/>
          </w:tcPr>
          <w:p>
            <w:pPr>
              <w:pStyle w:val="20"/>
              <w:rPr>
                <w:rFonts w:ascii="Times New Roman"/>
                <w:color w:val="auto"/>
                <w:sz w:val="24"/>
                <w:highlight w:val="none"/>
              </w:rPr>
            </w:pPr>
          </w:p>
        </w:tc>
        <w:tc>
          <w:tcPr>
            <w:tcW w:w="8925" w:type="dxa"/>
            <w:tcBorders>
              <w:top w:val="single" w:color="000000" w:sz="2" w:space="0"/>
              <w:left w:val="single" w:color="000000" w:sz="2" w:space="0"/>
              <w:bottom w:val="single" w:color="000000" w:sz="2" w:space="0"/>
            </w:tcBorders>
            <w:vAlign w:val="top"/>
          </w:tcPr>
          <w:p>
            <w:pPr>
              <w:pStyle w:val="20"/>
              <w:spacing w:before="203" w:line="360" w:lineRule="auto"/>
              <w:ind w:left="87" w:right="58"/>
              <w:rPr>
                <w:color w:val="auto"/>
                <w:sz w:val="24"/>
                <w:highlight w:val="none"/>
              </w:rPr>
            </w:pPr>
            <w:r>
              <w:rPr>
                <w:color w:val="auto"/>
                <w:sz w:val="24"/>
                <w:highlight w:val="none"/>
              </w:rPr>
              <w:t>企业或监狱企业、残疾人福利性单位的最后报价给予 6%的扣除，并用扣除后的价格计算价格评分。</w:t>
            </w:r>
          </w:p>
          <w:p>
            <w:pPr>
              <w:pStyle w:val="20"/>
              <w:spacing w:line="304" w:lineRule="exact"/>
              <w:ind w:left="87"/>
              <w:rPr>
                <w:b/>
                <w:color w:val="auto"/>
                <w:sz w:val="24"/>
                <w:highlight w:val="none"/>
              </w:rPr>
            </w:pPr>
            <w:r>
              <w:rPr>
                <w:b/>
                <w:color w:val="auto"/>
                <w:sz w:val="24"/>
                <w:highlight w:val="none"/>
              </w:rPr>
              <w:t>需提供的相关证明材料，未提供的不享受上述扶持政策。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655" w:type="dxa"/>
            <w:tcBorders>
              <w:top w:val="single" w:color="000000" w:sz="2" w:space="0"/>
              <w:bottom w:val="single" w:color="000000" w:sz="2" w:space="0"/>
              <w:right w:val="single" w:color="000000" w:sz="2" w:space="0"/>
            </w:tcBorders>
            <w:vAlign w:val="top"/>
          </w:tcPr>
          <w:p>
            <w:pPr>
              <w:pStyle w:val="20"/>
              <w:rPr>
                <w:b/>
                <w:color w:val="auto"/>
                <w:sz w:val="24"/>
                <w:highlight w:val="none"/>
              </w:rPr>
            </w:pPr>
          </w:p>
          <w:p>
            <w:pPr>
              <w:pStyle w:val="20"/>
              <w:rPr>
                <w:b/>
                <w:color w:val="auto"/>
                <w:sz w:val="24"/>
                <w:highlight w:val="none"/>
              </w:rPr>
            </w:pPr>
          </w:p>
          <w:p>
            <w:pPr>
              <w:pStyle w:val="20"/>
              <w:rPr>
                <w:b/>
                <w:color w:val="auto"/>
                <w:sz w:val="24"/>
                <w:highlight w:val="none"/>
              </w:rPr>
            </w:pPr>
          </w:p>
          <w:p>
            <w:pPr>
              <w:pStyle w:val="20"/>
              <w:spacing w:before="200"/>
              <w:ind w:left="66" w:right="56"/>
              <w:jc w:val="center"/>
              <w:rPr>
                <w:color w:val="auto"/>
                <w:sz w:val="24"/>
                <w:highlight w:val="none"/>
              </w:rPr>
            </w:pPr>
            <w:r>
              <w:rPr>
                <w:color w:val="auto"/>
                <w:sz w:val="24"/>
                <w:highlight w:val="none"/>
              </w:rPr>
              <w:t>16</w:t>
            </w:r>
          </w:p>
        </w:tc>
        <w:tc>
          <w:tcPr>
            <w:tcW w:w="8925" w:type="dxa"/>
            <w:tcBorders>
              <w:top w:val="single" w:color="000000" w:sz="2" w:space="0"/>
              <w:left w:val="single" w:color="000000" w:sz="2" w:space="0"/>
              <w:bottom w:val="single" w:color="000000" w:sz="2" w:space="0"/>
            </w:tcBorders>
            <w:vAlign w:val="top"/>
          </w:tcPr>
          <w:p>
            <w:pPr>
              <w:pStyle w:val="20"/>
              <w:spacing w:before="203"/>
              <w:ind w:left="87"/>
              <w:rPr>
                <w:b/>
                <w:color w:val="auto"/>
                <w:sz w:val="24"/>
                <w:highlight w:val="none"/>
              </w:rPr>
            </w:pPr>
            <w:r>
              <w:rPr>
                <w:b/>
                <w:color w:val="auto"/>
                <w:sz w:val="24"/>
                <w:highlight w:val="none"/>
              </w:rPr>
              <w:t>其它事项：</w:t>
            </w:r>
          </w:p>
          <w:p>
            <w:pPr>
              <w:pStyle w:val="20"/>
              <w:numPr>
                <w:ilvl w:val="0"/>
                <w:numId w:val="2"/>
              </w:numPr>
              <w:tabs>
                <w:tab w:val="left" w:pos="689"/>
              </w:tabs>
              <w:spacing w:before="151" w:after="0" w:line="360" w:lineRule="auto"/>
              <w:ind w:left="87" w:right="514" w:firstLine="0"/>
              <w:jc w:val="left"/>
              <w:rPr>
                <w:b/>
                <w:color w:val="auto"/>
                <w:sz w:val="24"/>
                <w:highlight w:val="none"/>
              </w:rPr>
            </w:pPr>
            <w:r>
              <w:rPr>
                <w:b/>
                <w:color w:val="auto"/>
                <w:spacing w:val="-1"/>
                <w:sz w:val="24"/>
                <w:highlight w:val="none"/>
              </w:rPr>
              <w:t>磋商过程中可能实质性变动的内容：详见第三部分项目技术规范和服务要</w:t>
            </w:r>
            <w:r>
              <w:rPr>
                <w:b/>
                <w:color w:val="auto"/>
                <w:sz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0" w:hRule="atLeast"/>
        </w:trPr>
        <w:tc>
          <w:tcPr>
            <w:tcW w:w="655" w:type="dxa"/>
            <w:tcBorders>
              <w:top w:val="single" w:color="000000" w:sz="2" w:space="0"/>
              <w:bottom w:val="single" w:color="000000" w:sz="2" w:space="0"/>
              <w:right w:val="single" w:color="000000" w:sz="2" w:space="0"/>
            </w:tcBorders>
            <w:vAlign w:val="top"/>
          </w:tcPr>
          <w:p>
            <w:pPr>
              <w:pStyle w:val="20"/>
              <w:rPr>
                <w:rFonts w:ascii="Times New Roman"/>
                <w:color w:val="auto"/>
                <w:sz w:val="24"/>
                <w:highlight w:val="none"/>
              </w:rPr>
            </w:pPr>
          </w:p>
        </w:tc>
        <w:tc>
          <w:tcPr>
            <w:tcW w:w="8925" w:type="dxa"/>
            <w:tcBorders>
              <w:top w:val="single" w:color="000000" w:sz="2" w:space="0"/>
              <w:left w:val="single" w:color="000000" w:sz="2" w:space="0"/>
              <w:bottom w:val="single" w:color="000000" w:sz="2" w:space="0"/>
            </w:tcBorders>
            <w:vAlign w:val="top"/>
          </w:tcPr>
          <w:p>
            <w:pPr>
              <w:pStyle w:val="20"/>
              <w:spacing w:before="203"/>
              <w:ind w:left="87"/>
              <w:rPr>
                <w:b/>
                <w:color w:val="auto"/>
                <w:sz w:val="24"/>
                <w:highlight w:val="none"/>
              </w:rPr>
            </w:pPr>
            <w:r>
              <w:rPr>
                <w:b/>
                <w:color w:val="auto"/>
                <w:sz w:val="24"/>
                <w:highlight w:val="none"/>
              </w:rPr>
              <w:t>企业信用融资：</w:t>
            </w:r>
          </w:p>
          <w:p>
            <w:pPr>
              <w:pStyle w:val="20"/>
              <w:spacing w:before="153" w:line="360" w:lineRule="auto"/>
              <w:ind w:left="87" w:right="183"/>
              <w:jc w:val="both"/>
              <w:rPr>
                <w:color w:val="auto"/>
                <w:sz w:val="24"/>
                <w:highlight w:val="none"/>
              </w:rPr>
            </w:pPr>
            <w:r>
              <w:rPr>
                <w:color w:val="auto"/>
                <w:sz w:val="24"/>
                <w:highlight w:val="none"/>
              </w:rPr>
              <w:t>为支持和促进中小企业发展，进一步发挥政府采购政策功能，杭州市财政局与省银监局、市金融办、市经信委共同出台了《杭州市政府采购支持中小企业信用融资暂行办法》，供应商若有融资意向，详见本磋商文件尾页《政府采购支持中小企业信</w:t>
            </w:r>
            <w:r>
              <w:rPr>
                <w:color w:val="auto"/>
                <w:highlight w:val="none"/>
              </w:rPr>
              <w:fldChar w:fldCharType="begin"/>
            </w:r>
            <w:r>
              <w:rPr>
                <w:color w:val="auto"/>
                <w:highlight w:val="none"/>
              </w:rPr>
              <w:instrText xml:space="preserve"> HYPERLINK "http://cg.hzft.gov.cn/" \h </w:instrText>
            </w:r>
            <w:r>
              <w:rPr>
                <w:color w:val="auto"/>
                <w:highlight w:val="none"/>
              </w:rPr>
              <w:fldChar w:fldCharType="separate"/>
            </w:r>
            <w:r>
              <w:rPr>
                <w:color w:val="auto"/>
                <w:sz w:val="24"/>
                <w:highlight w:val="none"/>
              </w:rPr>
              <w:t>用融资相关事项通知》，或登陆杭州市政府采购网（http：//cg.hzft.gov.cn</w:t>
            </w:r>
            <w:r>
              <w:rPr>
                <w:color w:val="auto"/>
                <w:sz w:val="24"/>
                <w:highlight w:val="none"/>
              </w:rPr>
              <w:fldChar w:fldCharType="end"/>
            </w:r>
            <w:r>
              <w:rPr>
                <w:color w:val="auto"/>
                <w:sz w:val="24"/>
                <w:highlight w:val="none"/>
              </w:rPr>
              <w:t>）</w:t>
            </w:r>
          </w:p>
          <w:p>
            <w:pPr>
              <w:pStyle w:val="20"/>
              <w:spacing w:line="301" w:lineRule="exact"/>
              <w:ind w:left="87"/>
              <w:rPr>
                <w:color w:val="auto"/>
                <w:sz w:val="24"/>
                <w:highlight w:val="none"/>
              </w:rPr>
            </w:pPr>
            <w:r>
              <w:rPr>
                <w:color w:val="auto"/>
                <w:sz w:val="24"/>
                <w:highlight w:val="none"/>
              </w:rPr>
              <w:t>“中小企业信用融资”专栏，查看信用融资政策文件及各相关银行服务方案。</w:t>
            </w:r>
          </w:p>
        </w:tc>
      </w:tr>
    </w:tbl>
    <w:p>
      <w:pPr>
        <w:pStyle w:val="3"/>
        <w:ind w:left="0"/>
        <w:rPr>
          <w:b/>
          <w:color w:val="auto"/>
          <w:sz w:val="20"/>
          <w:highlight w:val="none"/>
        </w:rPr>
      </w:pPr>
    </w:p>
    <w:p>
      <w:pPr>
        <w:spacing w:before="206"/>
        <w:ind w:left="0" w:right="28" w:firstLine="0"/>
        <w:jc w:val="center"/>
        <w:outlineLvl w:val="1"/>
        <w:rPr>
          <w:b/>
          <w:color w:val="auto"/>
          <w:sz w:val="32"/>
          <w:highlight w:val="none"/>
        </w:rPr>
      </w:pPr>
      <w:bookmarkStart w:id="12" w:name="一、总则"/>
      <w:bookmarkEnd w:id="12"/>
      <w:bookmarkStart w:id="13" w:name="_Toc199"/>
      <w:r>
        <w:rPr>
          <w:b/>
          <w:color w:val="auto"/>
          <w:sz w:val="32"/>
          <w:highlight w:val="none"/>
        </w:rPr>
        <w:t>一、总则</w:t>
      </w:r>
      <w:bookmarkEnd w:id="13"/>
    </w:p>
    <w:p>
      <w:pPr>
        <w:pStyle w:val="3"/>
        <w:spacing w:before="212" w:line="364" w:lineRule="auto"/>
        <w:ind w:right="311" w:firstLine="480"/>
        <w:jc w:val="both"/>
        <w:rPr>
          <w:color w:val="auto"/>
          <w:highlight w:val="none"/>
        </w:rPr>
      </w:pPr>
      <w:r>
        <w:rPr>
          <w:color w:val="auto"/>
          <w:highlight w:val="none"/>
        </w:rPr>
        <w:t>本次采购工作是根据《中华人民共和国政府采购法》、《中华人民共和国政府采购法实施条例》、《政府采购竞争性磋商采购方式管理暂行办法》等相关法律和有关规定组织并实施。</w:t>
      </w:r>
    </w:p>
    <w:p>
      <w:pPr>
        <w:pStyle w:val="9"/>
        <w:numPr>
          <w:ilvl w:val="0"/>
          <w:numId w:val="3"/>
        </w:numPr>
        <w:tabs>
          <w:tab w:val="left" w:pos="646"/>
        </w:tabs>
        <w:spacing w:before="0" w:after="0" w:line="307" w:lineRule="exact"/>
        <w:ind w:left="645" w:right="0" w:hanging="363"/>
        <w:jc w:val="both"/>
        <w:rPr>
          <w:color w:val="auto"/>
          <w:highlight w:val="none"/>
        </w:rPr>
      </w:pPr>
      <w:bookmarkStart w:id="14" w:name="1. 适用范围"/>
      <w:bookmarkEnd w:id="14"/>
      <w:bookmarkStart w:id="15" w:name="1. 适用范围"/>
      <w:bookmarkEnd w:id="15"/>
      <w:r>
        <w:rPr>
          <w:color w:val="auto"/>
          <w:highlight w:val="none"/>
        </w:rPr>
        <w:t>适用范围</w:t>
      </w:r>
    </w:p>
    <w:p>
      <w:pPr>
        <w:pStyle w:val="19"/>
        <w:numPr>
          <w:ilvl w:val="1"/>
          <w:numId w:val="3"/>
        </w:numPr>
        <w:tabs>
          <w:tab w:val="left" w:pos="1244"/>
        </w:tabs>
        <w:spacing w:before="158" w:after="0" w:line="240" w:lineRule="auto"/>
        <w:ind w:left="1243" w:right="0" w:hanging="481"/>
        <w:jc w:val="left"/>
        <w:rPr>
          <w:color w:val="auto"/>
          <w:sz w:val="24"/>
          <w:highlight w:val="none"/>
        </w:rPr>
      </w:pPr>
      <w:r>
        <w:rPr>
          <w:color w:val="auto"/>
          <w:spacing w:val="-6"/>
          <w:sz w:val="24"/>
          <w:highlight w:val="none"/>
        </w:rPr>
        <w:t xml:space="preserve">本次磋商工作仅适用于 </w:t>
      </w:r>
      <w:r>
        <w:rPr>
          <w:color w:val="auto"/>
          <w:spacing w:val="-4"/>
          <w:sz w:val="24"/>
          <w:highlight w:val="none"/>
        </w:rPr>
        <w:t>2022</w:t>
      </w:r>
      <w:r>
        <w:rPr>
          <w:color w:val="auto"/>
          <w:spacing w:val="-37"/>
          <w:sz w:val="24"/>
          <w:highlight w:val="none"/>
        </w:rPr>
        <w:t xml:space="preserve"> 年第 </w:t>
      </w:r>
      <w:r>
        <w:rPr>
          <w:color w:val="auto"/>
          <w:sz w:val="24"/>
          <w:highlight w:val="none"/>
        </w:rPr>
        <w:t>19</w:t>
      </w:r>
      <w:r>
        <w:rPr>
          <w:color w:val="auto"/>
          <w:spacing w:val="-12"/>
          <w:sz w:val="24"/>
          <w:highlight w:val="none"/>
        </w:rPr>
        <w:t xml:space="preserve"> 届亚运会组委会</w:t>
      </w:r>
      <w:r>
        <w:rPr>
          <w:rFonts w:hint="eastAsia"/>
          <w:color w:val="auto"/>
          <w:spacing w:val="-12"/>
          <w:sz w:val="24"/>
          <w:highlight w:val="none"/>
          <w:lang w:eastAsia="zh-CN"/>
        </w:rPr>
        <w:t>2022年亚运会餐饮服务规划和安全保障研究</w:t>
      </w:r>
      <w:r>
        <w:rPr>
          <w:color w:val="auto"/>
          <w:spacing w:val="-12"/>
          <w:sz w:val="24"/>
          <w:highlight w:val="none"/>
        </w:rPr>
        <w:t>。</w:t>
      </w:r>
    </w:p>
    <w:p>
      <w:pPr>
        <w:pStyle w:val="9"/>
        <w:numPr>
          <w:ilvl w:val="0"/>
          <w:numId w:val="3"/>
        </w:numPr>
        <w:tabs>
          <w:tab w:val="left" w:pos="646"/>
        </w:tabs>
        <w:spacing w:before="161" w:after="0" w:line="240" w:lineRule="auto"/>
        <w:ind w:left="645" w:right="0" w:hanging="363"/>
        <w:jc w:val="both"/>
        <w:rPr>
          <w:color w:val="auto"/>
          <w:highlight w:val="none"/>
        </w:rPr>
      </w:pPr>
      <w:bookmarkStart w:id="16" w:name="2. 采购方式"/>
      <w:bookmarkEnd w:id="16"/>
      <w:bookmarkStart w:id="17" w:name="2. 采购方式"/>
      <w:bookmarkEnd w:id="17"/>
      <w:r>
        <w:rPr>
          <w:color w:val="auto"/>
          <w:highlight w:val="none"/>
        </w:rPr>
        <w:t>采购方式</w:t>
      </w:r>
    </w:p>
    <w:p>
      <w:pPr>
        <w:pStyle w:val="3"/>
        <w:spacing w:before="158"/>
        <w:ind w:left="763"/>
        <w:rPr>
          <w:color w:val="auto"/>
          <w:highlight w:val="none"/>
        </w:rPr>
      </w:pPr>
      <w:r>
        <w:rPr>
          <w:color w:val="auto"/>
          <w:highlight w:val="none"/>
        </w:rPr>
        <w:t>竞争性磋商。</w:t>
      </w:r>
    </w:p>
    <w:p>
      <w:pPr>
        <w:pStyle w:val="9"/>
        <w:numPr>
          <w:ilvl w:val="0"/>
          <w:numId w:val="3"/>
        </w:numPr>
        <w:tabs>
          <w:tab w:val="left" w:pos="646"/>
        </w:tabs>
        <w:spacing w:before="160" w:after="0" w:line="240" w:lineRule="auto"/>
        <w:ind w:left="645" w:right="0" w:hanging="363"/>
        <w:jc w:val="both"/>
        <w:rPr>
          <w:color w:val="auto"/>
          <w:highlight w:val="none"/>
        </w:rPr>
      </w:pPr>
      <w:bookmarkStart w:id="18" w:name="3. 定义"/>
      <w:bookmarkEnd w:id="18"/>
      <w:bookmarkStart w:id="19" w:name="3. 定义"/>
      <w:bookmarkEnd w:id="19"/>
      <w:r>
        <w:rPr>
          <w:color w:val="auto"/>
          <w:highlight w:val="none"/>
        </w:rPr>
        <w:t>定义</w:t>
      </w:r>
    </w:p>
    <w:p>
      <w:pPr>
        <w:pStyle w:val="19"/>
        <w:numPr>
          <w:ilvl w:val="1"/>
          <w:numId w:val="3"/>
        </w:numPr>
        <w:tabs>
          <w:tab w:val="left" w:pos="1244"/>
        </w:tabs>
        <w:spacing w:before="159" w:after="0" w:line="240" w:lineRule="auto"/>
        <w:ind w:left="1243" w:right="0" w:hanging="481"/>
        <w:jc w:val="left"/>
        <w:rPr>
          <w:color w:val="auto"/>
          <w:sz w:val="24"/>
          <w:highlight w:val="none"/>
        </w:rPr>
      </w:pPr>
      <w:r>
        <w:rPr>
          <w:color w:val="auto"/>
          <w:spacing w:val="-8"/>
          <w:sz w:val="24"/>
          <w:highlight w:val="none"/>
        </w:rPr>
        <w:t xml:space="preserve">“采购人”系指 </w:t>
      </w:r>
      <w:r>
        <w:rPr>
          <w:color w:val="auto"/>
          <w:sz w:val="24"/>
          <w:highlight w:val="none"/>
        </w:rPr>
        <w:t>2022</w:t>
      </w:r>
      <w:r>
        <w:rPr>
          <w:color w:val="auto"/>
          <w:spacing w:val="-30"/>
          <w:sz w:val="24"/>
          <w:highlight w:val="none"/>
        </w:rPr>
        <w:t xml:space="preserve"> 年第 </w:t>
      </w:r>
      <w:r>
        <w:rPr>
          <w:color w:val="auto"/>
          <w:sz w:val="24"/>
          <w:highlight w:val="none"/>
        </w:rPr>
        <w:t>19</w:t>
      </w:r>
      <w:r>
        <w:rPr>
          <w:color w:val="auto"/>
          <w:spacing w:val="-8"/>
          <w:sz w:val="24"/>
          <w:highlight w:val="none"/>
        </w:rPr>
        <w:t xml:space="preserve"> 届亚运会组委会。</w:t>
      </w:r>
    </w:p>
    <w:p>
      <w:pPr>
        <w:pStyle w:val="19"/>
        <w:numPr>
          <w:ilvl w:val="1"/>
          <w:numId w:val="3"/>
        </w:numPr>
        <w:tabs>
          <w:tab w:val="left" w:pos="1244"/>
        </w:tabs>
        <w:spacing w:before="160" w:after="0" w:line="240" w:lineRule="auto"/>
        <w:ind w:left="1243" w:right="0" w:hanging="481"/>
        <w:jc w:val="left"/>
        <w:rPr>
          <w:color w:val="auto"/>
          <w:sz w:val="24"/>
          <w:highlight w:val="none"/>
        </w:rPr>
      </w:pPr>
      <w:r>
        <w:rPr>
          <w:color w:val="auto"/>
          <w:sz w:val="24"/>
          <w:highlight w:val="none"/>
        </w:rPr>
        <w:t>“采购代理机构”系指</w:t>
      </w:r>
      <w:r>
        <w:rPr>
          <w:rFonts w:hint="eastAsia"/>
          <w:color w:val="auto"/>
          <w:sz w:val="24"/>
          <w:highlight w:val="none"/>
          <w:lang w:eastAsia="zh-CN"/>
        </w:rPr>
        <w:t>浙江五石工程咨询有限公司</w:t>
      </w:r>
      <w:r>
        <w:rPr>
          <w:color w:val="auto"/>
          <w:sz w:val="24"/>
          <w:highlight w:val="none"/>
        </w:rPr>
        <w:t>。</w:t>
      </w:r>
    </w:p>
    <w:p>
      <w:pPr>
        <w:pStyle w:val="19"/>
        <w:numPr>
          <w:ilvl w:val="1"/>
          <w:numId w:val="3"/>
        </w:numPr>
        <w:tabs>
          <w:tab w:val="left" w:pos="1244"/>
        </w:tabs>
        <w:spacing w:before="161" w:after="0" w:line="240" w:lineRule="auto"/>
        <w:ind w:left="1243" w:right="0" w:hanging="481"/>
        <w:jc w:val="left"/>
        <w:rPr>
          <w:color w:val="auto"/>
          <w:highlight w:val="none"/>
        </w:rPr>
      </w:pPr>
      <w:r>
        <w:rPr>
          <w:color w:val="auto"/>
          <w:sz w:val="24"/>
          <w:highlight w:val="none"/>
        </w:rPr>
        <w:t>“磋商供应商”系指响应本次采购，参加本次竞争性磋商的单位。</w:t>
      </w:r>
    </w:p>
    <w:p>
      <w:pPr>
        <w:pStyle w:val="19"/>
        <w:numPr>
          <w:ilvl w:val="1"/>
          <w:numId w:val="3"/>
        </w:numPr>
        <w:tabs>
          <w:tab w:val="left" w:pos="1244"/>
        </w:tabs>
        <w:spacing w:before="159" w:after="0" w:line="240" w:lineRule="auto"/>
        <w:ind w:left="1243" w:right="0" w:hanging="481"/>
        <w:jc w:val="left"/>
        <w:rPr>
          <w:color w:val="auto"/>
          <w:spacing w:val="-8"/>
          <w:sz w:val="24"/>
          <w:highlight w:val="none"/>
        </w:rPr>
      </w:pPr>
      <w:r>
        <w:rPr>
          <w:color w:val="auto"/>
          <w:spacing w:val="-8"/>
          <w:sz w:val="24"/>
          <w:highlight w:val="none"/>
        </w:rPr>
        <w:t>“</w:t>
      </w:r>
      <w:r>
        <w:rPr>
          <w:rFonts w:hint="eastAsia"/>
          <w:color w:val="auto"/>
          <w:spacing w:val="-8"/>
          <w:sz w:val="24"/>
          <w:highlight w:val="none"/>
        </w:rPr>
        <w:t>服务”系指磋商文件或合同规定供应商须承担的2022年亚运会餐饮服务规划和安全保障研究项目等服务及相关义务，具体内容根据采购人要求确定。</w:t>
      </w:r>
    </w:p>
    <w:p>
      <w:pPr>
        <w:pStyle w:val="19"/>
        <w:numPr>
          <w:ilvl w:val="1"/>
          <w:numId w:val="3"/>
        </w:numPr>
        <w:tabs>
          <w:tab w:val="left" w:pos="1244"/>
        </w:tabs>
        <w:spacing w:before="158" w:after="0" w:line="240" w:lineRule="auto"/>
        <w:ind w:left="1243" w:right="0" w:hanging="481"/>
        <w:jc w:val="left"/>
        <w:rPr>
          <w:color w:val="auto"/>
          <w:sz w:val="24"/>
          <w:highlight w:val="none"/>
        </w:rPr>
      </w:pPr>
      <w:r>
        <w:rPr>
          <w:color w:val="auto"/>
          <w:sz w:val="24"/>
          <w:highlight w:val="none"/>
        </w:rPr>
        <w:t>“书面形式”包括信函、传真、电邮等。</w:t>
      </w:r>
    </w:p>
    <w:p>
      <w:pPr>
        <w:pStyle w:val="9"/>
        <w:numPr>
          <w:ilvl w:val="0"/>
          <w:numId w:val="3"/>
        </w:numPr>
        <w:tabs>
          <w:tab w:val="left" w:pos="646"/>
        </w:tabs>
        <w:spacing w:before="160" w:after="0" w:line="240" w:lineRule="auto"/>
        <w:ind w:left="645" w:right="0" w:hanging="363"/>
        <w:jc w:val="left"/>
        <w:rPr>
          <w:color w:val="auto"/>
          <w:highlight w:val="none"/>
        </w:rPr>
      </w:pPr>
      <w:bookmarkStart w:id="20" w:name="4. 磋商费用"/>
      <w:bookmarkEnd w:id="20"/>
      <w:bookmarkStart w:id="21" w:name="4. 磋商费用"/>
      <w:bookmarkEnd w:id="21"/>
      <w:r>
        <w:rPr>
          <w:color w:val="auto"/>
          <w:highlight w:val="none"/>
        </w:rPr>
        <w:t>磋商费用</w:t>
      </w:r>
    </w:p>
    <w:p>
      <w:pPr>
        <w:pStyle w:val="3"/>
        <w:spacing w:before="159" w:line="364" w:lineRule="auto"/>
        <w:ind w:right="311" w:firstLine="523"/>
        <w:rPr>
          <w:color w:val="auto"/>
          <w:highlight w:val="none"/>
        </w:rPr>
      </w:pPr>
      <w:r>
        <w:rPr>
          <w:color w:val="auto"/>
          <w:highlight w:val="none"/>
        </w:rPr>
        <w:t>磋商供应商需自行承担其参加磋商所涉及的一切费用，不管结果如何，采购人对上述费用不负任何责任。</w:t>
      </w:r>
    </w:p>
    <w:p>
      <w:pPr>
        <w:pStyle w:val="3"/>
        <w:ind w:left="0"/>
        <w:rPr>
          <w:color w:val="auto"/>
          <w:highlight w:val="none"/>
        </w:rPr>
      </w:pPr>
    </w:p>
    <w:p>
      <w:pPr>
        <w:pStyle w:val="5"/>
        <w:spacing w:before="160"/>
        <w:ind w:right="31"/>
        <w:rPr>
          <w:color w:val="auto"/>
          <w:highlight w:val="none"/>
        </w:rPr>
      </w:pPr>
      <w:bookmarkStart w:id="22" w:name="二、竞争性磋商文件"/>
      <w:bookmarkEnd w:id="22"/>
      <w:bookmarkStart w:id="23" w:name="_Toc152"/>
      <w:r>
        <w:rPr>
          <w:color w:val="auto"/>
          <w:highlight w:val="none"/>
        </w:rPr>
        <w:t>二、竞争性磋商文件</w:t>
      </w:r>
      <w:bookmarkEnd w:id="23"/>
    </w:p>
    <w:p>
      <w:pPr>
        <w:pStyle w:val="9"/>
        <w:numPr>
          <w:ilvl w:val="0"/>
          <w:numId w:val="3"/>
        </w:numPr>
        <w:tabs>
          <w:tab w:val="left" w:pos="646"/>
        </w:tabs>
        <w:spacing w:before="210" w:after="0" w:line="240" w:lineRule="auto"/>
        <w:ind w:left="645" w:right="0" w:hanging="363"/>
        <w:jc w:val="left"/>
        <w:rPr>
          <w:color w:val="auto"/>
          <w:highlight w:val="none"/>
        </w:rPr>
      </w:pPr>
      <w:bookmarkStart w:id="24" w:name="5. 磋商文件的构成"/>
      <w:bookmarkEnd w:id="24"/>
      <w:bookmarkStart w:id="25" w:name="5. 磋商文件的构成"/>
      <w:bookmarkEnd w:id="25"/>
      <w:r>
        <w:rPr>
          <w:color w:val="auto"/>
          <w:highlight w:val="none"/>
        </w:rPr>
        <w:t>磋商文件的构成</w:t>
      </w:r>
    </w:p>
    <w:p>
      <w:pPr>
        <w:pStyle w:val="19"/>
        <w:numPr>
          <w:ilvl w:val="1"/>
          <w:numId w:val="3"/>
        </w:numPr>
        <w:tabs>
          <w:tab w:val="left" w:pos="1244"/>
        </w:tabs>
        <w:spacing w:before="161" w:after="0" w:line="362" w:lineRule="auto"/>
        <w:ind w:left="763" w:right="5694" w:firstLine="0"/>
        <w:jc w:val="left"/>
        <w:rPr>
          <w:color w:val="auto"/>
          <w:sz w:val="24"/>
          <w:highlight w:val="none"/>
        </w:rPr>
      </w:pPr>
      <w:r>
        <w:rPr>
          <w:color w:val="auto"/>
          <w:spacing w:val="-2"/>
          <w:sz w:val="24"/>
          <w:highlight w:val="none"/>
        </w:rPr>
        <w:t>磋商文件包括下列文件及附件</w:t>
      </w:r>
      <w:r>
        <w:rPr>
          <w:color w:val="auto"/>
          <w:sz w:val="24"/>
          <w:highlight w:val="none"/>
        </w:rPr>
        <w:t>第一部分 采购公告</w:t>
      </w:r>
    </w:p>
    <w:p>
      <w:pPr>
        <w:pStyle w:val="3"/>
        <w:spacing w:before="5"/>
        <w:ind w:left="763"/>
        <w:rPr>
          <w:color w:val="auto"/>
          <w:highlight w:val="none"/>
        </w:rPr>
      </w:pPr>
      <w:r>
        <w:rPr>
          <w:color w:val="auto"/>
          <w:highlight w:val="none"/>
        </w:rPr>
        <w:t>第二部分 磋商须知</w:t>
      </w:r>
    </w:p>
    <w:p>
      <w:pPr>
        <w:pStyle w:val="3"/>
        <w:spacing w:before="158" w:line="364" w:lineRule="auto"/>
        <w:ind w:left="763" w:right="5334"/>
        <w:rPr>
          <w:color w:val="auto"/>
          <w:highlight w:val="none"/>
        </w:rPr>
      </w:pPr>
      <w:r>
        <w:rPr>
          <w:color w:val="auto"/>
          <w:highlight w:val="none"/>
        </w:rPr>
        <w:t>第三部分 项目技术规范和服务要求第四部分 采购合同的一般和特殊条款第五部分 应提交的有关格式范例</w:t>
      </w:r>
    </w:p>
    <w:p>
      <w:pPr>
        <w:pStyle w:val="19"/>
        <w:numPr>
          <w:ilvl w:val="1"/>
          <w:numId w:val="3"/>
        </w:numPr>
        <w:tabs>
          <w:tab w:val="left" w:pos="1246"/>
        </w:tabs>
        <w:spacing w:before="0" w:after="0" w:line="362" w:lineRule="auto"/>
        <w:ind w:left="283" w:right="314" w:firstLine="480"/>
        <w:jc w:val="left"/>
        <w:rPr>
          <w:color w:val="auto"/>
          <w:sz w:val="24"/>
          <w:highlight w:val="none"/>
        </w:rPr>
      </w:pPr>
      <w:r>
        <w:rPr>
          <w:color w:val="auto"/>
          <w:sz w:val="24"/>
          <w:highlight w:val="none"/>
        </w:rPr>
        <w:t>磋商供应商应认真审阅磋商文件中所有的内容，如果磋商供应商编制的响应文件没有从实质上响应磋商文件的要求，其响应文件将被拒绝。</w:t>
      </w:r>
    </w:p>
    <w:p>
      <w:pPr>
        <w:pStyle w:val="9"/>
        <w:numPr>
          <w:ilvl w:val="0"/>
          <w:numId w:val="3"/>
        </w:numPr>
        <w:tabs>
          <w:tab w:val="left" w:pos="646"/>
        </w:tabs>
        <w:spacing w:before="4" w:after="0" w:line="240" w:lineRule="auto"/>
        <w:ind w:left="645" w:right="0" w:hanging="363"/>
        <w:jc w:val="left"/>
        <w:rPr>
          <w:color w:val="auto"/>
          <w:highlight w:val="none"/>
        </w:rPr>
      </w:pPr>
      <w:bookmarkStart w:id="26" w:name="6. 磋商文件的修改、澄清及补充"/>
      <w:bookmarkEnd w:id="26"/>
      <w:bookmarkStart w:id="27" w:name="6. 磋商文件的修改、澄清及补充"/>
      <w:bookmarkEnd w:id="27"/>
      <w:r>
        <w:rPr>
          <w:color w:val="auto"/>
          <w:highlight w:val="none"/>
        </w:rPr>
        <w:t>磋商文件的修改、澄清及补充</w:t>
      </w:r>
    </w:p>
    <w:p>
      <w:pPr>
        <w:pStyle w:val="19"/>
        <w:numPr>
          <w:ilvl w:val="1"/>
          <w:numId w:val="3"/>
        </w:numPr>
        <w:tabs>
          <w:tab w:val="left" w:pos="1253"/>
        </w:tabs>
        <w:spacing w:before="161" w:after="0" w:line="364" w:lineRule="auto"/>
        <w:ind w:left="283" w:right="311" w:firstLine="480"/>
        <w:jc w:val="both"/>
        <w:rPr>
          <w:color w:val="auto"/>
          <w:sz w:val="24"/>
          <w:highlight w:val="none"/>
        </w:rPr>
      </w:pPr>
      <w:r>
        <w:rPr>
          <w:color w:val="auto"/>
          <w:spacing w:val="8"/>
          <w:sz w:val="24"/>
          <w:highlight w:val="none"/>
        </w:rPr>
        <w:t>已获取磋商文件的潜在供应商，若有问题需要澄清，应在前附表规定的时间之</w:t>
      </w:r>
      <w:r>
        <w:rPr>
          <w:color w:val="auto"/>
          <w:sz w:val="24"/>
          <w:highlight w:val="none"/>
        </w:rPr>
        <w:t>前，以书面形式送达采购代理机构，采购代理机构与采购人研究后，对认为有必要回答的问题，将以书面解答形式通知所有磋商文件收受人。</w:t>
      </w:r>
    </w:p>
    <w:p>
      <w:pPr>
        <w:pStyle w:val="19"/>
        <w:numPr>
          <w:ilvl w:val="1"/>
          <w:numId w:val="3"/>
        </w:numPr>
        <w:tabs>
          <w:tab w:val="left" w:pos="1246"/>
        </w:tabs>
        <w:spacing w:before="0" w:after="0" w:line="364" w:lineRule="auto"/>
        <w:ind w:left="283" w:right="311" w:firstLine="480"/>
        <w:jc w:val="both"/>
        <w:rPr>
          <w:color w:val="auto"/>
          <w:sz w:val="24"/>
          <w:highlight w:val="none"/>
        </w:rPr>
      </w:pPr>
      <w:r>
        <w:rPr>
          <w:color w:val="auto"/>
          <w:sz w:val="24"/>
          <w:highlight w:val="none"/>
        </w:rPr>
        <w:t>磋商文件领取截止时间之后获取磋商文件的潜在磋商供应商，如对磋商文件有异议，请在规定时间前以书面形式送达采购代理机构。</w:t>
      </w:r>
    </w:p>
    <w:p>
      <w:pPr>
        <w:pStyle w:val="19"/>
        <w:numPr>
          <w:ilvl w:val="1"/>
          <w:numId w:val="3"/>
        </w:numPr>
        <w:tabs>
          <w:tab w:val="left" w:pos="1246"/>
        </w:tabs>
        <w:spacing w:before="0" w:after="0" w:line="364" w:lineRule="auto"/>
        <w:ind w:left="283" w:right="314" w:firstLine="480"/>
        <w:jc w:val="both"/>
        <w:rPr>
          <w:color w:val="auto"/>
          <w:sz w:val="24"/>
          <w:highlight w:val="none"/>
        </w:rPr>
      </w:pPr>
      <w:r>
        <w:rPr>
          <w:color w:val="auto"/>
          <w:sz w:val="24"/>
          <w:highlight w:val="none"/>
        </w:rPr>
        <w:t>提交首次响应文件截止时间之前，采购人、采购代理机构或者磋商小组可以对已发出的磋商文件进行必要的澄清、修改或者补充。</w:t>
      </w:r>
    </w:p>
    <w:p>
      <w:pPr>
        <w:pStyle w:val="19"/>
        <w:numPr>
          <w:ilvl w:val="1"/>
          <w:numId w:val="3"/>
        </w:numPr>
        <w:tabs>
          <w:tab w:val="left" w:pos="1246"/>
        </w:tabs>
        <w:spacing w:before="0" w:after="0" w:line="364" w:lineRule="auto"/>
        <w:ind w:left="283" w:right="314" w:firstLine="480"/>
        <w:jc w:val="both"/>
        <w:rPr>
          <w:color w:val="auto"/>
          <w:sz w:val="24"/>
          <w:highlight w:val="none"/>
        </w:rPr>
      </w:pPr>
      <w:r>
        <w:rPr>
          <w:color w:val="auto"/>
          <w:sz w:val="24"/>
          <w:highlight w:val="none"/>
        </w:rPr>
        <w:t>澄清、修改或者补充的内容为磋商文件的组成部分，将以书面形式同时发给所有磋商文件的收受人，并对其具有约束力。磋商供应商在收到上述通知后，应立即向采购代理机构回函确认。</w:t>
      </w:r>
    </w:p>
    <w:p>
      <w:pPr>
        <w:pStyle w:val="19"/>
        <w:numPr>
          <w:ilvl w:val="1"/>
          <w:numId w:val="3"/>
        </w:numPr>
        <w:tabs>
          <w:tab w:val="left" w:pos="1246"/>
        </w:tabs>
        <w:spacing w:before="0" w:after="0" w:line="364" w:lineRule="auto"/>
        <w:ind w:left="283" w:right="311" w:firstLine="480"/>
        <w:jc w:val="both"/>
        <w:rPr>
          <w:color w:val="auto"/>
          <w:sz w:val="24"/>
          <w:highlight w:val="none"/>
        </w:rPr>
      </w:pPr>
      <w:r>
        <w:rPr>
          <w:color w:val="auto"/>
          <w:sz w:val="24"/>
          <w:highlight w:val="none"/>
        </w:rPr>
        <w:t>如上述澄清、修改或者补充的内容可能影响响应文件编制的，采购人、采购代理</w:t>
      </w:r>
      <w:r>
        <w:rPr>
          <w:color w:val="auto"/>
          <w:spacing w:val="-2"/>
          <w:sz w:val="24"/>
          <w:highlight w:val="none"/>
        </w:rPr>
        <w:t xml:space="preserve">机构将在提交首次响应文件截止时间前至少 </w:t>
      </w:r>
      <w:r>
        <w:rPr>
          <w:color w:val="auto"/>
          <w:sz w:val="24"/>
          <w:highlight w:val="none"/>
        </w:rPr>
        <w:t>3</w:t>
      </w:r>
      <w:r>
        <w:rPr>
          <w:color w:val="auto"/>
          <w:spacing w:val="-5"/>
          <w:sz w:val="24"/>
          <w:highlight w:val="none"/>
        </w:rPr>
        <w:t xml:space="preserve"> 个工作日前，以书面形式通知所有获取磋商</w:t>
      </w:r>
      <w:r>
        <w:rPr>
          <w:color w:val="auto"/>
          <w:spacing w:val="-7"/>
          <w:sz w:val="24"/>
          <w:highlight w:val="none"/>
        </w:rPr>
        <w:t xml:space="preserve">文件的供应商，不足 </w:t>
      </w:r>
      <w:r>
        <w:rPr>
          <w:color w:val="auto"/>
          <w:sz w:val="24"/>
          <w:highlight w:val="none"/>
        </w:rPr>
        <w:t>3</w:t>
      </w:r>
      <w:r>
        <w:rPr>
          <w:color w:val="auto"/>
          <w:spacing w:val="-5"/>
          <w:sz w:val="24"/>
          <w:highlight w:val="none"/>
        </w:rPr>
        <w:t xml:space="preserve"> 个工作日的，采购人、采购代理机构应当顺延提交首次响应文件的</w:t>
      </w:r>
      <w:r>
        <w:rPr>
          <w:color w:val="auto"/>
          <w:spacing w:val="-4"/>
          <w:sz w:val="24"/>
          <w:highlight w:val="none"/>
        </w:rPr>
        <w:t>截止时间。如澄清、修改或者补充的内容未对原磋商文件作出重大修改或不会影响响应文</w:t>
      </w:r>
    </w:p>
    <w:p>
      <w:pPr>
        <w:spacing w:after="0" w:line="364" w:lineRule="auto"/>
        <w:jc w:val="both"/>
        <w:rPr>
          <w:color w:val="auto"/>
          <w:sz w:val="24"/>
          <w:highlight w:val="none"/>
        </w:rPr>
        <w:sectPr>
          <w:pgSz w:w="11900" w:h="16840"/>
          <w:pgMar w:top="1080" w:right="820" w:bottom="800" w:left="1020" w:header="0" w:footer="529" w:gutter="0"/>
        </w:sectPr>
      </w:pPr>
    </w:p>
    <w:p>
      <w:pPr>
        <w:pStyle w:val="3"/>
        <w:spacing w:before="56"/>
        <w:rPr>
          <w:color w:val="auto"/>
          <w:highlight w:val="none"/>
        </w:rPr>
      </w:pPr>
      <w:r>
        <w:rPr>
          <w:color w:val="auto"/>
          <w:highlight w:val="none"/>
        </w:rPr>
        <w:t>件编制的，递交首次响应文件截止时间不变。</w:t>
      </w:r>
    </w:p>
    <w:p>
      <w:pPr>
        <w:pStyle w:val="19"/>
        <w:numPr>
          <w:ilvl w:val="1"/>
          <w:numId w:val="3"/>
        </w:numPr>
        <w:tabs>
          <w:tab w:val="left" w:pos="1246"/>
        </w:tabs>
        <w:spacing w:before="158" w:after="0" w:line="364" w:lineRule="auto"/>
        <w:ind w:left="283" w:right="314" w:firstLine="480"/>
        <w:jc w:val="left"/>
        <w:rPr>
          <w:color w:val="auto"/>
          <w:sz w:val="24"/>
          <w:highlight w:val="none"/>
        </w:rPr>
      </w:pPr>
      <w:r>
        <w:rPr>
          <w:color w:val="auto"/>
          <w:sz w:val="24"/>
          <w:highlight w:val="none"/>
        </w:rPr>
        <w:t>不论采购代理机构向磋商供应商发送的资料文件，还是磋商供应商提出的问题， 均采用书面形式，任何口头提问及答复一律无效。</w:t>
      </w:r>
    </w:p>
    <w:p>
      <w:pPr>
        <w:pStyle w:val="3"/>
        <w:ind w:left="0"/>
        <w:rPr>
          <w:color w:val="auto"/>
          <w:highlight w:val="none"/>
        </w:rPr>
      </w:pPr>
    </w:p>
    <w:p>
      <w:pPr>
        <w:pStyle w:val="5"/>
        <w:spacing w:before="161"/>
        <w:ind w:right="31"/>
        <w:rPr>
          <w:color w:val="auto"/>
          <w:highlight w:val="none"/>
        </w:rPr>
      </w:pPr>
      <w:bookmarkStart w:id="28" w:name="三、响应文件的编制"/>
      <w:bookmarkEnd w:id="28"/>
      <w:bookmarkStart w:id="29" w:name="_Toc4729"/>
      <w:r>
        <w:rPr>
          <w:color w:val="auto"/>
          <w:highlight w:val="none"/>
        </w:rPr>
        <w:t>三、响应文件的编制</w:t>
      </w:r>
      <w:bookmarkEnd w:id="29"/>
    </w:p>
    <w:p>
      <w:pPr>
        <w:pStyle w:val="9"/>
        <w:numPr>
          <w:ilvl w:val="0"/>
          <w:numId w:val="3"/>
        </w:numPr>
        <w:tabs>
          <w:tab w:val="left" w:pos="646"/>
        </w:tabs>
        <w:spacing w:before="210" w:after="0" w:line="240" w:lineRule="auto"/>
        <w:ind w:left="645" w:right="0" w:hanging="363"/>
        <w:jc w:val="left"/>
        <w:rPr>
          <w:color w:val="auto"/>
          <w:highlight w:val="none"/>
        </w:rPr>
      </w:pPr>
      <w:bookmarkStart w:id="30" w:name="7. 响应文件的组成"/>
      <w:bookmarkEnd w:id="30"/>
      <w:bookmarkStart w:id="31" w:name="7. 响应文件的组成"/>
      <w:bookmarkEnd w:id="31"/>
      <w:r>
        <w:rPr>
          <w:color w:val="auto"/>
          <w:highlight w:val="none"/>
        </w:rPr>
        <w:t>响应文件的组成</w:t>
      </w:r>
    </w:p>
    <w:p>
      <w:pPr>
        <w:spacing w:before="160" w:line="362" w:lineRule="auto"/>
        <w:ind w:left="283" w:right="304" w:firstLine="480"/>
        <w:jc w:val="left"/>
        <w:rPr>
          <w:color w:val="auto"/>
          <w:sz w:val="24"/>
          <w:highlight w:val="none"/>
        </w:rPr>
      </w:pPr>
      <w:r>
        <w:rPr>
          <w:color w:val="auto"/>
          <w:sz w:val="24"/>
          <w:highlight w:val="none"/>
        </w:rPr>
        <w:t>磋商供应商向采购人递交的书面响应文件（以下简称响应文件）由</w:t>
      </w:r>
      <w:r>
        <w:rPr>
          <w:b/>
          <w:color w:val="auto"/>
          <w:sz w:val="24"/>
          <w:highlight w:val="none"/>
        </w:rPr>
        <w:t>报价文件、技术商务文件及资格证明文件三部分</w:t>
      </w:r>
      <w:r>
        <w:rPr>
          <w:color w:val="auto"/>
          <w:sz w:val="24"/>
          <w:highlight w:val="none"/>
        </w:rPr>
        <w:t>组成。</w:t>
      </w:r>
    </w:p>
    <w:p>
      <w:pPr>
        <w:pStyle w:val="9"/>
        <w:numPr>
          <w:ilvl w:val="0"/>
          <w:numId w:val="3"/>
        </w:numPr>
        <w:tabs>
          <w:tab w:val="left" w:pos="646"/>
        </w:tabs>
        <w:spacing w:before="5" w:after="0" w:line="240" w:lineRule="auto"/>
        <w:ind w:left="645" w:right="0" w:hanging="363"/>
        <w:jc w:val="left"/>
        <w:rPr>
          <w:color w:val="auto"/>
          <w:highlight w:val="none"/>
        </w:rPr>
      </w:pPr>
      <w:bookmarkStart w:id="32" w:name="8. 响应文件的语言"/>
      <w:bookmarkEnd w:id="32"/>
      <w:bookmarkStart w:id="33" w:name="8. 响应文件的语言"/>
      <w:bookmarkEnd w:id="33"/>
      <w:r>
        <w:rPr>
          <w:color w:val="auto"/>
          <w:highlight w:val="none"/>
        </w:rPr>
        <w:t>响应文件的语言</w:t>
      </w:r>
    </w:p>
    <w:p>
      <w:pPr>
        <w:pStyle w:val="3"/>
        <w:spacing w:before="158"/>
        <w:ind w:left="763"/>
        <w:rPr>
          <w:color w:val="auto"/>
          <w:highlight w:val="none"/>
        </w:rPr>
      </w:pPr>
      <w:r>
        <w:rPr>
          <w:color w:val="auto"/>
          <w:highlight w:val="none"/>
        </w:rPr>
        <w:t>响应文件及磋商供应商与竞争性磋商有关的来往通知、函件和文件均应使用中文。</w:t>
      </w:r>
    </w:p>
    <w:p>
      <w:pPr>
        <w:pStyle w:val="9"/>
        <w:numPr>
          <w:ilvl w:val="0"/>
          <w:numId w:val="3"/>
        </w:numPr>
        <w:tabs>
          <w:tab w:val="left" w:pos="646"/>
        </w:tabs>
        <w:spacing w:before="161" w:after="0" w:line="240" w:lineRule="auto"/>
        <w:ind w:left="645" w:right="0" w:hanging="363"/>
        <w:jc w:val="left"/>
        <w:rPr>
          <w:color w:val="auto"/>
          <w:highlight w:val="none"/>
        </w:rPr>
      </w:pPr>
      <w:bookmarkStart w:id="34" w:name="9. 报价要求"/>
      <w:bookmarkEnd w:id="34"/>
      <w:bookmarkStart w:id="35" w:name="9. 报价要求"/>
      <w:bookmarkEnd w:id="35"/>
      <w:r>
        <w:rPr>
          <w:color w:val="auto"/>
          <w:highlight w:val="none"/>
        </w:rPr>
        <w:t>报价要求</w:t>
      </w:r>
    </w:p>
    <w:p>
      <w:pPr>
        <w:pStyle w:val="19"/>
        <w:numPr>
          <w:ilvl w:val="1"/>
          <w:numId w:val="3"/>
        </w:numPr>
        <w:tabs>
          <w:tab w:val="left" w:pos="1244"/>
        </w:tabs>
        <w:spacing w:before="158" w:after="0" w:line="240" w:lineRule="auto"/>
        <w:ind w:left="1243" w:right="0" w:hanging="481"/>
        <w:jc w:val="left"/>
        <w:rPr>
          <w:color w:val="auto"/>
          <w:sz w:val="24"/>
          <w:highlight w:val="none"/>
        </w:rPr>
      </w:pPr>
      <w:r>
        <w:rPr>
          <w:color w:val="auto"/>
          <w:sz w:val="24"/>
          <w:highlight w:val="none"/>
        </w:rPr>
        <w:t>采购内容：</w:t>
      </w:r>
    </w:p>
    <w:p>
      <w:pPr>
        <w:pStyle w:val="3"/>
        <w:spacing w:before="161" w:line="364" w:lineRule="auto"/>
        <w:ind w:right="311" w:firstLine="480"/>
        <w:rPr>
          <w:color w:val="auto"/>
          <w:highlight w:val="none"/>
        </w:rPr>
      </w:pPr>
      <w:r>
        <w:rPr>
          <w:rFonts w:hint="eastAsia"/>
          <w:color w:val="auto"/>
          <w:highlight w:val="none"/>
          <w:lang w:eastAsia="zh-CN"/>
        </w:rPr>
        <w:t>2022年亚运会餐饮服务规划和安全保障研究</w:t>
      </w:r>
      <w:r>
        <w:rPr>
          <w:color w:val="auto"/>
          <w:highlight w:val="none"/>
        </w:rPr>
        <w:t>，主要包括：</w:t>
      </w:r>
      <w:r>
        <w:rPr>
          <w:rFonts w:hint="eastAsia"/>
          <w:color w:val="auto"/>
          <w:highlight w:val="none"/>
        </w:rPr>
        <w:t>从杭州亚运会筹备和项目研究的实际出发，从三个方面对杭州亚运会餐饮服务和安全保障进行全面研究，具体包括：《杭州亚运会赛事餐饮的整体规划研究》、《杭州亚运会赛事餐饮运行及管理研究（含服务商遴选）》、《杭州亚运会赛事餐饮供应链和食品安全管理研究》</w:t>
      </w:r>
      <w:r>
        <w:rPr>
          <w:color w:val="auto"/>
          <w:highlight w:val="none"/>
        </w:rPr>
        <w:t>。详见磋商文件第三部分《项目技术规范和服务要求》。</w:t>
      </w:r>
    </w:p>
    <w:p>
      <w:pPr>
        <w:pStyle w:val="19"/>
        <w:numPr>
          <w:ilvl w:val="1"/>
          <w:numId w:val="3"/>
        </w:numPr>
        <w:tabs>
          <w:tab w:val="left" w:pos="1244"/>
        </w:tabs>
        <w:spacing w:before="0" w:after="0" w:line="306" w:lineRule="exact"/>
        <w:ind w:left="1243" w:right="0" w:hanging="481"/>
        <w:jc w:val="left"/>
        <w:rPr>
          <w:color w:val="auto"/>
          <w:sz w:val="24"/>
          <w:highlight w:val="none"/>
        </w:rPr>
      </w:pPr>
      <w:r>
        <w:rPr>
          <w:color w:val="auto"/>
          <w:sz w:val="24"/>
          <w:highlight w:val="none"/>
        </w:rPr>
        <w:t>报价</w:t>
      </w:r>
    </w:p>
    <w:p>
      <w:pPr>
        <w:pStyle w:val="3"/>
        <w:spacing w:before="158" w:line="364" w:lineRule="auto"/>
        <w:ind w:right="311" w:firstLine="480"/>
        <w:jc w:val="both"/>
        <w:rPr>
          <w:color w:val="auto"/>
          <w:highlight w:val="none"/>
        </w:rPr>
      </w:pPr>
      <w:r>
        <w:rPr>
          <w:color w:val="auto"/>
          <w:highlight w:val="none"/>
        </w:rPr>
        <w:t>供应商的报价应包括但不限于供应商的各项成本支出（如</w:t>
      </w:r>
      <w:r>
        <w:rPr>
          <w:rFonts w:hint="eastAsia"/>
          <w:color w:val="auto"/>
          <w:highlight w:val="none"/>
        </w:rPr>
        <w:t>报告编制、咨询费用、人工薪酬、差旅费用等</w:t>
      </w:r>
      <w:r>
        <w:rPr>
          <w:color w:val="auto"/>
          <w:highlight w:val="none"/>
        </w:rPr>
        <w:t>）、合理的利润、应交纳的税金、项目验收费用、采购代理服务费等， 以及为完成本项目所可能发生的全部费用。供应商对合同内容的费用、质量、安全、文明服务等实行全面承包。</w:t>
      </w:r>
    </w:p>
    <w:p>
      <w:pPr>
        <w:pStyle w:val="9"/>
        <w:ind w:left="763"/>
        <w:rPr>
          <w:color w:val="auto"/>
          <w:highlight w:val="none"/>
        </w:rPr>
      </w:pPr>
      <w:r>
        <w:rPr>
          <w:color w:val="auto"/>
          <w:highlight w:val="none"/>
        </w:rPr>
        <w:t>报价应是唯一的，不接受有选择的报价。</w:t>
      </w:r>
    </w:p>
    <w:p>
      <w:pPr>
        <w:pStyle w:val="19"/>
        <w:numPr>
          <w:ilvl w:val="1"/>
          <w:numId w:val="3"/>
        </w:numPr>
        <w:tabs>
          <w:tab w:val="left" w:pos="1244"/>
        </w:tabs>
        <w:spacing w:before="158" w:after="0" w:line="240" w:lineRule="auto"/>
        <w:ind w:left="1243" w:right="0" w:hanging="481"/>
        <w:jc w:val="left"/>
        <w:rPr>
          <w:color w:val="auto"/>
          <w:sz w:val="24"/>
          <w:highlight w:val="none"/>
        </w:rPr>
      </w:pPr>
      <w:r>
        <w:rPr>
          <w:color w:val="auto"/>
          <w:sz w:val="24"/>
          <w:highlight w:val="none"/>
        </w:rPr>
        <w:t>其它费用处理</w:t>
      </w:r>
    </w:p>
    <w:p>
      <w:pPr>
        <w:pStyle w:val="3"/>
        <w:spacing w:before="160"/>
        <w:ind w:left="763"/>
        <w:rPr>
          <w:color w:val="auto"/>
          <w:highlight w:val="none"/>
        </w:rPr>
      </w:pPr>
      <w:r>
        <w:rPr>
          <w:color w:val="auto"/>
          <w:highlight w:val="none"/>
        </w:rPr>
        <w:t>磋商文件未列明，而磋商供应商认为必需的费用也需列入报价。</w:t>
      </w:r>
    </w:p>
    <w:p>
      <w:pPr>
        <w:pStyle w:val="19"/>
        <w:numPr>
          <w:ilvl w:val="1"/>
          <w:numId w:val="3"/>
        </w:numPr>
        <w:tabs>
          <w:tab w:val="left" w:pos="1244"/>
        </w:tabs>
        <w:spacing w:before="158" w:after="0" w:line="240" w:lineRule="auto"/>
        <w:ind w:left="1243" w:right="0" w:hanging="481"/>
        <w:jc w:val="left"/>
        <w:rPr>
          <w:color w:val="auto"/>
          <w:sz w:val="24"/>
          <w:highlight w:val="none"/>
        </w:rPr>
      </w:pPr>
      <w:r>
        <w:rPr>
          <w:color w:val="auto"/>
          <w:sz w:val="24"/>
          <w:highlight w:val="none"/>
        </w:rPr>
        <w:t>货币</w:t>
      </w:r>
    </w:p>
    <w:p>
      <w:pPr>
        <w:pStyle w:val="3"/>
        <w:spacing w:before="161"/>
        <w:ind w:left="763"/>
        <w:rPr>
          <w:color w:val="auto"/>
          <w:highlight w:val="none"/>
        </w:rPr>
      </w:pPr>
      <w:r>
        <w:rPr>
          <w:color w:val="auto"/>
          <w:highlight w:val="none"/>
        </w:rPr>
        <w:t>响应文件中价格全部采用人民币报价。</w:t>
      </w:r>
    </w:p>
    <w:p>
      <w:pPr>
        <w:pStyle w:val="9"/>
        <w:numPr>
          <w:ilvl w:val="0"/>
          <w:numId w:val="3"/>
        </w:numPr>
        <w:tabs>
          <w:tab w:val="left" w:pos="768"/>
        </w:tabs>
        <w:spacing w:before="158" w:after="0" w:line="240" w:lineRule="auto"/>
        <w:ind w:left="768" w:right="0" w:hanging="485"/>
        <w:jc w:val="left"/>
        <w:rPr>
          <w:color w:val="auto"/>
          <w:highlight w:val="none"/>
        </w:rPr>
      </w:pPr>
      <w:bookmarkStart w:id="36" w:name="10. 磋商响应文件的格式填写："/>
      <w:bookmarkEnd w:id="36"/>
      <w:bookmarkStart w:id="37" w:name="10. 磋商响应文件的格式填写："/>
      <w:bookmarkEnd w:id="37"/>
      <w:r>
        <w:rPr>
          <w:color w:val="auto"/>
          <w:highlight w:val="none"/>
        </w:rPr>
        <w:t>磋商响应文件的格式填写：</w:t>
      </w:r>
    </w:p>
    <w:p>
      <w:pPr>
        <w:pStyle w:val="19"/>
        <w:numPr>
          <w:ilvl w:val="1"/>
          <w:numId w:val="3"/>
        </w:numPr>
        <w:tabs>
          <w:tab w:val="left" w:pos="1364"/>
        </w:tabs>
        <w:spacing w:before="160" w:after="0" w:line="240" w:lineRule="auto"/>
        <w:ind w:left="1363" w:right="0" w:hanging="601"/>
        <w:jc w:val="left"/>
        <w:rPr>
          <w:color w:val="auto"/>
          <w:sz w:val="24"/>
          <w:highlight w:val="none"/>
        </w:rPr>
      </w:pPr>
      <w:bookmarkStart w:id="38" w:name="10.1 报价文件至少应包括以下内容："/>
      <w:bookmarkEnd w:id="38"/>
      <w:bookmarkStart w:id="39" w:name="10.1 报价文件至少应包括以下内容："/>
      <w:bookmarkEnd w:id="39"/>
      <w:r>
        <w:rPr>
          <w:color w:val="auto"/>
          <w:sz w:val="24"/>
          <w:highlight w:val="none"/>
        </w:rPr>
        <w:t>报价文件至少应包括以下内容：</w:t>
      </w:r>
    </w:p>
    <w:p>
      <w:pPr>
        <w:pStyle w:val="19"/>
        <w:numPr>
          <w:ilvl w:val="0"/>
          <w:numId w:val="4"/>
        </w:numPr>
        <w:tabs>
          <w:tab w:val="left" w:pos="1365"/>
        </w:tabs>
        <w:spacing w:before="159" w:after="0" w:line="240" w:lineRule="auto"/>
        <w:ind w:left="1364" w:right="0" w:hanging="602"/>
        <w:jc w:val="left"/>
        <w:rPr>
          <w:color w:val="auto"/>
          <w:sz w:val="24"/>
          <w:highlight w:val="none"/>
        </w:rPr>
      </w:pPr>
      <w:r>
        <w:rPr>
          <w:color w:val="auto"/>
          <w:sz w:val="24"/>
          <w:highlight w:val="none"/>
        </w:rPr>
        <w:t>磋商响应函；</w:t>
      </w:r>
    </w:p>
    <w:p>
      <w:pPr>
        <w:pStyle w:val="19"/>
        <w:numPr>
          <w:ilvl w:val="0"/>
          <w:numId w:val="4"/>
        </w:numPr>
        <w:tabs>
          <w:tab w:val="left" w:pos="1365"/>
        </w:tabs>
        <w:spacing w:before="160" w:after="0" w:line="240" w:lineRule="auto"/>
        <w:ind w:left="1364" w:right="0" w:hanging="602"/>
        <w:jc w:val="left"/>
        <w:rPr>
          <w:color w:val="auto"/>
          <w:sz w:val="24"/>
          <w:highlight w:val="none"/>
        </w:rPr>
      </w:pPr>
      <w:r>
        <w:rPr>
          <w:color w:val="auto"/>
          <w:sz w:val="24"/>
          <w:highlight w:val="none"/>
        </w:rPr>
        <w:t>磋商响应初始报价单；</w:t>
      </w:r>
    </w:p>
    <w:p>
      <w:pPr>
        <w:pStyle w:val="19"/>
        <w:numPr>
          <w:ilvl w:val="0"/>
          <w:numId w:val="4"/>
        </w:numPr>
        <w:tabs>
          <w:tab w:val="left" w:pos="1365"/>
        </w:tabs>
        <w:spacing w:before="161" w:after="0" w:line="240" w:lineRule="auto"/>
        <w:ind w:left="1364" w:right="0" w:hanging="602"/>
        <w:jc w:val="left"/>
        <w:rPr>
          <w:color w:val="auto"/>
          <w:sz w:val="24"/>
          <w:highlight w:val="none"/>
        </w:rPr>
      </w:pPr>
      <w:r>
        <w:rPr>
          <w:color w:val="auto"/>
          <w:sz w:val="24"/>
          <w:highlight w:val="none"/>
        </w:rPr>
        <w:t>分项报价表、报价分析表等；</w:t>
      </w:r>
    </w:p>
    <w:p>
      <w:pPr>
        <w:pStyle w:val="19"/>
        <w:numPr>
          <w:ilvl w:val="0"/>
          <w:numId w:val="4"/>
        </w:numPr>
        <w:tabs>
          <w:tab w:val="left" w:pos="1365"/>
        </w:tabs>
        <w:spacing w:before="158" w:after="0" w:line="240" w:lineRule="auto"/>
        <w:ind w:left="1364" w:right="0" w:hanging="602"/>
        <w:jc w:val="left"/>
        <w:rPr>
          <w:color w:val="auto"/>
          <w:sz w:val="24"/>
          <w:highlight w:val="none"/>
        </w:rPr>
      </w:pPr>
      <w:r>
        <w:rPr>
          <w:color w:val="auto"/>
          <w:sz w:val="24"/>
          <w:highlight w:val="none"/>
        </w:rPr>
        <w:t>其它报价相关材料（如有）。</w:t>
      </w:r>
    </w:p>
    <w:p>
      <w:pPr>
        <w:pStyle w:val="19"/>
        <w:numPr>
          <w:ilvl w:val="1"/>
          <w:numId w:val="3"/>
        </w:numPr>
        <w:tabs>
          <w:tab w:val="left" w:pos="1371"/>
        </w:tabs>
        <w:spacing w:before="158" w:after="0" w:line="240" w:lineRule="auto"/>
        <w:ind w:left="1370" w:right="0" w:hanging="608"/>
        <w:jc w:val="left"/>
        <w:rPr>
          <w:color w:val="auto"/>
          <w:sz w:val="24"/>
          <w:highlight w:val="none"/>
        </w:rPr>
      </w:pPr>
      <w:bookmarkStart w:id="40" w:name="10.2 技术商务文件至少应包括以下内容：针对本项目的技术和服务响应方案，技术商"/>
      <w:bookmarkEnd w:id="40"/>
      <w:bookmarkStart w:id="41" w:name="10.2 技术商务文件至少应包括以下内容：针对本项目的技术和服务响应方案，技术商"/>
      <w:bookmarkEnd w:id="41"/>
      <w:r>
        <w:rPr>
          <w:color w:val="auto"/>
          <w:spacing w:val="3"/>
          <w:sz w:val="24"/>
          <w:highlight w:val="none"/>
        </w:rPr>
        <w:t>技术商务文件至少应包括以下内容：针对本项目的技术和服务响应方案，技术</w:t>
      </w:r>
    </w:p>
    <w:p>
      <w:pPr>
        <w:pStyle w:val="3"/>
        <w:spacing w:before="56"/>
        <w:rPr>
          <w:color w:val="auto"/>
          <w:highlight w:val="none"/>
        </w:rPr>
      </w:pPr>
      <w:r>
        <w:rPr>
          <w:color w:val="auto"/>
          <w:highlight w:val="none"/>
        </w:rPr>
        <w:t>商务偏离说明表，磋商文件要求提供的其他资料等：</w:t>
      </w:r>
    </w:p>
    <w:p>
      <w:pPr>
        <w:pStyle w:val="19"/>
        <w:numPr>
          <w:ilvl w:val="0"/>
          <w:numId w:val="5"/>
        </w:numPr>
        <w:tabs>
          <w:tab w:val="left" w:pos="1365"/>
        </w:tabs>
        <w:spacing w:before="158" w:after="0" w:line="240" w:lineRule="auto"/>
        <w:ind w:left="1364" w:right="0" w:hanging="602"/>
        <w:jc w:val="left"/>
        <w:rPr>
          <w:color w:val="auto"/>
          <w:sz w:val="24"/>
          <w:highlight w:val="none"/>
        </w:rPr>
      </w:pPr>
      <w:r>
        <w:rPr>
          <w:color w:val="auto"/>
          <w:sz w:val="24"/>
          <w:highlight w:val="none"/>
        </w:rPr>
        <w:t>法人授权委托书；</w:t>
      </w:r>
    </w:p>
    <w:p>
      <w:pPr>
        <w:pStyle w:val="19"/>
        <w:numPr>
          <w:ilvl w:val="0"/>
          <w:numId w:val="5"/>
        </w:numPr>
        <w:tabs>
          <w:tab w:val="left" w:pos="1365"/>
        </w:tabs>
        <w:spacing w:before="160" w:after="0" w:line="240" w:lineRule="auto"/>
        <w:ind w:left="1364" w:right="0" w:hanging="602"/>
        <w:jc w:val="left"/>
        <w:rPr>
          <w:color w:val="auto"/>
          <w:sz w:val="24"/>
          <w:highlight w:val="none"/>
        </w:rPr>
      </w:pPr>
      <w:r>
        <w:rPr>
          <w:color w:val="auto"/>
          <w:sz w:val="24"/>
          <w:highlight w:val="none"/>
        </w:rPr>
        <w:t>法定代表人及其授权代表的身份证（复印件）；</w:t>
      </w:r>
    </w:p>
    <w:p>
      <w:pPr>
        <w:pStyle w:val="19"/>
        <w:numPr>
          <w:ilvl w:val="0"/>
          <w:numId w:val="5"/>
        </w:numPr>
        <w:tabs>
          <w:tab w:val="left" w:pos="1365"/>
        </w:tabs>
        <w:spacing w:before="159" w:after="0" w:line="240" w:lineRule="auto"/>
        <w:ind w:left="1364" w:right="0" w:hanging="602"/>
        <w:jc w:val="left"/>
        <w:rPr>
          <w:color w:val="auto"/>
          <w:sz w:val="24"/>
          <w:highlight w:val="none"/>
        </w:rPr>
      </w:pPr>
      <w:r>
        <w:rPr>
          <w:color w:val="auto"/>
          <w:sz w:val="24"/>
          <w:highlight w:val="none"/>
        </w:rPr>
        <w:t>声明书；</w:t>
      </w:r>
    </w:p>
    <w:p>
      <w:pPr>
        <w:pStyle w:val="19"/>
        <w:numPr>
          <w:ilvl w:val="0"/>
          <w:numId w:val="5"/>
        </w:numPr>
        <w:tabs>
          <w:tab w:val="left" w:pos="1365"/>
        </w:tabs>
        <w:spacing w:before="160" w:after="0" w:line="240" w:lineRule="auto"/>
        <w:ind w:left="1364" w:right="0" w:hanging="602"/>
        <w:jc w:val="left"/>
        <w:rPr>
          <w:color w:val="auto"/>
          <w:sz w:val="24"/>
          <w:highlight w:val="none"/>
        </w:rPr>
      </w:pPr>
      <w:r>
        <w:rPr>
          <w:color w:val="auto"/>
          <w:sz w:val="24"/>
          <w:highlight w:val="none"/>
        </w:rPr>
        <w:t>公司介绍；</w:t>
      </w:r>
    </w:p>
    <w:p>
      <w:pPr>
        <w:pStyle w:val="19"/>
        <w:numPr>
          <w:ilvl w:val="0"/>
          <w:numId w:val="5"/>
        </w:numPr>
        <w:tabs>
          <w:tab w:val="left" w:pos="1365"/>
        </w:tabs>
        <w:spacing w:before="158" w:after="0" w:line="240" w:lineRule="auto"/>
        <w:ind w:left="1364" w:right="0" w:hanging="602"/>
        <w:jc w:val="left"/>
        <w:rPr>
          <w:color w:val="auto"/>
          <w:sz w:val="24"/>
          <w:highlight w:val="none"/>
        </w:rPr>
      </w:pPr>
      <w:r>
        <w:rPr>
          <w:color w:val="auto"/>
          <w:sz w:val="24"/>
          <w:highlight w:val="none"/>
        </w:rPr>
        <w:t>主要业绩证明；</w:t>
      </w:r>
    </w:p>
    <w:p>
      <w:pPr>
        <w:pStyle w:val="19"/>
        <w:numPr>
          <w:ilvl w:val="0"/>
          <w:numId w:val="5"/>
        </w:numPr>
        <w:tabs>
          <w:tab w:val="left" w:pos="1365"/>
        </w:tabs>
        <w:spacing w:before="161" w:after="0" w:line="240" w:lineRule="auto"/>
        <w:ind w:left="1364" w:right="0" w:hanging="602"/>
        <w:jc w:val="left"/>
        <w:rPr>
          <w:color w:val="auto"/>
          <w:sz w:val="24"/>
          <w:highlight w:val="none"/>
        </w:rPr>
      </w:pPr>
      <w:r>
        <w:rPr>
          <w:color w:val="auto"/>
          <w:sz w:val="24"/>
          <w:highlight w:val="none"/>
        </w:rPr>
        <w:t>磋商供应商认为需要提供的其它相关资质材料（如果有）；</w:t>
      </w:r>
    </w:p>
    <w:p>
      <w:pPr>
        <w:pStyle w:val="19"/>
        <w:numPr>
          <w:ilvl w:val="0"/>
          <w:numId w:val="5"/>
        </w:numPr>
        <w:tabs>
          <w:tab w:val="left" w:pos="1365"/>
        </w:tabs>
        <w:spacing w:before="160" w:after="0" w:line="240" w:lineRule="auto"/>
        <w:ind w:left="1364" w:right="0" w:hanging="602"/>
        <w:jc w:val="left"/>
        <w:rPr>
          <w:color w:val="auto"/>
          <w:sz w:val="24"/>
          <w:highlight w:val="none"/>
        </w:rPr>
      </w:pPr>
      <w:r>
        <w:rPr>
          <w:color w:val="auto"/>
          <w:sz w:val="24"/>
          <w:highlight w:val="none"/>
        </w:rPr>
        <w:t>针对本项目的技术和服务响应方案；</w:t>
      </w:r>
    </w:p>
    <w:p>
      <w:pPr>
        <w:pStyle w:val="19"/>
        <w:numPr>
          <w:ilvl w:val="0"/>
          <w:numId w:val="5"/>
        </w:numPr>
        <w:tabs>
          <w:tab w:val="left" w:pos="1365"/>
        </w:tabs>
        <w:spacing w:before="158" w:after="0" w:line="240" w:lineRule="auto"/>
        <w:ind w:left="1364" w:right="0" w:hanging="602"/>
        <w:jc w:val="left"/>
        <w:rPr>
          <w:color w:val="auto"/>
          <w:sz w:val="24"/>
          <w:highlight w:val="none"/>
        </w:rPr>
      </w:pPr>
      <w:r>
        <w:rPr>
          <w:color w:val="auto"/>
          <w:sz w:val="24"/>
          <w:highlight w:val="none"/>
        </w:rPr>
        <w:t>技术商务条款偏离表及建议；</w:t>
      </w:r>
    </w:p>
    <w:p>
      <w:pPr>
        <w:pStyle w:val="19"/>
        <w:numPr>
          <w:ilvl w:val="0"/>
          <w:numId w:val="5"/>
        </w:numPr>
        <w:tabs>
          <w:tab w:val="left" w:pos="1365"/>
        </w:tabs>
        <w:spacing w:before="158" w:after="0" w:line="240" w:lineRule="auto"/>
        <w:ind w:left="1364" w:right="0" w:hanging="602"/>
        <w:jc w:val="left"/>
        <w:rPr>
          <w:color w:val="auto"/>
          <w:sz w:val="24"/>
          <w:highlight w:val="none"/>
        </w:rPr>
      </w:pPr>
      <w:r>
        <w:rPr>
          <w:color w:val="auto"/>
          <w:sz w:val="24"/>
          <w:highlight w:val="none"/>
        </w:rPr>
        <w:t>合同条款偏离表及建议；</w:t>
      </w:r>
    </w:p>
    <w:p>
      <w:pPr>
        <w:pStyle w:val="19"/>
        <w:numPr>
          <w:ilvl w:val="0"/>
          <w:numId w:val="5"/>
        </w:numPr>
        <w:tabs>
          <w:tab w:val="left" w:pos="1485"/>
        </w:tabs>
        <w:spacing w:before="161" w:after="0" w:line="240" w:lineRule="auto"/>
        <w:ind w:left="1484" w:right="0" w:hanging="722"/>
        <w:jc w:val="left"/>
        <w:rPr>
          <w:color w:val="auto"/>
          <w:sz w:val="24"/>
          <w:highlight w:val="none"/>
        </w:rPr>
      </w:pPr>
      <w:r>
        <w:rPr>
          <w:color w:val="auto"/>
          <w:sz w:val="24"/>
          <w:highlight w:val="none"/>
        </w:rPr>
        <w:t>廉政承诺书；</w:t>
      </w:r>
    </w:p>
    <w:p>
      <w:pPr>
        <w:pStyle w:val="19"/>
        <w:numPr>
          <w:ilvl w:val="0"/>
          <w:numId w:val="5"/>
        </w:numPr>
        <w:tabs>
          <w:tab w:val="left" w:pos="1485"/>
        </w:tabs>
        <w:spacing w:before="158" w:after="0" w:line="240" w:lineRule="auto"/>
        <w:ind w:left="1484" w:right="0" w:hanging="722"/>
        <w:jc w:val="left"/>
        <w:rPr>
          <w:color w:val="auto"/>
          <w:sz w:val="24"/>
          <w:highlight w:val="none"/>
        </w:rPr>
      </w:pPr>
      <w:r>
        <w:rPr>
          <w:color w:val="auto"/>
          <w:sz w:val="24"/>
          <w:highlight w:val="none"/>
        </w:rPr>
        <w:t>关于对磋商文件中有关条款的拒绝声明（如有）；</w:t>
      </w:r>
    </w:p>
    <w:p>
      <w:pPr>
        <w:pStyle w:val="19"/>
        <w:numPr>
          <w:ilvl w:val="0"/>
          <w:numId w:val="5"/>
        </w:numPr>
        <w:tabs>
          <w:tab w:val="left" w:pos="1485"/>
        </w:tabs>
        <w:spacing w:before="161" w:after="0" w:line="240" w:lineRule="auto"/>
        <w:ind w:left="1484" w:right="0" w:hanging="722"/>
        <w:jc w:val="left"/>
        <w:rPr>
          <w:color w:val="auto"/>
          <w:sz w:val="24"/>
          <w:highlight w:val="none"/>
        </w:rPr>
      </w:pPr>
      <w:r>
        <w:rPr>
          <w:color w:val="auto"/>
          <w:sz w:val="24"/>
          <w:highlight w:val="none"/>
        </w:rPr>
        <w:t>磋商供应商认为需要的其他技术商务文件或说明。（如果有）</w:t>
      </w:r>
    </w:p>
    <w:p>
      <w:pPr>
        <w:pStyle w:val="19"/>
        <w:numPr>
          <w:ilvl w:val="1"/>
          <w:numId w:val="3"/>
        </w:numPr>
        <w:tabs>
          <w:tab w:val="left" w:pos="1371"/>
        </w:tabs>
        <w:spacing w:before="160" w:after="0" w:line="362" w:lineRule="auto"/>
        <w:ind w:left="283" w:right="314" w:firstLine="480"/>
        <w:jc w:val="left"/>
        <w:rPr>
          <w:color w:val="auto"/>
          <w:sz w:val="24"/>
          <w:highlight w:val="none"/>
        </w:rPr>
      </w:pPr>
      <w:bookmarkStart w:id="42" w:name="10.3 资格证明文件至少应包括：证明其为合格供应商的有关资格证明文件，磋商文件"/>
      <w:bookmarkEnd w:id="42"/>
      <w:bookmarkStart w:id="43" w:name="10.3 资格证明文件至少应包括：证明其为合格供应商的有关资格证明文件，磋商文件"/>
      <w:bookmarkEnd w:id="43"/>
      <w:r>
        <w:rPr>
          <w:color w:val="auto"/>
          <w:spacing w:val="3"/>
          <w:sz w:val="24"/>
          <w:highlight w:val="none"/>
        </w:rPr>
        <w:t>资格证明文件至少应包括：证明其为合格供应商的有关资格证明文件，磋商文件要求提供的其他资料等：</w:t>
      </w:r>
    </w:p>
    <w:p>
      <w:pPr>
        <w:pStyle w:val="19"/>
        <w:numPr>
          <w:ilvl w:val="0"/>
          <w:numId w:val="6"/>
        </w:numPr>
        <w:tabs>
          <w:tab w:val="left" w:pos="1365"/>
        </w:tabs>
        <w:spacing w:before="5" w:after="0" w:line="240" w:lineRule="auto"/>
        <w:ind w:left="1364" w:right="0" w:hanging="602"/>
        <w:jc w:val="left"/>
        <w:rPr>
          <w:color w:val="auto"/>
          <w:sz w:val="24"/>
          <w:highlight w:val="none"/>
        </w:rPr>
      </w:pPr>
      <w:r>
        <w:rPr>
          <w:color w:val="auto"/>
          <w:sz w:val="24"/>
          <w:highlight w:val="none"/>
        </w:rPr>
        <w:t>有效的单位法人证书或营业执照复印件；</w:t>
      </w:r>
    </w:p>
    <w:p>
      <w:pPr>
        <w:pStyle w:val="19"/>
        <w:numPr>
          <w:ilvl w:val="0"/>
          <w:numId w:val="6"/>
        </w:numPr>
        <w:tabs>
          <w:tab w:val="left" w:pos="1365"/>
        </w:tabs>
        <w:spacing w:before="158" w:after="0" w:line="240" w:lineRule="auto"/>
        <w:ind w:left="1364" w:right="0" w:hanging="602"/>
        <w:jc w:val="left"/>
        <w:rPr>
          <w:color w:val="auto"/>
          <w:sz w:val="24"/>
          <w:highlight w:val="none"/>
        </w:rPr>
      </w:pPr>
      <w:r>
        <w:rPr>
          <w:color w:val="auto"/>
          <w:sz w:val="24"/>
          <w:highlight w:val="none"/>
        </w:rPr>
        <w:t>财务状况报告；</w:t>
      </w:r>
    </w:p>
    <w:p>
      <w:pPr>
        <w:pStyle w:val="19"/>
        <w:numPr>
          <w:ilvl w:val="0"/>
          <w:numId w:val="6"/>
        </w:numPr>
        <w:tabs>
          <w:tab w:val="left" w:pos="1365"/>
        </w:tabs>
        <w:spacing w:before="161" w:after="0" w:line="240" w:lineRule="auto"/>
        <w:ind w:left="1364" w:right="0" w:hanging="602"/>
        <w:jc w:val="left"/>
        <w:rPr>
          <w:color w:val="auto"/>
          <w:sz w:val="24"/>
          <w:highlight w:val="none"/>
        </w:rPr>
      </w:pPr>
      <w:r>
        <w:rPr>
          <w:color w:val="auto"/>
          <w:sz w:val="24"/>
          <w:highlight w:val="none"/>
        </w:rPr>
        <w:t>具有履行合同所必须的设备和专业技术能力的承诺函；</w:t>
      </w:r>
    </w:p>
    <w:p>
      <w:pPr>
        <w:pStyle w:val="19"/>
        <w:numPr>
          <w:ilvl w:val="0"/>
          <w:numId w:val="6"/>
        </w:numPr>
        <w:tabs>
          <w:tab w:val="left" w:pos="1365"/>
        </w:tabs>
        <w:spacing w:before="158" w:after="0" w:line="240" w:lineRule="auto"/>
        <w:ind w:left="1364" w:right="0" w:hanging="602"/>
        <w:jc w:val="left"/>
        <w:rPr>
          <w:color w:val="auto"/>
          <w:sz w:val="24"/>
          <w:highlight w:val="none"/>
        </w:rPr>
      </w:pPr>
      <w:r>
        <w:rPr>
          <w:color w:val="auto"/>
          <w:sz w:val="24"/>
          <w:highlight w:val="none"/>
        </w:rPr>
        <w:t>纳税证明材料；</w:t>
      </w:r>
    </w:p>
    <w:p>
      <w:pPr>
        <w:pStyle w:val="19"/>
        <w:numPr>
          <w:ilvl w:val="0"/>
          <w:numId w:val="6"/>
        </w:numPr>
        <w:tabs>
          <w:tab w:val="left" w:pos="1365"/>
        </w:tabs>
        <w:spacing w:before="160" w:after="0" w:line="240" w:lineRule="auto"/>
        <w:ind w:left="1364" w:right="0" w:hanging="602"/>
        <w:jc w:val="left"/>
        <w:rPr>
          <w:color w:val="auto"/>
          <w:sz w:val="24"/>
          <w:highlight w:val="none"/>
        </w:rPr>
      </w:pPr>
      <w:r>
        <w:rPr>
          <w:color w:val="auto"/>
          <w:sz w:val="24"/>
          <w:highlight w:val="none"/>
        </w:rPr>
        <w:t>社保缴纳证明材料；</w:t>
      </w:r>
    </w:p>
    <w:p>
      <w:pPr>
        <w:pStyle w:val="19"/>
        <w:numPr>
          <w:ilvl w:val="0"/>
          <w:numId w:val="6"/>
        </w:numPr>
        <w:tabs>
          <w:tab w:val="left" w:pos="1365"/>
        </w:tabs>
        <w:spacing w:before="158" w:after="0" w:line="240" w:lineRule="auto"/>
        <w:ind w:left="1364" w:right="0" w:hanging="602"/>
        <w:jc w:val="left"/>
        <w:rPr>
          <w:color w:val="auto"/>
          <w:sz w:val="24"/>
          <w:highlight w:val="none"/>
        </w:rPr>
      </w:pPr>
      <w:r>
        <w:rPr>
          <w:color w:val="auto"/>
          <w:sz w:val="24"/>
          <w:highlight w:val="none"/>
        </w:rPr>
        <w:t>承诺函；</w:t>
      </w:r>
    </w:p>
    <w:p>
      <w:pPr>
        <w:pStyle w:val="19"/>
        <w:numPr>
          <w:ilvl w:val="0"/>
          <w:numId w:val="6"/>
        </w:numPr>
        <w:tabs>
          <w:tab w:val="left" w:pos="1365"/>
        </w:tabs>
        <w:spacing w:before="161" w:after="0" w:line="240" w:lineRule="auto"/>
        <w:ind w:left="1364" w:right="0" w:hanging="602"/>
        <w:jc w:val="left"/>
        <w:rPr>
          <w:color w:val="auto"/>
          <w:sz w:val="24"/>
          <w:highlight w:val="none"/>
        </w:rPr>
      </w:pPr>
      <w:r>
        <w:rPr>
          <w:color w:val="auto"/>
          <w:sz w:val="24"/>
          <w:highlight w:val="none"/>
        </w:rPr>
        <w:t>特定资格证明材料（如项目要求）；</w:t>
      </w:r>
    </w:p>
    <w:p>
      <w:pPr>
        <w:pStyle w:val="9"/>
        <w:spacing w:before="158" w:line="364" w:lineRule="auto"/>
        <w:ind w:right="378" w:firstLine="480"/>
        <w:rPr>
          <w:color w:val="auto"/>
          <w:highlight w:val="none"/>
        </w:rPr>
      </w:pPr>
      <w:r>
        <w:rPr>
          <w:color w:val="auto"/>
          <w:highlight w:val="none"/>
        </w:rPr>
        <w:t>注：上述（1）-（7）项为资格证明文件，未提交或提交不完整，或不满足磋商文件要求的将可能会被认定响应文件无效。其中是否符合《中华人民共和国政府采购法实施条例》和财库[2016]125号文件要求，是否联合体等证明材料无须提供，由采购代理机构或采购人根据磋商现场情况判定。</w:t>
      </w:r>
    </w:p>
    <w:p>
      <w:pPr>
        <w:pStyle w:val="19"/>
        <w:numPr>
          <w:ilvl w:val="1"/>
          <w:numId w:val="3"/>
        </w:numPr>
        <w:tabs>
          <w:tab w:val="left" w:pos="1373"/>
        </w:tabs>
        <w:spacing w:before="0" w:after="0" w:line="364" w:lineRule="auto"/>
        <w:ind w:left="283" w:right="275" w:firstLine="480"/>
        <w:jc w:val="both"/>
        <w:rPr>
          <w:b/>
          <w:color w:val="auto"/>
          <w:sz w:val="24"/>
          <w:highlight w:val="none"/>
        </w:rPr>
      </w:pPr>
      <w:bookmarkStart w:id="44" w:name="10.4 磋商供应商应仔细阅读磋商文件中的所有内容，按照磋商文件的相关要求，详细"/>
      <w:bookmarkEnd w:id="44"/>
      <w:bookmarkStart w:id="45" w:name="10.4 磋商供应商应仔细阅读磋商文件中的所有内容，按照磋商文件的相关要求，详细"/>
      <w:bookmarkEnd w:id="45"/>
      <w:r>
        <w:rPr>
          <w:rFonts w:ascii="宋体" w:hAnsi="宋体" w:eastAsia="宋体" w:cs="宋体"/>
          <w:b/>
          <w:bCs/>
          <w:color w:val="auto"/>
          <w:sz w:val="24"/>
          <w:szCs w:val="24"/>
          <w:highlight w:val="none"/>
          <w:lang w:val="zh-CN" w:eastAsia="zh-CN" w:bidi="zh-CN"/>
        </w:rPr>
        <w:t>磋商供应商应仔细阅读磋商文件中的所有内容，按照磋商文件的相关要求，详  细编制响应文件，并保证响应文件的正确性和</w:t>
      </w:r>
      <w:r>
        <w:rPr>
          <w:b/>
          <w:color w:val="auto"/>
          <w:sz w:val="24"/>
          <w:highlight w:val="none"/>
        </w:rPr>
        <w:t>真实性，磋商供应商提交的响应文件如与磋商文件技术、商务及合同条款的各项要求有偏离，应填写《技术、商务</w:t>
      </w:r>
      <w:r>
        <w:rPr>
          <w:b/>
          <w:color w:val="auto"/>
          <w:spacing w:val="4"/>
          <w:sz w:val="24"/>
          <w:highlight w:val="none"/>
        </w:rPr>
        <w:t>（</w:t>
      </w:r>
      <w:r>
        <w:rPr>
          <w:b/>
          <w:color w:val="auto"/>
          <w:spacing w:val="1"/>
          <w:sz w:val="24"/>
          <w:highlight w:val="none"/>
        </w:rPr>
        <w:t>或合同</w:t>
      </w:r>
      <w:r>
        <w:rPr>
          <w:b/>
          <w:color w:val="auto"/>
          <w:spacing w:val="4"/>
          <w:sz w:val="24"/>
          <w:highlight w:val="none"/>
        </w:rPr>
        <w:t>）</w:t>
      </w:r>
      <w:r>
        <w:rPr>
          <w:b/>
          <w:color w:val="auto"/>
          <w:spacing w:val="1"/>
          <w:sz w:val="24"/>
          <w:highlight w:val="none"/>
        </w:rPr>
        <w:t>条款偏离表》。</w:t>
      </w:r>
    </w:p>
    <w:p>
      <w:pPr>
        <w:pStyle w:val="19"/>
        <w:numPr>
          <w:ilvl w:val="1"/>
          <w:numId w:val="3"/>
        </w:numPr>
        <w:tabs>
          <w:tab w:val="left" w:pos="1368"/>
        </w:tabs>
        <w:spacing w:before="0" w:after="0" w:line="240" w:lineRule="auto"/>
        <w:ind w:left="1368" w:right="0" w:hanging="605"/>
        <w:jc w:val="both"/>
        <w:rPr>
          <w:b/>
          <w:color w:val="auto"/>
          <w:sz w:val="24"/>
          <w:highlight w:val="none"/>
        </w:rPr>
      </w:pPr>
      <w:bookmarkStart w:id="46" w:name="10.5 不按磋商文件要求提供的响应文件可能导致被拒绝。"/>
      <w:bookmarkEnd w:id="46"/>
      <w:bookmarkStart w:id="47" w:name="10.5 不按磋商文件要求提供的响应文件可能导致被拒绝。"/>
      <w:bookmarkEnd w:id="47"/>
      <w:r>
        <w:rPr>
          <w:b/>
          <w:color w:val="auto"/>
          <w:sz w:val="24"/>
          <w:highlight w:val="none"/>
        </w:rPr>
        <w:t>不按磋商文件要求提供的响应文件可能导致被拒绝。</w:t>
      </w:r>
    </w:p>
    <w:p>
      <w:pPr>
        <w:pStyle w:val="19"/>
        <w:numPr>
          <w:ilvl w:val="0"/>
          <w:numId w:val="3"/>
        </w:numPr>
        <w:tabs>
          <w:tab w:val="left" w:pos="768"/>
        </w:tabs>
        <w:spacing w:before="56" w:after="0" w:line="240" w:lineRule="auto"/>
        <w:ind w:left="768" w:right="0" w:hanging="485"/>
        <w:jc w:val="left"/>
        <w:rPr>
          <w:b/>
          <w:color w:val="auto"/>
          <w:sz w:val="24"/>
          <w:highlight w:val="none"/>
        </w:rPr>
      </w:pPr>
      <w:bookmarkStart w:id="48" w:name="11. 磋商保证金"/>
      <w:bookmarkEnd w:id="48"/>
      <w:bookmarkStart w:id="49" w:name="11. 磋商保证金"/>
      <w:bookmarkEnd w:id="49"/>
      <w:r>
        <w:rPr>
          <w:b/>
          <w:color w:val="auto"/>
          <w:sz w:val="24"/>
          <w:highlight w:val="none"/>
        </w:rPr>
        <w:t>磋商保证金</w:t>
      </w:r>
    </w:p>
    <w:p>
      <w:pPr>
        <w:pStyle w:val="3"/>
        <w:spacing w:before="158"/>
        <w:ind w:left="763"/>
        <w:rPr>
          <w:color w:val="auto"/>
          <w:highlight w:val="none"/>
        </w:rPr>
      </w:pPr>
      <w:bookmarkStart w:id="50" w:name="本项目不要求提交磋商保证金。"/>
      <w:bookmarkEnd w:id="50"/>
      <w:r>
        <w:rPr>
          <w:color w:val="auto"/>
          <w:highlight w:val="none"/>
        </w:rPr>
        <w:t>本项目不要求提交磋商保证金。</w:t>
      </w:r>
    </w:p>
    <w:p>
      <w:pPr>
        <w:pStyle w:val="9"/>
        <w:numPr>
          <w:ilvl w:val="0"/>
          <w:numId w:val="3"/>
        </w:numPr>
        <w:tabs>
          <w:tab w:val="left" w:pos="766"/>
        </w:tabs>
        <w:spacing w:before="160" w:after="0" w:line="240" w:lineRule="auto"/>
        <w:ind w:left="765" w:right="0" w:hanging="483"/>
        <w:jc w:val="left"/>
        <w:rPr>
          <w:color w:val="auto"/>
          <w:highlight w:val="none"/>
        </w:rPr>
      </w:pPr>
      <w:bookmarkStart w:id="51" w:name="12. 响应文件的修改与撤回"/>
      <w:bookmarkEnd w:id="51"/>
      <w:bookmarkStart w:id="52" w:name="12. 响应文件的修改与撤回"/>
      <w:bookmarkEnd w:id="52"/>
      <w:r>
        <w:rPr>
          <w:color w:val="auto"/>
          <w:highlight w:val="none"/>
        </w:rPr>
        <w:t>响应文件的修改与撤回</w:t>
      </w:r>
    </w:p>
    <w:p>
      <w:pPr>
        <w:pStyle w:val="19"/>
        <w:numPr>
          <w:ilvl w:val="1"/>
          <w:numId w:val="3"/>
        </w:numPr>
        <w:tabs>
          <w:tab w:val="left" w:pos="1371"/>
        </w:tabs>
        <w:spacing w:before="159" w:after="0" w:line="364" w:lineRule="auto"/>
        <w:ind w:left="283" w:right="311" w:firstLine="480"/>
        <w:jc w:val="left"/>
        <w:rPr>
          <w:color w:val="auto"/>
          <w:sz w:val="24"/>
          <w:highlight w:val="none"/>
        </w:rPr>
      </w:pPr>
      <w:r>
        <w:rPr>
          <w:color w:val="auto"/>
          <w:spacing w:val="3"/>
          <w:sz w:val="24"/>
          <w:highlight w:val="none"/>
        </w:rPr>
        <w:t>磋商供应商递交响应文件以后，在规定的响应文件递交截止时间之前，可以书面形式对响应文件进行补充、修改或撤回，并书面通知采购人、采购代理机构。</w:t>
      </w:r>
    </w:p>
    <w:p>
      <w:pPr>
        <w:pStyle w:val="19"/>
        <w:numPr>
          <w:ilvl w:val="1"/>
          <w:numId w:val="3"/>
        </w:numPr>
        <w:tabs>
          <w:tab w:val="left" w:pos="1371"/>
        </w:tabs>
        <w:spacing w:before="0" w:after="0" w:line="364" w:lineRule="auto"/>
        <w:ind w:left="283" w:right="311" w:firstLine="480"/>
        <w:jc w:val="left"/>
        <w:rPr>
          <w:color w:val="auto"/>
          <w:sz w:val="24"/>
          <w:highlight w:val="none"/>
        </w:rPr>
      </w:pPr>
      <w:r>
        <w:rPr>
          <w:color w:val="auto"/>
          <w:spacing w:val="3"/>
          <w:sz w:val="24"/>
          <w:highlight w:val="none"/>
        </w:rPr>
        <w:t>磋商供应商的补充、修改或撤回通知，应按本须知规定编制、密封、标志和递交，并注明“修改”或“撤回”字样。</w:t>
      </w:r>
    </w:p>
    <w:p>
      <w:pPr>
        <w:pStyle w:val="19"/>
        <w:numPr>
          <w:ilvl w:val="1"/>
          <w:numId w:val="3"/>
        </w:numPr>
        <w:tabs>
          <w:tab w:val="left" w:pos="1371"/>
        </w:tabs>
        <w:spacing w:before="0" w:after="0" w:line="362" w:lineRule="auto"/>
        <w:ind w:left="283" w:right="311" w:firstLine="480"/>
        <w:jc w:val="left"/>
        <w:rPr>
          <w:color w:val="auto"/>
          <w:sz w:val="24"/>
          <w:highlight w:val="none"/>
        </w:rPr>
      </w:pPr>
      <w:r>
        <w:rPr>
          <w:color w:val="auto"/>
          <w:spacing w:val="3"/>
          <w:sz w:val="24"/>
          <w:highlight w:val="none"/>
        </w:rPr>
        <w:t>补充、修改的内容作为响应文件的组成部分。补充、修改的内容与响应文件不一致的，以补充、修改的内容为准。</w:t>
      </w:r>
    </w:p>
    <w:p>
      <w:pPr>
        <w:pStyle w:val="9"/>
        <w:numPr>
          <w:ilvl w:val="0"/>
          <w:numId w:val="3"/>
        </w:numPr>
        <w:tabs>
          <w:tab w:val="left" w:pos="768"/>
        </w:tabs>
        <w:spacing w:before="2" w:after="0" w:line="240" w:lineRule="auto"/>
        <w:ind w:left="768" w:right="0" w:hanging="485"/>
        <w:jc w:val="left"/>
        <w:rPr>
          <w:color w:val="auto"/>
          <w:highlight w:val="none"/>
        </w:rPr>
      </w:pPr>
      <w:bookmarkStart w:id="53" w:name="13. 响应文件的有效期"/>
      <w:bookmarkEnd w:id="53"/>
      <w:bookmarkStart w:id="54" w:name="13. 响应文件的有效期"/>
      <w:bookmarkEnd w:id="54"/>
      <w:r>
        <w:rPr>
          <w:color w:val="auto"/>
          <w:highlight w:val="none"/>
        </w:rPr>
        <w:t>响应文件的有效期</w:t>
      </w:r>
    </w:p>
    <w:p>
      <w:pPr>
        <w:pStyle w:val="19"/>
        <w:numPr>
          <w:ilvl w:val="1"/>
          <w:numId w:val="3"/>
        </w:numPr>
        <w:tabs>
          <w:tab w:val="left" w:pos="1313"/>
        </w:tabs>
        <w:spacing w:before="161" w:after="0" w:line="362" w:lineRule="auto"/>
        <w:ind w:left="283" w:right="546" w:firstLine="480"/>
        <w:jc w:val="both"/>
        <w:rPr>
          <w:color w:val="auto"/>
          <w:sz w:val="24"/>
          <w:highlight w:val="none"/>
        </w:rPr>
      </w:pPr>
      <w:r>
        <w:rPr>
          <w:color w:val="auto"/>
          <w:spacing w:val="-1"/>
          <w:sz w:val="24"/>
          <w:highlight w:val="none"/>
        </w:rPr>
        <w:t xml:space="preserve">响应文件的有效期为前附表规定的有效期。不足有效期的视为非实质性响应， </w:t>
      </w:r>
      <w:r>
        <w:rPr>
          <w:color w:val="auto"/>
          <w:sz w:val="24"/>
          <w:highlight w:val="none"/>
        </w:rPr>
        <w:t>其磋商将被拒绝。</w:t>
      </w:r>
    </w:p>
    <w:p>
      <w:pPr>
        <w:pStyle w:val="19"/>
        <w:numPr>
          <w:ilvl w:val="1"/>
          <w:numId w:val="3"/>
        </w:numPr>
        <w:tabs>
          <w:tab w:val="left" w:pos="1313"/>
        </w:tabs>
        <w:spacing w:before="5" w:after="0" w:line="364" w:lineRule="auto"/>
        <w:ind w:left="283" w:right="546" w:firstLine="480"/>
        <w:jc w:val="both"/>
        <w:rPr>
          <w:color w:val="auto"/>
          <w:sz w:val="24"/>
          <w:highlight w:val="none"/>
        </w:rPr>
      </w:pPr>
      <w:r>
        <w:rPr>
          <w:color w:val="auto"/>
          <w:spacing w:val="-1"/>
          <w:sz w:val="24"/>
          <w:highlight w:val="none"/>
        </w:rPr>
        <w:t>在原定有效期满之前，如果出现特殊情况，采购人可以以书面形式向磋商供应</w:t>
      </w:r>
      <w:r>
        <w:rPr>
          <w:color w:val="auto"/>
          <w:sz w:val="24"/>
          <w:highlight w:val="none"/>
        </w:rPr>
        <w:t>商提出延长磋商有效期的要求，磋商供应商对此须以书面形式予以答复。磋商供应商可以拒绝这种要求而不被扣留磋商保证金，同意延长磋商有效期的磋商供应商需要相应延长磋商保证金的有效期。</w:t>
      </w:r>
    </w:p>
    <w:p>
      <w:pPr>
        <w:pStyle w:val="9"/>
        <w:numPr>
          <w:ilvl w:val="0"/>
          <w:numId w:val="3"/>
        </w:numPr>
        <w:tabs>
          <w:tab w:val="left" w:pos="768"/>
        </w:tabs>
        <w:spacing w:before="0" w:after="0" w:line="305" w:lineRule="exact"/>
        <w:ind w:left="768" w:right="0" w:hanging="485"/>
        <w:jc w:val="both"/>
        <w:rPr>
          <w:color w:val="auto"/>
          <w:highlight w:val="none"/>
        </w:rPr>
      </w:pPr>
      <w:bookmarkStart w:id="55" w:name="14. 响应文件的装订、签署、盖章及其它"/>
      <w:bookmarkEnd w:id="55"/>
      <w:bookmarkStart w:id="56" w:name="14. 响应文件的装订、签署、盖章及其它"/>
      <w:bookmarkEnd w:id="56"/>
      <w:r>
        <w:rPr>
          <w:color w:val="auto"/>
          <w:highlight w:val="none"/>
        </w:rPr>
        <w:t>响应文件的装订、签署、盖章及其它</w:t>
      </w:r>
    </w:p>
    <w:p>
      <w:pPr>
        <w:pStyle w:val="19"/>
        <w:numPr>
          <w:ilvl w:val="1"/>
          <w:numId w:val="3"/>
        </w:numPr>
        <w:tabs>
          <w:tab w:val="left" w:pos="1368"/>
        </w:tabs>
        <w:spacing w:before="160" w:after="0" w:line="240" w:lineRule="auto"/>
        <w:ind w:left="1368" w:right="0" w:hanging="605"/>
        <w:jc w:val="both"/>
        <w:rPr>
          <w:b/>
          <w:color w:val="auto"/>
          <w:sz w:val="24"/>
          <w:highlight w:val="none"/>
        </w:rPr>
      </w:pPr>
      <w:r>
        <w:rPr>
          <w:b/>
          <w:color w:val="auto"/>
          <w:sz w:val="24"/>
          <w:highlight w:val="none"/>
        </w:rPr>
        <w:t>响应文件的装订</w:t>
      </w:r>
    </w:p>
    <w:p>
      <w:pPr>
        <w:pStyle w:val="19"/>
        <w:numPr>
          <w:ilvl w:val="2"/>
          <w:numId w:val="3"/>
        </w:numPr>
        <w:tabs>
          <w:tab w:val="left" w:pos="1618"/>
        </w:tabs>
        <w:spacing w:before="158" w:after="0" w:line="364" w:lineRule="auto"/>
        <w:ind w:left="283" w:right="510" w:firstLine="480"/>
        <w:jc w:val="both"/>
        <w:rPr>
          <w:b/>
          <w:color w:val="auto"/>
          <w:sz w:val="24"/>
          <w:highlight w:val="none"/>
        </w:rPr>
      </w:pPr>
      <w:r>
        <w:rPr>
          <w:b/>
          <w:color w:val="auto"/>
          <w:spacing w:val="3"/>
          <w:w w:val="95"/>
          <w:sz w:val="24"/>
          <w:highlight w:val="none"/>
        </w:rPr>
        <w:t xml:space="preserve">响应文件分为报价文件、技术商务文件及资格证明文件等三部分，需分别  </w:t>
      </w:r>
      <w:r>
        <w:rPr>
          <w:b/>
          <w:color w:val="auto"/>
          <w:spacing w:val="3"/>
          <w:sz w:val="24"/>
          <w:highlight w:val="none"/>
        </w:rPr>
        <w:t>装订成册。</w:t>
      </w:r>
    </w:p>
    <w:p>
      <w:pPr>
        <w:pStyle w:val="19"/>
        <w:numPr>
          <w:ilvl w:val="2"/>
          <w:numId w:val="3"/>
        </w:numPr>
        <w:tabs>
          <w:tab w:val="left" w:pos="1618"/>
        </w:tabs>
        <w:spacing w:before="0" w:after="0" w:line="364" w:lineRule="auto"/>
        <w:ind w:left="283" w:right="511" w:firstLine="480"/>
        <w:jc w:val="both"/>
        <w:rPr>
          <w:b/>
          <w:color w:val="auto"/>
          <w:sz w:val="24"/>
          <w:highlight w:val="none"/>
        </w:rPr>
      </w:pPr>
      <w:r>
        <w:rPr>
          <w:b/>
          <w:color w:val="auto"/>
          <w:spacing w:val="6"/>
          <w:w w:val="95"/>
          <w:sz w:val="24"/>
          <w:highlight w:val="none"/>
        </w:rPr>
        <w:t xml:space="preserve">响应供应商须按前附表规定的份数装订响应文件。响应文件正副本份数不  </w:t>
      </w:r>
      <w:r>
        <w:rPr>
          <w:b/>
          <w:color w:val="auto"/>
          <w:spacing w:val="6"/>
          <w:sz w:val="24"/>
          <w:highlight w:val="none"/>
        </w:rPr>
        <w:t>足的，其响应无效。</w:t>
      </w:r>
    </w:p>
    <w:p>
      <w:pPr>
        <w:pStyle w:val="19"/>
        <w:numPr>
          <w:ilvl w:val="2"/>
          <w:numId w:val="3"/>
        </w:numPr>
        <w:tabs>
          <w:tab w:val="left" w:pos="1618"/>
        </w:tabs>
        <w:spacing w:before="0" w:after="0" w:line="364" w:lineRule="auto"/>
        <w:ind w:left="283" w:right="511" w:firstLine="480"/>
        <w:jc w:val="both"/>
        <w:rPr>
          <w:b/>
          <w:color w:val="auto"/>
          <w:sz w:val="24"/>
          <w:highlight w:val="none"/>
        </w:rPr>
      </w:pPr>
      <w:r>
        <w:rPr>
          <w:b/>
          <w:color w:val="auto"/>
          <w:spacing w:val="6"/>
          <w:w w:val="95"/>
          <w:sz w:val="24"/>
          <w:highlight w:val="none"/>
        </w:rPr>
        <w:t xml:space="preserve">响应文件装订必须采用如胶装等不可拆卸式装订，否则其响应无效。响应  </w:t>
      </w:r>
      <w:r>
        <w:rPr>
          <w:b/>
          <w:color w:val="auto"/>
          <w:sz w:val="24"/>
          <w:highlight w:val="none"/>
        </w:rPr>
        <w:t>文件不得采用活页装订方式</w:t>
      </w:r>
      <w:r>
        <w:rPr>
          <w:b/>
          <w:color w:val="auto"/>
          <w:spacing w:val="4"/>
          <w:sz w:val="24"/>
          <w:highlight w:val="none"/>
        </w:rPr>
        <w:t>（</w:t>
      </w:r>
      <w:r>
        <w:rPr>
          <w:b/>
          <w:color w:val="auto"/>
          <w:sz w:val="24"/>
          <w:highlight w:val="none"/>
        </w:rPr>
        <w:t>是指用卡条、抽杆夹、订书机等形式装订，使响应文件可以拆卸或者在翻动过程中易脱落的一种装订方式）。</w:t>
      </w:r>
    </w:p>
    <w:p>
      <w:pPr>
        <w:pStyle w:val="19"/>
        <w:numPr>
          <w:ilvl w:val="1"/>
          <w:numId w:val="3"/>
        </w:numPr>
        <w:tabs>
          <w:tab w:val="left" w:pos="1368"/>
        </w:tabs>
        <w:spacing w:before="0" w:after="0" w:line="307" w:lineRule="exact"/>
        <w:ind w:left="1368" w:right="0" w:hanging="605"/>
        <w:jc w:val="both"/>
        <w:rPr>
          <w:b/>
          <w:color w:val="auto"/>
          <w:sz w:val="24"/>
          <w:highlight w:val="none"/>
        </w:rPr>
      </w:pPr>
      <w:r>
        <w:rPr>
          <w:b/>
          <w:color w:val="auto"/>
          <w:sz w:val="24"/>
          <w:highlight w:val="none"/>
        </w:rPr>
        <w:t>响应文件的签署及盖章：按本磋商文件第五部分执行。</w:t>
      </w:r>
    </w:p>
    <w:p>
      <w:pPr>
        <w:pStyle w:val="19"/>
        <w:numPr>
          <w:ilvl w:val="1"/>
          <w:numId w:val="3"/>
        </w:numPr>
        <w:tabs>
          <w:tab w:val="left" w:pos="1364"/>
        </w:tabs>
        <w:spacing w:before="156" w:after="0" w:line="240" w:lineRule="auto"/>
        <w:ind w:left="1363" w:right="0" w:hanging="601"/>
        <w:jc w:val="left"/>
        <w:rPr>
          <w:color w:val="auto"/>
          <w:sz w:val="24"/>
          <w:highlight w:val="none"/>
        </w:rPr>
      </w:pPr>
      <w:r>
        <w:rPr>
          <w:color w:val="auto"/>
          <w:sz w:val="24"/>
          <w:highlight w:val="none"/>
        </w:rPr>
        <w:t>其它</w:t>
      </w:r>
    </w:p>
    <w:p>
      <w:pPr>
        <w:pStyle w:val="19"/>
        <w:numPr>
          <w:ilvl w:val="2"/>
          <w:numId w:val="3"/>
        </w:numPr>
        <w:tabs>
          <w:tab w:val="left" w:pos="1611"/>
        </w:tabs>
        <w:spacing w:before="160" w:after="0" w:line="364" w:lineRule="auto"/>
        <w:ind w:left="283" w:right="549" w:firstLine="480"/>
        <w:jc w:val="left"/>
        <w:rPr>
          <w:color w:val="auto"/>
          <w:sz w:val="24"/>
          <w:highlight w:val="none"/>
        </w:rPr>
      </w:pPr>
      <w:r>
        <w:rPr>
          <w:color w:val="auto"/>
          <w:spacing w:val="3"/>
          <w:sz w:val="24"/>
          <w:highlight w:val="none"/>
        </w:rPr>
        <w:t>响应文件封面上标明“正本”和“副本”。响应文件正本和副本如有不一致之处，以正本为准。</w:t>
      </w:r>
    </w:p>
    <w:p>
      <w:pPr>
        <w:pStyle w:val="19"/>
        <w:numPr>
          <w:ilvl w:val="2"/>
          <w:numId w:val="3"/>
        </w:numPr>
        <w:tabs>
          <w:tab w:val="left" w:pos="1620"/>
        </w:tabs>
        <w:spacing w:before="0" w:after="0" w:line="364" w:lineRule="auto"/>
        <w:ind w:left="283" w:right="549" w:firstLine="480"/>
        <w:jc w:val="left"/>
        <w:rPr>
          <w:color w:val="auto"/>
          <w:sz w:val="24"/>
          <w:highlight w:val="none"/>
        </w:rPr>
      </w:pPr>
      <w:r>
        <w:rPr>
          <w:color w:val="auto"/>
          <w:spacing w:val="13"/>
          <w:sz w:val="24"/>
          <w:highlight w:val="none"/>
        </w:rPr>
        <w:t>响应文件正本和副本均应使用不能擦去的墨水打印或书写，副本可以复印。</w:t>
      </w:r>
    </w:p>
    <w:p>
      <w:pPr>
        <w:pStyle w:val="19"/>
        <w:numPr>
          <w:ilvl w:val="2"/>
          <w:numId w:val="3"/>
        </w:numPr>
        <w:tabs>
          <w:tab w:val="left" w:pos="1604"/>
        </w:tabs>
        <w:spacing w:before="56" w:after="0" w:line="364" w:lineRule="auto"/>
        <w:ind w:left="283" w:right="414" w:firstLine="480"/>
        <w:jc w:val="left"/>
        <w:rPr>
          <w:color w:val="auto"/>
          <w:sz w:val="24"/>
          <w:highlight w:val="none"/>
        </w:rPr>
      </w:pPr>
      <w:r>
        <w:rPr>
          <w:color w:val="auto"/>
          <w:sz w:val="24"/>
          <w:highlight w:val="none"/>
        </w:rPr>
        <w:t>全套响应文件应无涂改和行间插字，除非这些删改是根据采购代理机构要求</w:t>
      </w:r>
      <w:r>
        <w:rPr>
          <w:color w:val="auto"/>
          <w:spacing w:val="-1"/>
          <w:sz w:val="24"/>
          <w:highlight w:val="none"/>
        </w:rPr>
        <w:t>进行，或者是磋商供应商认为必须修改的错误。所修改处应由法定代表人或其授权代表签</w:t>
      </w:r>
      <w:r>
        <w:rPr>
          <w:color w:val="auto"/>
          <w:sz w:val="24"/>
          <w:highlight w:val="none"/>
        </w:rPr>
        <w:t>字予以确认。否则其修改无效。</w:t>
      </w:r>
    </w:p>
    <w:p>
      <w:pPr>
        <w:pStyle w:val="19"/>
        <w:numPr>
          <w:ilvl w:val="2"/>
          <w:numId w:val="3"/>
        </w:numPr>
        <w:tabs>
          <w:tab w:val="left" w:pos="1604"/>
        </w:tabs>
        <w:spacing w:before="0" w:after="0" w:line="305" w:lineRule="exact"/>
        <w:ind w:left="1603" w:right="0" w:hanging="841"/>
        <w:jc w:val="left"/>
        <w:rPr>
          <w:color w:val="auto"/>
          <w:sz w:val="24"/>
          <w:highlight w:val="none"/>
        </w:rPr>
      </w:pPr>
      <w:r>
        <w:rPr>
          <w:color w:val="auto"/>
          <w:spacing w:val="-9"/>
          <w:sz w:val="24"/>
          <w:highlight w:val="none"/>
        </w:rPr>
        <w:t xml:space="preserve">响应文件采用 </w:t>
      </w:r>
      <w:r>
        <w:rPr>
          <w:color w:val="auto"/>
          <w:sz w:val="24"/>
          <w:highlight w:val="none"/>
        </w:rPr>
        <w:t>A4</w:t>
      </w:r>
      <w:r>
        <w:rPr>
          <w:color w:val="auto"/>
          <w:spacing w:val="-8"/>
          <w:sz w:val="24"/>
          <w:highlight w:val="none"/>
        </w:rPr>
        <w:t xml:space="preserve"> 幅面，按顺序统一编目编码装订成册。提倡双面打印。</w:t>
      </w: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5"/>
        <w:spacing w:before="173"/>
        <w:ind w:right="31"/>
        <w:rPr>
          <w:color w:val="auto"/>
          <w:highlight w:val="none"/>
        </w:rPr>
      </w:pPr>
      <w:bookmarkStart w:id="57" w:name="四、响应文件的提交"/>
      <w:bookmarkEnd w:id="57"/>
      <w:bookmarkStart w:id="58" w:name="_Toc6914"/>
      <w:r>
        <w:rPr>
          <w:color w:val="auto"/>
          <w:highlight w:val="none"/>
        </w:rPr>
        <w:t>四、响应文件的提交</w:t>
      </w:r>
      <w:bookmarkEnd w:id="58"/>
    </w:p>
    <w:p>
      <w:pPr>
        <w:pStyle w:val="9"/>
        <w:numPr>
          <w:ilvl w:val="0"/>
          <w:numId w:val="3"/>
        </w:numPr>
        <w:tabs>
          <w:tab w:val="left" w:pos="768"/>
        </w:tabs>
        <w:spacing w:before="210" w:after="0" w:line="240" w:lineRule="auto"/>
        <w:ind w:left="768" w:right="0" w:hanging="485"/>
        <w:jc w:val="left"/>
        <w:rPr>
          <w:color w:val="auto"/>
          <w:highlight w:val="none"/>
        </w:rPr>
      </w:pPr>
      <w:bookmarkStart w:id="59" w:name="15. 响应文件的密封与标志"/>
      <w:bookmarkEnd w:id="59"/>
      <w:bookmarkStart w:id="60" w:name="15. 响应文件的密封与标志"/>
      <w:bookmarkEnd w:id="60"/>
      <w:r>
        <w:rPr>
          <w:color w:val="auto"/>
          <w:highlight w:val="none"/>
        </w:rPr>
        <w:t>响应文件的密封与标志</w:t>
      </w:r>
    </w:p>
    <w:p>
      <w:pPr>
        <w:pStyle w:val="19"/>
        <w:numPr>
          <w:ilvl w:val="1"/>
          <w:numId w:val="3"/>
        </w:numPr>
        <w:tabs>
          <w:tab w:val="left" w:pos="1371"/>
        </w:tabs>
        <w:spacing w:before="161" w:after="0" w:line="362" w:lineRule="auto"/>
        <w:ind w:left="283" w:right="294" w:firstLine="480"/>
        <w:jc w:val="left"/>
        <w:rPr>
          <w:color w:val="auto"/>
          <w:sz w:val="24"/>
          <w:highlight w:val="none"/>
        </w:rPr>
      </w:pPr>
      <w:r>
        <w:rPr>
          <w:color w:val="auto"/>
          <w:spacing w:val="4"/>
          <w:w w:val="95"/>
          <w:sz w:val="24"/>
          <w:highlight w:val="none"/>
        </w:rPr>
        <w:t>响应文件分为正本和副本，包括</w:t>
      </w:r>
      <w:r>
        <w:rPr>
          <w:b/>
          <w:color w:val="auto"/>
          <w:spacing w:val="6"/>
          <w:w w:val="95"/>
          <w:sz w:val="24"/>
          <w:highlight w:val="none"/>
        </w:rPr>
        <w:t>报价文件、技术商务文件、资格证明文件</w:t>
      </w:r>
      <w:r>
        <w:rPr>
          <w:color w:val="auto"/>
          <w:spacing w:val="3"/>
          <w:w w:val="95"/>
          <w:sz w:val="24"/>
          <w:highlight w:val="none"/>
        </w:rPr>
        <w:t xml:space="preserve">三部  </w:t>
      </w:r>
      <w:r>
        <w:rPr>
          <w:color w:val="auto"/>
          <w:spacing w:val="3"/>
          <w:sz w:val="24"/>
          <w:highlight w:val="none"/>
        </w:rPr>
        <w:t>分，</w:t>
      </w:r>
      <w:r>
        <w:rPr>
          <w:b/>
          <w:color w:val="auto"/>
          <w:spacing w:val="3"/>
          <w:sz w:val="24"/>
          <w:highlight w:val="none"/>
        </w:rPr>
        <w:t>须分别装订并密封包装</w:t>
      </w:r>
      <w:r>
        <w:rPr>
          <w:color w:val="auto"/>
          <w:spacing w:val="3"/>
          <w:sz w:val="24"/>
          <w:highlight w:val="none"/>
        </w:rPr>
        <w:t>。响应文件包装封面物应写明项目名称、磋商供应商全称。</w:t>
      </w:r>
    </w:p>
    <w:p>
      <w:pPr>
        <w:pStyle w:val="9"/>
        <w:numPr>
          <w:ilvl w:val="1"/>
          <w:numId w:val="3"/>
        </w:numPr>
        <w:tabs>
          <w:tab w:val="left" w:pos="1364"/>
        </w:tabs>
        <w:spacing w:before="5" w:after="0" w:line="240" w:lineRule="auto"/>
        <w:ind w:left="1363" w:right="0" w:hanging="601"/>
        <w:jc w:val="left"/>
        <w:rPr>
          <w:color w:val="auto"/>
          <w:highlight w:val="none"/>
        </w:rPr>
      </w:pPr>
      <w:r>
        <w:rPr>
          <w:color w:val="auto"/>
          <w:highlight w:val="none"/>
        </w:rPr>
        <w:t>没有密封包装的响应文件，将被当场拒绝。</w:t>
      </w:r>
    </w:p>
    <w:p>
      <w:pPr>
        <w:pStyle w:val="19"/>
        <w:numPr>
          <w:ilvl w:val="1"/>
          <w:numId w:val="3"/>
        </w:numPr>
        <w:tabs>
          <w:tab w:val="left" w:pos="1371"/>
        </w:tabs>
        <w:spacing w:before="158" w:after="0" w:line="364" w:lineRule="auto"/>
        <w:ind w:left="283" w:right="311" w:firstLine="480"/>
        <w:jc w:val="left"/>
        <w:rPr>
          <w:color w:val="auto"/>
          <w:sz w:val="24"/>
          <w:highlight w:val="none"/>
        </w:rPr>
      </w:pPr>
      <w:r>
        <w:rPr>
          <w:color w:val="auto"/>
          <w:spacing w:val="4"/>
          <w:sz w:val="24"/>
          <w:highlight w:val="none"/>
        </w:rPr>
        <w:t>报价文件与电子文档</w:t>
      </w:r>
      <w:r>
        <w:rPr>
          <w:color w:val="auto"/>
          <w:spacing w:val="7"/>
          <w:sz w:val="24"/>
          <w:highlight w:val="none"/>
        </w:rPr>
        <w:t>（</w:t>
      </w:r>
      <w:r>
        <w:rPr>
          <w:color w:val="auto"/>
          <w:spacing w:val="4"/>
          <w:sz w:val="24"/>
          <w:highlight w:val="none"/>
        </w:rPr>
        <w:t>含磋商文件第五部分中相关表格</w:t>
      </w:r>
      <w:r>
        <w:rPr>
          <w:color w:val="auto"/>
          <w:spacing w:val="7"/>
          <w:sz w:val="24"/>
          <w:highlight w:val="none"/>
        </w:rPr>
        <w:t>）</w:t>
      </w:r>
      <w:r>
        <w:rPr>
          <w:color w:val="auto"/>
          <w:spacing w:val="3"/>
          <w:sz w:val="24"/>
          <w:highlight w:val="none"/>
        </w:rPr>
        <w:t>须单独密封，未单独密封的，在报价文件开启时发生报价泄露的，由磋商供应商自行承担相关责任。</w:t>
      </w:r>
    </w:p>
    <w:p>
      <w:pPr>
        <w:pStyle w:val="9"/>
        <w:numPr>
          <w:ilvl w:val="0"/>
          <w:numId w:val="3"/>
        </w:numPr>
        <w:tabs>
          <w:tab w:val="left" w:pos="768"/>
        </w:tabs>
        <w:spacing w:before="1" w:after="0" w:line="240" w:lineRule="auto"/>
        <w:ind w:left="768" w:right="0" w:hanging="485"/>
        <w:jc w:val="left"/>
        <w:rPr>
          <w:color w:val="auto"/>
          <w:highlight w:val="none"/>
        </w:rPr>
      </w:pPr>
      <w:bookmarkStart w:id="61" w:name="16. 响应文件提交的截止时间"/>
      <w:bookmarkEnd w:id="61"/>
      <w:bookmarkStart w:id="62" w:name="16. 响应文件提交的截止时间"/>
      <w:bookmarkEnd w:id="62"/>
      <w:r>
        <w:rPr>
          <w:color w:val="auto"/>
          <w:highlight w:val="none"/>
        </w:rPr>
        <w:t>响应文件提交的截止时间</w:t>
      </w:r>
    </w:p>
    <w:p>
      <w:pPr>
        <w:pStyle w:val="19"/>
        <w:numPr>
          <w:ilvl w:val="1"/>
          <w:numId w:val="3"/>
        </w:numPr>
        <w:tabs>
          <w:tab w:val="left" w:pos="1371"/>
        </w:tabs>
        <w:spacing w:before="158" w:after="0" w:line="362" w:lineRule="auto"/>
        <w:ind w:left="283" w:right="314" w:firstLine="480"/>
        <w:jc w:val="both"/>
        <w:rPr>
          <w:color w:val="auto"/>
          <w:sz w:val="24"/>
          <w:highlight w:val="none"/>
        </w:rPr>
      </w:pPr>
      <w:r>
        <w:rPr>
          <w:color w:val="auto"/>
          <w:spacing w:val="3"/>
          <w:sz w:val="24"/>
          <w:highlight w:val="none"/>
        </w:rPr>
        <w:t>磋商供应商应按前附表规定的时间、地点将响应文件递交给采购代理机构，采购代理机构将拒绝接受逾期送达的响应文件。</w:t>
      </w:r>
    </w:p>
    <w:p>
      <w:pPr>
        <w:pStyle w:val="19"/>
        <w:numPr>
          <w:ilvl w:val="1"/>
          <w:numId w:val="3"/>
        </w:numPr>
        <w:tabs>
          <w:tab w:val="left" w:pos="1371"/>
        </w:tabs>
        <w:spacing w:before="5" w:after="0" w:line="364" w:lineRule="auto"/>
        <w:ind w:left="283" w:right="311" w:firstLine="480"/>
        <w:jc w:val="both"/>
        <w:rPr>
          <w:color w:val="auto"/>
          <w:sz w:val="24"/>
          <w:highlight w:val="none"/>
        </w:rPr>
      </w:pPr>
      <w:r>
        <w:rPr>
          <w:color w:val="auto"/>
          <w:spacing w:val="3"/>
          <w:sz w:val="24"/>
          <w:highlight w:val="none"/>
        </w:rPr>
        <w:t>采购代理机构可以按本须知规定以补充通知的方式，酌情延长递交响应文件的</w:t>
      </w:r>
      <w:r>
        <w:rPr>
          <w:color w:val="auto"/>
          <w:sz w:val="24"/>
          <w:highlight w:val="none"/>
        </w:rPr>
        <w:t>截止日期。在上述情况下，采购代理机构与磋商供应商以前在响应文件递交截止期方面的全部权利、责任和义务，将适用于延长至新的响应文件递交截止期。</w:t>
      </w:r>
    </w:p>
    <w:p>
      <w:pPr>
        <w:pStyle w:val="19"/>
        <w:numPr>
          <w:ilvl w:val="0"/>
          <w:numId w:val="3"/>
        </w:numPr>
        <w:tabs>
          <w:tab w:val="left" w:pos="764"/>
        </w:tabs>
        <w:spacing w:before="0" w:after="0" w:line="307" w:lineRule="exact"/>
        <w:ind w:left="763" w:right="0" w:hanging="481"/>
        <w:jc w:val="both"/>
        <w:rPr>
          <w:color w:val="auto"/>
          <w:sz w:val="24"/>
          <w:highlight w:val="none"/>
        </w:rPr>
      </w:pPr>
      <w:bookmarkStart w:id="63" w:name="17. 响应文件的拒收"/>
      <w:bookmarkEnd w:id="63"/>
      <w:bookmarkStart w:id="64" w:name="17. 响应文件的拒收"/>
      <w:bookmarkEnd w:id="64"/>
      <w:r>
        <w:rPr>
          <w:color w:val="auto"/>
          <w:sz w:val="24"/>
          <w:highlight w:val="none"/>
        </w:rPr>
        <w:t>响应文件的拒收</w:t>
      </w:r>
    </w:p>
    <w:p>
      <w:pPr>
        <w:pStyle w:val="9"/>
        <w:numPr>
          <w:ilvl w:val="1"/>
          <w:numId w:val="3"/>
        </w:numPr>
        <w:tabs>
          <w:tab w:val="left" w:pos="1368"/>
        </w:tabs>
        <w:spacing w:before="158" w:after="0" w:line="240" w:lineRule="auto"/>
        <w:ind w:left="1368" w:right="0" w:hanging="605"/>
        <w:jc w:val="left"/>
        <w:rPr>
          <w:color w:val="auto"/>
          <w:highlight w:val="none"/>
        </w:rPr>
      </w:pPr>
      <w:r>
        <w:rPr>
          <w:color w:val="auto"/>
          <w:highlight w:val="none"/>
        </w:rPr>
        <w:t>采购代理机构将拒绝并退回未密封包装的响应文件；</w:t>
      </w:r>
    </w:p>
    <w:p>
      <w:pPr>
        <w:pStyle w:val="19"/>
        <w:numPr>
          <w:ilvl w:val="1"/>
          <w:numId w:val="3"/>
        </w:numPr>
        <w:tabs>
          <w:tab w:val="left" w:pos="1368"/>
        </w:tabs>
        <w:spacing w:before="160" w:after="0" w:line="240" w:lineRule="auto"/>
        <w:ind w:left="1368" w:right="0" w:hanging="605"/>
        <w:jc w:val="left"/>
        <w:rPr>
          <w:b/>
          <w:color w:val="auto"/>
          <w:sz w:val="24"/>
          <w:highlight w:val="none"/>
        </w:rPr>
      </w:pPr>
      <w:r>
        <w:rPr>
          <w:b/>
          <w:color w:val="auto"/>
          <w:sz w:val="24"/>
          <w:highlight w:val="none"/>
        </w:rPr>
        <w:t>采购代理机构将拒绝并原封退回逾期递交的的任何响应文件。</w:t>
      </w:r>
    </w:p>
    <w:p>
      <w:pPr>
        <w:pStyle w:val="19"/>
        <w:numPr>
          <w:ilvl w:val="1"/>
          <w:numId w:val="3"/>
        </w:numPr>
        <w:tabs>
          <w:tab w:val="left" w:pos="1368"/>
        </w:tabs>
        <w:spacing w:before="159" w:after="0" w:line="240" w:lineRule="auto"/>
        <w:ind w:left="1368" w:right="0" w:hanging="605"/>
        <w:jc w:val="left"/>
        <w:rPr>
          <w:b/>
          <w:color w:val="auto"/>
          <w:sz w:val="24"/>
          <w:highlight w:val="none"/>
        </w:rPr>
      </w:pPr>
      <w:r>
        <w:rPr>
          <w:b/>
          <w:color w:val="auto"/>
          <w:sz w:val="24"/>
          <w:highlight w:val="none"/>
        </w:rPr>
        <w:t>采购代理机构将拒绝接受非报名供应商的响应文件。</w:t>
      </w:r>
    </w:p>
    <w:p>
      <w:pPr>
        <w:pStyle w:val="3"/>
        <w:ind w:left="0"/>
        <w:rPr>
          <w:b/>
          <w:color w:val="auto"/>
          <w:highlight w:val="none"/>
        </w:rPr>
      </w:pPr>
    </w:p>
    <w:p>
      <w:pPr>
        <w:pStyle w:val="3"/>
        <w:spacing w:before="12"/>
        <w:ind w:left="0"/>
        <w:rPr>
          <w:b/>
          <w:color w:val="auto"/>
          <w:highlight w:val="none"/>
        </w:rPr>
      </w:pPr>
    </w:p>
    <w:p>
      <w:pPr>
        <w:spacing w:before="0"/>
        <w:ind w:left="0" w:right="31" w:firstLine="0"/>
        <w:jc w:val="center"/>
        <w:outlineLvl w:val="1"/>
        <w:rPr>
          <w:b/>
          <w:color w:val="auto"/>
          <w:sz w:val="32"/>
          <w:highlight w:val="none"/>
        </w:rPr>
      </w:pPr>
      <w:bookmarkStart w:id="65" w:name="五、响应文件的开启"/>
      <w:bookmarkEnd w:id="65"/>
      <w:bookmarkStart w:id="66" w:name="_Toc12373"/>
      <w:r>
        <w:rPr>
          <w:b/>
          <w:color w:val="auto"/>
          <w:sz w:val="32"/>
          <w:highlight w:val="none"/>
        </w:rPr>
        <w:t>五、响应文件的开启</w:t>
      </w:r>
      <w:bookmarkEnd w:id="66"/>
    </w:p>
    <w:p>
      <w:pPr>
        <w:pStyle w:val="19"/>
        <w:numPr>
          <w:ilvl w:val="0"/>
          <w:numId w:val="3"/>
        </w:numPr>
        <w:tabs>
          <w:tab w:val="left" w:pos="768"/>
        </w:tabs>
        <w:spacing w:before="213" w:after="0" w:line="240" w:lineRule="auto"/>
        <w:ind w:left="768" w:right="0" w:hanging="485"/>
        <w:jc w:val="left"/>
        <w:rPr>
          <w:b/>
          <w:color w:val="auto"/>
          <w:sz w:val="24"/>
          <w:highlight w:val="none"/>
        </w:rPr>
      </w:pPr>
      <w:bookmarkStart w:id="67" w:name="18. 响应文件的开启"/>
      <w:bookmarkEnd w:id="67"/>
      <w:bookmarkStart w:id="68" w:name="18. 响应文件的开启"/>
      <w:bookmarkEnd w:id="68"/>
      <w:r>
        <w:rPr>
          <w:b/>
          <w:color w:val="auto"/>
          <w:sz w:val="24"/>
          <w:highlight w:val="none"/>
        </w:rPr>
        <w:t>响应文件的开启</w:t>
      </w:r>
    </w:p>
    <w:p>
      <w:pPr>
        <w:pStyle w:val="3"/>
        <w:spacing w:before="158" w:line="364" w:lineRule="auto"/>
        <w:ind w:right="311" w:firstLine="480"/>
        <w:rPr>
          <w:color w:val="auto"/>
          <w:highlight w:val="none"/>
        </w:rPr>
      </w:pPr>
      <w:r>
        <w:rPr>
          <w:color w:val="auto"/>
          <w:highlight w:val="none"/>
        </w:rPr>
        <w:t>采购代理机构将按照采购公告规定的时间、地点组织响应文件的开启。具体按以下程序进行。</w:t>
      </w:r>
    </w:p>
    <w:p>
      <w:pPr>
        <w:pStyle w:val="19"/>
        <w:numPr>
          <w:ilvl w:val="1"/>
          <w:numId w:val="3"/>
        </w:numPr>
        <w:tabs>
          <w:tab w:val="left" w:pos="1371"/>
        </w:tabs>
        <w:spacing w:before="0" w:after="0" w:line="364" w:lineRule="auto"/>
        <w:ind w:left="283" w:right="306" w:firstLine="480"/>
        <w:jc w:val="left"/>
        <w:rPr>
          <w:b/>
          <w:color w:val="auto"/>
          <w:sz w:val="24"/>
          <w:highlight w:val="none"/>
        </w:rPr>
      </w:pPr>
      <w:r>
        <w:rPr>
          <w:color w:val="auto"/>
          <w:spacing w:val="3"/>
          <w:sz w:val="24"/>
          <w:highlight w:val="none"/>
        </w:rPr>
        <w:t>采购代理机构将核验出席活动现场的各磋商供应商法定代表人或其授权代表及</w:t>
      </w:r>
      <w:r>
        <w:rPr>
          <w:color w:val="auto"/>
          <w:sz w:val="24"/>
          <w:highlight w:val="none"/>
        </w:rPr>
        <w:t>相关单位人员身份，并组织其分别登记、签到，无关人员不得进入现场。</w:t>
      </w:r>
      <w:r>
        <w:rPr>
          <w:b/>
          <w:color w:val="auto"/>
          <w:sz w:val="24"/>
          <w:highlight w:val="none"/>
        </w:rPr>
        <w:t>各磋商供应商法</w:t>
      </w:r>
    </w:p>
    <w:p>
      <w:pPr>
        <w:spacing w:after="0" w:line="364" w:lineRule="auto"/>
        <w:jc w:val="left"/>
        <w:rPr>
          <w:color w:val="auto"/>
          <w:sz w:val="24"/>
          <w:highlight w:val="none"/>
        </w:rPr>
        <w:sectPr>
          <w:footerReference r:id="rId9" w:type="default"/>
          <w:pgSz w:w="11900" w:h="16840"/>
          <w:pgMar w:top="1080" w:right="820" w:bottom="800" w:left="1020" w:header="0" w:footer="609" w:gutter="0"/>
        </w:sectPr>
      </w:pPr>
    </w:p>
    <w:p>
      <w:pPr>
        <w:spacing w:before="56" w:line="364" w:lineRule="auto"/>
        <w:ind w:left="283" w:right="278" w:firstLine="0"/>
        <w:jc w:val="both"/>
        <w:rPr>
          <w:color w:val="auto"/>
          <w:sz w:val="24"/>
          <w:highlight w:val="none"/>
        </w:rPr>
      </w:pPr>
      <w:r>
        <w:rPr>
          <w:b/>
          <w:color w:val="auto"/>
          <w:sz w:val="24"/>
          <w:highlight w:val="none"/>
        </w:rPr>
        <w:t>定代表人或其授权代表应准时参加</w:t>
      </w:r>
      <w:r>
        <w:rPr>
          <w:color w:val="auto"/>
          <w:sz w:val="24"/>
          <w:highlight w:val="none"/>
        </w:rPr>
        <w:t>，</w:t>
      </w:r>
      <w:r>
        <w:rPr>
          <w:b/>
          <w:color w:val="auto"/>
          <w:sz w:val="24"/>
          <w:highlight w:val="none"/>
        </w:rPr>
        <w:t>携带本人有效证件原件，响应文件中按要求提供法定代表人授权书。</w:t>
      </w:r>
      <w:r>
        <w:rPr>
          <w:color w:val="auto"/>
          <w:sz w:val="24"/>
          <w:highlight w:val="none"/>
        </w:rPr>
        <w:t>磋商供应商如不派代表参加的，事后不得对采购相关人员、磋商过程和成交结果提出异议。</w:t>
      </w:r>
    </w:p>
    <w:p>
      <w:pPr>
        <w:pStyle w:val="19"/>
        <w:numPr>
          <w:ilvl w:val="1"/>
          <w:numId w:val="3"/>
        </w:numPr>
        <w:tabs>
          <w:tab w:val="left" w:pos="1371"/>
        </w:tabs>
        <w:spacing w:before="0" w:after="0" w:line="364" w:lineRule="auto"/>
        <w:ind w:left="283" w:right="311" w:firstLine="480"/>
        <w:jc w:val="both"/>
        <w:rPr>
          <w:b/>
          <w:color w:val="auto"/>
          <w:sz w:val="24"/>
          <w:highlight w:val="none"/>
        </w:rPr>
      </w:pPr>
      <w:r>
        <w:rPr>
          <w:color w:val="auto"/>
          <w:spacing w:val="3"/>
          <w:sz w:val="24"/>
          <w:highlight w:val="none"/>
        </w:rPr>
        <w:t>采购代理机构接收响应文件并登记，各磋商供应商法定代表人或其授权代表对响应文件的递交记录情况进行签字确认。</w:t>
      </w:r>
      <w:r>
        <w:rPr>
          <w:b/>
          <w:color w:val="auto"/>
          <w:spacing w:val="3"/>
          <w:sz w:val="24"/>
          <w:highlight w:val="none"/>
        </w:rPr>
        <w:t>没有密封包装的响应文件，将被当场拒绝。</w:t>
      </w:r>
    </w:p>
    <w:p>
      <w:pPr>
        <w:pStyle w:val="19"/>
        <w:numPr>
          <w:ilvl w:val="1"/>
          <w:numId w:val="3"/>
        </w:numPr>
        <w:tabs>
          <w:tab w:val="left" w:pos="1371"/>
        </w:tabs>
        <w:spacing w:before="0" w:after="0" w:line="364" w:lineRule="auto"/>
        <w:ind w:left="283" w:right="315" w:firstLine="480"/>
        <w:jc w:val="both"/>
        <w:rPr>
          <w:b/>
          <w:color w:val="auto"/>
          <w:sz w:val="24"/>
          <w:highlight w:val="none"/>
        </w:rPr>
      </w:pPr>
      <w:r>
        <w:rPr>
          <w:color w:val="auto"/>
          <w:spacing w:val="3"/>
          <w:sz w:val="24"/>
          <w:highlight w:val="none"/>
        </w:rPr>
        <w:t>采购代理机构介绍现场的人员情况，宣读递交响应文件的磋商供应商名单、现</w:t>
      </w:r>
      <w:r>
        <w:rPr>
          <w:color w:val="auto"/>
          <w:sz w:val="24"/>
          <w:highlight w:val="none"/>
        </w:rPr>
        <w:t>场纪律、应当回避的情形等注意事项，组织各磋商供应商法定代表人或其授权代表签署不存在影响公平竞争的</w:t>
      </w:r>
      <w:r>
        <w:rPr>
          <w:b/>
          <w:color w:val="auto"/>
          <w:sz w:val="24"/>
          <w:highlight w:val="none"/>
        </w:rPr>
        <w:t>《政府采购活动现场确认声明书》。</w:t>
      </w:r>
    </w:p>
    <w:p>
      <w:pPr>
        <w:pStyle w:val="19"/>
        <w:numPr>
          <w:ilvl w:val="1"/>
          <w:numId w:val="3"/>
        </w:numPr>
        <w:tabs>
          <w:tab w:val="left" w:pos="1371"/>
        </w:tabs>
        <w:spacing w:before="0" w:after="0" w:line="364" w:lineRule="auto"/>
        <w:ind w:left="283" w:right="314" w:firstLine="480"/>
        <w:jc w:val="both"/>
        <w:rPr>
          <w:color w:val="auto"/>
          <w:sz w:val="24"/>
          <w:highlight w:val="none"/>
        </w:rPr>
      </w:pPr>
      <w:r>
        <w:rPr>
          <w:color w:val="auto"/>
          <w:spacing w:val="3"/>
          <w:sz w:val="24"/>
          <w:highlight w:val="none"/>
        </w:rPr>
        <w:t>根据磋商文件对磋商保证金的要求，对磋商供应商磋商保证金缴纳情况进行查验、核实</w:t>
      </w:r>
      <w:r>
        <w:rPr>
          <w:color w:val="auto"/>
          <w:spacing w:val="4"/>
          <w:sz w:val="24"/>
          <w:highlight w:val="none"/>
        </w:rPr>
        <w:t>（</w:t>
      </w:r>
      <w:r>
        <w:rPr>
          <w:color w:val="auto"/>
          <w:sz w:val="24"/>
          <w:highlight w:val="none"/>
        </w:rPr>
        <w:t>磋商保证金缴款凭证复印件是响应文件的组成部分时，可在响应文件拆封后查验、核实），提请磋商供应商或者其推选的代表查验响应文件密封情况。</w:t>
      </w:r>
    </w:p>
    <w:p>
      <w:pPr>
        <w:pStyle w:val="19"/>
        <w:numPr>
          <w:ilvl w:val="1"/>
          <w:numId w:val="3"/>
        </w:numPr>
        <w:tabs>
          <w:tab w:val="left" w:pos="1371"/>
        </w:tabs>
        <w:spacing w:before="0" w:after="0" w:line="364" w:lineRule="auto"/>
        <w:ind w:left="283" w:right="314" w:firstLine="480"/>
        <w:jc w:val="both"/>
        <w:rPr>
          <w:color w:val="auto"/>
          <w:sz w:val="24"/>
          <w:highlight w:val="none"/>
        </w:rPr>
      </w:pPr>
      <w:r>
        <w:rPr>
          <w:color w:val="auto"/>
          <w:spacing w:val="4"/>
          <w:sz w:val="24"/>
          <w:highlight w:val="none"/>
        </w:rPr>
        <w:t>开启时，按磋商供应商提交响应文件的登记顺序当众拆封、清点响应文件（</w:t>
      </w:r>
      <w:r>
        <w:rPr>
          <w:color w:val="auto"/>
          <w:sz w:val="24"/>
          <w:highlight w:val="none"/>
        </w:rPr>
        <w:t>包括正本、副本）数量，拆封后的技术商务文件和资格证明文件由采购代理机构送至评审地点，各磋商供应商法定代表人或其授权代表等候采购代理机构拆封报价文件。</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技术和商务响应文件符合性审查及资格性审查结束后，采购代理机构宣布综合评审无效磋商供应商名单及理由，无效磋商供应商可收回未拆封的报价文件并签字确认；</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拆封有效磋商供应商的初次报价文件，按磋商供应商提交响应文件的登记顺序</w:t>
      </w:r>
      <w:r>
        <w:rPr>
          <w:color w:val="auto"/>
          <w:sz w:val="24"/>
          <w:highlight w:val="none"/>
        </w:rPr>
        <w:t>当众拆封、清点报价文件（包括正本、副本）数量。采购代理机构将报价文件送至磋商地点，由磋商小组对报价的合理性、准确性、有效性等进行审查核实。经磋商小组评审后， 采购代理机构宣布报价评审无效的磋商名单和理由，有效磋商供应商进入磋商程序。</w:t>
      </w:r>
    </w:p>
    <w:p>
      <w:pPr>
        <w:pStyle w:val="19"/>
        <w:numPr>
          <w:ilvl w:val="1"/>
          <w:numId w:val="3"/>
        </w:numPr>
        <w:tabs>
          <w:tab w:val="left" w:pos="1373"/>
        </w:tabs>
        <w:spacing w:before="0" w:after="0" w:line="364" w:lineRule="auto"/>
        <w:ind w:left="283" w:right="278" w:firstLine="480"/>
        <w:jc w:val="both"/>
        <w:rPr>
          <w:color w:val="auto"/>
          <w:sz w:val="24"/>
          <w:highlight w:val="none"/>
        </w:rPr>
      </w:pPr>
      <w:r>
        <w:rPr>
          <w:b/>
          <w:color w:val="auto"/>
          <w:spacing w:val="6"/>
          <w:w w:val="95"/>
          <w:sz w:val="24"/>
          <w:highlight w:val="none"/>
        </w:rPr>
        <w:t xml:space="preserve">磋商结束，各磋商供应商提交最后报价后，磋商小组对提交最后报价的供应商  </w:t>
      </w:r>
      <w:r>
        <w:rPr>
          <w:b/>
          <w:color w:val="auto"/>
          <w:sz w:val="24"/>
          <w:highlight w:val="none"/>
        </w:rPr>
        <w:t>的响应文件和最后报价进行综合评分。</w:t>
      </w:r>
      <w:r>
        <w:rPr>
          <w:color w:val="auto"/>
          <w:sz w:val="24"/>
          <w:highlight w:val="none"/>
        </w:rPr>
        <w:t>综合评审结束后，采购代理机构公布经综合评审符合采购需求的磋商供应商名单及其商务和技术得分之和。</w:t>
      </w:r>
    </w:p>
    <w:p>
      <w:pPr>
        <w:pStyle w:val="19"/>
        <w:numPr>
          <w:ilvl w:val="1"/>
          <w:numId w:val="3"/>
        </w:numPr>
        <w:tabs>
          <w:tab w:val="left" w:pos="1371"/>
        </w:tabs>
        <w:spacing w:before="0" w:after="0" w:line="364" w:lineRule="auto"/>
        <w:ind w:left="283" w:right="314" w:firstLine="480"/>
        <w:jc w:val="both"/>
        <w:rPr>
          <w:color w:val="auto"/>
          <w:sz w:val="24"/>
          <w:highlight w:val="none"/>
        </w:rPr>
      </w:pPr>
      <w:r>
        <w:rPr>
          <w:color w:val="auto"/>
          <w:spacing w:val="3"/>
          <w:sz w:val="24"/>
          <w:highlight w:val="none"/>
        </w:rPr>
        <w:t>采购代理机构拆封磋商供应商的最后报价文件，宣读最后报价有关内容，同时</w:t>
      </w:r>
      <w:r>
        <w:rPr>
          <w:color w:val="auto"/>
          <w:sz w:val="24"/>
          <w:highlight w:val="none"/>
        </w:rPr>
        <w:t>当场制作并打印报价记录表，由各磋商供应商法定代表人或其授权代表在报价记录表上签字确认（不予确认的应说明理由，否则视为无异议）。宣读结束后，采购代理机构将报价文件及报价记录表送至磋商地点，由磋商小组对报价的合理性、准确性、有效性等进行审查核实。</w:t>
      </w:r>
    </w:p>
    <w:p>
      <w:pPr>
        <w:pStyle w:val="19"/>
        <w:numPr>
          <w:ilvl w:val="1"/>
          <w:numId w:val="3"/>
        </w:numPr>
        <w:tabs>
          <w:tab w:val="left" w:pos="1488"/>
        </w:tabs>
        <w:spacing w:before="0" w:after="0" w:line="362" w:lineRule="auto"/>
        <w:ind w:left="283" w:right="311" w:firstLine="480"/>
        <w:jc w:val="both"/>
        <w:rPr>
          <w:color w:val="auto"/>
          <w:sz w:val="24"/>
          <w:highlight w:val="none"/>
        </w:rPr>
      </w:pPr>
      <w:r>
        <w:rPr>
          <w:color w:val="auto"/>
          <w:sz w:val="24"/>
          <w:highlight w:val="none"/>
        </w:rPr>
        <w:t>磋商评审结束后，采购代理机构公布成交候选人名单，及采购人最终确定成交候选供应商名单的时间和公告方式等。</w:t>
      </w:r>
    </w:p>
    <w:p>
      <w:pPr>
        <w:spacing w:after="0" w:line="362" w:lineRule="auto"/>
        <w:jc w:val="both"/>
        <w:rPr>
          <w:color w:val="auto"/>
          <w:sz w:val="24"/>
          <w:highlight w:val="none"/>
        </w:rPr>
        <w:sectPr>
          <w:pgSz w:w="11900" w:h="16840"/>
          <w:pgMar w:top="1080" w:right="820" w:bottom="800" w:left="1020" w:header="0" w:footer="609" w:gutter="0"/>
        </w:sectPr>
      </w:pPr>
    </w:p>
    <w:p>
      <w:pPr>
        <w:pStyle w:val="5"/>
        <w:rPr>
          <w:color w:val="auto"/>
          <w:highlight w:val="none"/>
        </w:rPr>
      </w:pPr>
      <w:bookmarkStart w:id="69" w:name="六、磋商"/>
      <w:bookmarkEnd w:id="69"/>
      <w:bookmarkStart w:id="70" w:name="_Toc26436"/>
      <w:r>
        <w:rPr>
          <w:color w:val="auto"/>
          <w:highlight w:val="none"/>
        </w:rPr>
        <w:t>六、磋商</w:t>
      </w:r>
      <w:bookmarkEnd w:id="70"/>
    </w:p>
    <w:p>
      <w:pPr>
        <w:pStyle w:val="9"/>
        <w:numPr>
          <w:ilvl w:val="0"/>
          <w:numId w:val="3"/>
        </w:numPr>
        <w:tabs>
          <w:tab w:val="left" w:pos="766"/>
        </w:tabs>
        <w:spacing w:before="210" w:after="0" w:line="240" w:lineRule="auto"/>
        <w:ind w:left="765" w:right="0" w:hanging="483"/>
        <w:jc w:val="left"/>
        <w:rPr>
          <w:color w:val="auto"/>
          <w:highlight w:val="none"/>
        </w:rPr>
      </w:pPr>
      <w:bookmarkStart w:id="71" w:name="19. 磋商原则"/>
      <w:bookmarkEnd w:id="71"/>
      <w:bookmarkStart w:id="72" w:name="19. 磋商原则"/>
      <w:bookmarkEnd w:id="72"/>
      <w:r>
        <w:rPr>
          <w:color w:val="auto"/>
          <w:highlight w:val="none"/>
        </w:rPr>
        <w:t>磋商原则</w:t>
      </w:r>
    </w:p>
    <w:p>
      <w:pPr>
        <w:pStyle w:val="19"/>
        <w:numPr>
          <w:ilvl w:val="1"/>
          <w:numId w:val="3"/>
        </w:numPr>
        <w:tabs>
          <w:tab w:val="left" w:pos="1371"/>
        </w:tabs>
        <w:spacing w:before="160" w:after="0" w:line="362" w:lineRule="auto"/>
        <w:ind w:left="283" w:right="311" w:firstLine="480"/>
        <w:jc w:val="left"/>
        <w:rPr>
          <w:color w:val="auto"/>
          <w:sz w:val="24"/>
          <w:highlight w:val="none"/>
        </w:rPr>
      </w:pPr>
      <w:r>
        <w:rPr>
          <w:color w:val="auto"/>
          <w:spacing w:val="3"/>
          <w:sz w:val="24"/>
          <w:highlight w:val="none"/>
        </w:rPr>
        <w:t>磋商小组成员应当按照客观、公正、审慎的原则，根据磋商文件规定的评审程序、评审方法和评审标准进行独立评审。</w:t>
      </w:r>
    </w:p>
    <w:p>
      <w:pPr>
        <w:pStyle w:val="19"/>
        <w:numPr>
          <w:ilvl w:val="1"/>
          <w:numId w:val="3"/>
        </w:numPr>
        <w:tabs>
          <w:tab w:val="left" w:pos="1371"/>
        </w:tabs>
        <w:spacing w:before="5" w:after="0" w:line="362" w:lineRule="auto"/>
        <w:ind w:left="283" w:right="311" w:firstLine="480"/>
        <w:jc w:val="left"/>
        <w:rPr>
          <w:color w:val="auto"/>
          <w:sz w:val="24"/>
          <w:highlight w:val="none"/>
        </w:rPr>
      </w:pPr>
      <w:r>
        <w:rPr>
          <w:color w:val="auto"/>
          <w:spacing w:val="3"/>
          <w:sz w:val="24"/>
          <w:highlight w:val="none"/>
        </w:rPr>
        <w:t>客观、公正的对待所有供应商，对所有供应商均采用相同的程序和标准，以磋商评审程序为依据。</w:t>
      </w:r>
    </w:p>
    <w:p>
      <w:pPr>
        <w:pStyle w:val="19"/>
        <w:numPr>
          <w:ilvl w:val="1"/>
          <w:numId w:val="3"/>
        </w:numPr>
        <w:tabs>
          <w:tab w:val="left" w:pos="1371"/>
        </w:tabs>
        <w:spacing w:before="5" w:after="0" w:line="362" w:lineRule="auto"/>
        <w:ind w:left="283" w:right="311" w:firstLine="480"/>
        <w:jc w:val="left"/>
        <w:rPr>
          <w:color w:val="auto"/>
          <w:sz w:val="24"/>
          <w:highlight w:val="none"/>
        </w:rPr>
      </w:pPr>
      <w:r>
        <w:rPr>
          <w:color w:val="auto"/>
          <w:spacing w:val="3"/>
          <w:sz w:val="24"/>
          <w:highlight w:val="none"/>
        </w:rPr>
        <w:t>在磋商期间，磋商供应商不得向磋商小组成员询问与其无关的磋商情况，不得进行旨在影响磋商结果的活动，否则将取消其磋商资格。</w:t>
      </w:r>
    </w:p>
    <w:p>
      <w:pPr>
        <w:pStyle w:val="19"/>
        <w:numPr>
          <w:ilvl w:val="1"/>
          <w:numId w:val="3"/>
        </w:numPr>
        <w:tabs>
          <w:tab w:val="left" w:pos="1371"/>
        </w:tabs>
        <w:spacing w:before="5" w:after="0" w:line="362" w:lineRule="auto"/>
        <w:ind w:left="283" w:right="315" w:firstLine="480"/>
        <w:jc w:val="left"/>
        <w:rPr>
          <w:color w:val="auto"/>
          <w:sz w:val="24"/>
          <w:highlight w:val="none"/>
        </w:rPr>
      </w:pPr>
      <w:r>
        <w:rPr>
          <w:color w:val="auto"/>
          <w:spacing w:val="3"/>
          <w:sz w:val="24"/>
          <w:highlight w:val="none"/>
        </w:rPr>
        <w:t>在磋商过程中，评审专家不得与磋商供应商私下交换意见。在磋商结束后，磋商情况应严格保密，不得泄露。</w:t>
      </w:r>
    </w:p>
    <w:p>
      <w:pPr>
        <w:pStyle w:val="19"/>
        <w:numPr>
          <w:ilvl w:val="1"/>
          <w:numId w:val="3"/>
        </w:numPr>
        <w:tabs>
          <w:tab w:val="left" w:pos="1371"/>
        </w:tabs>
        <w:spacing w:before="5" w:after="0" w:line="362" w:lineRule="auto"/>
        <w:ind w:left="283" w:right="311" w:firstLine="480"/>
        <w:jc w:val="left"/>
        <w:rPr>
          <w:color w:val="auto"/>
          <w:sz w:val="24"/>
          <w:highlight w:val="none"/>
        </w:rPr>
      </w:pPr>
      <w:r>
        <w:rPr>
          <w:color w:val="auto"/>
          <w:spacing w:val="3"/>
          <w:sz w:val="24"/>
          <w:highlight w:val="none"/>
        </w:rPr>
        <w:t>在磋商过程中，如出现磋商供应商联合故意抬高报价或其他不正当行为，采购人有权中止磋商。</w:t>
      </w:r>
    </w:p>
    <w:p>
      <w:pPr>
        <w:pStyle w:val="19"/>
        <w:numPr>
          <w:ilvl w:val="1"/>
          <w:numId w:val="3"/>
        </w:numPr>
        <w:tabs>
          <w:tab w:val="left" w:pos="1364"/>
        </w:tabs>
        <w:spacing w:before="5" w:after="0" w:line="240" w:lineRule="auto"/>
        <w:ind w:left="1363" w:right="0" w:hanging="601"/>
        <w:jc w:val="left"/>
        <w:rPr>
          <w:color w:val="auto"/>
          <w:sz w:val="24"/>
          <w:highlight w:val="none"/>
        </w:rPr>
      </w:pPr>
      <w:r>
        <w:rPr>
          <w:color w:val="auto"/>
          <w:sz w:val="24"/>
          <w:highlight w:val="none"/>
        </w:rPr>
        <w:t>经评审的响应文件不予退还。</w:t>
      </w:r>
    </w:p>
    <w:p>
      <w:pPr>
        <w:pStyle w:val="9"/>
        <w:numPr>
          <w:ilvl w:val="0"/>
          <w:numId w:val="3"/>
        </w:numPr>
        <w:tabs>
          <w:tab w:val="left" w:pos="768"/>
        </w:tabs>
        <w:spacing w:before="160" w:after="0" w:line="240" w:lineRule="auto"/>
        <w:ind w:left="768" w:right="0" w:hanging="485"/>
        <w:jc w:val="both"/>
        <w:rPr>
          <w:color w:val="auto"/>
          <w:highlight w:val="none"/>
        </w:rPr>
      </w:pPr>
      <w:bookmarkStart w:id="73" w:name="20. 磋商小组"/>
      <w:bookmarkEnd w:id="73"/>
      <w:bookmarkStart w:id="74" w:name="20. 磋商小组"/>
      <w:bookmarkEnd w:id="74"/>
      <w:r>
        <w:rPr>
          <w:color w:val="auto"/>
          <w:highlight w:val="none"/>
        </w:rPr>
        <w:t>磋商小组</w:t>
      </w:r>
    </w:p>
    <w:p>
      <w:pPr>
        <w:pStyle w:val="19"/>
        <w:numPr>
          <w:ilvl w:val="1"/>
          <w:numId w:val="3"/>
        </w:numPr>
        <w:tabs>
          <w:tab w:val="left" w:pos="1371"/>
        </w:tabs>
        <w:spacing w:before="158" w:after="0" w:line="364" w:lineRule="auto"/>
        <w:ind w:left="283" w:right="306" w:firstLine="480"/>
        <w:jc w:val="both"/>
        <w:rPr>
          <w:color w:val="auto"/>
          <w:sz w:val="24"/>
          <w:highlight w:val="none"/>
        </w:rPr>
      </w:pPr>
      <w:r>
        <w:rPr>
          <w:color w:val="auto"/>
          <w:spacing w:val="-1"/>
          <w:sz w:val="24"/>
          <w:highlight w:val="none"/>
        </w:rPr>
        <w:t xml:space="preserve">磋商小组由采购人代表和评审专家共 </w:t>
      </w:r>
      <w:r>
        <w:rPr>
          <w:b/>
          <w:color w:val="auto"/>
          <w:sz w:val="24"/>
          <w:highlight w:val="none"/>
        </w:rPr>
        <w:t>3</w:t>
      </w:r>
      <w:r>
        <w:rPr>
          <w:b/>
          <w:color w:val="auto"/>
          <w:spacing w:val="-3"/>
          <w:sz w:val="24"/>
          <w:highlight w:val="none"/>
        </w:rPr>
        <w:t xml:space="preserve"> 人以上单数组成</w:t>
      </w:r>
      <w:r>
        <w:rPr>
          <w:color w:val="auto"/>
          <w:spacing w:val="3"/>
          <w:sz w:val="24"/>
          <w:highlight w:val="none"/>
        </w:rPr>
        <w:t>，其中评审专家人数不</w:t>
      </w:r>
      <w:r>
        <w:rPr>
          <w:color w:val="auto"/>
          <w:spacing w:val="-4"/>
          <w:sz w:val="24"/>
          <w:highlight w:val="none"/>
        </w:rPr>
        <w:t xml:space="preserve">少于磋商小组成员总数的 </w:t>
      </w:r>
      <w:r>
        <w:rPr>
          <w:color w:val="auto"/>
          <w:sz w:val="24"/>
          <w:highlight w:val="none"/>
        </w:rPr>
        <w:t>2/3。磋商小组负责对磋商响应文件进行审查、质询、评审和比较等，以及协助答复质疑。</w:t>
      </w:r>
    </w:p>
    <w:p>
      <w:pPr>
        <w:pStyle w:val="19"/>
        <w:numPr>
          <w:ilvl w:val="1"/>
          <w:numId w:val="3"/>
        </w:numPr>
        <w:tabs>
          <w:tab w:val="left" w:pos="1364"/>
        </w:tabs>
        <w:spacing w:before="0" w:after="0" w:line="307" w:lineRule="exact"/>
        <w:ind w:left="1363" w:right="0" w:hanging="601"/>
        <w:jc w:val="both"/>
        <w:rPr>
          <w:color w:val="auto"/>
          <w:sz w:val="24"/>
          <w:highlight w:val="none"/>
        </w:rPr>
      </w:pPr>
      <w:r>
        <w:rPr>
          <w:color w:val="auto"/>
          <w:sz w:val="24"/>
          <w:highlight w:val="none"/>
        </w:rPr>
        <w:t>磋商小组应遵守评审工作纪律，不得泄露评审情况和评审中获悉的商业秘密。</w:t>
      </w:r>
    </w:p>
    <w:p>
      <w:pPr>
        <w:pStyle w:val="19"/>
        <w:numPr>
          <w:ilvl w:val="1"/>
          <w:numId w:val="3"/>
        </w:numPr>
        <w:tabs>
          <w:tab w:val="left" w:pos="1371"/>
        </w:tabs>
        <w:spacing w:before="158" w:after="0" w:line="364" w:lineRule="auto"/>
        <w:ind w:left="283" w:right="311" w:firstLine="480"/>
        <w:jc w:val="both"/>
        <w:rPr>
          <w:color w:val="auto"/>
          <w:sz w:val="24"/>
          <w:highlight w:val="none"/>
        </w:rPr>
      </w:pPr>
      <w:r>
        <w:rPr>
          <w:color w:val="auto"/>
          <w:spacing w:val="3"/>
          <w:sz w:val="24"/>
          <w:highlight w:val="none"/>
        </w:rPr>
        <w:t>磋商小组在评审过程中发现供应商有行贿、提供虚假材料或者串通等违法行为的，应当及时向财政部门报告。</w:t>
      </w:r>
    </w:p>
    <w:p>
      <w:pPr>
        <w:pStyle w:val="19"/>
        <w:numPr>
          <w:ilvl w:val="1"/>
          <w:numId w:val="3"/>
        </w:numPr>
        <w:tabs>
          <w:tab w:val="left" w:pos="1364"/>
        </w:tabs>
        <w:spacing w:before="0" w:after="0" w:line="306" w:lineRule="exact"/>
        <w:ind w:left="1363" w:right="0" w:hanging="601"/>
        <w:jc w:val="both"/>
        <w:rPr>
          <w:color w:val="auto"/>
          <w:sz w:val="24"/>
          <w:highlight w:val="none"/>
        </w:rPr>
      </w:pPr>
      <w:r>
        <w:rPr>
          <w:color w:val="auto"/>
          <w:sz w:val="24"/>
          <w:highlight w:val="none"/>
        </w:rPr>
        <w:t>磋商小组在评审过程中受到非法干涉的，应当及时向财政、监察等部门举报。</w:t>
      </w:r>
    </w:p>
    <w:p>
      <w:pPr>
        <w:pStyle w:val="9"/>
        <w:numPr>
          <w:ilvl w:val="0"/>
          <w:numId w:val="3"/>
        </w:numPr>
        <w:tabs>
          <w:tab w:val="left" w:pos="768"/>
        </w:tabs>
        <w:spacing w:before="161" w:after="0" w:line="240" w:lineRule="auto"/>
        <w:ind w:left="768" w:right="0" w:hanging="485"/>
        <w:jc w:val="left"/>
        <w:rPr>
          <w:color w:val="auto"/>
          <w:highlight w:val="none"/>
        </w:rPr>
      </w:pPr>
      <w:bookmarkStart w:id="75" w:name="21. 磋商的时间和顺序"/>
      <w:bookmarkEnd w:id="75"/>
      <w:bookmarkStart w:id="76" w:name="21. 磋商的时间和顺序"/>
      <w:bookmarkEnd w:id="76"/>
      <w:r>
        <w:rPr>
          <w:color w:val="auto"/>
          <w:highlight w:val="none"/>
        </w:rPr>
        <w:t>磋商的时间和顺序</w:t>
      </w:r>
    </w:p>
    <w:p>
      <w:pPr>
        <w:pStyle w:val="19"/>
        <w:numPr>
          <w:ilvl w:val="1"/>
          <w:numId w:val="3"/>
        </w:numPr>
        <w:tabs>
          <w:tab w:val="left" w:pos="1366"/>
        </w:tabs>
        <w:spacing w:before="158" w:after="0" w:line="364" w:lineRule="auto"/>
        <w:ind w:left="283" w:right="314" w:firstLine="480"/>
        <w:jc w:val="left"/>
        <w:rPr>
          <w:color w:val="auto"/>
          <w:sz w:val="24"/>
          <w:highlight w:val="none"/>
        </w:rPr>
      </w:pPr>
      <w:r>
        <w:rPr>
          <w:color w:val="auto"/>
          <w:sz w:val="24"/>
          <w:highlight w:val="none"/>
        </w:rPr>
        <w:t>采购代理机构将在前附表约定的时间和地点（与响应文件递交截止时间/开启时间相同，地点相同）组织磋商，响应供应商的法定代表人或其授权委托人应准时参加。</w:t>
      </w:r>
    </w:p>
    <w:p>
      <w:pPr>
        <w:pStyle w:val="19"/>
        <w:numPr>
          <w:ilvl w:val="1"/>
          <w:numId w:val="3"/>
        </w:numPr>
        <w:tabs>
          <w:tab w:val="left" w:pos="1364"/>
        </w:tabs>
        <w:spacing w:before="0" w:after="0" w:line="306" w:lineRule="exact"/>
        <w:ind w:left="1363" w:right="0" w:hanging="601"/>
        <w:jc w:val="left"/>
        <w:rPr>
          <w:color w:val="auto"/>
          <w:sz w:val="24"/>
          <w:highlight w:val="none"/>
        </w:rPr>
      </w:pPr>
      <w:r>
        <w:rPr>
          <w:color w:val="auto"/>
          <w:sz w:val="24"/>
          <w:highlight w:val="none"/>
        </w:rPr>
        <w:t>磋商顺序按响应文件递交顺序进行。磋商轮次由磋商小组现场决定。</w:t>
      </w:r>
    </w:p>
    <w:p>
      <w:pPr>
        <w:pStyle w:val="9"/>
        <w:numPr>
          <w:ilvl w:val="0"/>
          <w:numId w:val="3"/>
        </w:numPr>
        <w:tabs>
          <w:tab w:val="left" w:pos="768"/>
        </w:tabs>
        <w:spacing w:before="161" w:after="0" w:line="240" w:lineRule="auto"/>
        <w:ind w:left="768" w:right="0" w:hanging="485"/>
        <w:jc w:val="both"/>
        <w:rPr>
          <w:color w:val="auto"/>
          <w:highlight w:val="none"/>
        </w:rPr>
      </w:pPr>
      <w:bookmarkStart w:id="77" w:name="22. 磋商程序"/>
      <w:bookmarkEnd w:id="77"/>
      <w:bookmarkStart w:id="78" w:name="22. 磋商程序"/>
      <w:bookmarkEnd w:id="78"/>
      <w:r>
        <w:rPr>
          <w:color w:val="auto"/>
          <w:highlight w:val="none"/>
        </w:rPr>
        <w:t>磋商程序</w:t>
      </w:r>
    </w:p>
    <w:p>
      <w:pPr>
        <w:pStyle w:val="19"/>
        <w:numPr>
          <w:ilvl w:val="1"/>
          <w:numId w:val="3"/>
        </w:numPr>
        <w:tabs>
          <w:tab w:val="left" w:pos="1361"/>
        </w:tabs>
        <w:spacing w:before="158" w:after="0" w:line="364" w:lineRule="auto"/>
        <w:ind w:left="283" w:right="311" w:firstLine="470"/>
        <w:jc w:val="both"/>
        <w:rPr>
          <w:color w:val="auto"/>
          <w:sz w:val="24"/>
          <w:highlight w:val="none"/>
        </w:rPr>
      </w:pPr>
      <w:r>
        <w:rPr>
          <w:color w:val="auto"/>
          <w:spacing w:val="3"/>
          <w:sz w:val="24"/>
          <w:highlight w:val="none"/>
        </w:rPr>
        <w:t>评审人员签到：出席磋商活动现场人员凭有效身份证件登记、签到，签订《政府采购评审人员廉洁自律承诺书》。</w:t>
      </w:r>
    </w:p>
    <w:p>
      <w:pPr>
        <w:pStyle w:val="19"/>
        <w:numPr>
          <w:ilvl w:val="1"/>
          <w:numId w:val="3"/>
        </w:numPr>
        <w:tabs>
          <w:tab w:val="left" w:pos="1361"/>
        </w:tabs>
        <w:spacing w:before="1" w:after="0" w:line="362" w:lineRule="auto"/>
        <w:ind w:left="283" w:right="311" w:firstLine="470"/>
        <w:jc w:val="both"/>
        <w:rPr>
          <w:color w:val="auto"/>
          <w:sz w:val="24"/>
          <w:highlight w:val="none"/>
        </w:rPr>
      </w:pPr>
      <w:r>
        <w:rPr>
          <w:color w:val="auto"/>
          <w:spacing w:val="3"/>
          <w:sz w:val="24"/>
          <w:highlight w:val="none"/>
        </w:rPr>
        <w:t>采购代理机构工作人员介绍磋商现场的人员情况，宣布评审工作纪律，告知评</w:t>
      </w:r>
      <w:r>
        <w:rPr>
          <w:color w:val="auto"/>
          <w:sz w:val="24"/>
          <w:highlight w:val="none"/>
        </w:rPr>
        <w:t>审人员应当回避情形，通报报名参加本项目采购的供应商名单，宣读最终提交采购响应文件的供应商名单。</w:t>
      </w:r>
    </w:p>
    <w:p>
      <w:pPr>
        <w:spacing w:after="0" w:line="362" w:lineRule="auto"/>
        <w:jc w:val="both"/>
        <w:rPr>
          <w:color w:val="auto"/>
          <w:sz w:val="24"/>
          <w:highlight w:val="none"/>
        </w:rPr>
        <w:sectPr>
          <w:pgSz w:w="11900" w:h="16840"/>
          <w:pgMar w:top="1100" w:right="820" w:bottom="800" w:left="1020" w:header="0" w:footer="609" w:gutter="0"/>
        </w:sectPr>
      </w:pPr>
    </w:p>
    <w:p>
      <w:pPr>
        <w:pStyle w:val="19"/>
        <w:numPr>
          <w:ilvl w:val="1"/>
          <w:numId w:val="3"/>
        </w:numPr>
        <w:tabs>
          <w:tab w:val="left" w:pos="1481"/>
        </w:tabs>
        <w:spacing w:before="56" w:after="0" w:line="364" w:lineRule="auto"/>
        <w:ind w:left="283" w:right="311" w:firstLine="470"/>
        <w:jc w:val="both"/>
        <w:rPr>
          <w:color w:val="auto"/>
          <w:sz w:val="24"/>
          <w:highlight w:val="none"/>
        </w:rPr>
      </w:pPr>
      <w:r>
        <w:rPr>
          <w:color w:val="auto"/>
          <w:sz w:val="24"/>
          <w:highlight w:val="none"/>
        </w:rPr>
        <w:t>推荐组长，组长由磋商小组各成员推选产生。组长负责主持评审工作，组织磋商小组进行有关评审的讨论和表决，负责组织磋商工作，负责审核磋商小组各成员的评审情况，负责评分汇总审核，负责审核磋商记录、无效响应决议、评审报告、成交结果意见等磋商评审记录文件，负责组织磋商小组各成员对相关文件的签字确认。</w:t>
      </w:r>
    </w:p>
    <w:p>
      <w:pPr>
        <w:pStyle w:val="19"/>
        <w:numPr>
          <w:ilvl w:val="1"/>
          <w:numId w:val="3"/>
        </w:numPr>
        <w:tabs>
          <w:tab w:val="left" w:pos="1354"/>
        </w:tabs>
        <w:spacing w:before="0" w:after="0" w:line="305" w:lineRule="exact"/>
        <w:ind w:left="1353" w:right="0" w:hanging="601"/>
        <w:jc w:val="both"/>
        <w:rPr>
          <w:color w:val="auto"/>
          <w:sz w:val="24"/>
          <w:highlight w:val="none"/>
        </w:rPr>
      </w:pPr>
      <w:r>
        <w:rPr>
          <w:color w:val="auto"/>
          <w:sz w:val="24"/>
          <w:highlight w:val="none"/>
        </w:rPr>
        <w:t>磋商文件及评分细则审阅、确认。</w:t>
      </w:r>
    </w:p>
    <w:p>
      <w:pPr>
        <w:pStyle w:val="9"/>
        <w:spacing w:before="158" w:line="364" w:lineRule="auto"/>
        <w:ind w:right="378" w:firstLine="470"/>
        <w:jc w:val="both"/>
        <w:rPr>
          <w:color w:val="auto"/>
          <w:highlight w:val="none"/>
        </w:rPr>
      </w:pPr>
      <w:r>
        <w:rPr>
          <w:color w:val="auto"/>
          <w:highlight w:val="none"/>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pStyle w:val="19"/>
        <w:numPr>
          <w:ilvl w:val="1"/>
          <w:numId w:val="3"/>
        </w:numPr>
        <w:tabs>
          <w:tab w:val="left" w:pos="1354"/>
        </w:tabs>
        <w:spacing w:before="0" w:after="0" w:line="307" w:lineRule="exact"/>
        <w:ind w:left="1353" w:right="0" w:hanging="601"/>
        <w:jc w:val="both"/>
        <w:rPr>
          <w:color w:val="auto"/>
          <w:sz w:val="24"/>
          <w:highlight w:val="none"/>
        </w:rPr>
      </w:pPr>
      <w:r>
        <w:rPr>
          <w:color w:val="auto"/>
          <w:sz w:val="24"/>
          <w:highlight w:val="none"/>
        </w:rPr>
        <w:t>响应文件的资格性、符合性审查</w:t>
      </w:r>
    </w:p>
    <w:p>
      <w:pPr>
        <w:pStyle w:val="19"/>
        <w:numPr>
          <w:ilvl w:val="2"/>
          <w:numId w:val="3"/>
        </w:numPr>
        <w:tabs>
          <w:tab w:val="left" w:pos="1594"/>
        </w:tabs>
        <w:spacing w:before="158" w:after="0" w:line="240" w:lineRule="auto"/>
        <w:ind w:left="1593" w:right="0" w:hanging="841"/>
        <w:jc w:val="both"/>
        <w:rPr>
          <w:color w:val="auto"/>
          <w:sz w:val="24"/>
          <w:highlight w:val="none"/>
        </w:rPr>
      </w:pPr>
      <w:r>
        <w:rPr>
          <w:color w:val="auto"/>
          <w:sz w:val="24"/>
          <w:highlight w:val="none"/>
        </w:rPr>
        <w:t>资格性检查</w:t>
      </w:r>
    </w:p>
    <w:p>
      <w:pPr>
        <w:spacing w:before="161" w:line="364" w:lineRule="auto"/>
        <w:ind w:left="283" w:right="400" w:firstLine="470"/>
        <w:jc w:val="both"/>
        <w:rPr>
          <w:color w:val="auto"/>
          <w:sz w:val="24"/>
          <w:highlight w:val="none"/>
        </w:rPr>
      </w:pPr>
      <w:r>
        <w:rPr>
          <w:color w:val="auto"/>
          <w:sz w:val="24"/>
          <w:highlight w:val="none"/>
        </w:rPr>
        <w:t>依据法律法规和磋商文件的规定，磋商小组对磋商响应文件中的资格证明文件进行审查，以确定磋商供应商是否具备磋商资格，包括：</w:t>
      </w:r>
      <w:r>
        <w:rPr>
          <w:b/>
          <w:color w:val="auto"/>
          <w:sz w:val="24"/>
          <w:highlight w:val="none"/>
        </w:rPr>
        <w:t>是否提供资格证明文件、资格证明文件是否有效等。</w:t>
      </w:r>
      <w:r>
        <w:rPr>
          <w:color w:val="auto"/>
          <w:sz w:val="24"/>
          <w:highlight w:val="none"/>
        </w:rPr>
        <w:t>具体检查内容包括：</w:t>
      </w:r>
    </w:p>
    <w:p>
      <w:pPr>
        <w:pStyle w:val="19"/>
        <w:numPr>
          <w:ilvl w:val="0"/>
          <w:numId w:val="7"/>
        </w:numPr>
        <w:tabs>
          <w:tab w:val="left" w:pos="1367"/>
        </w:tabs>
        <w:spacing w:before="0" w:after="0" w:line="307" w:lineRule="exact"/>
        <w:ind w:left="1366" w:right="0" w:hanging="602"/>
        <w:jc w:val="left"/>
        <w:rPr>
          <w:color w:val="auto"/>
          <w:sz w:val="24"/>
          <w:highlight w:val="none"/>
        </w:rPr>
      </w:pPr>
      <w:r>
        <w:rPr>
          <w:color w:val="auto"/>
          <w:sz w:val="24"/>
          <w:highlight w:val="none"/>
        </w:rPr>
        <w:t>响应供应商是否符合《中华人民共和国政府采购法》第二十二条的要求；</w:t>
      </w:r>
    </w:p>
    <w:p>
      <w:pPr>
        <w:pStyle w:val="19"/>
        <w:numPr>
          <w:ilvl w:val="0"/>
          <w:numId w:val="7"/>
        </w:numPr>
        <w:tabs>
          <w:tab w:val="left" w:pos="1404"/>
        </w:tabs>
        <w:spacing w:before="158" w:after="0" w:line="240" w:lineRule="auto"/>
        <w:ind w:left="1404" w:right="0" w:hanging="639"/>
        <w:jc w:val="left"/>
        <w:rPr>
          <w:color w:val="auto"/>
          <w:sz w:val="24"/>
          <w:highlight w:val="none"/>
        </w:rPr>
      </w:pPr>
      <w:r>
        <w:rPr>
          <w:color w:val="auto"/>
          <w:spacing w:val="11"/>
          <w:sz w:val="24"/>
          <w:highlight w:val="none"/>
        </w:rPr>
        <w:t>响应供应商是否符合《中华人民共和国政府采购法实施条例》第十八条的要</w:t>
      </w:r>
    </w:p>
    <w:p>
      <w:pPr>
        <w:pStyle w:val="3"/>
        <w:spacing w:before="160"/>
        <w:rPr>
          <w:color w:val="auto"/>
          <w:highlight w:val="none"/>
        </w:rPr>
      </w:pPr>
      <w:r>
        <w:rPr>
          <w:color w:val="auto"/>
          <w:highlight w:val="none"/>
        </w:rPr>
        <w:t>求；</w:t>
      </w:r>
    </w:p>
    <w:p>
      <w:pPr>
        <w:pStyle w:val="19"/>
        <w:numPr>
          <w:ilvl w:val="0"/>
          <w:numId w:val="7"/>
        </w:numPr>
        <w:tabs>
          <w:tab w:val="left" w:pos="1367"/>
        </w:tabs>
        <w:spacing w:before="158" w:after="0" w:line="240" w:lineRule="auto"/>
        <w:ind w:left="1366" w:right="0" w:hanging="602"/>
        <w:jc w:val="left"/>
        <w:rPr>
          <w:color w:val="auto"/>
          <w:sz w:val="24"/>
          <w:highlight w:val="none"/>
        </w:rPr>
      </w:pPr>
      <w:r>
        <w:rPr>
          <w:color w:val="auto"/>
          <w:sz w:val="24"/>
          <w:highlight w:val="none"/>
        </w:rPr>
        <w:t>响应供应商是否符合财库[2016]125</w:t>
      </w:r>
      <w:r>
        <w:rPr>
          <w:color w:val="auto"/>
          <w:spacing w:val="-8"/>
          <w:sz w:val="24"/>
          <w:highlight w:val="none"/>
        </w:rPr>
        <w:t xml:space="preserve"> 号文件的要求；</w:t>
      </w:r>
    </w:p>
    <w:p>
      <w:pPr>
        <w:pStyle w:val="19"/>
        <w:numPr>
          <w:ilvl w:val="0"/>
          <w:numId w:val="7"/>
        </w:numPr>
        <w:tabs>
          <w:tab w:val="left" w:pos="1367"/>
        </w:tabs>
        <w:spacing w:before="161" w:after="0" w:line="240" w:lineRule="auto"/>
        <w:ind w:left="1366" w:right="0" w:hanging="602"/>
        <w:jc w:val="left"/>
        <w:rPr>
          <w:color w:val="auto"/>
          <w:sz w:val="24"/>
          <w:highlight w:val="none"/>
        </w:rPr>
      </w:pPr>
      <w:r>
        <w:rPr>
          <w:color w:val="auto"/>
          <w:sz w:val="24"/>
          <w:highlight w:val="none"/>
        </w:rPr>
        <w:t>响应供应商是否符合磋商文件对特定资格条件的要求；</w:t>
      </w:r>
    </w:p>
    <w:p>
      <w:pPr>
        <w:pStyle w:val="19"/>
        <w:numPr>
          <w:ilvl w:val="0"/>
          <w:numId w:val="7"/>
        </w:numPr>
        <w:tabs>
          <w:tab w:val="left" w:pos="1367"/>
        </w:tabs>
        <w:spacing w:before="158" w:after="0" w:line="240" w:lineRule="auto"/>
        <w:ind w:left="1366" w:right="0" w:hanging="602"/>
        <w:jc w:val="left"/>
        <w:rPr>
          <w:color w:val="auto"/>
          <w:sz w:val="24"/>
          <w:highlight w:val="none"/>
        </w:rPr>
      </w:pPr>
      <w:r>
        <w:rPr>
          <w:color w:val="auto"/>
          <w:sz w:val="24"/>
          <w:highlight w:val="none"/>
        </w:rPr>
        <w:t>响应供应商是否符合磋商文件对联合体参加磋商的要求。</w:t>
      </w:r>
    </w:p>
    <w:p>
      <w:pPr>
        <w:pStyle w:val="19"/>
        <w:numPr>
          <w:ilvl w:val="2"/>
          <w:numId w:val="3"/>
        </w:numPr>
        <w:tabs>
          <w:tab w:val="left" w:pos="1594"/>
        </w:tabs>
        <w:spacing w:before="160" w:after="0" w:line="240" w:lineRule="auto"/>
        <w:ind w:left="1593" w:right="0" w:hanging="841"/>
        <w:jc w:val="both"/>
        <w:rPr>
          <w:color w:val="auto"/>
          <w:sz w:val="24"/>
          <w:highlight w:val="none"/>
        </w:rPr>
      </w:pPr>
      <w:r>
        <w:rPr>
          <w:color w:val="auto"/>
          <w:sz w:val="24"/>
          <w:highlight w:val="none"/>
        </w:rPr>
        <w:t>符合性检查</w:t>
      </w:r>
    </w:p>
    <w:p>
      <w:pPr>
        <w:pStyle w:val="3"/>
        <w:spacing w:before="158" w:line="364" w:lineRule="auto"/>
        <w:ind w:right="414" w:firstLine="470"/>
        <w:jc w:val="both"/>
        <w:rPr>
          <w:color w:val="auto"/>
          <w:highlight w:val="none"/>
        </w:rPr>
      </w:pPr>
      <w:r>
        <w:rPr>
          <w:color w:val="auto"/>
          <w:highlight w:val="none"/>
        </w:rPr>
        <w:t>资格性审查后，磋商小组依据磋商文件的规定，对磋商响应文件的完整性、有效性及响应程度进行审查，以确定磋商响应文件是否有效。磋商小组决定磋商响应文件的有效性只根据磋商响应文件本身的内容，而不寻求外部证据。</w:t>
      </w:r>
    </w:p>
    <w:p>
      <w:pPr>
        <w:pStyle w:val="9"/>
        <w:spacing w:line="307" w:lineRule="exact"/>
        <w:ind w:left="753"/>
        <w:rPr>
          <w:color w:val="auto"/>
          <w:highlight w:val="none"/>
        </w:rPr>
      </w:pPr>
      <w:r>
        <w:rPr>
          <w:color w:val="auto"/>
          <w:highlight w:val="none"/>
        </w:rPr>
        <w:t>最后报价前符合性检查内容包括：</w:t>
      </w:r>
    </w:p>
    <w:p>
      <w:pPr>
        <w:pStyle w:val="19"/>
        <w:numPr>
          <w:ilvl w:val="0"/>
          <w:numId w:val="8"/>
        </w:numPr>
        <w:tabs>
          <w:tab w:val="left" w:pos="1365"/>
        </w:tabs>
        <w:spacing w:before="161" w:after="0" w:line="240" w:lineRule="auto"/>
        <w:ind w:left="1364" w:right="0" w:hanging="602"/>
        <w:jc w:val="left"/>
        <w:rPr>
          <w:color w:val="auto"/>
          <w:sz w:val="24"/>
          <w:highlight w:val="none"/>
        </w:rPr>
      </w:pPr>
      <w:r>
        <w:rPr>
          <w:color w:val="auto"/>
          <w:sz w:val="24"/>
          <w:highlight w:val="none"/>
        </w:rPr>
        <w:t>响应文件是否采用活页装订或响应文件正副本份数不足；</w:t>
      </w:r>
    </w:p>
    <w:p>
      <w:pPr>
        <w:pStyle w:val="19"/>
        <w:numPr>
          <w:ilvl w:val="0"/>
          <w:numId w:val="8"/>
        </w:numPr>
        <w:tabs>
          <w:tab w:val="left" w:pos="1365"/>
        </w:tabs>
        <w:spacing w:before="158" w:after="0" w:line="240" w:lineRule="auto"/>
        <w:ind w:left="1364" w:right="0" w:hanging="602"/>
        <w:jc w:val="left"/>
        <w:rPr>
          <w:color w:val="auto"/>
          <w:sz w:val="24"/>
          <w:highlight w:val="none"/>
        </w:rPr>
      </w:pPr>
      <w:r>
        <w:rPr>
          <w:color w:val="auto"/>
          <w:sz w:val="24"/>
          <w:highlight w:val="none"/>
        </w:rPr>
        <w:t>磋商供应商是否按规定交纳磋商保证金；</w:t>
      </w:r>
    </w:p>
    <w:p>
      <w:pPr>
        <w:pStyle w:val="19"/>
        <w:numPr>
          <w:ilvl w:val="0"/>
          <w:numId w:val="8"/>
        </w:numPr>
        <w:tabs>
          <w:tab w:val="left" w:pos="1365"/>
        </w:tabs>
        <w:spacing w:before="158" w:after="0" w:line="240" w:lineRule="auto"/>
        <w:ind w:left="1364" w:right="0" w:hanging="602"/>
        <w:jc w:val="left"/>
        <w:rPr>
          <w:color w:val="auto"/>
          <w:sz w:val="24"/>
          <w:highlight w:val="none"/>
        </w:rPr>
      </w:pPr>
      <w:r>
        <w:rPr>
          <w:color w:val="auto"/>
          <w:sz w:val="24"/>
          <w:highlight w:val="none"/>
        </w:rPr>
        <w:t>响应文件是否按磋商文件要求签署、盖章；</w:t>
      </w:r>
    </w:p>
    <w:p>
      <w:pPr>
        <w:pStyle w:val="19"/>
        <w:numPr>
          <w:ilvl w:val="0"/>
          <w:numId w:val="8"/>
        </w:numPr>
        <w:tabs>
          <w:tab w:val="left" w:pos="1365"/>
        </w:tabs>
        <w:spacing w:before="161" w:after="0" w:line="364" w:lineRule="auto"/>
        <w:ind w:left="283" w:right="534" w:firstLine="480"/>
        <w:jc w:val="left"/>
        <w:rPr>
          <w:color w:val="auto"/>
          <w:sz w:val="24"/>
          <w:highlight w:val="none"/>
        </w:rPr>
      </w:pPr>
      <w:r>
        <w:rPr>
          <w:color w:val="auto"/>
          <w:sz w:val="24"/>
          <w:highlight w:val="none"/>
        </w:rPr>
        <w:t>响应文件是否满足磋商文件中实质性响应条款的（</w:t>
      </w:r>
      <w:r>
        <w:rPr>
          <w:color w:val="auto"/>
          <w:spacing w:val="-2"/>
          <w:sz w:val="24"/>
          <w:highlight w:val="none"/>
        </w:rPr>
        <w:t>具体条文前标注“▲”的为</w:t>
      </w:r>
      <w:r>
        <w:rPr>
          <w:color w:val="auto"/>
          <w:sz w:val="24"/>
          <w:highlight w:val="none"/>
        </w:rPr>
        <w:t>实质性响应条款）；</w:t>
      </w:r>
    </w:p>
    <w:p>
      <w:pPr>
        <w:pStyle w:val="19"/>
        <w:numPr>
          <w:ilvl w:val="0"/>
          <w:numId w:val="8"/>
        </w:numPr>
        <w:tabs>
          <w:tab w:val="left" w:pos="1365"/>
        </w:tabs>
        <w:spacing w:before="0" w:after="0" w:line="306" w:lineRule="exact"/>
        <w:ind w:left="1364" w:right="0" w:hanging="602"/>
        <w:jc w:val="left"/>
        <w:rPr>
          <w:color w:val="auto"/>
          <w:sz w:val="24"/>
          <w:highlight w:val="none"/>
        </w:rPr>
      </w:pPr>
      <w:r>
        <w:rPr>
          <w:color w:val="auto"/>
          <w:sz w:val="24"/>
          <w:highlight w:val="none"/>
        </w:rPr>
        <w:t>响应文件是否含有采购人不能接受的附加条件的；</w:t>
      </w:r>
    </w:p>
    <w:p>
      <w:pPr>
        <w:pStyle w:val="19"/>
        <w:numPr>
          <w:ilvl w:val="0"/>
          <w:numId w:val="8"/>
        </w:numPr>
        <w:tabs>
          <w:tab w:val="left" w:pos="1365"/>
        </w:tabs>
        <w:spacing w:before="160" w:after="0" w:line="240" w:lineRule="auto"/>
        <w:ind w:left="1364" w:right="0" w:hanging="602"/>
        <w:jc w:val="left"/>
        <w:rPr>
          <w:color w:val="auto"/>
          <w:sz w:val="24"/>
          <w:highlight w:val="none"/>
        </w:rPr>
      </w:pPr>
      <w:r>
        <w:rPr>
          <w:color w:val="auto"/>
          <w:sz w:val="24"/>
          <w:highlight w:val="none"/>
        </w:rPr>
        <w:t>响应文件是否符合法律、法规和磋商文件规定的其它无效情形。</w:t>
      </w:r>
    </w:p>
    <w:p>
      <w:pPr>
        <w:spacing w:after="0" w:line="240" w:lineRule="auto"/>
        <w:jc w:val="left"/>
        <w:rPr>
          <w:color w:val="auto"/>
          <w:sz w:val="24"/>
          <w:highlight w:val="none"/>
        </w:rPr>
        <w:sectPr>
          <w:pgSz w:w="11900" w:h="16840"/>
          <w:pgMar w:top="1080" w:right="820" w:bottom="800" w:left="1020" w:header="0" w:footer="609" w:gutter="0"/>
        </w:sectPr>
      </w:pPr>
    </w:p>
    <w:p>
      <w:pPr>
        <w:pStyle w:val="9"/>
        <w:spacing w:before="56"/>
        <w:ind w:left="753"/>
        <w:rPr>
          <w:color w:val="auto"/>
          <w:highlight w:val="none"/>
        </w:rPr>
      </w:pPr>
      <w:r>
        <w:rPr>
          <w:color w:val="auto"/>
          <w:highlight w:val="none"/>
        </w:rPr>
        <w:t>最后报价后符合性检查内容包括：</w:t>
      </w:r>
    </w:p>
    <w:p>
      <w:pPr>
        <w:pStyle w:val="19"/>
        <w:numPr>
          <w:ilvl w:val="0"/>
          <w:numId w:val="9"/>
        </w:numPr>
        <w:tabs>
          <w:tab w:val="left" w:pos="1365"/>
        </w:tabs>
        <w:spacing w:before="158" w:after="0" w:line="240" w:lineRule="auto"/>
        <w:ind w:left="1364" w:right="0" w:hanging="602"/>
        <w:jc w:val="left"/>
        <w:rPr>
          <w:color w:val="auto"/>
          <w:sz w:val="24"/>
          <w:highlight w:val="none"/>
        </w:rPr>
      </w:pPr>
      <w:r>
        <w:rPr>
          <w:color w:val="auto"/>
          <w:sz w:val="24"/>
          <w:highlight w:val="none"/>
        </w:rPr>
        <w:t>磋商供应商是否拒绝按磋商文件修正原则对报价内容进行确认的。</w:t>
      </w:r>
    </w:p>
    <w:p>
      <w:pPr>
        <w:pStyle w:val="19"/>
        <w:numPr>
          <w:ilvl w:val="0"/>
          <w:numId w:val="9"/>
        </w:numPr>
        <w:tabs>
          <w:tab w:val="left" w:pos="1365"/>
        </w:tabs>
        <w:spacing w:before="160" w:after="0" w:line="240" w:lineRule="auto"/>
        <w:ind w:left="1364" w:right="0" w:hanging="602"/>
        <w:jc w:val="left"/>
        <w:rPr>
          <w:color w:val="auto"/>
          <w:sz w:val="24"/>
          <w:highlight w:val="none"/>
        </w:rPr>
      </w:pPr>
      <w:r>
        <w:rPr>
          <w:color w:val="auto"/>
          <w:sz w:val="24"/>
          <w:highlight w:val="none"/>
        </w:rPr>
        <w:t>最后报价是否高于本项目预算或最高限价的；</w:t>
      </w:r>
    </w:p>
    <w:p>
      <w:pPr>
        <w:pStyle w:val="9"/>
        <w:numPr>
          <w:ilvl w:val="2"/>
          <w:numId w:val="3"/>
        </w:numPr>
        <w:tabs>
          <w:tab w:val="left" w:pos="1601"/>
        </w:tabs>
        <w:spacing w:before="159" w:after="0" w:line="240" w:lineRule="auto"/>
        <w:ind w:left="1600" w:right="0" w:hanging="848"/>
        <w:jc w:val="left"/>
        <w:rPr>
          <w:color w:val="auto"/>
          <w:highlight w:val="none"/>
        </w:rPr>
      </w:pPr>
      <w:r>
        <w:rPr>
          <w:color w:val="auto"/>
          <w:highlight w:val="none"/>
        </w:rPr>
        <w:t>响应文件具有下列情形之一的，将被视为无效响应而被拒绝：</w:t>
      </w:r>
    </w:p>
    <w:p>
      <w:pPr>
        <w:pStyle w:val="19"/>
        <w:numPr>
          <w:ilvl w:val="0"/>
          <w:numId w:val="10"/>
        </w:numPr>
        <w:tabs>
          <w:tab w:val="left" w:pos="1367"/>
        </w:tabs>
        <w:spacing w:before="160" w:after="0" w:line="240" w:lineRule="auto"/>
        <w:ind w:left="1366" w:right="0" w:hanging="604"/>
        <w:jc w:val="left"/>
        <w:rPr>
          <w:b/>
          <w:color w:val="auto"/>
          <w:sz w:val="24"/>
          <w:highlight w:val="none"/>
        </w:rPr>
      </w:pPr>
      <w:r>
        <w:rPr>
          <w:b/>
          <w:color w:val="auto"/>
          <w:sz w:val="24"/>
          <w:highlight w:val="none"/>
        </w:rPr>
        <w:t>响应文件采用活页装订；或响应文件正副本份数不足；</w:t>
      </w:r>
    </w:p>
    <w:p>
      <w:pPr>
        <w:pStyle w:val="19"/>
        <w:numPr>
          <w:ilvl w:val="0"/>
          <w:numId w:val="10"/>
        </w:numPr>
        <w:tabs>
          <w:tab w:val="left" w:pos="1367"/>
        </w:tabs>
        <w:spacing w:before="158" w:after="0" w:line="240" w:lineRule="auto"/>
        <w:ind w:left="1366" w:right="0" w:hanging="604"/>
        <w:jc w:val="left"/>
        <w:rPr>
          <w:b/>
          <w:color w:val="auto"/>
          <w:sz w:val="24"/>
          <w:highlight w:val="none"/>
        </w:rPr>
      </w:pPr>
      <w:r>
        <w:rPr>
          <w:b/>
          <w:color w:val="auto"/>
          <w:sz w:val="24"/>
          <w:highlight w:val="none"/>
        </w:rPr>
        <w:t>磋商供应商未按规定交纳磋商保证金的；</w:t>
      </w:r>
    </w:p>
    <w:p>
      <w:pPr>
        <w:pStyle w:val="19"/>
        <w:numPr>
          <w:ilvl w:val="0"/>
          <w:numId w:val="10"/>
        </w:numPr>
        <w:tabs>
          <w:tab w:val="left" w:pos="1367"/>
        </w:tabs>
        <w:spacing w:before="161" w:after="0" w:line="240" w:lineRule="auto"/>
        <w:ind w:left="1366" w:right="0" w:hanging="604"/>
        <w:jc w:val="left"/>
        <w:rPr>
          <w:b/>
          <w:color w:val="auto"/>
          <w:sz w:val="24"/>
          <w:highlight w:val="none"/>
        </w:rPr>
      </w:pPr>
      <w:r>
        <w:rPr>
          <w:b/>
          <w:color w:val="auto"/>
          <w:sz w:val="24"/>
          <w:highlight w:val="none"/>
        </w:rPr>
        <w:t>响应文件未按磋商文件要求签署、盖章的；</w:t>
      </w:r>
    </w:p>
    <w:p>
      <w:pPr>
        <w:pStyle w:val="19"/>
        <w:numPr>
          <w:ilvl w:val="0"/>
          <w:numId w:val="10"/>
        </w:numPr>
        <w:tabs>
          <w:tab w:val="left" w:pos="1367"/>
        </w:tabs>
        <w:spacing w:before="160" w:after="0" w:line="240" w:lineRule="auto"/>
        <w:ind w:left="1366" w:right="0" w:hanging="604"/>
        <w:jc w:val="left"/>
        <w:rPr>
          <w:b/>
          <w:color w:val="auto"/>
          <w:sz w:val="24"/>
          <w:highlight w:val="none"/>
        </w:rPr>
      </w:pPr>
      <w:r>
        <w:rPr>
          <w:b/>
          <w:color w:val="auto"/>
          <w:sz w:val="24"/>
          <w:highlight w:val="none"/>
        </w:rPr>
        <w:t>不具备磋商文件中规定的资格要求的；</w:t>
      </w:r>
    </w:p>
    <w:p>
      <w:pPr>
        <w:pStyle w:val="19"/>
        <w:numPr>
          <w:ilvl w:val="0"/>
          <w:numId w:val="10"/>
        </w:numPr>
        <w:tabs>
          <w:tab w:val="left" w:pos="1367"/>
        </w:tabs>
        <w:spacing w:before="158" w:after="0" w:line="362" w:lineRule="auto"/>
        <w:ind w:left="283" w:right="501" w:firstLine="480"/>
        <w:jc w:val="left"/>
        <w:rPr>
          <w:b/>
          <w:color w:val="auto"/>
          <w:sz w:val="24"/>
          <w:highlight w:val="none"/>
        </w:rPr>
      </w:pPr>
      <w:r>
        <w:rPr>
          <w:b/>
          <w:color w:val="auto"/>
          <w:sz w:val="24"/>
          <w:highlight w:val="none"/>
        </w:rPr>
        <w:t>经磋商小组审核，响应文件不满足磋商文件中实质性响应条款的（</w:t>
      </w:r>
      <w:r>
        <w:rPr>
          <w:b/>
          <w:color w:val="auto"/>
          <w:spacing w:val="-3"/>
          <w:sz w:val="24"/>
          <w:highlight w:val="none"/>
        </w:rPr>
        <w:t>具体条文前</w:t>
      </w:r>
      <w:r>
        <w:rPr>
          <w:b/>
          <w:color w:val="auto"/>
          <w:sz w:val="24"/>
          <w:highlight w:val="none"/>
        </w:rPr>
        <w:t>标注“▲”的为实质性响应条款）；</w:t>
      </w:r>
    </w:p>
    <w:p>
      <w:pPr>
        <w:pStyle w:val="19"/>
        <w:numPr>
          <w:ilvl w:val="0"/>
          <w:numId w:val="10"/>
        </w:numPr>
        <w:tabs>
          <w:tab w:val="left" w:pos="1367"/>
        </w:tabs>
        <w:spacing w:before="5" w:after="0" w:line="240" w:lineRule="auto"/>
        <w:ind w:left="1366" w:right="0" w:hanging="604"/>
        <w:jc w:val="left"/>
        <w:rPr>
          <w:b/>
          <w:color w:val="auto"/>
          <w:sz w:val="24"/>
          <w:highlight w:val="none"/>
        </w:rPr>
      </w:pPr>
      <w:r>
        <w:rPr>
          <w:b/>
          <w:color w:val="auto"/>
          <w:sz w:val="24"/>
          <w:highlight w:val="none"/>
        </w:rPr>
        <w:t>磋商供应商拒绝按磋商文件修正原则对报价内容进行确认的。</w:t>
      </w:r>
    </w:p>
    <w:p>
      <w:pPr>
        <w:pStyle w:val="19"/>
        <w:numPr>
          <w:ilvl w:val="0"/>
          <w:numId w:val="10"/>
        </w:numPr>
        <w:tabs>
          <w:tab w:val="left" w:pos="1367"/>
        </w:tabs>
        <w:spacing w:before="158" w:after="0" w:line="240" w:lineRule="auto"/>
        <w:ind w:left="1366" w:right="0" w:hanging="604"/>
        <w:jc w:val="left"/>
        <w:rPr>
          <w:b/>
          <w:color w:val="auto"/>
          <w:sz w:val="24"/>
          <w:highlight w:val="none"/>
        </w:rPr>
      </w:pPr>
      <w:r>
        <w:rPr>
          <w:b/>
          <w:color w:val="auto"/>
          <w:sz w:val="24"/>
          <w:highlight w:val="none"/>
        </w:rPr>
        <w:t>最后报价高于本项目预算或最高限价的；</w:t>
      </w:r>
    </w:p>
    <w:p>
      <w:pPr>
        <w:pStyle w:val="19"/>
        <w:numPr>
          <w:ilvl w:val="0"/>
          <w:numId w:val="10"/>
        </w:numPr>
        <w:tabs>
          <w:tab w:val="left" w:pos="1367"/>
        </w:tabs>
        <w:spacing w:before="161" w:after="0" w:line="240" w:lineRule="auto"/>
        <w:ind w:left="1366" w:right="0" w:hanging="604"/>
        <w:jc w:val="left"/>
        <w:rPr>
          <w:b/>
          <w:color w:val="auto"/>
          <w:sz w:val="24"/>
          <w:highlight w:val="none"/>
        </w:rPr>
      </w:pPr>
      <w:r>
        <w:rPr>
          <w:b/>
          <w:color w:val="auto"/>
          <w:w w:val="95"/>
          <w:sz w:val="24"/>
          <w:highlight w:val="none"/>
        </w:rPr>
        <w:t>响应文件含有采购人不能接受的附加条件的；</w:t>
      </w:r>
    </w:p>
    <w:p>
      <w:pPr>
        <w:pStyle w:val="19"/>
        <w:numPr>
          <w:ilvl w:val="0"/>
          <w:numId w:val="10"/>
        </w:numPr>
        <w:tabs>
          <w:tab w:val="left" w:pos="1367"/>
        </w:tabs>
        <w:spacing w:before="160" w:after="0" w:line="240" w:lineRule="auto"/>
        <w:ind w:left="1366" w:right="0" w:hanging="604"/>
        <w:jc w:val="left"/>
        <w:rPr>
          <w:b/>
          <w:color w:val="auto"/>
          <w:sz w:val="24"/>
          <w:highlight w:val="none"/>
        </w:rPr>
      </w:pPr>
      <w:r>
        <w:rPr>
          <w:b/>
          <w:color w:val="auto"/>
          <w:w w:val="95"/>
          <w:sz w:val="24"/>
          <w:highlight w:val="none"/>
        </w:rPr>
        <w:t>法律、法规和磋商文件规定的其它无效情形。</w:t>
      </w:r>
    </w:p>
    <w:p>
      <w:pPr>
        <w:pStyle w:val="19"/>
        <w:numPr>
          <w:ilvl w:val="2"/>
          <w:numId w:val="3"/>
        </w:numPr>
        <w:tabs>
          <w:tab w:val="left" w:pos="1594"/>
        </w:tabs>
        <w:spacing w:before="158" w:after="0" w:line="364" w:lineRule="auto"/>
        <w:ind w:left="283" w:right="513" w:firstLine="470"/>
        <w:jc w:val="left"/>
        <w:rPr>
          <w:b/>
          <w:color w:val="auto"/>
          <w:sz w:val="24"/>
          <w:highlight w:val="none"/>
        </w:rPr>
      </w:pPr>
      <w:r>
        <w:rPr>
          <w:b/>
          <w:color w:val="auto"/>
          <w:spacing w:val="-1"/>
          <w:sz w:val="24"/>
          <w:highlight w:val="none"/>
        </w:rPr>
        <w:t>磋商小组对拟认定为资格不符、响应文件无效的，应组织相关供应商代表进</w:t>
      </w:r>
      <w:r>
        <w:rPr>
          <w:b/>
          <w:color w:val="auto"/>
          <w:sz w:val="24"/>
          <w:highlight w:val="none"/>
        </w:rPr>
        <w:t>行陈述、澄清或申辩，并签字确认。</w:t>
      </w:r>
    </w:p>
    <w:p>
      <w:pPr>
        <w:pStyle w:val="19"/>
        <w:numPr>
          <w:ilvl w:val="2"/>
          <w:numId w:val="3"/>
        </w:numPr>
        <w:tabs>
          <w:tab w:val="left" w:pos="1594"/>
        </w:tabs>
        <w:spacing w:before="0" w:after="0" w:line="364" w:lineRule="auto"/>
        <w:ind w:left="283" w:right="414" w:firstLine="470"/>
        <w:jc w:val="left"/>
        <w:rPr>
          <w:color w:val="auto"/>
          <w:sz w:val="24"/>
          <w:highlight w:val="none"/>
        </w:rPr>
      </w:pPr>
      <w:r>
        <w:rPr>
          <w:color w:val="auto"/>
          <w:sz w:val="24"/>
          <w:highlight w:val="none"/>
        </w:rPr>
        <w:t>磋商小组在对响应文件的有效性、完整性和响应程度进行审查时，可以要求</w:t>
      </w:r>
      <w:r>
        <w:rPr>
          <w:color w:val="auto"/>
          <w:spacing w:val="-1"/>
          <w:sz w:val="24"/>
          <w:highlight w:val="none"/>
        </w:rPr>
        <w:t>供应商对响应文件中含义不明确、同类问题表述不一致或者有明显文字和计算错误的内容等作出必要的澄清、说明或者更正。供应商的澄清、说明或者更正不得超出响应文件的范</w:t>
      </w:r>
      <w:r>
        <w:rPr>
          <w:color w:val="auto"/>
          <w:sz w:val="24"/>
          <w:highlight w:val="none"/>
        </w:rPr>
        <w:t>围或者改变响应文件的实质性内容。</w:t>
      </w:r>
    </w:p>
    <w:p>
      <w:pPr>
        <w:pStyle w:val="19"/>
        <w:numPr>
          <w:ilvl w:val="2"/>
          <w:numId w:val="3"/>
        </w:numPr>
        <w:tabs>
          <w:tab w:val="left" w:pos="1594"/>
        </w:tabs>
        <w:spacing w:before="0" w:after="0" w:line="364" w:lineRule="auto"/>
        <w:ind w:left="283" w:right="414" w:firstLine="470"/>
        <w:jc w:val="left"/>
        <w:rPr>
          <w:color w:val="auto"/>
          <w:sz w:val="24"/>
          <w:highlight w:val="none"/>
        </w:rPr>
      </w:pPr>
      <w:r>
        <w:rPr>
          <w:color w:val="auto"/>
          <w:sz w:val="24"/>
          <w:highlight w:val="none"/>
        </w:rPr>
        <w:t>磋商小组要求供应商澄清、说明或者更正响应文件应当以书面形式作出。供</w:t>
      </w:r>
      <w:r>
        <w:rPr>
          <w:color w:val="auto"/>
          <w:spacing w:val="-1"/>
          <w:sz w:val="24"/>
          <w:highlight w:val="none"/>
        </w:rPr>
        <w:t>应商的澄清、说明或者更正应当由法定代表人或其授权代表签字或者加盖公章。由授权代</w:t>
      </w:r>
      <w:r>
        <w:rPr>
          <w:color w:val="auto"/>
          <w:sz w:val="24"/>
          <w:highlight w:val="none"/>
        </w:rPr>
        <w:t>表签字的，应当附法定代表人授权书。供应商为自然人的，应当由本人签字并附身份证 明。</w:t>
      </w:r>
    </w:p>
    <w:p>
      <w:pPr>
        <w:pStyle w:val="19"/>
        <w:numPr>
          <w:ilvl w:val="1"/>
          <w:numId w:val="3"/>
        </w:numPr>
        <w:tabs>
          <w:tab w:val="left" w:pos="1294"/>
        </w:tabs>
        <w:spacing w:before="0" w:after="0" w:line="240" w:lineRule="auto"/>
        <w:ind w:left="1293" w:right="0" w:hanging="541"/>
        <w:jc w:val="left"/>
        <w:rPr>
          <w:color w:val="auto"/>
          <w:sz w:val="24"/>
          <w:highlight w:val="none"/>
        </w:rPr>
      </w:pPr>
      <w:r>
        <w:rPr>
          <w:color w:val="auto"/>
          <w:sz w:val="24"/>
          <w:highlight w:val="none"/>
        </w:rPr>
        <w:t>磋商</w:t>
      </w:r>
    </w:p>
    <w:p>
      <w:pPr>
        <w:pStyle w:val="19"/>
        <w:numPr>
          <w:ilvl w:val="0"/>
          <w:numId w:val="11"/>
        </w:numPr>
        <w:tabs>
          <w:tab w:val="left" w:pos="1365"/>
        </w:tabs>
        <w:spacing w:before="155" w:after="0" w:line="240" w:lineRule="auto"/>
        <w:ind w:left="1364" w:right="0" w:hanging="602"/>
        <w:jc w:val="left"/>
        <w:rPr>
          <w:color w:val="auto"/>
          <w:sz w:val="24"/>
          <w:highlight w:val="none"/>
        </w:rPr>
      </w:pPr>
      <w:r>
        <w:rPr>
          <w:color w:val="auto"/>
          <w:sz w:val="24"/>
          <w:highlight w:val="none"/>
        </w:rPr>
        <w:t>初审合格的供应商进入下一步的磋商活动。</w:t>
      </w:r>
    </w:p>
    <w:p>
      <w:pPr>
        <w:pStyle w:val="19"/>
        <w:numPr>
          <w:ilvl w:val="0"/>
          <w:numId w:val="11"/>
        </w:numPr>
        <w:tabs>
          <w:tab w:val="left" w:pos="1383"/>
        </w:tabs>
        <w:spacing w:before="158" w:after="0" w:line="364" w:lineRule="auto"/>
        <w:ind w:left="283" w:right="314" w:firstLine="480"/>
        <w:jc w:val="left"/>
        <w:rPr>
          <w:color w:val="auto"/>
          <w:sz w:val="24"/>
          <w:highlight w:val="none"/>
        </w:rPr>
      </w:pPr>
      <w:r>
        <w:rPr>
          <w:color w:val="auto"/>
          <w:spacing w:val="3"/>
          <w:sz w:val="24"/>
          <w:highlight w:val="none"/>
        </w:rPr>
        <w:t>磋商小组所有成员应当集中与磋商供应商分别进行磋商，并给予所有参加磋商的供应商平等的磋商机会。</w:t>
      </w:r>
    </w:p>
    <w:p>
      <w:pPr>
        <w:pStyle w:val="19"/>
        <w:numPr>
          <w:ilvl w:val="0"/>
          <w:numId w:val="11"/>
        </w:numPr>
        <w:tabs>
          <w:tab w:val="left" w:pos="1383"/>
        </w:tabs>
        <w:spacing w:before="1" w:after="0" w:line="364" w:lineRule="auto"/>
        <w:ind w:left="283" w:right="311" w:firstLine="480"/>
        <w:jc w:val="both"/>
        <w:rPr>
          <w:color w:val="auto"/>
          <w:sz w:val="24"/>
          <w:highlight w:val="none"/>
        </w:rPr>
      </w:pPr>
      <w:r>
        <w:rPr>
          <w:color w:val="auto"/>
          <w:spacing w:val="3"/>
          <w:sz w:val="24"/>
          <w:highlight w:val="none"/>
        </w:rPr>
        <w:t>在磋商过程中，磋商小组可以根据磋商文件和磋商情况实质性变动采购需求中</w:t>
      </w:r>
      <w:r>
        <w:rPr>
          <w:color w:val="auto"/>
          <w:sz w:val="24"/>
          <w:highlight w:val="none"/>
        </w:rPr>
        <w:t>的技术、服务要求以及合同草案条款与各供应商进行磋商。实质性变动的内容，须经采购人代表确认。</w:t>
      </w:r>
    </w:p>
    <w:p>
      <w:pPr>
        <w:spacing w:after="0" w:line="364" w:lineRule="auto"/>
        <w:jc w:val="both"/>
        <w:rPr>
          <w:color w:val="auto"/>
          <w:sz w:val="24"/>
          <w:highlight w:val="none"/>
        </w:rPr>
        <w:sectPr>
          <w:pgSz w:w="11900" w:h="16840"/>
          <w:pgMar w:top="1080" w:right="820" w:bottom="800" w:left="1020" w:header="0" w:footer="609" w:gutter="0"/>
        </w:sectPr>
      </w:pPr>
    </w:p>
    <w:p>
      <w:pPr>
        <w:pStyle w:val="19"/>
        <w:numPr>
          <w:ilvl w:val="0"/>
          <w:numId w:val="11"/>
        </w:numPr>
        <w:tabs>
          <w:tab w:val="left" w:pos="1383"/>
        </w:tabs>
        <w:spacing w:before="56" w:after="0" w:line="362" w:lineRule="auto"/>
        <w:ind w:left="283" w:right="314" w:firstLine="480"/>
        <w:jc w:val="left"/>
        <w:rPr>
          <w:color w:val="auto"/>
          <w:sz w:val="24"/>
          <w:highlight w:val="none"/>
        </w:rPr>
      </w:pPr>
      <w:r>
        <w:rPr>
          <w:color w:val="auto"/>
          <w:spacing w:val="3"/>
          <w:sz w:val="24"/>
          <w:highlight w:val="none"/>
        </w:rPr>
        <w:t>磋商文件作出的实质性变动是磋商文件的有效组成部分，磋商小组应当及时以书面形式同时通知所有参加磋商的供应商。</w:t>
      </w:r>
    </w:p>
    <w:p>
      <w:pPr>
        <w:pStyle w:val="19"/>
        <w:numPr>
          <w:ilvl w:val="0"/>
          <w:numId w:val="11"/>
        </w:numPr>
        <w:tabs>
          <w:tab w:val="left" w:pos="1383"/>
        </w:tabs>
        <w:spacing w:before="5" w:after="0" w:line="364" w:lineRule="auto"/>
        <w:ind w:left="283" w:right="311" w:firstLine="480"/>
        <w:jc w:val="both"/>
        <w:rPr>
          <w:color w:val="auto"/>
          <w:sz w:val="24"/>
          <w:highlight w:val="none"/>
        </w:rPr>
      </w:pPr>
      <w:r>
        <w:rPr>
          <w:color w:val="auto"/>
          <w:spacing w:val="3"/>
          <w:sz w:val="24"/>
          <w:highlight w:val="none"/>
        </w:rPr>
        <w:t>供应商应当按照磋商文件的变动情况和磋商小组的要求重新提交响应文件或者</w:t>
      </w:r>
      <w:r>
        <w:rPr>
          <w:color w:val="auto"/>
          <w:sz w:val="24"/>
          <w:highlight w:val="none"/>
        </w:rPr>
        <w:t>响应文件补充文件，并由其法定代表人或其授权代表签字或者加盖公章。其中响应文件补充文件需现场提交，需重新提交响应文件的根据磋商现场磋商小组公布的时间为准。</w:t>
      </w:r>
    </w:p>
    <w:p>
      <w:pPr>
        <w:pStyle w:val="19"/>
        <w:numPr>
          <w:ilvl w:val="1"/>
          <w:numId w:val="3"/>
        </w:numPr>
        <w:tabs>
          <w:tab w:val="left" w:pos="1354"/>
        </w:tabs>
        <w:spacing w:before="0" w:after="0" w:line="305" w:lineRule="exact"/>
        <w:ind w:left="1353" w:right="0" w:hanging="601"/>
        <w:jc w:val="both"/>
        <w:rPr>
          <w:color w:val="auto"/>
          <w:sz w:val="24"/>
          <w:highlight w:val="none"/>
        </w:rPr>
      </w:pPr>
      <w:r>
        <w:rPr>
          <w:color w:val="auto"/>
          <w:sz w:val="24"/>
          <w:highlight w:val="none"/>
        </w:rPr>
        <w:t>最后报价</w:t>
      </w:r>
    </w:p>
    <w:p>
      <w:pPr>
        <w:pStyle w:val="19"/>
        <w:numPr>
          <w:ilvl w:val="0"/>
          <w:numId w:val="12"/>
        </w:numPr>
        <w:tabs>
          <w:tab w:val="left" w:pos="1383"/>
        </w:tabs>
        <w:spacing w:before="160" w:after="0" w:line="364" w:lineRule="auto"/>
        <w:ind w:left="283" w:right="314" w:firstLine="480"/>
        <w:jc w:val="left"/>
        <w:rPr>
          <w:color w:val="auto"/>
          <w:sz w:val="24"/>
          <w:highlight w:val="none"/>
        </w:rPr>
      </w:pPr>
      <w:r>
        <w:rPr>
          <w:color w:val="auto"/>
          <w:spacing w:val="3"/>
          <w:sz w:val="24"/>
          <w:highlight w:val="none"/>
        </w:rPr>
        <w:t>磋商结束后，磋商小组应当要求所有实质性响应的供应商在规定时间内提交最后报价。</w:t>
      </w:r>
    </w:p>
    <w:p>
      <w:pPr>
        <w:pStyle w:val="19"/>
        <w:numPr>
          <w:ilvl w:val="0"/>
          <w:numId w:val="12"/>
        </w:numPr>
        <w:tabs>
          <w:tab w:val="left" w:pos="1365"/>
        </w:tabs>
        <w:spacing w:before="0" w:after="0" w:line="306" w:lineRule="exact"/>
        <w:ind w:left="1364" w:right="0" w:hanging="602"/>
        <w:jc w:val="left"/>
        <w:rPr>
          <w:color w:val="auto"/>
          <w:sz w:val="24"/>
          <w:highlight w:val="none"/>
        </w:rPr>
      </w:pPr>
      <w:r>
        <w:rPr>
          <w:color w:val="auto"/>
          <w:sz w:val="24"/>
          <w:highlight w:val="none"/>
        </w:rPr>
        <w:t>最后报价是供应商响应文件的有效组成部分。</w:t>
      </w:r>
    </w:p>
    <w:p>
      <w:pPr>
        <w:pStyle w:val="19"/>
        <w:numPr>
          <w:ilvl w:val="0"/>
          <w:numId w:val="12"/>
        </w:numPr>
        <w:tabs>
          <w:tab w:val="left" w:pos="1383"/>
        </w:tabs>
        <w:spacing w:before="158" w:after="0" w:line="364" w:lineRule="auto"/>
        <w:ind w:left="283" w:right="314" w:firstLine="480"/>
        <w:jc w:val="both"/>
        <w:rPr>
          <w:color w:val="auto"/>
          <w:sz w:val="24"/>
          <w:highlight w:val="none"/>
        </w:rPr>
      </w:pPr>
      <w:r>
        <w:rPr>
          <w:color w:val="auto"/>
          <w:spacing w:val="3"/>
          <w:sz w:val="24"/>
          <w:highlight w:val="none"/>
        </w:rPr>
        <w:t>已提交响应文件的供应商，在提交最后报价之前，若因磋商文件实质性变动导</w:t>
      </w:r>
      <w:r>
        <w:rPr>
          <w:color w:val="auto"/>
          <w:sz w:val="24"/>
          <w:highlight w:val="none"/>
        </w:rPr>
        <w:t>致供应商无法满足采购需求的，允许供应商退出磋商。采购人、采购代理机构应当退还退出磋商的供应商的磋商保证金。</w:t>
      </w:r>
    </w:p>
    <w:p>
      <w:pPr>
        <w:pStyle w:val="9"/>
        <w:spacing w:line="307" w:lineRule="exact"/>
        <w:ind w:left="753"/>
        <w:rPr>
          <w:color w:val="auto"/>
          <w:highlight w:val="none"/>
        </w:rPr>
      </w:pPr>
      <w:r>
        <w:rPr>
          <w:color w:val="auto"/>
          <w:highlight w:val="none"/>
        </w:rPr>
        <w:t>其中，最后报价修正原则如下：</w:t>
      </w:r>
    </w:p>
    <w:p>
      <w:pPr>
        <w:pStyle w:val="3"/>
        <w:spacing w:before="161" w:line="362" w:lineRule="auto"/>
        <w:ind w:left="763" w:right="654"/>
        <w:rPr>
          <w:color w:val="auto"/>
          <w:highlight w:val="none"/>
        </w:rPr>
      </w:pPr>
      <w:r>
        <w:rPr>
          <w:color w:val="auto"/>
          <w:highlight w:val="none"/>
        </w:rPr>
        <w:t>响应文件中最后报价表内容与响应文件中相应内容不一致的，以最后报价表为准； 最后报价表大写金额和小写金额不一致的，以大写金额为准；</w:t>
      </w:r>
    </w:p>
    <w:p>
      <w:pPr>
        <w:pStyle w:val="3"/>
        <w:spacing w:before="5" w:line="362" w:lineRule="auto"/>
        <w:ind w:left="763" w:right="414"/>
        <w:rPr>
          <w:color w:val="auto"/>
          <w:highlight w:val="none"/>
        </w:rPr>
      </w:pPr>
      <w:r>
        <w:rPr>
          <w:color w:val="auto"/>
          <w:highlight w:val="none"/>
        </w:rPr>
        <w:t>单价金额小数点或者百分比有明显错位的，以最后报价表的总价为准，并修改单价； 最后报价表总价金额与按单价汇总金额不一致的，以单价金额计算结果为准；</w:t>
      </w:r>
    </w:p>
    <w:p>
      <w:pPr>
        <w:pStyle w:val="3"/>
        <w:spacing w:before="5"/>
        <w:ind w:left="763"/>
        <w:rPr>
          <w:color w:val="auto"/>
          <w:highlight w:val="none"/>
        </w:rPr>
      </w:pPr>
      <w:r>
        <w:rPr>
          <w:color w:val="auto"/>
          <w:highlight w:val="none"/>
        </w:rPr>
        <w:t>对不同文字文本响应文件的解释发生异议的，以中文文本为准。</w:t>
      </w:r>
    </w:p>
    <w:p>
      <w:pPr>
        <w:spacing w:before="158" w:line="364" w:lineRule="auto"/>
        <w:ind w:left="283" w:right="303" w:firstLine="480"/>
        <w:jc w:val="left"/>
        <w:rPr>
          <w:b/>
          <w:color w:val="auto"/>
          <w:sz w:val="24"/>
          <w:highlight w:val="none"/>
        </w:rPr>
      </w:pPr>
      <w:r>
        <w:rPr>
          <w:color w:val="auto"/>
          <w:sz w:val="24"/>
          <w:highlight w:val="none"/>
        </w:rPr>
        <w:t>同时出现两种以上不一致的，按照前款规定的顺序修正。</w:t>
      </w:r>
      <w:r>
        <w:rPr>
          <w:b/>
          <w:color w:val="auto"/>
          <w:sz w:val="24"/>
          <w:highlight w:val="none"/>
        </w:rPr>
        <w:t>修正后的报价需经供应商确认，供应商不确认的，其磋商响应无效。</w:t>
      </w:r>
    </w:p>
    <w:p>
      <w:pPr>
        <w:pStyle w:val="3"/>
        <w:spacing w:line="306" w:lineRule="exact"/>
        <w:ind w:left="753"/>
        <w:rPr>
          <w:color w:val="auto"/>
          <w:highlight w:val="none"/>
        </w:rPr>
      </w:pPr>
      <w:r>
        <w:rPr>
          <w:color w:val="auto"/>
          <w:highlight w:val="none"/>
        </w:rPr>
        <w:t>22.7 综合评分</w:t>
      </w:r>
    </w:p>
    <w:p>
      <w:pPr>
        <w:pStyle w:val="19"/>
        <w:numPr>
          <w:ilvl w:val="0"/>
          <w:numId w:val="13"/>
        </w:numPr>
        <w:tabs>
          <w:tab w:val="left" w:pos="1383"/>
        </w:tabs>
        <w:spacing w:before="160" w:after="0" w:line="362" w:lineRule="auto"/>
        <w:ind w:left="283" w:right="314" w:firstLine="480"/>
        <w:jc w:val="left"/>
        <w:rPr>
          <w:color w:val="auto"/>
          <w:sz w:val="24"/>
          <w:highlight w:val="none"/>
        </w:rPr>
      </w:pPr>
      <w:r>
        <w:rPr>
          <w:color w:val="auto"/>
          <w:spacing w:val="3"/>
          <w:sz w:val="24"/>
          <w:highlight w:val="none"/>
        </w:rPr>
        <w:t>经磋商确定最终采购需求后，磋商供应商提交最后报价，由磋商小组采用综合评分法对提交最后报价的供应商的响应文件和最后报价进行综合评分。</w:t>
      </w:r>
    </w:p>
    <w:p>
      <w:pPr>
        <w:pStyle w:val="19"/>
        <w:numPr>
          <w:ilvl w:val="0"/>
          <w:numId w:val="13"/>
        </w:numPr>
        <w:tabs>
          <w:tab w:val="left" w:pos="1383"/>
        </w:tabs>
        <w:spacing w:before="5" w:after="0" w:line="364" w:lineRule="auto"/>
        <w:ind w:left="283" w:right="314" w:firstLine="480"/>
        <w:jc w:val="left"/>
        <w:rPr>
          <w:color w:val="auto"/>
          <w:sz w:val="24"/>
          <w:highlight w:val="none"/>
        </w:rPr>
      </w:pPr>
      <w:r>
        <w:rPr>
          <w:color w:val="auto"/>
          <w:spacing w:val="3"/>
          <w:sz w:val="24"/>
          <w:highlight w:val="none"/>
        </w:rPr>
        <w:t>综合评分法，是指响应文件满足磋商文件全部实质性要求且按评审因素的量化指标评审得分最高的供应商作为成交候选供应商的评审方法。</w:t>
      </w:r>
    </w:p>
    <w:p>
      <w:pPr>
        <w:pStyle w:val="19"/>
        <w:numPr>
          <w:ilvl w:val="0"/>
          <w:numId w:val="13"/>
        </w:numPr>
        <w:tabs>
          <w:tab w:val="left" w:pos="1365"/>
        </w:tabs>
        <w:spacing w:before="0" w:after="0" w:line="306" w:lineRule="exact"/>
        <w:ind w:left="1364" w:right="0" w:hanging="602"/>
        <w:jc w:val="left"/>
        <w:rPr>
          <w:color w:val="auto"/>
          <w:sz w:val="24"/>
          <w:highlight w:val="none"/>
        </w:rPr>
      </w:pPr>
      <w:r>
        <w:rPr>
          <w:color w:val="auto"/>
          <w:sz w:val="24"/>
          <w:highlight w:val="none"/>
        </w:rPr>
        <w:t>评审因素：</w:t>
      </w:r>
    </w:p>
    <w:p>
      <w:pPr>
        <w:pStyle w:val="3"/>
        <w:spacing w:before="158"/>
        <w:ind w:left="763"/>
        <w:rPr>
          <w:color w:val="auto"/>
          <w:highlight w:val="none"/>
        </w:rPr>
      </w:pPr>
      <w:r>
        <w:rPr>
          <w:color w:val="auto"/>
          <w:highlight w:val="none"/>
        </w:rPr>
        <w:t>各磋商供应商的综合得分为：价格得分+技术商务得分，总和为 100 分，其中：价格</w:t>
      </w:r>
    </w:p>
    <w:p>
      <w:pPr>
        <w:pStyle w:val="3"/>
        <w:spacing w:before="161"/>
        <w:jc w:val="both"/>
        <w:rPr>
          <w:color w:val="auto"/>
          <w:highlight w:val="none"/>
        </w:rPr>
      </w:pPr>
      <w:r>
        <w:rPr>
          <w:color w:val="auto"/>
          <w:highlight w:val="none"/>
        </w:rPr>
        <w:t>得分 1</w:t>
      </w:r>
      <w:r>
        <w:rPr>
          <w:rFonts w:hint="eastAsia"/>
          <w:color w:val="auto"/>
          <w:highlight w:val="none"/>
          <w:lang w:val="en-US" w:eastAsia="zh-CN"/>
        </w:rPr>
        <w:t>0</w:t>
      </w:r>
      <w:r>
        <w:rPr>
          <w:color w:val="auto"/>
          <w:highlight w:val="none"/>
        </w:rPr>
        <w:t xml:space="preserve"> 分，技术和商务方案得分 </w:t>
      </w:r>
      <w:r>
        <w:rPr>
          <w:rFonts w:hint="eastAsia"/>
          <w:color w:val="auto"/>
          <w:highlight w:val="none"/>
          <w:lang w:val="en-US" w:eastAsia="zh-CN"/>
        </w:rPr>
        <w:t>90</w:t>
      </w:r>
      <w:r>
        <w:rPr>
          <w:color w:val="auto"/>
          <w:highlight w:val="none"/>
        </w:rPr>
        <w:t>分。</w:t>
      </w:r>
    </w:p>
    <w:p>
      <w:pPr>
        <w:pStyle w:val="3"/>
        <w:spacing w:before="160" w:line="364" w:lineRule="auto"/>
        <w:ind w:right="314" w:firstLine="480"/>
        <w:jc w:val="both"/>
        <w:rPr>
          <w:color w:val="auto"/>
          <w:highlight w:val="none"/>
        </w:rPr>
      </w:pPr>
      <w:r>
        <w:rPr>
          <w:color w:val="auto"/>
          <w:highlight w:val="none"/>
        </w:rPr>
        <w:t>各磋商供应商的技术和服务方案、磋商供应商的业绩情况得分为：磋商小组各成员评分的算术平均值。各磋商供应商的磋商价格得分根据各磋商供应商的最后有效磋商报价按磋商价格评分公式由磋商小组计算。根据上述评审原则，分值安排如下：</w:t>
      </w:r>
    </w:p>
    <w:p>
      <w:pPr>
        <w:spacing w:after="0" w:line="364" w:lineRule="auto"/>
        <w:jc w:val="both"/>
        <w:rPr>
          <w:color w:val="auto"/>
          <w:highlight w:val="none"/>
        </w:rPr>
        <w:sectPr>
          <w:pgSz w:w="11900" w:h="16840"/>
          <w:pgMar w:top="1080" w:right="820" w:bottom="800" w:left="1020" w:header="0" w:footer="609" w:gutter="0"/>
        </w:sectPr>
      </w:pPr>
    </w:p>
    <w:p>
      <w:pPr>
        <w:pStyle w:val="9"/>
        <w:spacing w:before="56"/>
        <w:ind w:left="794"/>
        <w:jc w:val="both"/>
        <w:rPr>
          <w:color w:val="auto"/>
          <w:highlight w:val="none"/>
        </w:rPr>
      </w:pPr>
      <w:r>
        <w:rPr>
          <w:color w:val="auto"/>
          <w:highlight w:val="none"/>
        </w:rPr>
        <w:t>价格分（A=1</w:t>
      </w:r>
      <w:r>
        <w:rPr>
          <w:rFonts w:hint="eastAsia"/>
          <w:color w:val="auto"/>
          <w:highlight w:val="none"/>
          <w:lang w:val="en-US" w:eastAsia="zh-CN"/>
        </w:rPr>
        <w:t>0</w:t>
      </w:r>
      <w:r>
        <w:rPr>
          <w:color w:val="auto"/>
          <w:highlight w:val="none"/>
        </w:rPr>
        <w:t xml:space="preserve"> 分）：</w:t>
      </w:r>
    </w:p>
    <w:p>
      <w:pPr>
        <w:pStyle w:val="3"/>
        <w:spacing w:before="158" w:line="364" w:lineRule="auto"/>
        <w:ind w:right="311" w:firstLine="480"/>
        <w:jc w:val="both"/>
        <w:rPr>
          <w:color w:val="auto"/>
          <w:highlight w:val="none"/>
        </w:rPr>
      </w:pPr>
      <w:r>
        <w:rPr>
          <w:color w:val="auto"/>
          <w:highlight w:val="none"/>
        </w:rPr>
        <w:t>价格的合理性：分析总报价及各个分项报价是否合理，报价范围是否完整，有否重大错漏项，磋商小组认为报价出现异常时，有权要求磋商供应商在评审期间对报价的详细组成和磋商响应的服务的供应渠道等事项作出解释和澄清，并确认其报价是否有效。</w:t>
      </w:r>
    </w:p>
    <w:p>
      <w:pPr>
        <w:pStyle w:val="3"/>
        <w:spacing w:line="364" w:lineRule="auto"/>
        <w:ind w:right="311" w:firstLine="480"/>
        <w:jc w:val="both"/>
        <w:rPr>
          <w:color w:val="auto"/>
          <w:highlight w:val="none"/>
        </w:rPr>
      </w:pPr>
      <w:r>
        <w:rPr>
          <w:color w:val="auto"/>
          <w:highlight w:val="none"/>
        </w:rPr>
        <w:t>报价分计算方法：根据各磋商供应商的最后磋商报价，以满足磋商文件要求且最后报价最低的供应商的价格为磋商基准价，其价格分为满分。其他磋商供应商的价格分统一按照下列公式计算：磋商报价得分＝(磋商基准价/最后磋商报价)×价格权值×100(保留到小数点后两位（四舍五入），当场统一计算)。</w:t>
      </w:r>
    </w:p>
    <w:p>
      <w:pPr>
        <w:pStyle w:val="3"/>
        <w:spacing w:line="364" w:lineRule="auto"/>
        <w:ind w:right="311" w:firstLine="480"/>
        <w:jc w:val="both"/>
        <w:rPr>
          <w:color w:val="auto"/>
          <w:highlight w:val="none"/>
        </w:rPr>
      </w:pPr>
      <w:r>
        <w:rPr>
          <w:color w:val="auto"/>
          <w:highlight w:val="none"/>
        </w:rPr>
        <w:t>根据《浙江省财政厅、浙江省中小企业局转发财政部、工业和信息化部关于印发&lt;政府采购促进中小企业发展暂行办法&gt;的通知》（浙财采监[2012]11 号）及《浙江省财政厅浙江省经济和信息化委员会关于简化中小企业类别确认流程有关事项的通知》（浙财采监</w:t>
      </w:r>
    </w:p>
    <w:p>
      <w:pPr>
        <w:spacing w:before="0" w:line="364" w:lineRule="auto"/>
        <w:ind w:left="283" w:right="306" w:firstLine="0"/>
        <w:jc w:val="both"/>
        <w:rPr>
          <w:b/>
          <w:color w:val="auto"/>
          <w:sz w:val="24"/>
          <w:highlight w:val="none"/>
        </w:rPr>
      </w:pPr>
      <w:r>
        <w:rPr>
          <w:color w:val="auto"/>
          <w:spacing w:val="4"/>
          <w:sz w:val="24"/>
          <w:highlight w:val="none"/>
        </w:rPr>
        <w:t>〔</w:t>
      </w:r>
      <w:r>
        <w:rPr>
          <w:color w:val="auto"/>
          <w:sz w:val="24"/>
          <w:highlight w:val="none"/>
        </w:rPr>
        <w:t>2018</w:t>
      </w:r>
      <w:r>
        <w:rPr>
          <w:color w:val="auto"/>
          <w:spacing w:val="4"/>
          <w:sz w:val="24"/>
          <w:highlight w:val="none"/>
        </w:rPr>
        <w:t>〕</w:t>
      </w:r>
      <w:r>
        <w:rPr>
          <w:color w:val="auto"/>
          <w:sz w:val="24"/>
          <w:highlight w:val="none"/>
        </w:rPr>
        <w:t>2</w:t>
      </w:r>
      <w:r>
        <w:rPr>
          <w:color w:val="auto"/>
          <w:spacing w:val="-23"/>
          <w:sz w:val="24"/>
          <w:highlight w:val="none"/>
        </w:rPr>
        <w:t xml:space="preserve"> 号</w:t>
      </w:r>
      <w:r>
        <w:rPr>
          <w:color w:val="auto"/>
          <w:spacing w:val="3"/>
          <w:sz w:val="24"/>
          <w:highlight w:val="none"/>
        </w:rPr>
        <w:t>）</w:t>
      </w:r>
      <w:r>
        <w:rPr>
          <w:color w:val="auto"/>
          <w:sz w:val="24"/>
          <w:highlight w:val="none"/>
        </w:rPr>
        <w:t>，对浙江政府采购网正式入库供应商的小型、微型企业或监狱企业、残疾</w:t>
      </w:r>
      <w:r>
        <w:rPr>
          <w:color w:val="auto"/>
          <w:spacing w:val="-3"/>
          <w:sz w:val="24"/>
          <w:highlight w:val="none"/>
        </w:rPr>
        <w:t xml:space="preserve">人福利性单位的报价给予 </w:t>
      </w:r>
      <w:r>
        <w:rPr>
          <w:color w:val="auto"/>
          <w:sz w:val="24"/>
          <w:highlight w:val="none"/>
        </w:rPr>
        <w:t>6%的扣除，并用扣除后的价格计算价格评分。</w:t>
      </w:r>
      <w:r>
        <w:rPr>
          <w:b/>
          <w:color w:val="auto"/>
          <w:sz w:val="24"/>
          <w:highlight w:val="none"/>
        </w:rPr>
        <w:t>磋商供应商需提供的相关证明材料，未提供的不享受上述扶持政策。</w:t>
      </w:r>
    </w:p>
    <w:p>
      <w:pPr>
        <w:pStyle w:val="3"/>
        <w:spacing w:line="364" w:lineRule="auto"/>
        <w:ind w:right="299" w:firstLine="480"/>
        <w:jc w:val="both"/>
        <w:rPr>
          <w:color w:val="auto"/>
          <w:spacing w:val="6"/>
          <w:highlight w:val="none"/>
        </w:rPr>
      </w:pPr>
      <w:r>
        <w:rPr>
          <w:b/>
          <w:color w:val="auto"/>
          <w:highlight w:val="none"/>
        </w:rPr>
        <w:t>技术和商务方案（B=</w:t>
      </w:r>
      <w:r>
        <w:rPr>
          <w:rFonts w:hint="eastAsia"/>
          <w:b/>
          <w:color w:val="auto"/>
          <w:highlight w:val="none"/>
          <w:lang w:val="en-US" w:eastAsia="zh-CN"/>
        </w:rPr>
        <w:t>90</w:t>
      </w:r>
      <w:r>
        <w:rPr>
          <w:b/>
          <w:color w:val="auto"/>
          <w:spacing w:val="-18"/>
          <w:highlight w:val="none"/>
        </w:rPr>
        <w:t xml:space="preserve"> 分</w:t>
      </w:r>
      <w:r>
        <w:rPr>
          <w:b/>
          <w:color w:val="auto"/>
          <w:highlight w:val="none"/>
        </w:rPr>
        <w:t>）：</w:t>
      </w:r>
      <w:r>
        <w:rPr>
          <w:color w:val="auto"/>
          <w:highlight w:val="none"/>
        </w:rPr>
        <w:t>主要包含方案的先进性、科学性和完整性，</w:t>
      </w:r>
      <w:r>
        <w:rPr>
          <w:rFonts w:hint="eastAsia"/>
          <w:color w:val="auto"/>
          <w:highlight w:val="none"/>
          <w:lang w:val="en-US" w:eastAsia="zh-CN"/>
        </w:rPr>
        <w:t>提供成果</w:t>
      </w:r>
      <w:r>
        <w:rPr>
          <w:color w:val="auto"/>
          <w:highlight w:val="none"/>
        </w:rPr>
        <w:t>与需求</w:t>
      </w:r>
      <w:r>
        <w:rPr>
          <w:color w:val="auto"/>
          <w:spacing w:val="6"/>
          <w:highlight w:val="none"/>
        </w:rPr>
        <w:t>的吻合程度，提供的售后服务方案、维护人员和机构等情况的服务优劣程度等方面的因素，以及承诺和优惠。</w:t>
      </w:r>
    </w:p>
    <w:tbl>
      <w:tblPr>
        <w:tblStyle w:val="16"/>
        <w:tblpPr w:leftFromText="180" w:rightFromText="180" w:vertAnchor="text" w:horzAnchor="page" w:tblpX="1208" w:tblpY="225"/>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560" w:type="dxa"/>
            <w:vAlign w:val="center"/>
          </w:tcPr>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pacing w:val="-6"/>
                <w:sz w:val="24"/>
                <w:szCs w:val="24"/>
              </w:rPr>
              <w:t>评审因素</w:t>
            </w:r>
          </w:p>
        </w:tc>
        <w:tc>
          <w:tcPr>
            <w:tcW w:w="709" w:type="dxa"/>
            <w:vAlign w:val="center"/>
          </w:tcPr>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pacing w:val="-6"/>
                <w:sz w:val="24"/>
                <w:szCs w:val="24"/>
              </w:rPr>
              <w:t>分值</w:t>
            </w:r>
          </w:p>
        </w:tc>
        <w:tc>
          <w:tcPr>
            <w:tcW w:w="7371" w:type="dxa"/>
            <w:vAlign w:val="center"/>
          </w:tcPr>
          <w:p>
            <w:pPr>
              <w:pStyle w:val="2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pacing w:val="-6"/>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40" w:type="dxa"/>
            <w:gridSpan w:val="3"/>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商务资信分（5分）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560" w:type="dxa"/>
            <w:vAlign w:val="center"/>
          </w:tcPr>
          <w:p>
            <w:pPr>
              <w:keepNext w:val="0"/>
              <w:keepLines w:val="0"/>
              <w:pageBreakBefore w:val="0"/>
              <w:widowControl w:val="0"/>
              <w:kinsoku/>
              <w:wordWrap/>
              <w:overflowPunct/>
              <w:topLinePunct w:val="0"/>
              <w:bidi w:val="0"/>
              <w:spacing w:line="360" w:lineRule="auto"/>
              <w:ind w:left="460" w:leftChars="10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类似业绩</w:t>
            </w:r>
          </w:p>
          <w:p>
            <w:pPr>
              <w:keepNext w:val="0"/>
              <w:keepLines w:val="0"/>
              <w:pageBreakBefore w:val="0"/>
              <w:widowControl w:val="0"/>
              <w:kinsoku/>
              <w:wordWrap/>
              <w:overflowPunct/>
              <w:topLinePunct w:val="0"/>
              <w:bidi w:val="0"/>
              <w:spacing w:line="360" w:lineRule="auto"/>
              <w:ind w:left="460" w:leftChars="10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（5分）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371" w:type="dxa"/>
            <w:vAlign w:val="center"/>
          </w:tcPr>
          <w:p>
            <w:pPr>
              <w:pStyle w:val="23"/>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单位成立至今有省级及以上大型体育赛事的餐饮研究课题的每项0.5分，有国际赛事餐饮规划类经验,每个规划1分；响应文件中提供合同或项目委托书或其他立项证明复印件并加盖公章;以签订时间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40" w:type="dxa"/>
            <w:gridSpan w:val="3"/>
            <w:vAlign w:val="center"/>
          </w:tcPr>
          <w:p>
            <w:pPr>
              <w:pStyle w:val="11"/>
              <w:keepNext w:val="0"/>
              <w:keepLines w:val="0"/>
              <w:pageBreakBefore w:val="0"/>
              <w:widowControl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bCs/>
                <w:spacing w:val="0"/>
                <w:sz w:val="24"/>
                <w:szCs w:val="24"/>
              </w:rPr>
              <w:t>技术分（85分）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560"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企业</w:t>
            </w:r>
            <w:r>
              <w:rPr>
                <w:rFonts w:hint="eastAsia" w:ascii="宋体" w:hAnsi="宋体" w:eastAsia="宋体" w:cs="宋体"/>
                <w:sz w:val="24"/>
                <w:szCs w:val="24"/>
                <w:lang w:val="en-US" w:eastAsia="zh-CN"/>
              </w:rPr>
              <w:t>实力</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371"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根据磋商响应供应商提供</w:t>
            </w:r>
            <w:r>
              <w:rPr>
                <w:rFonts w:hint="eastAsia" w:ascii="宋体" w:hAnsi="宋体" w:eastAsia="宋体" w:cs="宋体"/>
                <w:color w:val="000000"/>
                <w:sz w:val="24"/>
                <w:szCs w:val="24"/>
              </w:rPr>
              <w:t>获得相关政府部门表彰或荣誉的每个得1分，共5分。提供表彰证明材料。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restart"/>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项目实施方案（21分）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根据项目研究的实施方案（从具体的调查方案、方法、步骤及其完成进度-四方面）的合理性、科学性（有计算模型与真实数据来源）、可实施性，以及项目研究的理念打分。</w:t>
            </w:r>
          </w:p>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有具体调查方案且科学合理的，得4分；有具体方法且科学合理的，得4分；有研究步骤且科学合理的，得4分；有完成进度设置且符合要求的，得4分；项目研究方案体现安全绿色优质多元服务理念的，得2分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从是否提出有助于落实与提升本项目完成质量的优化方案打分。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restart"/>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项目研究内容</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研究的成果与餐饮保障工作的衔接程度紧密的，得4分。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从对项目背景、现状理解与分析，提出对本项目的重点、难点分析情况及解决措施打分。有对背景、现状理解和分析的，得2分；有提出重点难点的分析并有合理可操作的解决措施的，得3分。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从本项目重点任务的工作思路、组织实施方式（两方面）的合理性、先进性及针对性打分。有对重点任务的工作思路清晰且具有先进性的，得3分；有组织实施方式且合理有针对性的，得3分。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方案中，项目调查表式设计、抽样方法选取和质量控制的合理性、先进性及针对性打分。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报告撰写的思路或大纲是否科学、合理打分。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60" w:type="dxa"/>
            <w:vMerge w:val="restart"/>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服务团队</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组织架构： </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（1）团队组织架构完善，人员配置合理，得2分，否则不得分； </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（2）岗位职责清晰得2分，否则不得分； </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注：需提供人员清单，组织架构、岗位职责等，否则不予承认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根据拟派项目负责人有国内或国际重大赛事活动相关业务领域（餐饮服务、物流保障、食品安全保障及亚运会场馆和酒店服务规划）的经验的得2分。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注：需提供相关证明。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7371" w:type="dxa"/>
            <w:vAlign w:val="center"/>
          </w:tcPr>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团队人员业绩：</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1、有大型赛事和大型体育运动会管理的深厚理论素养和丰富的案例及积累经验，得3分，否则不得分；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2、对亚运会餐饮服务运作有深入全面科学的研究经验；得3分，否则不得分；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3、具有相应实战经验的专家顾问团队（类似国际赛事保障经验的优先）。得3分，否则不得分；</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注：需提供相关证明。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restart"/>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质量保障措施</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实施进度安排：根据项目特点及进度要求，制定详细月、季度工作计划，从计划周密，时间点控制科学、严格角度打分。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根据提供的项目质量保证体系完备周全，并具有针对性的应对措施等情况打分。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371" w:type="dxa"/>
            <w:vAlign w:val="center"/>
          </w:tcPr>
          <w:p>
            <w:pPr>
              <w:pStyle w:val="10"/>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供应商提供的后续服务保障方案、措施是否有利于本项目的开展，包括但不限于培训计划及后续跟踪咨询服务情况打分。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优惠（4分）</w:t>
            </w:r>
          </w:p>
        </w:tc>
        <w:tc>
          <w:tcPr>
            <w:tcW w:w="709" w:type="dxa"/>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71" w:type="dxa"/>
            <w:vAlign w:val="center"/>
          </w:tcPr>
          <w:p>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其他对采购人切实可行的优惠承诺或者增值服务打分。</w:t>
            </w:r>
          </w:p>
        </w:tc>
      </w:tr>
    </w:tbl>
    <w:p>
      <w:pPr>
        <w:pStyle w:val="3"/>
        <w:spacing w:line="364" w:lineRule="auto"/>
        <w:ind w:right="299" w:firstLine="480"/>
        <w:jc w:val="both"/>
        <w:rPr>
          <w:b/>
          <w:bCs/>
          <w:color w:val="auto"/>
          <w:spacing w:val="6"/>
          <w:highlight w:val="none"/>
        </w:rPr>
      </w:pPr>
    </w:p>
    <w:p>
      <w:pPr>
        <w:pStyle w:val="3"/>
        <w:spacing w:line="362" w:lineRule="auto"/>
        <w:ind w:left="763" w:right="414"/>
        <w:rPr>
          <w:color w:val="auto"/>
          <w:highlight w:val="none"/>
        </w:rPr>
      </w:pPr>
      <w:r>
        <w:rPr>
          <w:color w:val="auto"/>
          <w:highlight w:val="none"/>
        </w:rPr>
        <w:t>磋商小组根据磋商供应商提供的有效证明材料和采购机构提供的相关数据进行打分。综合得分=A+B</w:t>
      </w:r>
    </w:p>
    <w:p>
      <w:pPr>
        <w:pStyle w:val="19"/>
        <w:numPr>
          <w:ilvl w:val="0"/>
          <w:numId w:val="14"/>
        </w:numPr>
        <w:tabs>
          <w:tab w:val="left" w:pos="1365"/>
        </w:tabs>
        <w:spacing w:before="0" w:after="0" w:line="240" w:lineRule="auto"/>
        <w:ind w:left="1364" w:right="0" w:hanging="602"/>
        <w:jc w:val="left"/>
        <w:rPr>
          <w:color w:val="auto"/>
          <w:sz w:val="24"/>
          <w:highlight w:val="none"/>
        </w:rPr>
      </w:pPr>
      <w:r>
        <w:rPr>
          <w:color w:val="auto"/>
          <w:sz w:val="24"/>
          <w:highlight w:val="none"/>
        </w:rPr>
        <w:t>磋商文件没有规定的评审标准不作为评审依据。</w:t>
      </w:r>
    </w:p>
    <w:p>
      <w:pPr>
        <w:pStyle w:val="19"/>
        <w:numPr>
          <w:ilvl w:val="0"/>
          <w:numId w:val="14"/>
        </w:numPr>
        <w:tabs>
          <w:tab w:val="left" w:pos="1383"/>
        </w:tabs>
        <w:spacing w:before="160" w:after="0" w:line="362" w:lineRule="auto"/>
        <w:ind w:left="283" w:right="314" w:firstLine="480"/>
        <w:jc w:val="left"/>
        <w:rPr>
          <w:color w:val="auto"/>
          <w:sz w:val="24"/>
          <w:highlight w:val="none"/>
        </w:rPr>
      </w:pPr>
      <w:r>
        <w:rPr>
          <w:color w:val="auto"/>
          <w:spacing w:val="3"/>
          <w:sz w:val="24"/>
          <w:highlight w:val="none"/>
        </w:rPr>
        <w:t>磋商小组成员独立对每个有效响应的文件进行评价、打分，所有磋商小组成员打分算数平均值为每个供应商的得分。</w:t>
      </w:r>
    </w:p>
    <w:p>
      <w:pPr>
        <w:pStyle w:val="19"/>
        <w:numPr>
          <w:ilvl w:val="1"/>
          <w:numId w:val="15"/>
        </w:numPr>
        <w:tabs>
          <w:tab w:val="left" w:pos="1354"/>
        </w:tabs>
        <w:spacing w:before="5" w:after="0" w:line="240" w:lineRule="auto"/>
        <w:ind w:left="1353" w:right="0" w:hanging="601"/>
        <w:jc w:val="left"/>
        <w:rPr>
          <w:color w:val="auto"/>
          <w:sz w:val="24"/>
          <w:highlight w:val="none"/>
        </w:rPr>
      </w:pPr>
      <w:r>
        <w:rPr>
          <w:color w:val="auto"/>
          <w:sz w:val="24"/>
          <w:highlight w:val="none"/>
        </w:rPr>
        <w:t>评审意见</w:t>
      </w:r>
    </w:p>
    <w:p>
      <w:pPr>
        <w:pStyle w:val="3"/>
        <w:spacing w:before="161" w:line="364" w:lineRule="auto"/>
        <w:ind w:right="414" w:firstLine="470"/>
        <w:jc w:val="both"/>
        <w:rPr>
          <w:color w:val="auto"/>
          <w:highlight w:val="none"/>
        </w:rPr>
      </w:pPr>
      <w:r>
        <w:rPr>
          <w:color w:val="auto"/>
          <w:highlight w:val="none"/>
        </w:rPr>
        <w:t>磋商小组应当根据综合评分情况，按照评审得分由高到低顺序推荐排序第一的供应商为成交候选供应商，并编写评审报告。评审得分相同的，按照最后报价由低到高的顺序推荐。评审得分且最后报价相同的，按照技术指标优劣顺序推荐。</w:t>
      </w:r>
    </w:p>
    <w:p>
      <w:pPr>
        <w:pStyle w:val="3"/>
        <w:spacing w:line="364" w:lineRule="auto"/>
        <w:ind w:right="424" w:firstLine="470"/>
        <w:rPr>
          <w:color w:val="auto"/>
          <w:highlight w:val="none"/>
        </w:rPr>
      </w:pPr>
      <w:r>
        <w:rPr>
          <w:color w:val="auto"/>
          <w:highlight w:val="none"/>
        </w:rPr>
        <w:t>最后报价递交后成交通知书发出前，响应供应商退出磋商的，则其排名由排名后一位的响应供应商自动替补。其磋商保证金不予退还。</w:t>
      </w:r>
    </w:p>
    <w:p>
      <w:pPr>
        <w:pStyle w:val="19"/>
        <w:numPr>
          <w:ilvl w:val="1"/>
          <w:numId w:val="15"/>
        </w:numPr>
        <w:tabs>
          <w:tab w:val="left" w:pos="1474"/>
        </w:tabs>
        <w:spacing w:before="0" w:after="0" w:line="306" w:lineRule="exact"/>
        <w:ind w:left="1473" w:right="0" w:hanging="721"/>
        <w:jc w:val="left"/>
        <w:rPr>
          <w:color w:val="auto"/>
          <w:sz w:val="24"/>
          <w:highlight w:val="none"/>
        </w:rPr>
      </w:pPr>
      <w:r>
        <w:rPr>
          <w:color w:val="auto"/>
          <w:sz w:val="24"/>
          <w:highlight w:val="none"/>
        </w:rPr>
        <w:t>评审报告</w:t>
      </w:r>
    </w:p>
    <w:p>
      <w:pPr>
        <w:pStyle w:val="3"/>
        <w:spacing w:before="157" w:line="362" w:lineRule="auto"/>
        <w:ind w:right="424" w:firstLine="470"/>
        <w:rPr>
          <w:color w:val="auto"/>
          <w:highlight w:val="none"/>
        </w:rPr>
      </w:pPr>
      <w:r>
        <w:rPr>
          <w:color w:val="auto"/>
          <w:highlight w:val="none"/>
        </w:rPr>
        <w:t>评审报告是磋商小组根据全体成员签字的原始评审记录和评审结果编写的报告，其主要内容包括：</w:t>
      </w:r>
    </w:p>
    <w:p>
      <w:pPr>
        <w:pStyle w:val="19"/>
        <w:numPr>
          <w:ilvl w:val="0"/>
          <w:numId w:val="16"/>
        </w:numPr>
        <w:tabs>
          <w:tab w:val="left" w:pos="1365"/>
        </w:tabs>
        <w:spacing w:before="5" w:after="0" w:line="240" w:lineRule="auto"/>
        <w:ind w:left="1364" w:right="0" w:hanging="602"/>
        <w:jc w:val="left"/>
        <w:rPr>
          <w:color w:val="auto"/>
          <w:sz w:val="24"/>
          <w:highlight w:val="none"/>
        </w:rPr>
      </w:pPr>
      <w:r>
        <w:rPr>
          <w:color w:val="auto"/>
          <w:sz w:val="24"/>
          <w:highlight w:val="none"/>
        </w:rPr>
        <w:t>邀请供应商参加采购活动的具体方式和相关情况；</w:t>
      </w:r>
    </w:p>
    <w:p>
      <w:pPr>
        <w:pStyle w:val="19"/>
        <w:numPr>
          <w:ilvl w:val="0"/>
          <w:numId w:val="16"/>
        </w:numPr>
        <w:tabs>
          <w:tab w:val="left" w:pos="1365"/>
        </w:tabs>
        <w:spacing w:before="158" w:after="0" w:line="240" w:lineRule="auto"/>
        <w:ind w:left="1364" w:right="0" w:hanging="602"/>
        <w:jc w:val="left"/>
        <w:rPr>
          <w:color w:val="auto"/>
          <w:sz w:val="24"/>
          <w:highlight w:val="none"/>
        </w:rPr>
      </w:pPr>
      <w:r>
        <w:rPr>
          <w:color w:val="auto"/>
          <w:sz w:val="24"/>
          <w:highlight w:val="none"/>
        </w:rPr>
        <w:t>响应文件开启日期和地点；</w:t>
      </w:r>
    </w:p>
    <w:p>
      <w:pPr>
        <w:pStyle w:val="19"/>
        <w:numPr>
          <w:ilvl w:val="0"/>
          <w:numId w:val="16"/>
        </w:numPr>
        <w:tabs>
          <w:tab w:val="left" w:pos="1365"/>
        </w:tabs>
        <w:spacing w:before="161" w:after="0" w:line="240" w:lineRule="auto"/>
        <w:ind w:left="1364" w:right="0" w:hanging="602"/>
        <w:jc w:val="left"/>
        <w:rPr>
          <w:color w:val="auto"/>
          <w:sz w:val="24"/>
          <w:highlight w:val="none"/>
        </w:rPr>
      </w:pPr>
      <w:r>
        <w:rPr>
          <w:color w:val="auto"/>
          <w:sz w:val="24"/>
          <w:highlight w:val="none"/>
        </w:rPr>
        <w:t>获取磋商文件的供应商名单和磋商小组成员名单；</w:t>
      </w:r>
    </w:p>
    <w:p>
      <w:pPr>
        <w:pStyle w:val="19"/>
        <w:numPr>
          <w:ilvl w:val="0"/>
          <w:numId w:val="16"/>
        </w:numPr>
        <w:tabs>
          <w:tab w:val="left" w:pos="1383"/>
        </w:tabs>
        <w:spacing w:before="158" w:after="0" w:line="364" w:lineRule="auto"/>
        <w:ind w:left="283" w:right="314" w:firstLine="480"/>
        <w:jc w:val="left"/>
        <w:rPr>
          <w:color w:val="auto"/>
          <w:sz w:val="24"/>
          <w:highlight w:val="none"/>
        </w:rPr>
      </w:pPr>
      <w:r>
        <w:rPr>
          <w:color w:val="auto"/>
          <w:spacing w:val="3"/>
          <w:sz w:val="24"/>
          <w:highlight w:val="none"/>
        </w:rPr>
        <w:t>评审情况记录和说明，包括对供应商的资格审查情况、供应商响应文件评审情况、磋商情况、报价情况等；</w:t>
      </w:r>
    </w:p>
    <w:p>
      <w:pPr>
        <w:pStyle w:val="19"/>
        <w:numPr>
          <w:ilvl w:val="0"/>
          <w:numId w:val="16"/>
        </w:numPr>
        <w:tabs>
          <w:tab w:val="left" w:pos="1365"/>
        </w:tabs>
        <w:spacing w:before="0" w:after="0" w:line="306" w:lineRule="exact"/>
        <w:ind w:left="1364" w:right="0" w:hanging="602"/>
        <w:jc w:val="left"/>
        <w:rPr>
          <w:color w:val="auto"/>
          <w:sz w:val="24"/>
          <w:highlight w:val="none"/>
        </w:rPr>
      </w:pPr>
      <w:r>
        <w:rPr>
          <w:color w:val="auto"/>
          <w:sz w:val="24"/>
          <w:highlight w:val="none"/>
        </w:rPr>
        <w:t>提出的成交候选供应商的排序名单及理由。</w:t>
      </w:r>
    </w:p>
    <w:p>
      <w:pPr>
        <w:spacing w:after="0" w:line="306" w:lineRule="exact"/>
        <w:jc w:val="left"/>
        <w:rPr>
          <w:color w:val="auto"/>
          <w:sz w:val="24"/>
          <w:highlight w:val="none"/>
        </w:rPr>
        <w:sectPr>
          <w:footerReference r:id="rId10" w:type="default"/>
          <w:pgSz w:w="11900" w:h="16840"/>
          <w:pgMar w:top="1140" w:right="820" w:bottom="720" w:left="1020" w:header="0" w:footer="529" w:gutter="0"/>
        </w:sectPr>
      </w:pPr>
    </w:p>
    <w:p>
      <w:pPr>
        <w:pStyle w:val="5"/>
        <w:ind w:right="31"/>
        <w:rPr>
          <w:color w:val="auto"/>
          <w:highlight w:val="none"/>
        </w:rPr>
      </w:pPr>
      <w:bookmarkStart w:id="79" w:name="七、确定成交供应商"/>
      <w:bookmarkEnd w:id="79"/>
      <w:bookmarkStart w:id="80" w:name="_Toc4783"/>
      <w:r>
        <w:rPr>
          <w:color w:val="auto"/>
          <w:highlight w:val="none"/>
        </w:rPr>
        <w:t>七、确定成交供应商</w:t>
      </w:r>
      <w:bookmarkEnd w:id="80"/>
    </w:p>
    <w:p>
      <w:pPr>
        <w:pStyle w:val="9"/>
        <w:numPr>
          <w:ilvl w:val="0"/>
          <w:numId w:val="3"/>
        </w:numPr>
        <w:tabs>
          <w:tab w:val="left" w:pos="768"/>
        </w:tabs>
        <w:spacing w:before="210" w:after="0" w:line="240" w:lineRule="auto"/>
        <w:ind w:left="768" w:right="0" w:hanging="485"/>
        <w:jc w:val="both"/>
        <w:rPr>
          <w:color w:val="auto"/>
          <w:highlight w:val="none"/>
        </w:rPr>
      </w:pPr>
      <w:bookmarkStart w:id="81" w:name="23. 确定成交供应商"/>
      <w:bookmarkEnd w:id="81"/>
      <w:bookmarkStart w:id="82" w:name="23. 确定成交供应商"/>
      <w:bookmarkEnd w:id="82"/>
      <w:r>
        <w:rPr>
          <w:color w:val="auto"/>
          <w:highlight w:val="none"/>
        </w:rPr>
        <w:t>确定成交供应商</w:t>
      </w:r>
    </w:p>
    <w:p>
      <w:pPr>
        <w:pStyle w:val="19"/>
        <w:numPr>
          <w:ilvl w:val="1"/>
          <w:numId w:val="3"/>
        </w:numPr>
        <w:tabs>
          <w:tab w:val="left" w:pos="1371"/>
        </w:tabs>
        <w:spacing w:before="160" w:after="0" w:line="364" w:lineRule="auto"/>
        <w:ind w:left="283" w:right="311" w:firstLine="480"/>
        <w:jc w:val="both"/>
        <w:rPr>
          <w:color w:val="auto"/>
          <w:sz w:val="24"/>
          <w:highlight w:val="none"/>
        </w:rPr>
      </w:pPr>
      <w:r>
        <w:rPr>
          <w:color w:val="auto"/>
          <w:spacing w:val="-2"/>
          <w:sz w:val="24"/>
          <w:highlight w:val="none"/>
        </w:rPr>
        <w:t xml:space="preserve">采购人应当在收到评审报告后 </w:t>
      </w:r>
      <w:r>
        <w:rPr>
          <w:color w:val="auto"/>
          <w:sz w:val="24"/>
          <w:highlight w:val="none"/>
        </w:rPr>
        <w:t>5</w:t>
      </w:r>
      <w:r>
        <w:rPr>
          <w:color w:val="auto"/>
          <w:spacing w:val="-1"/>
          <w:sz w:val="24"/>
          <w:highlight w:val="none"/>
        </w:rPr>
        <w:t xml:space="preserve"> 个工作日内，从评审报告提出的成交候选供应</w:t>
      </w:r>
      <w:r>
        <w:rPr>
          <w:color w:val="auto"/>
          <w:sz w:val="24"/>
          <w:highlight w:val="none"/>
        </w:rPr>
        <w:t>商中，按照排序由高到低的原则确定成交供应商，也可以书面授权磋商小组直接确定成交供应商。成交供应商并列的，由采购人或者采购人委托评审小组按照磋商文件规定的方式确定成交供应商；磋商文件未规定的，采取随机抽取的方式确定。采购人逾期未确定成交供应商且不提出异议的，视为确定评审报告提出的排序第一的供应商为成交供应商。</w:t>
      </w:r>
    </w:p>
    <w:p>
      <w:pPr>
        <w:pStyle w:val="19"/>
        <w:numPr>
          <w:ilvl w:val="1"/>
          <w:numId w:val="3"/>
        </w:numPr>
        <w:tabs>
          <w:tab w:val="left" w:pos="1371"/>
        </w:tabs>
        <w:spacing w:before="0" w:after="0" w:line="364" w:lineRule="auto"/>
        <w:ind w:left="283" w:right="314" w:firstLine="480"/>
        <w:jc w:val="both"/>
        <w:rPr>
          <w:color w:val="auto"/>
          <w:sz w:val="24"/>
          <w:highlight w:val="none"/>
        </w:rPr>
      </w:pPr>
      <w:r>
        <w:rPr>
          <w:color w:val="auto"/>
          <w:sz w:val="24"/>
          <w:highlight w:val="none"/>
        </w:rPr>
        <w:t>采购人或者采购代理机构应当在成交供应商确定后 2</w:t>
      </w:r>
      <w:r>
        <w:rPr>
          <w:color w:val="auto"/>
          <w:spacing w:val="-3"/>
          <w:sz w:val="24"/>
          <w:highlight w:val="none"/>
        </w:rPr>
        <w:t xml:space="preserve"> 个工作日内，在省级以上</w:t>
      </w:r>
      <w:r>
        <w:rPr>
          <w:color w:val="auto"/>
          <w:spacing w:val="-2"/>
          <w:sz w:val="24"/>
          <w:highlight w:val="none"/>
        </w:rPr>
        <w:t>财政部门指定的政府采购信息发布媒体上公告成交结果，同时向成交供应商发出成交通知书。</w:t>
      </w:r>
    </w:p>
    <w:p>
      <w:pPr>
        <w:pStyle w:val="3"/>
        <w:ind w:left="0"/>
        <w:rPr>
          <w:color w:val="auto"/>
          <w:highlight w:val="none"/>
        </w:rPr>
      </w:pPr>
    </w:p>
    <w:p>
      <w:pPr>
        <w:pStyle w:val="5"/>
        <w:spacing w:before="155"/>
        <w:ind w:right="31"/>
        <w:rPr>
          <w:color w:val="auto"/>
          <w:highlight w:val="none"/>
        </w:rPr>
      </w:pPr>
      <w:bookmarkStart w:id="83" w:name="八、合同签订及其他"/>
      <w:bookmarkEnd w:id="83"/>
      <w:bookmarkStart w:id="84" w:name="_Toc16635"/>
      <w:r>
        <w:rPr>
          <w:color w:val="auto"/>
          <w:highlight w:val="none"/>
        </w:rPr>
        <w:t>八、合同签订及其他</w:t>
      </w:r>
      <w:bookmarkEnd w:id="84"/>
    </w:p>
    <w:p>
      <w:pPr>
        <w:pStyle w:val="9"/>
        <w:numPr>
          <w:ilvl w:val="0"/>
          <w:numId w:val="3"/>
        </w:numPr>
        <w:tabs>
          <w:tab w:val="left" w:pos="768"/>
        </w:tabs>
        <w:spacing w:before="212" w:after="0" w:line="240" w:lineRule="auto"/>
        <w:ind w:left="768" w:right="0" w:hanging="485"/>
        <w:jc w:val="both"/>
        <w:rPr>
          <w:color w:val="auto"/>
          <w:highlight w:val="none"/>
        </w:rPr>
      </w:pPr>
      <w:bookmarkStart w:id="85" w:name="24. 签订合同"/>
      <w:bookmarkEnd w:id="85"/>
      <w:bookmarkStart w:id="86" w:name="24. 签订合同"/>
      <w:bookmarkEnd w:id="86"/>
      <w:r>
        <w:rPr>
          <w:color w:val="auto"/>
          <w:highlight w:val="none"/>
        </w:rPr>
        <w:t>签订合同</w:t>
      </w:r>
    </w:p>
    <w:p>
      <w:pPr>
        <w:pStyle w:val="19"/>
        <w:numPr>
          <w:ilvl w:val="1"/>
          <w:numId w:val="3"/>
        </w:numPr>
        <w:tabs>
          <w:tab w:val="left" w:pos="1368"/>
        </w:tabs>
        <w:spacing w:before="158" w:after="0" w:line="364" w:lineRule="auto"/>
        <w:ind w:left="283" w:right="314" w:firstLine="480"/>
        <w:jc w:val="both"/>
        <w:rPr>
          <w:color w:val="auto"/>
          <w:sz w:val="24"/>
          <w:highlight w:val="none"/>
        </w:rPr>
      </w:pPr>
      <w:r>
        <w:rPr>
          <w:color w:val="auto"/>
          <w:spacing w:val="-2"/>
          <w:sz w:val="24"/>
          <w:highlight w:val="none"/>
        </w:rPr>
        <w:t xml:space="preserve">采购人与成交供应商应当在成交通知书发出之日起 </w:t>
      </w:r>
      <w:r>
        <w:rPr>
          <w:color w:val="auto"/>
          <w:sz w:val="24"/>
          <w:highlight w:val="none"/>
        </w:rPr>
        <w:t>30</w:t>
      </w:r>
      <w:r>
        <w:rPr>
          <w:color w:val="auto"/>
          <w:spacing w:val="-5"/>
          <w:sz w:val="24"/>
          <w:highlight w:val="none"/>
        </w:rPr>
        <w:t xml:space="preserve"> 日内，按照磋商文件确定的合同文本以及采购货物和服务要求等事项签订政府采购合同。</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成交供应商拒绝签订政府采购合同的，采购人可以选择排名后一位的磋商供应</w:t>
      </w:r>
      <w:r>
        <w:rPr>
          <w:color w:val="auto"/>
          <w:sz w:val="24"/>
          <w:highlight w:val="none"/>
        </w:rPr>
        <w:t>商作为成交供应商并签订政府采购合同，也可以重新开展采购活动。拒绝签订政府采购合同的成交供应商不得参加对该项目重新开展的采购活动。</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拒签合同的成交供应商接到成交通知书后，在规定时间内借故否认已经承诺的</w:t>
      </w:r>
      <w:r>
        <w:rPr>
          <w:color w:val="auto"/>
          <w:sz w:val="24"/>
          <w:highlight w:val="none"/>
        </w:rPr>
        <w:t>条件而拒签合同者，以磋商违约处理，其磋商保证金不予退回。成交供应商承担由此造成的直接经济损失，采购人保留向其索赔的权力。</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签订合同后，成交供应商不得将本项目进行转包。未经采购人同意，成交供应</w:t>
      </w:r>
      <w:r>
        <w:rPr>
          <w:color w:val="auto"/>
          <w:sz w:val="24"/>
          <w:highlight w:val="none"/>
        </w:rPr>
        <w:t>商不得采用分包的形式履行合同。否则，采购人有权终止合同。转包或分包造成采购人损失的，成交供应商还应承担相应的赔偿责任。</w:t>
      </w:r>
    </w:p>
    <w:p>
      <w:pPr>
        <w:pStyle w:val="9"/>
        <w:numPr>
          <w:ilvl w:val="0"/>
          <w:numId w:val="3"/>
        </w:numPr>
        <w:tabs>
          <w:tab w:val="left" w:pos="768"/>
        </w:tabs>
        <w:spacing w:before="0" w:after="0" w:line="307" w:lineRule="exact"/>
        <w:ind w:left="768" w:right="0" w:hanging="485"/>
        <w:jc w:val="both"/>
        <w:rPr>
          <w:color w:val="auto"/>
          <w:highlight w:val="none"/>
        </w:rPr>
      </w:pPr>
      <w:bookmarkStart w:id="87" w:name="25. 履约保证"/>
      <w:bookmarkEnd w:id="87"/>
      <w:bookmarkStart w:id="88" w:name="25. 履约保证"/>
      <w:bookmarkEnd w:id="88"/>
      <w:r>
        <w:rPr>
          <w:color w:val="auto"/>
          <w:highlight w:val="none"/>
        </w:rPr>
        <w:t>履约保证</w:t>
      </w:r>
    </w:p>
    <w:p>
      <w:pPr>
        <w:pStyle w:val="19"/>
        <w:numPr>
          <w:ilvl w:val="1"/>
          <w:numId w:val="3"/>
        </w:numPr>
        <w:tabs>
          <w:tab w:val="left" w:pos="1308"/>
        </w:tabs>
        <w:spacing w:before="156" w:after="0" w:line="364" w:lineRule="auto"/>
        <w:ind w:left="283" w:right="311" w:firstLine="482"/>
        <w:jc w:val="both"/>
        <w:rPr>
          <w:color w:val="auto"/>
          <w:sz w:val="24"/>
          <w:highlight w:val="none"/>
        </w:rPr>
      </w:pPr>
      <w:r>
        <w:rPr>
          <w:color w:val="auto"/>
          <w:spacing w:val="-1"/>
          <w:sz w:val="24"/>
          <w:highlight w:val="none"/>
        </w:rPr>
        <w:t>磋商文件要求成交供应商提交履约保证金的，成交供应商应当以支票、汇票、本</w:t>
      </w:r>
      <w:r>
        <w:rPr>
          <w:color w:val="auto"/>
          <w:sz w:val="24"/>
          <w:highlight w:val="none"/>
        </w:rPr>
        <w:t>票或者金融机构、担保机构出具的保函等非现金形式提交。</w:t>
      </w:r>
    </w:p>
    <w:p>
      <w:pPr>
        <w:pStyle w:val="9"/>
        <w:numPr>
          <w:ilvl w:val="0"/>
          <w:numId w:val="3"/>
        </w:numPr>
        <w:tabs>
          <w:tab w:val="left" w:pos="768"/>
        </w:tabs>
        <w:spacing w:before="0" w:after="0" w:line="305" w:lineRule="exact"/>
        <w:ind w:left="768" w:right="0" w:hanging="485"/>
        <w:jc w:val="both"/>
        <w:rPr>
          <w:color w:val="auto"/>
          <w:highlight w:val="none"/>
        </w:rPr>
      </w:pPr>
      <w:bookmarkStart w:id="89" w:name="26. 质疑和投诉"/>
      <w:bookmarkEnd w:id="89"/>
      <w:bookmarkStart w:id="90" w:name="26. 质疑和投诉"/>
      <w:bookmarkEnd w:id="90"/>
      <w:r>
        <w:rPr>
          <w:color w:val="auto"/>
          <w:highlight w:val="none"/>
        </w:rPr>
        <w:t>质疑和投诉</w:t>
      </w:r>
    </w:p>
    <w:p>
      <w:pPr>
        <w:pStyle w:val="3"/>
        <w:spacing w:before="161"/>
        <w:ind w:left="763"/>
        <w:rPr>
          <w:color w:val="auto"/>
          <w:highlight w:val="none"/>
        </w:rPr>
      </w:pPr>
      <w:r>
        <w:rPr>
          <w:color w:val="auto"/>
          <w:highlight w:val="none"/>
        </w:rPr>
        <w:t>根据《中华人民共和国政府采购法》和《中华人民共和国政府采购法实施条例》等有</w:t>
      </w:r>
    </w:p>
    <w:p>
      <w:pPr>
        <w:spacing w:after="0"/>
        <w:rPr>
          <w:color w:val="auto"/>
          <w:highlight w:val="none"/>
        </w:rPr>
        <w:sectPr>
          <w:pgSz w:w="11900" w:h="16840"/>
          <w:pgMar w:top="1100" w:right="820" w:bottom="800" w:left="1020" w:header="0" w:footer="529" w:gutter="0"/>
        </w:sectPr>
      </w:pPr>
    </w:p>
    <w:p>
      <w:pPr>
        <w:pStyle w:val="3"/>
        <w:spacing w:before="56" w:line="362" w:lineRule="auto"/>
        <w:ind w:right="314"/>
        <w:rPr>
          <w:color w:val="auto"/>
          <w:highlight w:val="none"/>
        </w:rPr>
      </w:pPr>
      <w:r>
        <w:rPr>
          <w:color w:val="auto"/>
          <w:highlight w:val="none"/>
        </w:rPr>
        <w:t>关规定，磋商供应商对政府采购活动事项有疑问的，可以向采购人和采购代理机构提出询问，采购人和采购代理机构应当及时作出答复，但答复的内容不得涉及商业秘密。</w:t>
      </w:r>
    </w:p>
    <w:p>
      <w:pPr>
        <w:pStyle w:val="19"/>
        <w:numPr>
          <w:ilvl w:val="1"/>
          <w:numId w:val="3"/>
        </w:numPr>
        <w:tabs>
          <w:tab w:val="left" w:pos="1371"/>
        </w:tabs>
        <w:spacing w:before="5" w:after="0" w:line="364" w:lineRule="auto"/>
        <w:ind w:left="283" w:right="311" w:firstLine="480"/>
        <w:jc w:val="both"/>
        <w:rPr>
          <w:color w:val="auto"/>
          <w:sz w:val="24"/>
          <w:highlight w:val="none"/>
        </w:rPr>
      </w:pPr>
      <w:r>
        <w:rPr>
          <w:color w:val="auto"/>
          <w:spacing w:val="3"/>
          <w:sz w:val="24"/>
          <w:highlight w:val="none"/>
        </w:rPr>
        <w:t>磋商供应商认为磋商文件、采购过程和成交结果使自己的权益受到损害的，可</w:t>
      </w:r>
      <w:r>
        <w:rPr>
          <w:color w:val="auto"/>
          <w:sz w:val="24"/>
          <w:highlight w:val="none"/>
        </w:rPr>
        <w:t>以在知道或者应知其权益受到损害之日起七个工作日内，以书面形式向采购人和采购代理机构提出质疑。详见前附表。</w:t>
      </w:r>
    </w:p>
    <w:p>
      <w:pPr>
        <w:pStyle w:val="19"/>
        <w:numPr>
          <w:ilvl w:val="1"/>
          <w:numId w:val="3"/>
        </w:numPr>
        <w:tabs>
          <w:tab w:val="left" w:pos="1371"/>
        </w:tabs>
        <w:spacing w:before="0" w:after="0" w:line="364" w:lineRule="auto"/>
        <w:ind w:left="283" w:right="314" w:firstLine="480"/>
        <w:jc w:val="both"/>
        <w:rPr>
          <w:color w:val="auto"/>
          <w:sz w:val="24"/>
          <w:highlight w:val="none"/>
        </w:rPr>
      </w:pPr>
      <w:r>
        <w:rPr>
          <w:color w:val="auto"/>
          <w:spacing w:val="3"/>
          <w:sz w:val="24"/>
          <w:highlight w:val="none"/>
        </w:rPr>
        <w:t>采购人和采购代理机构应当在收到磋商供应商的书面质疑后七个工作日内作出答复，并以书面形式通知质疑人，但答复的内容不得涉及商业秘密。</w:t>
      </w:r>
    </w:p>
    <w:p>
      <w:pPr>
        <w:pStyle w:val="19"/>
        <w:numPr>
          <w:ilvl w:val="1"/>
          <w:numId w:val="3"/>
        </w:numPr>
        <w:tabs>
          <w:tab w:val="left" w:pos="1371"/>
        </w:tabs>
        <w:spacing w:before="0" w:after="0" w:line="362" w:lineRule="auto"/>
        <w:ind w:left="283" w:right="311" w:firstLine="480"/>
        <w:jc w:val="both"/>
        <w:rPr>
          <w:color w:val="auto"/>
          <w:sz w:val="24"/>
          <w:highlight w:val="none"/>
        </w:rPr>
      </w:pPr>
      <w:r>
        <w:rPr>
          <w:color w:val="auto"/>
          <w:spacing w:val="3"/>
          <w:sz w:val="24"/>
          <w:highlight w:val="none"/>
        </w:rPr>
        <w:t>质疑人对采购人和采购代理机构的答复不满意或者采购人和采购代理机构未在</w:t>
      </w:r>
      <w:r>
        <w:rPr>
          <w:color w:val="auto"/>
          <w:sz w:val="24"/>
          <w:highlight w:val="none"/>
        </w:rPr>
        <w:t>规定的时间内作出答复的，可以在答复期满后十五个工作日内向同级政府采购监督管理部门提出投诉。</w:t>
      </w:r>
    </w:p>
    <w:p>
      <w:pPr>
        <w:pStyle w:val="19"/>
        <w:numPr>
          <w:ilvl w:val="1"/>
          <w:numId w:val="3"/>
        </w:numPr>
        <w:tabs>
          <w:tab w:val="left" w:pos="1371"/>
        </w:tabs>
        <w:spacing w:before="4" w:after="0" w:line="362" w:lineRule="auto"/>
        <w:ind w:left="283" w:right="311" w:firstLine="480"/>
        <w:jc w:val="both"/>
        <w:rPr>
          <w:color w:val="auto"/>
          <w:sz w:val="24"/>
          <w:highlight w:val="none"/>
        </w:rPr>
      </w:pPr>
      <w:r>
        <w:rPr>
          <w:color w:val="auto"/>
          <w:spacing w:val="-11"/>
          <w:sz w:val="24"/>
          <w:highlight w:val="none"/>
        </w:rPr>
        <w:t xml:space="preserve">投诉人 </w:t>
      </w:r>
      <w:r>
        <w:rPr>
          <w:color w:val="auto"/>
          <w:sz w:val="24"/>
          <w:highlight w:val="none"/>
        </w:rPr>
        <w:t>1</w:t>
      </w:r>
      <w:r>
        <w:rPr>
          <w:color w:val="auto"/>
          <w:spacing w:val="-26"/>
          <w:sz w:val="24"/>
          <w:highlight w:val="none"/>
        </w:rPr>
        <w:t xml:space="preserve"> 年内 </w:t>
      </w:r>
      <w:r>
        <w:rPr>
          <w:color w:val="auto"/>
          <w:sz w:val="24"/>
          <w:highlight w:val="none"/>
        </w:rPr>
        <w:t>3</w:t>
      </w:r>
      <w:r>
        <w:rPr>
          <w:color w:val="auto"/>
          <w:spacing w:val="-1"/>
          <w:sz w:val="24"/>
          <w:highlight w:val="none"/>
        </w:rPr>
        <w:t xml:space="preserve"> 次以上投诉均查无实据的或捏造事实或者提供虚假投诉材料的</w:t>
      </w:r>
      <w:r>
        <w:rPr>
          <w:color w:val="auto"/>
          <w:spacing w:val="-4"/>
          <w:sz w:val="24"/>
          <w:highlight w:val="none"/>
        </w:rPr>
        <w:t xml:space="preserve">将由财政部门列入不良行为记录名单，禁止其 </w:t>
      </w:r>
      <w:r>
        <w:rPr>
          <w:color w:val="auto"/>
          <w:sz w:val="24"/>
          <w:highlight w:val="none"/>
        </w:rPr>
        <w:t>1</w:t>
      </w:r>
      <w:r>
        <w:rPr>
          <w:color w:val="auto"/>
          <w:spacing w:val="-40"/>
          <w:sz w:val="24"/>
          <w:highlight w:val="none"/>
        </w:rPr>
        <w:t xml:space="preserve"> 至 </w:t>
      </w:r>
      <w:r>
        <w:rPr>
          <w:color w:val="auto"/>
          <w:sz w:val="24"/>
          <w:highlight w:val="none"/>
        </w:rPr>
        <w:t>3</w:t>
      </w:r>
      <w:r>
        <w:rPr>
          <w:color w:val="auto"/>
          <w:spacing w:val="-8"/>
          <w:sz w:val="24"/>
          <w:highlight w:val="none"/>
        </w:rPr>
        <w:t xml:space="preserve"> 年内参加政府采购活动。</w:t>
      </w:r>
    </w:p>
    <w:p>
      <w:pPr>
        <w:pStyle w:val="9"/>
        <w:numPr>
          <w:ilvl w:val="0"/>
          <w:numId w:val="3"/>
        </w:numPr>
        <w:tabs>
          <w:tab w:val="left" w:pos="768"/>
        </w:tabs>
        <w:spacing w:before="5" w:after="0" w:line="240" w:lineRule="auto"/>
        <w:ind w:left="768" w:right="0" w:hanging="485"/>
        <w:jc w:val="both"/>
        <w:rPr>
          <w:color w:val="auto"/>
          <w:highlight w:val="none"/>
        </w:rPr>
      </w:pPr>
      <w:bookmarkStart w:id="91" w:name="27. 终止竞争性磋商采购活动"/>
      <w:bookmarkEnd w:id="91"/>
      <w:bookmarkStart w:id="92" w:name="27. 终止竞争性磋商采购活动"/>
      <w:bookmarkEnd w:id="92"/>
      <w:r>
        <w:rPr>
          <w:color w:val="auto"/>
          <w:highlight w:val="none"/>
        </w:rPr>
        <w:t>终止竞争性磋商采购活动</w:t>
      </w:r>
    </w:p>
    <w:p>
      <w:pPr>
        <w:pStyle w:val="19"/>
        <w:numPr>
          <w:ilvl w:val="1"/>
          <w:numId w:val="3"/>
        </w:numPr>
        <w:tabs>
          <w:tab w:val="left" w:pos="1371"/>
        </w:tabs>
        <w:spacing w:before="161" w:after="0" w:line="362" w:lineRule="auto"/>
        <w:ind w:left="283" w:right="311" w:firstLine="480"/>
        <w:jc w:val="left"/>
        <w:rPr>
          <w:color w:val="auto"/>
          <w:sz w:val="24"/>
          <w:highlight w:val="none"/>
        </w:rPr>
      </w:pPr>
      <w:r>
        <w:rPr>
          <w:color w:val="auto"/>
          <w:spacing w:val="3"/>
          <w:sz w:val="24"/>
          <w:highlight w:val="none"/>
        </w:rPr>
        <w:t>在竞争性磋商采购活动过程中，出现下列情形之一的，采购人或者采购代理机构应当终止竞争性磋商采购活动，发布项目终止公告并说明原因，重新开展采购活动：</w:t>
      </w:r>
    </w:p>
    <w:p>
      <w:pPr>
        <w:pStyle w:val="19"/>
        <w:numPr>
          <w:ilvl w:val="0"/>
          <w:numId w:val="17"/>
        </w:numPr>
        <w:tabs>
          <w:tab w:val="left" w:pos="1365"/>
        </w:tabs>
        <w:spacing w:before="5" w:after="0" w:line="240" w:lineRule="auto"/>
        <w:ind w:left="1364" w:right="0" w:hanging="602"/>
        <w:jc w:val="left"/>
        <w:rPr>
          <w:color w:val="auto"/>
          <w:sz w:val="24"/>
          <w:highlight w:val="none"/>
        </w:rPr>
      </w:pPr>
      <w:r>
        <w:rPr>
          <w:color w:val="auto"/>
          <w:sz w:val="24"/>
          <w:highlight w:val="none"/>
        </w:rPr>
        <w:t>因情况变化，不再符合规定的竞争性磋商采购方式适用情形的；</w:t>
      </w:r>
    </w:p>
    <w:p>
      <w:pPr>
        <w:pStyle w:val="19"/>
        <w:numPr>
          <w:ilvl w:val="0"/>
          <w:numId w:val="17"/>
        </w:numPr>
        <w:tabs>
          <w:tab w:val="left" w:pos="1365"/>
        </w:tabs>
        <w:spacing w:before="158" w:after="0" w:line="240" w:lineRule="auto"/>
        <w:ind w:left="1364" w:right="0" w:hanging="602"/>
        <w:jc w:val="left"/>
        <w:rPr>
          <w:color w:val="auto"/>
          <w:sz w:val="24"/>
          <w:highlight w:val="none"/>
        </w:rPr>
      </w:pPr>
      <w:r>
        <w:rPr>
          <w:color w:val="auto"/>
          <w:sz w:val="24"/>
          <w:highlight w:val="none"/>
        </w:rPr>
        <w:t>出现影响采购公正的违法、违规行为的；</w:t>
      </w:r>
    </w:p>
    <w:p>
      <w:pPr>
        <w:pStyle w:val="19"/>
        <w:numPr>
          <w:ilvl w:val="0"/>
          <w:numId w:val="17"/>
        </w:numPr>
        <w:tabs>
          <w:tab w:val="left" w:pos="1402"/>
        </w:tabs>
        <w:spacing w:before="160" w:after="0" w:line="364" w:lineRule="auto"/>
        <w:ind w:left="283" w:right="278" w:firstLine="480"/>
        <w:jc w:val="both"/>
        <w:rPr>
          <w:b/>
          <w:color w:val="auto"/>
          <w:sz w:val="24"/>
          <w:highlight w:val="none"/>
        </w:rPr>
      </w:pPr>
      <w:r>
        <w:rPr>
          <w:color w:val="auto"/>
          <w:spacing w:val="9"/>
          <w:sz w:val="24"/>
          <w:highlight w:val="none"/>
        </w:rPr>
        <w:t xml:space="preserve">在采购过程中符合要求的供应商或者报价未超过采购预算的供应商不足 </w:t>
      </w:r>
      <w:r>
        <w:rPr>
          <w:color w:val="auto"/>
          <w:sz w:val="24"/>
          <w:highlight w:val="none"/>
        </w:rPr>
        <w:t>3</w:t>
      </w:r>
      <w:r>
        <w:rPr>
          <w:color w:val="auto"/>
          <w:spacing w:val="-23"/>
          <w:sz w:val="24"/>
          <w:highlight w:val="none"/>
        </w:rPr>
        <w:t xml:space="preserve"> 家的。</w:t>
      </w:r>
      <w:r>
        <w:rPr>
          <w:b/>
          <w:color w:val="auto"/>
          <w:spacing w:val="4"/>
          <w:sz w:val="24"/>
          <w:highlight w:val="none"/>
        </w:rPr>
        <w:t>（</w:t>
      </w:r>
      <w:r>
        <w:rPr>
          <w:b/>
          <w:color w:val="auto"/>
          <w:sz w:val="24"/>
          <w:highlight w:val="none"/>
        </w:rPr>
        <w:t>符合磋商文件规定的特殊情形除外。符合《政府采购竞争性磋商采购方式管理暂行</w:t>
      </w:r>
      <w:r>
        <w:rPr>
          <w:b/>
          <w:color w:val="auto"/>
          <w:spacing w:val="-1"/>
          <w:sz w:val="24"/>
          <w:highlight w:val="none"/>
        </w:rPr>
        <w:t>办法》第三条第四项情形除外。符合财库〔</w:t>
      </w:r>
      <w:r>
        <w:rPr>
          <w:b/>
          <w:color w:val="auto"/>
          <w:sz w:val="24"/>
          <w:highlight w:val="none"/>
        </w:rPr>
        <w:t>2015〕124</w:t>
      </w:r>
      <w:r>
        <w:rPr>
          <w:b/>
          <w:color w:val="auto"/>
          <w:spacing w:val="-8"/>
          <w:sz w:val="24"/>
          <w:highlight w:val="none"/>
        </w:rPr>
        <w:t xml:space="preserve"> 号文件规定情形的除外。</w:t>
      </w:r>
      <w:r>
        <w:rPr>
          <w:b/>
          <w:color w:val="auto"/>
          <w:sz w:val="24"/>
          <w:highlight w:val="none"/>
        </w:rPr>
        <w:t>）。</w:t>
      </w:r>
    </w:p>
    <w:p>
      <w:pPr>
        <w:pStyle w:val="19"/>
        <w:numPr>
          <w:ilvl w:val="1"/>
          <w:numId w:val="3"/>
        </w:numPr>
        <w:tabs>
          <w:tab w:val="left" w:pos="1371"/>
        </w:tabs>
        <w:spacing w:before="0" w:after="0" w:line="364" w:lineRule="auto"/>
        <w:ind w:left="283" w:right="311" w:firstLine="480"/>
        <w:jc w:val="both"/>
        <w:rPr>
          <w:color w:val="auto"/>
          <w:sz w:val="24"/>
          <w:highlight w:val="none"/>
        </w:rPr>
      </w:pPr>
      <w:r>
        <w:rPr>
          <w:color w:val="auto"/>
          <w:spacing w:val="3"/>
          <w:sz w:val="24"/>
          <w:highlight w:val="none"/>
        </w:rPr>
        <w:t>在采购活动中因重大变故，采购任务取消的，采购人或者采购代理机构应当终</w:t>
      </w:r>
      <w:r>
        <w:rPr>
          <w:color w:val="auto"/>
          <w:sz w:val="24"/>
          <w:highlight w:val="none"/>
        </w:rPr>
        <w:t>止采购活动，通知所有参加采购活动的供应商，并将项目实施情况和采购任务取消原因报送本级财政部门。</w:t>
      </w:r>
    </w:p>
    <w:p>
      <w:pPr>
        <w:pStyle w:val="9"/>
        <w:numPr>
          <w:ilvl w:val="0"/>
          <w:numId w:val="3"/>
        </w:numPr>
        <w:tabs>
          <w:tab w:val="left" w:pos="768"/>
        </w:tabs>
        <w:spacing w:before="0" w:after="0" w:line="307" w:lineRule="exact"/>
        <w:ind w:left="768" w:right="0" w:hanging="485"/>
        <w:jc w:val="both"/>
        <w:rPr>
          <w:color w:val="auto"/>
          <w:highlight w:val="none"/>
        </w:rPr>
      </w:pPr>
      <w:bookmarkStart w:id="93" w:name="28. 供应商注册及诚信管理"/>
      <w:bookmarkEnd w:id="93"/>
      <w:bookmarkStart w:id="94" w:name="28. 供应商注册及诚信管理"/>
      <w:bookmarkEnd w:id="94"/>
      <w:r>
        <w:rPr>
          <w:color w:val="auto"/>
          <w:highlight w:val="none"/>
        </w:rPr>
        <w:t>供应商注册及诚信管理</w:t>
      </w:r>
    </w:p>
    <w:p>
      <w:pPr>
        <w:pStyle w:val="19"/>
        <w:numPr>
          <w:ilvl w:val="1"/>
          <w:numId w:val="3"/>
        </w:numPr>
        <w:tabs>
          <w:tab w:val="left" w:pos="1304"/>
        </w:tabs>
        <w:spacing w:before="158" w:after="0" w:line="240" w:lineRule="auto"/>
        <w:ind w:left="1303" w:right="0" w:hanging="541"/>
        <w:jc w:val="left"/>
        <w:rPr>
          <w:color w:val="auto"/>
          <w:sz w:val="24"/>
          <w:highlight w:val="none"/>
        </w:rPr>
      </w:pPr>
      <w:r>
        <w:rPr>
          <w:color w:val="auto"/>
          <w:sz w:val="24"/>
          <w:highlight w:val="none"/>
        </w:rPr>
        <w:t>供应商注册：</w:t>
      </w:r>
    </w:p>
    <w:p>
      <w:pPr>
        <w:pStyle w:val="19"/>
        <w:numPr>
          <w:ilvl w:val="2"/>
          <w:numId w:val="3"/>
        </w:numPr>
        <w:tabs>
          <w:tab w:val="left" w:pos="1544"/>
        </w:tabs>
        <w:spacing w:before="158" w:after="0" w:line="364" w:lineRule="auto"/>
        <w:ind w:left="283" w:right="354" w:firstLine="480"/>
        <w:jc w:val="left"/>
        <w:rPr>
          <w:color w:val="auto"/>
          <w:sz w:val="24"/>
          <w:highlight w:val="none"/>
        </w:rPr>
      </w:pPr>
      <w:r>
        <w:rPr>
          <w:color w:val="auto"/>
          <w:spacing w:val="-1"/>
          <w:sz w:val="24"/>
          <w:highlight w:val="none"/>
        </w:rPr>
        <w:t>参与本项目政府采购活动的供应商应根据《浙江省政府采购供应商注册及诚信</w:t>
      </w:r>
      <w:r>
        <w:rPr>
          <w:color w:val="auto"/>
          <w:highlight w:val="none"/>
        </w:rPr>
        <w:fldChar w:fldCharType="begin"/>
      </w:r>
      <w:r>
        <w:rPr>
          <w:color w:val="auto"/>
          <w:highlight w:val="none"/>
        </w:rPr>
        <w:instrText xml:space="preserve"> HYPERLINK "http://www.zjzfcg.gov.cn/" \h </w:instrText>
      </w:r>
      <w:r>
        <w:rPr>
          <w:color w:val="auto"/>
          <w:highlight w:val="none"/>
        </w:rPr>
        <w:fldChar w:fldCharType="separate"/>
      </w:r>
      <w:r>
        <w:rPr>
          <w:color w:val="auto"/>
          <w:sz w:val="24"/>
          <w:highlight w:val="none"/>
        </w:rPr>
        <w:t>管理暂行办法》的要求登陆浙江政府采购网（http：//www.zjzfcg.gov.cn</w:t>
      </w:r>
      <w:r>
        <w:rPr>
          <w:color w:val="auto"/>
          <w:sz w:val="24"/>
          <w:highlight w:val="none"/>
        </w:rPr>
        <w:fldChar w:fldCharType="end"/>
      </w:r>
      <w:r>
        <w:rPr>
          <w:color w:val="auto"/>
          <w:sz w:val="24"/>
          <w:highlight w:val="none"/>
        </w:rPr>
        <w:t>）进行注册并将书面资料提交备案。</w:t>
      </w:r>
    </w:p>
    <w:p>
      <w:pPr>
        <w:pStyle w:val="19"/>
        <w:numPr>
          <w:ilvl w:val="2"/>
          <w:numId w:val="3"/>
        </w:numPr>
        <w:tabs>
          <w:tab w:val="left" w:pos="1544"/>
        </w:tabs>
        <w:spacing w:before="0" w:after="0" w:line="362" w:lineRule="auto"/>
        <w:ind w:left="283" w:right="354" w:firstLine="480"/>
        <w:jc w:val="left"/>
        <w:rPr>
          <w:color w:val="auto"/>
          <w:sz w:val="24"/>
          <w:highlight w:val="none"/>
        </w:rPr>
      </w:pPr>
      <w:r>
        <w:rPr>
          <w:color w:val="auto"/>
          <w:spacing w:val="-1"/>
          <w:sz w:val="24"/>
          <w:highlight w:val="none"/>
        </w:rPr>
        <w:t>以下供应商，必须注册并登记加入政府采购供应商库，并接受各级采购单位、</w:t>
      </w:r>
      <w:r>
        <w:rPr>
          <w:color w:val="auto"/>
          <w:sz w:val="24"/>
          <w:highlight w:val="none"/>
        </w:rPr>
        <w:t>采购代理机构和财政部门的诚信考核和管理。</w:t>
      </w:r>
    </w:p>
    <w:p>
      <w:pPr>
        <w:pStyle w:val="19"/>
        <w:numPr>
          <w:ilvl w:val="0"/>
          <w:numId w:val="18"/>
        </w:numPr>
        <w:tabs>
          <w:tab w:val="left" w:pos="1365"/>
        </w:tabs>
        <w:spacing w:before="4" w:after="0" w:line="240" w:lineRule="auto"/>
        <w:ind w:left="1364" w:right="0" w:hanging="602"/>
        <w:jc w:val="left"/>
        <w:rPr>
          <w:color w:val="auto"/>
          <w:sz w:val="24"/>
          <w:highlight w:val="none"/>
        </w:rPr>
      </w:pPr>
      <w:r>
        <w:rPr>
          <w:color w:val="auto"/>
          <w:sz w:val="24"/>
          <w:highlight w:val="none"/>
        </w:rPr>
        <w:t>政府采购中标或成交供应商；</w:t>
      </w:r>
    </w:p>
    <w:p>
      <w:pPr>
        <w:spacing w:after="0" w:line="240" w:lineRule="auto"/>
        <w:jc w:val="left"/>
        <w:rPr>
          <w:color w:val="auto"/>
          <w:sz w:val="24"/>
          <w:highlight w:val="none"/>
        </w:rPr>
        <w:sectPr>
          <w:pgSz w:w="11900" w:h="16840"/>
          <w:pgMar w:top="1080" w:right="820" w:bottom="800" w:left="1020" w:header="0" w:footer="529" w:gutter="0"/>
        </w:sectPr>
      </w:pPr>
    </w:p>
    <w:p>
      <w:pPr>
        <w:pStyle w:val="19"/>
        <w:numPr>
          <w:ilvl w:val="0"/>
          <w:numId w:val="18"/>
        </w:numPr>
        <w:tabs>
          <w:tab w:val="left" w:pos="1365"/>
        </w:tabs>
        <w:spacing w:before="56" w:after="0" w:line="240" w:lineRule="auto"/>
        <w:ind w:left="1364" w:right="0" w:hanging="602"/>
        <w:jc w:val="left"/>
        <w:rPr>
          <w:color w:val="auto"/>
          <w:sz w:val="24"/>
          <w:highlight w:val="none"/>
        </w:rPr>
      </w:pPr>
      <w:bookmarkStart w:id="95" w:name="第三部分 项目技术规范和服务要求"/>
      <w:bookmarkEnd w:id="95"/>
      <w:bookmarkStart w:id="96" w:name="第三部分 项目技术规范和服务要求"/>
      <w:bookmarkEnd w:id="96"/>
      <w:r>
        <w:rPr>
          <w:color w:val="auto"/>
          <w:sz w:val="24"/>
          <w:highlight w:val="none"/>
        </w:rPr>
        <w:t>政府采购协议供货或定点管理的供应商及其供货商；</w:t>
      </w:r>
    </w:p>
    <w:p>
      <w:pPr>
        <w:pStyle w:val="19"/>
        <w:numPr>
          <w:ilvl w:val="0"/>
          <w:numId w:val="18"/>
        </w:numPr>
        <w:tabs>
          <w:tab w:val="left" w:pos="1365"/>
        </w:tabs>
        <w:spacing w:before="158" w:after="0" w:line="240" w:lineRule="auto"/>
        <w:ind w:left="1364" w:right="0" w:hanging="602"/>
        <w:jc w:val="left"/>
        <w:rPr>
          <w:color w:val="auto"/>
          <w:sz w:val="24"/>
          <w:highlight w:val="none"/>
        </w:rPr>
      </w:pPr>
      <w:r>
        <w:rPr>
          <w:color w:val="auto"/>
          <w:sz w:val="24"/>
          <w:highlight w:val="none"/>
        </w:rPr>
        <w:t>参与网上政府采购活动的供应商。</w:t>
      </w:r>
    </w:p>
    <w:p>
      <w:pPr>
        <w:pStyle w:val="19"/>
        <w:numPr>
          <w:ilvl w:val="1"/>
          <w:numId w:val="3"/>
        </w:numPr>
        <w:tabs>
          <w:tab w:val="left" w:pos="1304"/>
        </w:tabs>
        <w:spacing w:before="160" w:after="0" w:line="240" w:lineRule="auto"/>
        <w:ind w:left="1303" w:right="0" w:hanging="541"/>
        <w:jc w:val="left"/>
        <w:rPr>
          <w:color w:val="auto"/>
          <w:sz w:val="24"/>
          <w:highlight w:val="none"/>
        </w:rPr>
      </w:pPr>
      <w:r>
        <w:rPr>
          <w:color w:val="auto"/>
          <w:sz w:val="24"/>
          <w:highlight w:val="none"/>
        </w:rPr>
        <w:t>供应商诚信管理</w:t>
      </w:r>
    </w:p>
    <w:p>
      <w:pPr>
        <w:pStyle w:val="3"/>
        <w:spacing w:before="159" w:line="364" w:lineRule="auto"/>
        <w:ind w:right="414" w:firstLine="480"/>
        <w:rPr>
          <w:color w:val="auto"/>
          <w:highlight w:val="none"/>
        </w:rPr>
      </w:pPr>
      <w:r>
        <w:rPr>
          <w:color w:val="auto"/>
          <w:highlight w:val="none"/>
        </w:rPr>
        <w:t>采购单位或采购代理机构应如实记录和客观反映注册供应商参加政府采购活动的诚信状况。</w:t>
      </w:r>
    </w:p>
    <w:p>
      <w:pPr>
        <w:pStyle w:val="9"/>
        <w:numPr>
          <w:ilvl w:val="0"/>
          <w:numId w:val="3"/>
        </w:numPr>
        <w:tabs>
          <w:tab w:val="left" w:pos="768"/>
        </w:tabs>
        <w:spacing w:before="0" w:after="0" w:line="306" w:lineRule="exact"/>
        <w:ind w:left="768" w:right="0" w:hanging="485"/>
        <w:jc w:val="left"/>
        <w:rPr>
          <w:color w:val="auto"/>
          <w:highlight w:val="none"/>
        </w:rPr>
      </w:pPr>
      <w:bookmarkStart w:id="97" w:name="29. 解释权"/>
      <w:bookmarkEnd w:id="97"/>
      <w:bookmarkStart w:id="98" w:name="29. 解释权"/>
      <w:bookmarkEnd w:id="98"/>
      <w:r>
        <w:rPr>
          <w:color w:val="auto"/>
          <w:highlight w:val="none"/>
        </w:rPr>
        <w:t>解释权</w:t>
      </w:r>
    </w:p>
    <w:p>
      <w:pPr>
        <w:pStyle w:val="3"/>
        <w:spacing w:before="160"/>
        <w:ind w:left="763"/>
        <w:rPr>
          <w:color w:val="auto"/>
          <w:highlight w:val="none"/>
        </w:rPr>
      </w:pPr>
      <w:r>
        <w:rPr>
          <w:color w:val="auto"/>
          <w:highlight w:val="none"/>
        </w:rPr>
        <w:t>磋商文件的解释权均属于采购人和采购代理机构。</w:t>
      </w:r>
    </w:p>
    <w:p>
      <w:pPr>
        <w:spacing w:after="0"/>
        <w:rPr>
          <w:color w:val="auto"/>
          <w:highlight w:val="none"/>
        </w:rPr>
        <w:sectPr>
          <w:pgSz w:w="11900" w:h="16840"/>
          <w:pgMar w:top="1080" w:right="820" w:bottom="800" w:left="1020" w:header="0" w:footer="529" w:gutter="0"/>
        </w:sectPr>
      </w:pPr>
    </w:p>
    <w:p>
      <w:pPr>
        <w:pStyle w:val="4"/>
        <w:outlineLvl w:val="0"/>
        <w:rPr>
          <w:color w:val="auto"/>
          <w:highlight w:val="none"/>
        </w:rPr>
      </w:pPr>
      <w:bookmarkStart w:id="99" w:name="_Toc225"/>
      <w:r>
        <w:rPr>
          <w:color w:val="auto"/>
          <w:highlight w:val="none"/>
        </w:rPr>
        <w:t>第三部分 项目技术规范和服务要求</w:t>
      </w:r>
      <w:bookmarkEnd w:id="99"/>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00" w:name="一、项目概况："/>
      <w:bookmarkEnd w:id="100"/>
      <w:bookmarkStart w:id="101" w:name="_Toc18187"/>
      <w:bookmarkStart w:id="102" w:name="_Toc21112"/>
      <w:bookmarkStart w:id="103" w:name="_Toc31182"/>
      <w:bookmarkStart w:id="104" w:name="_Toc2943"/>
      <w:r>
        <w:rPr>
          <w:rFonts w:hint="eastAsia" w:ascii="宋体" w:hAnsi="宋体" w:eastAsia="宋体" w:cs="宋体"/>
          <w:color w:val="auto"/>
          <w:sz w:val="24"/>
          <w:szCs w:val="24"/>
          <w:highlight w:val="none"/>
        </w:rPr>
        <w:t>一、</w:t>
      </w:r>
      <w:bookmarkEnd w:id="101"/>
      <w:bookmarkEnd w:id="102"/>
      <w:r>
        <w:rPr>
          <w:rFonts w:hint="eastAsia" w:ascii="宋体" w:hAnsi="宋体" w:eastAsia="宋体" w:cs="宋体"/>
          <w:color w:val="auto"/>
          <w:sz w:val="24"/>
          <w:szCs w:val="24"/>
          <w:highlight w:val="none"/>
        </w:rPr>
        <w:t>项目概况</w:t>
      </w:r>
      <w:bookmarkEnd w:id="103"/>
      <w:bookmarkEnd w:id="104"/>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bookmarkStart w:id="105" w:name="_Toc6282"/>
      <w:bookmarkStart w:id="106" w:name="_Toc4822"/>
      <w:r>
        <w:rPr>
          <w:rFonts w:hint="eastAsia" w:ascii="宋体" w:hAnsi="宋体" w:eastAsia="宋体" w:cs="宋体"/>
          <w:color w:val="auto"/>
          <w:sz w:val="24"/>
          <w:szCs w:val="24"/>
          <w:highlight w:val="none"/>
        </w:rPr>
        <w:t>从杭州亚运会筹备和项目研究的实际出发，从三个方面对杭州亚运会餐饮服务和安全保障进行全面研究，具体包括：《杭州亚运会赛事餐饮的整体规划研究》、《杭州亚运会赛事餐饮运行及管理研究（含服务商遴选）》、《杭州亚运会赛事餐饮供应链和食品安全管理研究》。</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07" w:name="_Toc19621"/>
      <w:bookmarkStart w:id="108" w:name="_Toc17018"/>
      <w:r>
        <w:rPr>
          <w:rFonts w:hint="eastAsia" w:ascii="宋体" w:hAnsi="宋体" w:eastAsia="宋体" w:cs="宋体"/>
          <w:color w:val="auto"/>
          <w:sz w:val="24"/>
          <w:szCs w:val="24"/>
          <w:highlight w:val="none"/>
        </w:rPr>
        <w:t>二、采购服务内容</w:t>
      </w:r>
      <w:bookmarkEnd w:id="107"/>
      <w:bookmarkEnd w:id="108"/>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根据大型体育运动会餐饮服务管理的理论、惯例和过往成功经验，结合时代特征和杭州亚运会的特点，通过实地调查、动态交流和专业论证，对杭州亚运会餐饮服务工作进行全面、系统、科学的研究，重点从餐饮服务需求分析、餐饮服务总体规划建议、餐饮潜在服务商调研、餐饮服务运营工作建议、餐饮服务监管及食品安全保障规划这五个方面解决：</w:t>
      </w:r>
    </w:p>
    <w:p>
      <w:pPr>
        <w:pStyle w:val="2"/>
        <w:keepNext w:val="0"/>
        <w:keepLines w:val="0"/>
        <w:pageBreakBefore w:val="0"/>
        <w:kinsoku/>
        <w:overflowPunct/>
        <w:topLinePunct w:val="0"/>
        <w:bidi w:val="0"/>
        <w:snapToGrid/>
        <w:spacing w:line="360" w:lineRule="auto"/>
        <w:ind w:firstLine="224"/>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（一）亚运会餐饮服务需求分析</w:t>
      </w:r>
    </w:p>
    <w:p>
      <w:pPr>
        <w:keepNext w:val="0"/>
        <w:keepLines w:val="0"/>
        <w:pageBreakBefore w:val="0"/>
        <w:numPr>
          <w:ilvl w:val="0"/>
          <w:numId w:val="19"/>
        </w:numPr>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餐饮需求分析，包括：餐饮总需求分析，不同时段、场所、人群餐饮的需求量及需求特点分析；</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2、餐饮服务总投入及测算，包括原材料测算、财务测算；</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3、清真餐饮需求及服务分析，包括清真食物总需求量分析、清真餐饮服务要求及其运行建议；</w:t>
      </w:r>
    </w:p>
    <w:p>
      <w:pPr>
        <w:pStyle w:val="2"/>
        <w:keepNext w:val="0"/>
        <w:keepLines w:val="0"/>
        <w:pageBreakBefore w:val="0"/>
        <w:kinsoku/>
        <w:overflowPunct/>
        <w:topLinePunct w:val="0"/>
        <w:bidi w:val="0"/>
        <w:snapToGrid/>
        <w:spacing w:line="360" w:lineRule="auto"/>
        <w:ind w:firstLine="224"/>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（二）亚运会餐饮服务总体规划</w:t>
      </w:r>
    </w:p>
    <w:p>
      <w:pPr>
        <w:pStyle w:val="2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1、亚运会餐饮业务规划和政策建议；</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2、开闭幕式餐饮服务要求与标准研究；</w:t>
      </w:r>
    </w:p>
    <w:p>
      <w:pPr>
        <w:pStyle w:val="2"/>
        <w:keepNext w:val="0"/>
        <w:keepLines w:val="0"/>
        <w:pageBreakBefore w:val="0"/>
        <w:kinsoku/>
        <w:overflowPunct/>
        <w:topLinePunct w:val="0"/>
        <w:bidi w:val="0"/>
        <w:snapToGrid/>
        <w:spacing w:line="360" w:lineRule="auto"/>
        <w:ind w:firstLine="224"/>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（三）亚运会餐饮潜在服务商调研</w:t>
      </w:r>
    </w:p>
    <w:p>
      <w:pPr>
        <w:pStyle w:val="2"/>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1、餐饮运营模式分析，包括餐饮合作模式的备选方案和推荐方案，主服务商遴选的原则、标准和程序；</w:t>
      </w:r>
    </w:p>
    <w:p>
      <w:pPr>
        <w:pStyle w:val="2"/>
        <w:keepNext w:val="0"/>
        <w:keepLines w:val="0"/>
        <w:pageBreakBefore w:val="0"/>
        <w:kinsoku/>
        <w:overflowPunct/>
        <w:topLinePunct w:val="0"/>
        <w:bidi w:val="0"/>
        <w:snapToGrid/>
        <w:spacing w:line="360" w:lineRule="auto"/>
        <w:ind w:firstLine="360"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2、食材需求清单并预估数量，食材供应模式基地(供应商)遴选及安全保障；</w:t>
      </w:r>
    </w:p>
    <w:p>
      <w:pPr>
        <w:pStyle w:val="2"/>
        <w:keepNext w:val="0"/>
        <w:keepLines w:val="0"/>
        <w:pageBreakBefore w:val="0"/>
        <w:kinsoku/>
        <w:overflowPunct/>
        <w:topLinePunct w:val="0"/>
        <w:bidi w:val="0"/>
        <w:snapToGrid/>
        <w:spacing w:line="360" w:lineRule="auto"/>
        <w:ind w:firstLine="224"/>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（四）亚运会餐饮服务运营工作建议</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1、餐饮组织管理分析，包括餐饮需求特点分析、餐饮业务运行思路、餐饮组织管理架构、赛前职责、餐饮服务体系分析；</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2、餐饮工程及人力资源分析，包括各区域设备配置、设备成本分析、用电预测、餐饮供应点及其人力配置；</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3、营养菜单分析及设计，包括各类人群的菜单、营养素摄入及餐费标准、菜单的设计；</w:t>
      </w:r>
    </w:p>
    <w:p>
      <w:pPr>
        <w:pStyle w:val="2"/>
        <w:keepNext w:val="0"/>
        <w:keepLines w:val="0"/>
        <w:pageBreakBefore w:val="0"/>
        <w:kinsoku/>
        <w:overflowPunct/>
        <w:topLinePunct w:val="0"/>
        <w:bidi w:val="0"/>
        <w:snapToGrid/>
        <w:spacing w:line="360" w:lineRule="auto"/>
        <w:ind w:firstLine="224"/>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（五）餐饮服务监管及食品安全保障规划</w:t>
      </w:r>
    </w:p>
    <w:p>
      <w:pPr>
        <w:keepNext w:val="0"/>
        <w:keepLines w:val="0"/>
        <w:pageBreakBefore w:val="0"/>
        <w:numPr>
          <w:ins w:id="0" w:author="47465" w:date=""/>
        </w:numPr>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1、运动员食材反食源性兴奋剂监管和检测； </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2、餐饮运行团队及赛时监管：包括运行团队架构、运行指挥系统计划、赛时核心管理团队、赛时餐饮运行监管、赛时餐饮安全监管；</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3、餐饮服务及安全监管分析：包括监控机构及职责、食品安全需求分析、食品安全监管及应急预案；</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4、餐饮食品物流配送及保障体系研究：包括餐饮物流配送分析、餐饮物流配送安全保障分析。</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09" w:name="_Toc26205"/>
      <w:bookmarkStart w:id="110" w:name="_Toc8352"/>
      <w:r>
        <w:rPr>
          <w:rFonts w:hint="eastAsia" w:ascii="宋体" w:hAnsi="宋体" w:eastAsia="宋体" w:cs="宋体"/>
          <w:color w:val="auto"/>
          <w:sz w:val="24"/>
          <w:szCs w:val="24"/>
          <w:highlight w:val="none"/>
        </w:rPr>
        <w:t>三、采购服务具体要求</w:t>
      </w:r>
      <w:bookmarkEnd w:id="109"/>
      <w:bookmarkEnd w:id="110"/>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照国际惯例和杭州亚运会实际，在参与需求分析（包括清真餐饮需求分析、开闭幕式餐饮需求分析）和投入测算的基础上，研究制定杭州亚运会餐饮服务总体设计规划布局；提出餐饮服务筹备工作推进计划建议；研究提出餐饮保障工作总体方案、具体工作方案草案；</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杭州亚运会实际，按照不同客户群分类，研究拟定不同场所内的餐饮服务政策，如免费付费、服务时间、服务标准、服务内容等，包括总部饭店和官方饭店、亚运村、开闭幕式、各类场馆（场馆集群）的餐饮服务政策；</w:t>
      </w:r>
    </w:p>
    <w:p>
      <w:pPr>
        <w:pStyle w:val="2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3、研究提出杭州亚运会餐饮（食品）安全保障工作机制和组织构架建议；</w:t>
      </w:r>
    </w:p>
    <w:p>
      <w:pPr>
        <w:keepNext w:val="0"/>
        <w:keepLines w:val="0"/>
        <w:pageBreakBefore w:val="0"/>
        <w:numPr>
          <w:ins w:id="1" w:author="47465" w:date=""/>
        </w:numPr>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合往届大型赛会实践和杭州实际，对亚运村、各场馆和潜在餐饮服务商研究，提出杭州亚运会餐饮服务空间需求、餐饮服务商分类、经费预估及招商（谈判）办法、流程和相关参考文本；预判2022年经济社会发展现状，提出餐饮服务商管理（含成本控制）方案参考意见；</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照大型赛会惯例和营养学、杭州实际等因素，提出菜单设置、食材供应保障模式、基地（供应商）遴选建议，研究拟定食品安全监管意见及相关政策草案，研究提出食品仓储、物流配送与管理模式和安全保障政策建议；</w:t>
      </w:r>
    </w:p>
    <w:p>
      <w:pPr>
        <w:pStyle w:val="2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6、通过项目实施和调整完善，为杭州亚运会餐饮筹备工作顺利开展奠定基础。</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11" w:name="_Toc16681"/>
      <w:bookmarkStart w:id="112" w:name="_Toc9501"/>
      <w:r>
        <w:rPr>
          <w:rFonts w:hint="eastAsia" w:ascii="宋体" w:hAnsi="宋体" w:eastAsia="宋体" w:cs="宋体"/>
          <w:color w:val="auto"/>
          <w:sz w:val="24"/>
          <w:szCs w:val="24"/>
          <w:highlight w:val="none"/>
        </w:rPr>
        <w:t>四、项目的目的</w:t>
      </w:r>
      <w:bookmarkEnd w:id="111"/>
      <w:bookmarkEnd w:id="112"/>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1、杭州亚运会赛事餐饮整体规划研究成果将作为编制确定杭州亚运会餐饮服务总体方案和具体工作方案的重要依据；</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2、杭州亚运会餐饮运行及管理研究成果将作为遴选餐饮服务商、编制餐饮服务指南的主要依据；</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3、杭州亚运会餐饮服务商研究成果为拟定餐饮服务商招商或遴选办法提供重要参考依据；</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4、杭州亚运会赛事餐饮的供应链和食品安全管理研究成果为确定运动会菜单、确定食材供应模式、遴选食材供应商和餐饮服务商等工作提供重要参考；</w:t>
      </w:r>
    </w:p>
    <w:p>
      <w:pPr>
        <w:pStyle w:val="23"/>
        <w:keepNext w:val="0"/>
        <w:keepLines w:val="0"/>
        <w:pageBreakBefore w:val="0"/>
        <w:numPr>
          <w:ins w:id="2" w:author="47465" w:date=""/>
        </w:numPr>
        <w:kinsoku/>
        <w:overflowPunct/>
        <w:topLinePunct w:val="0"/>
        <w:bidi w:val="0"/>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5、项目期间为亚运会餐饮筹备工作提供专业的咨询服务和必要的工作支持。</w:t>
      </w:r>
    </w:p>
    <w:p>
      <w:pPr>
        <w:pStyle w:val="24"/>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13" w:name="_Toc14999"/>
      <w:bookmarkStart w:id="114" w:name="_Toc9353"/>
      <w:r>
        <w:rPr>
          <w:rFonts w:hint="eastAsia" w:ascii="宋体" w:hAnsi="宋体" w:eastAsia="宋体" w:cs="宋体"/>
          <w:color w:val="auto"/>
          <w:sz w:val="24"/>
          <w:szCs w:val="24"/>
          <w:highlight w:val="none"/>
        </w:rPr>
        <w:t>五、项目的成果形式要求</w:t>
      </w:r>
      <w:bookmarkEnd w:id="113"/>
      <w:bookmarkEnd w:id="114"/>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项目成果主要包括二方面：</w:t>
      </w:r>
    </w:p>
    <w:p>
      <w:pPr>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书面材料：至少应包括《杭州亚运会赛事餐饮规划和政策研究文本和相关图件》《杭州亚运会赛事餐饮运行及管理研究（含服务商遴选）文本和相关图件》、《杭州亚运会赛事餐饮供应链和食品安全管理研究文本和相关图件》、《核心成果摘要》等（最终提交15套，以文本汇报形式，打印装订要求按照文献汇编要求）。</w:t>
      </w:r>
    </w:p>
    <w:p>
      <w:pPr>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（二）电子材料：至少包括上述书面材料电子稿、项目研究成果演示电子稿、项目主要工作图片（视频）。</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15" w:name="_Toc27591"/>
      <w:bookmarkStart w:id="116" w:name="_Toc651"/>
      <w:r>
        <w:rPr>
          <w:rFonts w:hint="eastAsia" w:ascii="宋体" w:hAnsi="宋体" w:eastAsia="宋体" w:cs="宋体"/>
          <w:color w:val="auto"/>
          <w:sz w:val="24"/>
          <w:szCs w:val="24"/>
          <w:highlight w:val="none"/>
        </w:rPr>
        <w:t>六、项目团队人员要求</w:t>
      </w:r>
      <w:bookmarkEnd w:id="115"/>
      <w:bookmarkEnd w:id="116"/>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项目团队成员需有符合以下条件：</w:t>
      </w:r>
    </w:p>
    <w:p>
      <w:pPr>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（一）从事过国内或国际重大赛事活动相关业务领域（餐饮服务、物流保障、食品安全保障及亚运会场馆和酒店服务规划）的研究人员，具有大型赛事和大型体育运动会管理的深厚理论素养和丰富的案例及积累；</w:t>
      </w:r>
    </w:p>
    <w:p>
      <w:pPr>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（二）对亚运会餐饮服务运作有深入全面科学的研究；</w:t>
      </w:r>
    </w:p>
    <w:p>
      <w:pPr>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（三）具有相应实战经验的专家顾问团队（类似国际赛事保障经验的优先）对项目进行动态评估、指导和咨询服务，以保障项目成果的理论性、适用性和针对性；</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17" w:name="_Toc3834"/>
      <w:bookmarkStart w:id="118" w:name="_Toc2792"/>
      <w:r>
        <w:rPr>
          <w:rFonts w:hint="eastAsia" w:ascii="宋体" w:hAnsi="宋体" w:eastAsia="宋体" w:cs="宋体"/>
          <w:color w:val="auto"/>
          <w:sz w:val="24"/>
          <w:szCs w:val="24"/>
          <w:highlight w:val="none"/>
        </w:rPr>
        <w:t>七、项目进度计划要求</w:t>
      </w:r>
      <w:bookmarkEnd w:id="117"/>
      <w:bookmarkEnd w:id="118"/>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1、2019年12月15号前签定项目合同书,并支付相关费用；</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2、2019年12月，组建团队，召开项目开题会议，拟定项目工作计划，做好前期筹备；</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3、2020年1-4月，杭州及国内举办过相关赛事城市调研；</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4、2020年5月上旬提交第一次方案（即初稿）征求甲方意见，根据意见进行补充调研；</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5、2020年7月上旬项目中期评估；</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6、2020年8月根据评估意见修改完善；</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7、最后方案提交验收和结题时间为2020年9月31日前；</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8、项目结束后两个月之内，提供与项目相关的、合理的咨询服务和工作支持。</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19" w:name="_Toc5004"/>
      <w:bookmarkStart w:id="120" w:name="_Toc9493"/>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验收标准</w:t>
      </w:r>
      <w:bookmarkEnd w:id="119"/>
      <w:bookmarkEnd w:id="120"/>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1.成交供应商提供的资料必须满足磋商文件第二章所提出的技术规范要求。</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2.满足响应文件及磋商过程中明确的承诺事项。</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3.总体规划中，人员、物资等总体预算编制的经费应在合理可控范围内。</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4.成交供应商</w:t>
      </w:r>
      <w:r>
        <w:rPr>
          <w:rFonts w:hint="eastAsia" w:ascii="宋体" w:hAnsi="宋体" w:eastAsia="宋体" w:cs="宋体"/>
          <w:color w:val="auto"/>
          <w:sz w:val="24"/>
          <w:szCs w:val="24"/>
          <w:highlight w:val="none"/>
        </w:rPr>
        <w:t>提交项目最终成果后，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负责组织相关行业的专业人员</w:t>
      </w:r>
      <w:r>
        <w:rPr>
          <w:rFonts w:hint="eastAsia" w:ascii="宋体" w:hAnsi="宋体" w:eastAsia="宋体" w:cs="宋体"/>
          <w:color w:val="auto"/>
          <w:sz w:val="24"/>
          <w:szCs w:val="24"/>
          <w:highlight w:val="none"/>
          <w:lang w:val="en-US" w:eastAsia="zh-CN"/>
        </w:rPr>
        <w:t>组成</w:t>
      </w:r>
      <w:r>
        <w:rPr>
          <w:rFonts w:hint="eastAsia" w:ascii="宋体" w:hAnsi="宋体" w:eastAsia="宋体" w:cs="宋体"/>
          <w:color w:val="auto"/>
          <w:sz w:val="24"/>
          <w:szCs w:val="24"/>
          <w:highlight w:val="none"/>
        </w:rPr>
        <w:t>专家小组对项目成果进行专家评审。专家评审小组由</w:t>
      </w:r>
      <w:r>
        <w:rPr>
          <w:rFonts w:hint="eastAsia" w:ascii="宋体" w:hAnsi="宋体" w:eastAsia="宋体" w:cs="宋体"/>
          <w:color w:val="auto"/>
          <w:sz w:val="24"/>
          <w:szCs w:val="24"/>
          <w:highlight w:val="none"/>
          <w:lang w:val="en-US" w:eastAsia="zh-CN"/>
        </w:rPr>
        <w:t>3名及以上单数</w:t>
      </w:r>
      <w:r>
        <w:rPr>
          <w:rFonts w:hint="eastAsia" w:ascii="宋体" w:hAnsi="宋体" w:eastAsia="宋体" w:cs="宋体"/>
          <w:color w:val="auto"/>
          <w:sz w:val="24"/>
          <w:szCs w:val="24"/>
          <w:highlight w:val="none"/>
        </w:rPr>
        <w:t>人员组成，并根据课题要求进行匿名评审。</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评审实行一人一票制，每人有“合格”、“不合格”两个选项，评审小组50%以上成员评议不合格者，即视为项目成果验收不合格。</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如果项目研究成果经评审小组验收合格，视为</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完成全部项目研究工作，据此作为</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后续付款依据。</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验收不合格的后果：若研究成果未通过评审，</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应在5个工作日内完成修改、补充，并提交修改后的课题最终成果。对于修改后的成果验收仍不合格的，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有权不予支付未支付的项目经费，并要求</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承担由此给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带来的各项损失，并暂停</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参加以后各类研究项目的资格。</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21" w:name="_Toc11634"/>
      <w:bookmarkStart w:id="122" w:name="_Toc17415"/>
      <w:r>
        <w:rPr>
          <w:rFonts w:hint="eastAsia" w:ascii="宋体" w:hAnsi="宋体" w:eastAsia="宋体" w:cs="宋体"/>
          <w:color w:val="auto"/>
          <w:sz w:val="24"/>
          <w:szCs w:val="24"/>
          <w:highlight w:val="none"/>
        </w:rPr>
        <w:t>九、付款方式</w:t>
      </w:r>
      <w:bookmarkEnd w:id="121"/>
      <w:bookmarkEnd w:id="122"/>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签订合同后10个工作日内，支付合同总额的</w:t>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；提交最后方案并验收通过后，支付合同款总额的45%。</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rPr>
      </w:pPr>
      <w:bookmarkStart w:id="123" w:name="_Toc7668"/>
      <w:bookmarkStart w:id="124" w:name="_Toc18877"/>
      <w:bookmarkStart w:id="125" w:name="_Toc32162"/>
      <w:r>
        <w:rPr>
          <w:rFonts w:hint="eastAsia" w:ascii="宋体" w:hAnsi="宋体" w:eastAsia="宋体" w:cs="宋体"/>
          <w:color w:val="auto"/>
          <w:sz w:val="24"/>
          <w:szCs w:val="24"/>
          <w:highlight w:val="none"/>
        </w:rPr>
        <w:t>十、服务约定</w:t>
      </w:r>
      <w:bookmarkEnd w:id="123"/>
      <w:bookmarkEnd w:id="124"/>
      <w:bookmarkEnd w:id="125"/>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1、为保证该项目的顺利实施，在项目实施期间，</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单位需安排专人负责对接、沟通及协调工作；</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2、合同签订时按要求签订保密协议。并在项目实施过程中，严格遵守国家相关保密与安全法律法规，遵循采购人各项安全保密制度和规章；</w:t>
      </w:r>
    </w:p>
    <w:p>
      <w:pPr>
        <w:keepNext w:val="0"/>
        <w:keepLines w:val="0"/>
        <w:pageBreakBefore w:val="0"/>
        <w:kinsoku/>
        <w:overflowPunct/>
        <w:topLinePunct w:val="0"/>
        <w:bidi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3、要求服务工作人员对工作中涉及到的用户的数据、文件等任何资料进行保密。因工作人员的行为造成泄密等问题由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承担相应的责任。</w:t>
      </w:r>
    </w:p>
    <w:p>
      <w:pPr>
        <w:pStyle w:val="5"/>
        <w:keepNext w:val="0"/>
        <w:keepLines w:val="0"/>
        <w:pageBreakBefore w:val="0"/>
        <w:kinsoku/>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bookmarkStart w:id="126" w:name="_Toc18282"/>
      <w:bookmarkStart w:id="127" w:name="_Toc22441"/>
      <w:bookmarkStart w:id="128" w:name="_Toc7234"/>
      <w:r>
        <w:rPr>
          <w:rFonts w:hint="eastAsia" w:ascii="宋体" w:hAnsi="宋体" w:eastAsia="宋体" w:cs="宋体"/>
          <w:color w:val="auto"/>
          <w:sz w:val="24"/>
          <w:szCs w:val="24"/>
          <w:highlight w:val="none"/>
        </w:rPr>
        <w:t>十一、</w:t>
      </w:r>
      <w:bookmarkEnd w:id="126"/>
      <w:bookmarkEnd w:id="127"/>
      <w:r>
        <w:rPr>
          <w:rFonts w:hint="eastAsia" w:ascii="宋体" w:hAnsi="宋体" w:eastAsia="宋体" w:cs="宋体"/>
          <w:color w:val="auto"/>
          <w:sz w:val="24"/>
          <w:szCs w:val="24"/>
          <w:highlight w:val="none"/>
          <w:lang w:val="en-US" w:eastAsia="zh-CN"/>
        </w:rPr>
        <w:t>注意事项</w:t>
      </w:r>
      <w:bookmarkEnd w:id="128"/>
    </w:p>
    <w:bookmarkEnd w:id="105"/>
    <w:bookmarkEnd w:id="106"/>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GB"/>
        </w:rPr>
      </w:pPr>
      <w:bookmarkStart w:id="129" w:name="五、项目须执行的标准、规范"/>
      <w:bookmarkEnd w:id="129"/>
      <w:r>
        <w:rPr>
          <w:rFonts w:hint="eastAsia" w:ascii="宋体" w:hAnsi="宋体" w:eastAsia="宋体" w:cs="宋体"/>
          <w:color w:val="auto"/>
          <w:sz w:val="24"/>
          <w:szCs w:val="24"/>
          <w:highlight w:val="none"/>
          <w:lang w:val="en-GB"/>
        </w:rPr>
        <w:t>响应供应商此次响应设计方案不作为最终方案，仅作为此次评审的依据，成交供应商须依据采购人要求作出方案调整和变更。</w:t>
      </w:r>
    </w:p>
    <w:p>
      <w:pPr>
        <w:keepNext w:val="0"/>
        <w:keepLines w:val="0"/>
        <w:pageBreakBefore w:val="0"/>
        <w:kinsoku/>
        <w:overflowPunct/>
        <w:topLinePunct w:val="0"/>
        <w:bidi w:val="0"/>
        <w:snapToGrid/>
        <w:spacing w:after="0" w:line="360" w:lineRule="auto"/>
        <w:textAlignment w:val="auto"/>
        <w:rPr>
          <w:rFonts w:hint="eastAsia" w:ascii="宋体" w:hAnsi="宋体" w:eastAsia="宋体" w:cs="宋体"/>
          <w:color w:val="auto"/>
          <w:sz w:val="24"/>
          <w:szCs w:val="24"/>
          <w:highlight w:val="none"/>
        </w:rPr>
        <w:sectPr>
          <w:footerReference r:id="rId11" w:type="default"/>
          <w:pgSz w:w="11900" w:h="16840"/>
          <w:pgMar w:top="1080" w:right="820" w:bottom="800" w:left="1020" w:header="0" w:footer="609" w:gutter="0"/>
          <w:pgNumType w:start="30"/>
        </w:sectPr>
      </w:pPr>
    </w:p>
    <w:p>
      <w:pPr>
        <w:pStyle w:val="4"/>
        <w:outlineLvl w:val="0"/>
        <w:rPr>
          <w:color w:val="auto"/>
          <w:highlight w:val="none"/>
        </w:rPr>
      </w:pPr>
      <w:bookmarkStart w:id="130" w:name="第四部分 采购合同的一般和特殊条款"/>
      <w:bookmarkEnd w:id="130"/>
      <w:bookmarkStart w:id="131" w:name="_Toc21124"/>
      <w:r>
        <w:rPr>
          <w:color w:val="auto"/>
          <w:highlight w:val="none"/>
        </w:rPr>
        <w:t>第四部分 采购合同的一般和特殊条款</w:t>
      </w:r>
      <w:bookmarkEnd w:id="131"/>
    </w:p>
    <w:p>
      <w:pPr>
        <w:pStyle w:val="3"/>
        <w:spacing w:before="239" w:line="362" w:lineRule="auto"/>
        <w:ind w:right="311"/>
        <w:rPr>
          <w:color w:val="auto"/>
          <w:highlight w:val="none"/>
        </w:rPr>
      </w:pPr>
      <w:r>
        <w:rPr>
          <w:color w:val="auto"/>
          <w:spacing w:val="-6"/>
          <w:highlight w:val="none"/>
        </w:rPr>
        <w:t xml:space="preserve">说明：合同将由 </w:t>
      </w:r>
      <w:r>
        <w:rPr>
          <w:color w:val="auto"/>
          <w:highlight w:val="none"/>
        </w:rPr>
        <w:t>2022</w:t>
      </w:r>
      <w:r>
        <w:rPr>
          <w:color w:val="auto"/>
          <w:spacing w:val="-23"/>
          <w:highlight w:val="none"/>
        </w:rPr>
        <w:t xml:space="preserve"> 年第 </w:t>
      </w:r>
      <w:r>
        <w:rPr>
          <w:color w:val="auto"/>
          <w:highlight w:val="none"/>
        </w:rPr>
        <w:t>19</w:t>
      </w:r>
      <w:r>
        <w:rPr>
          <w:color w:val="auto"/>
          <w:spacing w:val="-6"/>
          <w:highlight w:val="none"/>
        </w:rPr>
        <w:t xml:space="preserve"> 届亚运会组委会</w:t>
      </w:r>
      <w:r>
        <w:rPr>
          <w:color w:val="auto"/>
          <w:highlight w:val="none"/>
        </w:rPr>
        <w:t>（以下简称甲方）与经评审最终确定的成交供应商（以下简称乙方）结合本项目具体情况协商后签订。</w:t>
      </w:r>
    </w:p>
    <w:p>
      <w:pPr>
        <w:pStyle w:val="3"/>
        <w:ind w:left="0"/>
        <w:rPr>
          <w:b/>
          <w:color w:val="auto"/>
          <w:highlight w:val="none"/>
        </w:rPr>
      </w:pPr>
    </w:p>
    <w:p>
      <w:pPr>
        <w:spacing w:line="360" w:lineRule="auto"/>
        <w:ind w:firstLine="618"/>
        <w:jc w:val="center"/>
        <w:outlineLvl w:val="1"/>
        <w:rPr>
          <w:rFonts w:hint="eastAsia" w:ascii="宋体" w:hAnsi="宋体" w:eastAsia="宋体" w:cs="宋体"/>
          <w:b/>
          <w:bCs/>
          <w:color w:val="auto"/>
          <w:spacing w:val="-6"/>
          <w:sz w:val="32"/>
          <w:szCs w:val="32"/>
          <w:highlight w:val="none"/>
        </w:rPr>
      </w:pPr>
      <w:bookmarkStart w:id="132" w:name="_Toc23530"/>
      <w:r>
        <w:rPr>
          <w:rFonts w:hint="eastAsia" w:ascii="宋体" w:hAnsi="宋体" w:eastAsia="宋体" w:cs="宋体"/>
          <w:b/>
          <w:bCs/>
          <w:color w:val="auto"/>
          <w:spacing w:val="-6"/>
          <w:sz w:val="32"/>
          <w:szCs w:val="32"/>
          <w:highlight w:val="none"/>
        </w:rPr>
        <w:t>2022年亚运会餐饮服务规划和安全保障研究合同</w:t>
      </w:r>
      <w:bookmarkEnd w:id="132"/>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甲方：2022年第19届亚运会组委会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地址：杭州市上城区富春路150号昆仑中心B座</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授权代表：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tabs>
          <w:tab w:val="left" w:pos="6237"/>
          <w:tab w:val="left" w:pos="6521"/>
        </w:tabs>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乙方：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spacing w:line="360" w:lineRule="auto"/>
        <w:textAlignment w:val="bottom"/>
        <w:rPr>
          <w:rFonts w:hint="eastAsia" w:ascii="宋体" w:hAnsi="宋体" w:eastAsia="宋体" w:cs="宋体"/>
          <w:color w:val="auto"/>
          <w:highlight w:val="none"/>
        </w:rPr>
      </w:pPr>
    </w:p>
    <w:p>
      <w:pPr>
        <w:spacing w:line="360" w:lineRule="auto"/>
        <w:ind w:firstLine="440" w:firstLineChars="200"/>
        <w:textAlignment w:val="bottom"/>
        <w:rPr>
          <w:rFonts w:hint="eastAsia" w:ascii="宋体" w:hAnsi="宋体" w:eastAsia="宋体" w:cs="宋体"/>
          <w:b/>
          <w:color w:val="auto"/>
          <w:highlight w:val="none"/>
        </w:rPr>
      </w:pPr>
      <w:r>
        <w:rPr>
          <w:rFonts w:hint="eastAsia" w:ascii="宋体" w:hAnsi="宋体" w:eastAsia="宋体" w:cs="宋体"/>
          <w:color w:val="auto"/>
          <w:highlight w:val="none"/>
        </w:rPr>
        <w:t>根据《中华人民共和国合同法》及有关法律、法规的规定，甲乙双方遵照公平、自愿、互利有偿、诚实信用的原则，经充分、友好协商，就甲方委托乙方进行</w:t>
      </w:r>
      <w:r>
        <w:rPr>
          <w:rFonts w:hint="eastAsia" w:ascii="宋体" w:hAnsi="宋体" w:eastAsia="宋体" w:cs="宋体"/>
          <w:bCs/>
          <w:iCs/>
          <w:color w:val="auto"/>
          <w:highlight w:val="none"/>
        </w:rPr>
        <w:t>【        】</w:t>
      </w:r>
      <w:r>
        <w:rPr>
          <w:rFonts w:hint="eastAsia" w:ascii="宋体" w:hAnsi="宋体" w:eastAsia="宋体" w:cs="宋体"/>
          <w:color w:val="auto"/>
          <w:highlight w:val="none"/>
        </w:rPr>
        <w:t>研究事宜，达成如下合同条款，以共同遵守：</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3" w:name="_Toc15397"/>
      <w:r>
        <w:rPr>
          <w:rFonts w:hint="eastAsia" w:ascii="宋体" w:hAnsi="宋体" w:eastAsia="宋体" w:cs="宋体"/>
          <w:b/>
          <w:color w:val="auto"/>
          <w:highlight w:val="none"/>
          <w:u w:val="none" w:color="000000"/>
        </w:rPr>
        <w:t>一、定义</w:t>
      </w:r>
      <w:bookmarkEnd w:id="133"/>
    </w:p>
    <w:p>
      <w:pPr>
        <w:spacing w:line="360" w:lineRule="auto"/>
        <w:ind w:firstLine="440" w:firstLineChars="200"/>
        <w:rPr>
          <w:rFonts w:hint="eastAsia" w:ascii="宋体" w:hAnsi="宋体" w:eastAsia="宋体" w:cs="宋体"/>
          <w:color w:val="auto"/>
          <w:highlight w:val="none"/>
          <w:u w:val="none" w:color="000000"/>
          <w:lang w:val="zh-CN"/>
        </w:rPr>
      </w:pPr>
      <w:r>
        <w:rPr>
          <w:rFonts w:hint="eastAsia" w:ascii="宋体" w:hAnsi="宋体" w:eastAsia="宋体" w:cs="宋体"/>
          <w:color w:val="auto"/>
          <w:highlight w:val="none"/>
          <w:u w:val="none" w:color="000000"/>
          <w:lang w:val="zh-CN"/>
        </w:rPr>
        <w:t>在本合同中，除非上下文另有说明，下列词语分别具有本条所指含义：</w:t>
      </w:r>
    </w:p>
    <w:p>
      <w:pPr>
        <w:numPr>
          <w:ilvl w:val="0"/>
          <w:numId w:val="20"/>
        </w:numPr>
        <w:spacing w:line="360" w:lineRule="auto"/>
        <w:ind w:firstLine="440" w:firstLineChars="200"/>
        <w:rPr>
          <w:rFonts w:hint="eastAsia" w:ascii="宋体" w:hAnsi="宋体" w:eastAsia="宋体" w:cs="宋体"/>
          <w:color w:val="auto"/>
          <w:highlight w:val="none"/>
          <w:u w:val="none" w:color="000000"/>
          <w:lang w:val="zh-CN"/>
        </w:rPr>
      </w:pPr>
      <w:r>
        <w:rPr>
          <w:rFonts w:hint="eastAsia" w:ascii="宋体" w:hAnsi="宋体" w:eastAsia="宋体" w:cs="宋体"/>
          <w:color w:val="auto"/>
          <w:highlight w:val="none"/>
          <w:u w:val="none" w:color="000000"/>
          <w:lang w:val="zh-CN"/>
        </w:rPr>
        <w:t>“杭州亚组委”，指2022年第19届亚运会组委会。</w:t>
      </w:r>
    </w:p>
    <w:p>
      <w:pPr>
        <w:numPr>
          <w:ilvl w:val="0"/>
          <w:numId w:val="20"/>
        </w:numPr>
        <w:spacing w:line="360" w:lineRule="auto"/>
        <w:ind w:firstLine="440" w:firstLineChars="200"/>
        <w:rPr>
          <w:rFonts w:hint="eastAsia" w:ascii="宋体" w:hAnsi="宋体" w:eastAsia="宋体" w:cs="宋体"/>
          <w:color w:val="auto"/>
          <w:highlight w:val="none"/>
          <w:u w:val="none" w:color="000000"/>
        </w:rPr>
      </w:pPr>
      <w:r>
        <w:rPr>
          <w:rFonts w:hint="eastAsia" w:ascii="宋体" w:hAnsi="宋体" w:eastAsia="宋体" w:cs="宋体"/>
          <w:color w:val="auto"/>
          <w:highlight w:val="none"/>
          <w:u w:val="none" w:color="000000"/>
        </w:rPr>
        <w:t>“亚奥理事会”，指亚洲奥林匹克理事会。</w:t>
      </w:r>
    </w:p>
    <w:p>
      <w:pPr>
        <w:numPr>
          <w:ilvl w:val="0"/>
          <w:numId w:val="20"/>
        </w:numPr>
        <w:spacing w:line="360" w:lineRule="auto"/>
        <w:ind w:firstLine="440" w:firstLineChars="200"/>
        <w:rPr>
          <w:rFonts w:hint="eastAsia" w:ascii="宋体" w:hAnsi="宋体" w:eastAsia="宋体" w:cs="宋体"/>
          <w:color w:val="auto"/>
          <w:highlight w:val="none"/>
          <w:u w:val="none" w:color="000000"/>
        </w:rPr>
      </w:pPr>
      <w:r>
        <w:rPr>
          <w:rFonts w:hint="eastAsia" w:ascii="宋体" w:hAnsi="宋体" w:eastAsia="宋体" w:cs="宋体"/>
          <w:color w:val="auto"/>
          <w:highlight w:val="none"/>
          <w:u w:val="none" w:color="000000"/>
        </w:rPr>
        <w:t>“杭州亚运会”，指2022年第19届亚洲运动会。</w:t>
      </w:r>
    </w:p>
    <w:p>
      <w:pPr>
        <w:numPr>
          <w:ilvl w:val="0"/>
          <w:numId w:val="20"/>
        </w:numPr>
        <w:spacing w:line="360" w:lineRule="auto"/>
        <w:ind w:firstLine="440" w:firstLineChars="200"/>
        <w:rPr>
          <w:rFonts w:hint="eastAsia" w:ascii="宋体" w:hAnsi="宋体" w:eastAsia="宋体" w:cs="宋体"/>
          <w:color w:val="auto"/>
          <w:highlight w:val="none"/>
          <w:u w:val="none" w:color="000000"/>
          <w:lang w:val="zh-CN"/>
        </w:rPr>
      </w:pPr>
      <w:r>
        <w:rPr>
          <w:rFonts w:hint="eastAsia" w:ascii="宋体" w:hAnsi="宋体" w:eastAsia="宋体" w:cs="宋体"/>
          <w:color w:val="auto"/>
          <w:highlight w:val="none"/>
          <w:u w:val="none" w:color="000000"/>
          <w:lang w:val="zh-CN"/>
        </w:rPr>
        <w:t>“工作日”，指中国法定节假日、休息日之外的日期。</w:t>
      </w:r>
    </w:p>
    <w:p>
      <w:pPr>
        <w:numPr>
          <w:ilvl w:val="0"/>
          <w:numId w:val="20"/>
        </w:numPr>
        <w:spacing w:line="360" w:lineRule="auto"/>
        <w:ind w:firstLine="440" w:firstLineChars="200"/>
        <w:rPr>
          <w:rFonts w:hint="eastAsia" w:ascii="宋体" w:hAnsi="宋体" w:eastAsia="宋体" w:cs="宋体"/>
          <w:color w:val="auto"/>
          <w:highlight w:val="none"/>
          <w:u w:val="none" w:color="000000"/>
          <w:lang w:val="zh-CN"/>
        </w:rPr>
      </w:pPr>
      <w:r>
        <w:rPr>
          <w:rFonts w:hint="eastAsia" w:ascii="宋体" w:hAnsi="宋体" w:eastAsia="宋体" w:cs="宋体"/>
          <w:color w:val="auto"/>
          <w:highlight w:val="none"/>
          <w:u w:val="none" w:color="000000"/>
          <w:lang w:val="zh-CN"/>
        </w:rPr>
        <w:t>“年”、“月”，指</w:t>
      </w:r>
      <w:r>
        <w:rPr>
          <w:rFonts w:hint="eastAsia" w:ascii="宋体" w:hAnsi="宋体" w:eastAsia="宋体" w:cs="宋体"/>
          <w:color w:val="auto"/>
          <w:highlight w:val="none"/>
          <w:u w:val="none" w:color="000000"/>
        </w:rPr>
        <w:t>公历</w:t>
      </w:r>
      <w:r>
        <w:rPr>
          <w:rFonts w:hint="eastAsia" w:ascii="宋体" w:hAnsi="宋体" w:eastAsia="宋体" w:cs="宋体"/>
          <w:color w:val="auto"/>
          <w:highlight w:val="none"/>
          <w:u w:val="none" w:color="000000"/>
          <w:lang w:val="zh-CN"/>
        </w:rPr>
        <w:t>年、月；</w:t>
      </w:r>
      <w:r>
        <w:rPr>
          <w:rFonts w:hint="eastAsia" w:ascii="宋体" w:hAnsi="宋体" w:eastAsia="宋体" w:cs="宋体"/>
          <w:color w:val="auto"/>
          <w:highlight w:val="none"/>
        </w:rPr>
        <w:t>按照年、月、日计算期间的，开始的当日不计入，自下一日开始计算；按照年、月计算期间的，到期月的对应日为期间的最后一日；没有对应日的，月末日为期间的最后一日</w:t>
      </w:r>
      <w:r>
        <w:rPr>
          <w:rFonts w:hint="eastAsia" w:ascii="宋体" w:hAnsi="宋体" w:eastAsia="宋体" w:cs="宋体"/>
          <w:color w:val="auto"/>
          <w:highlight w:val="none"/>
          <w:u w:val="none" w:color="000000"/>
          <w:lang w:val="zh-CN"/>
        </w:rPr>
        <w:t>。</w:t>
      </w:r>
    </w:p>
    <w:p>
      <w:pPr>
        <w:numPr>
          <w:ilvl w:val="0"/>
          <w:numId w:val="20"/>
        </w:numPr>
        <w:spacing w:line="360" w:lineRule="auto"/>
        <w:ind w:firstLine="440" w:firstLineChars="200"/>
        <w:rPr>
          <w:rFonts w:hint="eastAsia" w:ascii="宋体" w:hAnsi="宋体" w:eastAsia="宋体" w:cs="宋体"/>
          <w:color w:val="auto"/>
          <w:highlight w:val="none"/>
          <w:u w:val="none" w:color="000000"/>
        </w:rPr>
      </w:pPr>
      <w:r>
        <w:rPr>
          <w:rFonts w:hint="eastAsia" w:ascii="宋体" w:hAnsi="宋体" w:eastAsia="宋体" w:cs="宋体"/>
          <w:color w:val="auto"/>
          <w:highlight w:val="none"/>
          <w:u w:val="none" w:color="000000"/>
          <w:lang w:val="zh-CN"/>
        </w:rPr>
        <w:t xml:space="preserve"> “元”，指中国法定货币人民币元。</w:t>
      </w:r>
      <w:r>
        <w:rPr>
          <w:rFonts w:hint="eastAsia" w:ascii="宋体" w:hAnsi="宋体" w:eastAsia="宋体" w:cs="宋体"/>
          <w:color w:val="auto"/>
          <w:highlight w:val="none"/>
          <w:u w:val="none" w:color="000000"/>
        </w:rPr>
        <w:t xml:space="preserve">  </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4" w:name="_Toc25436"/>
      <w:r>
        <w:rPr>
          <w:rFonts w:hint="eastAsia" w:ascii="宋体" w:hAnsi="宋体" w:eastAsia="宋体" w:cs="宋体"/>
          <w:b/>
          <w:color w:val="auto"/>
          <w:highlight w:val="none"/>
          <w:u w:val="none" w:color="000000"/>
        </w:rPr>
        <w:t>二、委托内容和要求</w:t>
      </w:r>
      <w:bookmarkEnd w:id="134"/>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甲方委托乙方实施</w:t>
      </w:r>
      <w:r>
        <w:rPr>
          <w:rFonts w:hint="eastAsia" w:ascii="宋体" w:hAnsi="宋体" w:eastAsia="宋体" w:cs="宋体"/>
          <w:bCs/>
          <w:iCs/>
          <w:color w:val="auto"/>
          <w:highlight w:val="none"/>
        </w:rPr>
        <w:t>【        】</w:t>
      </w:r>
      <w:r>
        <w:rPr>
          <w:rFonts w:hint="eastAsia" w:ascii="宋体" w:hAnsi="宋体" w:eastAsia="宋体" w:cs="宋体"/>
          <w:color w:val="auto"/>
          <w:highlight w:val="none"/>
        </w:rPr>
        <w:t>的研究工作，具体研究内容包括：</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1.2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本项目乙方需要向甲方提交的最终研究成果包括：</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2.2</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 乙方应当按照</w:t>
      </w:r>
      <w:r>
        <w:rPr>
          <w:rFonts w:hint="eastAsia" w:ascii="宋体" w:hAnsi="宋体" w:eastAsia="宋体" w:cs="宋体"/>
          <w:bCs/>
          <w:iCs/>
          <w:color w:val="auto"/>
          <w:highlight w:val="none"/>
        </w:rPr>
        <w:t>【        】</w:t>
      </w:r>
      <w:r>
        <w:rPr>
          <w:rFonts w:hint="eastAsia" w:ascii="宋体" w:hAnsi="宋体" w:eastAsia="宋体" w:cs="宋体"/>
          <w:color w:val="auto"/>
          <w:highlight w:val="none"/>
        </w:rPr>
        <w:t>的要求完成研究工作，提交研究项目成果，并保证工作质量。</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 本项目总体要求为：</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4.1具有较高的学术水准或政策水准，在观点或方法上具有独创之处；</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4.2结合理论与实证分析，提出可操作性的建议；</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4.3论点鲜明，论证充分，结构合理，逻辑严密，资料翔实，行文流畅；</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4.4注释规范，引用材料须注明出处，不侵犯甲方及任何第三方的知识产权，不违反我国著作权法等法律法规的有关规定；</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4.5项目成果字形式：</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书面材料：《杭州亚运会赛事餐饮规划和政策研究文本和相关图件》《杭州亚运会赛事餐饮运行及管理研究（含服务商遴选）文本和相关图件》、《杭州亚运会赛事餐饮供应链和食品安全管理研究文本和相关图件》、《项目大事记》等20套。</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（二）电子材料：包括上述书面材料电子稿、项目研究成果演示电子稿、项目主要工作图片（视频）等。</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5. 本项目的研究方式为：</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甲方提出研究要求、研究方向、研究进度，进行项目协调，参加项目讨论，提供项目费用；乙方根据甲方要求完成项目研究，提交项目研究成果。</w:t>
      </w:r>
    </w:p>
    <w:p>
      <w:pPr>
        <w:spacing w:line="360" w:lineRule="auto"/>
        <w:ind w:firstLine="442" w:firstLineChars="200"/>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（注：请根据实际需求及双方协商结果约定）</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6. 本项目中，乙方指定项目负责人为</w:t>
      </w:r>
      <w:r>
        <w:rPr>
          <w:rFonts w:hint="eastAsia" w:ascii="宋体" w:hAnsi="宋体" w:eastAsia="宋体" w:cs="宋体"/>
          <w:bCs/>
          <w:iCs/>
          <w:color w:val="auto"/>
          <w:highlight w:val="none"/>
        </w:rPr>
        <w:t>【        】</w:t>
      </w:r>
      <w:r>
        <w:rPr>
          <w:rFonts w:hint="eastAsia" w:ascii="宋体" w:hAnsi="宋体" w:eastAsia="宋体" w:cs="宋体"/>
          <w:color w:val="auto"/>
          <w:highlight w:val="none"/>
        </w:rPr>
        <w:t>，项目成员为</w:t>
      </w:r>
      <w:r>
        <w:rPr>
          <w:rFonts w:hint="eastAsia" w:ascii="宋体" w:hAnsi="宋体" w:eastAsia="宋体" w:cs="宋体"/>
          <w:bCs/>
          <w:iCs/>
          <w:color w:val="auto"/>
          <w:highlight w:val="none"/>
        </w:rPr>
        <w:t>【        】，</w:t>
      </w:r>
      <w:r>
        <w:rPr>
          <w:rFonts w:hint="eastAsia" w:ascii="宋体" w:hAnsi="宋体" w:eastAsia="宋体" w:cs="宋体"/>
          <w:color w:val="auto"/>
          <w:highlight w:val="none"/>
        </w:rPr>
        <w:t>项目负责人应全面协调项目研究工作，保证项目工作质量。</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5" w:name="_Toc7793"/>
      <w:r>
        <w:rPr>
          <w:rFonts w:hint="eastAsia" w:ascii="宋体" w:hAnsi="宋体" w:eastAsia="宋体" w:cs="宋体"/>
          <w:b/>
          <w:color w:val="auto"/>
          <w:highlight w:val="none"/>
          <w:u w:val="none" w:color="000000"/>
        </w:rPr>
        <w:t>三、履行期限和时间安排</w:t>
      </w:r>
      <w:bookmarkEnd w:id="135"/>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履行期限：本项目履行期限自【    】年【  】月【  】日起，至【    】年【  】月【  】日止。乙方应在上述期限届满之前，向甲方提交本项目研究成果，完成本项目研究工作。</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 时间安排：</w:t>
      </w:r>
      <w:r>
        <w:rPr>
          <w:rFonts w:hint="eastAsia" w:ascii="宋体" w:hAnsi="宋体" w:eastAsia="宋体" w:cs="宋体"/>
          <w:b/>
          <w:bCs/>
          <w:i/>
          <w:iCs/>
          <w:color w:val="auto"/>
          <w:highlight w:val="none"/>
        </w:rPr>
        <w:t>（注：请据实调整具体研究项目的时间安排）</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2.1乙方应在本协议签订后【  】日内，向甲方提交详细的研究计划，包括详细研究提纲、项目负责人、成员名单以及研究进度安排等，研究进度安排需要符合本合同对时间安排的要求。甲方项目协调人可对乙方的研究计划提出修改意见。</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2.2乙方应在【    】年【  】月【  】日前，将当前研究进度、阶段性成果及需要解决的重点和难点告知甲方项目协调人。甲方项目协调人与乙方就下阶段研究工作进行讨论。</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2.3乙方应在【    】年【  】月【  】日，完成项目研究成果初稿。</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2.4甲方有权对研究成果初稿向乙方提出具体修改或者补充意见，乙方应在【  】个工作日内完成修改、补充，并提交项目最终成果草案。</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2.5甲方在针对项目最终成果草案仍有修改、补充意见的，乙方应在【  】个工作日内完成修改、补充工作。</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2.6乙方根据甲方的意见对项目研究成果进行修改后定稿，并于本协议约定的履行期限届满前以纸质材料并附电子文件的形式向甲方提交项目研究成果，并同时向甲方提供本项目产生的所有阶段性研究成果。</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6" w:name="_Toc438"/>
      <w:r>
        <w:rPr>
          <w:rFonts w:hint="eastAsia" w:ascii="宋体" w:hAnsi="宋体" w:eastAsia="宋体" w:cs="宋体"/>
          <w:b/>
          <w:color w:val="auto"/>
          <w:highlight w:val="none"/>
          <w:u w:val="none" w:color="000000"/>
        </w:rPr>
        <w:t>四、评审方式</w:t>
      </w:r>
      <w:bookmarkEnd w:id="136"/>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乙方提交项目最终成果后，甲方负责组织专家小组对项目成果进行专家评审。专家评审小组由【    】名人员组成，并根据课题要求进行匿名评审。</w:t>
      </w:r>
    </w:p>
    <w:p>
      <w:pPr>
        <w:spacing w:line="360" w:lineRule="auto"/>
        <w:ind w:firstLine="442" w:firstLineChars="200"/>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（注：1.专家小组的组成成员建议由单数组成，通常可以选择3人或5人；2.请根据项目具体情况确定专家小组的组成成员，建议选择相关行业的专业人员。）</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评审实行一人一票制，每人有“合格”、“不合格”两个选项，评审小组50%以上成员评议不合格者，即视为项目成果验收不合格。</w:t>
      </w:r>
    </w:p>
    <w:p>
      <w:pPr>
        <w:spacing w:line="360" w:lineRule="auto"/>
        <w:ind w:firstLine="442" w:firstLineChars="200"/>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（注：请根据适用的表决机制自行调整。）</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 如果项目研究成果经甲方评审小组验收合格，视为乙方完成全部项目研究工作，据此作为甲方后续付款依据。</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 验收不合格的后果：</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若研究成果未通过评审，乙方应在5个工作日内完成修改、补充，并提交修改后的课题最终成果。对于修改后的成果验收仍不合格的，甲方有权不予支付未支付的项目经费，并要求乙方承担由此给甲方带来的各项损失，甲方并暂停乙方参加以后各类研究项目的资格。</w:t>
      </w:r>
    </w:p>
    <w:p>
      <w:pPr>
        <w:spacing w:line="360" w:lineRule="auto"/>
        <w:ind w:firstLine="442" w:firstLineChars="200"/>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（注：请结合项目情况确定对项目研究成果验收不合格的处置方式。）</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7" w:name="_Toc26192"/>
      <w:r>
        <w:rPr>
          <w:rFonts w:hint="eastAsia" w:ascii="宋体" w:hAnsi="宋体" w:eastAsia="宋体" w:cs="宋体"/>
          <w:b/>
          <w:color w:val="auto"/>
          <w:highlight w:val="none"/>
          <w:u w:val="none" w:color="000000"/>
        </w:rPr>
        <w:t>五、合同价款及支付方式</w:t>
      </w:r>
      <w:bookmarkEnd w:id="137"/>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经甲乙双方协商一致，本项目合同总额含税共计【    】元（大写：【    】元整）。</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前款所述费用包括乙方实施</w:t>
      </w:r>
      <w:r>
        <w:rPr>
          <w:rFonts w:hint="eastAsia" w:ascii="宋体" w:hAnsi="宋体" w:eastAsia="宋体" w:cs="宋体"/>
          <w:bCs/>
          <w:iCs/>
          <w:color w:val="auto"/>
          <w:highlight w:val="none"/>
        </w:rPr>
        <w:t>【        】</w:t>
      </w:r>
      <w:r>
        <w:rPr>
          <w:rFonts w:hint="eastAsia" w:ascii="宋体" w:hAnsi="宋体" w:eastAsia="宋体" w:cs="宋体"/>
          <w:color w:val="auto"/>
          <w:highlight w:val="none"/>
        </w:rPr>
        <w:t>项目的研究工作的全部费用。除合同另有明文约定外，甲方不再向乙方支付其他任何费用。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付款时间</w:t>
      </w:r>
      <w:r>
        <w:rPr>
          <w:rFonts w:hint="eastAsia" w:ascii="宋体" w:hAnsi="宋体" w:eastAsia="宋体" w:cs="宋体"/>
          <w:b/>
          <w:i/>
          <w:color w:val="auto"/>
          <w:highlight w:val="none"/>
        </w:rPr>
        <w:t>（注：根据双方实际协商结果修改。）</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2.1在本合同生效后且甲方完成财政资金审批手续后【  】个工作日内，甲方向乙方支付合同总额的【  】%，即【    】元（大写：【    】元整）。</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2.2乙方向甲方提交研究成果初稿且甲方完成财政资金审批手续之日起【  】个工作日内，甲方向乙方支付合同总额的【  】%，即【    】元（大写：【    】元整）。</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2.3正式研究成果验收合格且甲方完成财政资金审批手续之日起【  】个工作日内，支付合同总额其余的【  】%，即【    】元（大写：【    】元整）。</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 甲方付款前，乙方须提供正规合法的等额发票，否则甲方有权拒绝付款，且不因此承担任何违约责任。</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 付款方式为【银行转账】，乙方银行账户信息：</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开 户 名：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账    号：</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8" w:name="_Toc26998"/>
      <w:r>
        <w:rPr>
          <w:rFonts w:hint="eastAsia" w:ascii="宋体" w:hAnsi="宋体" w:eastAsia="宋体" w:cs="宋体"/>
          <w:b/>
          <w:color w:val="auto"/>
          <w:highlight w:val="none"/>
          <w:u w:val="none" w:color="000000"/>
        </w:rPr>
        <w:t>六、双方权利及义务</w:t>
      </w:r>
      <w:bookmarkEnd w:id="138"/>
    </w:p>
    <w:p>
      <w:pPr>
        <w:spacing w:line="360" w:lineRule="auto"/>
        <w:ind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1. 甲方的权利及义务</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1.1根据本合同要求按时支付乙方合同价款。</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1.2根据乙方需要，参与项目的相关讨论和调研活动，或给予支持、指导与建议。</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1.3对乙方的研究进度、费用使用及阶段性成果进行监督、检查，甲方指派【    】为本项目的协调人，甲方项目协调人可对乙方的研究计划和研究提纲提出建议。</w:t>
      </w:r>
    </w:p>
    <w:p>
      <w:pPr>
        <w:spacing w:line="360" w:lineRule="auto"/>
        <w:ind w:firstLine="442" w:firstLineChars="200"/>
        <w:rPr>
          <w:rFonts w:hint="eastAsia" w:ascii="宋体" w:hAnsi="宋体" w:eastAsia="宋体" w:cs="宋体"/>
          <w:b/>
          <w:color w:val="auto"/>
          <w:highlight w:val="none"/>
        </w:rPr>
      </w:pPr>
      <w:r>
        <w:rPr>
          <w:rFonts w:hint="eastAsia" w:ascii="宋体" w:hAnsi="宋体" w:eastAsia="宋体" w:cs="宋体"/>
          <w:b/>
          <w:color w:val="auto"/>
          <w:highlight w:val="none"/>
        </w:rPr>
        <w:t>2. 乙方的权利及义务</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2.1项目经费使用方式</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按期获得甲方提供的项目经费，经费使用严格遵守相关法律法规规定以及甲方的要求。</w:t>
      </w:r>
    </w:p>
    <w:p>
      <w:pPr>
        <w:spacing w:line="360" w:lineRule="auto"/>
        <w:ind w:firstLine="442" w:firstLineChars="200"/>
        <w:rPr>
          <w:rFonts w:hint="eastAsia" w:ascii="宋体" w:hAnsi="宋体" w:eastAsia="宋体" w:cs="宋体"/>
          <w:b/>
          <w:bCs/>
          <w:i/>
          <w:iCs/>
          <w:color w:val="auto"/>
          <w:highlight w:val="none"/>
        </w:rPr>
      </w:pPr>
      <w:r>
        <w:rPr>
          <w:rFonts w:hint="eastAsia" w:ascii="宋体" w:hAnsi="宋体" w:eastAsia="宋体" w:cs="宋体"/>
          <w:b/>
          <w:bCs/>
          <w:i/>
          <w:iCs/>
          <w:color w:val="auto"/>
          <w:highlight w:val="none"/>
        </w:rPr>
        <w:t>（注：请据实约定对乙方使用项目经费的要求。）</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2.1乙方应按照甲方及本合同约定的要求及时完成本项目研究工作。</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2.2乙方在项目研究过程中，应积极与甲方指派的协调联络人协作、讨论。</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2.3确保项目实施过程中无违法违规行为，不侵犯甲方及任何第三方的合法权益，研究成果不违反国家法律法规的相关规定。</w:t>
      </w:r>
    </w:p>
    <w:p>
      <w:pPr>
        <w:spacing w:line="360" w:lineRule="auto"/>
        <w:ind w:firstLine="550" w:firstLineChars="250"/>
        <w:rPr>
          <w:rFonts w:hint="eastAsia" w:ascii="宋体" w:hAnsi="宋体" w:eastAsia="宋体" w:cs="宋体"/>
          <w:color w:val="auto"/>
          <w:highlight w:val="none"/>
        </w:rPr>
      </w:pPr>
      <w:r>
        <w:rPr>
          <w:rFonts w:hint="eastAsia" w:ascii="宋体" w:hAnsi="宋体" w:eastAsia="宋体" w:cs="宋体"/>
          <w:color w:val="auto"/>
          <w:highlight w:val="none"/>
        </w:rPr>
        <w:t>2.4项目组成员原则上不得变更，如遇特殊情况确需变更的，应当征得甲方书面同意。</w:t>
      </w:r>
    </w:p>
    <w:p>
      <w:pPr>
        <w:spacing w:before="120" w:beforeLines="50"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2.5 甲方实施乙方研究成果过程中，乙方应积极协助甲方进行各类方案的落地，向甲方无偿提供包括但不限于各类咨询、答疑、参会等售后服务与支持。</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39" w:name="_Toc30872"/>
      <w:r>
        <w:rPr>
          <w:rFonts w:hint="eastAsia" w:ascii="宋体" w:hAnsi="宋体" w:eastAsia="宋体" w:cs="宋体"/>
          <w:b/>
          <w:color w:val="auto"/>
          <w:highlight w:val="none"/>
          <w:u w:val="none" w:color="000000"/>
        </w:rPr>
        <w:t>七、可持续发展</w:t>
      </w:r>
      <w:bookmarkEnd w:id="139"/>
    </w:p>
    <w:p>
      <w:pPr>
        <w:numPr>
          <w:ilvl w:val="0"/>
          <w:numId w:val="21"/>
        </w:numPr>
        <w:spacing w:line="360" w:lineRule="auto"/>
        <w:ind w:firstLine="440" w:firstLineChars="200"/>
        <w:rPr>
          <w:rFonts w:hint="eastAsia" w:ascii="宋体" w:hAnsi="宋体" w:eastAsia="宋体" w:cs="宋体"/>
          <w:color w:val="auto"/>
          <w:highlight w:val="none"/>
          <w:u w:val="none" w:color="000000"/>
        </w:rPr>
      </w:pPr>
      <w:r>
        <w:rPr>
          <w:rFonts w:hint="eastAsia" w:ascii="宋体" w:hAnsi="宋体" w:eastAsia="宋体" w:cs="宋体"/>
          <w:color w:val="auto"/>
          <w:highlight w:val="none"/>
          <w:u w:val="none" w:color="000000"/>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pPr>
        <w:numPr>
          <w:ilvl w:val="0"/>
          <w:numId w:val="21"/>
        </w:numPr>
        <w:spacing w:line="360" w:lineRule="auto"/>
        <w:ind w:firstLine="440" w:firstLineChars="200"/>
        <w:rPr>
          <w:rFonts w:hint="eastAsia" w:ascii="宋体" w:hAnsi="宋体" w:eastAsia="宋体" w:cs="宋体"/>
          <w:color w:val="auto"/>
          <w:highlight w:val="none"/>
          <w:u w:val="none" w:color="000000"/>
        </w:rPr>
      </w:pPr>
      <w:r>
        <w:rPr>
          <w:rFonts w:hint="eastAsia" w:ascii="宋体" w:hAnsi="宋体" w:eastAsia="宋体" w:cs="宋体"/>
          <w:color w:val="auto"/>
          <w:highlight w:val="none"/>
          <w:u w:val="none" w:color="000000"/>
        </w:rPr>
        <w:t>乙方应确保其依据本合同提供的产品/服务符合甲方可持续发展相关政策与指南，并与甲方紧密合作，确保甲方实现亚运会关于可持续发展的目标。</w:t>
      </w:r>
    </w:p>
    <w:p>
      <w:pPr>
        <w:spacing w:line="360" w:lineRule="auto"/>
        <w:ind w:firstLine="440" w:firstLineChars="200"/>
        <w:rPr>
          <w:rFonts w:hint="eastAsia" w:ascii="宋体" w:hAnsi="宋体" w:eastAsia="宋体" w:cs="宋体"/>
          <w:b/>
          <w:color w:val="auto"/>
          <w:highlight w:val="none"/>
        </w:rPr>
      </w:pPr>
      <w:r>
        <w:rPr>
          <w:rFonts w:hint="eastAsia" w:ascii="宋体" w:hAnsi="宋体" w:eastAsia="宋体" w:cs="宋体"/>
          <w:color w:val="auto"/>
          <w:highlight w:val="none"/>
          <w:u w:val="none" w:color="000000"/>
        </w:rPr>
        <w:t>3. 乙方承诺将在履行本合同过程中降低资源和能源消耗，减少污染，保护自然生态，促进环境友好；保障劳动者权益、不得强制劳动，不得贪污贿赂/商业贿赂，保护公平竞争，促进社会和谐。</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0" w:name="_Toc16166"/>
      <w:r>
        <w:rPr>
          <w:rFonts w:hint="eastAsia" w:ascii="宋体" w:hAnsi="宋体" w:eastAsia="宋体" w:cs="宋体"/>
          <w:b/>
          <w:color w:val="auto"/>
          <w:highlight w:val="none"/>
          <w:u w:val="none" w:color="000000"/>
        </w:rPr>
        <w:t>八、无市场开发权</w:t>
      </w:r>
      <w:bookmarkEnd w:id="140"/>
    </w:p>
    <w:p>
      <w:pPr>
        <w:numPr>
          <w:ilvl w:val="0"/>
          <w:numId w:val="22"/>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numPr>
          <w:ilvl w:val="0"/>
          <w:numId w:val="22"/>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乙方承诺，将严格遵守亚运会标志保护和知识产权保护等方面的法律法规和市场开发的相关规则，坚持依法诚信经营，全面履行合同义务；未经权利人许可，不得从事以下行为：</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2.1自行或者协助任何第三方为商业目的（含潜在商业目的）使用亚运会标志或近似标志。</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2.3自行或协助任何第三方干扰亚奥理事会或杭州亚组委市场开发合作伙伴等有权主体的市场开发活动。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2.4自行或协助任何第三方从事与亚运会参赛运动员、教练员、官员有关的任何其他形式的市场开发活动。</w:t>
      </w:r>
    </w:p>
    <w:p>
      <w:pPr>
        <w:numPr>
          <w:ilvl w:val="0"/>
          <w:numId w:val="22"/>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numPr>
          <w:ilvl w:val="0"/>
          <w:numId w:val="22"/>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本条约定自本合同生效之日起即应履行，长期有效，并且不受本合同期限届满、提前终止或本合同中其他条款的无效或履行完毕等情形的影响。</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1" w:name="_Toc5772"/>
      <w:r>
        <w:rPr>
          <w:rFonts w:hint="eastAsia" w:ascii="宋体" w:hAnsi="宋体" w:eastAsia="宋体" w:cs="宋体"/>
          <w:b/>
          <w:color w:val="auto"/>
          <w:highlight w:val="none"/>
          <w:u w:val="none" w:color="000000"/>
        </w:rPr>
        <w:t>九、保密义务</w:t>
      </w:r>
      <w:bookmarkEnd w:id="141"/>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w:t>
      </w:r>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乙方可仅为本合同目的向其确有知悉必要的员工披露甲方提供的保密资料，但同时须指示其员工遵守本条规定的保密及不披露义务。乙方应仅为本合同目的而复制和使用保密资料。</w:t>
      </w:r>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本合同保密范围，即为甲方保密信息，包括但不限于甲方的具有保密性质的信息、文件和资料，无论其表现形式如何，也无论通过何种方式取得，包括但不限于：</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3.1本合同全部条款或因履行本合同或在本合同履行期间获得的或收到的具有保密性质的信息、文件和资料。</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3.2与甲方的事务、运作、活动、计划和决策等相关的信息，包括但不限于所有与亚运会相关的法律、财务、技术、经营、商业和创作信息。</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3.3与亚运会人员相关的所有信息。</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3.4与亚运会合作伙伴相关的所有信息。</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3.5涉及甲方的所有商业秘密、专有技术、技术参数、工艺、流程和方法等。</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3.6乙方受托工作中涉及的一切不对外公开或者没有对外公开的信息。</w:t>
      </w:r>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条规定自乙方接触到本合同所称保密信息之日起即应履行，并且不受本合同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23"/>
        </w:num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乙方对于本合同的签订、履行负有保密义务，非经甲方书面同意，乙方不得向合同双方当事人之外的任何第三方披露合同内容，并不得以甲方合作伙伴、供应商、服务商等各种名义对外宣传。</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违反本条款约定的保密义务，乙方应立即停止侵害、消除影响、赔礼道歉、赔偿损失，并按照本合同项目经费总额的30%支付违约金，如实际损失超过前述违约金的，乙方需赔偿超过违约金部分的实际损失。</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2" w:name="_Toc14937"/>
      <w:r>
        <w:rPr>
          <w:rFonts w:hint="eastAsia" w:ascii="宋体" w:hAnsi="宋体" w:eastAsia="宋体" w:cs="宋体"/>
          <w:b/>
          <w:color w:val="auto"/>
          <w:highlight w:val="none"/>
          <w:u w:val="none" w:color="000000"/>
        </w:rPr>
        <w:t>十、知识产权</w:t>
      </w:r>
      <w:bookmarkEnd w:id="142"/>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研究成果的知识产权归属</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2.1乙方向甲方提交的所有研究成果，包括最终研究成果、阶段性研究成果的著作权均归属于甲方。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2.2乙方不得发表本项目研究成果，也不得自行将研究成果以任何方式提供给任何第三方（包括甲方单位中与本项目无关的人员）。</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2.3违反本条规定的，乙方应当对因此给甲方造成的一切损失承担赔偿责任，赔偿范围包括但不限于甲方因此遭受的直接经济损失，可预见的间接经济损失，以及甲方因此支出的诉讼费、仲裁费、律师费、差旅费、公证费、鉴定费、评估费、保全费、执行费等费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 乙方保证乙方交付的所有研究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知识产权诉讼，乙方不承担任何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 如乙方发现任何交付成果的知识产权可能有瑕疵，应立即书面通知甲方，并立即采取一切必要措施使交付成果合法化。</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 本条规定自本合同生效之日起即应履行，长期有效，并且不受本合同届满、提前终止或本合同中其他条款的无效或履行完毕等情形的影响。</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3" w:name="_Toc3947"/>
      <w:r>
        <w:rPr>
          <w:rFonts w:hint="eastAsia" w:ascii="宋体" w:hAnsi="宋体" w:eastAsia="宋体" w:cs="宋体"/>
          <w:b/>
          <w:color w:val="auto"/>
          <w:highlight w:val="none"/>
          <w:u w:val="none" w:color="000000"/>
        </w:rPr>
        <w:t>十一、合同的转让、变更及解除</w:t>
      </w:r>
      <w:bookmarkEnd w:id="143"/>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未经甲方事先书面同意，乙方不得将本合同的权利或义务全部或部分转移给第三人。否则，甲方有权解除本合同并追究乙方的违约责任。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双方协商一致，可以变更、解除本合同。任何一方欲变更、解除本合同，必须提前15日以书面形式提出，双方协商一致后签署补充合同。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3．一方有下列情形之一的，另一方可以解除本合同：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3.1因不可抗力致使不能实现本合同的目的。</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3.2在履行期限届满之前，一方明确表示或者以自己的行为表明不履行主要债务。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3.3一方迟延履行主要义务，经催告后在合理期限内仍未履行。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3.4一方迟延履行义务或者有其他违约行为致使不能实现合同目的。</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3.5法律规定或本合同约定的其他情形。</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4" w:name="_Toc21368"/>
      <w:r>
        <w:rPr>
          <w:rFonts w:hint="eastAsia" w:ascii="宋体" w:hAnsi="宋体" w:eastAsia="宋体" w:cs="宋体"/>
          <w:b/>
          <w:color w:val="auto"/>
          <w:highlight w:val="none"/>
          <w:u w:val="none" w:color="000000"/>
        </w:rPr>
        <w:t>十二、违约责任</w:t>
      </w:r>
      <w:bookmarkEnd w:id="144"/>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如果甲方未按照本合同的约定支付项目经费，乙方有权要求其承担应付未付金额【10%】的违约金；如果乙方未能按照本合同约定履行义务，甲方有权要求其承担项目经费总额【10%】的违约金。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 如乙方不能按照要求及时交付课题（包括初稿、阶段性研究成果、最终研究成果等），需提前进行情况说明，并经过甲方书面同意。否则，每逾期一日，乙方应向甲方支付合同总额【千分之一】的违约金，超过【  】天未履行相关义务，甲方将收回已支付经费，并取消乙方后续参加规划研究及相关课题的承担资格。</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5" w:name="_Toc28533"/>
      <w:r>
        <w:rPr>
          <w:rFonts w:hint="eastAsia" w:ascii="宋体" w:hAnsi="宋体" w:eastAsia="宋体" w:cs="宋体"/>
          <w:b/>
          <w:color w:val="auto"/>
          <w:highlight w:val="none"/>
          <w:u w:val="none" w:color="000000"/>
        </w:rPr>
        <w:t>十三、不可抗力</w:t>
      </w:r>
      <w:bookmarkEnd w:id="145"/>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不可抗力是指因无法预见、无法避免且无法克服之原因发生的事项，包括但不限于地震、台风、海啸、瘟疫、火灾、洪水、重大疫情、政府行为、战争、恐怖袭击、蓄意破坏等客观情况。</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本合同项下任何一方对于因不可抗力致使本合同不能履行或不能全部履行而给对方造成的任何损失不承担违约责任。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 如果发生不可抗力事件，则受影响的一方应采取积极有效的措施以减少因本合同不能履行或不能全部履行而给对方造成的损失，并应在不可抗力事件发生后三个工作日通知对方，并在15日内出具官方证明文件。</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 不可抗力影响因素消失以后，双方应协商是否继续履行合同。如不可抗力因素对合同一方的义务产生实质性、无法补救的影响，导致合同已无法履行，双方应通过书面形式终止本合同。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6" w:name="_Toc3392"/>
      <w:r>
        <w:rPr>
          <w:rFonts w:hint="eastAsia" w:ascii="宋体" w:hAnsi="宋体" w:eastAsia="宋体" w:cs="宋体"/>
          <w:b/>
          <w:color w:val="auto"/>
          <w:highlight w:val="none"/>
          <w:u w:val="none" w:color="000000"/>
        </w:rPr>
        <w:t>十四、争议解决</w:t>
      </w:r>
      <w:bookmarkEnd w:id="146"/>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本合同应适用中国法律并应根据中国法律解释（仅为本合同之目的，不包括香港、澳门、台湾地区）。</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 因本合同引起的或与本合同有关的任何争议，双方应当协商解决。经双方协商不能解决的，均提请杭州仲裁委员会,按照其仲裁规则进行仲裁，仲裁语言应当为中文。仲裁裁决是终局的，对双方均有约束力。</w:t>
      </w:r>
    </w:p>
    <w:p>
      <w:pPr>
        <w:spacing w:before="120" w:beforeLines="50" w:line="360" w:lineRule="auto"/>
        <w:ind w:firstLine="442" w:firstLineChars="200"/>
        <w:outlineLvl w:val="1"/>
        <w:rPr>
          <w:rFonts w:hint="eastAsia" w:ascii="宋体" w:hAnsi="宋体" w:eastAsia="宋体" w:cs="宋体"/>
          <w:b/>
          <w:color w:val="auto"/>
          <w:highlight w:val="none"/>
          <w:u w:val="none" w:color="000000"/>
        </w:rPr>
      </w:pPr>
      <w:bookmarkStart w:id="147" w:name="_Toc8203"/>
      <w:r>
        <w:rPr>
          <w:rFonts w:hint="eastAsia" w:ascii="宋体" w:hAnsi="宋体" w:eastAsia="宋体" w:cs="宋体"/>
          <w:b/>
          <w:color w:val="auto"/>
          <w:highlight w:val="none"/>
          <w:u w:val="none" w:color="000000"/>
        </w:rPr>
        <w:t>十五、其他</w:t>
      </w:r>
      <w:bookmarkEnd w:id="147"/>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 本合同由甲乙双方签字盖章之日起生效。</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 对本合同的任何修改和补充均应以补充协议的形式作出，由双方签字盖章后生效。本合同的附件、补充协议与本合同具有同等法律效力。</w:t>
      </w:r>
    </w:p>
    <w:p>
      <w:pPr>
        <w:spacing w:line="360" w:lineRule="auto"/>
        <w:ind w:firstLine="442" w:firstLineChars="200"/>
        <w:rPr>
          <w:rFonts w:hint="eastAsia" w:ascii="宋体" w:hAnsi="宋体" w:eastAsia="宋体" w:cs="宋体"/>
          <w:b/>
          <w:i/>
          <w:color w:val="auto"/>
          <w:highlight w:val="none"/>
        </w:rPr>
      </w:pPr>
      <w:r>
        <w:rPr>
          <w:rFonts w:hint="eastAsia" w:ascii="宋体" w:hAnsi="宋体" w:eastAsia="宋体" w:cs="宋体"/>
          <w:b/>
          <w:i/>
          <w:color w:val="auto"/>
          <w:highlight w:val="none"/>
        </w:rPr>
        <w:t>3. 采购编号为【ZJWSBJ-YZW-201901C】的采购文件、响应文件、磋商纪要等文件均为本合同的组成部分；采购文件、响应文件、磋商纪要等文件与本合同约定不一致的，以本合同为准。（注：如该项目不是政府采购方式，则删去本款）</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 本合同部分无效，不影响其他部分效力的，其他部分仍然有效。</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 本合同一式【  】份，甲方执【  】份，乙方执【  】份，各份具有同等法律效力。</w:t>
      </w:r>
    </w:p>
    <w:p>
      <w:pPr>
        <w:spacing w:line="360" w:lineRule="auto"/>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spacing w:line="360" w:lineRule="auto"/>
        <w:ind w:firstLine="480"/>
        <w:rPr>
          <w:rFonts w:hint="eastAsia" w:ascii="宋体" w:hAnsi="宋体" w:eastAsia="宋体" w:cs="宋体"/>
          <w:color w:val="auto"/>
          <w:highlight w:val="none"/>
        </w:rPr>
      </w:pPr>
    </w:p>
    <w:p>
      <w:pPr>
        <w:rPr>
          <w:rFonts w:hint="eastAsia" w:ascii="宋体" w:hAnsi="宋体" w:eastAsia="宋体" w:cs="宋体"/>
          <w:b/>
          <w:i/>
          <w:color w:val="auto"/>
          <w:highlight w:val="none"/>
        </w:rPr>
      </w:pPr>
      <w:r>
        <w:rPr>
          <w:rFonts w:hint="eastAsia" w:ascii="宋体" w:hAnsi="宋体" w:eastAsia="宋体" w:cs="宋体"/>
          <w:b/>
          <w:i/>
          <w:color w:val="auto"/>
          <w:highlight w:val="none"/>
        </w:rPr>
        <w:br w:type="page"/>
      </w:r>
    </w:p>
    <w:p>
      <w:pPr>
        <w:spacing w:line="360" w:lineRule="auto"/>
        <w:ind w:firstLine="480"/>
        <w:rPr>
          <w:rFonts w:hint="eastAsia" w:ascii="宋体" w:hAnsi="宋体" w:eastAsia="宋体" w:cs="宋体"/>
          <w:b/>
          <w:i/>
          <w:color w:val="auto"/>
          <w:highlight w:val="none"/>
        </w:rPr>
      </w:pPr>
      <w:r>
        <w:rPr>
          <w:rFonts w:hint="eastAsia" w:ascii="宋体" w:hAnsi="宋体" w:eastAsia="宋体" w:cs="宋体"/>
          <w:b/>
          <w:i/>
          <w:color w:val="auto"/>
          <w:highlight w:val="none"/>
        </w:rPr>
        <w:t>（本页无正文，为本合同签署页）注：如另起签署页的，需保留该内容。</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甲方（盖章）：2022年第19届亚运会组委会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授权代表（签字）：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签署日期：</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法定代表人/授权代表（签字）：</w:t>
      </w:r>
    </w:p>
    <w:p>
      <w:pPr>
        <w:rPr>
          <w:rFonts w:hint="eastAsia" w:ascii="宋体" w:hAnsi="宋体" w:eastAsia="宋体" w:cs="宋体"/>
          <w:color w:val="auto"/>
          <w:highlight w:val="none"/>
        </w:rPr>
      </w:pPr>
      <w:r>
        <w:rPr>
          <w:rFonts w:hint="eastAsia" w:ascii="宋体" w:hAnsi="宋体" w:eastAsia="宋体" w:cs="宋体"/>
          <w:color w:val="auto"/>
          <w:highlight w:val="none"/>
        </w:rPr>
        <w:t>签署日期：</w:t>
      </w:r>
    </w:p>
    <w:p>
      <w:pPr>
        <w:pStyle w:val="23"/>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ind w:left="0"/>
        <w:rPr>
          <w:b/>
          <w:color w:val="auto"/>
          <w:highlight w:val="none"/>
        </w:rPr>
      </w:pPr>
    </w:p>
    <w:p>
      <w:pPr>
        <w:pStyle w:val="3"/>
        <w:ind w:left="0"/>
        <w:rPr>
          <w:b/>
          <w:color w:val="auto"/>
          <w:highlight w:val="none"/>
        </w:rPr>
      </w:pPr>
    </w:p>
    <w:p>
      <w:pPr>
        <w:pStyle w:val="3"/>
        <w:ind w:left="0"/>
        <w:rPr>
          <w:b/>
          <w:color w:val="auto"/>
          <w:highlight w:val="none"/>
        </w:rPr>
      </w:pPr>
    </w:p>
    <w:p>
      <w:pPr>
        <w:pStyle w:val="3"/>
        <w:spacing w:before="7"/>
        <w:ind w:left="0"/>
        <w:rPr>
          <w:b/>
          <w:color w:val="auto"/>
          <w:sz w:val="18"/>
          <w:highlight w:val="none"/>
        </w:rPr>
      </w:pPr>
    </w:p>
    <w:p>
      <w:pPr>
        <w:rPr>
          <w:color w:val="auto"/>
          <w:highlight w:val="none"/>
        </w:rPr>
      </w:pPr>
      <w:r>
        <w:rPr>
          <w:color w:val="auto"/>
          <w:highlight w:val="none"/>
        </w:rPr>
        <w:br w:type="page"/>
      </w:r>
    </w:p>
    <w:p>
      <w:pPr>
        <w:pStyle w:val="4"/>
        <w:outlineLvl w:val="0"/>
        <w:rPr>
          <w:color w:val="auto"/>
          <w:highlight w:val="none"/>
        </w:rPr>
      </w:pPr>
      <w:bookmarkStart w:id="148" w:name="_Toc7897"/>
      <w:r>
        <w:rPr>
          <w:color w:val="auto"/>
          <w:highlight w:val="none"/>
        </w:rPr>
        <w:t>第五部分 应提交的有关格式范例</w:t>
      </w:r>
      <w:bookmarkEnd w:id="148"/>
    </w:p>
    <w:p>
      <w:pPr>
        <w:pStyle w:val="3"/>
        <w:ind w:left="0"/>
        <w:rPr>
          <w:b/>
          <w:color w:val="auto"/>
          <w:sz w:val="36"/>
          <w:highlight w:val="none"/>
        </w:rPr>
      </w:pPr>
    </w:p>
    <w:p>
      <w:pPr>
        <w:pStyle w:val="3"/>
        <w:spacing w:before="244"/>
        <w:ind w:left="880"/>
        <w:rPr>
          <w:color w:val="auto"/>
          <w:highlight w:val="none"/>
        </w:rPr>
      </w:pPr>
      <w:r>
        <w:rPr>
          <w:color w:val="auto"/>
          <w:highlight w:val="none"/>
        </w:rPr>
        <w:t>说明：</w:t>
      </w:r>
    </w:p>
    <w:p>
      <w:pPr>
        <w:pStyle w:val="19"/>
        <w:numPr>
          <w:ilvl w:val="1"/>
          <w:numId w:val="24"/>
        </w:numPr>
        <w:tabs>
          <w:tab w:val="left" w:pos="1122"/>
        </w:tabs>
        <w:spacing w:before="160" w:after="0" w:line="240" w:lineRule="auto"/>
        <w:ind w:left="1121" w:right="0" w:hanging="242"/>
        <w:jc w:val="left"/>
        <w:rPr>
          <w:color w:val="auto"/>
          <w:sz w:val="24"/>
          <w:highlight w:val="none"/>
        </w:rPr>
      </w:pPr>
      <w:r>
        <w:rPr>
          <w:color w:val="auto"/>
          <w:sz w:val="24"/>
          <w:highlight w:val="none"/>
        </w:rPr>
        <w:t>响应文件由磋商供应商根据照磋商文件要求参照附件格式编制。</w:t>
      </w:r>
    </w:p>
    <w:p>
      <w:pPr>
        <w:pStyle w:val="19"/>
        <w:numPr>
          <w:ilvl w:val="1"/>
          <w:numId w:val="24"/>
        </w:numPr>
        <w:tabs>
          <w:tab w:val="left" w:pos="1122"/>
        </w:tabs>
        <w:spacing w:before="158" w:after="0" w:line="240" w:lineRule="auto"/>
        <w:ind w:left="1121" w:right="0" w:hanging="242"/>
        <w:jc w:val="left"/>
        <w:rPr>
          <w:color w:val="auto"/>
          <w:sz w:val="24"/>
          <w:highlight w:val="none"/>
        </w:rPr>
      </w:pPr>
      <w:r>
        <w:rPr>
          <w:color w:val="auto"/>
          <w:sz w:val="24"/>
          <w:highlight w:val="none"/>
        </w:rPr>
        <w:t>附件中有参考格式的，参照格式，没有参考格式的，自行编制。</w:t>
      </w:r>
    </w:p>
    <w:p>
      <w:pPr>
        <w:spacing w:after="0" w:line="240" w:lineRule="auto"/>
        <w:jc w:val="left"/>
        <w:rPr>
          <w:color w:val="auto"/>
          <w:sz w:val="24"/>
          <w:highlight w:val="none"/>
        </w:rPr>
        <w:sectPr>
          <w:footerReference r:id="rId12" w:type="default"/>
          <w:pgSz w:w="11900" w:h="16840"/>
          <w:pgMar w:top="1100" w:right="820" w:bottom="800" w:left="1020" w:header="0" w:footer="609" w:gutter="0"/>
        </w:sectPr>
      </w:pPr>
    </w:p>
    <w:p>
      <w:pPr>
        <w:pStyle w:val="5"/>
        <w:tabs>
          <w:tab w:val="left" w:pos="7672"/>
        </w:tabs>
        <w:ind w:left="283" w:right="0"/>
        <w:jc w:val="left"/>
        <w:rPr>
          <w:color w:val="auto"/>
          <w:highlight w:val="none"/>
        </w:rPr>
      </w:pPr>
      <w:bookmarkStart w:id="149" w:name="_Toc18898"/>
      <w:r>
        <w:rPr>
          <w:color w:val="auto"/>
          <w:highlight w:val="none"/>
        </w:rPr>
        <w:t>封面</w:t>
      </w:r>
      <w:r>
        <w:rPr>
          <w:color w:val="auto"/>
          <w:highlight w:val="none"/>
        </w:rPr>
        <w:tab/>
      </w:r>
      <w:r>
        <w:rPr>
          <w:color w:val="auto"/>
          <w:highlight w:val="none"/>
        </w:rPr>
        <w:t>正本（副本）</w:t>
      </w:r>
      <w:bookmarkEnd w:id="149"/>
    </w:p>
    <w:p>
      <w:pPr>
        <w:pStyle w:val="3"/>
        <w:ind w:left="0"/>
        <w:rPr>
          <w:b/>
          <w:color w:val="auto"/>
          <w:sz w:val="32"/>
          <w:highlight w:val="none"/>
        </w:rPr>
      </w:pPr>
    </w:p>
    <w:p>
      <w:pPr>
        <w:pStyle w:val="3"/>
        <w:ind w:left="0"/>
        <w:rPr>
          <w:b/>
          <w:color w:val="auto"/>
          <w:sz w:val="32"/>
          <w:highlight w:val="none"/>
        </w:rPr>
      </w:pPr>
    </w:p>
    <w:p>
      <w:pPr>
        <w:pStyle w:val="3"/>
        <w:ind w:left="0"/>
        <w:rPr>
          <w:b/>
          <w:color w:val="auto"/>
          <w:sz w:val="32"/>
          <w:highlight w:val="none"/>
        </w:rPr>
      </w:pPr>
    </w:p>
    <w:p>
      <w:pPr>
        <w:pStyle w:val="3"/>
        <w:ind w:left="0"/>
        <w:rPr>
          <w:b/>
          <w:color w:val="auto"/>
          <w:sz w:val="32"/>
          <w:highlight w:val="none"/>
        </w:rPr>
      </w:pPr>
    </w:p>
    <w:p>
      <w:pPr>
        <w:pStyle w:val="3"/>
        <w:spacing w:before="2"/>
        <w:ind w:left="0"/>
        <w:rPr>
          <w:b/>
          <w:color w:val="auto"/>
          <w:sz w:val="34"/>
          <w:highlight w:val="none"/>
        </w:rPr>
      </w:pPr>
    </w:p>
    <w:p>
      <w:pPr>
        <w:spacing w:before="1" w:line="628" w:lineRule="auto"/>
        <w:ind w:left="3251" w:right="3275" w:firstLine="0"/>
        <w:jc w:val="center"/>
        <w:rPr>
          <w:b/>
          <w:color w:val="auto"/>
          <w:sz w:val="44"/>
          <w:highlight w:val="none"/>
        </w:rPr>
      </w:pPr>
      <w:r>
        <w:rPr>
          <w:rFonts w:hint="eastAsia"/>
          <w:b/>
          <w:color w:val="auto"/>
          <w:w w:val="95"/>
          <w:sz w:val="44"/>
          <w:highlight w:val="none"/>
          <w:lang w:eastAsia="zh-CN"/>
        </w:rPr>
        <w:t>2022年亚运会餐饮服务规划和安全保障研究</w:t>
      </w:r>
      <w:r>
        <w:rPr>
          <w:b/>
          <w:color w:val="auto"/>
          <w:sz w:val="44"/>
          <w:highlight w:val="none"/>
        </w:rPr>
        <w:t>报价文件</w:t>
      </w:r>
    </w:p>
    <w:p>
      <w:pPr>
        <w:pStyle w:val="6"/>
        <w:ind w:left="1831"/>
        <w:rPr>
          <w:color w:val="auto"/>
          <w:highlight w:val="none"/>
        </w:rPr>
      </w:pPr>
      <w:r>
        <w:rPr>
          <w:color w:val="auto"/>
          <w:highlight w:val="none"/>
        </w:rPr>
        <w:t>项目编号：</w:t>
      </w:r>
    </w:p>
    <w:p>
      <w:pPr>
        <w:tabs>
          <w:tab w:val="left" w:pos="2735"/>
          <w:tab w:val="left" w:pos="5332"/>
        </w:tabs>
        <w:spacing w:before="201"/>
        <w:ind w:left="1831" w:right="0" w:firstLine="0"/>
        <w:jc w:val="left"/>
        <w:rPr>
          <w:b/>
          <w:color w:val="auto"/>
          <w:sz w:val="30"/>
          <w:highlight w:val="none"/>
        </w:rPr>
      </w:pPr>
      <w:r>
        <w:rPr>
          <w:b/>
          <w:color w:val="auto"/>
          <w:sz w:val="30"/>
          <w:highlight w:val="none"/>
        </w:rPr>
        <w:t>包</w:t>
      </w:r>
      <w:r>
        <w:rPr>
          <w:b/>
          <w:color w:val="auto"/>
          <w:sz w:val="30"/>
          <w:highlight w:val="none"/>
        </w:rPr>
        <w:tab/>
      </w:r>
      <w:r>
        <w:rPr>
          <w:b/>
          <w:color w:val="auto"/>
          <w:sz w:val="30"/>
          <w:highlight w:val="none"/>
        </w:rPr>
        <w:t>号：</w:t>
      </w:r>
      <w:r>
        <w:rPr>
          <w:b/>
          <w:color w:val="auto"/>
          <w:sz w:val="30"/>
          <w:highlight w:val="none"/>
        </w:rPr>
        <w:tab/>
      </w:r>
      <w:r>
        <w:rPr>
          <w:b/>
          <w:color w:val="auto"/>
          <w:w w:val="95"/>
          <w:sz w:val="30"/>
          <w:highlight w:val="none"/>
        </w:rPr>
        <w:t>（如有）</w:t>
      </w:r>
    </w:p>
    <w:p>
      <w:pPr>
        <w:tabs>
          <w:tab w:val="left" w:pos="5332"/>
        </w:tabs>
        <w:spacing w:before="199"/>
        <w:ind w:left="1831" w:right="0" w:firstLine="0"/>
        <w:jc w:val="left"/>
        <w:rPr>
          <w:b/>
          <w:color w:val="auto"/>
          <w:sz w:val="30"/>
          <w:highlight w:val="none"/>
        </w:rPr>
      </w:pPr>
      <w:r>
        <w:rPr>
          <w:b/>
          <w:color w:val="auto"/>
          <w:sz w:val="30"/>
          <w:highlight w:val="none"/>
        </w:rPr>
        <w:t>包 名</w:t>
      </w:r>
      <w:r>
        <w:rPr>
          <w:b/>
          <w:color w:val="auto"/>
          <w:spacing w:val="-3"/>
          <w:sz w:val="30"/>
          <w:highlight w:val="none"/>
        </w:rPr>
        <w:t xml:space="preserve"> </w:t>
      </w:r>
      <w:r>
        <w:rPr>
          <w:b/>
          <w:color w:val="auto"/>
          <w:sz w:val="30"/>
          <w:highlight w:val="none"/>
        </w:rPr>
        <w:t>称：</w:t>
      </w:r>
      <w:r>
        <w:rPr>
          <w:b/>
          <w:color w:val="auto"/>
          <w:sz w:val="30"/>
          <w:highlight w:val="none"/>
        </w:rPr>
        <w:tab/>
      </w:r>
      <w:r>
        <w:rPr>
          <w:b/>
          <w:color w:val="auto"/>
          <w:w w:val="95"/>
          <w:sz w:val="30"/>
          <w:highlight w:val="none"/>
        </w:rPr>
        <w:t>（如有）</w:t>
      </w: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spacing w:before="1"/>
        <w:ind w:left="0"/>
        <w:rPr>
          <w:b/>
          <w:color w:val="auto"/>
          <w:sz w:val="37"/>
          <w:highlight w:val="none"/>
        </w:rPr>
      </w:pPr>
    </w:p>
    <w:p>
      <w:pPr>
        <w:tabs>
          <w:tab w:val="left" w:pos="4353"/>
          <w:tab w:val="left" w:pos="5236"/>
        </w:tabs>
        <w:spacing w:before="0" w:line="364" w:lineRule="auto"/>
        <w:ind w:left="3470" w:right="3499" w:firstLine="0"/>
        <w:jc w:val="center"/>
        <w:rPr>
          <w:b/>
          <w:color w:val="auto"/>
          <w:sz w:val="44"/>
          <w:highlight w:val="none"/>
        </w:rPr>
      </w:pPr>
      <w:r>
        <w:rPr>
          <w:b/>
          <w:color w:val="auto"/>
          <w:sz w:val="44"/>
          <w:highlight w:val="none"/>
        </w:rPr>
        <w:t>磋商供应商全</w:t>
      </w:r>
      <w:r>
        <w:rPr>
          <w:b/>
          <w:color w:val="auto"/>
          <w:spacing w:val="-15"/>
          <w:sz w:val="44"/>
          <w:highlight w:val="none"/>
        </w:rPr>
        <w:t>称</w:t>
      </w:r>
      <w:r>
        <w:rPr>
          <w:b/>
          <w:color w:val="auto"/>
          <w:sz w:val="44"/>
          <w:highlight w:val="none"/>
        </w:rPr>
        <w:t>年</w:t>
      </w:r>
      <w:r>
        <w:rPr>
          <w:b/>
          <w:color w:val="auto"/>
          <w:sz w:val="44"/>
          <w:highlight w:val="none"/>
        </w:rPr>
        <w:tab/>
      </w:r>
      <w:r>
        <w:rPr>
          <w:b/>
          <w:color w:val="auto"/>
          <w:sz w:val="44"/>
          <w:highlight w:val="none"/>
        </w:rPr>
        <w:t>月</w:t>
      </w:r>
      <w:r>
        <w:rPr>
          <w:b/>
          <w:color w:val="auto"/>
          <w:sz w:val="44"/>
          <w:highlight w:val="none"/>
        </w:rPr>
        <w:tab/>
      </w:r>
      <w:r>
        <w:rPr>
          <w:b/>
          <w:color w:val="auto"/>
          <w:sz w:val="44"/>
          <w:highlight w:val="none"/>
        </w:rPr>
        <w:t>日</w:t>
      </w:r>
    </w:p>
    <w:p>
      <w:pPr>
        <w:spacing w:after="0" w:line="364" w:lineRule="auto"/>
        <w:jc w:val="center"/>
        <w:rPr>
          <w:color w:val="auto"/>
          <w:sz w:val="44"/>
          <w:highlight w:val="none"/>
        </w:rPr>
        <w:sectPr>
          <w:pgSz w:w="11900" w:h="16840"/>
          <w:pgMar w:top="1100" w:right="820" w:bottom="800" w:left="1020" w:header="0" w:footer="609" w:gutter="0"/>
        </w:sectPr>
      </w:pPr>
    </w:p>
    <w:p>
      <w:pPr>
        <w:pStyle w:val="3"/>
        <w:ind w:left="0"/>
        <w:rPr>
          <w:b/>
          <w:color w:val="auto"/>
          <w:sz w:val="20"/>
          <w:highlight w:val="none"/>
        </w:rPr>
      </w:pPr>
    </w:p>
    <w:p>
      <w:pPr>
        <w:pStyle w:val="3"/>
        <w:ind w:left="0"/>
        <w:rPr>
          <w:b/>
          <w:color w:val="auto"/>
          <w:sz w:val="20"/>
          <w:highlight w:val="none"/>
        </w:rPr>
      </w:pPr>
    </w:p>
    <w:p>
      <w:pPr>
        <w:pStyle w:val="3"/>
        <w:spacing w:before="9"/>
        <w:ind w:left="0"/>
        <w:rPr>
          <w:b/>
          <w:color w:val="auto"/>
          <w:sz w:val="16"/>
          <w:highlight w:val="none"/>
        </w:rPr>
      </w:pPr>
    </w:p>
    <w:p>
      <w:pPr>
        <w:spacing w:before="54"/>
        <w:ind w:left="0" w:right="28" w:firstLine="0"/>
        <w:jc w:val="center"/>
        <w:rPr>
          <w:b/>
          <w:color w:val="auto"/>
          <w:sz w:val="32"/>
          <w:highlight w:val="none"/>
        </w:rPr>
      </w:pPr>
      <w:bookmarkStart w:id="150" w:name="一、磋商响应函"/>
      <w:bookmarkEnd w:id="150"/>
      <w:bookmarkStart w:id="151" w:name="报价文件"/>
      <w:bookmarkEnd w:id="151"/>
      <w:r>
        <w:rPr>
          <w:b/>
          <w:color w:val="auto"/>
          <w:sz w:val="32"/>
          <w:highlight w:val="none"/>
        </w:rPr>
        <w:t>报价文件</w:t>
      </w:r>
    </w:p>
    <w:p>
      <w:pPr>
        <w:pStyle w:val="3"/>
        <w:ind w:left="0"/>
        <w:rPr>
          <w:b/>
          <w:color w:val="auto"/>
          <w:sz w:val="32"/>
          <w:highlight w:val="none"/>
        </w:rPr>
      </w:pPr>
    </w:p>
    <w:p>
      <w:pPr>
        <w:pStyle w:val="3"/>
        <w:spacing w:before="3"/>
        <w:ind w:left="0"/>
        <w:rPr>
          <w:b/>
          <w:color w:val="auto"/>
          <w:sz w:val="33"/>
          <w:highlight w:val="none"/>
        </w:rPr>
      </w:pPr>
    </w:p>
    <w:p>
      <w:pPr>
        <w:spacing w:before="0"/>
        <w:ind w:left="0" w:right="28" w:firstLine="0"/>
        <w:jc w:val="center"/>
        <w:rPr>
          <w:b/>
          <w:color w:val="auto"/>
          <w:sz w:val="32"/>
          <w:highlight w:val="none"/>
        </w:rPr>
      </w:pPr>
      <w:bookmarkStart w:id="152" w:name="目录"/>
      <w:bookmarkEnd w:id="152"/>
      <w:r>
        <w:rPr>
          <w:b/>
          <w:color w:val="auto"/>
          <w:sz w:val="32"/>
          <w:highlight w:val="none"/>
        </w:rPr>
        <w:t>目录</w:t>
      </w:r>
    </w:p>
    <w:p>
      <w:pPr>
        <w:pStyle w:val="19"/>
        <w:numPr>
          <w:ilvl w:val="0"/>
          <w:numId w:val="25"/>
        </w:numPr>
        <w:tabs>
          <w:tab w:val="left" w:pos="885"/>
          <w:tab w:val="left" w:leader="dot" w:pos="8563"/>
        </w:tabs>
        <w:spacing w:before="212" w:after="0" w:line="240" w:lineRule="auto"/>
        <w:ind w:left="884" w:right="0" w:hanging="602"/>
        <w:jc w:val="left"/>
        <w:rPr>
          <w:color w:val="auto"/>
          <w:sz w:val="24"/>
          <w:highlight w:val="none"/>
        </w:rPr>
      </w:pPr>
      <w:r>
        <w:rPr>
          <w:color w:val="auto"/>
          <w:sz w:val="24"/>
          <w:highlight w:val="none"/>
        </w:rPr>
        <w:t>磋商响应函</w:t>
      </w:r>
      <w:r>
        <w:rPr>
          <w:color w:val="auto"/>
          <w:sz w:val="24"/>
          <w:highlight w:val="none"/>
        </w:rPr>
        <w:tab/>
      </w:r>
      <w:r>
        <w:rPr>
          <w:color w:val="auto"/>
          <w:sz w:val="24"/>
          <w:highlight w:val="none"/>
        </w:rPr>
        <w:t>（页码）</w:t>
      </w:r>
    </w:p>
    <w:p>
      <w:pPr>
        <w:pStyle w:val="19"/>
        <w:numPr>
          <w:ilvl w:val="0"/>
          <w:numId w:val="25"/>
        </w:numPr>
        <w:tabs>
          <w:tab w:val="left" w:pos="885"/>
          <w:tab w:val="left" w:leader="dot" w:pos="8563"/>
        </w:tabs>
        <w:spacing w:before="158" w:after="0" w:line="240" w:lineRule="auto"/>
        <w:ind w:left="884" w:right="0" w:hanging="602"/>
        <w:jc w:val="left"/>
        <w:rPr>
          <w:color w:val="auto"/>
          <w:sz w:val="24"/>
          <w:highlight w:val="none"/>
        </w:rPr>
      </w:pPr>
      <w:r>
        <w:rPr>
          <w:color w:val="auto"/>
          <w:sz w:val="24"/>
          <w:highlight w:val="none"/>
        </w:rPr>
        <w:t>磋商响应初始报价单</w:t>
      </w:r>
      <w:r>
        <w:rPr>
          <w:color w:val="auto"/>
          <w:sz w:val="24"/>
          <w:highlight w:val="none"/>
        </w:rPr>
        <w:tab/>
      </w:r>
      <w:r>
        <w:rPr>
          <w:color w:val="auto"/>
          <w:sz w:val="24"/>
          <w:highlight w:val="none"/>
        </w:rPr>
        <w:t>（页码）</w:t>
      </w:r>
    </w:p>
    <w:p>
      <w:pPr>
        <w:pStyle w:val="19"/>
        <w:numPr>
          <w:ilvl w:val="0"/>
          <w:numId w:val="25"/>
        </w:numPr>
        <w:tabs>
          <w:tab w:val="left" w:pos="885"/>
          <w:tab w:val="left" w:leader="dot" w:pos="8563"/>
        </w:tabs>
        <w:spacing w:before="161" w:after="0" w:line="240" w:lineRule="auto"/>
        <w:ind w:left="884" w:right="0" w:hanging="602"/>
        <w:jc w:val="left"/>
        <w:rPr>
          <w:color w:val="auto"/>
          <w:sz w:val="24"/>
          <w:highlight w:val="none"/>
        </w:rPr>
      </w:pPr>
      <w:r>
        <w:rPr>
          <w:color w:val="auto"/>
          <w:sz w:val="24"/>
          <w:highlight w:val="none"/>
        </w:rPr>
        <w:t>分项报价表、报价分析表等</w:t>
      </w:r>
      <w:r>
        <w:rPr>
          <w:color w:val="auto"/>
          <w:sz w:val="24"/>
          <w:highlight w:val="none"/>
        </w:rPr>
        <w:tab/>
      </w:r>
      <w:r>
        <w:rPr>
          <w:color w:val="auto"/>
          <w:sz w:val="24"/>
          <w:highlight w:val="none"/>
        </w:rPr>
        <w:t>（页码）</w:t>
      </w:r>
    </w:p>
    <w:p>
      <w:pPr>
        <w:pStyle w:val="19"/>
        <w:numPr>
          <w:ilvl w:val="0"/>
          <w:numId w:val="25"/>
        </w:numPr>
        <w:tabs>
          <w:tab w:val="left" w:pos="885"/>
          <w:tab w:val="left" w:leader="dot" w:pos="8563"/>
        </w:tabs>
        <w:spacing w:before="158" w:after="0" w:line="240" w:lineRule="auto"/>
        <w:ind w:left="884" w:right="0" w:hanging="602"/>
        <w:jc w:val="left"/>
        <w:rPr>
          <w:color w:val="auto"/>
          <w:sz w:val="24"/>
          <w:highlight w:val="none"/>
        </w:rPr>
      </w:pPr>
      <w:r>
        <w:rPr>
          <w:color w:val="auto"/>
          <w:sz w:val="24"/>
          <w:highlight w:val="none"/>
        </w:rPr>
        <w:t>其它报价相关材料（如有）</w:t>
      </w:r>
      <w:r>
        <w:rPr>
          <w:color w:val="auto"/>
          <w:sz w:val="24"/>
          <w:highlight w:val="none"/>
        </w:rPr>
        <w:tab/>
      </w:r>
      <w:r>
        <w:rPr>
          <w:color w:val="auto"/>
          <w:sz w:val="24"/>
          <w:highlight w:val="none"/>
        </w:rPr>
        <w:t>（页码）</w:t>
      </w:r>
    </w:p>
    <w:p>
      <w:pPr>
        <w:spacing w:after="0" w:line="240" w:lineRule="auto"/>
        <w:jc w:val="left"/>
        <w:rPr>
          <w:color w:val="auto"/>
          <w:sz w:val="24"/>
          <w:highlight w:val="none"/>
        </w:rPr>
        <w:sectPr>
          <w:pgSz w:w="11900" w:h="16840"/>
          <w:pgMar w:top="1600" w:right="820" w:bottom="800" w:left="1020" w:header="0" w:footer="609" w:gutter="0"/>
        </w:sectPr>
      </w:pPr>
    </w:p>
    <w:p>
      <w:pPr>
        <w:pStyle w:val="5"/>
        <w:ind w:right="31"/>
        <w:rPr>
          <w:color w:val="auto"/>
          <w:highlight w:val="none"/>
        </w:rPr>
      </w:pPr>
      <w:bookmarkStart w:id="153" w:name="_Toc11242"/>
      <w:r>
        <w:rPr>
          <w:color w:val="auto"/>
          <w:highlight w:val="none"/>
        </w:rPr>
        <w:t>一、磋商响应函</w:t>
      </w:r>
      <w:bookmarkEnd w:id="153"/>
    </w:p>
    <w:p>
      <w:pPr>
        <w:pStyle w:val="3"/>
        <w:spacing w:before="210"/>
        <w:jc w:val="both"/>
        <w:rPr>
          <w:color w:val="auto"/>
          <w:highlight w:val="none"/>
        </w:rPr>
      </w:pPr>
      <w:r>
        <w:rPr>
          <w:color w:val="auto"/>
          <w:highlight w:val="none"/>
        </w:rPr>
        <w:t>致：2022 年第 19 届亚运会组委会/</w:t>
      </w:r>
      <w:r>
        <w:rPr>
          <w:rFonts w:hint="eastAsia"/>
          <w:color w:val="auto"/>
          <w:highlight w:val="none"/>
          <w:lang w:eastAsia="zh-CN"/>
        </w:rPr>
        <w:t>浙江五石工程咨询有限公司</w:t>
      </w:r>
      <w:r>
        <w:rPr>
          <w:color w:val="auto"/>
          <w:highlight w:val="none"/>
        </w:rPr>
        <w:t>：</w:t>
      </w:r>
    </w:p>
    <w:p>
      <w:pPr>
        <w:pStyle w:val="3"/>
        <w:tabs>
          <w:tab w:val="left" w:pos="2591"/>
          <w:tab w:val="left" w:pos="4103"/>
          <w:tab w:val="left" w:pos="8536"/>
        </w:tabs>
        <w:spacing w:before="160" w:line="364" w:lineRule="auto"/>
        <w:ind w:right="311" w:firstLine="480"/>
        <w:jc w:val="both"/>
        <w:rPr>
          <w:color w:val="auto"/>
          <w:highlight w:val="none"/>
        </w:rPr>
      </w:pPr>
      <w:r>
        <w:rPr>
          <w:color w:val="auto"/>
          <w:spacing w:val="4"/>
          <w:highlight w:val="none"/>
        </w:rPr>
        <w:t>根据贵方</w:t>
      </w:r>
      <w:r>
        <w:rPr>
          <w:color w:val="auto"/>
          <w:highlight w:val="none"/>
        </w:rPr>
        <w:t>为</w:t>
      </w:r>
      <w:r>
        <w:rPr>
          <w:color w:val="auto"/>
          <w:highlight w:val="none"/>
          <w:u w:val="single"/>
        </w:rPr>
        <w:t xml:space="preserve"> </w:t>
      </w:r>
      <w:r>
        <w:rPr>
          <w:color w:val="auto"/>
          <w:highlight w:val="none"/>
          <w:u w:val="single"/>
        </w:rPr>
        <w:tab/>
      </w:r>
      <w:r>
        <w:rPr>
          <w:color w:val="auto"/>
          <w:highlight w:val="none"/>
          <w:u w:val="single"/>
        </w:rPr>
        <w:tab/>
      </w:r>
      <w:r>
        <w:rPr>
          <w:color w:val="auto"/>
          <w:spacing w:val="4"/>
          <w:highlight w:val="none"/>
          <w:u w:val="single"/>
        </w:rPr>
        <w:t>项</w:t>
      </w:r>
      <w:r>
        <w:rPr>
          <w:color w:val="auto"/>
          <w:highlight w:val="none"/>
          <w:u w:val="single"/>
        </w:rPr>
        <w:t>目</w:t>
      </w:r>
      <w:r>
        <w:rPr>
          <w:color w:val="auto"/>
          <w:spacing w:val="4"/>
          <w:highlight w:val="none"/>
        </w:rPr>
        <w:t>采购的磋</w:t>
      </w:r>
      <w:r>
        <w:rPr>
          <w:color w:val="auto"/>
          <w:highlight w:val="none"/>
        </w:rPr>
        <w:t>商</w:t>
      </w:r>
      <w:r>
        <w:rPr>
          <w:color w:val="auto"/>
          <w:spacing w:val="4"/>
          <w:highlight w:val="none"/>
        </w:rPr>
        <w:t>邀请（</w:t>
      </w:r>
      <w:r>
        <w:rPr>
          <w:color w:val="auto"/>
          <w:spacing w:val="4"/>
          <w:highlight w:val="none"/>
          <w:u w:val="single"/>
        </w:rPr>
        <w:t>采购编号</w:t>
      </w:r>
      <w:r>
        <w:rPr>
          <w:color w:val="auto"/>
          <w:highlight w:val="none"/>
          <w:u w:val="single"/>
        </w:rPr>
        <w:t xml:space="preserve">：        </w:t>
      </w:r>
      <w:r>
        <w:rPr>
          <w:color w:val="auto"/>
          <w:spacing w:val="52"/>
          <w:highlight w:val="none"/>
          <w:u w:val="single"/>
        </w:rPr>
        <w:t xml:space="preserve"> </w:t>
      </w:r>
      <w:r>
        <w:rPr>
          <w:color w:val="auto"/>
          <w:spacing w:val="4"/>
          <w:highlight w:val="none"/>
        </w:rPr>
        <w:t>），</w:t>
      </w:r>
      <w:r>
        <w:rPr>
          <w:color w:val="auto"/>
          <w:highlight w:val="none"/>
        </w:rPr>
        <w:t>授权委托人</w:t>
      </w:r>
      <w:r>
        <w:rPr>
          <w:color w:val="auto"/>
          <w:highlight w:val="none"/>
          <w:u w:val="single"/>
        </w:rPr>
        <w:t xml:space="preserve"> </w:t>
      </w:r>
      <w:r>
        <w:rPr>
          <w:color w:val="auto"/>
          <w:highlight w:val="none"/>
          <w:u w:val="single"/>
        </w:rPr>
        <w:tab/>
      </w:r>
      <w:r>
        <w:rPr>
          <w:color w:val="auto"/>
          <w:highlight w:val="none"/>
        </w:rPr>
        <w:t>（全名、职务）经正式授权并代表</w:t>
      </w:r>
      <w:r>
        <w:rPr>
          <w:color w:val="auto"/>
          <w:highlight w:val="none"/>
          <w:u w:val="single"/>
        </w:rPr>
        <w:t xml:space="preserve"> </w:t>
      </w:r>
      <w:r>
        <w:rPr>
          <w:color w:val="auto"/>
          <w:highlight w:val="none"/>
          <w:u w:val="single"/>
        </w:rPr>
        <w:tab/>
      </w:r>
      <w:r>
        <w:rPr>
          <w:color w:val="auto"/>
          <w:highlight w:val="none"/>
          <w:u w:val="single"/>
        </w:rPr>
        <w:t>（磋商供</w:t>
      </w:r>
      <w:r>
        <w:rPr>
          <w:color w:val="auto"/>
          <w:spacing w:val="-13"/>
          <w:highlight w:val="none"/>
          <w:u w:val="single"/>
        </w:rPr>
        <w:t xml:space="preserve">应 </w:t>
      </w:r>
      <w:r>
        <w:rPr>
          <w:color w:val="auto"/>
          <w:spacing w:val="-220"/>
          <w:highlight w:val="none"/>
          <w:u w:val="single"/>
        </w:rPr>
        <w:t>商</w:t>
      </w:r>
      <w:r>
        <w:rPr>
          <w:color w:val="auto"/>
          <w:highlight w:val="none"/>
          <w:u w:val="single"/>
        </w:rPr>
        <w:t>名称）</w:t>
      </w:r>
      <w:r>
        <w:rPr>
          <w:color w:val="auto"/>
          <w:highlight w:val="none"/>
        </w:rPr>
        <w:t>提交下述文件正本壹份和副本</w:t>
      </w:r>
      <w:r>
        <w:rPr>
          <w:color w:val="auto"/>
          <w:spacing w:val="119"/>
          <w:highlight w:val="none"/>
          <w:u w:val="single"/>
        </w:rPr>
        <w:t xml:space="preserve"> </w:t>
      </w:r>
      <w:r>
        <w:rPr>
          <w:color w:val="auto"/>
          <w:highlight w:val="none"/>
        </w:rPr>
        <w:t>份：</w:t>
      </w:r>
    </w:p>
    <w:p>
      <w:pPr>
        <w:pStyle w:val="19"/>
        <w:numPr>
          <w:ilvl w:val="1"/>
          <w:numId w:val="25"/>
        </w:numPr>
        <w:tabs>
          <w:tab w:val="left" w:pos="1476"/>
        </w:tabs>
        <w:spacing w:before="0" w:after="0" w:line="305" w:lineRule="exact"/>
        <w:ind w:left="1475" w:right="0" w:hanging="648"/>
        <w:jc w:val="left"/>
        <w:rPr>
          <w:color w:val="auto"/>
          <w:sz w:val="24"/>
          <w:highlight w:val="none"/>
        </w:rPr>
      </w:pPr>
      <w:r>
        <w:rPr>
          <w:color w:val="auto"/>
          <w:spacing w:val="11"/>
          <w:sz w:val="24"/>
          <w:highlight w:val="none"/>
        </w:rPr>
        <w:t>报价文件；</w:t>
      </w:r>
    </w:p>
    <w:p>
      <w:pPr>
        <w:pStyle w:val="19"/>
        <w:numPr>
          <w:ilvl w:val="1"/>
          <w:numId w:val="25"/>
        </w:numPr>
        <w:tabs>
          <w:tab w:val="left" w:pos="1476"/>
        </w:tabs>
        <w:spacing w:before="161" w:after="0" w:line="240" w:lineRule="auto"/>
        <w:ind w:left="1476" w:right="0" w:hanging="648"/>
        <w:jc w:val="left"/>
        <w:rPr>
          <w:color w:val="auto"/>
          <w:sz w:val="24"/>
          <w:highlight w:val="none"/>
        </w:rPr>
      </w:pPr>
      <w:r>
        <w:rPr>
          <w:color w:val="auto"/>
          <w:spacing w:val="12"/>
          <w:sz w:val="24"/>
          <w:highlight w:val="none"/>
        </w:rPr>
        <w:t>技术商务文件；</w:t>
      </w:r>
    </w:p>
    <w:p>
      <w:pPr>
        <w:pStyle w:val="19"/>
        <w:numPr>
          <w:ilvl w:val="1"/>
          <w:numId w:val="25"/>
        </w:numPr>
        <w:tabs>
          <w:tab w:val="left" w:pos="1476"/>
        </w:tabs>
        <w:spacing w:before="158" w:after="0" w:line="240" w:lineRule="auto"/>
        <w:ind w:left="1476" w:right="0" w:hanging="648"/>
        <w:jc w:val="left"/>
        <w:rPr>
          <w:color w:val="auto"/>
          <w:sz w:val="24"/>
          <w:highlight w:val="none"/>
        </w:rPr>
      </w:pPr>
      <w:r>
        <w:rPr>
          <w:color w:val="auto"/>
          <w:spacing w:val="12"/>
          <w:sz w:val="24"/>
          <w:highlight w:val="none"/>
        </w:rPr>
        <w:t>资格证明文件。</w:t>
      </w:r>
    </w:p>
    <w:p>
      <w:pPr>
        <w:pStyle w:val="3"/>
        <w:spacing w:before="160"/>
        <w:ind w:left="828"/>
        <w:rPr>
          <w:color w:val="auto"/>
          <w:highlight w:val="none"/>
        </w:rPr>
      </w:pPr>
      <w:r>
        <w:rPr>
          <w:color w:val="auto"/>
          <w:highlight w:val="none"/>
        </w:rPr>
        <w:t>据此函，授权委托人宣布同意如下：</w:t>
      </w:r>
    </w:p>
    <w:p>
      <w:pPr>
        <w:pStyle w:val="19"/>
        <w:numPr>
          <w:ilvl w:val="0"/>
          <w:numId w:val="26"/>
        </w:numPr>
        <w:tabs>
          <w:tab w:val="left" w:pos="1476"/>
        </w:tabs>
        <w:spacing w:before="158" w:after="0" w:line="240" w:lineRule="auto"/>
        <w:ind w:left="1476" w:right="0" w:hanging="648"/>
        <w:jc w:val="left"/>
        <w:rPr>
          <w:color w:val="auto"/>
          <w:sz w:val="24"/>
          <w:highlight w:val="none"/>
        </w:rPr>
      </w:pPr>
      <w:r>
        <w:rPr>
          <w:color w:val="auto"/>
          <w:spacing w:val="13"/>
          <w:sz w:val="24"/>
          <w:highlight w:val="none"/>
        </w:rPr>
        <w:t>我方完成本项目磋商文件要求工作任务的报价按报价文件及最后报价。</w:t>
      </w:r>
    </w:p>
    <w:p>
      <w:pPr>
        <w:pStyle w:val="19"/>
        <w:numPr>
          <w:ilvl w:val="0"/>
          <w:numId w:val="26"/>
        </w:numPr>
        <w:tabs>
          <w:tab w:val="left" w:pos="1476"/>
        </w:tabs>
        <w:spacing w:before="161" w:after="0" w:line="240" w:lineRule="auto"/>
        <w:ind w:left="1476" w:right="0" w:hanging="648"/>
        <w:jc w:val="left"/>
        <w:rPr>
          <w:color w:val="auto"/>
          <w:sz w:val="24"/>
          <w:highlight w:val="none"/>
        </w:rPr>
      </w:pPr>
      <w:r>
        <w:rPr>
          <w:color w:val="auto"/>
          <w:spacing w:val="13"/>
          <w:sz w:val="24"/>
          <w:highlight w:val="none"/>
        </w:rPr>
        <w:t>我方将按磋商文件的规定履行合同责任和义务。</w:t>
      </w:r>
    </w:p>
    <w:p>
      <w:pPr>
        <w:pStyle w:val="19"/>
        <w:numPr>
          <w:ilvl w:val="0"/>
          <w:numId w:val="26"/>
        </w:numPr>
        <w:tabs>
          <w:tab w:val="left" w:pos="1481"/>
        </w:tabs>
        <w:spacing w:before="158" w:after="0" w:line="364" w:lineRule="auto"/>
        <w:ind w:left="283" w:right="328" w:firstLine="544"/>
        <w:jc w:val="left"/>
        <w:rPr>
          <w:color w:val="auto"/>
          <w:sz w:val="24"/>
          <w:highlight w:val="none"/>
        </w:rPr>
      </w:pPr>
      <w:r>
        <w:rPr>
          <w:color w:val="auto"/>
          <w:spacing w:val="16"/>
          <w:sz w:val="24"/>
          <w:highlight w:val="none"/>
        </w:rPr>
        <w:t>我方已详细审查全部磋商文件，包括补充文件</w:t>
      </w:r>
      <w:r>
        <w:rPr>
          <w:color w:val="auto"/>
          <w:spacing w:val="19"/>
          <w:sz w:val="24"/>
          <w:highlight w:val="none"/>
        </w:rPr>
        <w:t>（</w:t>
      </w:r>
      <w:r>
        <w:rPr>
          <w:color w:val="auto"/>
          <w:spacing w:val="17"/>
          <w:sz w:val="24"/>
          <w:highlight w:val="none"/>
        </w:rPr>
        <w:t>如有</w:t>
      </w:r>
      <w:r>
        <w:rPr>
          <w:color w:val="auto"/>
          <w:spacing w:val="19"/>
          <w:sz w:val="24"/>
          <w:highlight w:val="none"/>
        </w:rPr>
        <w:t>）</w:t>
      </w:r>
      <w:r>
        <w:rPr>
          <w:color w:val="auto"/>
          <w:spacing w:val="14"/>
          <w:sz w:val="24"/>
          <w:highlight w:val="none"/>
        </w:rPr>
        <w:t>以及全部参考资料</w:t>
      </w:r>
      <w:r>
        <w:rPr>
          <w:color w:val="auto"/>
          <w:spacing w:val="13"/>
          <w:sz w:val="24"/>
          <w:highlight w:val="none"/>
        </w:rPr>
        <w:t>和有关附件。我们完全理解并同意放弃对这方面有不明及误解的权利。</w:t>
      </w:r>
    </w:p>
    <w:p>
      <w:pPr>
        <w:pStyle w:val="9"/>
        <w:numPr>
          <w:ilvl w:val="0"/>
          <w:numId w:val="26"/>
        </w:numPr>
        <w:tabs>
          <w:tab w:val="left" w:pos="1476"/>
          <w:tab w:val="left" w:pos="6525"/>
        </w:tabs>
        <w:spacing w:before="1" w:after="0" w:line="240" w:lineRule="auto"/>
        <w:ind w:left="1476" w:right="0" w:hanging="648"/>
        <w:jc w:val="left"/>
        <w:rPr>
          <w:color w:val="auto"/>
          <w:highlight w:val="none"/>
        </w:rPr>
      </w:pPr>
      <w:r>
        <w:rPr>
          <w:color w:val="auto"/>
          <w:spacing w:val="16"/>
          <w:highlight w:val="none"/>
        </w:rPr>
        <w:t>磋商有效期为自响应文件递交截</w:t>
      </w:r>
      <w:r>
        <w:rPr>
          <w:color w:val="auto"/>
          <w:spacing w:val="19"/>
          <w:highlight w:val="none"/>
        </w:rPr>
        <w:t>止</w:t>
      </w:r>
      <w:r>
        <w:rPr>
          <w:color w:val="auto"/>
          <w:spacing w:val="16"/>
          <w:highlight w:val="none"/>
        </w:rPr>
        <w:t>日起</w:t>
      </w:r>
      <w:r>
        <w:rPr>
          <w:color w:val="auto"/>
          <w:spacing w:val="16"/>
          <w:highlight w:val="none"/>
          <w:u w:val="single"/>
        </w:rPr>
        <w:t xml:space="preserve"> </w:t>
      </w:r>
      <w:r>
        <w:rPr>
          <w:color w:val="auto"/>
          <w:spacing w:val="16"/>
          <w:highlight w:val="none"/>
          <w:u w:val="single"/>
        </w:rPr>
        <w:tab/>
      </w:r>
      <w:r>
        <w:rPr>
          <w:color w:val="auto"/>
          <w:spacing w:val="16"/>
          <w:highlight w:val="none"/>
        </w:rPr>
        <w:t>天</w:t>
      </w:r>
      <w:r>
        <w:rPr>
          <w:color w:val="auto"/>
          <w:highlight w:val="none"/>
        </w:rPr>
        <w:t>。</w:t>
      </w:r>
    </w:p>
    <w:p>
      <w:pPr>
        <w:pStyle w:val="19"/>
        <w:numPr>
          <w:ilvl w:val="0"/>
          <w:numId w:val="26"/>
        </w:numPr>
        <w:tabs>
          <w:tab w:val="left" w:pos="1484"/>
        </w:tabs>
        <w:spacing w:before="158" w:after="0" w:line="362" w:lineRule="auto"/>
        <w:ind w:left="283" w:right="328" w:firstLine="544"/>
        <w:jc w:val="left"/>
        <w:rPr>
          <w:color w:val="auto"/>
          <w:sz w:val="24"/>
          <w:highlight w:val="none"/>
        </w:rPr>
      </w:pPr>
      <w:r>
        <w:rPr>
          <w:color w:val="auto"/>
          <w:spacing w:val="16"/>
          <w:sz w:val="24"/>
          <w:highlight w:val="none"/>
        </w:rPr>
        <w:t>如果在递交最后报价后，磋商供应商在磋商有效期内撤回响应文件（</w:t>
      </w:r>
      <w:r>
        <w:rPr>
          <w:color w:val="auto"/>
          <w:spacing w:val="9"/>
          <w:sz w:val="24"/>
          <w:highlight w:val="none"/>
        </w:rPr>
        <w:t>承诺</w:t>
      </w:r>
      <w:r>
        <w:rPr>
          <w:color w:val="auto"/>
          <w:spacing w:val="15"/>
          <w:sz w:val="24"/>
          <w:highlight w:val="none"/>
        </w:rPr>
        <w:t>及回复等）</w:t>
      </w:r>
      <w:r>
        <w:rPr>
          <w:color w:val="auto"/>
          <w:spacing w:val="13"/>
          <w:sz w:val="24"/>
          <w:highlight w:val="none"/>
        </w:rPr>
        <w:t>，其磋商保证金将被采购人没收。</w:t>
      </w:r>
    </w:p>
    <w:p>
      <w:pPr>
        <w:pStyle w:val="19"/>
        <w:numPr>
          <w:ilvl w:val="0"/>
          <w:numId w:val="26"/>
        </w:numPr>
        <w:tabs>
          <w:tab w:val="left" w:pos="1484"/>
        </w:tabs>
        <w:spacing w:before="5" w:after="0" w:line="364" w:lineRule="auto"/>
        <w:ind w:left="283" w:right="328" w:firstLine="544"/>
        <w:jc w:val="left"/>
        <w:rPr>
          <w:color w:val="auto"/>
          <w:sz w:val="24"/>
          <w:highlight w:val="none"/>
        </w:rPr>
      </w:pPr>
      <w:r>
        <w:rPr>
          <w:color w:val="auto"/>
          <w:spacing w:val="15"/>
          <w:sz w:val="24"/>
          <w:highlight w:val="none"/>
        </w:rPr>
        <w:t>磋商供应商同意提供按照采购人的可能要求的与其磋商有关的一切数据和</w:t>
      </w:r>
      <w:r>
        <w:rPr>
          <w:color w:val="auto"/>
          <w:spacing w:val="13"/>
          <w:sz w:val="24"/>
          <w:highlight w:val="none"/>
        </w:rPr>
        <w:t>资料，完全理解采购人不一定要接受最低价的磋商供应商。</w:t>
      </w:r>
    </w:p>
    <w:p>
      <w:pPr>
        <w:pStyle w:val="19"/>
        <w:numPr>
          <w:ilvl w:val="0"/>
          <w:numId w:val="26"/>
        </w:numPr>
        <w:tabs>
          <w:tab w:val="left" w:pos="1476"/>
          <w:tab w:val="left" w:pos="4780"/>
        </w:tabs>
        <w:spacing w:before="0" w:after="0" w:line="364" w:lineRule="auto"/>
        <w:ind w:left="828" w:right="3990" w:firstLine="0"/>
        <w:jc w:val="left"/>
        <w:rPr>
          <w:color w:val="auto"/>
          <w:sz w:val="24"/>
          <w:highlight w:val="none"/>
        </w:rPr>
      </w:pPr>
      <w:r>
        <w:rPr>
          <w:color w:val="auto"/>
          <w:spacing w:val="14"/>
          <w:sz w:val="24"/>
          <w:highlight w:val="none"/>
        </w:rPr>
        <w:t>与</w:t>
      </w:r>
      <w:r>
        <w:rPr>
          <w:color w:val="auto"/>
          <w:spacing w:val="16"/>
          <w:sz w:val="24"/>
          <w:highlight w:val="none"/>
        </w:rPr>
        <w:t>本磋</w:t>
      </w:r>
      <w:r>
        <w:rPr>
          <w:color w:val="auto"/>
          <w:spacing w:val="14"/>
          <w:sz w:val="24"/>
          <w:highlight w:val="none"/>
        </w:rPr>
        <w:t>商</w:t>
      </w:r>
      <w:r>
        <w:rPr>
          <w:color w:val="auto"/>
          <w:spacing w:val="16"/>
          <w:sz w:val="24"/>
          <w:highlight w:val="none"/>
        </w:rPr>
        <w:t>有关</w:t>
      </w:r>
      <w:r>
        <w:rPr>
          <w:color w:val="auto"/>
          <w:spacing w:val="14"/>
          <w:sz w:val="24"/>
          <w:highlight w:val="none"/>
        </w:rPr>
        <w:t>的</w:t>
      </w:r>
      <w:r>
        <w:rPr>
          <w:color w:val="auto"/>
          <w:spacing w:val="16"/>
          <w:sz w:val="24"/>
          <w:highlight w:val="none"/>
        </w:rPr>
        <w:t>一切</w:t>
      </w:r>
      <w:r>
        <w:rPr>
          <w:color w:val="auto"/>
          <w:spacing w:val="14"/>
          <w:sz w:val="24"/>
          <w:highlight w:val="none"/>
        </w:rPr>
        <w:t>正</w:t>
      </w:r>
      <w:r>
        <w:rPr>
          <w:color w:val="auto"/>
          <w:spacing w:val="16"/>
          <w:sz w:val="24"/>
          <w:highlight w:val="none"/>
        </w:rPr>
        <w:t>式来</w:t>
      </w:r>
      <w:r>
        <w:rPr>
          <w:color w:val="auto"/>
          <w:spacing w:val="14"/>
          <w:sz w:val="24"/>
          <w:highlight w:val="none"/>
        </w:rPr>
        <w:t>往</w:t>
      </w:r>
      <w:r>
        <w:rPr>
          <w:color w:val="auto"/>
          <w:spacing w:val="16"/>
          <w:sz w:val="24"/>
          <w:highlight w:val="none"/>
        </w:rPr>
        <w:t>通讯</w:t>
      </w:r>
      <w:r>
        <w:rPr>
          <w:color w:val="auto"/>
          <w:spacing w:val="14"/>
          <w:sz w:val="24"/>
          <w:highlight w:val="none"/>
        </w:rPr>
        <w:t>请</w:t>
      </w:r>
      <w:r>
        <w:rPr>
          <w:color w:val="auto"/>
          <w:spacing w:val="16"/>
          <w:sz w:val="24"/>
          <w:highlight w:val="none"/>
        </w:rPr>
        <w:t>寄</w:t>
      </w:r>
      <w:r>
        <w:rPr>
          <w:color w:val="auto"/>
          <w:sz w:val="24"/>
          <w:highlight w:val="none"/>
        </w:rPr>
        <w:t xml:space="preserve">： </w:t>
      </w:r>
      <w:r>
        <w:rPr>
          <w:color w:val="auto"/>
          <w:spacing w:val="16"/>
          <w:sz w:val="24"/>
          <w:highlight w:val="none"/>
        </w:rPr>
        <w:t>磋</w:t>
      </w:r>
      <w:r>
        <w:rPr>
          <w:color w:val="auto"/>
          <w:spacing w:val="14"/>
          <w:sz w:val="24"/>
          <w:highlight w:val="none"/>
        </w:rPr>
        <w:t>商</w:t>
      </w:r>
      <w:r>
        <w:rPr>
          <w:color w:val="auto"/>
          <w:spacing w:val="16"/>
          <w:sz w:val="24"/>
          <w:highlight w:val="none"/>
        </w:rPr>
        <w:t>供应</w:t>
      </w:r>
      <w:r>
        <w:rPr>
          <w:color w:val="auto"/>
          <w:spacing w:val="14"/>
          <w:sz w:val="24"/>
          <w:highlight w:val="none"/>
        </w:rPr>
        <w:t>商</w:t>
      </w:r>
      <w:r>
        <w:rPr>
          <w:color w:val="auto"/>
          <w:spacing w:val="16"/>
          <w:sz w:val="24"/>
          <w:highlight w:val="none"/>
        </w:rPr>
        <w:t>地址</w:t>
      </w:r>
      <w:r>
        <w:rPr>
          <w:color w:val="auto"/>
          <w:sz w:val="24"/>
          <w:highlight w:val="none"/>
        </w:rPr>
        <w:t>：</w:t>
      </w:r>
      <w:r>
        <w:rPr>
          <w:color w:val="auto"/>
          <w:sz w:val="24"/>
          <w:highlight w:val="none"/>
        </w:rPr>
        <w:tab/>
      </w:r>
      <w:r>
        <w:rPr>
          <w:color w:val="auto"/>
          <w:spacing w:val="16"/>
          <w:sz w:val="24"/>
          <w:highlight w:val="none"/>
        </w:rPr>
        <w:t>邮</w:t>
      </w:r>
      <w:r>
        <w:rPr>
          <w:color w:val="auto"/>
          <w:spacing w:val="14"/>
          <w:sz w:val="24"/>
          <w:highlight w:val="none"/>
        </w:rPr>
        <w:t>编</w:t>
      </w:r>
      <w:r>
        <w:rPr>
          <w:color w:val="auto"/>
          <w:sz w:val="24"/>
          <w:highlight w:val="none"/>
        </w:rPr>
        <w:t>：</w:t>
      </w:r>
    </w:p>
    <w:p>
      <w:pPr>
        <w:pStyle w:val="3"/>
        <w:tabs>
          <w:tab w:val="left" w:pos="4785"/>
        </w:tabs>
        <w:spacing w:line="306" w:lineRule="exact"/>
        <w:ind w:left="828"/>
        <w:rPr>
          <w:color w:val="auto"/>
          <w:highlight w:val="none"/>
        </w:rPr>
      </w:pPr>
      <w:r>
        <w:rPr>
          <w:color w:val="auto"/>
          <w:spacing w:val="16"/>
          <w:highlight w:val="none"/>
        </w:rPr>
        <w:t>电</w:t>
      </w:r>
      <w:r>
        <w:rPr>
          <w:color w:val="auto"/>
          <w:spacing w:val="14"/>
          <w:highlight w:val="none"/>
        </w:rPr>
        <w:t>话</w:t>
      </w:r>
      <w:r>
        <w:rPr>
          <w:color w:val="auto"/>
          <w:highlight w:val="none"/>
        </w:rPr>
        <w:t>：</w:t>
      </w:r>
      <w:r>
        <w:rPr>
          <w:color w:val="auto"/>
          <w:highlight w:val="none"/>
        </w:rPr>
        <w:tab/>
      </w:r>
      <w:r>
        <w:rPr>
          <w:color w:val="auto"/>
          <w:spacing w:val="16"/>
          <w:highlight w:val="none"/>
        </w:rPr>
        <w:t>传</w:t>
      </w:r>
      <w:r>
        <w:rPr>
          <w:color w:val="auto"/>
          <w:spacing w:val="14"/>
          <w:highlight w:val="none"/>
        </w:rPr>
        <w:t>真</w:t>
      </w:r>
      <w:r>
        <w:rPr>
          <w:color w:val="auto"/>
          <w:highlight w:val="none"/>
        </w:rPr>
        <w:t>：</w:t>
      </w:r>
    </w:p>
    <w:p>
      <w:pPr>
        <w:pStyle w:val="3"/>
        <w:ind w:left="0"/>
        <w:rPr>
          <w:color w:val="auto"/>
          <w:highlight w:val="none"/>
        </w:rPr>
      </w:pPr>
    </w:p>
    <w:p>
      <w:pPr>
        <w:pStyle w:val="3"/>
        <w:spacing w:before="10"/>
        <w:ind w:left="0"/>
        <w:rPr>
          <w:color w:val="auto"/>
          <w:highlight w:val="none"/>
        </w:rPr>
      </w:pPr>
    </w:p>
    <w:p>
      <w:pPr>
        <w:pStyle w:val="3"/>
        <w:ind w:left="5443"/>
        <w:rPr>
          <w:color w:val="auto"/>
          <w:highlight w:val="none"/>
        </w:rPr>
      </w:pPr>
      <w:r>
        <w:rPr>
          <w:color w:val="auto"/>
          <w:highlight w:val="none"/>
        </w:rPr>
        <w:t>磋商供应商（盖章）：</w:t>
      </w:r>
    </w:p>
    <w:p>
      <w:pPr>
        <w:pStyle w:val="3"/>
        <w:tabs>
          <w:tab w:val="left" w:pos="6763"/>
          <w:tab w:val="left" w:pos="7243"/>
          <w:tab w:val="left" w:pos="7843"/>
        </w:tabs>
        <w:spacing w:before="160" w:line="362" w:lineRule="auto"/>
        <w:ind w:left="5443" w:right="774"/>
        <w:rPr>
          <w:color w:val="auto"/>
          <w:highlight w:val="none"/>
        </w:rPr>
      </w:pPr>
      <w:r>
        <w:rPr>
          <w:color w:val="auto"/>
          <w:highlight w:val="none"/>
        </w:rPr>
        <w:t>法定代表人或其授权代表（签字</w:t>
      </w:r>
      <w:r>
        <w:rPr>
          <w:color w:val="auto"/>
          <w:spacing w:val="-9"/>
          <w:highlight w:val="none"/>
        </w:rPr>
        <w:t xml:space="preserve">）： </w:t>
      </w: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362" w:lineRule="auto"/>
        <w:rPr>
          <w:color w:val="auto"/>
          <w:highlight w:val="none"/>
        </w:rPr>
        <w:sectPr>
          <w:pgSz w:w="11900" w:h="16840"/>
          <w:pgMar w:top="1100" w:right="820" w:bottom="800" w:left="1020" w:header="0" w:footer="609" w:gutter="0"/>
        </w:sectPr>
      </w:pPr>
    </w:p>
    <w:p>
      <w:pPr>
        <w:pStyle w:val="3"/>
        <w:spacing w:before="2"/>
        <w:ind w:left="0"/>
        <w:rPr>
          <w:color w:val="auto"/>
          <w:sz w:val="8"/>
          <w:highlight w:val="none"/>
        </w:rPr>
      </w:pPr>
    </w:p>
    <w:p>
      <w:pPr>
        <w:pStyle w:val="5"/>
        <w:spacing w:before="55"/>
        <w:ind w:right="31"/>
        <w:rPr>
          <w:color w:val="auto"/>
          <w:highlight w:val="none"/>
        </w:rPr>
      </w:pPr>
      <w:bookmarkStart w:id="154" w:name="三、分项报价表"/>
      <w:bookmarkEnd w:id="154"/>
      <w:bookmarkStart w:id="155" w:name="二、初始报价单"/>
      <w:bookmarkEnd w:id="155"/>
      <w:bookmarkStart w:id="156" w:name="_Toc4363"/>
      <w:r>
        <w:rPr>
          <w:color w:val="auto"/>
          <w:highlight w:val="none"/>
        </w:rPr>
        <w:t>二、初始报价单</w:t>
      </w:r>
      <w:bookmarkEnd w:id="156"/>
    </w:p>
    <w:p>
      <w:pPr>
        <w:pStyle w:val="3"/>
        <w:spacing w:before="5"/>
        <w:ind w:left="0"/>
        <w:rPr>
          <w:b/>
          <w:color w:val="auto"/>
          <w:sz w:val="11"/>
          <w:highlight w:val="none"/>
        </w:rPr>
      </w:pPr>
    </w:p>
    <w:p>
      <w:pPr>
        <w:pStyle w:val="3"/>
        <w:spacing w:before="66" w:after="3" w:line="362" w:lineRule="auto"/>
        <w:ind w:right="6534"/>
        <w:rPr>
          <w:rFonts w:hint="eastAsia" w:eastAsia="宋体"/>
          <w:color w:val="auto"/>
          <w:highlight w:val="none"/>
          <w:lang w:eastAsia="zh-CN"/>
        </w:rPr>
      </w:pPr>
      <w:r>
        <w:rPr>
          <w:color w:val="auto"/>
          <w:highlight w:val="none"/>
        </w:rPr>
        <w:t xml:space="preserve">项目名称： </w:t>
      </w:r>
      <w:r>
        <w:rPr>
          <w:rFonts w:hint="eastAsia"/>
          <w:color w:val="auto"/>
          <w:highlight w:val="none"/>
          <w:lang w:eastAsia="zh-CN"/>
        </w:rPr>
        <w:t>2022年亚运会餐饮服务规划和安全保障研究</w:t>
      </w:r>
      <w:r>
        <w:rPr>
          <w:color w:val="auto"/>
          <w:highlight w:val="none"/>
        </w:rPr>
        <w:t xml:space="preserve">采购编号： </w:t>
      </w:r>
      <w:r>
        <w:rPr>
          <w:rFonts w:hint="eastAsia"/>
          <w:color w:val="auto"/>
          <w:highlight w:val="none"/>
          <w:lang w:eastAsia="zh-CN"/>
        </w:rPr>
        <w:t>ZJWSBJ-YZW-201901C</w:t>
      </w:r>
    </w:p>
    <w:tbl>
      <w:tblPr>
        <w:tblStyle w:val="16"/>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201"/>
        <w:gridCol w:w="3024"/>
        <w:gridCol w:w="3181"/>
        <w:gridCol w:w="1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26" w:type="dxa"/>
            <w:tcBorders>
              <w:bottom w:val="single" w:color="000000" w:sz="6" w:space="0"/>
              <w:right w:val="single" w:color="000000" w:sz="6" w:space="0"/>
            </w:tcBorders>
          </w:tcPr>
          <w:p>
            <w:pPr>
              <w:pStyle w:val="20"/>
              <w:spacing w:before="127"/>
              <w:ind w:left="150" w:right="140"/>
              <w:jc w:val="center"/>
              <w:rPr>
                <w:b/>
                <w:color w:val="auto"/>
                <w:sz w:val="24"/>
                <w:highlight w:val="none"/>
              </w:rPr>
            </w:pPr>
            <w:r>
              <w:rPr>
                <w:b/>
                <w:color w:val="auto"/>
                <w:sz w:val="24"/>
                <w:highlight w:val="none"/>
              </w:rPr>
              <w:t>包号</w:t>
            </w:r>
          </w:p>
        </w:tc>
        <w:tc>
          <w:tcPr>
            <w:tcW w:w="4225" w:type="dxa"/>
            <w:gridSpan w:val="2"/>
            <w:tcBorders>
              <w:left w:val="single" w:color="000000" w:sz="6" w:space="0"/>
              <w:bottom w:val="single" w:color="000000" w:sz="6" w:space="0"/>
              <w:right w:val="single" w:color="000000" w:sz="6" w:space="0"/>
            </w:tcBorders>
          </w:tcPr>
          <w:p>
            <w:pPr>
              <w:pStyle w:val="20"/>
              <w:spacing w:before="127"/>
              <w:ind w:left="1607" w:right="1599"/>
              <w:jc w:val="center"/>
              <w:rPr>
                <w:b/>
                <w:color w:val="auto"/>
                <w:sz w:val="24"/>
                <w:highlight w:val="none"/>
              </w:rPr>
            </w:pPr>
            <w:r>
              <w:rPr>
                <w:b/>
                <w:color w:val="auto"/>
                <w:sz w:val="24"/>
                <w:highlight w:val="none"/>
              </w:rPr>
              <w:t>项目名称</w:t>
            </w:r>
          </w:p>
        </w:tc>
        <w:tc>
          <w:tcPr>
            <w:tcW w:w="3181" w:type="dxa"/>
            <w:tcBorders>
              <w:left w:val="single" w:color="000000" w:sz="6" w:space="0"/>
              <w:bottom w:val="single" w:color="000000" w:sz="6" w:space="0"/>
              <w:right w:val="single" w:color="000000" w:sz="6" w:space="0"/>
            </w:tcBorders>
          </w:tcPr>
          <w:p>
            <w:pPr>
              <w:pStyle w:val="20"/>
              <w:spacing w:before="127"/>
              <w:ind w:left="866"/>
              <w:rPr>
                <w:b/>
                <w:color w:val="auto"/>
                <w:sz w:val="24"/>
                <w:highlight w:val="none"/>
              </w:rPr>
            </w:pPr>
            <w:r>
              <w:rPr>
                <w:b/>
                <w:color w:val="auto"/>
                <w:sz w:val="24"/>
                <w:highlight w:val="none"/>
              </w:rPr>
              <w:t>项目完成期限</w:t>
            </w:r>
          </w:p>
        </w:tc>
        <w:tc>
          <w:tcPr>
            <w:tcW w:w="1506" w:type="dxa"/>
            <w:tcBorders>
              <w:left w:val="single" w:color="000000" w:sz="6" w:space="0"/>
              <w:bottom w:val="single" w:color="000000" w:sz="6" w:space="0"/>
            </w:tcBorders>
          </w:tcPr>
          <w:p>
            <w:pPr>
              <w:pStyle w:val="20"/>
              <w:spacing w:before="127"/>
              <w:ind w:left="488" w:right="482"/>
              <w:jc w:val="center"/>
              <w:rPr>
                <w:b/>
                <w:color w:val="auto"/>
                <w:sz w:val="24"/>
                <w:highlight w:val="none"/>
              </w:rPr>
            </w:pPr>
            <w:r>
              <w:rPr>
                <w:b/>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826" w:type="dxa"/>
            <w:tcBorders>
              <w:top w:val="single" w:color="000000" w:sz="6" w:space="0"/>
              <w:bottom w:val="single" w:color="000000" w:sz="6" w:space="0"/>
              <w:right w:val="single" w:color="000000" w:sz="6" w:space="0"/>
            </w:tcBorders>
          </w:tcPr>
          <w:p>
            <w:pPr>
              <w:pStyle w:val="20"/>
              <w:rPr>
                <w:color w:val="auto"/>
                <w:sz w:val="24"/>
                <w:highlight w:val="none"/>
              </w:rPr>
            </w:pPr>
          </w:p>
          <w:p>
            <w:pPr>
              <w:pStyle w:val="20"/>
              <w:spacing w:before="170"/>
              <w:ind w:left="10"/>
              <w:jc w:val="center"/>
              <w:rPr>
                <w:color w:val="auto"/>
                <w:sz w:val="24"/>
                <w:highlight w:val="none"/>
              </w:rPr>
            </w:pPr>
            <w:r>
              <w:rPr>
                <w:color w:val="auto"/>
                <w:sz w:val="24"/>
                <w:highlight w:val="none"/>
              </w:rPr>
              <w:t>1</w:t>
            </w:r>
          </w:p>
        </w:tc>
        <w:tc>
          <w:tcPr>
            <w:tcW w:w="4225"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181"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506"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2027" w:type="dxa"/>
            <w:gridSpan w:val="2"/>
            <w:tcBorders>
              <w:top w:val="single" w:color="000000" w:sz="6" w:space="0"/>
              <w:right w:val="nil"/>
            </w:tcBorders>
          </w:tcPr>
          <w:p>
            <w:pPr>
              <w:pStyle w:val="20"/>
              <w:spacing w:before="180"/>
              <w:ind w:left="106"/>
              <w:rPr>
                <w:color w:val="auto"/>
                <w:sz w:val="24"/>
                <w:highlight w:val="none"/>
              </w:rPr>
            </w:pPr>
            <w:r>
              <w:rPr>
                <w:color w:val="auto"/>
                <w:sz w:val="24"/>
                <w:highlight w:val="none"/>
              </w:rPr>
              <w:t>初始报价总计：</w:t>
            </w:r>
          </w:p>
        </w:tc>
        <w:tc>
          <w:tcPr>
            <w:tcW w:w="3024" w:type="dxa"/>
            <w:tcBorders>
              <w:top w:val="single" w:color="000000" w:sz="6" w:space="0"/>
              <w:left w:val="nil"/>
              <w:right w:val="nil"/>
            </w:tcBorders>
          </w:tcPr>
          <w:p>
            <w:pPr>
              <w:pStyle w:val="20"/>
              <w:spacing w:before="27" w:line="460" w:lineRule="atLeast"/>
              <w:ind w:left="244" w:right="2057"/>
              <w:rPr>
                <w:color w:val="auto"/>
                <w:sz w:val="24"/>
                <w:highlight w:val="none"/>
              </w:rPr>
            </w:pPr>
            <w:r>
              <w:rPr>
                <w:color w:val="auto"/>
                <w:sz w:val="24"/>
                <w:highlight w:val="none"/>
              </w:rPr>
              <w:t>小写： 大写：</w:t>
            </w:r>
          </w:p>
        </w:tc>
        <w:tc>
          <w:tcPr>
            <w:tcW w:w="3181" w:type="dxa"/>
            <w:tcBorders>
              <w:top w:val="single" w:color="000000" w:sz="6" w:space="0"/>
              <w:left w:val="nil"/>
              <w:right w:val="nil"/>
            </w:tcBorders>
          </w:tcPr>
          <w:p>
            <w:pPr>
              <w:pStyle w:val="20"/>
              <w:rPr>
                <w:rFonts w:ascii="Times New Roman"/>
                <w:color w:val="auto"/>
                <w:sz w:val="24"/>
                <w:highlight w:val="none"/>
              </w:rPr>
            </w:pPr>
          </w:p>
        </w:tc>
        <w:tc>
          <w:tcPr>
            <w:tcW w:w="1506" w:type="dxa"/>
            <w:tcBorders>
              <w:top w:val="single" w:color="000000" w:sz="6" w:space="0"/>
              <w:left w:val="nil"/>
            </w:tcBorders>
          </w:tcPr>
          <w:p>
            <w:pPr>
              <w:pStyle w:val="20"/>
              <w:rPr>
                <w:rFonts w:ascii="Times New Roman"/>
                <w:color w:val="auto"/>
                <w:sz w:val="24"/>
                <w:highlight w:val="none"/>
              </w:rPr>
            </w:pPr>
          </w:p>
        </w:tc>
      </w:tr>
    </w:tbl>
    <w:p>
      <w:pPr>
        <w:pStyle w:val="3"/>
        <w:ind w:left="0"/>
        <w:rPr>
          <w:color w:val="auto"/>
          <w:highlight w:val="none"/>
        </w:rPr>
      </w:pPr>
    </w:p>
    <w:p>
      <w:pPr>
        <w:pStyle w:val="3"/>
        <w:ind w:left="0"/>
        <w:rPr>
          <w:color w:val="auto"/>
          <w:highlight w:val="none"/>
        </w:rPr>
      </w:pPr>
    </w:p>
    <w:p>
      <w:pPr>
        <w:pStyle w:val="3"/>
        <w:ind w:left="0"/>
        <w:rPr>
          <w:color w:val="auto"/>
          <w:sz w:val="25"/>
          <w:highlight w:val="none"/>
        </w:rPr>
      </w:pPr>
    </w:p>
    <w:p>
      <w:pPr>
        <w:pStyle w:val="3"/>
        <w:ind w:left="5443"/>
        <w:rPr>
          <w:color w:val="auto"/>
          <w:highlight w:val="none"/>
        </w:rPr>
      </w:pPr>
      <w:r>
        <w:rPr>
          <w:color w:val="auto"/>
          <w:highlight w:val="none"/>
        </w:rPr>
        <w:t>磋商供应商（盖章）：</w:t>
      </w:r>
    </w:p>
    <w:p>
      <w:pPr>
        <w:pStyle w:val="3"/>
        <w:tabs>
          <w:tab w:val="left" w:pos="6763"/>
          <w:tab w:val="left" w:pos="7243"/>
          <w:tab w:val="left" w:pos="7843"/>
        </w:tabs>
        <w:spacing w:before="158" w:line="364" w:lineRule="auto"/>
        <w:ind w:left="5443" w:right="774"/>
        <w:rPr>
          <w:color w:val="auto"/>
          <w:highlight w:val="none"/>
        </w:rPr>
      </w:pPr>
      <w:r>
        <w:rPr>
          <w:color w:val="auto"/>
          <w:highlight w:val="none"/>
        </w:rPr>
        <w:t>法定代表人或其授权代表（签字</w:t>
      </w:r>
      <w:r>
        <w:rPr>
          <w:color w:val="auto"/>
          <w:spacing w:val="-9"/>
          <w:highlight w:val="none"/>
        </w:rPr>
        <w:t xml:space="preserve">）： </w:t>
      </w: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364" w:lineRule="auto"/>
        <w:rPr>
          <w:color w:val="auto"/>
          <w:highlight w:val="none"/>
        </w:rPr>
        <w:sectPr>
          <w:pgSz w:w="11900" w:h="16840"/>
          <w:pgMar w:top="1600" w:right="820" w:bottom="800" w:left="1020" w:header="0" w:footer="609" w:gutter="0"/>
        </w:sectPr>
      </w:pPr>
    </w:p>
    <w:p>
      <w:pPr>
        <w:pStyle w:val="5"/>
        <w:ind w:left="214" w:right="27"/>
        <w:rPr>
          <w:color w:val="auto"/>
          <w:highlight w:val="none"/>
        </w:rPr>
      </w:pPr>
      <w:bookmarkStart w:id="157" w:name="_Toc25118"/>
      <w:r>
        <w:rPr>
          <w:color w:val="auto"/>
          <w:highlight w:val="none"/>
        </w:rPr>
        <w:t>三、分项报价表</w:t>
      </w:r>
      <w:bookmarkEnd w:id="157"/>
    </w:p>
    <w:p>
      <w:pPr>
        <w:pStyle w:val="3"/>
        <w:spacing w:before="2"/>
        <w:ind w:left="0"/>
        <w:rPr>
          <w:b/>
          <w:color w:val="auto"/>
          <w:sz w:val="11"/>
          <w:highlight w:val="none"/>
        </w:rPr>
      </w:pPr>
    </w:p>
    <w:p>
      <w:pPr>
        <w:pStyle w:val="3"/>
        <w:spacing w:before="67" w:line="364" w:lineRule="auto"/>
        <w:ind w:right="6654"/>
        <w:rPr>
          <w:rFonts w:hint="eastAsia" w:eastAsia="宋体"/>
          <w:color w:val="auto"/>
          <w:highlight w:val="none"/>
          <w:lang w:eastAsia="zh-CN"/>
        </w:rPr>
      </w:pPr>
      <w:r>
        <w:rPr>
          <w:color w:val="auto"/>
          <w:highlight w:val="none"/>
        </w:rPr>
        <w:t>项目名称：</w:t>
      </w:r>
      <w:r>
        <w:rPr>
          <w:rFonts w:hint="eastAsia"/>
          <w:color w:val="auto"/>
          <w:highlight w:val="none"/>
          <w:lang w:eastAsia="zh-CN"/>
        </w:rPr>
        <w:t>2022年亚运会餐饮服务规划和安全保障研究</w:t>
      </w:r>
      <w:r>
        <w:rPr>
          <w:color w:val="auto"/>
          <w:highlight w:val="none"/>
        </w:rPr>
        <w:t>采购编号：</w:t>
      </w:r>
      <w:r>
        <w:rPr>
          <w:rFonts w:hint="eastAsia"/>
          <w:color w:val="auto"/>
          <w:highlight w:val="none"/>
          <w:lang w:eastAsia="zh-CN"/>
        </w:rPr>
        <w:t>ZJWSBJ-YZW-201901C</w:t>
      </w:r>
    </w:p>
    <w:tbl>
      <w:tblPr>
        <w:tblStyle w:val="16"/>
        <w:tblW w:w="0" w:type="auto"/>
        <w:tblInd w:w="2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5"/>
        <w:gridCol w:w="2551"/>
        <w:gridCol w:w="1659"/>
        <w:gridCol w:w="1132"/>
        <w:gridCol w:w="1746"/>
        <w:gridCol w:w="18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bottom w:val="single" w:color="000000" w:sz="2" w:space="0"/>
              <w:right w:val="single" w:color="000000" w:sz="2" w:space="0"/>
            </w:tcBorders>
          </w:tcPr>
          <w:p>
            <w:pPr>
              <w:pStyle w:val="20"/>
              <w:ind w:left="126"/>
              <w:rPr>
                <w:color w:val="auto"/>
                <w:sz w:val="24"/>
                <w:highlight w:val="none"/>
              </w:rPr>
            </w:pPr>
            <w:r>
              <w:rPr>
                <w:color w:val="auto"/>
                <w:sz w:val="24"/>
                <w:highlight w:val="none"/>
              </w:rPr>
              <w:t>序号</w:t>
            </w:r>
          </w:p>
        </w:tc>
        <w:tc>
          <w:tcPr>
            <w:tcW w:w="2551" w:type="dxa"/>
            <w:tcBorders>
              <w:left w:val="single" w:color="000000" w:sz="2" w:space="0"/>
              <w:bottom w:val="single" w:color="000000" w:sz="2" w:space="0"/>
              <w:right w:val="single" w:color="000000" w:sz="2" w:space="0"/>
            </w:tcBorders>
          </w:tcPr>
          <w:p>
            <w:pPr>
              <w:pStyle w:val="20"/>
              <w:ind w:left="1020" w:right="1005"/>
              <w:jc w:val="center"/>
              <w:rPr>
                <w:color w:val="auto"/>
                <w:sz w:val="24"/>
                <w:highlight w:val="none"/>
              </w:rPr>
            </w:pPr>
            <w:r>
              <w:rPr>
                <w:color w:val="auto"/>
                <w:sz w:val="24"/>
                <w:highlight w:val="none"/>
              </w:rPr>
              <w:t>名称</w:t>
            </w:r>
          </w:p>
        </w:tc>
        <w:tc>
          <w:tcPr>
            <w:tcW w:w="1659" w:type="dxa"/>
            <w:tcBorders>
              <w:left w:val="single" w:color="000000" w:sz="2" w:space="0"/>
              <w:bottom w:val="single" w:color="000000" w:sz="2" w:space="0"/>
              <w:right w:val="single" w:color="000000" w:sz="2" w:space="0"/>
            </w:tcBorders>
          </w:tcPr>
          <w:p>
            <w:pPr>
              <w:pStyle w:val="20"/>
              <w:ind w:left="577" w:right="557"/>
              <w:jc w:val="center"/>
              <w:rPr>
                <w:color w:val="auto"/>
                <w:sz w:val="24"/>
                <w:highlight w:val="none"/>
              </w:rPr>
            </w:pPr>
            <w:r>
              <w:rPr>
                <w:color w:val="auto"/>
                <w:sz w:val="24"/>
                <w:highlight w:val="none"/>
              </w:rPr>
              <w:t>数量</w:t>
            </w:r>
          </w:p>
        </w:tc>
        <w:tc>
          <w:tcPr>
            <w:tcW w:w="1132" w:type="dxa"/>
            <w:tcBorders>
              <w:left w:val="single" w:color="000000" w:sz="2" w:space="0"/>
              <w:bottom w:val="single" w:color="000000" w:sz="2" w:space="0"/>
              <w:right w:val="single" w:color="000000" w:sz="2" w:space="0"/>
            </w:tcBorders>
          </w:tcPr>
          <w:p>
            <w:pPr>
              <w:pStyle w:val="20"/>
              <w:ind w:left="332"/>
              <w:rPr>
                <w:color w:val="auto"/>
                <w:sz w:val="24"/>
                <w:highlight w:val="none"/>
              </w:rPr>
            </w:pPr>
            <w:r>
              <w:rPr>
                <w:color w:val="auto"/>
                <w:sz w:val="24"/>
                <w:highlight w:val="none"/>
              </w:rPr>
              <w:t>单价</w:t>
            </w:r>
          </w:p>
        </w:tc>
        <w:tc>
          <w:tcPr>
            <w:tcW w:w="1746" w:type="dxa"/>
            <w:tcBorders>
              <w:left w:val="single" w:color="000000" w:sz="2" w:space="0"/>
              <w:bottom w:val="single" w:color="000000" w:sz="2" w:space="0"/>
              <w:right w:val="single" w:color="000000" w:sz="2" w:space="0"/>
            </w:tcBorders>
          </w:tcPr>
          <w:p>
            <w:pPr>
              <w:pStyle w:val="20"/>
              <w:ind w:left="620" w:right="600"/>
              <w:jc w:val="center"/>
              <w:rPr>
                <w:color w:val="auto"/>
                <w:sz w:val="24"/>
                <w:highlight w:val="none"/>
              </w:rPr>
            </w:pPr>
            <w:r>
              <w:rPr>
                <w:color w:val="auto"/>
                <w:sz w:val="24"/>
                <w:highlight w:val="none"/>
              </w:rPr>
              <w:t>总价</w:t>
            </w:r>
          </w:p>
        </w:tc>
        <w:tc>
          <w:tcPr>
            <w:tcW w:w="1833" w:type="dxa"/>
            <w:tcBorders>
              <w:left w:val="single" w:color="000000" w:sz="2" w:space="0"/>
              <w:bottom w:val="single" w:color="000000" w:sz="2" w:space="0"/>
            </w:tcBorders>
          </w:tcPr>
          <w:p>
            <w:pPr>
              <w:pStyle w:val="20"/>
              <w:ind w:left="659" w:right="640"/>
              <w:jc w:val="center"/>
              <w:rPr>
                <w:color w:val="auto"/>
                <w:sz w:val="24"/>
                <w:highlight w:val="none"/>
              </w:rPr>
            </w:pPr>
            <w:r>
              <w:rPr>
                <w:color w:val="auto"/>
                <w:sz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spacing w:before="125"/>
              <w:ind w:left="8"/>
              <w:rPr>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spacing w:before="126"/>
              <w:ind w:left="8"/>
              <w:rPr>
                <w:color w:val="auto"/>
                <w:sz w:val="24"/>
                <w:highlight w:val="none"/>
              </w:rPr>
            </w:pPr>
            <w:r>
              <w:rPr>
                <w:color w:val="auto"/>
                <w:sz w:val="24"/>
                <w:highlight w:val="none"/>
              </w:rPr>
              <w:t>税金</w:t>
            </w: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5" w:type="dxa"/>
            <w:tcBorders>
              <w:top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2551"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659"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132"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746" w:type="dxa"/>
            <w:tcBorders>
              <w:top w:val="single" w:color="000000" w:sz="2" w:space="0"/>
              <w:left w:val="single" w:color="000000" w:sz="2" w:space="0"/>
              <w:bottom w:val="single" w:color="000000" w:sz="2" w:space="0"/>
              <w:right w:val="single" w:color="000000" w:sz="2" w:space="0"/>
            </w:tcBorders>
          </w:tcPr>
          <w:p>
            <w:pPr>
              <w:pStyle w:val="20"/>
              <w:rPr>
                <w:rFonts w:ascii="Times New Roman"/>
                <w:color w:val="auto"/>
                <w:sz w:val="24"/>
                <w:highlight w:val="none"/>
              </w:rPr>
            </w:pPr>
          </w:p>
        </w:tc>
        <w:tc>
          <w:tcPr>
            <w:tcW w:w="1833" w:type="dxa"/>
            <w:tcBorders>
              <w:top w:val="single" w:color="000000" w:sz="2" w:space="0"/>
              <w:left w:val="single" w:color="000000" w:sz="2" w:space="0"/>
              <w:bottom w:val="single" w:color="000000" w:sz="2" w:space="0"/>
            </w:tcBorders>
          </w:tcPr>
          <w:p>
            <w:pPr>
              <w:pStyle w:val="20"/>
              <w:rPr>
                <w:rFonts w:ascii="Times New Roman"/>
                <w:color w:val="auto"/>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3276" w:type="dxa"/>
            <w:gridSpan w:val="2"/>
            <w:vMerge w:val="restart"/>
            <w:tcBorders>
              <w:top w:val="single" w:color="000000" w:sz="2" w:space="0"/>
              <w:right w:val="single" w:color="000000" w:sz="2" w:space="0"/>
            </w:tcBorders>
          </w:tcPr>
          <w:p>
            <w:pPr>
              <w:pStyle w:val="20"/>
              <w:spacing w:before="12"/>
              <w:rPr>
                <w:color w:val="auto"/>
                <w:sz w:val="27"/>
                <w:highlight w:val="none"/>
              </w:rPr>
            </w:pPr>
          </w:p>
          <w:p>
            <w:pPr>
              <w:pStyle w:val="20"/>
              <w:ind w:left="1380" w:right="1362"/>
              <w:jc w:val="center"/>
              <w:rPr>
                <w:color w:val="auto"/>
                <w:sz w:val="24"/>
                <w:highlight w:val="none"/>
              </w:rPr>
            </w:pPr>
            <w:r>
              <w:rPr>
                <w:color w:val="auto"/>
                <w:sz w:val="24"/>
                <w:highlight w:val="none"/>
              </w:rPr>
              <w:t>总计</w:t>
            </w:r>
          </w:p>
        </w:tc>
        <w:tc>
          <w:tcPr>
            <w:tcW w:w="6370" w:type="dxa"/>
            <w:gridSpan w:val="4"/>
            <w:tcBorders>
              <w:top w:val="single" w:color="000000" w:sz="2" w:space="0"/>
              <w:left w:val="single" w:color="000000" w:sz="2" w:space="0"/>
              <w:bottom w:val="single" w:color="000000" w:sz="2" w:space="0"/>
            </w:tcBorders>
          </w:tcPr>
          <w:p>
            <w:pPr>
              <w:pStyle w:val="20"/>
              <w:spacing w:before="125" w:line="307" w:lineRule="exact"/>
              <w:ind w:left="9"/>
              <w:rPr>
                <w:color w:val="auto"/>
                <w:sz w:val="24"/>
                <w:highlight w:val="none"/>
              </w:rPr>
            </w:pPr>
            <w:r>
              <w:rPr>
                <w:color w:val="auto"/>
                <w:sz w:val="24"/>
                <w:highlight w:val="none"/>
              </w:rPr>
              <w:t>小写：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3276" w:type="dxa"/>
            <w:gridSpan w:val="2"/>
            <w:vMerge w:val="continue"/>
            <w:tcBorders>
              <w:top w:val="nil"/>
              <w:right w:val="single" w:color="000000" w:sz="2" w:space="0"/>
            </w:tcBorders>
          </w:tcPr>
          <w:p>
            <w:pPr>
              <w:rPr>
                <w:color w:val="auto"/>
                <w:sz w:val="2"/>
                <w:szCs w:val="2"/>
                <w:highlight w:val="none"/>
              </w:rPr>
            </w:pPr>
          </w:p>
        </w:tc>
        <w:tc>
          <w:tcPr>
            <w:tcW w:w="6370" w:type="dxa"/>
            <w:gridSpan w:val="4"/>
            <w:tcBorders>
              <w:top w:val="single" w:color="000000" w:sz="2" w:space="0"/>
              <w:left w:val="single" w:color="000000" w:sz="2" w:space="0"/>
            </w:tcBorders>
          </w:tcPr>
          <w:p>
            <w:pPr>
              <w:pStyle w:val="20"/>
              <w:spacing w:before="118"/>
              <w:ind w:left="9"/>
              <w:rPr>
                <w:color w:val="auto"/>
                <w:sz w:val="24"/>
                <w:highlight w:val="none"/>
              </w:rPr>
            </w:pPr>
            <w:r>
              <w:rPr>
                <w:color w:val="auto"/>
                <w:sz w:val="24"/>
                <w:highlight w:val="none"/>
              </w:rPr>
              <w:t>大写：</w:t>
            </w:r>
          </w:p>
        </w:tc>
      </w:tr>
    </w:tbl>
    <w:p>
      <w:pPr>
        <w:pStyle w:val="9"/>
        <w:spacing w:line="364" w:lineRule="auto"/>
        <w:ind w:right="378"/>
        <w:jc w:val="both"/>
        <w:rPr>
          <w:color w:val="auto"/>
          <w:highlight w:val="none"/>
        </w:rPr>
      </w:pPr>
      <w:r>
        <w:rPr>
          <w:color w:val="auto"/>
          <w:highlight w:val="none"/>
        </w:rPr>
        <w:t>注：报价应包括但不限于供应商的各项成本支出（如</w:t>
      </w:r>
      <w:r>
        <w:rPr>
          <w:rFonts w:hint="eastAsia"/>
          <w:color w:val="auto"/>
          <w:highlight w:val="none"/>
          <w:lang w:val="en-US" w:eastAsia="zh-CN"/>
        </w:rPr>
        <w:t>报告</w:t>
      </w:r>
      <w:r>
        <w:rPr>
          <w:color w:val="auto"/>
          <w:highlight w:val="none"/>
        </w:rPr>
        <w:t>费用、咨询费用、人工薪酬、差旅费用等）、合理的利润、应交纳的税金、采购代理服务费等，以及为完成本项目所可能发生的全部费用。供应商可进一步细化。</w:t>
      </w:r>
    </w:p>
    <w:p>
      <w:pPr>
        <w:pStyle w:val="3"/>
        <w:ind w:left="0"/>
        <w:rPr>
          <w:b/>
          <w:color w:val="auto"/>
          <w:highlight w:val="none"/>
        </w:rPr>
      </w:pPr>
    </w:p>
    <w:p>
      <w:pPr>
        <w:pStyle w:val="3"/>
        <w:spacing w:before="157"/>
        <w:ind w:left="5443"/>
        <w:rPr>
          <w:color w:val="auto"/>
          <w:highlight w:val="none"/>
        </w:rPr>
      </w:pPr>
      <w:r>
        <w:rPr>
          <w:color w:val="auto"/>
          <w:highlight w:val="none"/>
        </w:rPr>
        <w:t>磋商供应商（盖章）：</w:t>
      </w:r>
    </w:p>
    <w:p>
      <w:pPr>
        <w:pStyle w:val="3"/>
        <w:tabs>
          <w:tab w:val="left" w:pos="6763"/>
          <w:tab w:val="left" w:pos="7243"/>
          <w:tab w:val="left" w:pos="7843"/>
        </w:tabs>
        <w:spacing w:before="158" w:line="364" w:lineRule="auto"/>
        <w:ind w:left="5443" w:right="774"/>
        <w:rPr>
          <w:color w:val="auto"/>
          <w:highlight w:val="none"/>
        </w:rPr>
      </w:pPr>
      <w:r>
        <w:rPr>
          <w:color w:val="auto"/>
          <w:highlight w:val="none"/>
        </w:rPr>
        <w:t>法定代表人或其授权代表（签字</w:t>
      </w:r>
      <w:r>
        <w:rPr>
          <w:color w:val="auto"/>
          <w:spacing w:val="-9"/>
          <w:highlight w:val="none"/>
        </w:rPr>
        <w:t xml:space="preserve">）： </w:t>
      </w: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364" w:lineRule="auto"/>
        <w:rPr>
          <w:color w:val="auto"/>
          <w:highlight w:val="none"/>
        </w:rPr>
        <w:sectPr>
          <w:pgSz w:w="11900" w:h="16840"/>
          <w:pgMar w:top="1100" w:right="820" w:bottom="800" w:left="1020" w:header="0" w:footer="609" w:gutter="0"/>
        </w:sectPr>
      </w:pPr>
    </w:p>
    <w:p>
      <w:pPr>
        <w:pStyle w:val="5"/>
        <w:rPr>
          <w:color w:val="auto"/>
          <w:highlight w:val="none"/>
        </w:rPr>
      </w:pPr>
      <w:bookmarkStart w:id="158" w:name="_Toc17781"/>
      <w:r>
        <w:rPr>
          <w:color w:val="auto"/>
          <w:highlight w:val="none"/>
        </w:rPr>
        <w:t>四、其它（如有）（均需盖章）</w:t>
      </w:r>
      <w:bookmarkEnd w:id="158"/>
    </w:p>
    <w:p>
      <w:pPr>
        <w:pStyle w:val="3"/>
        <w:ind w:left="0"/>
        <w:rPr>
          <w:b/>
          <w:color w:val="auto"/>
          <w:sz w:val="32"/>
          <w:highlight w:val="none"/>
        </w:rPr>
      </w:pPr>
    </w:p>
    <w:p>
      <w:pPr>
        <w:pStyle w:val="3"/>
        <w:spacing w:before="11"/>
        <w:ind w:left="0"/>
        <w:rPr>
          <w:b/>
          <w:color w:val="auto"/>
          <w:sz w:val="26"/>
          <w:highlight w:val="none"/>
        </w:rPr>
      </w:pPr>
    </w:p>
    <w:p>
      <w:pPr>
        <w:pStyle w:val="3"/>
        <w:rPr>
          <w:color w:val="auto"/>
          <w:highlight w:val="none"/>
        </w:rPr>
      </w:pPr>
      <w:r>
        <w:rPr>
          <w:color w:val="auto"/>
          <w:highlight w:val="none"/>
        </w:rPr>
        <w:t>附件 1：《中小企业声明函》；</w:t>
      </w:r>
    </w:p>
    <w:p>
      <w:pPr>
        <w:pStyle w:val="3"/>
        <w:spacing w:before="161"/>
        <w:ind w:left="1243"/>
        <w:rPr>
          <w:color w:val="auto"/>
          <w:highlight w:val="none"/>
        </w:rPr>
      </w:pPr>
      <w:r>
        <w:rPr>
          <w:color w:val="auto"/>
          <w:highlight w:val="none"/>
        </w:rPr>
        <w:t>或监狱企业相关证明材料；</w:t>
      </w:r>
    </w:p>
    <w:p>
      <w:pPr>
        <w:pStyle w:val="3"/>
        <w:spacing w:before="158"/>
        <w:ind w:left="1243"/>
        <w:rPr>
          <w:color w:val="auto"/>
          <w:highlight w:val="none"/>
        </w:rPr>
      </w:pPr>
      <w:r>
        <w:rPr>
          <w:color w:val="auto"/>
          <w:highlight w:val="none"/>
        </w:rPr>
        <w:t>或《残疾人福利性单位声明函》。</w:t>
      </w:r>
    </w:p>
    <w:p>
      <w:pPr>
        <w:pStyle w:val="3"/>
        <w:spacing w:before="158"/>
        <w:rPr>
          <w:color w:val="auto"/>
          <w:highlight w:val="none"/>
        </w:rPr>
      </w:pPr>
      <w:r>
        <w:rPr>
          <w:color w:val="auto"/>
          <w:highlight w:val="none"/>
        </w:rPr>
        <w:t>附件 2：浙江政府采购网入库供应商网页截图（企业规模为小型、微型）证明材料。</w:t>
      </w:r>
    </w:p>
    <w:p>
      <w:pPr>
        <w:pStyle w:val="3"/>
        <w:ind w:left="0"/>
        <w:rPr>
          <w:color w:val="auto"/>
          <w:highlight w:val="none"/>
        </w:rPr>
      </w:pPr>
    </w:p>
    <w:p>
      <w:pPr>
        <w:pStyle w:val="3"/>
        <w:ind w:left="0"/>
        <w:rPr>
          <w:color w:val="auto"/>
          <w:sz w:val="25"/>
          <w:highlight w:val="none"/>
        </w:rPr>
      </w:pPr>
    </w:p>
    <w:p>
      <w:pPr>
        <w:pStyle w:val="3"/>
        <w:spacing w:before="1" w:line="364" w:lineRule="auto"/>
        <w:ind w:right="311"/>
        <w:jc w:val="both"/>
        <w:rPr>
          <w:color w:val="auto"/>
          <w:highlight w:val="none"/>
        </w:rPr>
      </w:pPr>
      <w:r>
        <w:rPr>
          <w:color w:val="auto"/>
          <w:highlight w:val="none"/>
        </w:rPr>
        <w:t>说明：1、小微企业参与政府采购活动的，提供《中小企业声明函》以及浙江政府采购网入库供应商网页截图（企业规模为小型、微型企业）等证明材料的，报价分计算时对磋商报价给予相应的扣除。</w:t>
      </w:r>
    </w:p>
    <w:p>
      <w:pPr>
        <w:pStyle w:val="3"/>
        <w:spacing w:line="364" w:lineRule="auto"/>
        <w:ind w:right="311" w:firstLine="480"/>
        <w:jc w:val="both"/>
        <w:rPr>
          <w:color w:val="auto"/>
          <w:highlight w:val="none"/>
        </w:rPr>
      </w:pPr>
      <w:r>
        <w:rPr>
          <w:color w:val="auto"/>
          <w:highlight w:val="none"/>
        </w:rPr>
        <w:t>2、残疾人福利性单位参与政府采购活动的，提供《残疾人福利性单位声明函》以及浙江政府采购网入库供应商网页截图等证明材料的，视为小微企业，报价分计算时对磋商报价给予相应的扣除。如成交，《残疾人福利性单位声明函》将随成交结果公告一同公告。</w:t>
      </w:r>
    </w:p>
    <w:p>
      <w:pPr>
        <w:pStyle w:val="3"/>
        <w:spacing w:line="364" w:lineRule="auto"/>
        <w:ind w:right="311" w:firstLine="480"/>
        <w:jc w:val="both"/>
        <w:rPr>
          <w:color w:val="auto"/>
          <w:highlight w:val="none"/>
        </w:rPr>
      </w:pPr>
      <w:r>
        <w:rPr>
          <w:color w:val="auto"/>
          <w:highlight w:val="none"/>
        </w:rPr>
        <w:t>3、监狱企业参与政府采购活动的，提供由省级以上监狱管理局、戒毒管理局（含新疆生产建设兵团）出具的属于监狱企业的证明文件以及浙江政府采购网入库供应商网页截图等证明材料的，视为小微企业，报价分计算时对磋商报价给予相应的扣除。</w:t>
      </w:r>
    </w:p>
    <w:p>
      <w:pPr>
        <w:pStyle w:val="3"/>
        <w:spacing w:line="364" w:lineRule="auto"/>
        <w:ind w:right="311" w:firstLine="480"/>
        <w:rPr>
          <w:color w:val="auto"/>
          <w:highlight w:val="none"/>
        </w:rPr>
      </w:pPr>
      <w:r>
        <w:rPr>
          <w:color w:val="auto"/>
          <w:highlight w:val="none"/>
        </w:rPr>
        <w:t>4、获得政府采购合同后，已享受政策的小微企业（监狱企业、残疾人福利单位）不得分包或转包给大型、中型企业。</w:t>
      </w:r>
    </w:p>
    <w:p>
      <w:pPr>
        <w:pStyle w:val="3"/>
        <w:spacing w:line="362" w:lineRule="auto"/>
        <w:ind w:right="311" w:firstLine="480"/>
        <w:rPr>
          <w:color w:val="auto"/>
          <w:highlight w:val="none"/>
        </w:rPr>
      </w:pPr>
      <w:r>
        <w:rPr>
          <w:color w:val="auto"/>
          <w:highlight w:val="none"/>
        </w:rPr>
        <w:t>5、小微企业（监狱企业、残疾人福利单位）采用中大型企业所制造的货物（承担工程/提供服务）的，不享受相关政策。</w:t>
      </w:r>
    </w:p>
    <w:p>
      <w:pPr>
        <w:spacing w:after="0" w:line="362" w:lineRule="auto"/>
        <w:rPr>
          <w:color w:val="auto"/>
          <w:highlight w:val="none"/>
        </w:rPr>
        <w:sectPr>
          <w:pgSz w:w="11900" w:h="16840"/>
          <w:pgMar w:top="1100" w:right="820" w:bottom="800" w:left="1020" w:header="0" w:footer="609" w:gutter="0"/>
        </w:sectPr>
      </w:pPr>
    </w:p>
    <w:p>
      <w:pPr>
        <w:pStyle w:val="7"/>
        <w:rPr>
          <w:color w:val="auto"/>
          <w:highlight w:val="none"/>
        </w:rPr>
      </w:pPr>
      <w:r>
        <w:rPr>
          <w:color w:val="auto"/>
          <w:highlight w:val="none"/>
        </w:rPr>
        <w:t>《中小企业声明函》</w:t>
      </w:r>
    </w:p>
    <w:p>
      <w:pPr>
        <w:pStyle w:val="3"/>
        <w:spacing w:before="185"/>
        <w:ind w:left="0" w:right="27"/>
        <w:jc w:val="center"/>
        <w:rPr>
          <w:color w:val="auto"/>
          <w:highlight w:val="none"/>
        </w:rPr>
      </w:pPr>
      <w:r>
        <w:rPr>
          <w:color w:val="auto"/>
          <w:highlight w:val="none"/>
        </w:rPr>
        <w:t>（非小微企业不用提供）</w:t>
      </w:r>
    </w:p>
    <w:p>
      <w:pPr>
        <w:pStyle w:val="3"/>
        <w:ind w:left="0"/>
        <w:rPr>
          <w:color w:val="auto"/>
          <w:highlight w:val="none"/>
        </w:rPr>
      </w:pPr>
    </w:p>
    <w:p>
      <w:pPr>
        <w:pStyle w:val="3"/>
        <w:spacing w:before="11"/>
        <w:ind w:left="0"/>
        <w:rPr>
          <w:color w:val="auto"/>
          <w:highlight w:val="none"/>
        </w:rPr>
      </w:pPr>
    </w:p>
    <w:p>
      <w:pPr>
        <w:pStyle w:val="3"/>
        <w:tabs>
          <w:tab w:val="left" w:pos="3686"/>
        </w:tabs>
        <w:spacing w:line="364" w:lineRule="auto"/>
        <w:ind w:right="311" w:firstLine="480"/>
        <w:jc w:val="both"/>
        <w:rPr>
          <w:color w:val="auto"/>
          <w:highlight w:val="none"/>
        </w:rPr>
      </w:pPr>
      <w:r>
        <w:rPr>
          <w:color w:val="auto"/>
          <w:spacing w:val="14"/>
          <w:highlight w:val="none"/>
        </w:rPr>
        <w:t>本企</w:t>
      </w:r>
      <w:r>
        <w:rPr>
          <w:color w:val="auto"/>
          <w:spacing w:val="16"/>
          <w:highlight w:val="none"/>
        </w:rPr>
        <w:t>业</w:t>
      </w:r>
      <w:r>
        <w:rPr>
          <w:color w:val="auto"/>
          <w:spacing w:val="14"/>
          <w:highlight w:val="none"/>
        </w:rPr>
        <w:t>郑重声明</w:t>
      </w:r>
      <w:r>
        <w:rPr>
          <w:color w:val="auto"/>
          <w:spacing w:val="16"/>
          <w:highlight w:val="none"/>
        </w:rPr>
        <w:t>，</w:t>
      </w:r>
      <w:r>
        <w:rPr>
          <w:color w:val="auto"/>
          <w:spacing w:val="14"/>
          <w:highlight w:val="none"/>
        </w:rPr>
        <w:t>根据《</w:t>
      </w:r>
      <w:r>
        <w:rPr>
          <w:color w:val="auto"/>
          <w:spacing w:val="16"/>
          <w:highlight w:val="none"/>
        </w:rPr>
        <w:t>政</w:t>
      </w:r>
      <w:r>
        <w:rPr>
          <w:color w:val="auto"/>
          <w:spacing w:val="14"/>
          <w:highlight w:val="none"/>
        </w:rPr>
        <w:t>府采购促</w:t>
      </w:r>
      <w:r>
        <w:rPr>
          <w:color w:val="auto"/>
          <w:spacing w:val="16"/>
          <w:highlight w:val="none"/>
        </w:rPr>
        <w:t>进</w:t>
      </w:r>
      <w:r>
        <w:rPr>
          <w:color w:val="auto"/>
          <w:spacing w:val="14"/>
          <w:highlight w:val="none"/>
        </w:rPr>
        <w:t>中小企业</w:t>
      </w:r>
      <w:r>
        <w:rPr>
          <w:color w:val="auto"/>
          <w:spacing w:val="16"/>
          <w:highlight w:val="none"/>
        </w:rPr>
        <w:t>发</w:t>
      </w:r>
      <w:r>
        <w:rPr>
          <w:color w:val="auto"/>
          <w:spacing w:val="14"/>
          <w:highlight w:val="none"/>
        </w:rPr>
        <w:t>展暂行办</w:t>
      </w:r>
      <w:r>
        <w:rPr>
          <w:color w:val="auto"/>
          <w:spacing w:val="16"/>
          <w:highlight w:val="none"/>
        </w:rPr>
        <w:t>法</w:t>
      </w:r>
      <w:r>
        <w:rPr>
          <w:color w:val="auto"/>
          <w:spacing w:val="14"/>
          <w:highlight w:val="none"/>
        </w:rPr>
        <w:t>》（财</w:t>
      </w:r>
      <w:r>
        <w:rPr>
          <w:color w:val="auto"/>
          <w:spacing w:val="17"/>
          <w:highlight w:val="none"/>
        </w:rPr>
        <w:t>库</w:t>
      </w:r>
      <w:r>
        <w:rPr>
          <w:color w:val="auto"/>
          <w:highlight w:val="none"/>
        </w:rPr>
        <w:t>[2011]181 号）的规定，本企业为</w:t>
      </w:r>
      <w:r>
        <w:rPr>
          <w:color w:val="auto"/>
          <w:highlight w:val="none"/>
          <w:u w:val="single"/>
        </w:rPr>
        <w:t xml:space="preserve"> </w:t>
      </w:r>
      <w:r>
        <w:rPr>
          <w:color w:val="auto"/>
          <w:highlight w:val="none"/>
          <w:u w:val="single"/>
        </w:rPr>
        <w:tab/>
      </w:r>
      <w:r>
        <w:rPr>
          <w:color w:val="auto"/>
          <w:highlight w:val="none"/>
        </w:rPr>
        <w:t>（请填写：中型</w:t>
      </w:r>
      <w:r>
        <w:rPr>
          <w:color w:val="auto"/>
          <w:spacing w:val="4"/>
          <w:highlight w:val="none"/>
        </w:rPr>
        <w:t>、</w:t>
      </w:r>
      <w:r>
        <w:rPr>
          <w:color w:val="auto"/>
          <w:highlight w:val="none"/>
        </w:rPr>
        <w:t>小型、微型）企业。即，本企业同时满足以下条件：</w:t>
      </w:r>
    </w:p>
    <w:p>
      <w:pPr>
        <w:pStyle w:val="19"/>
        <w:numPr>
          <w:ilvl w:val="0"/>
          <w:numId w:val="27"/>
        </w:numPr>
        <w:tabs>
          <w:tab w:val="left" w:pos="1006"/>
        </w:tabs>
        <w:spacing w:before="0" w:after="0" w:line="364" w:lineRule="auto"/>
        <w:ind w:left="283" w:right="311" w:firstLine="480"/>
        <w:jc w:val="both"/>
        <w:rPr>
          <w:color w:val="auto"/>
          <w:sz w:val="24"/>
          <w:highlight w:val="none"/>
        </w:rPr>
      </w:pPr>
      <w:r>
        <w:rPr>
          <w:color w:val="auto"/>
          <w:sz w:val="24"/>
          <w:highlight w:val="none"/>
        </w:rPr>
        <w:t>根据《工业和信息化部、国家统计局、国家发展和改革委员会、财政部关于印发中</w:t>
      </w:r>
      <w:r>
        <w:rPr>
          <w:color w:val="auto"/>
          <w:spacing w:val="4"/>
          <w:sz w:val="24"/>
          <w:highlight w:val="none"/>
        </w:rPr>
        <w:t>小企业划型标准规定的通知》（工信部联企业</w:t>
      </w:r>
      <w:r>
        <w:rPr>
          <w:color w:val="auto"/>
          <w:sz w:val="24"/>
          <w:highlight w:val="none"/>
        </w:rPr>
        <w:t>[2011]300</w:t>
      </w:r>
      <w:r>
        <w:rPr>
          <w:color w:val="auto"/>
          <w:spacing w:val="-26"/>
          <w:sz w:val="24"/>
          <w:highlight w:val="none"/>
        </w:rPr>
        <w:t xml:space="preserve"> 号</w:t>
      </w:r>
      <w:r>
        <w:rPr>
          <w:color w:val="auto"/>
          <w:spacing w:val="4"/>
          <w:sz w:val="24"/>
          <w:highlight w:val="none"/>
        </w:rPr>
        <w:t>）</w:t>
      </w:r>
      <w:r>
        <w:rPr>
          <w:color w:val="auto"/>
          <w:spacing w:val="3"/>
          <w:sz w:val="24"/>
          <w:highlight w:val="none"/>
        </w:rPr>
        <w:t>规定的划分标准，本企业为</w:t>
      </w:r>
    </w:p>
    <w:p>
      <w:pPr>
        <w:pStyle w:val="3"/>
        <w:tabs>
          <w:tab w:val="left" w:pos="1003"/>
        </w:tabs>
        <w:spacing w:line="306" w:lineRule="exact"/>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（请填写：中型、小型、微型）企业。</w:t>
      </w:r>
    </w:p>
    <w:p>
      <w:pPr>
        <w:pStyle w:val="19"/>
        <w:numPr>
          <w:ilvl w:val="0"/>
          <w:numId w:val="27"/>
        </w:numPr>
        <w:tabs>
          <w:tab w:val="left" w:pos="1008"/>
          <w:tab w:val="left" w:pos="2944"/>
          <w:tab w:val="left" w:pos="5128"/>
        </w:tabs>
        <w:spacing w:before="158" w:after="0" w:line="364" w:lineRule="auto"/>
        <w:ind w:left="283" w:right="311" w:firstLine="480"/>
        <w:jc w:val="both"/>
        <w:rPr>
          <w:color w:val="auto"/>
          <w:sz w:val="24"/>
          <w:highlight w:val="none"/>
        </w:rPr>
      </w:pPr>
      <w:r>
        <w:rPr>
          <w:color w:val="auto"/>
          <w:sz w:val="24"/>
          <w:highlight w:val="none"/>
        </w:rPr>
        <w:t>本</w:t>
      </w:r>
      <w:r>
        <w:rPr>
          <w:color w:val="auto"/>
          <w:spacing w:val="4"/>
          <w:sz w:val="24"/>
          <w:highlight w:val="none"/>
        </w:rPr>
        <w:t>企</w:t>
      </w:r>
      <w:r>
        <w:rPr>
          <w:color w:val="auto"/>
          <w:sz w:val="24"/>
          <w:highlight w:val="none"/>
        </w:rPr>
        <w:t>业参加</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pacing w:val="4"/>
          <w:sz w:val="24"/>
          <w:highlight w:val="none"/>
        </w:rPr>
        <w:t>采</w:t>
      </w:r>
      <w:r>
        <w:rPr>
          <w:color w:val="auto"/>
          <w:sz w:val="24"/>
          <w:highlight w:val="none"/>
        </w:rPr>
        <w:t>购人</w:t>
      </w:r>
      <w:r>
        <w:rPr>
          <w:color w:val="auto"/>
          <w:spacing w:val="4"/>
          <w:sz w:val="24"/>
          <w:highlight w:val="none"/>
        </w:rPr>
        <w:t>）</w:t>
      </w:r>
      <w:r>
        <w:rPr>
          <w:color w:val="auto"/>
          <w:sz w:val="24"/>
          <w:highlight w:val="none"/>
        </w:rPr>
        <w:t>的</w:t>
      </w:r>
      <w:r>
        <w:rPr>
          <w:color w:val="auto"/>
          <w:sz w:val="24"/>
          <w:highlight w:val="none"/>
          <w:u w:val="single"/>
        </w:rPr>
        <w:t xml:space="preserve"> </w:t>
      </w:r>
      <w:r>
        <w:rPr>
          <w:color w:val="auto"/>
          <w:sz w:val="24"/>
          <w:highlight w:val="none"/>
          <w:u w:val="single"/>
        </w:rPr>
        <w:tab/>
      </w:r>
      <w:r>
        <w:rPr>
          <w:color w:val="auto"/>
          <w:sz w:val="24"/>
          <w:highlight w:val="none"/>
        </w:rPr>
        <w:t>（</w:t>
      </w:r>
      <w:r>
        <w:rPr>
          <w:color w:val="auto"/>
          <w:spacing w:val="4"/>
          <w:sz w:val="24"/>
          <w:highlight w:val="none"/>
        </w:rPr>
        <w:t>项</w:t>
      </w:r>
      <w:r>
        <w:rPr>
          <w:color w:val="auto"/>
          <w:sz w:val="24"/>
          <w:highlight w:val="none"/>
        </w:rPr>
        <w:t>目名</w:t>
      </w:r>
      <w:r>
        <w:rPr>
          <w:color w:val="auto"/>
          <w:spacing w:val="4"/>
          <w:sz w:val="24"/>
          <w:highlight w:val="none"/>
        </w:rPr>
        <w:t>称</w:t>
      </w:r>
      <w:r>
        <w:rPr>
          <w:color w:val="auto"/>
          <w:sz w:val="24"/>
          <w:highlight w:val="none"/>
        </w:rPr>
        <w:t>）采</w:t>
      </w:r>
      <w:r>
        <w:rPr>
          <w:color w:val="auto"/>
          <w:spacing w:val="4"/>
          <w:sz w:val="24"/>
          <w:highlight w:val="none"/>
        </w:rPr>
        <w:t>购</w:t>
      </w:r>
      <w:r>
        <w:rPr>
          <w:color w:val="auto"/>
          <w:sz w:val="24"/>
          <w:highlight w:val="none"/>
        </w:rPr>
        <w:t>活动提</w:t>
      </w:r>
      <w:r>
        <w:rPr>
          <w:color w:val="auto"/>
          <w:spacing w:val="4"/>
          <w:sz w:val="24"/>
          <w:highlight w:val="none"/>
        </w:rPr>
        <w:t>供</w:t>
      </w:r>
      <w:r>
        <w:rPr>
          <w:color w:val="auto"/>
          <w:sz w:val="24"/>
          <w:highlight w:val="none"/>
        </w:rPr>
        <w:t>本企</w:t>
      </w:r>
      <w:r>
        <w:rPr>
          <w:color w:val="auto"/>
          <w:spacing w:val="4"/>
          <w:sz w:val="24"/>
          <w:highlight w:val="none"/>
        </w:rPr>
        <w:t>业</w:t>
      </w:r>
      <w:r>
        <w:rPr>
          <w:rFonts w:hint="eastAsia"/>
          <w:color w:val="auto"/>
          <w:sz w:val="24"/>
          <w:highlight w:val="none"/>
          <w:lang w:val="en-US" w:eastAsia="zh-CN"/>
        </w:rPr>
        <w:t>提供</w:t>
      </w:r>
      <w:r>
        <w:rPr>
          <w:color w:val="auto"/>
          <w:sz w:val="24"/>
          <w:highlight w:val="none"/>
        </w:rPr>
        <w:t>的</w:t>
      </w:r>
      <w:r>
        <w:rPr>
          <w:rFonts w:hint="eastAsia"/>
          <w:color w:val="auto"/>
          <w:sz w:val="24"/>
          <w:highlight w:val="none"/>
          <w:lang w:val="en-US" w:eastAsia="zh-CN"/>
        </w:rPr>
        <w:t>服务</w:t>
      </w:r>
      <w:r>
        <w:rPr>
          <w:color w:val="auto"/>
          <w:sz w:val="24"/>
          <w:highlight w:val="none"/>
        </w:rPr>
        <w:t>。</w:t>
      </w:r>
    </w:p>
    <w:p>
      <w:pPr>
        <w:pStyle w:val="3"/>
        <w:spacing w:line="307" w:lineRule="exact"/>
        <w:ind w:left="763"/>
        <w:rPr>
          <w:color w:val="auto"/>
          <w:highlight w:val="none"/>
        </w:rPr>
      </w:pPr>
      <w:r>
        <w:rPr>
          <w:color w:val="auto"/>
          <w:highlight w:val="none"/>
        </w:rPr>
        <w:t>本企业对上述声明的真实性负责。如有虚假，将依法承担相应责任。</w:t>
      </w:r>
    </w:p>
    <w:p>
      <w:pPr>
        <w:pStyle w:val="3"/>
        <w:ind w:left="0"/>
        <w:rPr>
          <w:color w:val="auto"/>
          <w:highlight w:val="none"/>
        </w:rPr>
      </w:pPr>
    </w:p>
    <w:p>
      <w:pPr>
        <w:pStyle w:val="3"/>
        <w:spacing w:before="10"/>
        <w:ind w:left="0"/>
        <w:rPr>
          <w:color w:val="auto"/>
          <w:highlight w:val="none"/>
        </w:rPr>
      </w:pPr>
    </w:p>
    <w:p>
      <w:pPr>
        <w:pStyle w:val="3"/>
        <w:tabs>
          <w:tab w:val="left" w:pos="1963"/>
          <w:tab w:val="left" w:pos="2563"/>
          <w:tab w:val="left" w:pos="3163"/>
        </w:tabs>
        <w:spacing w:before="1" w:line="362" w:lineRule="auto"/>
        <w:ind w:left="763" w:right="6654"/>
        <w:rPr>
          <w:color w:val="auto"/>
          <w:highlight w:val="none"/>
        </w:rPr>
      </w:pPr>
      <w:r>
        <w:rPr>
          <w:color w:val="auto"/>
          <w:highlight w:val="none"/>
        </w:rPr>
        <w:t>磋商供应商（盖章）：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spacing w:before="1"/>
        <w:ind w:left="0"/>
        <w:rPr>
          <w:color w:val="auto"/>
          <w:sz w:val="26"/>
          <w:highlight w:val="none"/>
        </w:rPr>
      </w:pPr>
    </w:p>
    <w:p>
      <w:pPr>
        <w:pStyle w:val="9"/>
        <w:rPr>
          <w:color w:val="auto"/>
          <w:highlight w:val="none"/>
        </w:rPr>
      </w:pPr>
      <w:r>
        <w:rPr>
          <w:color w:val="auto"/>
          <w:highlight w:val="none"/>
        </w:rPr>
        <w:t>注：声明函应按上述内容及格式填写，不得修改。</w:t>
      </w:r>
    </w:p>
    <w:p>
      <w:pPr>
        <w:spacing w:after="0"/>
        <w:rPr>
          <w:color w:val="auto"/>
          <w:highlight w:val="none"/>
        </w:rPr>
        <w:sectPr>
          <w:pgSz w:w="11900" w:h="16840"/>
          <w:pgMar w:top="1100" w:right="820" w:bottom="800" w:left="1020" w:header="0" w:footer="609" w:gutter="0"/>
        </w:sectPr>
      </w:pPr>
    </w:p>
    <w:p>
      <w:pPr>
        <w:spacing w:before="37"/>
        <w:ind w:left="0" w:right="30" w:firstLine="0"/>
        <w:jc w:val="center"/>
        <w:outlineLvl w:val="0"/>
        <w:rPr>
          <w:b/>
          <w:color w:val="auto"/>
          <w:sz w:val="28"/>
          <w:highlight w:val="none"/>
        </w:rPr>
      </w:pPr>
      <w:bookmarkStart w:id="159" w:name="_Toc20462"/>
      <w:r>
        <w:rPr>
          <w:b/>
          <w:color w:val="auto"/>
          <w:spacing w:val="-1"/>
          <w:w w:val="95"/>
          <w:sz w:val="28"/>
          <w:highlight w:val="none"/>
        </w:rPr>
        <w:t>《残疾人福利性单位声明函》</w:t>
      </w:r>
      <w:bookmarkEnd w:id="159"/>
    </w:p>
    <w:p>
      <w:pPr>
        <w:pStyle w:val="3"/>
        <w:spacing w:before="185"/>
        <w:ind w:left="0" w:right="27"/>
        <w:jc w:val="center"/>
        <w:outlineLvl w:val="1"/>
        <w:rPr>
          <w:color w:val="auto"/>
          <w:highlight w:val="none"/>
        </w:rPr>
      </w:pPr>
      <w:bookmarkStart w:id="160" w:name="_Toc10871"/>
      <w:r>
        <w:rPr>
          <w:color w:val="auto"/>
          <w:highlight w:val="none"/>
        </w:rPr>
        <w:t>（非残疾人福利性单位不用提供）</w:t>
      </w:r>
      <w:bookmarkEnd w:id="160"/>
    </w:p>
    <w:p>
      <w:pPr>
        <w:pStyle w:val="3"/>
        <w:ind w:left="0"/>
        <w:rPr>
          <w:color w:val="auto"/>
          <w:highlight w:val="none"/>
        </w:rPr>
      </w:pPr>
    </w:p>
    <w:p>
      <w:pPr>
        <w:pStyle w:val="3"/>
        <w:spacing w:before="11"/>
        <w:ind w:left="0"/>
        <w:rPr>
          <w:color w:val="auto"/>
          <w:highlight w:val="none"/>
        </w:rPr>
      </w:pPr>
    </w:p>
    <w:p>
      <w:pPr>
        <w:pStyle w:val="3"/>
        <w:tabs>
          <w:tab w:val="left" w:pos="3194"/>
          <w:tab w:val="left" w:pos="5375"/>
        </w:tabs>
        <w:spacing w:line="364" w:lineRule="auto"/>
        <w:ind w:right="311" w:firstLine="602"/>
        <w:jc w:val="both"/>
        <w:rPr>
          <w:color w:val="auto"/>
          <w:highlight w:val="none"/>
        </w:rPr>
      </w:pPr>
      <w:r>
        <w:rPr>
          <w:color w:val="auto"/>
          <w:spacing w:val="7"/>
          <w:highlight w:val="none"/>
        </w:rPr>
        <w:t>本</w:t>
      </w:r>
      <w:r>
        <w:rPr>
          <w:color w:val="auto"/>
          <w:spacing w:val="4"/>
          <w:highlight w:val="none"/>
        </w:rPr>
        <w:t>单</w:t>
      </w:r>
      <w:r>
        <w:rPr>
          <w:color w:val="auto"/>
          <w:spacing w:val="7"/>
          <w:highlight w:val="none"/>
        </w:rPr>
        <w:t>位</w:t>
      </w:r>
      <w:r>
        <w:rPr>
          <w:color w:val="auto"/>
          <w:spacing w:val="4"/>
          <w:highlight w:val="none"/>
        </w:rPr>
        <w:t>郑</w:t>
      </w:r>
      <w:r>
        <w:rPr>
          <w:color w:val="auto"/>
          <w:spacing w:val="7"/>
          <w:highlight w:val="none"/>
        </w:rPr>
        <w:t>重</w:t>
      </w:r>
      <w:r>
        <w:rPr>
          <w:color w:val="auto"/>
          <w:spacing w:val="4"/>
          <w:highlight w:val="none"/>
        </w:rPr>
        <w:t>声</w:t>
      </w:r>
      <w:r>
        <w:rPr>
          <w:color w:val="auto"/>
          <w:spacing w:val="7"/>
          <w:highlight w:val="none"/>
        </w:rPr>
        <w:t>明</w:t>
      </w:r>
      <w:r>
        <w:rPr>
          <w:color w:val="auto"/>
          <w:spacing w:val="4"/>
          <w:highlight w:val="none"/>
        </w:rPr>
        <w:t>，</w:t>
      </w:r>
      <w:r>
        <w:rPr>
          <w:color w:val="auto"/>
          <w:spacing w:val="7"/>
          <w:highlight w:val="none"/>
        </w:rPr>
        <w:t>根据</w:t>
      </w:r>
      <w:r>
        <w:rPr>
          <w:color w:val="auto"/>
          <w:spacing w:val="4"/>
          <w:highlight w:val="none"/>
        </w:rPr>
        <w:t>《</w:t>
      </w:r>
      <w:r>
        <w:rPr>
          <w:color w:val="auto"/>
          <w:spacing w:val="7"/>
          <w:highlight w:val="none"/>
        </w:rPr>
        <w:t>财</w:t>
      </w:r>
      <w:r>
        <w:rPr>
          <w:color w:val="auto"/>
          <w:spacing w:val="4"/>
          <w:highlight w:val="none"/>
        </w:rPr>
        <w:t>政</w:t>
      </w:r>
      <w:r>
        <w:rPr>
          <w:color w:val="auto"/>
          <w:highlight w:val="none"/>
        </w:rPr>
        <w:t>部</w:t>
      </w:r>
      <w:r>
        <w:rPr>
          <w:color w:val="auto"/>
          <w:spacing w:val="12"/>
          <w:highlight w:val="none"/>
        </w:rPr>
        <w:t xml:space="preserve"> </w:t>
      </w:r>
      <w:r>
        <w:rPr>
          <w:color w:val="auto"/>
          <w:spacing w:val="7"/>
          <w:highlight w:val="none"/>
        </w:rPr>
        <w:t>民</w:t>
      </w:r>
      <w:r>
        <w:rPr>
          <w:color w:val="auto"/>
          <w:spacing w:val="4"/>
          <w:highlight w:val="none"/>
        </w:rPr>
        <w:t>政</w:t>
      </w:r>
      <w:r>
        <w:rPr>
          <w:color w:val="auto"/>
          <w:highlight w:val="none"/>
        </w:rPr>
        <w:t>部</w:t>
      </w:r>
      <w:r>
        <w:rPr>
          <w:color w:val="auto"/>
          <w:spacing w:val="12"/>
          <w:highlight w:val="none"/>
        </w:rPr>
        <w:t xml:space="preserve"> </w:t>
      </w:r>
      <w:r>
        <w:rPr>
          <w:color w:val="auto"/>
          <w:spacing w:val="7"/>
          <w:highlight w:val="none"/>
        </w:rPr>
        <w:t>中</w:t>
      </w:r>
      <w:r>
        <w:rPr>
          <w:color w:val="auto"/>
          <w:spacing w:val="4"/>
          <w:highlight w:val="none"/>
        </w:rPr>
        <w:t>国</w:t>
      </w:r>
      <w:r>
        <w:rPr>
          <w:color w:val="auto"/>
          <w:spacing w:val="7"/>
          <w:highlight w:val="none"/>
        </w:rPr>
        <w:t>残</w:t>
      </w:r>
      <w:r>
        <w:rPr>
          <w:color w:val="auto"/>
          <w:spacing w:val="4"/>
          <w:highlight w:val="none"/>
        </w:rPr>
        <w:t>疾</w:t>
      </w:r>
      <w:r>
        <w:rPr>
          <w:color w:val="auto"/>
          <w:spacing w:val="7"/>
          <w:highlight w:val="none"/>
        </w:rPr>
        <w:t>人</w:t>
      </w:r>
      <w:r>
        <w:rPr>
          <w:color w:val="auto"/>
          <w:spacing w:val="4"/>
          <w:highlight w:val="none"/>
        </w:rPr>
        <w:t>联</w:t>
      </w:r>
      <w:r>
        <w:rPr>
          <w:color w:val="auto"/>
          <w:spacing w:val="7"/>
          <w:highlight w:val="none"/>
        </w:rPr>
        <w:t>合</w:t>
      </w:r>
      <w:r>
        <w:rPr>
          <w:color w:val="auto"/>
          <w:spacing w:val="4"/>
          <w:highlight w:val="none"/>
        </w:rPr>
        <w:t>会</w:t>
      </w:r>
      <w:r>
        <w:rPr>
          <w:color w:val="auto"/>
          <w:spacing w:val="7"/>
          <w:highlight w:val="none"/>
        </w:rPr>
        <w:t>关于</w:t>
      </w:r>
      <w:r>
        <w:rPr>
          <w:color w:val="auto"/>
          <w:spacing w:val="4"/>
          <w:highlight w:val="none"/>
        </w:rPr>
        <w:t>促</w:t>
      </w:r>
      <w:r>
        <w:rPr>
          <w:color w:val="auto"/>
          <w:spacing w:val="7"/>
          <w:highlight w:val="none"/>
        </w:rPr>
        <w:t>进</w:t>
      </w:r>
      <w:r>
        <w:rPr>
          <w:color w:val="auto"/>
          <w:spacing w:val="4"/>
          <w:highlight w:val="none"/>
        </w:rPr>
        <w:t>残</w:t>
      </w:r>
      <w:r>
        <w:rPr>
          <w:color w:val="auto"/>
          <w:spacing w:val="7"/>
          <w:highlight w:val="none"/>
        </w:rPr>
        <w:t>疾</w:t>
      </w:r>
      <w:r>
        <w:rPr>
          <w:color w:val="auto"/>
          <w:spacing w:val="4"/>
          <w:highlight w:val="none"/>
        </w:rPr>
        <w:t>人</w:t>
      </w:r>
      <w:r>
        <w:rPr>
          <w:color w:val="auto"/>
          <w:spacing w:val="7"/>
          <w:highlight w:val="none"/>
        </w:rPr>
        <w:t>就</w:t>
      </w:r>
      <w:r>
        <w:rPr>
          <w:color w:val="auto"/>
          <w:spacing w:val="4"/>
          <w:highlight w:val="none"/>
        </w:rPr>
        <w:t>业</w:t>
      </w:r>
      <w:r>
        <w:rPr>
          <w:color w:val="auto"/>
          <w:highlight w:val="none"/>
        </w:rPr>
        <w:t>政</w:t>
      </w:r>
      <w:r>
        <w:rPr>
          <w:color w:val="auto"/>
          <w:spacing w:val="4"/>
          <w:highlight w:val="none"/>
        </w:rPr>
        <w:t>府采购</w:t>
      </w:r>
      <w:r>
        <w:rPr>
          <w:color w:val="auto"/>
          <w:highlight w:val="none"/>
        </w:rPr>
        <w:t>政</w:t>
      </w:r>
      <w:r>
        <w:rPr>
          <w:color w:val="auto"/>
          <w:spacing w:val="4"/>
          <w:highlight w:val="none"/>
        </w:rPr>
        <w:t>策的通知》（财</w:t>
      </w:r>
      <w:r>
        <w:rPr>
          <w:color w:val="auto"/>
          <w:highlight w:val="none"/>
        </w:rPr>
        <w:t>库</w:t>
      </w:r>
      <w:r>
        <w:rPr>
          <w:color w:val="auto"/>
          <w:spacing w:val="4"/>
          <w:highlight w:val="none"/>
        </w:rPr>
        <w:t>〔</w:t>
      </w:r>
      <w:r>
        <w:rPr>
          <w:color w:val="auto"/>
          <w:highlight w:val="none"/>
        </w:rPr>
        <w:t>2017〕141</w:t>
      </w:r>
      <w:r>
        <w:rPr>
          <w:color w:val="auto"/>
          <w:spacing w:val="-44"/>
          <w:highlight w:val="none"/>
        </w:rPr>
        <w:t xml:space="preserve"> </w:t>
      </w:r>
      <w:r>
        <w:rPr>
          <w:color w:val="auto"/>
          <w:spacing w:val="4"/>
          <w:highlight w:val="none"/>
        </w:rPr>
        <w:t>号）的</w:t>
      </w:r>
      <w:r>
        <w:rPr>
          <w:color w:val="auto"/>
          <w:highlight w:val="none"/>
        </w:rPr>
        <w:t>规</w:t>
      </w:r>
      <w:r>
        <w:rPr>
          <w:color w:val="auto"/>
          <w:spacing w:val="4"/>
          <w:highlight w:val="none"/>
        </w:rPr>
        <w:t>定，本单位为符</w:t>
      </w:r>
      <w:r>
        <w:rPr>
          <w:color w:val="auto"/>
          <w:highlight w:val="none"/>
        </w:rPr>
        <w:t>合</w:t>
      </w:r>
      <w:r>
        <w:rPr>
          <w:color w:val="auto"/>
          <w:spacing w:val="4"/>
          <w:highlight w:val="none"/>
        </w:rPr>
        <w:t>条件的残疾人福</w:t>
      </w:r>
      <w:r>
        <w:rPr>
          <w:color w:val="auto"/>
          <w:highlight w:val="none"/>
        </w:rPr>
        <w:t>利性单位</w:t>
      </w:r>
      <w:r>
        <w:rPr>
          <w:color w:val="auto"/>
          <w:spacing w:val="4"/>
          <w:highlight w:val="none"/>
        </w:rPr>
        <w:t>，</w:t>
      </w:r>
      <w:r>
        <w:rPr>
          <w:color w:val="auto"/>
          <w:highlight w:val="none"/>
        </w:rPr>
        <w:t>且本单</w:t>
      </w:r>
      <w:r>
        <w:rPr>
          <w:color w:val="auto"/>
          <w:spacing w:val="4"/>
          <w:highlight w:val="none"/>
        </w:rPr>
        <w:t>位</w:t>
      </w:r>
      <w:r>
        <w:rPr>
          <w:color w:val="auto"/>
          <w:highlight w:val="none"/>
        </w:rPr>
        <w:t>参</w:t>
      </w:r>
      <w:r>
        <w:rPr>
          <w:color w:val="auto"/>
          <w:spacing w:val="4"/>
          <w:highlight w:val="none"/>
        </w:rPr>
        <w:t>加</w:t>
      </w:r>
      <w:r>
        <w:rPr>
          <w:color w:val="auto"/>
          <w:spacing w:val="4"/>
          <w:highlight w:val="none"/>
          <w:u w:val="single"/>
        </w:rPr>
        <w:t xml:space="preserve"> </w:t>
      </w:r>
      <w:r>
        <w:rPr>
          <w:color w:val="auto"/>
          <w:spacing w:val="4"/>
          <w:highlight w:val="none"/>
          <w:u w:val="single"/>
        </w:rPr>
        <w:tab/>
      </w:r>
      <w:r>
        <w:rPr>
          <w:color w:val="auto"/>
          <w:highlight w:val="none"/>
        </w:rPr>
        <w:t>（采</w:t>
      </w:r>
      <w:r>
        <w:rPr>
          <w:color w:val="auto"/>
          <w:spacing w:val="4"/>
          <w:highlight w:val="none"/>
        </w:rPr>
        <w:t>购</w:t>
      </w:r>
      <w:r>
        <w:rPr>
          <w:color w:val="auto"/>
          <w:highlight w:val="none"/>
        </w:rPr>
        <w:t>人）的</w:t>
      </w:r>
      <w:r>
        <w:rPr>
          <w:color w:val="auto"/>
          <w:highlight w:val="none"/>
          <w:u w:val="single"/>
        </w:rPr>
        <w:t xml:space="preserve"> </w:t>
      </w:r>
      <w:r>
        <w:rPr>
          <w:color w:val="auto"/>
          <w:highlight w:val="none"/>
          <w:u w:val="single"/>
        </w:rPr>
        <w:tab/>
      </w:r>
      <w:r>
        <w:rPr>
          <w:color w:val="auto"/>
          <w:highlight w:val="none"/>
        </w:rPr>
        <w:t>项目（项</w:t>
      </w:r>
      <w:r>
        <w:rPr>
          <w:color w:val="auto"/>
          <w:spacing w:val="4"/>
          <w:highlight w:val="none"/>
        </w:rPr>
        <w:t>目</w:t>
      </w:r>
      <w:r>
        <w:rPr>
          <w:color w:val="auto"/>
          <w:highlight w:val="none"/>
        </w:rPr>
        <w:t>名称</w:t>
      </w:r>
      <w:r>
        <w:rPr>
          <w:color w:val="auto"/>
          <w:spacing w:val="4"/>
          <w:highlight w:val="none"/>
        </w:rPr>
        <w:t>）</w:t>
      </w:r>
      <w:r>
        <w:rPr>
          <w:color w:val="auto"/>
          <w:highlight w:val="none"/>
        </w:rPr>
        <w:t>采购</w:t>
      </w:r>
      <w:r>
        <w:rPr>
          <w:color w:val="auto"/>
          <w:spacing w:val="4"/>
          <w:highlight w:val="none"/>
        </w:rPr>
        <w:t>活</w:t>
      </w:r>
      <w:r>
        <w:rPr>
          <w:color w:val="auto"/>
          <w:highlight w:val="none"/>
        </w:rPr>
        <w:t>动提供</w:t>
      </w:r>
      <w:r>
        <w:rPr>
          <w:color w:val="auto"/>
          <w:spacing w:val="4"/>
          <w:highlight w:val="none"/>
        </w:rPr>
        <w:t>本</w:t>
      </w:r>
      <w:r>
        <w:rPr>
          <w:color w:val="auto"/>
          <w:highlight w:val="none"/>
        </w:rPr>
        <w:t>单位制</w:t>
      </w:r>
      <w:r>
        <w:rPr>
          <w:color w:val="auto"/>
          <w:spacing w:val="4"/>
          <w:highlight w:val="none"/>
        </w:rPr>
        <w:t>造</w:t>
      </w:r>
      <w:r>
        <w:rPr>
          <w:color w:val="auto"/>
          <w:spacing w:val="7"/>
          <w:highlight w:val="none"/>
        </w:rPr>
        <w:t>的</w:t>
      </w:r>
      <w:r>
        <w:rPr>
          <w:color w:val="auto"/>
          <w:spacing w:val="4"/>
          <w:highlight w:val="none"/>
        </w:rPr>
        <w:t>货</w:t>
      </w:r>
      <w:r>
        <w:rPr>
          <w:color w:val="auto"/>
          <w:spacing w:val="7"/>
          <w:highlight w:val="none"/>
        </w:rPr>
        <w:t>物</w:t>
      </w:r>
      <w:r>
        <w:rPr>
          <w:color w:val="auto"/>
          <w:spacing w:val="4"/>
          <w:highlight w:val="none"/>
        </w:rPr>
        <w:t>（</w:t>
      </w:r>
      <w:r>
        <w:rPr>
          <w:color w:val="auto"/>
          <w:spacing w:val="7"/>
          <w:highlight w:val="none"/>
        </w:rPr>
        <w:t>由</w:t>
      </w:r>
      <w:r>
        <w:rPr>
          <w:color w:val="auto"/>
          <w:spacing w:val="4"/>
          <w:highlight w:val="none"/>
        </w:rPr>
        <w:t>本单</w:t>
      </w:r>
      <w:r>
        <w:rPr>
          <w:color w:val="auto"/>
          <w:spacing w:val="7"/>
          <w:highlight w:val="none"/>
        </w:rPr>
        <w:t>位</w:t>
      </w:r>
      <w:r>
        <w:rPr>
          <w:color w:val="auto"/>
          <w:spacing w:val="4"/>
          <w:highlight w:val="none"/>
        </w:rPr>
        <w:t>承</w:t>
      </w:r>
      <w:r>
        <w:rPr>
          <w:color w:val="auto"/>
          <w:spacing w:val="7"/>
          <w:highlight w:val="none"/>
        </w:rPr>
        <w:t>担</w:t>
      </w:r>
      <w:r>
        <w:rPr>
          <w:color w:val="auto"/>
          <w:spacing w:val="4"/>
          <w:highlight w:val="none"/>
        </w:rPr>
        <w:t>工</w:t>
      </w:r>
      <w:r>
        <w:rPr>
          <w:color w:val="auto"/>
          <w:spacing w:val="7"/>
          <w:highlight w:val="none"/>
        </w:rPr>
        <w:t>程</w:t>
      </w:r>
      <w:r>
        <w:rPr>
          <w:color w:val="auto"/>
          <w:spacing w:val="4"/>
          <w:highlight w:val="none"/>
        </w:rPr>
        <w:t>/提</w:t>
      </w:r>
      <w:r>
        <w:rPr>
          <w:color w:val="auto"/>
          <w:spacing w:val="7"/>
          <w:highlight w:val="none"/>
        </w:rPr>
        <w:t>供</w:t>
      </w:r>
      <w:r>
        <w:rPr>
          <w:color w:val="auto"/>
          <w:spacing w:val="4"/>
          <w:highlight w:val="none"/>
        </w:rPr>
        <w:t>服</w:t>
      </w:r>
      <w:r>
        <w:rPr>
          <w:color w:val="auto"/>
          <w:spacing w:val="7"/>
          <w:highlight w:val="none"/>
        </w:rPr>
        <w:t>务</w:t>
      </w:r>
      <w:r>
        <w:rPr>
          <w:color w:val="auto"/>
          <w:spacing w:val="5"/>
          <w:highlight w:val="none"/>
        </w:rPr>
        <w:t>），</w:t>
      </w:r>
      <w:r>
        <w:rPr>
          <w:color w:val="auto"/>
          <w:spacing w:val="4"/>
          <w:highlight w:val="none"/>
        </w:rPr>
        <w:t>或者</w:t>
      </w:r>
      <w:r>
        <w:rPr>
          <w:color w:val="auto"/>
          <w:spacing w:val="7"/>
          <w:highlight w:val="none"/>
        </w:rPr>
        <w:t>提</w:t>
      </w:r>
      <w:r>
        <w:rPr>
          <w:color w:val="auto"/>
          <w:spacing w:val="4"/>
          <w:highlight w:val="none"/>
        </w:rPr>
        <w:t>供</w:t>
      </w:r>
      <w:r>
        <w:rPr>
          <w:color w:val="auto"/>
          <w:spacing w:val="7"/>
          <w:highlight w:val="none"/>
        </w:rPr>
        <w:t>其</w:t>
      </w:r>
      <w:r>
        <w:rPr>
          <w:color w:val="auto"/>
          <w:spacing w:val="4"/>
          <w:highlight w:val="none"/>
        </w:rPr>
        <w:t>他</w:t>
      </w:r>
      <w:r>
        <w:rPr>
          <w:color w:val="auto"/>
          <w:spacing w:val="7"/>
          <w:highlight w:val="none"/>
        </w:rPr>
        <w:t>残</w:t>
      </w:r>
      <w:r>
        <w:rPr>
          <w:color w:val="auto"/>
          <w:spacing w:val="4"/>
          <w:highlight w:val="none"/>
        </w:rPr>
        <w:t>疾</w:t>
      </w:r>
      <w:r>
        <w:rPr>
          <w:color w:val="auto"/>
          <w:spacing w:val="7"/>
          <w:highlight w:val="none"/>
        </w:rPr>
        <w:t>人</w:t>
      </w:r>
      <w:r>
        <w:rPr>
          <w:color w:val="auto"/>
          <w:spacing w:val="4"/>
          <w:highlight w:val="none"/>
        </w:rPr>
        <w:t>福利</w:t>
      </w:r>
      <w:r>
        <w:rPr>
          <w:color w:val="auto"/>
          <w:spacing w:val="7"/>
          <w:highlight w:val="none"/>
        </w:rPr>
        <w:t>性</w:t>
      </w:r>
      <w:r>
        <w:rPr>
          <w:color w:val="auto"/>
          <w:spacing w:val="4"/>
          <w:highlight w:val="none"/>
        </w:rPr>
        <w:t>单</w:t>
      </w:r>
      <w:r>
        <w:rPr>
          <w:color w:val="auto"/>
          <w:spacing w:val="7"/>
          <w:highlight w:val="none"/>
        </w:rPr>
        <w:t>位</w:t>
      </w:r>
      <w:r>
        <w:rPr>
          <w:color w:val="auto"/>
          <w:spacing w:val="4"/>
          <w:highlight w:val="none"/>
        </w:rPr>
        <w:t>制</w:t>
      </w:r>
      <w:r>
        <w:rPr>
          <w:color w:val="auto"/>
          <w:spacing w:val="7"/>
          <w:highlight w:val="none"/>
        </w:rPr>
        <w:t>造</w:t>
      </w:r>
      <w:r>
        <w:rPr>
          <w:color w:val="auto"/>
          <w:spacing w:val="4"/>
          <w:highlight w:val="none"/>
        </w:rPr>
        <w:t>的货</w:t>
      </w:r>
      <w:r>
        <w:rPr>
          <w:color w:val="auto"/>
          <w:highlight w:val="none"/>
        </w:rPr>
        <w:t>物</w:t>
      </w:r>
    </w:p>
    <w:p>
      <w:pPr>
        <w:pStyle w:val="3"/>
        <w:spacing w:line="305" w:lineRule="exact"/>
        <w:rPr>
          <w:color w:val="auto"/>
          <w:highlight w:val="none"/>
        </w:rPr>
      </w:pPr>
      <w:r>
        <w:rPr>
          <w:color w:val="auto"/>
          <w:highlight w:val="none"/>
        </w:rPr>
        <w:t>（不包括使用非残疾人福利性单位注册商标的货物）。</w:t>
      </w:r>
    </w:p>
    <w:p>
      <w:pPr>
        <w:pStyle w:val="3"/>
        <w:spacing w:before="158"/>
        <w:ind w:left="883"/>
        <w:rPr>
          <w:color w:val="auto"/>
          <w:highlight w:val="none"/>
        </w:rPr>
      </w:pPr>
      <w:r>
        <w:rPr>
          <w:color w:val="auto"/>
          <w:highlight w:val="none"/>
        </w:rPr>
        <w:t>本单位对上述声明的真实性负责。如有虚假，将依法承担相应责任。</w:t>
      </w: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spacing w:before="12"/>
        <w:ind w:left="0"/>
        <w:rPr>
          <w:color w:val="auto"/>
          <w:sz w:val="25"/>
          <w:highlight w:val="none"/>
        </w:rPr>
      </w:pPr>
    </w:p>
    <w:p>
      <w:pPr>
        <w:pStyle w:val="3"/>
        <w:tabs>
          <w:tab w:val="left" w:pos="763"/>
        </w:tabs>
        <w:spacing w:line="362" w:lineRule="auto"/>
        <w:ind w:right="7374"/>
        <w:rPr>
          <w:color w:val="auto"/>
          <w:highlight w:val="none"/>
        </w:rPr>
      </w:pPr>
      <w:r>
        <w:rPr>
          <w:color w:val="auto"/>
          <w:highlight w:val="none"/>
        </w:rPr>
        <w:t>磋商供应商（盖章</w:t>
      </w:r>
      <w:r>
        <w:rPr>
          <w:color w:val="auto"/>
          <w:spacing w:val="-9"/>
          <w:highlight w:val="none"/>
        </w:rPr>
        <w:t xml:space="preserve">）： </w:t>
      </w:r>
      <w:r>
        <w:rPr>
          <w:color w:val="auto"/>
          <w:highlight w:val="none"/>
        </w:rPr>
        <w:t>日</w:t>
      </w:r>
      <w:r>
        <w:rPr>
          <w:color w:val="auto"/>
          <w:highlight w:val="none"/>
        </w:rPr>
        <w:tab/>
      </w:r>
      <w:r>
        <w:rPr>
          <w:color w:val="auto"/>
          <w:highlight w:val="none"/>
        </w:rPr>
        <w:t>期：</w:t>
      </w: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sz w:val="27"/>
          <w:highlight w:val="none"/>
        </w:rPr>
      </w:pPr>
    </w:p>
    <w:p>
      <w:pPr>
        <w:pStyle w:val="9"/>
        <w:rPr>
          <w:color w:val="auto"/>
          <w:highlight w:val="none"/>
        </w:rPr>
      </w:pPr>
      <w:r>
        <w:rPr>
          <w:color w:val="auto"/>
          <w:highlight w:val="none"/>
        </w:rPr>
        <w:t>注：声明函应按上述内容及格式填写，不得修改。</w:t>
      </w:r>
    </w:p>
    <w:p>
      <w:pPr>
        <w:spacing w:after="0"/>
        <w:rPr>
          <w:color w:val="auto"/>
          <w:highlight w:val="none"/>
        </w:rPr>
        <w:sectPr>
          <w:pgSz w:w="11900" w:h="16840"/>
          <w:pgMar w:top="1100" w:right="820" w:bottom="800" w:left="1020" w:header="0" w:footer="609" w:gutter="0"/>
        </w:sectPr>
      </w:pPr>
    </w:p>
    <w:p>
      <w:pPr>
        <w:tabs>
          <w:tab w:val="left" w:pos="7672"/>
        </w:tabs>
        <w:spacing w:before="38"/>
        <w:ind w:left="283" w:right="0" w:firstLine="0"/>
        <w:jc w:val="left"/>
        <w:outlineLvl w:val="1"/>
        <w:rPr>
          <w:b/>
          <w:color w:val="auto"/>
          <w:sz w:val="32"/>
          <w:highlight w:val="none"/>
        </w:rPr>
      </w:pPr>
      <w:bookmarkStart w:id="161" w:name="_Toc9908"/>
      <w:r>
        <w:rPr>
          <w:b/>
          <w:color w:val="auto"/>
          <w:sz w:val="32"/>
          <w:highlight w:val="none"/>
        </w:rPr>
        <w:t>封面</w:t>
      </w:r>
      <w:r>
        <w:rPr>
          <w:b/>
          <w:color w:val="auto"/>
          <w:sz w:val="32"/>
          <w:highlight w:val="none"/>
        </w:rPr>
        <w:tab/>
      </w:r>
      <w:r>
        <w:rPr>
          <w:b/>
          <w:color w:val="auto"/>
          <w:sz w:val="32"/>
          <w:highlight w:val="none"/>
        </w:rPr>
        <w:t>正本（副本）</w:t>
      </w:r>
      <w:bookmarkEnd w:id="161"/>
    </w:p>
    <w:p>
      <w:pPr>
        <w:pStyle w:val="3"/>
        <w:ind w:left="0"/>
        <w:rPr>
          <w:b/>
          <w:color w:val="auto"/>
          <w:sz w:val="32"/>
          <w:highlight w:val="none"/>
        </w:rPr>
      </w:pPr>
    </w:p>
    <w:p>
      <w:pPr>
        <w:pStyle w:val="3"/>
        <w:ind w:left="0"/>
        <w:rPr>
          <w:b/>
          <w:color w:val="auto"/>
          <w:sz w:val="32"/>
          <w:highlight w:val="none"/>
        </w:rPr>
      </w:pPr>
    </w:p>
    <w:p>
      <w:pPr>
        <w:pStyle w:val="3"/>
        <w:ind w:left="0"/>
        <w:rPr>
          <w:b/>
          <w:color w:val="auto"/>
          <w:sz w:val="32"/>
          <w:highlight w:val="none"/>
        </w:rPr>
      </w:pPr>
    </w:p>
    <w:p>
      <w:pPr>
        <w:pStyle w:val="3"/>
        <w:spacing w:before="2"/>
        <w:ind w:left="0"/>
        <w:rPr>
          <w:b/>
          <w:color w:val="auto"/>
          <w:sz w:val="34"/>
          <w:highlight w:val="none"/>
        </w:rPr>
      </w:pPr>
    </w:p>
    <w:p>
      <w:pPr>
        <w:spacing w:before="1" w:line="628" w:lineRule="auto"/>
        <w:ind w:left="3251" w:right="3275" w:firstLine="0"/>
        <w:jc w:val="center"/>
        <w:rPr>
          <w:b/>
          <w:color w:val="auto"/>
          <w:sz w:val="44"/>
          <w:highlight w:val="none"/>
        </w:rPr>
      </w:pPr>
      <w:r>
        <w:rPr>
          <w:rFonts w:hint="eastAsia"/>
          <w:b/>
          <w:color w:val="auto"/>
          <w:w w:val="95"/>
          <w:sz w:val="44"/>
          <w:highlight w:val="none"/>
          <w:lang w:eastAsia="zh-CN"/>
        </w:rPr>
        <w:t>2022年亚运会餐饮服务规划和安全保障研究</w:t>
      </w:r>
      <w:r>
        <w:rPr>
          <w:b/>
          <w:color w:val="auto"/>
          <w:sz w:val="44"/>
          <w:highlight w:val="none"/>
        </w:rPr>
        <w:t>技术商务</w:t>
      </w:r>
      <w:r>
        <w:rPr>
          <w:rFonts w:hint="eastAsia"/>
          <w:b/>
          <w:color w:val="auto"/>
          <w:sz w:val="44"/>
          <w:highlight w:val="none"/>
          <w:lang w:val="en-US" w:eastAsia="zh-CN"/>
        </w:rPr>
        <w:t>文</w:t>
      </w:r>
      <w:r>
        <w:rPr>
          <w:b/>
          <w:color w:val="auto"/>
          <w:sz w:val="44"/>
          <w:highlight w:val="none"/>
        </w:rPr>
        <w:t>件</w:t>
      </w:r>
    </w:p>
    <w:p>
      <w:pPr>
        <w:spacing w:before="1"/>
        <w:ind w:left="1831" w:right="0" w:firstLine="0"/>
        <w:jc w:val="left"/>
        <w:rPr>
          <w:b/>
          <w:color w:val="auto"/>
          <w:sz w:val="30"/>
          <w:highlight w:val="none"/>
        </w:rPr>
      </w:pPr>
      <w:r>
        <w:rPr>
          <w:b/>
          <w:color w:val="auto"/>
          <w:sz w:val="30"/>
          <w:highlight w:val="none"/>
        </w:rPr>
        <w:t>项目编号：</w:t>
      </w:r>
    </w:p>
    <w:p>
      <w:pPr>
        <w:tabs>
          <w:tab w:val="left" w:pos="2735"/>
          <w:tab w:val="left" w:pos="5332"/>
        </w:tabs>
        <w:spacing w:before="201"/>
        <w:ind w:left="1831" w:right="0" w:firstLine="0"/>
        <w:jc w:val="left"/>
        <w:rPr>
          <w:b/>
          <w:color w:val="auto"/>
          <w:sz w:val="30"/>
          <w:highlight w:val="none"/>
        </w:rPr>
      </w:pPr>
      <w:r>
        <w:rPr>
          <w:b/>
          <w:color w:val="auto"/>
          <w:sz w:val="30"/>
          <w:highlight w:val="none"/>
        </w:rPr>
        <w:t>包</w:t>
      </w:r>
      <w:r>
        <w:rPr>
          <w:b/>
          <w:color w:val="auto"/>
          <w:sz w:val="30"/>
          <w:highlight w:val="none"/>
        </w:rPr>
        <w:tab/>
      </w:r>
      <w:r>
        <w:rPr>
          <w:b/>
          <w:color w:val="auto"/>
          <w:sz w:val="30"/>
          <w:highlight w:val="none"/>
        </w:rPr>
        <w:t>号：</w:t>
      </w:r>
      <w:r>
        <w:rPr>
          <w:b/>
          <w:color w:val="auto"/>
          <w:sz w:val="30"/>
          <w:highlight w:val="none"/>
        </w:rPr>
        <w:tab/>
      </w:r>
      <w:r>
        <w:rPr>
          <w:b/>
          <w:color w:val="auto"/>
          <w:w w:val="95"/>
          <w:sz w:val="30"/>
          <w:highlight w:val="none"/>
        </w:rPr>
        <w:t>（如有）</w:t>
      </w:r>
    </w:p>
    <w:p>
      <w:pPr>
        <w:tabs>
          <w:tab w:val="left" w:pos="5332"/>
        </w:tabs>
        <w:spacing w:before="199"/>
        <w:ind w:left="1831" w:right="0" w:firstLine="0"/>
        <w:jc w:val="left"/>
        <w:rPr>
          <w:b/>
          <w:color w:val="auto"/>
          <w:sz w:val="30"/>
          <w:highlight w:val="none"/>
        </w:rPr>
      </w:pPr>
      <w:r>
        <w:rPr>
          <w:b/>
          <w:color w:val="auto"/>
          <w:sz w:val="30"/>
          <w:highlight w:val="none"/>
        </w:rPr>
        <w:t>包 名</w:t>
      </w:r>
      <w:r>
        <w:rPr>
          <w:b/>
          <w:color w:val="auto"/>
          <w:spacing w:val="-3"/>
          <w:sz w:val="30"/>
          <w:highlight w:val="none"/>
        </w:rPr>
        <w:t xml:space="preserve"> </w:t>
      </w:r>
      <w:r>
        <w:rPr>
          <w:b/>
          <w:color w:val="auto"/>
          <w:sz w:val="30"/>
          <w:highlight w:val="none"/>
        </w:rPr>
        <w:t>称：</w:t>
      </w:r>
      <w:r>
        <w:rPr>
          <w:b/>
          <w:color w:val="auto"/>
          <w:sz w:val="30"/>
          <w:highlight w:val="none"/>
        </w:rPr>
        <w:tab/>
      </w:r>
      <w:r>
        <w:rPr>
          <w:b/>
          <w:color w:val="auto"/>
          <w:w w:val="95"/>
          <w:sz w:val="30"/>
          <w:highlight w:val="none"/>
        </w:rPr>
        <w:t>（如有）</w:t>
      </w: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spacing w:before="1"/>
        <w:ind w:left="0"/>
        <w:rPr>
          <w:b/>
          <w:color w:val="auto"/>
          <w:sz w:val="37"/>
          <w:highlight w:val="none"/>
        </w:rPr>
      </w:pPr>
    </w:p>
    <w:p>
      <w:pPr>
        <w:tabs>
          <w:tab w:val="left" w:pos="4353"/>
          <w:tab w:val="left" w:pos="5236"/>
        </w:tabs>
        <w:spacing w:before="0" w:line="364" w:lineRule="auto"/>
        <w:ind w:left="3470" w:right="3499" w:firstLine="0"/>
        <w:jc w:val="center"/>
        <w:rPr>
          <w:b/>
          <w:color w:val="auto"/>
          <w:sz w:val="44"/>
          <w:highlight w:val="none"/>
        </w:rPr>
      </w:pPr>
      <w:r>
        <w:rPr>
          <w:b/>
          <w:color w:val="auto"/>
          <w:sz w:val="44"/>
          <w:highlight w:val="none"/>
        </w:rPr>
        <w:t>磋商供应商全</w:t>
      </w:r>
      <w:r>
        <w:rPr>
          <w:b/>
          <w:color w:val="auto"/>
          <w:spacing w:val="-15"/>
          <w:sz w:val="44"/>
          <w:highlight w:val="none"/>
        </w:rPr>
        <w:t>称</w:t>
      </w:r>
      <w:r>
        <w:rPr>
          <w:b/>
          <w:color w:val="auto"/>
          <w:sz w:val="44"/>
          <w:highlight w:val="none"/>
        </w:rPr>
        <w:t>年</w:t>
      </w:r>
      <w:r>
        <w:rPr>
          <w:b/>
          <w:color w:val="auto"/>
          <w:sz w:val="44"/>
          <w:highlight w:val="none"/>
        </w:rPr>
        <w:tab/>
      </w:r>
      <w:r>
        <w:rPr>
          <w:b/>
          <w:color w:val="auto"/>
          <w:sz w:val="44"/>
          <w:highlight w:val="none"/>
        </w:rPr>
        <w:t>月</w:t>
      </w:r>
      <w:r>
        <w:rPr>
          <w:b/>
          <w:color w:val="auto"/>
          <w:sz w:val="44"/>
          <w:highlight w:val="none"/>
        </w:rPr>
        <w:tab/>
      </w:r>
      <w:r>
        <w:rPr>
          <w:b/>
          <w:color w:val="auto"/>
          <w:sz w:val="44"/>
          <w:highlight w:val="none"/>
        </w:rPr>
        <w:t>日</w:t>
      </w:r>
    </w:p>
    <w:p>
      <w:pPr>
        <w:spacing w:after="0" w:line="364" w:lineRule="auto"/>
        <w:jc w:val="center"/>
        <w:rPr>
          <w:color w:val="auto"/>
          <w:sz w:val="44"/>
          <w:highlight w:val="none"/>
        </w:rPr>
        <w:sectPr>
          <w:footerReference r:id="rId13" w:type="default"/>
          <w:pgSz w:w="11900" w:h="16840"/>
          <w:pgMar w:top="1100" w:right="820" w:bottom="800" w:left="1020" w:header="0" w:footer="609" w:gutter="0"/>
          <w:pgNumType w:start="50"/>
        </w:sectPr>
      </w:pPr>
    </w:p>
    <w:p>
      <w:pPr>
        <w:pStyle w:val="4"/>
        <w:ind w:right="28"/>
        <w:rPr>
          <w:color w:val="auto"/>
          <w:highlight w:val="none"/>
        </w:rPr>
      </w:pPr>
      <w:bookmarkStart w:id="162" w:name="技术商务文件"/>
      <w:bookmarkEnd w:id="162"/>
      <w:bookmarkStart w:id="163" w:name="_Toc24931"/>
      <w:r>
        <w:rPr>
          <w:color w:val="auto"/>
          <w:highlight w:val="none"/>
        </w:rPr>
        <w:t>技术商务文件</w:t>
      </w:r>
      <w:bookmarkEnd w:id="163"/>
    </w:p>
    <w:p>
      <w:pPr>
        <w:pStyle w:val="3"/>
        <w:ind w:left="0"/>
        <w:rPr>
          <w:b/>
          <w:color w:val="auto"/>
          <w:sz w:val="36"/>
          <w:highlight w:val="none"/>
        </w:rPr>
      </w:pPr>
    </w:p>
    <w:p>
      <w:pPr>
        <w:spacing w:before="245"/>
        <w:ind w:left="0" w:right="26" w:firstLine="0"/>
        <w:jc w:val="center"/>
        <w:outlineLvl w:val="1"/>
        <w:rPr>
          <w:b/>
          <w:color w:val="auto"/>
          <w:sz w:val="32"/>
          <w:highlight w:val="none"/>
        </w:rPr>
      </w:pPr>
      <w:bookmarkStart w:id="164" w:name="技术和商务方案评分索引"/>
      <w:bookmarkEnd w:id="164"/>
      <w:bookmarkStart w:id="165" w:name="_Toc27215"/>
      <w:r>
        <w:rPr>
          <w:b/>
          <w:color w:val="auto"/>
          <w:sz w:val="32"/>
          <w:highlight w:val="none"/>
        </w:rPr>
        <w:t>技术和商务方案评分索引</w:t>
      </w:r>
      <w:bookmarkEnd w:id="165"/>
    </w:p>
    <w:p>
      <w:pPr>
        <w:pStyle w:val="3"/>
        <w:spacing w:before="2"/>
        <w:ind w:left="0"/>
        <w:rPr>
          <w:b/>
          <w:color w:val="auto"/>
          <w:highlight w:val="none"/>
        </w:rPr>
      </w:pPr>
    </w:p>
    <w:p>
      <w:pPr>
        <w:spacing w:before="0" w:after="2"/>
        <w:ind w:left="0" w:right="28" w:firstLine="0"/>
        <w:jc w:val="center"/>
        <w:outlineLvl w:val="0"/>
        <w:rPr>
          <w:b/>
          <w:color w:val="auto"/>
          <w:sz w:val="28"/>
          <w:highlight w:val="none"/>
        </w:rPr>
      </w:pPr>
      <w:bookmarkStart w:id="166" w:name="_Toc3860"/>
      <w:r>
        <w:rPr>
          <w:b/>
          <w:color w:val="auto"/>
          <w:sz w:val="28"/>
          <w:highlight w:val="none"/>
        </w:rPr>
        <w:t>（仅供参考）</w:t>
      </w:r>
      <w:bookmarkEnd w:id="166"/>
    </w:p>
    <w:tbl>
      <w:tblPr>
        <w:tblStyle w:val="1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9"/>
        <w:gridCol w:w="3363"/>
        <w:gridCol w:w="1385"/>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3959" w:type="dxa"/>
          </w:tcPr>
          <w:p>
            <w:pPr>
              <w:pStyle w:val="20"/>
              <w:spacing w:before="10"/>
              <w:rPr>
                <w:b/>
                <w:color w:val="auto"/>
                <w:sz w:val="27"/>
                <w:highlight w:val="none"/>
              </w:rPr>
            </w:pPr>
          </w:p>
          <w:p>
            <w:pPr>
              <w:pStyle w:val="20"/>
              <w:ind w:left="899"/>
              <w:rPr>
                <w:color w:val="auto"/>
                <w:sz w:val="24"/>
                <w:highlight w:val="none"/>
              </w:rPr>
            </w:pPr>
            <w:r>
              <w:rPr>
                <w:color w:val="auto"/>
                <w:sz w:val="24"/>
                <w:highlight w:val="none"/>
              </w:rPr>
              <w:t>评审内容及评分细则</w:t>
            </w:r>
          </w:p>
        </w:tc>
        <w:tc>
          <w:tcPr>
            <w:tcW w:w="3363" w:type="dxa"/>
          </w:tcPr>
          <w:p>
            <w:pPr>
              <w:pStyle w:val="20"/>
              <w:spacing w:before="10"/>
              <w:rPr>
                <w:b/>
                <w:color w:val="auto"/>
                <w:sz w:val="27"/>
                <w:highlight w:val="none"/>
              </w:rPr>
            </w:pPr>
          </w:p>
          <w:p>
            <w:pPr>
              <w:pStyle w:val="20"/>
              <w:ind w:left="1180" w:right="1172"/>
              <w:jc w:val="center"/>
              <w:rPr>
                <w:color w:val="auto"/>
                <w:sz w:val="24"/>
                <w:highlight w:val="none"/>
              </w:rPr>
            </w:pPr>
            <w:r>
              <w:rPr>
                <w:color w:val="auto"/>
                <w:sz w:val="24"/>
                <w:highlight w:val="none"/>
              </w:rPr>
              <w:t>响应情况</w:t>
            </w:r>
          </w:p>
        </w:tc>
        <w:tc>
          <w:tcPr>
            <w:tcW w:w="1385" w:type="dxa"/>
          </w:tcPr>
          <w:p>
            <w:pPr>
              <w:pStyle w:val="20"/>
              <w:spacing w:before="10"/>
              <w:rPr>
                <w:b/>
                <w:color w:val="auto"/>
                <w:sz w:val="27"/>
                <w:highlight w:val="none"/>
              </w:rPr>
            </w:pPr>
          </w:p>
          <w:p>
            <w:pPr>
              <w:pStyle w:val="20"/>
              <w:ind w:left="331"/>
              <w:rPr>
                <w:color w:val="auto"/>
                <w:sz w:val="24"/>
                <w:highlight w:val="none"/>
              </w:rPr>
            </w:pPr>
            <w:r>
              <w:rPr>
                <w:color w:val="auto"/>
                <w:sz w:val="24"/>
                <w:highlight w:val="none"/>
              </w:rPr>
              <w:t>自评分</w:t>
            </w:r>
          </w:p>
        </w:tc>
        <w:tc>
          <w:tcPr>
            <w:tcW w:w="1082" w:type="dxa"/>
          </w:tcPr>
          <w:p>
            <w:pPr>
              <w:pStyle w:val="20"/>
              <w:spacing w:before="10"/>
              <w:rPr>
                <w:b/>
                <w:color w:val="auto"/>
                <w:sz w:val="27"/>
                <w:highlight w:val="none"/>
              </w:rPr>
            </w:pPr>
          </w:p>
          <w:p>
            <w:pPr>
              <w:pStyle w:val="20"/>
              <w:ind w:left="59"/>
              <w:rPr>
                <w:color w:val="auto"/>
                <w:sz w:val="24"/>
                <w:highlight w:val="none"/>
              </w:rPr>
            </w:pPr>
            <w:r>
              <w:rPr>
                <w:color w:val="auto"/>
                <w:sz w:val="24"/>
                <w:highlight w:val="none"/>
              </w:rPr>
              <w:t>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959" w:type="dxa"/>
          </w:tcPr>
          <w:p>
            <w:pPr>
              <w:pStyle w:val="20"/>
              <w:rPr>
                <w:rFonts w:ascii="Times New Roman"/>
                <w:color w:val="auto"/>
                <w:sz w:val="26"/>
                <w:highlight w:val="none"/>
              </w:rPr>
            </w:pPr>
          </w:p>
        </w:tc>
        <w:tc>
          <w:tcPr>
            <w:tcW w:w="3363" w:type="dxa"/>
          </w:tcPr>
          <w:p>
            <w:pPr>
              <w:pStyle w:val="20"/>
              <w:rPr>
                <w:rFonts w:ascii="Times New Roman"/>
                <w:color w:val="auto"/>
                <w:sz w:val="26"/>
                <w:highlight w:val="none"/>
              </w:rPr>
            </w:pPr>
          </w:p>
        </w:tc>
        <w:tc>
          <w:tcPr>
            <w:tcW w:w="1385" w:type="dxa"/>
          </w:tcPr>
          <w:p>
            <w:pPr>
              <w:pStyle w:val="20"/>
              <w:rPr>
                <w:rFonts w:ascii="Times New Roman"/>
                <w:color w:val="auto"/>
                <w:sz w:val="26"/>
                <w:highlight w:val="none"/>
              </w:rPr>
            </w:pPr>
          </w:p>
        </w:tc>
        <w:tc>
          <w:tcPr>
            <w:tcW w:w="1082" w:type="dxa"/>
          </w:tcPr>
          <w:p>
            <w:pPr>
              <w:pStyle w:val="20"/>
              <w:rPr>
                <w:rFonts w:ascii="Times New Roman"/>
                <w:color w:val="auto"/>
                <w:sz w:val="26"/>
                <w:highlight w:val="none"/>
              </w:rPr>
            </w:pPr>
          </w:p>
        </w:tc>
      </w:tr>
    </w:tbl>
    <w:p>
      <w:pPr>
        <w:spacing w:after="0"/>
        <w:rPr>
          <w:rFonts w:ascii="Times New Roman"/>
          <w:color w:val="auto"/>
          <w:sz w:val="26"/>
          <w:highlight w:val="none"/>
        </w:rPr>
        <w:sectPr>
          <w:pgSz w:w="11900" w:h="16840"/>
          <w:pgMar w:top="1100" w:right="820" w:bottom="800" w:left="1020" w:header="0" w:footer="609" w:gutter="0"/>
        </w:sectPr>
      </w:pPr>
    </w:p>
    <w:p>
      <w:pPr>
        <w:spacing w:before="43"/>
        <w:ind w:left="0" w:right="28" w:firstLine="0"/>
        <w:jc w:val="center"/>
        <w:rPr>
          <w:b/>
          <w:color w:val="auto"/>
          <w:sz w:val="32"/>
          <w:highlight w:val="none"/>
        </w:rPr>
      </w:pPr>
      <w:bookmarkStart w:id="167" w:name="目录"/>
      <w:bookmarkEnd w:id="167"/>
      <w:r>
        <w:rPr>
          <w:b/>
          <w:color w:val="auto"/>
          <w:sz w:val="32"/>
          <w:highlight w:val="none"/>
        </w:rPr>
        <w:t>目录</w:t>
      </w:r>
    </w:p>
    <w:p>
      <w:pPr>
        <w:pStyle w:val="19"/>
        <w:numPr>
          <w:ilvl w:val="0"/>
          <w:numId w:val="28"/>
        </w:numPr>
        <w:tabs>
          <w:tab w:val="left" w:pos="900"/>
          <w:tab w:val="left" w:leader="dot" w:pos="8767"/>
        </w:tabs>
        <w:spacing w:before="212" w:after="0" w:line="240" w:lineRule="auto"/>
        <w:ind w:left="900" w:right="0" w:hanging="617"/>
        <w:jc w:val="left"/>
        <w:rPr>
          <w:color w:val="auto"/>
          <w:sz w:val="24"/>
          <w:highlight w:val="none"/>
        </w:rPr>
      </w:pPr>
      <w:r>
        <w:rPr>
          <w:color w:val="auto"/>
          <w:spacing w:val="4"/>
          <w:sz w:val="24"/>
          <w:highlight w:val="none"/>
        </w:rPr>
        <w:t>法</w:t>
      </w:r>
      <w:r>
        <w:rPr>
          <w:color w:val="auto"/>
          <w:spacing w:val="7"/>
          <w:sz w:val="24"/>
          <w:highlight w:val="none"/>
        </w:rPr>
        <w:t>人</w:t>
      </w:r>
      <w:r>
        <w:rPr>
          <w:color w:val="auto"/>
          <w:spacing w:val="4"/>
          <w:sz w:val="24"/>
          <w:highlight w:val="none"/>
        </w:rPr>
        <w:t>授</w:t>
      </w:r>
      <w:r>
        <w:rPr>
          <w:color w:val="auto"/>
          <w:spacing w:val="7"/>
          <w:sz w:val="24"/>
          <w:highlight w:val="none"/>
        </w:rPr>
        <w:t>权</w:t>
      </w:r>
      <w:r>
        <w:rPr>
          <w:color w:val="auto"/>
          <w:spacing w:val="4"/>
          <w:sz w:val="24"/>
          <w:highlight w:val="none"/>
        </w:rPr>
        <w:t>委</w:t>
      </w:r>
      <w:r>
        <w:rPr>
          <w:color w:val="auto"/>
          <w:spacing w:val="7"/>
          <w:sz w:val="24"/>
          <w:highlight w:val="none"/>
        </w:rPr>
        <w:t>托</w:t>
      </w:r>
      <w:r>
        <w:rPr>
          <w:color w:val="auto"/>
          <w:sz w:val="24"/>
          <w:highlight w:val="none"/>
        </w:rPr>
        <w:t>书</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59" w:after="0" w:line="240" w:lineRule="auto"/>
        <w:ind w:left="899" w:right="0" w:hanging="617"/>
        <w:jc w:val="left"/>
        <w:rPr>
          <w:color w:val="auto"/>
          <w:sz w:val="24"/>
          <w:highlight w:val="none"/>
        </w:rPr>
      </w:pPr>
      <w:r>
        <w:rPr>
          <w:color w:val="auto"/>
          <w:spacing w:val="7"/>
          <w:sz w:val="24"/>
          <w:highlight w:val="none"/>
        </w:rPr>
        <w:t>法</w:t>
      </w:r>
      <w:r>
        <w:rPr>
          <w:color w:val="auto"/>
          <w:spacing w:val="4"/>
          <w:sz w:val="24"/>
          <w:highlight w:val="none"/>
        </w:rPr>
        <w:t>定</w:t>
      </w:r>
      <w:r>
        <w:rPr>
          <w:color w:val="auto"/>
          <w:spacing w:val="7"/>
          <w:sz w:val="24"/>
          <w:highlight w:val="none"/>
        </w:rPr>
        <w:t>代</w:t>
      </w:r>
      <w:r>
        <w:rPr>
          <w:color w:val="auto"/>
          <w:spacing w:val="4"/>
          <w:sz w:val="24"/>
          <w:highlight w:val="none"/>
        </w:rPr>
        <w:t>表</w:t>
      </w:r>
      <w:r>
        <w:rPr>
          <w:color w:val="auto"/>
          <w:spacing w:val="7"/>
          <w:sz w:val="24"/>
          <w:highlight w:val="none"/>
        </w:rPr>
        <w:t>人</w:t>
      </w:r>
      <w:r>
        <w:rPr>
          <w:color w:val="auto"/>
          <w:spacing w:val="4"/>
          <w:sz w:val="24"/>
          <w:highlight w:val="none"/>
        </w:rPr>
        <w:t>及其</w:t>
      </w:r>
      <w:r>
        <w:rPr>
          <w:color w:val="auto"/>
          <w:spacing w:val="7"/>
          <w:sz w:val="24"/>
          <w:highlight w:val="none"/>
        </w:rPr>
        <w:t>授</w:t>
      </w:r>
      <w:r>
        <w:rPr>
          <w:color w:val="auto"/>
          <w:spacing w:val="4"/>
          <w:sz w:val="24"/>
          <w:highlight w:val="none"/>
        </w:rPr>
        <w:t>权</w:t>
      </w:r>
      <w:r>
        <w:rPr>
          <w:color w:val="auto"/>
          <w:spacing w:val="7"/>
          <w:sz w:val="24"/>
          <w:highlight w:val="none"/>
        </w:rPr>
        <w:t>代</w:t>
      </w:r>
      <w:r>
        <w:rPr>
          <w:color w:val="auto"/>
          <w:spacing w:val="4"/>
          <w:sz w:val="24"/>
          <w:highlight w:val="none"/>
        </w:rPr>
        <w:t>表的</w:t>
      </w:r>
      <w:r>
        <w:rPr>
          <w:color w:val="auto"/>
          <w:spacing w:val="7"/>
          <w:sz w:val="24"/>
          <w:highlight w:val="none"/>
        </w:rPr>
        <w:t>身</w:t>
      </w:r>
      <w:r>
        <w:rPr>
          <w:color w:val="auto"/>
          <w:spacing w:val="4"/>
          <w:sz w:val="24"/>
          <w:highlight w:val="none"/>
        </w:rPr>
        <w:t>份</w:t>
      </w:r>
      <w:r>
        <w:rPr>
          <w:color w:val="auto"/>
          <w:spacing w:val="7"/>
          <w:sz w:val="24"/>
          <w:highlight w:val="none"/>
        </w:rPr>
        <w:t>证</w:t>
      </w:r>
      <w:r>
        <w:rPr>
          <w:color w:val="auto"/>
          <w:spacing w:val="4"/>
          <w:sz w:val="24"/>
          <w:highlight w:val="none"/>
        </w:rPr>
        <w:t>（</w:t>
      </w:r>
      <w:r>
        <w:rPr>
          <w:color w:val="auto"/>
          <w:spacing w:val="7"/>
          <w:sz w:val="24"/>
          <w:highlight w:val="none"/>
        </w:rPr>
        <w:t>复</w:t>
      </w:r>
      <w:r>
        <w:rPr>
          <w:color w:val="auto"/>
          <w:spacing w:val="4"/>
          <w:sz w:val="24"/>
          <w:highlight w:val="none"/>
        </w:rPr>
        <w:t>印件</w:t>
      </w:r>
      <w:r>
        <w:rPr>
          <w:color w:val="auto"/>
          <w:sz w:val="24"/>
          <w:highlight w:val="none"/>
        </w:rPr>
        <w:t>）</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60" w:after="0" w:line="240" w:lineRule="auto"/>
        <w:ind w:left="900" w:right="0" w:hanging="617"/>
        <w:jc w:val="left"/>
        <w:rPr>
          <w:color w:val="auto"/>
          <w:sz w:val="24"/>
          <w:highlight w:val="none"/>
        </w:rPr>
      </w:pPr>
      <w:r>
        <w:rPr>
          <w:color w:val="auto"/>
          <w:spacing w:val="4"/>
          <w:sz w:val="24"/>
          <w:highlight w:val="none"/>
        </w:rPr>
        <w:t>声</w:t>
      </w:r>
      <w:r>
        <w:rPr>
          <w:color w:val="auto"/>
          <w:spacing w:val="7"/>
          <w:sz w:val="24"/>
          <w:highlight w:val="none"/>
        </w:rPr>
        <w:t>明</w:t>
      </w:r>
      <w:r>
        <w:rPr>
          <w:color w:val="auto"/>
          <w:sz w:val="24"/>
          <w:highlight w:val="none"/>
        </w:rPr>
        <w:t>书</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58" w:after="0" w:line="240" w:lineRule="auto"/>
        <w:ind w:left="900" w:right="0" w:hanging="617"/>
        <w:jc w:val="left"/>
        <w:rPr>
          <w:color w:val="auto"/>
          <w:sz w:val="24"/>
          <w:highlight w:val="none"/>
        </w:rPr>
      </w:pPr>
      <w:r>
        <w:rPr>
          <w:color w:val="auto"/>
          <w:spacing w:val="4"/>
          <w:sz w:val="24"/>
          <w:highlight w:val="none"/>
        </w:rPr>
        <w:t>公</w:t>
      </w:r>
      <w:r>
        <w:rPr>
          <w:color w:val="auto"/>
          <w:spacing w:val="7"/>
          <w:sz w:val="24"/>
          <w:highlight w:val="none"/>
        </w:rPr>
        <w:t>司</w:t>
      </w:r>
      <w:r>
        <w:rPr>
          <w:color w:val="auto"/>
          <w:spacing w:val="4"/>
          <w:sz w:val="24"/>
          <w:highlight w:val="none"/>
        </w:rPr>
        <w:t>介</w:t>
      </w:r>
      <w:r>
        <w:rPr>
          <w:color w:val="auto"/>
          <w:sz w:val="24"/>
          <w:highlight w:val="none"/>
        </w:rPr>
        <w:t>绍</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61" w:after="0" w:line="240" w:lineRule="auto"/>
        <w:ind w:left="900" w:right="0" w:hanging="617"/>
        <w:jc w:val="left"/>
        <w:rPr>
          <w:color w:val="auto"/>
          <w:sz w:val="24"/>
          <w:highlight w:val="none"/>
        </w:rPr>
      </w:pPr>
      <w:r>
        <w:rPr>
          <w:color w:val="auto"/>
          <w:spacing w:val="4"/>
          <w:sz w:val="24"/>
          <w:highlight w:val="none"/>
        </w:rPr>
        <w:t>主</w:t>
      </w:r>
      <w:r>
        <w:rPr>
          <w:color w:val="auto"/>
          <w:spacing w:val="7"/>
          <w:sz w:val="24"/>
          <w:highlight w:val="none"/>
        </w:rPr>
        <w:t>要</w:t>
      </w:r>
      <w:r>
        <w:rPr>
          <w:color w:val="auto"/>
          <w:spacing w:val="4"/>
          <w:sz w:val="24"/>
          <w:highlight w:val="none"/>
        </w:rPr>
        <w:t>业</w:t>
      </w:r>
      <w:r>
        <w:rPr>
          <w:color w:val="auto"/>
          <w:spacing w:val="7"/>
          <w:sz w:val="24"/>
          <w:highlight w:val="none"/>
        </w:rPr>
        <w:t>绩</w:t>
      </w:r>
      <w:r>
        <w:rPr>
          <w:color w:val="auto"/>
          <w:spacing w:val="4"/>
          <w:sz w:val="24"/>
          <w:highlight w:val="none"/>
        </w:rPr>
        <w:t>证</w:t>
      </w:r>
      <w:r>
        <w:rPr>
          <w:color w:val="auto"/>
          <w:sz w:val="24"/>
          <w:highlight w:val="none"/>
        </w:rPr>
        <w:t>明</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58" w:after="0" w:line="240" w:lineRule="auto"/>
        <w:ind w:left="900" w:right="0" w:hanging="617"/>
        <w:jc w:val="left"/>
        <w:rPr>
          <w:color w:val="auto"/>
          <w:sz w:val="24"/>
          <w:highlight w:val="none"/>
        </w:rPr>
      </w:pPr>
      <w:r>
        <w:rPr>
          <w:color w:val="auto"/>
          <w:spacing w:val="4"/>
          <w:sz w:val="24"/>
          <w:highlight w:val="none"/>
        </w:rPr>
        <w:t>相</w:t>
      </w:r>
      <w:r>
        <w:rPr>
          <w:color w:val="auto"/>
          <w:spacing w:val="7"/>
          <w:sz w:val="24"/>
          <w:highlight w:val="none"/>
        </w:rPr>
        <w:t>关</w:t>
      </w:r>
      <w:r>
        <w:rPr>
          <w:color w:val="auto"/>
          <w:spacing w:val="4"/>
          <w:sz w:val="24"/>
          <w:highlight w:val="none"/>
        </w:rPr>
        <w:t>资</w:t>
      </w:r>
      <w:r>
        <w:rPr>
          <w:color w:val="auto"/>
          <w:spacing w:val="7"/>
          <w:sz w:val="24"/>
          <w:highlight w:val="none"/>
        </w:rPr>
        <w:t>质</w:t>
      </w:r>
      <w:r>
        <w:rPr>
          <w:color w:val="auto"/>
          <w:spacing w:val="4"/>
          <w:sz w:val="24"/>
          <w:highlight w:val="none"/>
        </w:rPr>
        <w:t>材</w:t>
      </w:r>
      <w:r>
        <w:rPr>
          <w:color w:val="auto"/>
          <w:sz w:val="24"/>
          <w:highlight w:val="none"/>
        </w:rPr>
        <w:t>料</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60" w:after="0" w:line="240" w:lineRule="auto"/>
        <w:ind w:left="900" w:right="0" w:hanging="617"/>
        <w:jc w:val="left"/>
        <w:rPr>
          <w:color w:val="auto"/>
          <w:sz w:val="24"/>
          <w:highlight w:val="none"/>
        </w:rPr>
      </w:pPr>
      <w:r>
        <w:rPr>
          <w:color w:val="auto"/>
          <w:spacing w:val="4"/>
          <w:sz w:val="24"/>
          <w:highlight w:val="none"/>
        </w:rPr>
        <w:t>针</w:t>
      </w:r>
      <w:r>
        <w:rPr>
          <w:color w:val="auto"/>
          <w:spacing w:val="7"/>
          <w:sz w:val="24"/>
          <w:highlight w:val="none"/>
        </w:rPr>
        <w:t>对</w:t>
      </w:r>
      <w:r>
        <w:rPr>
          <w:color w:val="auto"/>
          <w:spacing w:val="4"/>
          <w:sz w:val="24"/>
          <w:highlight w:val="none"/>
        </w:rPr>
        <w:t>本</w:t>
      </w:r>
      <w:r>
        <w:rPr>
          <w:color w:val="auto"/>
          <w:spacing w:val="7"/>
          <w:sz w:val="24"/>
          <w:highlight w:val="none"/>
        </w:rPr>
        <w:t>项</w:t>
      </w:r>
      <w:r>
        <w:rPr>
          <w:color w:val="auto"/>
          <w:spacing w:val="4"/>
          <w:sz w:val="24"/>
          <w:highlight w:val="none"/>
        </w:rPr>
        <w:t>目</w:t>
      </w:r>
      <w:r>
        <w:rPr>
          <w:color w:val="auto"/>
          <w:spacing w:val="7"/>
          <w:sz w:val="24"/>
          <w:highlight w:val="none"/>
        </w:rPr>
        <w:t>的</w:t>
      </w:r>
      <w:r>
        <w:rPr>
          <w:color w:val="auto"/>
          <w:spacing w:val="4"/>
          <w:sz w:val="24"/>
          <w:highlight w:val="none"/>
        </w:rPr>
        <w:t>技术</w:t>
      </w:r>
      <w:r>
        <w:rPr>
          <w:color w:val="auto"/>
          <w:spacing w:val="7"/>
          <w:sz w:val="24"/>
          <w:highlight w:val="none"/>
        </w:rPr>
        <w:t>和</w:t>
      </w:r>
      <w:r>
        <w:rPr>
          <w:color w:val="auto"/>
          <w:spacing w:val="4"/>
          <w:sz w:val="24"/>
          <w:highlight w:val="none"/>
        </w:rPr>
        <w:t>服</w:t>
      </w:r>
      <w:r>
        <w:rPr>
          <w:color w:val="auto"/>
          <w:spacing w:val="7"/>
          <w:sz w:val="24"/>
          <w:highlight w:val="none"/>
        </w:rPr>
        <w:t>务</w:t>
      </w:r>
      <w:r>
        <w:rPr>
          <w:color w:val="auto"/>
          <w:spacing w:val="4"/>
          <w:sz w:val="24"/>
          <w:highlight w:val="none"/>
        </w:rPr>
        <w:t>响</w:t>
      </w:r>
      <w:r>
        <w:rPr>
          <w:color w:val="auto"/>
          <w:spacing w:val="7"/>
          <w:sz w:val="24"/>
          <w:highlight w:val="none"/>
        </w:rPr>
        <w:t>应</w:t>
      </w:r>
      <w:r>
        <w:rPr>
          <w:color w:val="auto"/>
          <w:spacing w:val="4"/>
          <w:sz w:val="24"/>
          <w:highlight w:val="none"/>
        </w:rPr>
        <w:t>方</w:t>
      </w:r>
      <w:r>
        <w:rPr>
          <w:color w:val="auto"/>
          <w:sz w:val="24"/>
          <w:highlight w:val="none"/>
        </w:rPr>
        <w:t>案</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58" w:after="0" w:line="240" w:lineRule="auto"/>
        <w:ind w:left="900" w:right="0" w:hanging="617"/>
        <w:jc w:val="left"/>
        <w:rPr>
          <w:color w:val="auto"/>
          <w:sz w:val="24"/>
          <w:highlight w:val="none"/>
        </w:rPr>
      </w:pPr>
      <w:r>
        <w:rPr>
          <w:color w:val="auto"/>
          <w:spacing w:val="4"/>
          <w:sz w:val="24"/>
          <w:highlight w:val="none"/>
        </w:rPr>
        <w:t>技</w:t>
      </w:r>
      <w:r>
        <w:rPr>
          <w:color w:val="auto"/>
          <w:spacing w:val="7"/>
          <w:sz w:val="24"/>
          <w:highlight w:val="none"/>
        </w:rPr>
        <w:t>术</w:t>
      </w:r>
      <w:r>
        <w:rPr>
          <w:color w:val="auto"/>
          <w:spacing w:val="4"/>
          <w:sz w:val="24"/>
          <w:highlight w:val="none"/>
        </w:rPr>
        <w:t>商</w:t>
      </w:r>
      <w:r>
        <w:rPr>
          <w:color w:val="auto"/>
          <w:spacing w:val="7"/>
          <w:sz w:val="24"/>
          <w:highlight w:val="none"/>
        </w:rPr>
        <w:t>务</w:t>
      </w:r>
      <w:r>
        <w:rPr>
          <w:color w:val="auto"/>
          <w:spacing w:val="4"/>
          <w:sz w:val="24"/>
          <w:highlight w:val="none"/>
        </w:rPr>
        <w:t>条</w:t>
      </w:r>
      <w:r>
        <w:rPr>
          <w:color w:val="auto"/>
          <w:spacing w:val="7"/>
          <w:sz w:val="24"/>
          <w:highlight w:val="none"/>
        </w:rPr>
        <w:t>款</w:t>
      </w:r>
      <w:r>
        <w:rPr>
          <w:color w:val="auto"/>
          <w:spacing w:val="4"/>
          <w:sz w:val="24"/>
          <w:highlight w:val="none"/>
        </w:rPr>
        <w:t>偏离</w:t>
      </w:r>
      <w:r>
        <w:rPr>
          <w:color w:val="auto"/>
          <w:spacing w:val="7"/>
          <w:sz w:val="24"/>
          <w:highlight w:val="none"/>
        </w:rPr>
        <w:t>表</w:t>
      </w:r>
      <w:r>
        <w:rPr>
          <w:color w:val="auto"/>
          <w:spacing w:val="4"/>
          <w:sz w:val="24"/>
          <w:highlight w:val="none"/>
        </w:rPr>
        <w:t>及</w:t>
      </w:r>
      <w:r>
        <w:rPr>
          <w:color w:val="auto"/>
          <w:spacing w:val="7"/>
          <w:sz w:val="24"/>
          <w:highlight w:val="none"/>
        </w:rPr>
        <w:t>建</w:t>
      </w:r>
      <w:r>
        <w:rPr>
          <w:color w:val="auto"/>
          <w:sz w:val="24"/>
          <w:highlight w:val="none"/>
        </w:rPr>
        <w:t>议</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900"/>
          <w:tab w:val="left" w:leader="dot" w:pos="8767"/>
        </w:tabs>
        <w:spacing w:before="161" w:after="0" w:line="240" w:lineRule="auto"/>
        <w:ind w:left="899" w:right="0" w:hanging="617"/>
        <w:jc w:val="left"/>
        <w:rPr>
          <w:color w:val="auto"/>
          <w:sz w:val="24"/>
          <w:highlight w:val="none"/>
        </w:rPr>
      </w:pPr>
      <w:r>
        <w:rPr>
          <w:color w:val="auto"/>
          <w:spacing w:val="7"/>
          <w:sz w:val="24"/>
          <w:highlight w:val="none"/>
        </w:rPr>
        <w:t>合</w:t>
      </w:r>
      <w:r>
        <w:rPr>
          <w:color w:val="auto"/>
          <w:spacing w:val="4"/>
          <w:sz w:val="24"/>
          <w:highlight w:val="none"/>
        </w:rPr>
        <w:t>同</w:t>
      </w:r>
      <w:r>
        <w:rPr>
          <w:color w:val="auto"/>
          <w:spacing w:val="7"/>
          <w:sz w:val="24"/>
          <w:highlight w:val="none"/>
        </w:rPr>
        <w:t>条</w:t>
      </w:r>
      <w:r>
        <w:rPr>
          <w:color w:val="auto"/>
          <w:spacing w:val="4"/>
          <w:sz w:val="24"/>
          <w:highlight w:val="none"/>
        </w:rPr>
        <w:t>款</w:t>
      </w:r>
      <w:r>
        <w:rPr>
          <w:color w:val="auto"/>
          <w:spacing w:val="7"/>
          <w:sz w:val="24"/>
          <w:highlight w:val="none"/>
        </w:rPr>
        <w:t>偏</w:t>
      </w:r>
      <w:r>
        <w:rPr>
          <w:color w:val="auto"/>
          <w:spacing w:val="4"/>
          <w:sz w:val="24"/>
          <w:highlight w:val="none"/>
        </w:rPr>
        <w:t>离表</w:t>
      </w:r>
      <w:r>
        <w:rPr>
          <w:color w:val="auto"/>
          <w:spacing w:val="7"/>
          <w:sz w:val="24"/>
          <w:highlight w:val="none"/>
        </w:rPr>
        <w:t>及</w:t>
      </w:r>
      <w:r>
        <w:rPr>
          <w:color w:val="auto"/>
          <w:spacing w:val="4"/>
          <w:sz w:val="24"/>
          <w:highlight w:val="none"/>
        </w:rPr>
        <w:t>建</w:t>
      </w:r>
      <w:r>
        <w:rPr>
          <w:color w:val="auto"/>
          <w:sz w:val="24"/>
          <w:highlight w:val="none"/>
        </w:rPr>
        <w:t>议</w:t>
      </w:r>
      <w:r>
        <w:rPr>
          <w:color w:val="auto"/>
          <w:sz w:val="24"/>
          <w:highlight w:val="none"/>
        </w:rPr>
        <w:tab/>
      </w:r>
      <w:r>
        <w:rPr>
          <w:color w:val="auto"/>
          <w:spacing w:val="4"/>
          <w:sz w:val="24"/>
          <w:highlight w:val="none"/>
        </w:rPr>
        <w:t>（</w:t>
      </w:r>
      <w:r>
        <w:rPr>
          <w:color w:val="auto"/>
          <w:spacing w:val="7"/>
          <w:sz w:val="24"/>
          <w:highlight w:val="none"/>
        </w:rPr>
        <w:t>页</w:t>
      </w:r>
      <w:r>
        <w:rPr>
          <w:color w:val="auto"/>
          <w:spacing w:val="4"/>
          <w:sz w:val="24"/>
          <w:highlight w:val="none"/>
        </w:rPr>
        <w:t>码</w:t>
      </w:r>
      <w:r>
        <w:rPr>
          <w:color w:val="auto"/>
          <w:sz w:val="24"/>
          <w:highlight w:val="none"/>
        </w:rPr>
        <w:t>）</w:t>
      </w:r>
    </w:p>
    <w:p>
      <w:pPr>
        <w:pStyle w:val="19"/>
        <w:numPr>
          <w:ilvl w:val="0"/>
          <w:numId w:val="28"/>
        </w:numPr>
        <w:tabs>
          <w:tab w:val="left" w:pos="1013"/>
          <w:tab w:val="left" w:leader="dot" w:pos="8776"/>
        </w:tabs>
        <w:spacing w:before="158" w:after="0" w:line="240" w:lineRule="auto"/>
        <w:ind w:left="1012" w:right="0" w:hanging="730"/>
        <w:jc w:val="left"/>
        <w:rPr>
          <w:color w:val="auto"/>
          <w:sz w:val="24"/>
          <w:highlight w:val="none"/>
        </w:rPr>
      </w:pPr>
      <w:r>
        <w:rPr>
          <w:color w:val="auto"/>
          <w:sz w:val="24"/>
          <w:highlight w:val="none"/>
        </w:rPr>
        <w:t>廉政承诺书</w:t>
      </w:r>
      <w:r>
        <w:rPr>
          <w:color w:val="auto"/>
          <w:sz w:val="24"/>
          <w:highlight w:val="none"/>
        </w:rPr>
        <w:tab/>
      </w:r>
      <w:r>
        <w:rPr>
          <w:color w:val="auto"/>
          <w:sz w:val="24"/>
          <w:highlight w:val="none"/>
        </w:rPr>
        <w:t>（页码）</w:t>
      </w:r>
    </w:p>
    <w:p>
      <w:pPr>
        <w:pStyle w:val="19"/>
        <w:numPr>
          <w:ilvl w:val="0"/>
          <w:numId w:val="28"/>
        </w:numPr>
        <w:tabs>
          <w:tab w:val="left" w:pos="1013"/>
          <w:tab w:val="left" w:leader="dot" w:pos="8776"/>
        </w:tabs>
        <w:spacing w:before="161" w:after="0" w:line="240" w:lineRule="auto"/>
        <w:ind w:left="1012" w:right="0" w:hanging="730"/>
        <w:jc w:val="left"/>
        <w:rPr>
          <w:color w:val="auto"/>
          <w:sz w:val="24"/>
          <w:highlight w:val="none"/>
        </w:rPr>
      </w:pPr>
      <w:r>
        <w:rPr>
          <w:color w:val="auto"/>
          <w:sz w:val="24"/>
          <w:highlight w:val="none"/>
        </w:rPr>
        <w:t>关于对磋商</w:t>
      </w:r>
      <w:r>
        <w:rPr>
          <w:color w:val="auto"/>
          <w:spacing w:val="4"/>
          <w:sz w:val="24"/>
          <w:highlight w:val="none"/>
        </w:rPr>
        <w:t>文</w:t>
      </w:r>
      <w:r>
        <w:rPr>
          <w:color w:val="auto"/>
          <w:sz w:val="24"/>
          <w:highlight w:val="none"/>
        </w:rPr>
        <w:t>件中有关条款的拒绝声明</w:t>
      </w:r>
      <w:r>
        <w:rPr>
          <w:color w:val="auto"/>
          <w:sz w:val="24"/>
          <w:highlight w:val="none"/>
        </w:rPr>
        <w:tab/>
      </w:r>
      <w:r>
        <w:rPr>
          <w:color w:val="auto"/>
          <w:sz w:val="24"/>
          <w:highlight w:val="none"/>
        </w:rPr>
        <w:t>（页码）</w:t>
      </w:r>
    </w:p>
    <w:p>
      <w:pPr>
        <w:pStyle w:val="19"/>
        <w:numPr>
          <w:ilvl w:val="0"/>
          <w:numId w:val="28"/>
        </w:numPr>
        <w:tabs>
          <w:tab w:val="left" w:pos="1013"/>
          <w:tab w:val="left" w:leader="dot" w:pos="8776"/>
        </w:tabs>
        <w:spacing w:before="160" w:after="0" w:line="240" w:lineRule="auto"/>
        <w:ind w:left="1012" w:right="0" w:hanging="730"/>
        <w:jc w:val="left"/>
        <w:rPr>
          <w:color w:val="auto"/>
          <w:sz w:val="24"/>
          <w:highlight w:val="none"/>
        </w:rPr>
      </w:pPr>
      <w:r>
        <w:rPr>
          <w:color w:val="auto"/>
          <w:sz w:val="24"/>
          <w:highlight w:val="none"/>
        </w:rPr>
        <w:t>认为需要的</w:t>
      </w:r>
      <w:r>
        <w:rPr>
          <w:color w:val="auto"/>
          <w:spacing w:val="4"/>
          <w:sz w:val="24"/>
          <w:highlight w:val="none"/>
        </w:rPr>
        <w:t>其</w:t>
      </w:r>
      <w:r>
        <w:rPr>
          <w:color w:val="auto"/>
          <w:sz w:val="24"/>
          <w:highlight w:val="none"/>
        </w:rPr>
        <w:t>他技术商务文件或说明</w:t>
      </w:r>
      <w:r>
        <w:rPr>
          <w:color w:val="auto"/>
          <w:sz w:val="24"/>
          <w:highlight w:val="none"/>
        </w:rPr>
        <w:tab/>
      </w:r>
      <w:r>
        <w:rPr>
          <w:color w:val="auto"/>
          <w:sz w:val="24"/>
          <w:highlight w:val="none"/>
        </w:rPr>
        <w:t>（页码）</w:t>
      </w:r>
    </w:p>
    <w:p>
      <w:pPr>
        <w:pStyle w:val="9"/>
        <w:spacing w:before="158" w:line="362" w:lineRule="auto"/>
        <w:ind w:right="378"/>
        <w:rPr>
          <w:color w:val="auto"/>
          <w:highlight w:val="none"/>
        </w:rPr>
      </w:pPr>
      <w:r>
        <w:rPr>
          <w:color w:val="auto"/>
          <w:highlight w:val="none"/>
        </w:rPr>
        <w:t>注：以上目录是编制技术商务文件的基本格式要求，各磋商供应商可根据自身情况进一步细化。</w:t>
      </w:r>
    </w:p>
    <w:p>
      <w:pPr>
        <w:spacing w:after="0" w:line="362" w:lineRule="auto"/>
        <w:rPr>
          <w:color w:val="auto"/>
          <w:highlight w:val="none"/>
        </w:rPr>
        <w:sectPr>
          <w:pgSz w:w="11900" w:h="16840"/>
          <w:pgMar w:top="1560" w:right="820" w:bottom="800" w:left="1020" w:header="0" w:footer="609" w:gutter="0"/>
        </w:sectPr>
      </w:pPr>
    </w:p>
    <w:p>
      <w:pPr>
        <w:spacing w:before="121"/>
        <w:ind w:left="0" w:right="508" w:firstLine="0"/>
        <w:jc w:val="center"/>
        <w:rPr>
          <w:b/>
          <w:color w:val="auto"/>
          <w:sz w:val="32"/>
          <w:highlight w:val="none"/>
        </w:rPr>
      </w:pPr>
      <w:bookmarkStart w:id="168" w:name="三、声明书"/>
      <w:bookmarkEnd w:id="168"/>
      <w:bookmarkStart w:id="169" w:name="一、授权委托书"/>
      <w:bookmarkEnd w:id="169"/>
      <w:r>
        <w:rPr>
          <w:b/>
          <w:color w:val="auto"/>
          <w:sz w:val="30"/>
          <w:highlight w:val="none"/>
        </w:rPr>
        <w:t>一、</w:t>
      </w:r>
      <w:r>
        <w:rPr>
          <w:b/>
          <w:color w:val="auto"/>
          <w:sz w:val="32"/>
          <w:highlight w:val="none"/>
        </w:rPr>
        <w:t>授权委托书</w:t>
      </w:r>
    </w:p>
    <w:p>
      <w:pPr>
        <w:pStyle w:val="3"/>
        <w:spacing w:before="210"/>
        <w:jc w:val="both"/>
        <w:rPr>
          <w:color w:val="auto"/>
          <w:highlight w:val="none"/>
        </w:rPr>
      </w:pPr>
      <w:r>
        <w:rPr>
          <w:color w:val="auto"/>
          <w:highlight w:val="none"/>
          <w:u w:val="single"/>
        </w:rPr>
        <w:t>2022 年第 19 届亚运会组委会</w:t>
      </w:r>
      <w:r>
        <w:rPr>
          <w:color w:val="auto"/>
          <w:highlight w:val="none"/>
        </w:rPr>
        <w:t>、</w:t>
      </w:r>
      <w:r>
        <w:rPr>
          <w:rFonts w:hint="eastAsia"/>
          <w:color w:val="auto"/>
          <w:highlight w:val="none"/>
          <w:lang w:eastAsia="zh-CN"/>
        </w:rPr>
        <w:t>浙江五石工程咨询有限公司</w:t>
      </w:r>
      <w:r>
        <w:rPr>
          <w:color w:val="auto"/>
          <w:highlight w:val="none"/>
        </w:rPr>
        <w:t>：</w:t>
      </w:r>
    </w:p>
    <w:p>
      <w:pPr>
        <w:pStyle w:val="3"/>
        <w:tabs>
          <w:tab w:val="left" w:pos="2152"/>
          <w:tab w:val="left" w:pos="4168"/>
          <w:tab w:val="left" w:pos="4227"/>
          <w:tab w:val="left" w:pos="7271"/>
          <w:tab w:val="left" w:pos="8051"/>
          <w:tab w:val="left" w:pos="9503"/>
        </w:tabs>
        <w:spacing w:before="160" w:line="364" w:lineRule="auto"/>
        <w:ind w:right="311" w:firstLine="480"/>
        <w:jc w:val="both"/>
        <w:rPr>
          <w:color w:val="auto"/>
          <w:highlight w:val="none"/>
        </w:rPr>
      </w:pPr>
      <w:r>
        <w:rPr>
          <w:color w:val="auto"/>
          <w:highlight w:val="none"/>
        </w:rPr>
        <w:t>兹委派我公司</w:t>
      </w:r>
      <w:r>
        <w:rPr>
          <w:color w:val="auto"/>
          <w:highlight w:val="none"/>
          <w:u w:val="single"/>
        </w:rPr>
        <w:t xml:space="preserve"> </w:t>
      </w:r>
      <w:r>
        <w:rPr>
          <w:color w:val="auto"/>
          <w:highlight w:val="none"/>
          <w:u w:val="single"/>
        </w:rPr>
        <w:tab/>
      </w:r>
      <w:r>
        <w:rPr>
          <w:color w:val="auto"/>
          <w:highlight w:val="none"/>
        </w:rPr>
        <w:t>先生</w:t>
      </w:r>
      <w:r>
        <w:rPr>
          <w:color w:val="auto"/>
          <w:spacing w:val="4"/>
          <w:highlight w:val="none"/>
        </w:rPr>
        <w:t>/</w:t>
      </w:r>
      <w:r>
        <w:rPr>
          <w:color w:val="auto"/>
          <w:highlight w:val="none"/>
        </w:rPr>
        <w:t>女士（身份证号：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，其在本公司</w:t>
      </w:r>
      <w:r>
        <w:rPr>
          <w:color w:val="auto"/>
          <w:spacing w:val="-12"/>
          <w:highlight w:val="none"/>
        </w:rPr>
        <w:t>的</w:t>
      </w:r>
      <w:r>
        <w:rPr>
          <w:color w:val="auto"/>
          <w:spacing w:val="50"/>
          <w:highlight w:val="none"/>
        </w:rPr>
        <w:t>职务是</w:t>
      </w:r>
      <w:r>
        <w:rPr>
          <w:color w:val="auto"/>
          <w:highlight w:val="none"/>
        </w:rPr>
        <w:t>：</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w:t>
      </w:r>
      <w:r>
        <w:rPr>
          <w:color w:val="auto"/>
          <w:spacing w:val="-70"/>
          <w:highlight w:val="none"/>
        </w:rPr>
        <w:t xml:space="preserve"> </w:t>
      </w:r>
      <w:r>
        <w:rPr>
          <w:color w:val="auto"/>
          <w:spacing w:val="50"/>
          <w:highlight w:val="none"/>
        </w:rPr>
        <w:t>联系电话</w:t>
      </w:r>
      <w:r>
        <w:rPr>
          <w:color w:val="auto"/>
          <w:highlight w:val="none"/>
        </w:rPr>
        <w:t>：</w:t>
      </w:r>
      <w:r>
        <w:rPr>
          <w:color w:val="auto"/>
          <w:highlight w:val="none"/>
          <w:u w:val="single"/>
        </w:rPr>
        <w:t xml:space="preserve"> </w:t>
      </w:r>
      <w:r>
        <w:rPr>
          <w:color w:val="auto"/>
          <w:highlight w:val="none"/>
          <w:u w:val="single"/>
        </w:rPr>
        <w:tab/>
      </w:r>
      <w:r>
        <w:rPr>
          <w:color w:val="auto"/>
          <w:spacing w:val="50"/>
          <w:highlight w:val="none"/>
        </w:rPr>
        <w:t>手机</w:t>
      </w:r>
      <w:r>
        <w:rPr>
          <w:color w:val="auto"/>
          <w:highlight w:val="none"/>
        </w:rPr>
        <w:t>：</w:t>
      </w:r>
      <w:r>
        <w:rPr>
          <w:color w:val="auto"/>
          <w:highlight w:val="none"/>
          <w:u w:val="single"/>
        </w:rPr>
        <w:t xml:space="preserve"> </w:t>
      </w:r>
      <w:r>
        <w:rPr>
          <w:color w:val="auto"/>
          <w:highlight w:val="none"/>
          <w:u w:val="single"/>
        </w:rPr>
        <w:tab/>
      </w:r>
      <w:r>
        <w:rPr>
          <w:color w:val="auto"/>
          <w:spacing w:val="-14"/>
          <w:highlight w:val="none"/>
        </w:rPr>
        <w:t>传</w:t>
      </w:r>
      <w:r>
        <w:rPr>
          <w:color w:val="auto"/>
          <w:spacing w:val="4"/>
          <w:highlight w:val="none"/>
        </w:rPr>
        <w:t>真：</w:t>
      </w:r>
      <w:r>
        <w:rPr>
          <w:color w:val="auto"/>
          <w:spacing w:val="4"/>
          <w:highlight w:val="none"/>
          <w:u w:val="single"/>
        </w:rPr>
        <w:t xml:space="preserve"> </w:t>
      </w:r>
      <w:r>
        <w:rPr>
          <w:color w:val="auto"/>
          <w:spacing w:val="4"/>
          <w:highlight w:val="none"/>
          <w:u w:val="single"/>
        </w:rPr>
        <w:tab/>
      </w:r>
      <w:r>
        <w:rPr>
          <w:color w:val="auto"/>
          <w:spacing w:val="5"/>
          <w:highlight w:val="none"/>
        </w:rPr>
        <w:t>），</w:t>
      </w:r>
      <w:r>
        <w:rPr>
          <w:color w:val="auto"/>
          <w:spacing w:val="4"/>
          <w:highlight w:val="none"/>
        </w:rPr>
        <w:t>代表我</w:t>
      </w:r>
      <w:r>
        <w:rPr>
          <w:color w:val="auto"/>
          <w:spacing w:val="7"/>
          <w:highlight w:val="none"/>
        </w:rPr>
        <w:t>公</w:t>
      </w:r>
      <w:r>
        <w:rPr>
          <w:color w:val="auto"/>
          <w:spacing w:val="4"/>
          <w:highlight w:val="none"/>
        </w:rPr>
        <w:t>司全权</w:t>
      </w:r>
      <w:r>
        <w:rPr>
          <w:color w:val="auto"/>
          <w:spacing w:val="7"/>
          <w:highlight w:val="none"/>
        </w:rPr>
        <w:t>处</w:t>
      </w:r>
      <w:r>
        <w:rPr>
          <w:color w:val="auto"/>
          <w:highlight w:val="none"/>
        </w:rPr>
        <w:t>理</w:t>
      </w:r>
      <w:r>
        <w:rPr>
          <w:color w:val="auto"/>
          <w:spacing w:val="-56"/>
          <w:highlight w:val="none"/>
        </w:rPr>
        <w:t xml:space="preserve"> </w:t>
      </w:r>
      <w:r>
        <w:rPr>
          <w:color w:val="auto"/>
          <w:highlight w:val="none"/>
        </w:rPr>
        <w:t>2022</w:t>
      </w:r>
      <w:r>
        <w:rPr>
          <w:color w:val="auto"/>
          <w:spacing w:val="-53"/>
          <w:highlight w:val="none"/>
        </w:rPr>
        <w:t xml:space="preserve"> </w:t>
      </w:r>
      <w:r>
        <w:rPr>
          <w:color w:val="auto"/>
          <w:spacing w:val="4"/>
          <w:highlight w:val="none"/>
        </w:rPr>
        <w:t>年</w:t>
      </w:r>
      <w:r>
        <w:rPr>
          <w:color w:val="auto"/>
          <w:highlight w:val="none"/>
        </w:rPr>
        <w:t>第</w:t>
      </w:r>
      <w:r>
        <w:rPr>
          <w:color w:val="auto"/>
          <w:spacing w:val="-56"/>
          <w:highlight w:val="none"/>
        </w:rPr>
        <w:t xml:space="preserve"> </w:t>
      </w:r>
      <w:r>
        <w:rPr>
          <w:color w:val="auto"/>
          <w:highlight w:val="none"/>
        </w:rPr>
        <w:t>19</w:t>
      </w:r>
      <w:r>
        <w:rPr>
          <w:color w:val="auto"/>
          <w:spacing w:val="-56"/>
          <w:highlight w:val="none"/>
        </w:rPr>
        <w:t xml:space="preserve"> </w:t>
      </w:r>
      <w:r>
        <w:rPr>
          <w:color w:val="auto"/>
          <w:spacing w:val="4"/>
          <w:highlight w:val="none"/>
        </w:rPr>
        <w:t>届</w:t>
      </w:r>
      <w:r>
        <w:rPr>
          <w:color w:val="auto"/>
          <w:spacing w:val="7"/>
          <w:highlight w:val="none"/>
        </w:rPr>
        <w:t>亚</w:t>
      </w:r>
      <w:r>
        <w:rPr>
          <w:color w:val="auto"/>
          <w:spacing w:val="4"/>
          <w:highlight w:val="none"/>
        </w:rPr>
        <w:t>运会组</w:t>
      </w:r>
      <w:r>
        <w:rPr>
          <w:color w:val="auto"/>
          <w:spacing w:val="7"/>
          <w:highlight w:val="none"/>
        </w:rPr>
        <w:t>委</w:t>
      </w:r>
      <w:r>
        <w:rPr>
          <w:color w:val="auto"/>
          <w:spacing w:val="4"/>
          <w:highlight w:val="none"/>
        </w:rPr>
        <w:t>会</w:t>
      </w:r>
      <w:r>
        <w:rPr>
          <w:rFonts w:hint="eastAsia"/>
          <w:color w:val="auto"/>
          <w:spacing w:val="4"/>
          <w:highlight w:val="none"/>
          <w:lang w:eastAsia="zh-CN"/>
        </w:rPr>
        <w:t>2022年亚运会餐饮服务规划和安全保障研究</w:t>
      </w:r>
      <w:r>
        <w:rPr>
          <w:color w:val="auto"/>
          <w:highlight w:val="none"/>
        </w:rPr>
        <w:t>采购</w:t>
      </w:r>
      <w:r>
        <w:rPr>
          <w:color w:val="auto"/>
          <w:spacing w:val="4"/>
          <w:highlight w:val="none"/>
        </w:rPr>
        <w:t>项</w:t>
      </w:r>
      <w:r>
        <w:rPr>
          <w:color w:val="auto"/>
          <w:highlight w:val="none"/>
        </w:rPr>
        <w:t>目（编</w:t>
      </w:r>
      <w:r>
        <w:rPr>
          <w:color w:val="auto"/>
          <w:spacing w:val="4"/>
          <w:highlight w:val="none"/>
        </w:rPr>
        <w:t>号</w:t>
      </w:r>
      <w:r>
        <w:rPr>
          <w:color w:val="auto"/>
          <w:highlight w:val="none"/>
        </w:rPr>
        <w:t>：</w:t>
      </w:r>
      <w:r>
        <w:rPr>
          <w:rFonts w:hint="eastAsia"/>
          <w:color w:val="auto"/>
          <w:highlight w:val="none"/>
          <w:lang w:eastAsia="zh-CN"/>
        </w:rPr>
        <w:t>ZJWSBJ-YZW-201901C</w:t>
      </w:r>
      <w:r>
        <w:rPr>
          <w:color w:val="auto"/>
          <w:highlight w:val="none"/>
        </w:rPr>
        <w:t>）之包</w:t>
      </w:r>
      <w:r>
        <w:rPr>
          <w:color w:val="auto"/>
          <w:spacing w:val="4"/>
          <w:highlight w:val="none"/>
        </w:rPr>
        <w:t>号</w:t>
      </w:r>
      <w:r>
        <w:rPr>
          <w:color w:val="auto"/>
          <w:spacing w:val="4"/>
          <w:highlight w:val="none"/>
          <w:u w:val="single"/>
        </w:rPr>
        <w:t xml:space="preserve">  </w:t>
      </w:r>
      <w:r>
        <w:rPr>
          <w:color w:val="auto"/>
          <w:spacing w:val="42"/>
          <w:highlight w:val="none"/>
          <w:u w:val="single"/>
        </w:rPr>
        <w:t xml:space="preserve"> </w:t>
      </w:r>
      <w:r>
        <w:rPr>
          <w:color w:val="auto"/>
          <w:highlight w:val="none"/>
        </w:rPr>
        <w:t>政府</w:t>
      </w:r>
      <w:r>
        <w:rPr>
          <w:color w:val="auto"/>
          <w:spacing w:val="4"/>
          <w:highlight w:val="none"/>
        </w:rPr>
        <w:t>采</w:t>
      </w:r>
      <w:r>
        <w:rPr>
          <w:color w:val="auto"/>
          <w:highlight w:val="none"/>
        </w:rPr>
        <w:t>购活动</w:t>
      </w:r>
      <w:r>
        <w:rPr>
          <w:color w:val="auto"/>
          <w:spacing w:val="4"/>
          <w:highlight w:val="none"/>
        </w:rPr>
        <w:t>的</w:t>
      </w:r>
      <w:r>
        <w:rPr>
          <w:color w:val="auto"/>
          <w:highlight w:val="none"/>
        </w:rPr>
        <w:t>一切事</w:t>
      </w:r>
      <w:r>
        <w:rPr>
          <w:color w:val="auto"/>
          <w:spacing w:val="4"/>
          <w:highlight w:val="none"/>
        </w:rPr>
        <w:t>项</w:t>
      </w:r>
      <w:r>
        <w:rPr>
          <w:color w:val="auto"/>
          <w:highlight w:val="none"/>
        </w:rPr>
        <w:t>，若成</w:t>
      </w:r>
      <w:r>
        <w:rPr>
          <w:color w:val="auto"/>
          <w:spacing w:val="4"/>
          <w:highlight w:val="none"/>
        </w:rPr>
        <w:t>交</w:t>
      </w:r>
      <w:r>
        <w:rPr>
          <w:color w:val="auto"/>
          <w:highlight w:val="none"/>
        </w:rPr>
        <w:t>则全权代表本公司签订相关合同，并负责处理合同履行等事宜。</w:t>
      </w:r>
    </w:p>
    <w:p>
      <w:pPr>
        <w:pStyle w:val="3"/>
        <w:spacing w:line="364" w:lineRule="auto"/>
        <w:ind w:left="828" w:right="2823"/>
        <w:jc w:val="both"/>
        <w:rPr>
          <w:color w:val="auto"/>
          <w:highlight w:val="none"/>
        </w:rPr>
      </w:pPr>
      <w:r>
        <w:rPr>
          <w:color w:val="auto"/>
          <w:highlight w:val="none"/>
        </w:rPr>
        <w:t>委托期限：   年  月   日起至    年   月   日止。被授权委托人无转委托权。</w:t>
      </w:r>
    </w:p>
    <w:p>
      <w:pPr>
        <w:pStyle w:val="3"/>
        <w:ind w:left="0"/>
        <w:rPr>
          <w:color w:val="auto"/>
          <w:highlight w:val="none"/>
        </w:rPr>
      </w:pPr>
    </w:p>
    <w:p>
      <w:pPr>
        <w:pStyle w:val="3"/>
        <w:spacing w:before="155" w:line="364" w:lineRule="auto"/>
        <w:ind w:right="6654"/>
        <w:rPr>
          <w:color w:val="auto"/>
          <w:highlight w:val="none"/>
        </w:rPr>
      </w:pPr>
      <w:r>
        <w:rPr>
          <w:color w:val="auto"/>
          <w:highlight w:val="none"/>
        </w:rPr>
        <w:t>磋商供应商全称（盖章）： 法定代表人（签字或盖章</w:t>
      </w:r>
      <w:r>
        <w:rPr>
          <w:color w:val="auto"/>
          <w:spacing w:val="-9"/>
          <w:highlight w:val="none"/>
        </w:rPr>
        <w:t xml:space="preserve">）： </w:t>
      </w:r>
      <w:r>
        <w:rPr>
          <w:color w:val="auto"/>
          <w:highlight w:val="none"/>
        </w:rPr>
        <w:t>法定代表人身份证号码：</w:t>
      </w:r>
    </w:p>
    <w:p>
      <w:pPr>
        <w:pStyle w:val="3"/>
        <w:tabs>
          <w:tab w:val="left" w:pos="1243"/>
        </w:tabs>
        <w:spacing w:line="307" w:lineRule="exact"/>
        <w:rPr>
          <w:color w:val="auto"/>
          <w:highlight w:val="none"/>
        </w:rPr>
      </w:pPr>
      <w:r>
        <w:rPr>
          <w:color w:val="auto"/>
          <w:highlight w:val="none"/>
        </w:rPr>
        <w:t>日</w:t>
      </w:r>
      <w:r>
        <w:rPr>
          <w:color w:val="auto"/>
          <w:highlight w:val="none"/>
        </w:rPr>
        <w:tab/>
      </w:r>
      <w:r>
        <w:rPr>
          <w:color w:val="auto"/>
          <w:highlight w:val="none"/>
        </w:rPr>
        <w:t>期：</w:t>
      </w:r>
    </w:p>
    <w:p>
      <w:pPr>
        <w:pStyle w:val="9"/>
        <w:spacing w:before="158"/>
        <w:rPr>
          <w:color w:val="auto"/>
          <w:highlight w:val="none"/>
        </w:rPr>
      </w:pPr>
      <w:r>
        <w:rPr>
          <w:color w:val="auto"/>
          <w:highlight w:val="none"/>
        </w:rPr>
        <w:t>注：授权委托书应按上述内容及格式填写，不得修改。</w:t>
      </w:r>
    </w:p>
    <w:p>
      <w:pPr>
        <w:pStyle w:val="3"/>
        <w:ind w:left="0"/>
        <w:rPr>
          <w:b/>
          <w:color w:val="auto"/>
          <w:highlight w:val="none"/>
        </w:rPr>
      </w:pPr>
    </w:p>
    <w:p>
      <w:pPr>
        <w:pStyle w:val="3"/>
        <w:ind w:left="0"/>
        <w:rPr>
          <w:b/>
          <w:color w:val="auto"/>
          <w:highlight w:val="none"/>
        </w:rPr>
      </w:pPr>
    </w:p>
    <w:p>
      <w:pPr>
        <w:pStyle w:val="3"/>
        <w:ind w:left="0"/>
        <w:rPr>
          <w:b/>
          <w:color w:val="auto"/>
          <w:highlight w:val="none"/>
        </w:rPr>
      </w:pPr>
    </w:p>
    <w:p>
      <w:pPr>
        <w:spacing w:before="172"/>
        <w:ind w:left="0" w:right="507" w:firstLine="0"/>
        <w:jc w:val="center"/>
        <w:rPr>
          <w:b/>
          <w:color w:val="auto"/>
          <w:sz w:val="30"/>
          <w:highlight w:val="none"/>
        </w:rPr>
      </w:pPr>
      <w:bookmarkStart w:id="170" w:name="二、法定代表人及其授权代表的身份证（复印件加盖公章）"/>
      <w:bookmarkEnd w:id="170"/>
      <w:r>
        <w:rPr>
          <w:b/>
          <w:color w:val="auto"/>
          <w:sz w:val="30"/>
          <w:highlight w:val="none"/>
        </w:rPr>
        <w:t>二、法定代表人及其授权代表的身份证（复印件加盖公章）</w:t>
      </w:r>
    </w:p>
    <w:p>
      <w:pPr>
        <w:spacing w:after="0"/>
        <w:jc w:val="center"/>
        <w:rPr>
          <w:color w:val="auto"/>
          <w:sz w:val="30"/>
          <w:highlight w:val="none"/>
        </w:rPr>
        <w:sectPr>
          <w:pgSz w:w="11900" w:h="16840"/>
          <w:pgMar w:top="1600" w:right="820" w:bottom="800" w:left="1020" w:header="0" w:footer="609" w:gutter="0"/>
        </w:sectPr>
      </w:pPr>
    </w:p>
    <w:p>
      <w:pPr>
        <w:spacing w:before="38"/>
        <w:ind w:left="214" w:right="27" w:firstLine="0"/>
        <w:jc w:val="center"/>
        <w:rPr>
          <w:b/>
          <w:color w:val="auto"/>
          <w:sz w:val="32"/>
          <w:highlight w:val="none"/>
        </w:rPr>
      </w:pPr>
      <w:r>
        <w:rPr>
          <w:b/>
          <w:color w:val="auto"/>
          <w:sz w:val="32"/>
          <w:highlight w:val="none"/>
        </w:rPr>
        <w:t>三、声明书</w:t>
      </w:r>
    </w:p>
    <w:p>
      <w:pPr>
        <w:pStyle w:val="3"/>
        <w:spacing w:before="210"/>
        <w:jc w:val="both"/>
        <w:rPr>
          <w:color w:val="auto"/>
          <w:highlight w:val="none"/>
        </w:rPr>
      </w:pPr>
      <w:r>
        <w:rPr>
          <w:color w:val="auto"/>
          <w:highlight w:val="none"/>
        </w:rPr>
        <w:t>2022 年第 19 届亚运会组委会、</w:t>
      </w:r>
      <w:r>
        <w:rPr>
          <w:rFonts w:hint="eastAsia"/>
          <w:color w:val="auto"/>
          <w:highlight w:val="none"/>
          <w:lang w:eastAsia="zh-CN"/>
        </w:rPr>
        <w:t>浙江五石工程咨询有限公司</w:t>
      </w:r>
      <w:r>
        <w:rPr>
          <w:color w:val="auto"/>
          <w:highlight w:val="none"/>
        </w:rPr>
        <w:t>：</w:t>
      </w:r>
    </w:p>
    <w:p>
      <w:pPr>
        <w:pStyle w:val="3"/>
        <w:spacing w:before="160" w:line="364" w:lineRule="auto"/>
        <w:ind w:right="311" w:firstLine="480"/>
        <w:jc w:val="both"/>
        <w:rPr>
          <w:color w:val="auto"/>
          <w:highlight w:val="none"/>
        </w:rPr>
      </w:pPr>
      <w:r>
        <w:rPr>
          <w:color w:val="auto"/>
          <w:spacing w:val="11"/>
          <w:highlight w:val="none"/>
        </w:rPr>
        <w:t xml:space="preserve">本单位自愿参加 </w:t>
      </w:r>
      <w:r>
        <w:rPr>
          <w:color w:val="auto"/>
          <w:highlight w:val="none"/>
        </w:rPr>
        <w:t>2022</w:t>
      </w:r>
      <w:r>
        <w:rPr>
          <w:color w:val="auto"/>
          <w:spacing w:val="-13"/>
          <w:highlight w:val="none"/>
        </w:rPr>
        <w:t xml:space="preserve"> 年第 </w:t>
      </w:r>
      <w:r>
        <w:rPr>
          <w:color w:val="auto"/>
          <w:highlight w:val="none"/>
        </w:rPr>
        <w:t>19</w:t>
      </w:r>
      <w:r>
        <w:rPr>
          <w:color w:val="auto"/>
          <w:spacing w:val="16"/>
          <w:highlight w:val="none"/>
        </w:rPr>
        <w:t xml:space="preserve"> 届亚运会组委会</w:t>
      </w:r>
      <w:r>
        <w:rPr>
          <w:rFonts w:hint="eastAsia"/>
          <w:color w:val="auto"/>
          <w:spacing w:val="16"/>
          <w:highlight w:val="none"/>
          <w:lang w:eastAsia="zh-CN"/>
        </w:rPr>
        <w:t>2022年亚运会餐饮服务规划和安全保障研究</w:t>
      </w:r>
      <w:r>
        <w:rPr>
          <w:color w:val="auto"/>
          <w:highlight w:val="none"/>
        </w:rPr>
        <w:t>（</w:t>
      </w:r>
      <w:r>
        <w:rPr>
          <w:color w:val="auto"/>
          <w:spacing w:val="-31"/>
          <w:highlight w:val="none"/>
        </w:rPr>
        <w:t xml:space="preserve"> 编号： </w:t>
      </w:r>
      <w:r>
        <w:rPr>
          <w:color w:val="auto"/>
          <w:spacing w:val="-3"/>
          <w:highlight w:val="none"/>
        </w:rPr>
        <w:t xml:space="preserve">THZB- </w:t>
      </w:r>
      <w:r>
        <w:rPr>
          <w:color w:val="auto"/>
          <w:highlight w:val="none"/>
        </w:rPr>
        <w:t>19NA35045）</w:t>
      </w:r>
      <w:r>
        <w:rPr>
          <w:color w:val="auto"/>
          <w:spacing w:val="3"/>
          <w:highlight w:val="none"/>
        </w:rPr>
        <w:t>政府采购项目的磋商，并保证响应文件中所列举的报价文件等相关资料以及公司基本情况资料是真实的、合法的。</w:t>
      </w:r>
    </w:p>
    <w:p>
      <w:pPr>
        <w:pStyle w:val="3"/>
        <w:spacing w:line="305" w:lineRule="exact"/>
        <w:ind w:left="763"/>
        <w:rPr>
          <w:color w:val="auto"/>
          <w:highlight w:val="none"/>
        </w:rPr>
      </w:pPr>
      <w:r>
        <w:rPr>
          <w:color w:val="auto"/>
          <w:highlight w:val="none"/>
        </w:rPr>
        <w:t>同意此次磋商文件中的各项内容。</w:t>
      </w:r>
    </w:p>
    <w:p>
      <w:pPr>
        <w:pStyle w:val="3"/>
        <w:spacing w:before="161"/>
        <w:ind w:left="763"/>
        <w:rPr>
          <w:color w:val="auto"/>
          <w:highlight w:val="none"/>
        </w:rPr>
      </w:pPr>
      <w:r>
        <w:rPr>
          <w:color w:val="auto"/>
          <w:highlight w:val="none"/>
        </w:rPr>
        <w:t>同意提供按照贵方可能要求的与磋商有关的一切数据或资料等。</w:t>
      </w:r>
    </w:p>
    <w:p>
      <w:pPr>
        <w:pStyle w:val="3"/>
        <w:spacing w:before="158" w:line="364" w:lineRule="auto"/>
        <w:ind w:right="414" w:firstLine="480"/>
        <w:rPr>
          <w:color w:val="auto"/>
          <w:highlight w:val="none"/>
        </w:rPr>
      </w:pPr>
      <w:r>
        <w:rPr>
          <w:color w:val="auto"/>
          <w:highlight w:val="none"/>
        </w:rPr>
        <w:t>本单位如成交，保证按照响应文件的承诺与贵方签订合同，保证履行合同条款并缴纳履约保证金。</w:t>
      </w:r>
    </w:p>
    <w:p>
      <w:pPr>
        <w:pStyle w:val="3"/>
        <w:tabs>
          <w:tab w:val="left" w:pos="6763"/>
          <w:tab w:val="left" w:pos="7243"/>
          <w:tab w:val="left" w:pos="7843"/>
        </w:tabs>
        <w:spacing w:line="364" w:lineRule="auto"/>
        <w:ind w:left="5443" w:right="1974"/>
        <w:rPr>
          <w:color w:val="auto"/>
          <w:highlight w:val="none"/>
        </w:rPr>
      </w:pPr>
      <w:r>
        <w:rPr>
          <w:color w:val="auto"/>
          <w:highlight w:val="none"/>
        </w:rPr>
        <w:t>磋商供应商（盖章）：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5"/>
        <w:spacing w:before="159"/>
        <w:jc w:val="center"/>
        <w:rPr>
          <w:color w:val="auto"/>
          <w:highlight w:val="none"/>
        </w:rPr>
      </w:pPr>
      <w:bookmarkStart w:id="171" w:name="四、磋商供应商情况介绍"/>
      <w:bookmarkEnd w:id="171"/>
      <w:bookmarkStart w:id="172" w:name="_Toc25306"/>
      <w:r>
        <w:rPr>
          <w:color w:val="auto"/>
          <w:highlight w:val="none"/>
        </w:rPr>
        <w:t>四、磋商供应商情况介绍</w:t>
      </w:r>
      <w:bookmarkEnd w:id="172"/>
    </w:p>
    <w:p>
      <w:pPr>
        <w:spacing w:before="212"/>
        <w:ind w:left="0" w:right="28" w:firstLine="0"/>
        <w:jc w:val="center"/>
        <w:rPr>
          <w:b/>
          <w:color w:val="auto"/>
          <w:sz w:val="32"/>
          <w:highlight w:val="none"/>
        </w:rPr>
      </w:pPr>
      <w:r>
        <w:rPr>
          <w:b/>
          <w:color w:val="auto"/>
          <w:sz w:val="32"/>
          <w:highlight w:val="none"/>
        </w:rPr>
        <w:t>（根据磋商文件要求自行编制）</w:t>
      </w:r>
    </w:p>
    <w:p>
      <w:pPr>
        <w:pStyle w:val="3"/>
        <w:ind w:left="0"/>
        <w:rPr>
          <w:b/>
          <w:color w:val="auto"/>
          <w:sz w:val="32"/>
          <w:highlight w:val="none"/>
        </w:rPr>
      </w:pPr>
    </w:p>
    <w:p>
      <w:pPr>
        <w:pStyle w:val="3"/>
        <w:spacing w:before="2"/>
        <w:ind w:left="0"/>
        <w:rPr>
          <w:b/>
          <w:color w:val="auto"/>
          <w:sz w:val="33"/>
          <w:highlight w:val="none"/>
        </w:rPr>
      </w:pPr>
    </w:p>
    <w:p>
      <w:pPr>
        <w:pStyle w:val="5"/>
        <w:spacing w:before="159"/>
        <w:jc w:val="center"/>
        <w:rPr>
          <w:color w:val="auto"/>
          <w:highlight w:val="none"/>
        </w:rPr>
      </w:pPr>
      <w:bookmarkStart w:id="173" w:name="五、主要业绩证明（复印件加盖公章）"/>
      <w:bookmarkEnd w:id="173"/>
      <w:bookmarkStart w:id="174" w:name="_Toc24373"/>
      <w:r>
        <w:rPr>
          <w:color w:val="auto"/>
          <w:highlight w:val="none"/>
        </w:rPr>
        <w:t>五、主要业绩证明（复印件加盖公章）</w:t>
      </w:r>
      <w:bookmarkEnd w:id="174"/>
    </w:p>
    <w:p>
      <w:pPr>
        <w:pStyle w:val="9"/>
        <w:spacing w:before="212"/>
        <w:ind w:left="403"/>
        <w:rPr>
          <w:color w:val="auto"/>
          <w:highlight w:val="none"/>
        </w:rPr>
      </w:pPr>
      <w:r>
        <w:rPr>
          <w:color w:val="auto"/>
          <w:highlight w:val="none"/>
        </w:rPr>
        <w:t>附：相关项目业绩一览表、业绩证明材料、验收报告或用户满意度证明等。</w:t>
      </w:r>
    </w:p>
    <w:p>
      <w:pPr>
        <w:pStyle w:val="3"/>
        <w:spacing w:before="158" w:line="364" w:lineRule="auto"/>
        <w:ind w:right="414"/>
        <w:jc w:val="both"/>
        <w:rPr>
          <w:color w:val="auto"/>
          <w:highlight w:val="none"/>
        </w:rPr>
      </w:pPr>
      <w:r>
        <w:rPr>
          <w:color w:val="auto"/>
          <w:highlight w:val="none"/>
        </w:rPr>
        <w:t>说明：磋商供应商承担类似项目情况，参考合同实例证明（原件备查，磋商小组在项目评审直至合同签订、履约期间，有权要求磋商供应商出具磋商响应文件中的主要业绩证明合同原件，予以确认其真实性和有效性，如出现与事实不符等情况，将报请有关部门根据有关规定以“提供虚假材料谋取成交”予以处罚），是否有良好的工作业绩和履约记录等情况；如磋商供应商提供的合同复印件等实施项目证明材料与磋商供应商主体无关或违规转包分包的，磋商小组将进行扣分直至认定响应文件无效；</w:t>
      </w:r>
    </w:p>
    <w:p>
      <w:pPr>
        <w:pStyle w:val="3"/>
        <w:ind w:left="0"/>
        <w:rPr>
          <w:color w:val="auto"/>
          <w:highlight w:val="none"/>
        </w:rPr>
      </w:pPr>
    </w:p>
    <w:p>
      <w:pPr>
        <w:pStyle w:val="5"/>
        <w:spacing w:before="159"/>
        <w:ind w:left="238" w:right="27"/>
        <w:jc w:val="center"/>
        <w:rPr>
          <w:color w:val="auto"/>
          <w:highlight w:val="none"/>
        </w:rPr>
      </w:pPr>
      <w:bookmarkStart w:id="175" w:name="六、相关资质材料（复印件加盖公章）（如有）"/>
      <w:bookmarkEnd w:id="175"/>
      <w:bookmarkStart w:id="176" w:name="_Toc2384"/>
      <w:r>
        <w:rPr>
          <w:color w:val="auto"/>
          <w:highlight w:val="none"/>
        </w:rPr>
        <w:t>六、相关资质材料（复印件加盖公章）（如有）</w:t>
      </w:r>
      <w:bookmarkEnd w:id="176"/>
    </w:p>
    <w:p>
      <w:pPr>
        <w:pStyle w:val="9"/>
        <w:spacing w:before="210"/>
        <w:rPr>
          <w:color w:val="auto"/>
          <w:highlight w:val="none"/>
        </w:rPr>
      </w:pPr>
      <w:r>
        <w:rPr>
          <w:color w:val="auto"/>
          <w:highlight w:val="none"/>
        </w:rPr>
        <w:t>附表：本项目磋商供应商的资质情况表</w:t>
      </w:r>
    </w:p>
    <w:p>
      <w:pPr>
        <w:pStyle w:val="3"/>
        <w:spacing w:before="4"/>
        <w:ind w:left="0"/>
        <w:rPr>
          <w:b/>
          <w:color w:val="auto"/>
          <w:sz w:val="12"/>
          <w:highlight w:val="none"/>
        </w:rPr>
      </w:pPr>
    </w:p>
    <w:tbl>
      <w:tblPr>
        <w:tblStyle w:val="16"/>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931"/>
        <w:gridCol w:w="803"/>
        <w:gridCol w:w="805"/>
        <w:gridCol w:w="844"/>
        <w:gridCol w:w="1740"/>
        <w:gridCol w:w="1429"/>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3655" w:type="dxa"/>
            <w:gridSpan w:val="2"/>
          </w:tcPr>
          <w:p>
            <w:pPr>
              <w:pStyle w:val="20"/>
              <w:spacing w:before="129"/>
              <w:ind w:left="1587"/>
              <w:rPr>
                <w:b/>
                <w:color w:val="auto"/>
                <w:sz w:val="24"/>
                <w:highlight w:val="none"/>
              </w:rPr>
            </w:pPr>
            <w:r>
              <w:rPr>
                <w:b/>
                <w:color w:val="auto"/>
                <w:sz w:val="24"/>
                <w:highlight w:val="none"/>
              </w:rPr>
              <w:t>资质要求</w:t>
            </w:r>
          </w:p>
        </w:tc>
        <w:tc>
          <w:tcPr>
            <w:tcW w:w="6088" w:type="dxa"/>
            <w:gridSpan w:val="6"/>
          </w:tcPr>
          <w:p>
            <w:pPr>
              <w:pStyle w:val="20"/>
              <w:spacing w:before="129"/>
              <w:ind w:left="2783" w:right="2290"/>
              <w:jc w:val="center"/>
              <w:rPr>
                <w:b/>
                <w:color w:val="auto"/>
                <w:sz w:val="24"/>
                <w:highlight w:val="none"/>
              </w:rPr>
            </w:pPr>
            <w:r>
              <w:rPr>
                <w:b/>
                <w:color w:val="auto"/>
                <w:sz w:val="24"/>
                <w:highlight w:val="none"/>
              </w:rPr>
              <w:t>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724" w:type="dxa"/>
          </w:tcPr>
          <w:p>
            <w:pPr>
              <w:pStyle w:val="20"/>
              <w:spacing w:before="127"/>
              <w:ind w:left="119" w:right="108"/>
              <w:jc w:val="center"/>
              <w:rPr>
                <w:b/>
                <w:color w:val="auto"/>
                <w:sz w:val="24"/>
                <w:highlight w:val="none"/>
              </w:rPr>
            </w:pPr>
            <w:r>
              <w:rPr>
                <w:b/>
                <w:color w:val="auto"/>
                <w:sz w:val="24"/>
                <w:highlight w:val="none"/>
              </w:rPr>
              <w:t>其他评审所需</w:t>
            </w:r>
          </w:p>
          <w:p>
            <w:pPr>
              <w:pStyle w:val="20"/>
              <w:spacing w:before="153"/>
              <w:ind w:left="115" w:right="108"/>
              <w:jc w:val="center"/>
              <w:rPr>
                <w:b/>
                <w:color w:val="auto"/>
                <w:sz w:val="24"/>
                <w:highlight w:val="none"/>
              </w:rPr>
            </w:pPr>
            <w:r>
              <w:rPr>
                <w:b/>
                <w:color w:val="auto"/>
                <w:sz w:val="24"/>
                <w:highlight w:val="none"/>
              </w:rPr>
              <w:t>资质</w:t>
            </w:r>
          </w:p>
        </w:tc>
        <w:tc>
          <w:tcPr>
            <w:tcW w:w="1931" w:type="dxa"/>
          </w:tcPr>
          <w:p>
            <w:pPr>
              <w:pStyle w:val="20"/>
              <w:spacing w:before="11"/>
              <w:rPr>
                <w:b/>
                <w:color w:val="auto"/>
                <w:sz w:val="27"/>
                <w:highlight w:val="none"/>
              </w:rPr>
            </w:pPr>
          </w:p>
          <w:p>
            <w:pPr>
              <w:pStyle w:val="20"/>
              <w:ind w:left="485"/>
              <w:rPr>
                <w:b/>
                <w:color w:val="auto"/>
                <w:sz w:val="24"/>
                <w:highlight w:val="none"/>
              </w:rPr>
            </w:pPr>
            <w:r>
              <w:rPr>
                <w:b/>
                <w:color w:val="auto"/>
                <w:sz w:val="24"/>
                <w:highlight w:val="none"/>
              </w:rPr>
              <w:t>资质级别</w:t>
            </w:r>
          </w:p>
        </w:tc>
        <w:tc>
          <w:tcPr>
            <w:tcW w:w="803" w:type="dxa"/>
          </w:tcPr>
          <w:p>
            <w:pPr>
              <w:pStyle w:val="20"/>
              <w:spacing w:before="127"/>
              <w:ind w:left="159"/>
              <w:rPr>
                <w:b/>
                <w:color w:val="auto"/>
                <w:sz w:val="24"/>
                <w:highlight w:val="none"/>
              </w:rPr>
            </w:pPr>
            <w:r>
              <w:rPr>
                <w:b/>
                <w:color w:val="auto"/>
                <w:w w:val="95"/>
                <w:sz w:val="24"/>
                <w:highlight w:val="none"/>
              </w:rPr>
              <w:t>资质</w:t>
            </w:r>
          </w:p>
          <w:p>
            <w:pPr>
              <w:pStyle w:val="20"/>
              <w:spacing w:before="153"/>
              <w:ind w:left="159"/>
              <w:rPr>
                <w:b/>
                <w:color w:val="auto"/>
                <w:sz w:val="24"/>
                <w:highlight w:val="none"/>
              </w:rPr>
            </w:pPr>
            <w:r>
              <w:rPr>
                <w:b/>
                <w:color w:val="auto"/>
                <w:w w:val="95"/>
                <w:sz w:val="24"/>
                <w:highlight w:val="none"/>
              </w:rPr>
              <w:t>名称</w:t>
            </w:r>
          </w:p>
        </w:tc>
        <w:tc>
          <w:tcPr>
            <w:tcW w:w="805" w:type="dxa"/>
          </w:tcPr>
          <w:p>
            <w:pPr>
              <w:pStyle w:val="20"/>
              <w:spacing w:before="127"/>
              <w:ind w:left="160"/>
              <w:rPr>
                <w:b/>
                <w:color w:val="auto"/>
                <w:sz w:val="24"/>
                <w:highlight w:val="none"/>
              </w:rPr>
            </w:pPr>
            <w:r>
              <w:rPr>
                <w:b/>
                <w:color w:val="auto"/>
                <w:w w:val="95"/>
                <w:sz w:val="24"/>
                <w:highlight w:val="none"/>
              </w:rPr>
              <w:t>资质</w:t>
            </w:r>
          </w:p>
          <w:p>
            <w:pPr>
              <w:pStyle w:val="20"/>
              <w:spacing w:before="153"/>
              <w:ind w:left="160"/>
              <w:rPr>
                <w:b/>
                <w:color w:val="auto"/>
                <w:sz w:val="24"/>
                <w:highlight w:val="none"/>
              </w:rPr>
            </w:pPr>
            <w:r>
              <w:rPr>
                <w:b/>
                <w:color w:val="auto"/>
                <w:w w:val="95"/>
                <w:sz w:val="24"/>
                <w:highlight w:val="none"/>
              </w:rPr>
              <w:t>级别</w:t>
            </w:r>
          </w:p>
        </w:tc>
        <w:tc>
          <w:tcPr>
            <w:tcW w:w="844" w:type="dxa"/>
          </w:tcPr>
          <w:p>
            <w:pPr>
              <w:pStyle w:val="20"/>
              <w:spacing w:before="127"/>
              <w:ind w:left="181"/>
              <w:rPr>
                <w:b/>
                <w:color w:val="auto"/>
                <w:sz w:val="24"/>
                <w:highlight w:val="none"/>
              </w:rPr>
            </w:pPr>
            <w:r>
              <w:rPr>
                <w:b/>
                <w:color w:val="auto"/>
                <w:w w:val="95"/>
                <w:sz w:val="24"/>
                <w:highlight w:val="none"/>
              </w:rPr>
              <w:t>颁证</w:t>
            </w:r>
          </w:p>
          <w:p>
            <w:pPr>
              <w:pStyle w:val="20"/>
              <w:spacing w:before="153"/>
              <w:ind w:left="181"/>
              <w:rPr>
                <w:b/>
                <w:color w:val="auto"/>
                <w:sz w:val="24"/>
                <w:highlight w:val="none"/>
              </w:rPr>
            </w:pPr>
            <w:r>
              <w:rPr>
                <w:b/>
                <w:color w:val="auto"/>
                <w:w w:val="95"/>
                <w:sz w:val="24"/>
                <w:highlight w:val="none"/>
              </w:rPr>
              <w:t>机构</w:t>
            </w:r>
          </w:p>
        </w:tc>
        <w:tc>
          <w:tcPr>
            <w:tcW w:w="1740" w:type="dxa"/>
          </w:tcPr>
          <w:p>
            <w:pPr>
              <w:pStyle w:val="20"/>
              <w:spacing w:before="127"/>
              <w:ind w:left="268"/>
              <w:rPr>
                <w:b/>
                <w:color w:val="auto"/>
                <w:sz w:val="24"/>
                <w:highlight w:val="none"/>
              </w:rPr>
            </w:pPr>
            <w:r>
              <w:rPr>
                <w:b/>
                <w:color w:val="auto"/>
                <w:w w:val="95"/>
                <w:sz w:val="24"/>
                <w:highlight w:val="none"/>
              </w:rPr>
              <w:t>证书有效期</w:t>
            </w:r>
          </w:p>
          <w:p>
            <w:pPr>
              <w:pStyle w:val="20"/>
              <w:spacing w:before="153"/>
              <w:ind w:left="268"/>
              <w:rPr>
                <w:b/>
                <w:color w:val="auto"/>
                <w:sz w:val="24"/>
                <w:highlight w:val="none"/>
              </w:rPr>
            </w:pPr>
            <w:r>
              <w:rPr>
                <w:b/>
                <w:color w:val="auto"/>
                <w:w w:val="95"/>
                <w:sz w:val="24"/>
                <w:highlight w:val="none"/>
              </w:rPr>
              <w:t>(起止年月)</w:t>
            </w:r>
          </w:p>
        </w:tc>
        <w:tc>
          <w:tcPr>
            <w:tcW w:w="1429" w:type="dxa"/>
          </w:tcPr>
          <w:p>
            <w:pPr>
              <w:pStyle w:val="20"/>
              <w:spacing w:before="127"/>
              <w:ind w:left="112"/>
              <w:rPr>
                <w:b/>
                <w:color w:val="auto"/>
                <w:sz w:val="24"/>
                <w:highlight w:val="none"/>
              </w:rPr>
            </w:pPr>
            <w:r>
              <w:rPr>
                <w:b/>
                <w:color w:val="auto"/>
                <w:sz w:val="24"/>
                <w:highlight w:val="none"/>
              </w:rPr>
              <w:t>证书复印件</w:t>
            </w:r>
          </w:p>
          <w:p>
            <w:pPr>
              <w:pStyle w:val="20"/>
              <w:spacing w:before="153"/>
              <w:ind w:left="232"/>
              <w:rPr>
                <w:b/>
                <w:color w:val="auto"/>
                <w:sz w:val="24"/>
                <w:highlight w:val="none"/>
              </w:rPr>
            </w:pPr>
            <w:r>
              <w:rPr>
                <w:b/>
                <w:color w:val="auto"/>
                <w:sz w:val="24"/>
                <w:highlight w:val="none"/>
              </w:rPr>
              <w:t>所在页码</w:t>
            </w:r>
          </w:p>
        </w:tc>
        <w:tc>
          <w:tcPr>
            <w:tcW w:w="467" w:type="dxa"/>
          </w:tcPr>
          <w:p>
            <w:pPr>
              <w:pStyle w:val="20"/>
              <w:spacing w:before="127"/>
              <w:ind w:left="111"/>
              <w:rPr>
                <w:b/>
                <w:color w:val="auto"/>
                <w:sz w:val="24"/>
                <w:highlight w:val="none"/>
              </w:rPr>
            </w:pPr>
            <w:r>
              <w:rPr>
                <w:b/>
                <w:color w:val="auto"/>
                <w:w w:val="99"/>
                <w:sz w:val="24"/>
                <w:highlight w:val="none"/>
              </w:rPr>
              <w:t>备</w:t>
            </w:r>
          </w:p>
          <w:p>
            <w:pPr>
              <w:pStyle w:val="20"/>
              <w:spacing w:before="153"/>
              <w:ind w:left="111"/>
              <w:rPr>
                <w:b/>
                <w:color w:val="auto"/>
                <w:sz w:val="24"/>
                <w:highlight w:val="none"/>
              </w:rPr>
            </w:pPr>
            <w:r>
              <w:rPr>
                <w:b/>
                <w:color w:val="auto"/>
                <w:w w:val="99"/>
                <w:sz w:val="24"/>
                <w:highlight w:val="none"/>
              </w:rPr>
              <w:t>注</w:t>
            </w:r>
          </w:p>
        </w:tc>
      </w:tr>
    </w:tbl>
    <w:p>
      <w:pPr>
        <w:spacing w:after="0"/>
        <w:rPr>
          <w:color w:val="auto"/>
          <w:sz w:val="24"/>
          <w:highlight w:val="none"/>
        </w:rPr>
        <w:sectPr>
          <w:pgSz w:w="11900" w:h="16840"/>
          <w:pgMar w:top="1100" w:right="820" w:bottom="800" w:left="1020" w:header="0" w:footer="609" w:gutter="0"/>
        </w:sectPr>
      </w:pPr>
    </w:p>
    <w:tbl>
      <w:tblPr>
        <w:tblStyle w:val="16"/>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931"/>
        <w:gridCol w:w="803"/>
        <w:gridCol w:w="805"/>
        <w:gridCol w:w="844"/>
        <w:gridCol w:w="1740"/>
        <w:gridCol w:w="1429"/>
        <w:gridCol w:w="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931" w:type="dxa"/>
          </w:tcPr>
          <w:p>
            <w:pPr>
              <w:pStyle w:val="20"/>
              <w:rPr>
                <w:rFonts w:ascii="Times New Roman"/>
                <w:color w:val="auto"/>
                <w:sz w:val="24"/>
                <w:highlight w:val="none"/>
              </w:rPr>
            </w:pPr>
          </w:p>
        </w:tc>
        <w:tc>
          <w:tcPr>
            <w:tcW w:w="803" w:type="dxa"/>
          </w:tcPr>
          <w:p>
            <w:pPr>
              <w:pStyle w:val="20"/>
              <w:rPr>
                <w:rFonts w:ascii="Times New Roman"/>
                <w:color w:val="auto"/>
                <w:sz w:val="24"/>
                <w:highlight w:val="none"/>
              </w:rPr>
            </w:pPr>
          </w:p>
        </w:tc>
        <w:tc>
          <w:tcPr>
            <w:tcW w:w="805" w:type="dxa"/>
          </w:tcPr>
          <w:p>
            <w:pPr>
              <w:pStyle w:val="20"/>
              <w:rPr>
                <w:rFonts w:ascii="Times New Roman"/>
                <w:color w:val="auto"/>
                <w:sz w:val="24"/>
                <w:highlight w:val="none"/>
              </w:rPr>
            </w:pPr>
          </w:p>
        </w:tc>
        <w:tc>
          <w:tcPr>
            <w:tcW w:w="844" w:type="dxa"/>
          </w:tcPr>
          <w:p>
            <w:pPr>
              <w:pStyle w:val="20"/>
              <w:rPr>
                <w:rFonts w:ascii="Times New Roman"/>
                <w:color w:val="auto"/>
                <w:sz w:val="24"/>
                <w:highlight w:val="none"/>
              </w:rPr>
            </w:pPr>
          </w:p>
        </w:tc>
        <w:tc>
          <w:tcPr>
            <w:tcW w:w="1740" w:type="dxa"/>
          </w:tcPr>
          <w:p>
            <w:pPr>
              <w:pStyle w:val="20"/>
              <w:rPr>
                <w:rFonts w:ascii="Times New Roman"/>
                <w:color w:val="auto"/>
                <w:sz w:val="24"/>
                <w:highlight w:val="none"/>
              </w:rPr>
            </w:pPr>
          </w:p>
        </w:tc>
        <w:tc>
          <w:tcPr>
            <w:tcW w:w="1429" w:type="dxa"/>
          </w:tcPr>
          <w:p>
            <w:pPr>
              <w:pStyle w:val="20"/>
              <w:rPr>
                <w:rFonts w:ascii="Times New Roman"/>
                <w:color w:val="auto"/>
                <w:sz w:val="24"/>
                <w:highlight w:val="none"/>
              </w:rPr>
            </w:pPr>
          </w:p>
        </w:tc>
        <w:tc>
          <w:tcPr>
            <w:tcW w:w="467"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931" w:type="dxa"/>
          </w:tcPr>
          <w:p>
            <w:pPr>
              <w:pStyle w:val="20"/>
              <w:rPr>
                <w:rFonts w:ascii="Times New Roman"/>
                <w:color w:val="auto"/>
                <w:sz w:val="24"/>
                <w:highlight w:val="none"/>
              </w:rPr>
            </w:pPr>
          </w:p>
        </w:tc>
        <w:tc>
          <w:tcPr>
            <w:tcW w:w="803" w:type="dxa"/>
          </w:tcPr>
          <w:p>
            <w:pPr>
              <w:pStyle w:val="20"/>
              <w:rPr>
                <w:rFonts w:ascii="Times New Roman"/>
                <w:color w:val="auto"/>
                <w:sz w:val="24"/>
                <w:highlight w:val="none"/>
              </w:rPr>
            </w:pPr>
          </w:p>
        </w:tc>
        <w:tc>
          <w:tcPr>
            <w:tcW w:w="805" w:type="dxa"/>
          </w:tcPr>
          <w:p>
            <w:pPr>
              <w:pStyle w:val="20"/>
              <w:rPr>
                <w:rFonts w:ascii="Times New Roman"/>
                <w:color w:val="auto"/>
                <w:sz w:val="24"/>
                <w:highlight w:val="none"/>
              </w:rPr>
            </w:pPr>
          </w:p>
        </w:tc>
        <w:tc>
          <w:tcPr>
            <w:tcW w:w="844" w:type="dxa"/>
          </w:tcPr>
          <w:p>
            <w:pPr>
              <w:pStyle w:val="20"/>
              <w:rPr>
                <w:rFonts w:ascii="Times New Roman"/>
                <w:color w:val="auto"/>
                <w:sz w:val="24"/>
                <w:highlight w:val="none"/>
              </w:rPr>
            </w:pPr>
          </w:p>
        </w:tc>
        <w:tc>
          <w:tcPr>
            <w:tcW w:w="1740" w:type="dxa"/>
          </w:tcPr>
          <w:p>
            <w:pPr>
              <w:pStyle w:val="20"/>
              <w:rPr>
                <w:rFonts w:ascii="Times New Roman"/>
                <w:color w:val="auto"/>
                <w:sz w:val="24"/>
                <w:highlight w:val="none"/>
              </w:rPr>
            </w:pPr>
          </w:p>
        </w:tc>
        <w:tc>
          <w:tcPr>
            <w:tcW w:w="1429" w:type="dxa"/>
          </w:tcPr>
          <w:p>
            <w:pPr>
              <w:pStyle w:val="20"/>
              <w:rPr>
                <w:rFonts w:ascii="Times New Roman"/>
                <w:color w:val="auto"/>
                <w:sz w:val="24"/>
                <w:highlight w:val="none"/>
              </w:rPr>
            </w:pPr>
          </w:p>
        </w:tc>
        <w:tc>
          <w:tcPr>
            <w:tcW w:w="467"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931" w:type="dxa"/>
          </w:tcPr>
          <w:p>
            <w:pPr>
              <w:pStyle w:val="20"/>
              <w:rPr>
                <w:rFonts w:ascii="Times New Roman"/>
                <w:color w:val="auto"/>
                <w:sz w:val="24"/>
                <w:highlight w:val="none"/>
              </w:rPr>
            </w:pPr>
          </w:p>
        </w:tc>
        <w:tc>
          <w:tcPr>
            <w:tcW w:w="803" w:type="dxa"/>
          </w:tcPr>
          <w:p>
            <w:pPr>
              <w:pStyle w:val="20"/>
              <w:rPr>
                <w:rFonts w:ascii="Times New Roman"/>
                <w:color w:val="auto"/>
                <w:sz w:val="24"/>
                <w:highlight w:val="none"/>
              </w:rPr>
            </w:pPr>
          </w:p>
        </w:tc>
        <w:tc>
          <w:tcPr>
            <w:tcW w:w="805" w:type="dxa"/>
          </w:tcPr>
          <w:p>
            <w:pPr>
              <w:pStyle w:val="20"/>
              <w:rPr>
                <w:rFonts w:ascii="Times New Roman"/>
                <w:color w:val="auto"/>
                <w:sz w:val="24"/>
                <w:highlight w:val="none"/>
              </w:rPr>
            </w:pPr>
          </w:p>
        </w:tc>
        <w:tc>
          <w:tcPr>
            <w:tcW w:w="844" w:type="dxa"/>
          </w:tcPr>
          <w:p>
            <w:pPr>
              <w:pStyle w:val="20"/>
              <w:rPr>
                <w:rFonts w:ascii="Times New Roman"/>
                <w:color w:val="auto"/>
                <w:sz w:val="24"/>
                <w:highlight w:val="none"/>
              </w:rPr>
            </w:pPr>
          </w:p>
        </w:tc>
        <w:tc>
          <w:tcPr>
            <w:tcW w:w="1740" w:type="dxa"/>
          </w:tcPr>
          <w:p>
            <w:pPr>
              <w:pStyle w:val="20"/>
              <w:rPr>
                <w:rFonts w:ascii="Times New Roman"/>
                <w:color w:val="auto"/>
                <w:sz w:val="24"/>
                <w:highlight w:val="none"/>
              </w:rPr>
            </w:pPr>
          </w:p>
        </w:tc>
        <w:tc>
          <w:tcPr>
            <w:tcW w:w="1429" w:type="dxa"/>
          </w:tcPr>
          <w:p>
            <w:pPr>
              <w:pStyle w:val="20"/>
              <w:rPr>
                <w:rFonts w:ascii="Times New Roman"/>
                <w:color w:val="auto"/>
                <w:sz w:val="24"/>
                <w:highlight w:val="none"/>
              </w:rPr>
            </w:pPr>
          </w:p>
        </w:tc>
        <w:tc>
          <w:tcPr>
            <w:tcW w:w="467" w:type="dxa"/>
          </w:tcPr>
          <w:p>
            <w:pPr>
              <w:pStyle w:val="20"/>
              <w:rPr>
                <w:rFonts w:ascii="Times New Roman"/>
                <w:color w:val="auto"/>
                <w:sz w:val="24"/>
                <w:highlight w:val="none"/>
              </w:rPr>
            </w:pPr>
          </w:p>
        </w:tc>
      </w:tr>
    </w:tbl>
    <w:p>
      <w:pPr>
        <w:spacing w:before="0" w:line="305" w:lineRule="exact"/>
        <w:ind w:left="283" w:right="0" w:firstLine="0"/>
        <w:jc w:val="left"/>
        <w:rPr>
          <w:b/>
          <w:color w:val="auto"/>
          <w:sz w:val="24"/>
          <w:highlight w:val="none"/>
        </w:rPr>
      </w:pPr>
      <w:r>
        <w:rPr>
          <w:b/>
          <w:color w:val="auto"/>
          <w:sz w:val="24"/>
          <w:highlight w:val="none"/>
        </w:rPr>
        <w:t>附件：相关资质材料复印件加盖公章。</w:t>
      </w:r>
    </w:p>
    <w:p>
      <w:pPr>
        <w:pStyle w:val="3"/>
        <w:ind w:left="0"/>
        <w:rPr>
          <w:b/>
          <w:color w:val="auto"/>
          <w:highlight w:val="none"/>
        </w:rPr>
      </w:pPr>
    </w:p>
    <w:p>
      <w:pPr>
        <w:pStyle w:val="3"/>
        <w:ind w:left="0"/>
        <w:rPr>
          <w:b/>
          <w:color w:val="auto"/>
          <w:highlight w:val="none"/>
        </w:rPr>
      </w:pPr>
    </w:p>
    <w:p>
      <w:pPr>
        <w:spacing w:before="171"/>
        <w:ind w:left="0" w:right="28" w:firstLine="0"/>
        <w:jc w:val="center"/>
        <w:rPr>
          <w:b/>
          <w:color w:val="auto"/>
          <w:sz w:val="32"/>
          <w:highlight w:val="none"/>
        </w:rPr>
      </w:pPr>
      <w:bookmarkStart w:id="177" w:name="七、针对本项目的技术和服务响应方案"/>
      <w:bookmarkEnd w:id="177"/>
      <w:r>
        <w:rPr>
          <w:b/>
          <w:color w:val="auto"/>
          <w:sz w:val="32"/>
          <w:highlight w:val="none"/>
        </w:rPr>
        <w:t>七、针对本项目的技术和服务响应方案</w:t>
      </w:r>
    </w:p>
    <w:p>
      <w:pPr>
        <w:spacing w:before="213"/>
        <w:ind w:left="0" w:right="25" w:firstLine="0"/>
        <w:jc w:val="center"/>
        <w:rPr>
          <w:color w:val="auto"/>
          <w:sz w:val="28"/>
          <w:highlight w:val="none"/>
        </w:rPr>
      </w:pPr>
      <w:r>
        <w:rPr>
          <w:color w:val="auto"/>
          <w:sz w:val="28"/>
          <w:highlight w:val="none"/>
        </w:rPr>
        <w:t>（根据磋商文件要求自行编制）</w:t>
      </w:r>
    </w:p>
    <w:p>
      <w:pPr>
        <w:pStyle w:val="3"/>
        <w:spacing w:before="183"/>
        <w:rPr>
          <w:color w:val="auto"/>
          <w:highlight w:val="none"/>
        </w:rPr>
      </w:pPr>
      <w:r>
        <w:rPr>
          <w:color w:val="auto"/>
          <w:highlight w:val="none"/>
        </w:rPr>
        <w:t>说明：包括但不限于下列内容：</w:t>
      </w:r>
    </w:p>
    <w:p>
      <w:pPr>
        <w:pStyle w:val="3"/>
        <w:spacing w:before="160" w:line="362" w:lineRule="auto"/>
        <w:ind w:right="311" w:firstLine="480"/>
        <w:rPr>
          <w:color w:val="auto"/>
          <w:highlight w:val="none"/>
        </w:rPr>
      </w:pPr>
      <w:r>
        <w:rPr>
          <w:color w:val="auto"/>
          <w:highlight w:val="none"/>
        </w:rPr>
        <w:t>1、完整的技术和服务解决方案：包括但不限于</w:t>
      </w:r>
      <w:r>
        <w:rPr>
          <w:rFonts w:hint="eastAsia"/>
          <w:color w:val="auto"/>
          <w:highlight w:val="none"/>
          <w:lang w:val="en-US" w:eastAsia="zh-CN"/>
        </w:rPr>
        <w:t>制定亚运会</w:t>
      </w:r>
      <w:r>
        <w:rPr>
          <w:rFonts w:hint="eastAsia"/>
          <w:color w:val="auto"/>
          <w:highlight w:val="none"/>
        </w:rPr>
        <w:t>赛事餐饮规划和政策研究</w:t>
      </w:r>
      <w:r>
        <w:rPr>
          <w:rFonts w:hint="eastAsia"/>
          <w:color w:val="auto"/>
          <w:highlight w:val="none"/>
          <w:lang w:val="en-US" w:eastAsia="zh-CN"/>
        </w:rPr>
        <w:t>方案、亚运会赛事餐饮运行及管理研究（含服务商遴选）</w:t>
      </w:r>
      <w:r>
        <w:rPr>
          <w:color w:val="auto"/>
          <w:highlight w:val="none"/>
        </w:rPr>
        <w:t>方案等。</w:t>
      </w:r>
    </w:p>
    <w:p>
      <w:pPr>
        <w:pStyle w:val="3"/>
        <w:spacing w:before="5" w:line="362" w:lineRule="auto"/>
        <w:ind w:right="314" w:firstLine="480"/>
        <w:rPr>
          <w:color w:val="auto"/>
          <w:highlight w:val="none"/>
        </w:rPr>
      </w:pPr>
      <w:r>
        <w:rPr>
          <w:color w:val="auto"/>
          <w:highlight w:val="none"/>
        </w:rPr>
        <w:t>2、组织实施方案，包括详细工作计划、进度安排、人员安排等；采购人有权根据实际情况调整项目进度安排；</w:t>
      </w:r>
    </w:p>
    <w:p>
      <w:pPr>
        <w:pStyle w:val="3"/>
        <w:spacing w:before="5"/>
        <w:ind w:left="763"/>
        <w:rPr>
          <w:color w:val="auto"/>
          <w:highlight w:val="none"/>
        </w:rPr>
      </w:pPr>
      <w:r>
        <w:rPr>
          <w:color w:val="auto"/>
          <w:highlight w:val="none"/>
        </w:rPr>
        <w:t>3、工作组情况；</w:t>
      </w:r>
    </w:p>
    <w:p>
      <w:pPr>
        <w:pStyle w:val="3"/>
        <w:spacing w:before="160"/>
        <w:ind w:left="763"/>
        <w:rPr>
          <w:color w:val="auto"/>
          <w:highlight w:val="none"/>
        </w:rPr>
      </w:pPr>
      <w:r>
        <w:rPr>
          <w:color w:val="auto"/>
          <w:highlight w:val="none"/>
        </w:rPr>
        <w:t>4、服务响应承诺；</w:t>
      </w:r>
    </w:p>
    <w:p>
      <w:pPr>
        <w:pStyle w:val="3"/>
        <w:spacing w:before="159"/>
        <w:ind w:left="763"/>
        <w:rPr>
          <w:color w:val="auto"/>
          <w:highlight w:val="none"/>
        </w:rPr>
      </w:pPr>
      <w:r>
        <w:rPr>
          <w:color w:val="auto"/>
          <w:highlight w:val="none"/>
        </w:rPr>
        <w:t>5、质量保障措施和应急措施等；</w:t>
      </w:r>
    </w:p>
    <w:p>
      <w:pPr>
        <w:pStyle w:val="3"/>
        <w:spacing w:before="158"/>
        <w:ind w:left="763"/>
        <w:rPr>
          <w:color w:val="auto"/>
          <w:highlight w:val="none"/>
        </w:rPr>
      </w:pPr>
      <w:r>
        <w:rPr>
          <w:color w:val="auto"/>
          <w:highlight w:val="none"/>
        </w:rPr>
        <w:t>6、售后服务方案、知识产权承诺；</w:t>
      </w:r>
    </w:p>
    <w:p>
      <w:pPr>
        <w:pStyle w:val="3"/>
        <w:spacing w:before="160"/>
        <w:ind w:left="763"/>
        <w:rPr>
          <w:color w:val="auto"/>
          <w:highlight w:val="none"/>
        </w:rPr>
      </w:pPr>
      <w:r>
        <w:rPr>
          <w:color w:val="auto"/>
          <w:highlight w:val="none"/>
        </w:rPr>
        <w:t>7、其它响应供应商认为必须提供的文件或材料等。</w:t>
      </w:r>
    </w:p>
    <w:p>
      <w:pPr>
        <w:pStyle w:val="3"/>
        <w:ind w:left="0"/>
        <w:rPr>
          <w:color w:val="auto"/>
          <w:highlight w:val="none"/>
        </w:rPr>
      </w:pPr>
    </w:p>
    <w:p>
      <w:pPr>
        <w:pStyle w:val="3"/>
        <w:ind w:left="0"/>
        <w:rPr>
          <w:color w:val="auto"/>
          <w:sz w:val="25"/>
          <w:highlight w:val="none"/>
        </w:rPr>
      </w:pPr>
    </w:p>
    <w:p>
      <w:pPr>
        <w:pStyle w:val="5"/>
        <w:spacing w:before="0"/>
        <w:rPr>
          <w:color w:val="auto"/>
          <w:highlight w:val="none"/>
        </w:rPr>
      </w:pPr>
      <w:bookmarkStart w:id="178" w:name="八、技术商务偏离说明表及建议"/>
      <w:bookmarkEnd w:id="178"/>
      <w:bookmarkStart w:id="179" w:name="_Toc23274"/>
      <w:r>
        <w:rPr>
          <w:color w:val="auto"/>
          <w:highlight w:val="none"/>
        </w:rPr>
        <w:t>八、技术商务偏离说明表及建议</w:t>
      </w:r>
      <w:bookmarkEnd w:id="179"/>
    </w:p>
    <w:p>
      <w:pPr>
        <w:pStyle w:val="3"/>
        <w:spacing w:before="5"/>
        <w:ind w:left="0"/>
        <w:rPr>
          <w:b/>
          <w:color w:val="auto"/>
          <w:sz w:val="16"/>
          <w:highlight w:val="none"/>
        </w:rPr>
      </w:pPr>
    </w:p>
    <w:tbl>
      <w:tblPr>
        <w:tblStyle w:val="16"/>
        <w:tblW w:w="0" w:type="auto"/>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6"/>
        <w:gridCol w:w="3620"/>
        <w:gridCol w:w="3343"/>
        <w:gridCol w:w="13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1336" w:type="dxa"/>
            <w:tcBorders>
              <w:bottom w:val="single" w:color="000000" w:sz="6" w:space="0"/>
              <w:right w:val="single" w:color="000000" w:sz="6" w:space="0"/>
            </w:tcBorders>
          </w:tcPr>
          <w:p>
            <w:pPr>
              <w:pStyle w:val="20"/>
              <w:spacing w:before="2"/>
              <w:ind w:left="407" w:right="386"/>
              <w:jc w:val="center"/>
              <w:rPr>
                <w:color w:val="auto"/>
                <w:sz w:val="24"/>
                <w:highlight w:val="none"/>
              </w:rPr>
            </w:pPr>
            <w:r>
              <w:rPr>
                <w:color w:val="auto"/>
                <w:sz w:val="24"/>
                <w:highlight w:val="none"/>
              </w:rPr>
              <w:t>序号</w:t>
            </w:r>
          </w:p>
        </w:tc>
        <w:tc>
          <w:tcPr>
            <w:tcW w:w="3620" w:type="dxa"/>
            <w:tcBorders>
              <w:left w:val="single" w:color="000000" w:sz="6" w:space="0"/>
              <w:bottom w:val="single" w:color="000000" w:sz="6" w:space="0"/>
              <w:right w:val="single" w:color="000000" w:sz="6" w:space="0"/>
            </w:tcBorders>
          </w:tcPr>
          <w:p>
            <w:pPr>
              <w:pStyle w:val="20"/>
              <w:spacing w:before="2"/>
              <w:ind w:left="618"/>
              <w:rPr>
                <w:color w:val="auto"/>
                <w:sz w:val="24"/>
                <w:highlight w:val="none"/>
              </w:rPr>
            </w:pPr>
            <w:r>
              <w:rPr>
                <w:color w:val="auto"/>
                <w:sz w:val="24"/>
                <w:highlight w:val="none"/>
              </w:rPr>
              <w:t>磋商文件要求</w:t>
            </w:r>
          </w:p>
        </w:tc>
        <w:tc>
          <w:tcPr>
            <w:tcW w:w="3343" w:type="dxa"/>
            <w:tcBorders>
              <w:left w:val="single" w:color="000000" w:sz="6" w:space="0"/>
              <w:bottom w:val="single" w:color="000000" w:sz="6" w:space="0"/>
              <w:right w:val="single" w:color="000000" w:sz="6" w:space="0"/>
            </w:tcBorders>
          </w:tcPr>
          <w:p>
            <w:pPr>
              <w:pStyle w:val="20"/>
              <w:spacing w:before="2"/>
              <w:ind w:left="665"/>
              <w:rPr>
                <w:color w:val="auto"/>
                <w:sz w:val="24"/>
                <w:highlight w:val="none"/>
              </w:rPr>
            </w:pPr>
            <w:r>
              <w:rPr>
                <w:color w:val="auto"/>
                <w:sz w:val="24"/>
                <w:highlight w:val="none"/>
              </w:rPr>
              <w:t>响应文件对应条款</w:t>
            </w:r>
          </w:p>
        </w:tc>
        <w:tc>
          <w:tcPr>
            <w:tcW w:w="1343" w:type="dxa"/>
            <w:tcBorders>
              <w:left w:val="single" w:color="000000" w:sz="6" w:space="0"/>
              <w:bottom w:val="single" w:color="000000" w:sz="6" w:space="0"/>
            </w:tcBorders>
          </w:tcPr>
          <w:p>
            <w:pPr>
              <w:pStyle w:val="20"/>
              <w:spacing w:before="2"/>
              <w:ind w:left="437"/>
              <w:rPr>
                <w:color w:val="auto"/>
                <w:sz w:val="24"/>
                <w:highlight w:val="none"/>
              </w:rPr>
            </w:pPr>
            <w:r>
              <w:rPr>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336" w:type="dxa"/>
            <w:tcBorders>
              <w:top w:val="single" w:color="000000" w:sz="6" w:space="0"/>
              <w:bottom w:val="single" w:color="000000" w:sz="6" w:space="0"/>
              <w:right w:val="single" w:color="000000" w:sz="6" w:space="0"/>
            </w:tcBorders>
          </w:tcPr>
          <w:p>
            <w:pPr>
              <w:pStyle w:val="20"/>
              <w:spacing w:before="1"/>
              <w:ind w:left="127"/>
              <w:jc w:val="center"/>
              <w:rPr>
                <w:color w:val="auto"/>
                <w:sz w:val="24"/>
                <w:highlight w:val="none"/>
              </w:rPr>
            </w:pPr>
            <w:r>
              <w:rPr>
                <w:color w:val="auto"/>
                <w:sz w:val="24"/>
                <w:highlight w:val="none"/>
              </w:rPr>
              <w:t>…</w:t>
            </w:r>
          </w:p>
        </w:tc>
        <w:tc>
          <w:tcPr>
            <w:tcW w:w="362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343"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43"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336"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62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343"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43"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336"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62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343"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43"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336"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62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343"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43"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trPr>
        <w:tc>
          <w:tcPr>
            <w:tcW w:w="1336" w:type="dxa"/>
            <w:tcBorders>
              <w:top w:val="single" w:color="000000" w:sz="6" w:space="0"/>
              <w:right w:val="single" w:color="000000" w:sz="6" w:space="0"/>
            </w:tcBorders>
          </w:tcPr>
          <w:p>
            <w:pPr>
              <w:pStyle w:val="20"/>
              <w:rPr>
                <w:rFonts w:ascii="Times New Roman"/>
                <w:color w:val="auto"/>
                <w:sz w:val="24"/>
                <w:highlight w:val="none"/>
              </w:rPr>
            </w:pPr>
          </w:p>
        </w:tc>
        <w:tc>
          <w:tcPr>
            <w:tcW w:w="3620" w:type="dxa"/>
            <w:tcBorders>
              <w:top w:val="single" w:color="000000" w:sz="6" w:space="0"/>
              <w:left w:val="single" w:color="000000" w:sz="6" w:space="0"/>
              <w:right w:val="single" w:color="000000" w:sz="6" w:space="0"/>
            </w:tcBorders>
          </w:tcPr>
          <w:p>
            <w:pPr>
              <w:pStyle w:val="20"/>
              <w:rPr>
                <w:rFonts w:ascii="Times New Roman"/>
                <w:color w:val="auto"/>
                <w:sz w:val="24"/>
                <w:highlight w:val="none"/>
              </w:rPr>
            </w:pPr>
          </w:p>
        </w:tc>
        <w:tc>
          <w:tcPr>
            <w:tcW w:w="3343" w:type="dxa"/>
            <w:tcBorders>
              <w:top w:val="single" w:color="000000" w:sz="6" w:space="0"/>
              <w:left w:val="single" w:color="000000" w:sz="6" w:space="0"/>
              <w:right w:val="single" w:color="000000" w:sz="6" w:space="0"/>
            </w:tcBorders>
          </w:tcPr>
          <w:p>
            <w:pPr>
              <w:pStyle w:val="20"/>
              <w:rPr>
                <w:rFonts w:ascii="Times New Roman"/>
                <w:color w:val="auto"/>
                <w:sz w:val="24"/>
                <w:highlight w:val="none"/>
              </w:rPr>
            </w:pPr>
          </w:p>
        </w:tc>
        <w:tc>
          <w:tcPr>
            <w:tcW w:w="1343" w:type="dxa"/>
            <w:tcBorders>
              <w:top w:val="single" w:color="000000" w:sz="6" w:space="0"/>
              <w:left w:val="single" w:color="000000" w:sz="6" w:space="0"/>
            </w:tcBorders>
          </w:tcPr>
          <w:p>
            <w:pPr>
              <w:pStyle w:val="20"/>
              <w:rPr>
                <w:rFonts w:ascii="Times New Roman"/>
                <w:color w:val="auto"/>
                <w:sz w:val="24"/>
                <w:highlight w:val="none"/>
              </w:rPr>
            </w:pPr>
          </w:p>
        </w:tc>
      </w:tr>
    </w:tbl>
    <w:p>
      <w:pPr>
        <w:pStyle w:val="3"/>
        <w:spacing w:before="2" w:line="362" w:lineRule="auto"/>
        <w:ind w:left="763" w:right="3174" w:hanging="480"/>
        <w:rPr>
          <w:color w:val="auto"/>
          <w:highlight w:val="none"/>
        </w:rPr>
      </w:pPr>
      <w:r>
        <w:rPr>
          <w:color w:val="auto"/>
          <w:highlight w:val="none"/>
        </w:rPr>
        <w:t>注：1.若不填写或只填写“无”视作完全响应磋商文件的要求; 2.磋商供应商若有好的建议可附建议书。</w:t>
      </w:r>
    </w:p>
    <w:p>
      <w:pPr>
        <w:pStyle w:val="3"/>
        <w:spacing w:before="5"/>
        <w:ind w:left="5443"/>
        <w:rPr>
          <w:color w:val="auto"/>
          <w:highlight w:val="none"/>
        </w:rPr>
      </w:pPr>
      <w:r>
        <w:rPr>
          <w:color w:val="auto"/>
          <w:highlight w:val="none"/>
        </w:rPr>
        <w:t>磋商供应商（公章）：</w:t>
      </w:r>
    </w:p>
    <w:p>
      <w:pPr>
        <w:spacing w:after="0"/>
        <w:rPr>
          <w:color w:val="auto"/>
          <w:highlight w:val="none"/>
        </w:rPr>
        <w:sectPr>
          <w:pgSz w:w="11900" w:h="16840"/>
          <w:pgMar w:top="1140" w:right="820" w:bottom="800" w:left="1020" w:header="0" w:footer="609" w:gutter="0"/>
        </w:sectPr>
      </w:pPr>
    </w:p>
    <w:p>
      <w:pPr>
        <w:pStyle w:val="3"/>
        <w:tabs>
          <w:tab w:val="left" w:pos="6763"/>
          <w:tab w:val="left" w:pos="7243"/>
          <w:tab w:val="left" w:pos="7843"/>
        </w:tabs>
        <w:spacing w:before="56"/>
        <w:ind w:left="5443"/>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pStyle w:val="9"/>
        <w:spacing w:before="158"/>
        <w:outlineLvl w:val="9"/>
        <w:rPr>
          <w:color w:val="auto"/>
          <w:highlight w:val="none"/>
        </w:rPr>
      </w:pPr>
    </w:p>
    <w:p>
      <w:pPr>
        <w:pStyle w:val="9"/>
        <w:spacing w:before="158"/>
        <w:outlineLvl w:val="9"/>
        <w:rPr>
          <w:color w:val="auto"/>
          <w:highlight w:val="none"/>
        </w:rPr>
      </w:pPr>
    </w:p>
    <w:p>
      <w:pPr>
        <w:pStyle w:val="9"/>
        <w:spacing w:before="158"/>
        <w:rPr>
          <w:color w:val="auto"/>
          <w:highlight w:val="none"/>
        </w:rPr>
      </w:pPr>
      <w:r>
        <w:rPr>
          <w:color w:val="auto"/>
          <w:highlight w:val="none"/>
        </w:rPr>
        <w:t>建议书</w:t>
      </w:r>
    </w:p>
    <w:p>
      <w:pPr>
        <w:pStyle w:val="3"/>
        <w:spacing w:before="2"/>
        <w:ind w:left="0"/>
        <w:rPr>
          <w:b/>
          <w:color w:val="auto"/>
          <w:sz w:val="8"/>
          <w:highlight w:val="none"/>
        </w:rPr>
      </w:pPr>
      <w:r>
        <w:rPr>
          <w:color w:val="auto"/>
          <w:highlight w:val="none"/>
        </w:rPr>
        <mc:AlternateContent>
          <mc:Choice Requires="wpg">
            <w:drawing>
              <wp:anchor distT="0" distB="0" distL="0" distR="0" simplePos="0" relativeHeight="251658240" behindDoc="1" locked="0" layoutInCell="1" allowOverlap="1">
                <wp:simplePos x="0" y="0"/>
                <wp:positionH relativeFrom="page">
                  <wp:posOffset>820420</wp:posOffset>
                </wp:positionH>
                <wp:positionV relativeFrom="paragraph">
                  <wp:posOffset>100965</wp:posOffset>
                </wp:positionV>
                <wp:extent cx="6141085" cy="1946275"/>
                <wp:effectExtent l="0" t="0" r="5715" b="9525"/>
                <wp:wrapTopAndBottom/>
                <wp:docPr id="7" name="组合 2"/>
                <wp:cNvGraphicFramePr/>
                <a:graphic xmlns:a="http://schemas.openxmlformats.org/drawingml/2006/main">
                  <a:graphicData uri="http://schemas.microsoft.com/office/word/2010/wordprocessingGroup">
                    <wpg:wgp>
                      <wpg:cNvGrpSpPr/>
                      <wpg:grpSpPr>
                        <a:xfrm>
                          <a:off x="0" y="0"/>
                          <a:ext cx="6141085" cy="1946275"/>
                          <a:chOff x="1293" y="159"/>
                          <a:chExt cx="9671" cy="3065"/>
                        </a:xfrm>
                      </wpg:grpSpPr>
                      <wps:wsp>
                        <wps:cNvPr id="3" name="直线 3"/>
                        <wps:cNvCnPr/>
                        <wps:spPr>
                          <a:xfrm>
                            <a:off x="1293" y="173"/>
                            <a:ext cx="9670" cy="0"/>
                          </a:xfrm>
                          <a:prstGeom prst="line">
                            <a:avLst/>
                          </a:prstGeom>
                          <a:ln w="18288" cap="flat" cmpd="sng">
                            <a:solidFill>
                              <a:srgbClr val="000000"/>
                            </a:solidFill>
                            <a:prstDash val="solid"/>
                            <a:headEnd type="none" w="med" len="med"/>
                            <a:tailEnd type="none" w="med" len="med"/>
                          </a:ln>
                        </wps:spPr>
                        <wps:bodyPr upright="1"/>
                      </wps:wsp>
                      <wps:wsp>
                        <wps:cNvPr id="4" name="直线 4"/>
                        <wps:cNvCnPr/>
                        <wps:spPr>
                          <a:xfrm>
                            <a:off x="1293" y="3209"/>
                            <a:ext cx="9670" cy="0"/>
                          </a:xfrm>
                          <a:prstGeom prst="line">
                            <a:avLst/>
                          </a:prstGeom>
                          <a:ln w="18288" cap="flat" cmpd="sng">
                            <a:solidFill>
                              <a:srgbClr val="000000"/>
                            </a:solidFill>
                            <a:prstDash val="solid"/>
                            <a:headEnd type="none" w="med" len="med"/>
                            <a:tailEnd type="none" w="med" len="med"/>
                          </a:ln>
                        </wps:spPr>
                        <wps:bodyPr upright="1"/>
                      </wps:wsp>
                      <wps:wsp>
                        <wps:cNvPr id="5" name="直线 5"/>
                        <wps:cNvCnPr/>
                        <wps:spPr>
                          <a:xfrm>
                            <a:off x="1307" y="159"/>
                            <a:ext cx="0" cy="3036"/>
                          </a:xfrm>
                          <a:prstGeom prst="line">
                            <a:avLst/>
                          </a:prstGeom>
                          <a:ln w="18288" cap="flat" cmpd="sng">
                            <a:solidFill>
                              <a:srgbClr val="000000"/>
                            </a:solidFill>
                            <a:prstDash val="solid"/>
                            <a:headEnd type="none" w="med" len="med"/>
                            <a:tailEnd type="none" w="med" len="med"/>
                          </a:ln>
                        </wps:spPr>
                        <wps:bodyPr upright="1"/>
                      </wps:wsp>
                      <wps:wsp>
                        <wps:cNvPr id="6" name="直线 6"/>
                        <wps:cNvCnPr/>
                        <wps:spPr>
                          <a:xfrm>
                            <a:off x="10949" y="159"/>
                            <a:ext cx="0" cy="3036"/>
                          </a:xfrm>
                          <a:prstGeom prst="line">
                            <a:avLst/>
                          </a:prstGeom>
                          <a:ln w="18288"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64.6pt;margin-top:7.95pt;height:153.25pt;width:483.55pt;mso-position-horizontal-relative:page;mso-wrap-distance-bottom:0pt;mso-wrap-distance-top:0pt;z-index:-251658240;mso-width-relative:page;mso-height-relative:page;" coordorigin="1293,159" coordsize="9671,3065" o:gfxdata="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IkVtqNoAAAALAQAADwAAAAAAAAABACAAAAAiAAAAZHJzL2Rv&#10;d25yZXYueG1sUEsBAhQAFAAAAAgAh07iQLkCsq2qAgAAwgoAAA4AAAAAAAAAAQAgAAAAKQEAAGRy&#10;cy9lMm9Eb2MueG1sUEsFBgAAAAAGAAYAWQEAAEUGAAAAAA==&#10;">
                <o:lock v:ext="edit" aspectratio="f"/>
                <v:line id="直线 3" o:spid="_x0000_s1026" o:spt="20" style="position:absolute;left:1293;top:173;height:0;width:9670;" filled="f" stroked="t" coordsize="21600,21600" o:gfxdata="UEsDBAoAAAAAAIdO4kAAAAAAAAAAAAAAAAAEAAAAZHJzL1BLAwQUAAAACACHTuJAWOt3TLoAAADa&#10;AAAADwAAAGRycy9kb3ducmV2LnhtbEWPS4sCMRCE78L+h9DC3jTRRV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3dM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4" o:spid="_x0000_s1026" o:spt="20" style="position:absolute;left:1293;top:3209;height:0;width:9670;" filled="f" stroked="t" coordsize="21600,21600" o:gfxdata="UEsDBAoAAAAAAIdO4kAAAAAAAAAAAAAAAAAEAAAAZHJzL1BLAwQUAAAACACHTuJA1wLvOLoAAADa&#10;AAAADwAAAGRycy9kb3ducmV2LnhtbEWPS4sCMRCE78L+h9DC3jRRVl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u84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5" o:spid="_x0000_s1026" o:spt="20" style="position:absolute;left:1307;top:159;height:3036;width:0;" filled="f" stroked="t" coordsize="21600,21600" o:gfxdata="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Tkqj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6" o:spid="_x0000_s1026" o:spt="20" style="position:absolute;left:10949;top:159;height:3036;width:0;" filled="f" stroked="t" coordsize="21600,21600" o:gfxdata="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NTU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w10:wrap type="topAndBottom"/>
              </v:group>
            </w:pict>
          </mc:Fallback>
        </mc:AlternateContent>
      </w:r>
    </w:p>
    <w:p>
      <w:pPr>
        <w:pStyle w:val="3"/>
        <w:ind w:left="0"/>
        <w:rPr>
          <w:b/>
          <w:color w:val="auto"/>
          <w:sz w:val="20"/>
          <w:highlight w:val="none"/>
        </w:rPr>
      </w:pPr>
    </w:p>
    <w:p>
      <w:pPr>
        <w:pStyle w:val="3"/>
        <w:spacing w:before="4"/>
        <w:ind w:left="0"/>
        <w:rPr>
          <w:b/>
          <w:color w:val="auto"/>
          <w:sz w:val="17"/>
          <w:highlight w:val="none"/>
        </w:rPr>
      </w:pPr>
    </w:p>
    <w:p>
      <w:pPr>
        <w:pStyle w:val="3"/>
        <w:tabs>
          <w:tab w:val="left" w:pos="6763"/>
          <w:tab w:val="left" w:pos="7243"/>
          <w:tab w:val="left" w:pos="7843"/>
        </w:tabs>
        <w:spacing w:line="364" w:lineRule="auto"/>
        <w:ind w:left="5443" w:right="1974"/>
        <w:rPr>
          <w:color w:val="auto"/>
          <w:highlight w:val="none"/>
        </w:rPr>
      </w:pPr>
      <w:r>
        <w:rPr>
          <w:color w:val="auto"/>
          <w:highlight w:val="none"/>
        </w:rPr>
        <w:t>磋商供应商（公章）：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5"/>
        <w:spacing w:before="159"/>
        <w:ind w:left="214" w:right="27"/>
        <w:rPr>
          <w:color w:val="auto"/>
          <w:highlight w:val="none"/>
        </w:rPr>
      </w:pPr>
      <w:bookmarkStart w:id="180" w:name="九、合同条款偏离表"/>
      <w:bookmarkEnd w:id="180"/>
      <w:bookmarkStart w:id="181" w:name="_Toc11789"/>
      <w:r>
        <w:rPr>
          <w:color w:val="auto"/>
          <w:highlight w:val="none"/>
        </w:rPr>
        <w:t>九、合同条款偏离表</w:t>
      </w:r>
      <w:bookmarkEnd w:id="181"/>
    </w:p>
    <w:p>
      <w:pPr>
        <w:pStyle w:val="3"/>
        <w:spacing w:before="6"/>
        <w:ind w:left="0"/>
        <w:rPr>
          <w:b/>
          <w:color w:val="auto"/>
          <w:sz w:val="16"/>
          <w:highlight w:val="none"/>
        </w:rPr>
      </w:pPr>
    </w:p>
    <w:tbl>
      <w:tblPr>
        <w:tblStyle w:val="16"/>
        <w:tblW w:w="0" w:type="auto"/>
        <w:tblInd w:w="4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21"/>
        <w:gridCol w:w="3522"/>
        <w:gridCol w:w="3410"/>
        <w:gridCol w:w="13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trPr>
        <w:tc>
          <w:tcPr>
            <w:tcW w:w="1221" w:type="dxa"/>
            <w:tcBorders>
              <w:bottom w:val="single" w:color="000000" w:sz="6" w:space="0"/>
              <w:right w:val="single" w:color="000000" w:sz="6" w:space="0"/>
            </w:tcBorders>
          </w:tcPr>
          <w:p>
            <w:pPr>
              <w:pStyle w:val="20"/>
              <w:ind w:right="346"/>
              <w:jc w:val="right"/>
              <w:rPr>
                <w:color w:val="auto"/>
                <w:sz w:val="24"/>
                <w:highlight w:val="none"/>
              </w:rPr>
            </w:pPr>
            <w:r>
              <w:rPr>
                <w:color w:val="auto"/>
                <w:sz w:val="24"/>
                <w:highlight w:val="none"/>
              </w:rPr>
              <w:t>序号</w:t>
            </w:r>
          </w:p>
        </w:tc>
        <w:tc>
          <w:tcPr>
            <w:tcW w:w="3522" w:type="dxa"/>
            <w:tcBorders>
              <w:left w:val="single" w:color="000000" w:sz="6" w:space="0"/>
              <w:bottom w:val="single" w:color="000000" w:sz="6" w:space="0"/>
              <w:right w:val="single" w:color="000000" w:sz="6" w:space="0"/>
            </w:tcBorders>
          </w:tcPr>
          <w:p>
            <w:pPr>
              <w:pStyle w:val="20"/>
              <w:ind w:left="618"/>
              <w:rPr>
                <w:color w:val="auto"/>
                <w:sz w:val="24"/>
                <w:highlight w:val="none"/>
              </w:rPr>
            </w:pPr>
            <w:r>
              <w:rPr>
                <w:color w:val="auto"/>
                <w:sz w:val="24"/>
                <w:highlight w:val="none"/>
              </w:rPr>
              <w:t>磋商文件要求</w:t>
            </w:r>
          </w:p>
        </w:tc>
        <w:tc>
          <w:tcPr>
            <w:tcW w:w="3410" w:type="dxa"/>
            <w:tcBorders>
              <w:left w:val="single" w:color="000000" w:sz="6" w:space="0"/>
              <w:bottom w:val="single" w:color="000000" w:sz="6" w:space="0"/>
              <w:right w:val="single" w:color="000000" w:sz="6" w:space="0"/>
            </w:tcBorders>
          </w:tcPr>
          <w:p>
            <w:pPr>
              <w:pStyle w:val="20"/>
              <w:ind w:left="665"/>
              <w:rPr>
                <w:color w:val="auto"/>
                <w:sz w:val="24"/>
                <w:highlight w:val="none"/>
              </w:rPr>
            </w:pPr>
            <w:r>
              <w:rPr>
                <w:color w:val="auto"/>
                <w:sz w:val="24"/>
                <w:highlight w:val="none"/>
              </w:rPr>
              <w:t>响应文件对应条款</w:t>
            </w:r>
          </w:p>
        </w:tc>
        <w:tc>
          <w:tcPr>
            <w:tcW w:w="1360" w:type="dxa"/>
            <w:tcBorders>
              <w:left w:val="single" w:color="000000" w:sz="6" w:space="0"/>
              <w:bottom w:val="single" w:color="000000" w:sz="6" w:space="0"/>
            </w:tcBorders>
          </w:tcPr>
          <w:p>
            <w:pPr>
              <w:pStyle w:val="20"/>
              <w:ind w:left="447"/>
              <w:rPr>
                <w:color w:val="auto"/>
                <w:sz w:val="24"/>
                <w:highlight w:val="none"/>
              </w:rPr>
            </w:pPr>
            <w:r>
              <w:rPr>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221" w:type="dxa"/>
            <w:tcBorders>
              <w:top w:val="single" w:color="000000" w:sz="6" w:space="0"/>
              <w:bottom w:val="single" w:color="000000" w:sz="6" w:space="0"/>
              <w:right w:val="single" w:color="000000" w:sz="6" w:space="0"/>
            </w:tcBorders>
          </w:tcPr>
          <w:p>
            <w:pPr>
              <w:pStyle w:val="20"/>
              <w:ind w:right="415"/>
              <w:jc w:val="right"/>
              <w:rPr>
                <w:color w:val="auto"/>
                <w:sz w:val="24"/>
                <w:highlight w:val="none"/>
              </w:rPr>
            </w:pPr>
            <w:r>
              <w:rPr>
                <w:color w:val="auto"/>
                <w:sz w:val="24"/>
                <w:highlight w:val="none"/>
              </w:rPr>
              <w:t>…</w:t>
            </w:r>
          </w:p>
        </w:tc>
        <w:tc>
          <w:tcPr>
            <w:tcW w:w="3522"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41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60"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221"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522"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41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60"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221"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522"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41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60"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221" w:type="dxa"/>
            <w:tcBorders>
              <w:top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522"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3410" w:type="dxa"/>
            <w:tcBorders>
              <w:top w:val="single" w:color="000000" w:sz="6" w:space="0"/>
              <w:left w:val="single" w:color="000000" w:sz="6" w:space="0"/>
              <w:bottom w:val="single" w:color="000000" w:sz="6" w:space="0"/>
              <w:right w:val="single" w:color="000000" w:sz="6" w:space="0"/>
            </w:tcBorders>
          </w:tcPr>
          <w:p>
            <w:pPr>
              <w:pStyle w:val="20"/>
              <w:rPr>
                <w:rFonts w:ascii="Times New Roman"/>
                <w:color w:val="auto"/>
                <w:sz w:val="24"/>
                <w:highlight w:val="none"/>
              </w:rPr>
            </w:pPr>
          </w:p>
        </w:tc>
        <w:tc>
          <w:tcPr>
            <w:tcW w:w="1360" w:type="dxa"/>
            <w:tcBorders>
              <w:top w:val="single" w:color="000000" w:sz="6" w:space="0"/>
              <w:left w:val="single" w:color="000000" w:sz="6" w:space="0"/>
              <w:bottom w:val="single" w:color="000000" w:sz="6" w:space="0"/>
            </w:tcBorders>
          </w:tcPr>
          <w:p>
            <w:pPr>
              <w:pStyle w:val="20"/>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trPr>
        <w:tc>
          <w:tcPr>
            <w:tcW w:w="1221" w:type="dxa"/>
            <w:tcBorders>
              <w:top w:val="single" w:color="000000" w:sz="6" w:space="0"/>
              <w:right w:val="single" w:color="000000" w:sz="6" w:space="0"/>
            </w:tcBorders>
          </w:tcPr>
          <w:p>
            <w:pPr>
              <w:pStyle w:val="20"/>
              <w:rPr>
                <w:rFonts w:ascii="Times New Roman"/>
                <w:color w:val="auto"/>
                <w:sz w:val="24"/>
                <w:highlight w:val="none"/>
              </w:rPr>
            </w:pPr>
          </w:p>
        </w:tc>
        <w:tc>
          <w:tcPr>
            <w:tcW w:w="3522" w:type="dxa"/>
            <w:tcBorders>
              <w:top w:val="single" w:color="000000" w:sz="6" w:space="0"/>
              <w:left w:val="single" w:color="000000" w:sz="6" w:space="0"/>
              <w:right w:val="single" w:color="000000" w:sz="6" w:space="0"/>
            </w:tcBorders>
          </w:tcPr>
          <w:p>
            <w:pPr>
              <w:pStyle w:val="20"/>
              <w:rPr>
                <w:rFonts w:ascii="Times New Roman"/>
                <w:color w:val="auto"/>
                <w:sz w:val="24"/>
                <w:highlight w:val="none"/>
              </w:rPr>
            </w:pPr>
          </w:p>
        </w:tc>
        <w:tc>
          <w:tcPr>
            <w:tcW w:w="3410" w:type="dxa"/>
            <w:tcBorders>
              <w:top w:val="single" w:color="000000" w:sz="6" w:space="0"/>
              <w:left w:val="single" w:color="000000" w:sz="6" w:space="0"/>
              <w:right w:val="single" w:color="000000" w:sz="6" w:space="0"/>
            </w:tcBorders>
          </w:tcPr>
          <w:p>
            <w:pPr>
              <w:pStyle w:val="20"/>
              <w:rPr>
                <w:rFonts w:ascii="Times New Roman"/>
                <w:color w:val="auto"/>
                <w:sz w:val="24"/>
                <w:highlight w:val="none"/>
              </w:rPr>
            </w:pPr>
          </w:p>
        </w:tc>
        <w:tc>
          <w:tcPr>
            <w:tcW w:w="1360" w:type="dxa"/>
            <w:tcBorders>
              <w:top w:val="single" w:color="000000" w:sz="6" w:space="0"/>
              <w:left w:val="single" w:color="000000" w:sz="6" w:space="0"/>
            </w:tcBorders>
          </w:tcPr>
          <w:p>
            <w:pPr>
              <w:pStyle w:val="20"/>
              <w:rPr>
                <w:rFonts w:ascii="Times New Roman"/>
                <w:color w:val="auto"/>
                <w:sz w:val="24"/>
                <w:highlight w:val="none"/>
              </w:rPr>
            </w:pPr>
          </w:p>
        </w:tc>
      </w:tr>
    </w:tbl>
    <w:p>
      <w:pPr>
        <w:pStyle w:val="3"/>
        <w:spacing w:before="1" w:line="364" w:lineRule="auto"/>
        <w:ind w:left="763" w:right="3174" w:hanging="480"/>
        <w:rPr>
          <w:color w:val="auto"/>
          <w:highlight w:val="none"/>
        </w:rPr>
      </w:pPr>
      <w:r>
        <w:rPr>
          <w:color w:val="auto"/>
          <w:highlight w:val="none"/>
        </w:rPr>
        <w:t>注：1.若不填写或只填写“无”视作完全响应磋商文件的要求; 2.磋商供应商若有好的建议可附建议书。</w:t>
      </w:r>
    </w:p>
    <w:p>
      <w:pPr>
        <w:spacing w:after="0" w:line="364" w:lineRule="auto"/>
        <w:rPr>
          <w:color w:val="auto"/>
          <w:highlight w:val="none"/>
        </w:rPr>
        <w:sectPr>
          <w:pgSz w:w="11900" w:h="16840"/>
          <w:pgMar w:top="1080" w:right="820" w:bottom="800" w:left="1020" w:header="0" w:footer="609" w:gutter="0"/>
        </w:sect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ind w:left="0"/>
        <w:rPr>
          <w:color w:val="auto"/>
          <w:highlight w:val="none"/>
        </w:rPr>
      </w:pPr>
    </w:p>
    <w:p>
      <w:pPr>
        <w:pStyle w:val="3"/>
        <w:spacing w:before="12"/>
        <w:ind w:left="0"/>
        <w:rPr>
          <w:color w:val="auto"/>
          <w:highlight w:val="none"/>
        </w:rPr>
      </w:pPr>
    </w:p>
    <w:p>
      <w:pPr>
        <w:pStyle w:val="9"/>
        <w:outlineLvl w:val="9"/>
        <w:rPr>
          <w:color w:val="auto"/>
          <w:highlight w:val="none"/>
        </w:rPr>
      </w:pPr>
    </w:p>
    <w:p>
      <w:pPr>
        <w:pStyle w:val="9"/>
        <w:rPr>
          <w:color w:val="auto"/>
          <w:highlight w:val="none"/>
        </w:rPr>
      </w:pPr>
      <w:r>
        <w:rPr>
          <w:color w:val="auto"/>
          <w:highlight w:val="none"/>
        </w:rPr>
        <w:t>建议书</w:t>
      </w:r>
    </w:p>
    <w:p>
      <w:pPr>
        <w:pStyle w:val="3"/>
        <w:tabs>
          <w:tab w:val="left" w:pos="1603"/>
          <w:tab w:val="left" w:pos="2083"/>
          <w:tab w:val="left" w:pos="2683"/>
        </w:tabs>
        <w:spacing w:before="1" w:line="362" w:lineRule="auto"/>
        <w:ind w:left="0" w:leftChars="0" w:right="1974" w:firstLine="0" w:firstLineChars="0"/>
        <w:rPr>
          <w:color w:val="auto"/>
          <w:highlight w:val="none"/>
        </w:rPr>
        <w:sectPr>
          <w:type w:val="continuous"/>
          <w:pgSz w:w="11900" w:h="16840"/>
          <w:pgMar w:top="1140" w:right="820" w:bottom="280" w:left="1020" w:header="720" w:footer="720" w:gutter="0"/>
          <w:cols w:equalWidth="0" w:num="2">
            <w:col w:w="1046" w:space="4114"/>
            <w:col w:w="4900"/>
          </w:cols>
        </w:sect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ind w:left="0"/>
        <w:rPr>
          <w:color w:val="auto"/>
          <w:sz w:val="20"/>
          <w:highlight w:val="none"/>
        </w:rPr>
      </w:pPr>
    </w:p>
    <w:p>
      <w:pPr>
        <w:pStyle w:val="3"/>
        <w:tabs>
          <w:tab w:val="left" w:pos="6763"/>
          <w:tab w:val="left" w:pos="7243"/>
          <w:tab w:val="left" w:pos="7843"/>
        </w:tabs>
        <w:spacing w:before="197" w:line="362" w:lineRule="auto"/>
        <w:ind w:left="5443" w:right="1974"/>
        <w:rPr>
          <w:color w:val="auto"/>
          <w:highlight w:val="none"/>
        </w:rPr>
      </w:pPr>
      <w:r>
        <w:rPr>
          <w:color w:val="auto"/>
          <w:highlight w:val="none"/>
        </w:rPr>
        <w:t>磋商供应商（公章）：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3"/>
        <w:spacing w:before="1"/>
        <w:ind w:left="0"/>
        <w:rPr>
          <w:color w:val="auto"/>
          <w:sz w:val="25"/>
          <w:highlight w:val="none"/>
        </w:rPr>
      </w:pPr>
    </w:p>
    <w:p>
      <w:pPr>
        <w:pStyle w:val="5"/>
        <w:spacing w:before="0"/>
        <w:ind w:left="233" w:right="27"/>
        <w:rPr>
          <w:color w:val="auto"/>
          <w:highlight w:val="none"/>
        </w:rPr>
      </w:pPr>
      <w:bookmarkStart w:id="182" w:name="十、廉政承诺书"/>
      <w:bookmarkEnd w:id="182"/>
      <w:bookmarkStart w:id="183" w:name="_Toc30142"/>
      <w:r>
        <w:rPr>
          <w:color w:val="auto"/>
          <w:highlight w:val="none"/>
        </w:rPr>
        <w:t>十、廉政承诺书</w:t>
      </w:r>
      <w:bookmarkEnd w:id="183"/>
    </w:p>
    <w:p>
      <w:pPr>
        <w:pStyle w:val="3"/>
        <w:spacing w:before="210"/>
        <w:rPr>
          <w:rFonts w:hint="eastAsia" w:eastAsia="宋体"/>
          <w:color w:val="auto"/>
          <w:highlight w:val="none"/>
          <w:lang w:eastAsia="zh-CN"/>
        </w:rPr>
      </w:pPr>
      <w:r>
        <w:rPr>
          <w:color w:val="auto"/>
          <w:highlight w:val="none"/>
        </w:rPr>
        <w:t>致：2022年第19届亚运会组委会/</w:t>
      </w:r>
      <w:r>
        <w:rPr>
          <w:rFonts w:hint="eastAsia"/>
          <w:color w:val="auto"/>
          <w:highlight w:val="none"/>
          <w:lang w:eastAsia="zh-CN"/>
        </w:rPr>
        <w:t>浙江五石工程咨询有限公司</w:t>
      </w:r>
    </w:p>
    <w:p>
      <w:pPr>
        <w:pStyle w:val="3"/>
        <w:spacing w:before="160" w:line="364" w:lineRule="auto"/>
        <w:ind w:right="414" w:firstLine="480"/>
        <w:jc w:val="both"/>
        <w:rPr>
          <w:color w:val="auto"/>
          <w:highlight w:val="none"/>
        </w:rPr>
      </w:pPr>
      <w:r>
        <w:rPr>
          <w:color w:val="auto"/>
          <w:highlight w:val="none"/>
        </w:rPr>
        <w:t>加强采购活动中的廉政建设，进一步规范政府采购市场，防止发生违法违纪行为，体现公开、公平、公正的原则，根据国家有关法律、法规和廉政建设责任制的规定，我单位响应你方项目采购要求参加磋商谈判。在这次磋商过程中和成交后，我们郑重承诺如下：</w:t>
      </w:r>
    </w:p>
    <w:p>
      <w:pPr>
        <w:pStyle w:val="3"/>
        <w:spacing w:line="362" w:lineRule="auto"/>
        <w:ind w:left="763" w:right="654"/>
        <w:rPr>
          <w:color w:val="auto"/>
          <w:highlight w:val="none"/>
        </w:rPr>
      </w:pPr>
      <w:r>
        <w:rPr>
          <w:color w:val="auto"/>
          <w:spacing w:val="-1"/>
          <w:highlight w:val="none"/>
        </w:rPr>
        <w:t>一、不与采购人、采购代理机构及其他磋商响应供应商私下串通协商，控制价格。</w:t>
      </w:r>
      <w:r>
        <w:rPr>
          <w:color w:val="auto"/>
          <w:highlight w:val="none"/>
        </w:rPr>
        <w:t>二、不向采购人、采购代理机构、评审专家行贿，以不正当手段谋取成交。</w:t>
      </w:r>
    </w:p>
    <w:p>
      <w:pPr>
        <w:pStyle w:val="3"/>
        <w:spacing w:before="5"/>
        <w:ind w:left="763"/>
        <w:rPr>
          <w:color w:val="auto"/>
          <w:highlight w:val="none"/>
        </w:rPr>
      </w:pPr>
      <w:r>
        <w:rPr>
          <w:color w:val="auto"/>
          <w:highlight w:val="none"/>
        </w:rPr>
        <w:t>三、不向监管人员请客、送礼及组织其它有可能影响客观公正监管的活动。</w:t>
      </w:r>
    </w:p>
    <w:p>
      <w:pPr>
        <w:pStyle w:val="3"/>
        <w:spacing w:before="158" w:line="364" w:lineRule="auto"/>
        <w:ind w:right="414" w:firstLine="480"/>
        <w:rPr>
          <w:color w:val="auto"/>
          <w:highlight w:val="none"/>
        </w:rPr>
      </w:pPr>
      <w:r>
        <w:rPr>
          <w:color w:val="auto"/>
          <w:highlight w:val="none"/>
        </w:rPr>
        <w:t>四、自觉遵守采购活动现场工作纪律，不私下接触评审专家，不干扰正常的政府采购秩序。</w:t>
      </w:r>
    </w:p>
    <w:p>
      <w:pPr>
        <w:pStyle w:val="3"/>
        <w:spacing w:line="306" w:lineRule="exact"/>
        <w:ind w:left="763"/>
        <w:rPr>
          <w:color w:val="auto"/>
          <w:highlight w:val="none"/>
        </w:rPr>
      </w:pPr>
      <w:r>
        <w:rPr>
          <w:color w:val="auto"/>
          <w:highlight w:val="none"/>
        </w:rPr>
        <w:t>五、不给责任人的违法违规行为说情、解脱。</w:t>
      </w:r>
    </w:p>
    <w:p>
      <w:pPr>
        <w:pStyle w:val="3"/>
        <w:spacing w:before="160" w:line="364" w:lineRule="auto"/>
        <w:ind w:right="414" w:firstLine="480"/>
        <w:jc w:val="both"/>
        <w:rPr>
          <w:color w:val="auto"/>
          <w:highlight w:val="none"/>
        </w:rPr>
      </w:pPr>
      <w:r>
        <w:rPr>
          <w:color w:val="auto"/>
          <w:highlight w:val="none"/>
        </w:rPr>
        <mc:AlternateContent>
          <mc:Choice Requires="wps">
            <w:drawing>
              <wp:anchor distT="0" distB="0" distL="114300" distR="114300" simplePos="0" relativeHeight="248739840" behindDoc="1" locked="0" layoutInCell="1" allowOverlap="1">
                <wp:simplePos x="0" y="0"/>
                <wp:positionH relativeFrom="page">
                  <wp:posOffset>820420</wp:posOffset>
                </wp:positionH>
                <wp:positionV relativeFrom="paragraph">
                  <wp:posOffset>675640</wp:posOffset>
                </wp:positionV>
                <wp:extent cx="6141085" cy="1937385"/>
                <wp:effectExtent l="0" t="7316470" r="5715" b="0"/>
                <wp:wrapNone/>
                <wp:docPr id="2" name="任意多边形 7"/>
                <wp:cNvGraphicFramePr/>
                <a:graphic xmlns:a="http://schemas.openxmlformats.org/drawingml/2006/main">
                  <a:graphicData uri="http://schemas.microsoft.com/office/word/2010/wordprocessingShape">
                    <wps:wsp>
                      <wps:cNvSpPr/>
                      <wps:spPr>
                        <a:xfrm>
                          <a:off x="0" y="0"/>
                          <a:ext cx="6141085" cy="1937385"/>
                        </a:xfrm>
                        <a:custGeom>
                          <a:avLst/>
                          <a:gdLst/>
                          <a:ahLst/>
                          <a:cxnLst/>
                          <a:pathLst>
                            <a:path w="9671" h="3051">
                              <a:moveTo>
                                <a:pt x="0" y="-11508"/>
                              </a:moveTo>
                              <a:lnTo>
                                <a:pt x="9670" y="-11508"/>
                              </a:lnTo>
                              <a:moveTo>
                                <a:pt x="0" y="-8472"/>
                              </a:moveTo>
                              <a:lnTo>
                                <a:pt x="9670" y="-8472"/>
                              </a:lnTo>
                              <a:moveTo>
                                <a:pt x="14" y="-11522"/>
                              </a:moveTo>
                              <a:lnTo>
                                <a:pt x="14" y="-8486"/>
                              </a:lnTo>
                              <a:moveTo>
                                <a:pt x="9656" y="-11522"/>
                              </a:moveTo>
                              <a:lnTo>
                                <a:pt x="9656" y="-8486"/>
                              </a:lnTo>
                            </a:path>
                          </a:pathLst>
                        </a:custGeom>
                        <a:noFill/>
                        <a:ln w="18288"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64.6pt;margin-top:53.2pt;height:152.55pt;width:483.55pt;mso-position-horizontal-relative:page;z-index:-254576640;mso-width-relative:page;mso-height-relative:page;" filled="f" stroked="t" coordsize="9671,3051" o:gfxdata="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Omccb&#10;3QAAAAwBAAAPAAAAAAAAAAEAIAAAACIAAABkcnMvZG93bnJldi54bWxQSwECFAAUAAAACACHTuJA&#10;ZWKf1VUCAABXBQAADgAAAAAAAAABACAAAAAsAQAAZHJzL2Uyb0RvYy54bWxQSwUGAAAAAAYABgBZ&#10;AQAA8wUAAAAA&#10;" path="m0,-11508l9670,-11508m0,-8472l9670,-8472m14,-11522l14,-8486m9656,-11522l9656,-8486e">
                <v:fill on="f" focussize="0,0"/>
                <v:stroke weight="1.44pt" color="#000000" joinstyle="round"/>
                <v:imagedata o:title=""/>
                <o:lock v:ext="edit" aspectratio="f"/>
              </v:shape>
            </w:pict>
          </mc:Fallback>
        </mc:AlternateContent>
      </w:r>
      <w:r>
        <w:rPr>
          <w:color w:val="auto"/>
          <w:highlight w:val="none"/>
        </w:rPr>
        <w:t>如违反上述承诺，你方有权立即取消我单位磋商、成交或在建项目的履约资格，有权拒绝我单位在一定时期内进入你方进行政府采购或其他经营活动，并通报监督管理部门、纪检监察部门或司法机关调查处理。由此引起的相应损失均由我单位承担。</w:t>
      </w:r>
    </w:p>
    <w:p>
      <w:pPr>
        <w:pStyle w:val="3"/>
        <w:ind w:left="0"/>
        <w:rPr>
          <w:color w:val="auto"/>
          <w:highlight w:val="none"/>
        </w:rPr>
      </w:pPr>
    </w:p>
    <w:p>
      <w:pPr>
        <w:pStyle w:val="3"/>
        <w:tabs>
          <w:tab w:val="left" w:pos="6763"/>
          <w:tab w:val="left" w:pos="7243"/>
          <w:tab w:val="left" w:pos="7843"/>
        </w:tabs>
        <w:spacing w:before="158" w:line="362" w:lineRule="auto"/>
        <w:ind w:left="5443" w:right="1974"/>
        <w:rPr>
          <w:color w:val="auto"/>
          <w:highlight w:val="none"/>
        </w:rPr>
      </w:pPr>
      <w:r>
        <w:rPr>
          <w:color w:val="auto"/>
          <w:highlight w:val="none"/>
        </w:rPr>
        <w:t>磋商供应商（公章）：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3"/>
        <w:ind w:left="0"/>
        <w:rPr>
          <w:color w:val="auto"/>
          <w:highlight w:val="none"/>
        </w:rPr>
      </w:pPr>
    </w:p>
    <w:p>
      <w:pPr>
        <w:pStyle w:val="3"/>
        <w:spacing w:before="4"/>
        <w:ind w:left="0"/>
        <w:rPr>
          <w:color w:val="auto"/>
          <w:sz w:val="25"/>
          <w:highlight w:val="none"/>
        </w:rPr>
      </w:pPr>
    </w:p>
    <w:p>
      <w:pPr>
        <w:pStyle w:val="5"/>
        <w:spacing w:before="1"/>
        <w:ind w:right="26"/>
        <w:rPr>
          <w:color w:val="auto"/>
          <w:highlight w:val="none"/>
        </w:rPr>
      </w:pPr>
      <w:bookmarkStart w:id="184" w:name="十一、关于对磋商文件中有关条款的拒绝声明"/>
      <w:bookmarkEnd w:id="184"/>
      <w:bookmarkStart w:id="185" w:name="_Toc20617"/>
      <w:r>
        <w:rPr>
          <w:color w:val="auto"/>
          <w:highlight w:val="none"/>
        </w:rPr>
        <w:t>十</w:t>
      </w:r>
      <w:bookmarkEnd w:id="185"/>
    </w:p>
    <w:p>
      <w:pPr>
        <w:pStyle w:val="5"/>
        <w:spacing w:before="1"/>
        <w:ind w:right="26"/>
        <w:rPr>
          <w:color w:val="auto"/>
          <w:highlight w:val="none"/>
        </w:rPr>
      </w:pPr>
      <w:bookmarkStart w:id="186" w:name="_Toc2816"/>
      <w:r>
        <w:rPr>
          <w:color w:val="auto"/>
          <w:highlight w:val="none"/>
        </w:rPr>
        <w:t>一、关于对磋商文件中有关条款的拒绝声明</w:t>
      </w:r>
      <w:bookmarkEnd w:id="186"/>
    </w:p>
    <w:p>
      <w:pPr>
        <w:pStyle w:val="8"/>
        <w:rPr>
          <w:color w:val="auto"/>
          <w:highlight w:val="none"/>
        </w:rPr>
      </w:pPr>
      <w:r>
        <w:rPr>
          <w:color w:val="auto"/>
          <w:highlight w:val="none"/>
        </w:rPr>
        <w:t>（根据磋商文件要求自行编制）</w:t>
      </w:r>
    </w:p>
    <w:p>
      <w:pPr>
        <w:pStyle w:val="3"/>
        <w:ind w:left="0"/>
        <w:rPr>
          <w:color w:val="auto"/>
          <w:sz w:val="28"/>
          <w:highlight w:val="none"/>
        </w:rPr>
      </w:pPr>
    </w:p>
    <w:p>
      <w:pPr>
        <w:pStyle w:val="3"/>
        <w:spacing w:before="10"/>
        <w:ind w:left="0"/>
        <w:rPr>
          <w:color w:val="auto"/>
          <w:sz w:val="22"/>
          <w:highlight w:val="none"/>
        </w:rPr>
      </w:pPr>
    </w:p>
    <w:p>
      <w:pPr>
        <w:pStyle w:val="3"/>
        <w:ind w:left="4684"/>
        <w:rPr>
          <w:color w:val="auto"/>
          <w:highlight w:val="none"/>
        </w:rPr>
      </w:pPr>
      <w:r>
        <w:rPr>
          <w:color w:val="auto"/>
          <w:highlight w:val="none"/>
        </w:rPr>
        <w:t>磋商供应商（盖章）：</w:t>
      </w:r>
    </w:p>
    <w:p>
      <w:pPr>
        <w:pStyle w:val="3"/>
        <w:tabs>
          <w:tab w:val="left" w:pos="6364"/>
          <w:tab w:val="left" w:pos="6844"/>
          <w:tab w:val="left" w:pos="7444"/>
        </w:tabs>
        <w:spacing w:before="160"/>
        <w:ind w:left="4684"/>
        <w:rPr>
          <w:color w:val="auto"/>
          <w:highlight w:val="none"/>
        </w:rPr>
      </w:pPr>
      <w:r>
        <w:rPr>
          <w:color w:val="auto"/>
          <w:highlight w:val="none"/>
        </w:rPr>
        <w:t>签发日期：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pStyle w:val="3"/>
        <w:ind w:left="0"/>
        <w:rPr>
          <w:color w:val="auto"/>
          <w:highlight w:val="none"/>
        </w:rPr>
      </w:pPr>
    </w:p>
    <w:p>
      <w:pPr>
        <w:pStyle w:val="3"/>
        <w:ind w:left="0"/>
        <w:rPr>
          <w:color w:val="auto"/>
          <w:sz w:val="25"/>
          <w:highlight w:val="none"/>
        </w:rPr>
      </w:pPr>
    </w:p>
    <w:p>
      <w:pPr>
        <w:pStyle w:val="5"/>
        <w:spacing w:before="0"/>
        <w:ind w:right="26"/>
        <w:rPr>
          <w:color w:val="auto"/>
          <w:highlight w:val="none"/>
        </w:rPr>
      </w:pPr>
      <w:bookmarkStart w:id="187" w:name="十二、认为需要的其他技术商务文件或说明"/>
      <w:bookmarkEnd w:id="187"/>
      <w:bookmarkStart w:id="188" w:name="_Toc6596"/>
      <w:r>
        <w:rPr>
          <w:color w:val="auto"/>
          <w:highlight w:val="none"/>
        </w:rPr>
        <w:t>十二、认为需要的其他技术商务文件或说明</w:t>
      </w:r>
      <w:bookmarkEnd w:id="188"/>
    </w:p>
    <w:p>
      <w:pPr>
        <w:pStyle w:val="8"/>
        <w:spacing w:before="211"/>
        <w:rPr>
          <w:color w:val="auto"/>
          <w:highlight w:val="none"/>
        </w:rPr>
      </w:pPr>
      <w:r>
        <w:rPr>
          <w:color w:val="auto"/>
          <w:highlight w:val="none"/>
        </w:rPr>
        <w:t>（根据磋商文件要求自行编制）</w:t>
      </w:r>
    </w:p>
    <w:p>
      <w:pPr>
        <w:pStyle w:val="3"/>
        <w:ind w:left="0"/>
        <w:rPr>
          <w:color w:val="auto"/>
          <w:sz w:val="28"/>
          <w:highlight w:val="none"/>
        </w:rPr>
      </w:pPr>
    </w:p>
    <w:p>
      <w:pPr>
        <w:pStyle w:val="3"/>
        <w:ind w:left="0"/>
        <w:rPr>
          <w:color w:val="auto"/>
          <w:sz w:val="23"/>
          <w:highlight w:val="none"/>
        </w:rPr>
      </w:pPr>
    </w:p>
    <w:p>
      <w:pPr>
        <w:pStyle w:val="3"/>
        <w:ind w:left="4684"/>
        <w:rPr>
          <w:color w:val="auto"/>
          <w:highlight w:val="none"/>
        </w:rPr>
      </w:pPr>
      <w:r>
        <w:rPr>
          <w:color w:val="auto"/>
          <w:highlight w:val="none"/>
        </w:rPr>
        <w:t>磋商供应商（盖章）：</w:t>
      </w:r>
    </w:p>
    <w:p>
      <w:pPr>
        <w:pStyle w:val="3"/>
        <w:tabs>
          <w:tab w:val="left" w:pos="6364"/>
          <w:tab w:val="left" w:pos="6844"/>
          <w:tab w:val="left" w:pos="7444"/>
        </w:tabs>
        <w:spacing w:before="158"/>
        <w:ind w:left="4684"/>
        <w:rPr>
          <w:color w:val="auto"/>
          <w:highlight w:val="none"/>
        </w:rPr>
      </w:pPr>
      <w:r>
        <w:rPr>
          <w:color w:val="auto"/>
          <w:highlight w:val="none"/>
        </w:rPr>
        <w:t>签发日期：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rPr>
          <w:color w:val="auto"/>
          <w:highlight w:val="none"/>
        </w:rPr>
        <w:sectPr>
          <w:pgSz w:w="11900" w:h="16840"/>
          <w:pgMar w:top="1100" w:right="820" w:bottom="800" w:left="1020" w:header="0" w:footer="609" w:gutter="0"/>
        </w:sectPr>
      </w:pPr>
    </w:p>
    <w:p>
      <w:pPr>
        <w:pStyle w:val="5"/>
        <w:tabs>
          <w:tab w:val="left" w:pos="7672"/>
        </w:tabs>
        <w:ind w:left="283" w:right="0"/>
        <w:jc w:val="left"/>
        <w:rPr>
          <w:color w:val="auto"/>
          <w:highlight w:val="none"/>
        </w:rPr>
      </w:pPr>
      <w:bookmarkStart w:id="189" w:name="_Toc5870"/>
      <w:r>
        <w:rPr>
          <w:color w:val="auto"/>
          <w:highlight w:val="none"/>
        </w:rPr>
        <w:t>封面</w:t>
      </w:r>
      <w:r>
        <w:rPr>
          <w:color w:val="auto"/>
          <w:highlight w:val="none"/>
        </w:rPr>
        <w:tab/>
      </w:r>
      <w:r>
        <w:rPr>
          <w:color w:val="auto"/>
          <w:highlight w:val="none"/>
        </w:rPr>
        <w:t>正本（副本）</w:t>
      </w:r>
      <w:bookmarkEnd w:id="189"/>
    </w:p>
    <w:p>
      <w:pPr>
        <w:pStyle w:val="3"/>
        <w:ind w:left="0"/>
        <w:rPr>
          <w:b/>
          <w:color w:val="auto"/>
          <w:sz w:val="32"/>
          <w:highlight w:val="none"/>
        </w:rPr>
      </w:pPr>
    </w:p>
    <w:p>
      <w:pPr>
        <w:pStyle w:val="3"/>
        <w:ind w:left="0"/>
        <w:rPr>
          <w:b/>
          <w:color w:val="auto"/>
          <w:sz w:val="32"/>
          <w:highlight w:val="none"/>
        </w:rPr>
      </w:pPr>
    </w:p>
    <w:p>
      <w:pPr>
        <w:pStyle w:val="3"/>
        <w:ind w:left="0"/>
        <w:rPr>
          <w:b/>
          <w:color w:val="auto"/>
          <w:sz w:val="32"/>
          <w:highlight w:val="none"/>
        </w:rPr>
      </w:pPr>
    </w:p>
    <w:p>
      <w:pPr>
        <w:pStyle w:val="3"/>
        <w:spacing w:before="2"/>
        <w:ind w:left="0"/>
        <w:rPr>
          <w:b/>
          <w:color w:val="auto"/>
          <w:sz w:val="34"/>
          <w:highlight w:val="none"/>
        </w:rPr>
      </w:pPr>
    </w:p>
    <w:p>
      <w:pPr>
        <w:spacing w:before="1" w:line="628" w:lineRule="auto"/>
        <w:ind w:left="3251" w:right="3275" w:firstLine="0"/>
        <w:jc w:val="center"/>
        <w:rPr>
          <w:b/>
          <w:color w:val="auto"/>
          <w:sz w:val="44"/>
          <w:highlight w:val="none"/>
        </w:rPr>
      </w:pPr>
      <w:r>
        <w:rPr>
          <w:rFonts w:hint="eastAsia"/>
          <w:b/>
          <w:color w:val="auto"/>
          <w:w w:val="95"/>
          <w:sz w:val="44"/>
          <w:highlight w:val="none"/>
          <w:lang w:eastAsia="zh-CN"/>
        </w:rPr>
        <w:t>2022年亚运会餐饮服务规划和安全保障研究</w:t>
      </w:r>
      <w:r>
        <w:rPr>
          <w:b/>
          <w:color w:val="auto"/>
          <w:sz w:val="44"/>
          <w:highlight w:val="none"/>
        </w:rPr>
        <w:t>资格证明文件</w:t>
      </w:r>
    </w:p>
    <w:p>
      <w:pPr>
        <w:pStyle w:val="6"/>
        <w:ind w:left="1831"/>
        <w:rPr>
          <w:color w:val="auto"/>
          <w:highlight w:val="none"/>
        </w:rPr>
      </w:pPr>
      <w:r>
        <w:rPr>
          <w:color w:val="auto"/>
          <w:highlight w:val="none"/>
        </w:rPr>
        <w:t>项目编号：</w:t>
      </w:r>
    </w:p>
    <w:p>
      <w:pPr>
        <w:tabs>
          <w:tab w:val="left" w:pos="2735"/>
          <w:tab w:val="left" w:pos="5332"/>
        </w:tabs>
        <w:spacing w:before="201"/>
        <w:ind w:left="1831" w:right="0" w:firstLine="0"/>
        <w:jc w:val="left"/>
        <w:rPr>
          <w:b/>
          <w:color w:val="auto"/>
          <w:sz w:val="30"/>
          <w:highlight w:val="none"/>
        </w:rPr>
      </w:pPr>
      <w:r>
        <w:rPr>
          <w:b/>
          <w:color w:val="auto"/>
          <w:sz w:val="30"/>
          <w:highlight w:val="none"/>
        </w:rPr>
        <w:t>包</w:t>
      </w:r>
      <w:r>
        <w:rPr>
          <w:b/>
          <w:color w:val="auto"/>
          <w:sz w:val="30"/>
          <w:highlight w:val="none"/>
        </w:rPr>
        <w:tab/>
      </w:r>
      <w:r>
        <w:rPr>
          <w:b/>
          <w:color w:val="auto"/>
          <w:sz w:val="30"/>
          <w:highlight w:val="none"/>
        </w:rPr>
        <w:t>号：</w:t>
      </w:r>
      <w:r>
        <w:rPr>
          <w:b/>
          <w:color w:val="auto"/>
          <w:sz w:val="30"/>
          <w:highlight w:val="none"/>
        </w:rPr>
        <w:tab/>
      </w:r>
      <w:r>
        <w:rPr>
          <w:b/>
          <w:color w:val="auto"/>
          <w:w w:val="95"/>
          <w:sz w:val="30"/>
          <w:highlight w:val="none"/>
        </w:rPr>
        <w:t>（如有）</w:t>
      </w:r>
    </w:p>
    <w:p>
      <w:pPr>
        <w:tabs>
          <w:tab w:val="left" w:pos="5332"/>
        </w:tabs>
        <w:spacing w:before="199"/>
        <w:ind w:left="1831" w:right="0" w:firstLine="0"/>
        <w:jc w:val="left"/>
        <w:rPr>
          <w:b/>
          <w:color w:val="auto"/>
          <w:sz w:val="30"/>
          <w:highlight w:val="none"/>
        </w:rPr>
      </w:pPr>
      <w:r>
        <w:rPr>
          <w:b/>
          <w:color w:val="auto"/>
          <w:sz w:val="30"/>
          <w:highlight w:val="none"/>
        </w:rPr>
        <w:t>包 名</w:t>
      </w:r>
      <w:r>
        <w:rPr>
          <w:b/>
          <w:color w:val="auto"/>
          <w:spacing w:val="-3"/>
          <w:sz w:val="30"/>
          <w:highlight w:val="none"/>
        </w:rPr>
        <w:t xml:space="preserve"> </w:t>
      </w:r>
      <w:r>
        <w:rPr>
          <w:b/>
          <w:color w:val="auto"/>
          <w:sz w:val="30"/>
          <w:highlight w:val="none"/>
        </w:rPr>
        <w:t>称：</w:t>
      </w:r>
      <w:r>
        <w:rPr>
          <w:b/>
          <w:color w:val="auto"/>
          <w:sz w:val="30"/>
          <w:highlight w:val="none"/>
        </w:rPr>
        <w:tab/>
      </w:r>
      <w:r>
        <w:rPr>
          <w:b/>
          <w:color w:val="auto"/>
          <w:w w:val="95"/>
          <w:sz w:val="30"/>
          <w:highlight w:val="none"/>
        </w:rPr>
        <w:t>（如有）</w:t>
      </w: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ind w:left="0"/>
        <w:rPr>
          <w:b/>
          <w:color w:val="auto"/>
          <w:sz w:val="30"/>
          <w:highlight w:val="none"/>
        </w:rPr>
      </w:pPr>
    </w:p>
    <w:p>
      <w:pPr>
        <w:pStyle w:val="3"/>
        <w:spacing w:before="1"/>
        <w:ind w:left="0"/>
        <w:rPr>
          <w:b/>
          <w:color w:val="auto"/>
          <w:sz w:val="37"/>
          <w:highlight w:val="none"/>
        </w:rPr>
      </w:pPr>
    </w:p>
    <w:p>
      <w:pPr>
        <w:tabs>
          <w:tab w:val="left" w:pos="4353"/>
          <w:tab w:val="left" w:pos="5236"/>
        </w:tabs>
        <w:spacing w:before="0" w:line="364" w:lineRule="auto"/>
        <w:ind w:left="3470" w:right="3499" w:firstLine="0"/>
        <w:jc w:val="center"/>
        <w:rPr>
          <w:b/>
          <w:color w:val="auto"/>
          <w:sz w:val="44"/>
          <w:highlight w:val="none"/>
        </w:rPr>
      </w:pPr>
      <w:r>
        <w:rPr>
          <w:b/>
          <w:color w:val="auto"/>
          <w:sz w:val="44"/>
          <w:highlight w:val="none"/>
        </w:rPr>
        <w:t>磋商供应商全</w:t>
      </w:r>
      <w:r>
        <w:rPr>
          <w:b/>
          <w:color w:val="auto"/>
          <w:spacing w:val="-15"/>
          <w:sz w:val="44"/>
          <w:highlight w:val="none"/>
        </w:rPr>
        <w:t>称</w:t>
      </w:r>
      <w:r>
        <w:rPr>
          <w:b/>
          <w:color w:val="auto"/>
          <w:sz w:val="44"/>
          <w:highlight w:val="none"/>
        </w:rPr>
        <w:t>年</w:t>
      </w:r>
      <w:r>
        <w:rPr>
          <w:b/>
          <w:color w:val="auto"/>
          <w:sz w:val="44"/>
          <w:highlight w:val="none"/>
        </w:rPr>
        <w:tab/>
      </w:r>
      <w:r>
        <w:rPr>
          <w:b/>
          <w:color w:val="auto"/>
          <w:sz w:val="44"/>
          <w:highlight w:val="none"/>
        </w:rPr>
        <w:t>月</w:t>
      </w:r>
      <w:r>
        <w:rPr>
          <w:b/>
          <w:color w:val="auto"/>
          <w:sz w:val="44"/>
          <w:highlight w:val="none"/>
        </w:rPr>
        <w:tab/>
      </w:r>
      <w:r>
        <w:rPr>
          <w:b/>
          <w:color w:val="auto"/>
          <w:sz w:val="44"/>
          <w:highlight w:val="none"/>
        </w:rPr>
        <w:t>日</w:t>
      </w:r>
    </w:p>
    <w:p>
      <w:pPr>
        <w:spacing w:after="0" w:line="364" w:lineRule="auto"/>
        <w:jc w:val="center"/>
        <w:rPr>
          <w:color w:val="auto"/>
          <w:sz w:val="44"/>
          <w:highlight w:val="none"/>
        </w:rPr>
        <w:sectPr>
          <w:pgSz w:w="11900" w:h="16840"/>
          <w:pgMar w:top="1100" w:right="820" w:bottom="800" w:left="1020" w:header="0" w:footer="609" w:gutter="0"/>
        </w:sectPr>
      </w:pPr>
    </w:p>
    <w:p>
      <w:pPr>
        <w:pStyle w:val="4"/>
        <w:ind w:right="28"/>
        <w:rPr>
          <w:color w:val="auto"/>
          <w:highlight w:val="none"/>
        </w:rPr>
      </w:pPr>
      <w:bookmarkStart w:id="190" w:name="一、有效的单位法人证书或营业执照（复印件加盖公章）"/>
      <w:bookmarkEnd w:id="190"/>
      <w:bookmarkStart w:id="191" w:name="资格证明文件"/>
      <w:bookmarkEnd w:id="191"/>
      <w:bookmarkStart w:id="192" w:name="_Toc14139"/>
      <w:r>
        <w:rPr>
          <w:color w:val="auto"/>
          <w:highlight w:val="none"/>
        </w:rPr>
        <w:t>资格证明文件</w:t>
      </w:r>
      <w:bookmarkEnd w:id="192"/>
    </w:p>
    <w:p>
      <w:pPr>
        <w:pStyle w:val="3"/>
        <w:ind w:left="0"/>
        <w:rPr>
          <w:b/>
          <w:color w:val="auto"/>
          <w:sz w:val="36"/>
          <w:highlight w:val="none"/>
        </w:rPr>
      </w:pPr>
    </w:p>
    <w:p>
      <w:pPr>
        <w:spacing w:before="245"/>
        <w:ind w:left="0" w:right="28" w:firstLine="0"/>
        <w:jc w:val="center"/>
        <w:rPr>
          <w:b/>
          <w:color w:val="auto"/>
          <w:sz w:val="32"/>
          <w:highlight w:val="none"/>
        </w:rPr>
      </w:pPr>
      <w:bookmarkStart w:id="193" w:name="目录"/>
      <w:bookmarkEnd w:id="193"/>
      <w:r>
        <w:rPr>
          <w:b/>
          <w:color w:val="auto"/>
          <w:sz w:val="32"/>
          <w:highlight w:val="none"/>
        </w:rPr>
        <w:t>目录</w:t>
      </w:r>
    </w:p>
    <w:p>
      <w:pPr>
        <w:pStyle w:val="3"/>
        <w:ind w:left="0"/>
        <w:rPr>
          <w:b/>
          <w:color w:val="auto"/>
          <w:sz w:val="32"/>
          <w:highlight w:val="none"/>
        </w:rPr>
      </w:pPr>
    </w:p>
    <w:p>
      <w:pPr>
        <w:pStyle w:val="19"/>
        <w:numPr>
          <w:ilvl w:val="0"/>
          <w:numId w:val="29"/>
        </w:numPr>
        <w:tabs>
          <w:tab w:val="left" w:pos="885"/>
          <w:tab w:val="left" w:leader="dot" w:pos="8563"/>
        </w:tabs>
        <w:spacing w:before="268" w:after="0" w:line="240" w:lineRule="auto"/>
        <w:ind w:left="884" w:right="0" w:hanging="602"/>
        <w:jc w:val="left"/>
        <w:rPr>
          <w:color w:val="auto"/>
          <w:sz w:val="24"/>
          <w:highlight w:val="none"/>
        </w:rPr>
      </w:pPr>
      <w:r>
        <w:rPr>
          <w:color w:val="auto"/>
          <w:sz w:val="24"/>
          <w:highlight w:val="none"/>
        </w:rPr>
        <w:t>有效的单位法人证书或营业执照</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59" w:after="0" w:line="240" w:lineRule="auto"/>
        <w:ind w:left="884" w:right="0" w:hanging="602"/>
        <w:jc w:val="left"/>
        <w:rPr>
          <w:color w:val="auto"/>
          <w:sz w:val="24"/>
          <w:highlight w:val="none"/>
        </w:rPr>
      </w:pPr>
      <w:r>
        <w:rPr>
          <w:color w:val="auto"/>
          <w:sz w:val="24"/>
          <w:highlight w:val="none"/>
        </w:rPr>
        <w:t>财务报表材料</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60" w:after="0" w:line="240" w:lineRule="auto"/>
        <w:ind w:left="884" w:right="0" w:hanging="602"/>
        <w:jc w:val="left"/>
        <w:rPr>
          <w:color w:val="auto"/>
          <w:sz w:val="24"/>
          <w:highlight w:val="none"/>
        </w:rPr>
      </w:pPr>
      <w:r>
        <w:rPr>
          <w:color w:val="auto"/>
          <w:sz w:val="24"/>
          <w:highlight w:val="none"/>
        </w:rPr>
        <w:t>具有履行合同所必须的设备和专业技术能力的承诺函</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61" w:after="0" w:line="240" w:lineRule="auto"/>
        <w:ind w:left="884" w:right="0" w:hanging="602"/>
        <w:jc w:val="left"/>
        <w:rPr>
          <w:color w:val="auto"/>
          <w:sz w:val="24"/>
          <w:highlight w:val="none"/>
        </w:rPr>
      </w:pPr>
      <w:r>
        <w:rPr>
          <w:color w:val="auto"/>
          <w:sz w:val="24"/>
          <w:highlight w:val="none"/>
        </w:rPr>
        <w:t>纳税证明材料</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58" w:after="0" w:line="240" w:lineRule="auto"/>
        <w:ind w:left="884" w:right="0" w:hanging="602"/>
        <w:jc w:val="left"/>
        <w:rPr>
          <w:color w:val="auto"/>
          <w:sz w:val="24"/>
          <w:highlight w:val="none"/>
        </w:rPr>
      </w:pPr>
      <w:r>
        <w:rPr>
          <w:color w:val="auto"/>
          <w:sz w:val="24"/>
          <w:highlight w:val="none"/>
        </w:rPr>
        <w:t>社保缴纳证明材料</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58" w:after="0" w:line="240" w:lineRule="auto"/>
        <w:ind w:left="884" w:right="0" w:hanging="602"/>
        <w:jc w:val="left"/>
        <w:rPr>
          <w:color w:val="auto"/>
          <w:sz w:val="24"/>
          <w:highlight w:val="none"/>
        </w:rPr>
      </w:pPr>
      <w:r>
        <w:rPr>
          <w:color w:val="auto"/>
          <w:sz w:val="24"/>
          <w:highlight w:val="none"/>
        </w:rPr>
        <w:t>承诺函</w:t>
      </w:r>
      <w:r>
        <w:rPr>
          <w:color w:val="auto"/>
          <w:sz w:val="24"/>
          <w:highlight w:val="none"/>
        </w:rPr>
        <w:tab/>
      </w:r>
      <w:r>
        <w:rPr>
          <w:color w:val="auto"/>
          <w:sz w:val="24"/>
          <w:highlight w:val="none"/>
        </w:rPr>
        <w:t>（页码）</w:t>
      </w:r>
    </w:p>
    <w:p>
      <w:pPr>
        <w:pStyle w:val="19"/>
        <w:numPr>
          <w:ilvl w:val="0"/>
          <w:numId w:val="29"/>
        </w:numPr>
        <w:tabs>
          <w:tab w:val="left" w:pos="885"/>
          <w:tab w:val="left" w:leader="dot" w:pos="8563"/>
        </w:tabs>
        <w:spacing w:before="160" w:after="0" w:line="240" w:lineRule="auto"/>
        <w:ind w:left="884" w:right="0" w:hanging="602"/>
        <w:jc w:val="left"/>
        <w:rPr>
          <w:color w:val="auto"/>
          <w:sz w:val="24"/>
          <w:highlight w:val="none"/>
        </w:rPr>
      </w:pPr>
      <w:r>
        <w:rPr>
          <w:color w:val="auto"/>
          <w:sz w:val="24"/>
          <w:highlight w:val="none"/>
        </w:rPr>
        <w:t>特定资格证明材料</w:t>
      </w:r>
      <w:r>
        <w:rPr>
          <w:color w:val="auto"/>
          <w:sz w:val="24"/>
          <w:highlight w:val="none"/>
        </w:rPr>
        <w:tab/>
      </w:r>
      <w:r>
        <w:rPr>
          <w:color w:val="auto"/>
          <w:sz w:val="24"/>
          <w:highlight w:val="none"/>
        </w:rPr>
        <w:t>（页码）</w:t>
      </w:r>
    </w:p>
    <w:p>
      <w:pPr>
        <w:spacing w:after="0" w:line="240" w:lineRule="auto"/>
        <w:jc w:val="left"/>
        <w:rPr>
          <w:color w:val="auto"/>
          <w:sz w:val="24"/>
          <w:highlight w:val="none"/>
        </w:rPr>
        <w:sectPr>
          <w:footerReference r:id="rId14" w:type="default"/>
          <w:pgSz w:w="11900" w:h="16840"/>
          <w:pgMar w:top="1100" w:right="820" w:bottom="800" w:left="1020" w:header="0" w:footer="609" w:gutter="0"/>
          <w:pgNumType w:start="60"/>
        </w:sectPr>
      </w:pPr>
    </w:p>
    <w:p>
      <w:pPr>
        <w:pStyle w:val="6"/>
        <w:spacing w:before="36"/>
        <w:ind w:right="26"/>
        <w:jc w:val="center"/>
        <w:outlineLvl w:val="0"/>
        <w:rPr>
          <w:color w:val="auto"/>
          <w:highlight w:val="none"/>
        </w:rPr>
      </w:pPr>
      <w:bookmarkStart w:id="194" w:name="_Toc4711"/>
      <w:r>
        <w:rPr>
          <w:color w:val="auto"/>
          <w:highlight w:val="none"/>
        </w:rPr>
        <w:t>一、有效的单位法人证书或营业执照（复印件加盖公章）</w:t>
      </w:r>
      <w:bookmarkEnd w:id="194"/>
    </w:p>
    <w:p>
      <w:pPr>
        <w:pStyle w:val="3"/>
        <w:ind w:left="0"/>
        <w:rPr>
          <w:b/>
          <w:color w:val="auto"/>
          <w:sz w:val="30"/>
          <w:highlight w:val="none"/>
        </w:rPr>
      </w:pPr>
    </w:p>
    <w:p>
      <w:pPr>
        <w:pStyle w:val="3"/>
        <w:ind w:left="0"/>
        <w:rPr>
          <w:b/>
          <w:color w:val="auto"/>
          <w:sz w:val="30"/>
          <w:highlight w:val="none"/>
        </w:rPr>
      </w:pPr>
    </w:p>
    <w:p>
      <w:pPr>
        <w:pStyle w:val="3"/>
        <w:spacing w:before="5"/>
        <w:ind w:left="0"/>
        <w:rPr>
          <w:b/>
          <w:color w:val="auto"/>
          <w:sz w:val="28"/>
          <w:highlight w:val="none"/>
        </w:rPr>
      </w:pPr>
    </w:p>
    <w:p>
      <w:pPr>
        <w:spacing w:before="0"/>
        <w:ind w:left="0" w:right="28" w:firstLine="0"/>
        <w:jc w:val="center"/>
        <w:outlineLvl w:val="0"/>
        <w:rPr>
          <w:b/>
          <w:color w:val="auto"/>
          <w:sz w:val="30"/>
          <w:highlight w:val="none"/>
        </w:rPr>
      </w:pPr>
      <w:bookmarkStart w:id="195" w:name="二、财务状况报告（复印件加盖公章）"/>
      <w:bookmarkEnd w:id="195"/>
      <w:bookmarkStart w:id="196" w:name="_Toc606"/>
      <w:r>
        <w:rPr>
          <w:b/>
          <w:color w:val="auto"/>
          <w:sz w:val="30"/>
          <w:highlight w:val="none"/>
        </w:rPr>
        <w:t>二、财务状况报告（复印件加盖公章）</w:t>
      </w:r>
      <w:bookmarkEnd w:id="196"/>
    </w:p>
    <w:p>
      <w:pPr>
        <w:pStyle w:val="3"/>
        <w:ind w:left="0"/>
        <w:rPr>
          <w:b/>
          <w:color w:val="auto"/>
          <w:sz w:val="30"/>
          <w:highlight w:val="none"/>
        </w:rPr>
      </w:pPr>
    </w:p>
    <w:p>
      <w:pPr>
        <w:pStyle w:val="3"/>
        <w:spacing w:before="11"/>
        <w:ind w:left="0"/>
        <w:rPr>
          <w:b/>
          <w:color w:val="auto"/>
          <w:sz w:val="21"/>
          <w:highlight w:val="none"/>
        </w:rPr>
      </w:pPr>
    </w:p>
    <w:p>
      <w:pPr>
        <w:pStyle w:val="3"/>
        <w:spacing w:line="364" w:lineRule="auto"/>
        <w:ind w:right="311"/>
        <w:jc w:val="both"/>
        <w:rPr>
          <w:color w:val="auto"/>
          <w:highlight w:val="none"/>
        </w:rPr>
      </w:pPr>
      <w:r>
        <w:rPr>
          <w:color w:val="auto"/>
          <w:highlight w:val="none"/>
        </w:rPr>
        <w:t>说明：供应商上年度能全面清晰的反映财务状况的财务报表材料（包括损益表、资产负债表等资料</w:t>
      </w:r>
      <w:r>
        <w:rPr>
          <w:color w:val="auto"/>
          <w:spacing w:val="4"/>
          <w:highlight w:val="none"/>
        </w:rPr>
        <w:t>）</w:t>
      </w:r>
      <w:r>
        <w:rPr>
          <w:color w:val="auto"/>
          <w:spacing w:val="-4"/>
          <w:highlight w:val="none"/>
        </w:rPr>
        <w:t xml:space="preserve">。若成立时间不足 </w:t>
      </w:r>
      <w:r>
        <w:rPr>
          <w:color w:val="auto"/>
          <w:highlight w:val="none"/>
        </w:rPr>
        <w:t>1</w:t>
      </w:r>
      <w:r>
        <w:rPr>
          <w:color w:val="auto"/>
          <w:spacing w:val="-6"/>
          <w:highlight w:val="none"/>
        </w:rPr>
        <w:t xml:space="preserve"> 年的，则提供从成立之日起至今的符合本项前款规定的财务报表资料；新成立的公司，提供相关情况说明材料；</w:t>
      </w:r>
    </w:p>
    <w:p>
      <w:pPr>
        <w:pStyle w:val="3"/>
        <w:ind w:left="0"/>
        <w:rPr>
          <w:color w:val="auto"/>
          <w:highlight w:val="none"/>
        </w:rPr>
      </w:pPr>
    </w:p>
    <w:p>
      <w:pPr>
        <w:pStyle w:val="6"/>
        <w:spacing w:before="160"/>
        <w:ind w:right="23"/>
        <w:jc w:val="center"/>
        <w:outlineLvl w:val="0"/>
        <w:rPr>
          <w:color w:val="auto"/>
          <w:highlight w:val="none"/>
        </w:rPr>
      </w:pPr>
      <w:bookmarkStart w:id="197" w:name="三、具有履行合同所必须的设备和专业技术能力的承诺函"/>
      <w:bookmarkEnd w:id="197"/>
      <w:bookmarkStart w:id="198" w:name="_Toc19702"/>
      <w:r>
        <w:rPr>
          <w:color w:val="auto"/>
          <w:highlight w:val="none"/>
        </w:rPr>
        <w:t>三、具有履行合同所必须的设备和专业技术能力的承诺函</w:t>
      </w:r>
      <w:bookmarkEnd w:id="198"/>
    </w:p>
    <w:p>
      <w:pPr>
        <w:pStyle w:val="3"/>
        <w:spacing w:before="199"/>
        <w:rPr>
          <w:color w:val="auto"/>
          <w:highlight w:val="none"/>
        </w:rPr>
      </w:pPr>
      <w:r>
        <w:rPr>
          <w:color w:val="auto"/>
          <w:highlight w:val="none"/>
        </w:rPr>
        <w:t>2022 年第 19 届亚运会组委会、</w:t>
      </w:r>
      <w:r>
        <w:rPr>
          <w:rFonts w:hint="eastAsia"/>
          <w:color w:val="auto"/>
          <w:highlight w:val="none"/>
          <w:lang w:eastAsia="zh-CN"/>
        </w:rPr>
        <w:t>浙江五石工程咨询有限公司</w:t>
      </w:r>
      <w:r>
        <w:rPr>
          <w:color w:val="auto"/>
          <w:highlight w:val="none"/>
        </w:rPr>
        <w:t>：</w:t>
      </w:r>
    </w:p>
    <w:p>
      <w:pPr>
        <w:pStyle w:val="3"/>
        <w:spacing w:before="158" w:line="364" w:lineRule="auto"/>
        <w:ind w:right="414" w:firstLine="480"/>
        <w:rPr>
          <w:color w:val="auto"/>
          <w:highlight w:val="none"/>
        </w:rPr>
      </w:pPr>
      <w:r>
        <w:rPr>
          <w:color w:val="auto"/>
          <w:highlight w:val="none"/>
        </w:rPr>
        <w:t>我方郑重承诺，我方具有</w:t>
      </w:r>
      <w:r>
        <w:rPr>
          <w:rFonts w:hint="eastAsia"/>
          <w:color w:val="auto"/>
          <w:highlight w:val="none"/>
          <w:lang w:eastAsia="zh-CN"/>
        </w:rPr>
        <w:t>2022年亚运会餐饮服务规划和安全保障研究</w:t>
      </w:r>
      <w:r>
        <w:rPr>
          <w:color w:val="auto"/>
          <w:highlight w:val="none"/>
        </w:rPr>
        <w:t>（项目编号：</w:t>
      </w:r>
      <w:r>
        <w:rPr>
          <w:rFonts w:hint="eastAsia"/>
          <w:color w:val="auto"/>
          <w:highlight w:val="none"/>
          <w:lang w:eastAsia="zh-CN"/>
        </w:rPr>
        <w:t>ZJWSBJ-YZW-201901C</w:t>
      </w:r>
      <w:r>
        <w:rPr>
          <w:color w:val="auto"/>
          <w:highlight w:val="none"/>
        </w:rPr>
        <w:t>）合同所必需的设备和专业技术能力。如成交，我方将保证合同顺利履行。</w:t>
      </w:r>
    </w:p>
    <w:p>
      <w:pPr>
        <w:pStyle w:val="3"/>
        <w:ind w:left="0"/>
        <w:rPr>
          <w:color w:val="auto"/>
          <w:highlight w:val="none"/>
        </w:rPr>
      </w:pPr>
    </w:p>
    <w:p>
      <w:pPr>
        <w:pStyle w:val="3"/>
        <w:tabs>
          <w:tab w:val="left" w:pos="6763"/>
          <w:tab w:val="left" w:pos="7243"/>
          <w:tab w:val="left" w:pos="7843"/>
        </w:tabs>
        <w:spacing w:before="159" w:line="364" w:lineRule="auto"/>
        <w:ind w:left="5443" w:right="1974"/>
        <w:rPr>
          <w:color w:val="auto"/>
          <w:highlight w:val="none"/>
        </w:rPr>
      </w:pPr>
      <w:r>
        <w:rPr>
          <w:color w:val="auto"/>
          <w:highlight w:val="none"/>
        </w:rPr>
        <w:t>磋商供应商（公章）：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6"/>
        <w:spacing w:before="159"/>
        <w:ind w:right="28"/>
        <w:jc w:val="center"/>
        <w:outlineLvl w:val="0"/>
        <w:rPr>
          <w:color w:val="auto"/>
          <w:highlight w:val="none"/>
        </w:rPr>
      </w:pPr>
      <w:bookmarkStart w:id="199" w:name="四、纳税证明材料（复印件加盖公章）"/>
      <w:bookmarkEnd w:id="199"/>
      <w:bookmarkStart w:id="200" w:name="_Toc16505"/>
      <w:r>
        <w:rPr>
          <w:color w:val="auto"/>
          <w:highlight w:val="none"/>
        </w:rPr>
        <w:t>四、纳税证明材料（复印件加盖公章）</w:t>
      </w:r>
      <w:bookmarkEnd w:id="200"/>
    </w:p>
    <w:p>
      <w:pPr>
        <w:pStyle w:val="3"/>
        <w:spacing w:before="199"/>
        <w:rPr>
          <w:color w:val="auto"/>
          <w:highlight w:val="none"/>
        </w:rPr>
      </w:pPr>
      <w:r>
        <w:rPr>
          <w:color w:val="auto"/>
          <w:highlight w:val="none"/>
        </w:rPr>
        <w:t>说明：提供近 3 个月内的证明材料。</w:t>
      </w:r>
    </w:p>
    <w:p>
      <w:pPr>
        <w:pStyle w:val="3"/>
        <w:ind w:left="0"/>
        <w:rPr>
          <w:color w:val="auto"/>
          <w:highlight w:val="none"/>
        </w:rPr>
      </w:pPr>
    </w:p>
    <w:p>
      <w:pPr>
        <w:pStyle w:val="3"/>
        <w:ind w:left="0"/>
        <w:rPr>
          <w:color w:val="auto"/>
          <w:sz w:val="34"/>
          <w:highlight w:val="none"/>
        </w:rPr>
      </w:pPr>
    </w:p>
    <w:p>
      <w:pPr>
        <w:pStyle w:val="6"/>
        <w:ind w:right="26"/>
        <w:jc w:val="center"/>
        <w:outlineLvl w:val="0"/>
        <w:rPr>
          <w:color w:val="auto"/>
          <w:highlight w:val="none"/>
        </w:rPr>
      </w:pPr>
      <w:bookmarkStart w:id="201" w:name="五、社保缴纳证明材料（复印件加盖公章）"/>
      <w:bookmarkEnd w:id="201"/>
      <w:bookmarkStart w:id="202" w:name="_Toc27737"/>
      <w:r>
        <w:rPr>
          <w:color w:val="auto"/>
          <w:highlight w:val="none"/>
        </w:rPr>
        <w:t>五、社保缴纳证明材料（复印件加盖公章）</w:t>
      </w:r>
      <w:bookmarkEnd w:id="202"/>
    </w:p>
    <w:p>
      <w:pPr>
        <w:pStyle w:val="3"/>
        <w:spacing w:before="198"/>
        <w:rPr>
          <w:color w:val="auto"/>
          <w:highlight w:val="none"/>
        </w:rPr>
      </w:pPr>
      <w:r>
        <w:rPr>
          <w:color w:val="auto"/>
          <w:highlight w:val="none"/>
        </w:rPr>
        <w:t>说明：提供近 3 个月内的证明材料。</w:t>
      </w:r>
    </w:p>
    <w:p>
      <w:pPr>
        <w:pStyle w:val="3"/>
        <w:ind w:left="0"/>
        <w:rPr>
          <w:color w:val="auto"/>
          <w:highlight w:val="none"/>
        </w:rPr>
      </w:pPr>
    </w:p>
    <w:p>
      <w:pPr>
        <w:pStyle w:val="3"/>
        <w:spacing w:before="1"/>
        <w:ind w:left="0"/>
        <w:rPr>
          <w:color w:val="auto"/>
          <w:sz w:val="34"/>
          <w:highlight w:val="none"/>
        </w:rPr>
      </w:pPr>
    </w:p>
    <w:p>
      <w:pPr>
        <w:pStyle w:val="6"/>
        <w:spacing w:before="0"/>
        <w:ind w:right="28"/>
        <w:jc w:val="center"/>
        <w:outlineLvl w:val="0"/>
        <w:rPr>
          <w:color w:val="auto"/>
          <w:highlight w:val="none"/>
        </w:rPr>
      </w:pPr>
      <w:bookmarkStart w:id="203" w:name="六、承诺函"/>
      <w:bookmarkEnd w:id="203"/>
      <w:bookmarkStart w:id="204" w:name="_Toc29357"/>
      <w:r>
        <w:rPr>
          <w:color w:val="auto"/>
          <w:highlight w:val="none"/>
        </w:rPr>
        <w:t>六、承诺函</w:t>
      </w:r>
      <w:bookmarkEnd w:id="204"/>
    </w:p>
    <w:p>
      <w:pPr>
        <w:pStyle w:val="3"/>
        <w:spacing w:before="196" w:line="364" w:lineRule="auto"/>
        <w:ind w:left="763" w:right="3294" w:hanging="480"/>
        <w:rPr>
          <w:color w:val="auto"/>
          <w:highlight w:val="none"/>
        </w:rPr>
      </w:pPr>
      <w:r>
        <w:rPr>
          <w:color w:val="auto"/>
          <w:highlight w:val="none"/>
        </w:rPr>
        <w:t>2022</w:t>
      </w:r>
      <w:r>
        <w:rPr>
          <w:color w:val="auto"/>
          <w:spacing w:val="-30"/>
          <w:highlight w:val="none"/>
        </w:rPr>
        <w:t xml:space="preserve"> 年第 </w:t>
      </w:r>
      <w:r>
        <w:rPr>
          <w:color w:val="auto"/>
          <w:highlight w:val="none"/>
        </w:rPr>
        <w:t>19</w:t>
      </w:r>
      <w:r>
        <w:rPr>
          <w:color w:val="auto"/>
          <w:spacing w:val="-8"/>
          <w:highlight w:val="none"/>
        </w:rPr>
        <w:t xml:space="preserve"> 届亚运会组委会、</w:t>
      </w:r>
      <w:r>
        <w:rPr>
          <w:rFonts w:hint="eastAsia"/>
          <w:color w:val="auto"/>
          <w:spacing w:val="-8"/>
          <w:highlight w:val="none"/>
          <w:lang w:eastAsia="zh-CN"/>
        </w:rPr>
        <w:t>浙江五石工程咨询有限公司</w:t>
      </w:r>
      <w:r>
        <w:rPr>
          <w:color w:val="auto"/>
          <w:spacing w:val="-8"/>
          <w:highlight w:val="none"/>
        </w:rPr>
        <w:t xml:space="preserve">： </w:t>
      </w:r>
      <w:r>
        <w:rPr>
          <w:color w:val="auto"/>
          <w:spacing w:val="-9"/>
          <w:highlight w:val="none"/>
        </w:rPr>
        <w:t>我公司在参加本次政府采购项目活动中，作出如下承诺：</w:t>
      </w:r>
    </w:p>
    <w:p>
      <w:pPr>
        <w:pStyle w:val="3"/>
        <w:spacing w:before="2" w:line="362" w:lineRule="auto"/>
        <w:ind w:right="414" w:firstLine="480"/>
        <w:rPr>
          <w:color w:val="auto"/>
          <w:highlight w:val="none"/>
        </w:rPr>
      </w:pPr>
      <w:r>
        <w:rPr>
          <w:color w:val="auto"/>
          <w:highlight w:val="none"/>
        </w:rPr>
        <w:t>一、在政府采购合同履约过程中及其它经营活动的履约过程中依法履约，具有良好的商业信誉。</w:t>
      </w:r>
    </w:p>
    <w:p>
      <w:pPr>
        <w:pStyle w:val="3"/>
        <w:spacing w:before="5"/>
        <w:ind w:left="765"/>
        <w:rPr>
          <w:color w:val="auto"/>
          <w:highlight w:val="none"/>
        </w:rPr>
      </w:pPr>
      <w:r>
        <w:rPr>
          <w:color w:val="auto"/>
          <w:highlight w:val="none"/>
        </w:rPr>
        <w:t>二、参加本次政府采购活动前三年内，在经营活动中没有重大违法记录（没有因违法</w:t>
      </w:r>
    </w:p>
    <w:p>
      <w:pPr>
        <w:pStyle w:val="3"/>
        <w:spacing w:before="56" w:line="362" w:lineRule="auto"/>
        <w:ind w:right="314"/>
        <w:rPr>
          <w:color w:val="auto"/>
          <w:highlight w:val="none"/>
        </w:rPr>
      </w:pPr>
      <w:r>
        <w:rPr>
          <w:color w:val="auto"/>
          <w:highlight w:val="none"/>
        </w:rPr>
        <w:t>经营受到刑事处罚，没有被责令停产停业、被吊销许可证或者执照、被处以较大数额罚款等行政处罚，没有因违法经营被禁止参加政府采购活动的期限未满情形）。也没有因违反</w:t>
      </w:r>
    </w:p>
    <w:p>
      <w:pPr>
        <w:pStyle w:val="3"/>
        <w:spacing w:before="5" w:line="362" w:lineRule="auto"/>
        <w:ind w:right="311"/>
        <w:rPr>
          <w:color w:val="auto"/>
          <w:highlight w:val="none"/>
        </w:rPr>
      </w:pPr>
      <w:r>
        <w:rPr>
          <w:color w:val="auto"/>
          <w:highlight w:val="none"/>
        </w:rPr>
        <w:t>《浙江省政府采购供应商注册及诚信管理暂行办法》被列入“黑名单”，且正在处罚有限期内。</w:t>
      </w:r>
    </w:p>
    <w:p>
      <w:pPr>
        <w:pStyle w:val="3"/>
        <w:spacing w:before="5" w:line="362" w:lineRule="auto"/>
        <w:ind w:right="414" w:firstLine="480"/>
        <w:rPr>
          <w:color w:val="auto"/>
          <w:highlight w:val="none"/>
        </w:rPr>
      </w:pPr>
      <w:r>
        <w:rPr>
          <w:color w:val="auto"/>
          <w:highlight w:val="none"/>
        </w:rPr>
        <w:t>三、未被列入失信被执行人名单、重大税收违法案件当事人名单、政府采购严重违法失信行为记录名单。</w:t>
      </w:r>
    </w:p>
    <w:p>
      <w:pPr>
        <w:pStyle w:val="3"/>
        <w:spacing w:before="5" w:line="364" w:lineRule="auto"/>
        <w:ind w:left="763" w:right="414"/>
        <w:rPr>
          <w:color w:val="auto"/>
          <w:highlight w:val="none"/>
        </w:rPr>
      </w:pPr>
      <w:r>
        <w:rPr>
          <w:color w:val="auto"/>
          <w:highlight w:val="none"/>
        </w:rPr>
        <w:t>四、未曾为本采购项目提供整体设计、规范编制或者项目管理、监理、检测等服务； 五、提供的相关文件均真实、有效。</w:t>
      </w:r>
    </w:p>
    <w:p>
      <w:pPr>
        <w:pStyle w:val="3"/>
        <w:spacing w:line="362" w:lineRule="auto"/>
        <w:ind w:right="414" w:firstLine="480"/>
        <w:rPr>
          <w:color w:val="auto"/>
          <w:highlight w:val="none"/>
        </w:rPr>
      </w:pPr>
      <w:r>
        <w:rPr>
          <w:color w:val="auto"/>
          <w:highlight w:val="none"/>
        </w:rPr>
        <w:t>如有虚假，采购人可取消我方任何资格（磋商/成交/签订合同），我方对此无任何异议。</w:t>
      </w:r>
    </w:p>
    <w:p>
      <w:pPr>
        <w:pStyle w:val="3"/>
        <w:ind w:left="0"/>
        <w:rPr>
          <w:color w:val="auto"/>
          <w:highlight w:val="none"/>
        </w:rPr>
      </w:pPr>
    </w:p>
    <w:p>
      <w:pPr>
        <w:pStyle w:val="3"/>
        <w:tabs>
          <w:tab w:val="left" w:pos="6763"/>
          <w:tab w:val="left" w:pos="7243"/>
          <w:tab w:val="left" w:pos="7843"/>
        </w:tabs>
        <w:spacing w:before="162" w:line="364" w:lineRule="auto"/>
        <w:ind w:left="5443" w:right="1974"/>
        <w:rPr>
          <w:color w:val="auto"/>
          <w:highlight w:val="none"/>
        </w:rPr>
      </w:pPr>
      <w:r>
        <w:rPr>
          <w:color w:val="auto"/>
          <w:highlight w:val="none"/>
        </w:rPr>
        <w:t>磋商供应商（公章）： 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spacing w:val="-17"/>
          <w:highlight w:val="none"/>
        </w:rPr>
        <w:t>日</w:t>
      </w:r>
    </w:p>
    <w:p>
      <w:pPr>
        <w:pStyle w:val="3"/>
        <w:ind w:left="0"/>
        <w:rPr>
          <w:color w:val="auto"/>
          <w:highlight w:val="none"/>
        </w:rPr>
      </w:pPr>
    </w:p>
    <w:p>
      <w:pPr>
        <w:pStyle w:val="3"/>
        <w:spacing w:before="7"/>
        <w:ind w:left="0"/>
        <w:rPr>
          <w:color w:val="auto"/>
          <w:sz w:val="21"/>
          <w:highlight w:val="none"/>
        </w:rPr>
      </w:pPr>
    </w:p>
    <w:p>
      <w:pPr>
        <w:pStyle w:val="6"/>
        <w:spacing w:before="0"/>
        <w:ind w:left="1101"/>
        <w:outlineLvl w:val="0"/>
        <w:rPr>
          <w:color w:val="auto"/>
          <w:highlight w:val="none"/>
        </w:rPr>
      </w:pPr>
      <w:bookmarkStart w:id="205" w:name="七、特定资格证明材料（如项目要求）（复印件加盖公章）"/>
      <w:bookmarkEnd w:id="205"/>
      <w:bookmarkStart w:id="206" w:name="_Toc9223"/>
      <w:r>
        <w:rPr>
          <w:color w:val="auto"/>
          <w:highlight w:val="none"/>
        </w:rPr>
        <w:t>七、特定资格证明材料（如项目要求）（复印件加盖公章）</w:t>
      </w:r>
      <w:bookmarkEnd w:id="206"/>
    </w:p>
    <w:p>
      <w:pPr>
        <w:pStyle w:val="9"/>
        <w:spacing w:before="199"/>
        <w:rPr>
          <w:color w:val="auto"/>
          <w:highlight w:val="none"/>
        </w:rPr>
      </w:pPr>
      <w:r>
        <w:rPr>
          <w:color w:val="auto"/>
          <w:highlight w:val="none"/>
        </w:rPr>
        <w:t>本项目磋商响应供应商的特定资格情况表</w:t>
      </w:r>
    </w:p>
    <w:p>
      <w:pPr>
        <w:pStyle w:val="3"/>
        <w:spacing w:before="4"/>
        <w:ind w:left="0"/>
        <w:rPr>
          <w:b/>
          <w:color w:val="auto"/>
          <w:sz w:val="12"/>
          <w:highlight w:val="none"/>
        </w:rPr>
      </w:pPr>
    </w:p>
    <w:tbl>
      <w:tblPr>
        <w:tblStyle w:val="16"/>
        <w:tblW w:w="0" w:type="auto"/>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537"/>
        <w:gridCol w:w="959"/>
        <w:gridCol w:w="726"/>
        <w:gridCol w:w="740"/>
        <w:gridCol w:w="1685"/>
        <w:gridCol w:w="1481"/>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261" w:type="dxa"/>
            <w:gridSpan w:val="2"/>
          </w:tcPr>
          <w:p>
            <w:pPr>
              <w:pStyle w:val="20"/>
              <w:spacing w:before="130"/>
              <w:ind w:left="1390"/>
              <w:rPr>
                <w:b/>
                <w:color w:val="auto"/>
                <w:sz w:val="24"/>
                <w:highlight w:val="none"/>
              </w:rPr>
            </w:pPr>
            <w:r>
              <w:rPr>
                <w:b/>
                <w:color w:val="auto"/>
                <w:sz w:val="24"/>
                <w:highlight w:val="none"/>
              </w:rPr>
              <w:t>资质要求</w:t>
            </w:r>
          </w:p>
        </w:tc>
        <w:tc>
          <w:tcPr>
            <w:tcW w:w="6189" w:type="dxa"/>
            <w:gridSpan w:val="6"/>
          </w:tcPr>
          <w:p>
            <w:pPr>
              <w:pStyle w:val="20"/>
              <w:spacing w:before="130"/>
              <w:ind w:left="2015"/>
              <w:rPr>
                <w:b/>
                <w:color w:val="auto"/>
                <w:sz w:val="24"/>
                <w:highlight w:val="none"/>
              </w:rPr>
            </w:pPr>
            <w:r>
              <w:rPr>
                <w:b/>
                <w:color w:val="auto"/>
                <w:sz w:val="24"/>
                <w:highlight w:val="none"/>
              </w:rPr>
              <w:t>磋商响应供应商响应情况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724" w:type="dxa"/>
          </w:tcPr>
          <w:p>
            <w:pPr>
              <w:pStyle w:val="20"/>
              <w:spacing w:before="128"/>
              <w:ind w:left="140"/>
              <w:rPr>
                <w:b/>
                <w:color w:val="auto"/>
                <w:sz w:val="24"/>
                <w:highlight w:val="none"/>
              </w:rPr>
            </w:pPr>
            <w:r>
              <w:rPr>
                <w:b/>
                <w:color w:val="auto"/>
                <w:w w:val="95"/>
                <w:sz w:val="24"/>
                <w:highlight w:val="none"/>
              </w:rPr>
              <w:t>磋商公告要求</w:t>
            </w:r>
          </w:p>
          <w:p>
            <w:pPr>
              <w:pStyle w:val="20"/>
              <w:spacing w:before="153"/>
              <w:ind w:left="140"/>
              <w:rPr>
                <w:b/>
                <w:color w:val="auto"/>
                <w:sz w:val="24"/>
                <w:highlight w:val="none"/>
              </w:rPr>
            </w:pPr>
            <w:r>
              <w:rPr>
                <w:b/>
                <w:color w:val="auto"/>
                <w:w w:val="95"/>
                <w:sz w:val="24"/>
                <w:highlight w:val="none"/>
              </w:rPr>
              <w:t>特定资格要求</w:t>
            </w:r>
          </w:p>
        </w:tc>
        <w:tc>
          <w:tcPr>
            <w:tcW w:w="1537" w:type="dxa"/>
          </w:tcPr>
          <w:p>
            <w:pPr>
              <w:pStyle w:val="20"/>
              <w:spacing w:before="12"/>
              <w:rPr>
                <w:b/>
                <w:color w:val="auto"/>
                <w:sz w:val="27"/>
                <w:highlight w:val="none"/>
              </w:rPr>
            </w:pPr>
          </w:p>
          <w:p>
            <w:pPr>
              <w:pStyle w:val="20"/>
              <w:ind w:left="288"/>
              <w:rPr>
                <w:b/>
                <w:color w:val="auto"/>
                <w:sz w:val="24"/>
                <w:highlight w:val="none"/>
              </w:rPr>
            </w:pPr>
            <w:r>
              <w:rPr>
                <w:b/>
                <w:color w:val="auto"/>
                <w:sz w:val="24"/>
                <w:highlight w:val="none"/>
              </w:rPr>
              <w:t>资质级别</w:t>
            </w:r>
          </w:p>
        </w:tc>
        <w:tc>
          <w:tcPr>
            <w:tcW w:w="959" w:type="dxa"/>
          </w:tcPr>
          <w:p>
            <w:pPr>
              <w:pStyle w:val="20"/>
              <w:spacing w:before="128"/>
              <w:ind w:left="99" w:right="87"/>
              <w:jc w:val="center"/>
              <w:rPr>
                <w:b/>
                <w:color w:val="auto"/>
                <w:sz w:val="24"/>
                <w:highlight w:val="none"/>
              </w:rPr>
            </w:pPr>
            <w:r>
              <w:rPr>
                <w:b/>
                <w:color w:val="auto"/>
                <w:sz w:val="24"/>
                <w:highlight w:val="none"/>
              </w:rPr>
              <w:t>资质名</w:t>
            </w:r>
          </w:p>
          <w:p>
            <w:pPr>
              <w:pStyle w:val="20"/>
              <w:spacing w:before="153"/>
              <w:ind w:left="10"/>
              <w:jc w:val="center"/>
              <w:rPr>
                <w:b/>
                <w:color w:val="auto"/>
                <w:sz w:val="24"/>
                <w:highlight w:val="none"/>
              </w:rPr>
            </w:pPr>
            <w:r>
              <w:rPr>
                <w:b/>
                <w:color w:val="auto"/>
                <w:w w:val="99"/>
                <w:sz w:val="24"/>
                <w:highlight w:val="none"/>
              </w:rPr>
              <w:t>称</w:t>
            </w:r>
          </w:p>
        </w:tc>
        <w:tc>
          <w:tcPr>
            <w:tcW w:w="726" w:type="dxa"/>
          </w:tcPr>
          <w:p>
            <w:pPr>
              <w:pStyle w:val="20"/>
              <w:spacing w:before="128"/>
              <w:ind w:left="122"/>
              <w:rPr>
                <w:b/>
                <w:color w:val="auto"/>
                <w:sz w:val="24"/>
                <w:highlight w:val="none"/>
              </w:rPr>
            </w:pPr>
            <w:r>
              <w:rPr>
                <w:b/>
                <w:color w:val="auto"/>
                <w:w w:val="95"/>
                <w:sz w:val="24"/>
                <w:highlight w:val="none"/>
              </w:rPr>
              <w:t>资质</w:t>
            </w:r>
          </w:p>
          <w:p>
            <w:pPr>
              <w:pStyle w:val="20"/>
              <w:spacing w:before="153"/>
              <w:ind w:left="122"/>
              <w:rPr>
                <w:b/>
                <w:color w:val="auto"/>
                <w:sz w:val="24"/>
                <w:highlight w:val="none"/>
              </w:rPr>
            </w:pPr>
            <w:r>
              <w:rPr>
                <w:b/>
                <w:color w:val="auto"/>
                <w:w w:val="95"/>
                <w:sz w:val="24"/>
                <w:highlight w:val="none"/>
              </w:rPr>
              <w:t>级别</w:t>
            </w:r>
          </w:p>
        </w:tc>
        <w:tc>
          <w:tcPr>
            <w:tcW w:w="740" w:type="dxa"/>
          </w:tcPr>
          <w:p>
            <w:pPr>
              <w:pStyle w:val="20"/>
              <w:spacing w:before="128"/>
              <w:ind w:left="128"/>
              <w:rPr>
                <w:b/>
                <w:color w:val="auto"/>
                <w:sz w:val="24"/>
                <w:highlight w:val="none"/>
              </w:rPr>
            </w:pPr>
            <w:r>
              <w:rPr>
                <w:b/>
                <w:color w:val="auto"/>
                <w:w w:val="95"/>
                <w:sz w:val="24"/>
                <w:highlight w:val="none"/>
              </w:rPr>
              <w:t>颁证</w:t>
            </w:r>
          </w:p>
          <w:p>
            <w:pPr>
              <w:pStyle w:val="20"/>
              <w:spacing w:before="153"/>
              <w:ind w:left="128"/>
              <w:rPr>
                <w:b/>
                <w:color w:val="auto"/>
                <w:sz w:val="24"/>
                <w:highlight w:val="none"/>
              </w:rPr>
            </w:pPr>
            <w:r>
              <w:rPr>
                <w:b/>
                <w:color w:val="auto"/>
                <w:w w:val="95"/>
                <w:sz w:val="24"/>
                <w:highlight w:val="none"/>
              </w:rPr>
              <w:t>机构</w:t>
            </w:r>
          </w:p>
        </w:tc>
        <w:tc>
          <w:tcPr>
            <w:tcW w:w="1685" w:type="dxa"/>
          </w:tcPr>
          <w:p>
            <w:pPr>
              <w:pStyle w:val="20"/>
              <w:spacing w:before="128"/>
              <w:ind w:left="240"/>
              <w:rPr>
                <w:b/>
                <w:color w:val="auto"/>
                <w:sz w:val="24"/>
                <w:highlight w:val="none"/>
              </w:rPr>
            </w:pPr>
            <w:r>
              <w:rPr>
                <w:b/>
                <w:color w:val="auto"/>
                <w:sz w:val="24"/>
                <w:highlight w:val="none"/>
              </w:rPr>
              <w:t>证书有效期</w:t>
            </w:r>
          </w:p>
          <w:p>
            <w:pPr>
              <w:pStyle w:val="20"/>
              <w:spacing w:before="153"/>
              <w:ind w:left="120"/>
              <w:rPr>
                <w:b/>
                <w:color w:val="auto"/>
                <w:sz w:val="24"/>
                <w:highlight w:val="none"/>
              </w:rPr>
            </w:pPr>
            <w:r>
              <w:rPr>
                <w:b/>
                <w:color w:val="auto"/>
                <w:sz w:val="24"/>
                <w:highlight w:val="none"/>
              </w:rPr>
              <w:t>（起止年月）</w:t>
            </w:r>
          </w:p>
        </w:tc>
        <w:tc>
          <w:tcPr>
            <w:tcW w:w="1481" w:type="dxa"/>
          </w:tcPr>
          <w:p>
            <w:pPr>
              <w:pStyle w:val="20"/>
              <w:spacing w:before="128"/>
              <w:ind w:left="139"/>
              <w:rPr>
                <w:b/>
                <w:color w:val="auto"/>
                <w:sz w:val="24"/>
                <w:highlight w:val="none"/>
              </w:rPr>
            </w:pPr>
            <w:r>
              <w:rPr>
                <w:b/>
                <w:color w:val="auto"/>
                <w:sz w:val="24"/>
                <w:highlight w:val="none"/>
              </w:rPr>
              <w:t>证书复印件</w:t>
            </w:r>
          </w:p>
          <w:p>
            <w:pPr>
              <w:pStyle w:val="20"/>
              <w:spacing w:before="153"/>
              <w:ind w:left="259"/>
              <w:rPr>
                <w:b/>
                <w:color w:val="auto"/>
                <w:sz w:val="24"/>
                <w:highlight w:val="none"/>
              </w:rPr>
            </w:pPr>
            <w:r>
              <w:rPr>
                <w:b/>
                <w:color w:val="auto"/>
                <w:sz w:val="24"/>
                <w:highlight w:val="none"/>
              </w:rPr>
              <w:t>所在页码</w:t>
            </w:r>
          </w:p>
        </w:tc>
        <w:tc>
          <w:tcPr>
            <w:tcW w:w="598" w:type="dxa"/>
          </w:tcPr>
          <w:p>
            <w:pPr>
              <w:pStyle w:val="20"/>
              <w:spacing w:before="128"/>
              <w:ind w:left="178"/>
              <w:rPr>
                <w:b/>
                <w:color w:val="auto"/>
                <w:sz w:val="24"/>
                <w:highlight w:val="none"/>
              </w:rPr>
            </w:pPr>
            <w:r>
              <w:rPr>
                <w:b/>
                <w:color w:val="auto"/>
                <w:w w:val="99"/>
                <w:sz w:val="24"/>
                <w:highlight w:val="none"/>
              </w:rPr>
              <w:t>备</w:t>
            </w:r>
          </w:p>
          <w:p>
            <w:pPr>
              <w:pStyle w:val="20"/>
              <w:spacing w:before="153"/>
              <w:ind w:left="178"/>
              <w:rPr>
                <w:b/>
                <w:color w:val="auto"/>
                <w:sz w:val="24"/>
                <w:highlight w:val="none"/>
              </w:rPr>
            </w:pPr>
            <w:r>
              <w:rPr>
                <w:b/>
                <w:color w:val="auto"/>
                <w:w w:val="99"/>
                <w:sz w:val="24"/>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spacing w:before="129"/>
              <w:ind w:left="140"/>
              <w:rPr>
                <w:b/>
                <w:color w:val="auto"/>
                <w:sz w:val="24"/>
                <w:highlight w:val="none"/>
              </w:rPr>
            </w:pPr>
            <w:r>
              <w:rPr>
                <w:b/>
                <w:color w:val="auto"/>
                <w:sz w:val="24"/>
                <w:highlight w:val="none"/>
              </w:rPr>
              <w:t>详见公告内容</w:t>
            </w:r>
          </w:p>
        </w:tc>
        <w:tc>
          <w:tcPr>
            <w:tcW w:w="1537" w:type="dxa"/>
          </w:tcPr>
          <w:p>
            <w:pPr>
              <w:pStyle w:val="20"/>
              <w:rPr>
                <w:rFonts w:ascii="Times New Roman"/>
                <w:color w:val="auto"/>
                <w:sz w:val="24"/>
                <w:highlight w:val="none"/>
              </w:rPr>
            </w:pPr>
          </w:p>
        </w:tc>
        <w:tc>
          <w:tcPr>
            <w:tcW w:w="959" w:type="dxa"/>
          </w:tcPr>
          <w:p>
            <w:pPr>
              <w:pStyle w:val="20"/>
              <w:rPr>
                <w:rFonts w:ascii="Times New Roman"/>
                <w:color w:val="auto"/>
                <w:sz w:val="24"/>
                <w:highlight w:val="none"/>
              </w:rPr>
            </w:pPr>
          </w:p>
        </w:tc>
        <w:tc>
          <w:tcPr>
            <w:tcW w:w="726" w:type="dxa"/>
          </w:tcPr>
          <w:p>
            <w:pPr>
              <w:pStyle w:val="20"/>
              <w:rPr>
                <w:rFonts w:ascii="Times New Roman"/>
                <w:color w:val="auto"/>
                <w:sz w:val="24"/>
                <w:highlight w:val="none"/>
              </w:rPr>
            </w:pPr>
          </w:p>
        </w:tc>
        <w:tc>
          <w:tcPr>
            <w:tcW w:w="740" w:type="dxa"/>
          </w:tcPr>
          <w:p>
            <w:pPr>
              <w:pStyle w:val="20"/>
              <w:rPr>
                <w:rFonts w:ascii="Times New Roman"/>
                <w:color w:val="auto"/>
                <w:sz w:val="24"/>
                <w:highlight w:val="none"/>
              </w:rPr>
            </w:pPr>
          </w:p>
        </w:tc>
        <w:tc>
          <w:tcPr>
            <w:tcW w:w="1685" w:type="dxa"/>
          </w:tcPr>
          <w:p>
            <w:pPr>
              <w:pStyle w:val="20"/>
              <w:rPr>
                <w:rFonts w:ascii="Times New Roman"/>
                <w:color w:val="auto"/>
                <w:sz w:val="24"/>
                <w:highlight w:val="none"/>
              </w:rPr>
            </w:pPr>
          </w:p>
        </w:tc>
        <w:tc>
          <w:tcPr>
            <w:tcW w:w="1481" w:type="dxa"/>
          </w:tcPr>
          <w:p>
            <w:pPr>
              <w:pStyle w:val="20"/>
              <w:rPr>
                <w:rFonts w:ascii="Times New Roman"/>
                <w:color w:val="auto"/>
                <w:sz w:val="24"/>
                <w:highlight w:val="none"/>
              </w:rPr>
            </w:pPr>
          </w:p>
        </w:tc>
        <w:tc>
          <w:tcPr>
            <w:tcW w:w="598"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537" w:type="dxa"/>
          </w:tcPr>
          <w:p>
            <w:pPr>
              <w:pStyle w:val="20"/>
              <w:rPr>
                <w:rFonts w:ascii="Times New Roman"/>
                <w:color w:val="auto"/>
                <w:sz w:val="24"/>
                <w:highlight w:val="none"/>
              </w:rPr>
            </w:pPr>
          </w:p>
        </w:tc>
        <w:tc>
          <w:tcPr>
            <w:tcW w:w="959" w:type="dxa"/>
          </w:tcPr>
          <w:p>
            <w:pPr>
              <w:pStyle w:val="20"/>
              <w:rPr>
                <w:rFonts w:ascii="Times New Roman"/>
                <w:color w:val="auto"/>
                <w:sz w:val="24"/>
                <w:highlight w:val="none"/>
              </w:rPr>
            </w:pPr>
          </w:p>
        </w:tc>
        <w:tc>
          <w:tcPr>
            <w:tcW w:w="726" w:type="dxa"/>
          </w:tcPr>
          <w:p>
            <w:pPr>
              <w:pStyle w:val="20"/>
              <w:rPr>
                <w:rFonts w:ascii="Times New Roman"/>
                <w:color w:val="auto"/>
                <w:sz w:val="24"/>
                <w:highlight w:val="none"/>
              </w:rPr>
            </w:pPr>
          </w:p>
        </w:tc>
        <w:tc>
          <w:tcPr>
            <w:tcW w:w="740" w:type="dxa"/>
          </w:tcPr>
          <w:p>
            <w:pPr>
              <w:pStyle w:val="20"/>
              <w:rPr>
                <w:rFonts w:ascii="Times New Roman"/>
                <w:color w:val="auto"/>
                <w:sz w:val="24"/>
                <w:highlight w:val="none"/>
              </w:rPr>
            </w:pPr>
          </w:p>
        </w:tc>
        <w:tc>
          <w:tcPr>
            <w:tcW w:w="1685" w:type="dxa"/>
          </w:tcPr>
          <w:p>
            <w:pPr>
              <w:pStyle w:val="20"/>
              <w:rPr>
                <w:rFonts w:ascii="Times New Roman"/>
                <w:color w:val="auto"/>
                <w:sz w:val="24"/>
                <w:highlight w:val="none"/>
              </w:rPr>
            </w:pPr>
          </w:p>
        </w:tc>
        <w:tc>
          <w:tcPr>
            <w:tcW w:w="1481" w:type="dxa"/>
          </w:tcPr>
          <w:p>
            <w:pPr>
              <w:pStyle w:val="20"/>
              <w:rPr>
                <w:rFonts w:ascii="Times New Roman"/>
                <w:color w:val="auto"/>
                <w:sz w:val="24"/>
                <w:highlight w:val="none"/>
              </w:rPr>
            </w:pPr>
          </w:p>
        </w:tc>
        <w:tc>
          <w:tcPr>
            <w:tcW w:w="598"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537" w:type="dxa"/>
          </w:tcPr>
          <w:p>
            <w:pPr>
              <w:pStyle w:val="20"/>
              <w:rPr>
                <w:rFonts w:ascii="Times New Roman"/>
                <w:color w:val="auto"/>
                <w:sz w:val="24"/>
                <w:highlight w:val="none"/>
              </w:rPr>
            </w:pPr>
          </w:p>
        </w:tc>
        <w:tc>
          <w:tcPr>
            <w:tcW w:w="959" w:type="dxa"/>
          </w:tcPr>
          <w:p>
            <w:pPr>
              <w:pStyle w:val="20"/>
              <w:rPr>
                <w:rFonts w:ascii="Times New Roman"/>
                <w:color w:val="auto"/>
                <w:sz w:val="24"/>
                <w:highlight w:val="none"/>
              </w:rPr>
            </w:pPr>
          </w:p>
        </w:tc>
        <w:tc>
          <w:tcPr>
            <w:tcW w:w="726" w:type="dxa"/>
          </w:tcPr>
          <w:p>
            <w:pPr>
              <w:pStyle w:val="20"/>
              <w:rPr>
                <w:rFonts w:ascii="Times New Roman"/>
                <w:color w:val="auto"/>
                <w:sz w:val="24"/>
                <w:highlight w:val="none"/>
              </w:rPr>
            </w:pPr>
          </w:p>
        </w:tc>
        <w:tc>
          <w:tcPr>
            <w:tcW w:w="740" w:type="dxa"/>
          </w:tcPr>
          <w:p>
            <w:pPr>
              <w:pStyle w:val="20"/>
              <w:rPr>
                <w:rFonts w:ascii="Times New Roman"/>
                <w:color w:val="auto"/>
                <w:sz w:val="24"/>
                <w:highlight w:val="none"/>
              </w:rPr>
            </w:pPr>
          </w:p>
        </w:tc>
        <w:tc>
          <w:tcPr>
            <w:tcW w:w="1685" w:type="dxa"/>
          </w:tcPr>
          <w:p>
            <w:pPr>
              <w:pStyle w:val="20"/>
              <w:rPr>
                <w:rFonts w:ascii="Times New Roman"/>
                <w:color w:val="auto"/>
                <w:sz w:val="24"/>
                <w:highlight w:val="none"/>
              </w:rPr>
            </w:pPr>
          </w:p>
        </w:tc>
        <w:tc>
          <w:tcPr>
            <w:tcW w:w="1481" w:type="dxa"/>
          </w:tcPr>
          <w:p>
            <w:pPr>
              <w:pStyle w:val="20"/>
              <w:rPr>
                <w:rFonts w:ascii="Times New Roman"/>
                <w:color w:val="auto"/>
                <w:sz w:val="24"/>
                <w:highlight w:val="none"/>
              </w:rPr>
            </w:pPr>
          </w:p>
        </w:tc>
        <w:tc>
          <w:tcPr>
            <w:tcW w:w="598"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537" w:type="dxa"/>
          </w:tcPr>
          <w:p>
            <w:pPr>
              <w:pStyle w:val="20"/>
              <w:rPr>
                <w:rFonts w:ascii="Times New Roman"/>
                <w:color w:val="auto"/>
                <w:sz w:val="24"/>
                <w:highlight w:val="none"/>
              </w:rPr>
            </w:pPr>
          </w:p>
        </w:tc>
        <w:tc>
          <w:tcPr>
            <w:tcW w:w="959" w:type="dxa"/>
          </w:tcPr>
          <w:p>
            <w:pPr>
              <w:pStyle w:val="20"/>
              <w:rPr>
                <w:rFonts w:ascii="Times New Roman"/>
                <w:color w:val="auto"/>
                <w:sz w:val="24"/>
                <w:highlight w:val="none"/>
              </w:rPr>
            </w:pPr>
          </w:p>
        </w:tc>
        <w:tc>
          <w:tcPr>
            <w:tcW w:w="726" w:type="dxa"/>
          </w:tcPr>
          <w:p>
            <w:pPr>
              <w:pStyle w:val="20"/>
              <w:rPr>
                <w:rFonts w:ascii="Times New Roman"/>
                <w:color w:val="auto"/>
                <w:sz w:val="24"/>
                <w:highlight w:val="none"/>
              </w:rPr>
            </w:pPr>
          </w:p>
        </w:tc>
        <w:tc>
          <w:tcPr>
            <w:tcW w:w="740" w:type="dxa"/>
          </w:tcPr>
          <w:p>
            <w:pPr>
              <w:pStyle w:val="20"/>
              <w:rPr>
                <w:rFonts w:ascii="Times New Roman"/>
                <w:color w:val="auto"/>
                <w:sz w:val="24"/>
                <w:highlight w:val="none"/>
              </w:rPr>
            </w:pPr>
          </w:p>
        </w:tc>
        <w:tc>
          <w:tcPr>
            <w:tcW w:w="1685" w:type="dxa"/>
          </w:tcPr>
          <w:p>
            <w:pPr>
              <w:pStyle w:val="20"/>
              <w:rPr>
                <w:rFonts w:ascii="Times New Roman"/>
                <w:color w:val="auto"/>
                <w:sz w:val="24"/>
                <w:highlight w:val="none"/>
              </w:rPr>
            </w:pPr>
          </w:p>
        </w:tc>
        <w:tc>
          <w:tcPr>
            <w:tcW w:w="1481" w:type="dxa"/>
          </w:tcPr>
          <w:p>
            <w:pPr>
              <w:pStyle w:val="20"/>
              <w:rPr>
                <w:rFonts w:ascii="Times New Roman"/>
                <w:color w:val="auto"/>
                <w:sz w:val="24"/>
                <w:highlight w:val="none"/>
              </w:rPr>
            </w:pPr>
          </w:p>
        </w:tc>
        <w:tc>
          <w:tcPr>
            <w:tcW w:w="598" w:type="dxa"/>
          </w:tcPr>
          <w:p>
            <w:pPr>
              <w:pStyle w:val="20"/>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724" w:type="dxa"/>
          </w:tcPr>
          <w:p>
            <w:pPr>
              <w:pStyle w:val="20"/>
              <w:rPr>
                <w:rFonts w:ascii="Times New Roman"/>
                <w:color w:val="auto"/>
                <w:sz w:val="24"/>
                <w:highlight w:val="none"/>
              </w:rPr>
            </w:pPr>
          </w:p>
        </w:tc>
        <w:tc>
          <w:tcPr>
            <w:tcW w:w="1537" w:type="dxa"/>
          </w:tcPr>
          <w:p>
            <w:pPr>
              <w:pStyle w:val="20"/>
              <w:rPr>
                <w:rFonts w:ascii="Times New Roman"/>
                <w:color w:val="auto"/>
                <w:sz w:val="24"/>
                <w:highlight w:val="none"/>
              </w:rPr>
            </w:pPr>
          </w:p>
        </w:tc>
        <w:tc>
          <w:tcPr>
            <w:tcW w:w="959" w:type="dxa"/>
          </w:tcPr>
          <w:p>
            <w:pPr>
              <w:pStyle w:val="20"/>
              <w:rPr>
                <w:rFonts w:ascii="Times New Roman"/>
                <w:color w:val="auto"/>
                <w:sz w:val="24"/>
                <w:highlight w:val="none"/>
              </w:rPr>
            </w:pPr>
          </w:p>
        </w:tc>
        <w:tc>
          <w:tcPr>
            <w:tcW w:w="726" w:type="dxa"/>
          </w:tcPr>
          <w:p>
            <w:pPr>
              <w:pStyle w:val="20"/>
              <w:rPr>
                <w:rFonts w:ascii="Times New Roman"/>
                <w:color w:val="auto"/>
                <w:sz w:val="24"/>
                <w:highlight w:val="none"/>
              </w:rPr>
            </w:pPr>
          </w:p>
        </w:tc>
        <w:tc>
          <w:tcPr>
            <w:tcW w:w="740" w:type="dxa"/>
          </w:tcPr>
          <w:p>
            <w:pPr>
              <w:pStyle w:val="20"/>
              <w:rPr>
                <w:rFonts w:ascii="Times New Roman"/>
                <w:color w:val="auto"/>
                <w:sz w:val="24"/>
                <w:highlight w:val="none"/>
              </w:rPr>
            </w:pPr>
          </w:p>
        </w:tc>
        <w:tc>
          <w:tcPr>
            <w:tcW w:w="1685" w:type="dxa"/>
          </w:tcPr>
          <w:p>
            <w:pPr>
              <w:pStyle w:val="20"/>
              <w:rPr>
                <w:rFonts w:ascii="Times New Roman"/>
                <w:color w:val="auto"/>
                <w:sz w:val="24"/>
                <w:highlight w:val="none"/>
              </w:rPr>
            </w:pPr>
          </w:p>
        </w:tc>
        <w:tc>
          <w:tcPr>
            <w:tcW w:w="1481" w:type="dxa"/>
          </w:tcPr>
          <w:p>
            <w:pPr>
              <w:pStyle w:val="20"/>
              <w:rPr>
                <w:rFonts w:ascii="Times New Roman"/>
                <w:color w:val="auto"/>
                <w:sz w:val="24"/>
                <w:highlight w:val="none"/>
              </w:rPr>
            </w:pPr>
          </w:p>
        </w:tc>
        <w:tc>
          <w:tcPr>
            <w:tcW w:w="598" w:type="dxa"/>
          </w:tcPr>
          <w:p>
            <w:pPr>
              <w:pStyle w:val="20"/>
              <w:rPr>
                <w:rFonts w:ascii="Times New Roman"/>
                <w:color w:val="auto"/>
                <w:sz w:val="24"/>
                <w:highlight w:val="none"/>
              </w:rPr>
            </w:pPr>
          </w:p>
        </w:tc>
      </w:tr>
    </w:tbl>
    <w:p>
      <w:pPr>
        <w:pStyle w:val="3"/>
        <w:ind w:left="0"/>
        <w:rPr>
          <w:b/>
          <w:color w:val="auto"/>
          <w:highlight w:val="none"/>
        </w:rPr>
      </w:pPr>
    </w:p>
    <w:p>
      <w:pPr>
        <w:spacing w:before="162"/>
        <w:ind w:left="283" w:right="0" w:firstLine="0"/>
        <w:jc w:val="left"/>
        <w:rPr>
          <w:b/>
          <w:color w:val="auto"/>
          <w:sz w:val="24"/>
          <w:highlight w:val="none"/>
        </w:rPr>
      </w:pPr>
      <w:r>
        <w:rPr>
          <w:b/>
          <w:color w:val="auto"/>
          <w:sz w:val="24"/>
          <w:highlight w:val="none"/>
        </w:rPr>
        <w:t>附件：资格证明材料复印件加盖公章。</w:t>
      </w:r>
    </w:p>
    <w:p>
      <w:pPr>
        <w:spacing w:after="0"/>
        <w:jc w:val="left"/>
        <w:rPr>
          <w:color w:val="auto"/>
          <w:sz w:val="24"/>
          <w:highlight w:val="none"/>
        </w:rPr>
        <w:sectPr>
          <w:pgSz w:w="11900" w:h="16840"/>
          <w:pgMar w:top="1080" w:right="820" w:bottom="800" w:left="1020" w:header="0" w:footer="609" w:gutter="0"/>
        </w:sectPr>
      </w:pPr>
    </w:p>
    <w:p>
      <w:pPr>
        <w:pStyle w:val="6"/>
        <w:spacing w:before="42"/>
        <w:ind w:right="28"/>
        <w:jc w:val="center"/>
        <w:rPr>
          <w:color w:val="auto"/>
          <w:highlight w:val="none"/>
        </w:rPr>
      </w:pPr>
      <w:bookmarkStart w:id="207" w:name="政府采购支持中小企业信用融资相关事项通知"/>
      <w:bookmarkEnd w:id="207"/>
      <w:r>
        <w:rPr>
          <w:color w:val="auto"/>
          <w:highlight w:val="none"/>
        </w:rPr>
        <w:t>政府采购支持中小企业信用融资相关事项通知</w:t>
      </w:r>
    </w:p>
    <w:p>
      <w:pPr>
        <w:pStyle w:val="3"/>
        <w:spacing w:before="198" w:line="364" w:lineRule="auto"/>
        <w:ind w:right="414" w:firstLine="480"/>
        <w:rPr>
          <w:color w:val="auto"/>
          <w:highlight w:val="none"/>
        </w:rPr>
      </w:pPr>
      <w:r>
        <w:rPr>
          <w:color w:val="auto"/>
          <w:highlight w:val="none"/>
        </w:rPr>
        <w:t>为支持和促进中小企业发展，进一步发挥政府采购政策功能，杭州市财政局与省银监局、市金融办、市经信委共同出台了《杭州市政府采购支持中小企业信用融资暂行办</w:t>
      </w:r>
    </w:p>
    <w:p>
      <w:pPr>
        <w:pStyle w:val="3"/>
        <w:spacing w:before="2" w:line="362" w:lineRule="auto"/>
        <w:ind w:left="763" w:right="1614" w:hanging="480"/>
        <w:rPr>
          <w:color w:val="auto"/>
          <w:highlight w:val="none"/>
        </w:rPr>
      </w:pPr>
      <w:r>
        <w:rPr>
          <w:color w:val="auto"/>
          <w:highlight w:val="none"/>
        </w:rPr>
        <w:t>法》，并从2014年7月1日起正式启动信用融资工作，现将相关事项通知如下： 一、适用对象</w:t>
      </w:r>
    </w:p>
    <w:p>
      <w:pPr>
        <w:pStyle w:val="3"/>
        <w:spacing w:before="2" w:line="364" w:lineRule="auto"/>
        <w:ind w:right="414" w:firstLine="480"/>
        <w:rPr>
          <w:color w:val="auto"/>
          <w:highlight w:val="none"/>
        </w:rPr>
      </w:pPr>
      <w:r>
        <w:rPr>
          <w:color w:val="auto"/>
          <w:highlight w:val="none"/>
        </w:rPr>
        <w:t>在杭州市政府采购网上注册入库，并取得杭州市政府采购合同的杭州市内中小企业供应商。</w:t>
      </w:r>
    </w:p>
    <w:p>
      <w:pPr>
        <w:pStyle w:val="3"/>
        <w:spacing w:line="306" w:lineRule="exact"/>
        <w:ind w:left="763"/>
        <w:rPr>
          <w:color w:val="auto"/>
          <w:highlight w:val="none"/>
        </w:rPr>
      </w:pPr>
      <w:r>
        <w:rPr>
          <w:color w:val="auto"/>
          <w:highlight w:val="none"/>
        </w:rPr>
        <w:t>二、相关信息获取方式</w:t>
      </w:r>
    </w:p>
    <w:p>
      <w:pPr>
        <w:pStyle w:val="3"/>
        <w:spacing w:before="161" w:line="364" w:lineRule="auto"/>
        <w:ind w:right="414" w:firstLine="480"/>
        <w:rPr>
          <w:color w:val="auto"/>
          <w:highlight w:val="none"/>
        </w:rPr>
      </w:pPr>
      <w:r>
        <w:rPr>
          <w:color w:val="auto"/>
          <w:highlight w:val="none"/>
        </w:rPr>
        <w:fldChar w:fldCharType="begin"/>
      </w:r>
      <w:r>
        <w:rPr>
          <w:color w:val="auto"/>
          <w:highlight w:val="none"/>
        </w:rPr>
        <w:instrText xml:space="preserve"> HYPERLINK "http://cg.hzft.gov.cn/" \h </w:instrText>
      </w:r>
      <w:r>
        <w:rPr>
          <w:color w:val="auto"/>
          <w:highlight w:val="none"/>
        </w:rPr>
        <w:fldChar w:fldCharType="separate"/>
      </w:r>
      <w:r>
        <w:rPr>
          <w:color w:val="auto"/>
          <w:highlight w:val="none"/>
        </w:rPr>
        <w:t>请登陆杭州市政府采购网（http：//cg.hzft.gov.cn</w:t>
      </w:r>
      <w:r>
        <w:rPr>
          <w:color w:val="auto"/>
          <w:highlight w:val="none"/>
        </w:rPr>
        <w:fldChar w:fldCharType="end"/>
      </w:r>
      <w:r>
        <w:rPr>
          <w:color w:val="auto"/>
          <w:highlight w:val="none"/>
        </w:rPr>
        <w:t>）“中小企业信用融资”专栏， 可查看信用融资政策文件及各相关银行服务方案。</w:t>
      </w:r>
    </w:p>
    <w:p>
      <w:pPr>
        <w:pStyle w:val="3"/>
        <w:spacing w:line="306" w:lineRule="exact"/>
        <w:ind w:left="763"/>
        <w:rPr>
          <w:color w:val="auto"/>
          <w:highlight w:val="none"/>
        </w:rPr>
      </w:pPr>
      <w:r>
        <w:rPr>
          <w:color w:val="auto"/>
          <w:highlight w:val="none"/>
        </w:rPr>
        <w:t>三、申请方式和步骤</w:t>
      </w:r>
    </w:p>
    <w:p>
      <w:pPr>
        <w:pStyle w:val="3"/>
        <w:spacing w:before="160"/>
        <w:ind w:left="763"/>
        <w:rPr>
          <w:color w:val="auto"/>
          <w:highlight w:val="none"/>
        </w:rPr>
      </w:pPr>
      <w:r>
        <w:rPr>
          <w:color w:val="auto"/>
          <w:highlight w:val="none"/>
        </w:rPr>
        <w:t>1、供应商若有融资意向，需先与六家合作银行对接，办理相关融资前期手续；</w:t>
      </w:r>
    </w:p>
    <w:p>
      <w:pPr>
        <w:pStyle w:val="3"/>
        <w:spacing w:before="158"/>
        <w:ind w:left="763"/>
        <w:rPr>
          <w:color w:val="auto"/>
          <w:highlight w:val="none"/>
        </w:rPr>
      </w:pPr>
      <w:r>
        <w:rPr>
          <w:color w:val="auto"/>
          <w:highlight w:val="none"/>
        </w:rPr>
        <w:t>2、成交后，供应商应与采购单位或者采购代理机构及时联系，告知融资需求；</w:t>
      </w:r>
    </w:p>
    <w:p>
      <w:pPr>
        <w:pStyle w:val="3"/>
        <w:spacing w:before="161" w:line="362" w:lineRule="auto"/>
        <w:ind w:right="414" w:firstLine="480"/>
        <w:rPr>
          <w:color w:val="auto"/>
          <w:highlight w:val="none"/>
        </w:rPr>
      </w:pPr>
      <w:r>
        <w:rPr>
          <w:color w:val="auto"/>
          <w:highlight w:val="none"/>
        </w:rPr>
        <w:t>3、采购单位或者采购代理机构在政府采购信息系统录入成交合同信息时，须在合同备案页“是否为可融资合同”前打勾，并选择相应的信用融资合作银行，录入账号信息；</w:t>
      </w:r>
    </w:p>
    <w:p>
      <w:pPr>
        <w:pStyle w:val="3"/>
        <w:spacing w:before="5" w:line="362" w:lineRule="auto"/>
        <w:ind w:right="534" w:firstLine="480"/>
        <w:rPr>
          <w:color w:val="auto"/>
          <w:highlight w:val="none"/>
        </w:rPr>
      </w:pPr>
      <w:r>
        <w:rPr>
          <w:color w:val="auto"/>
          <w:highlight w:val="none"/>
        </w:rPr>
        <w:t>4、相关信息录入后，相关合作银行将在政府采购信息系统查询到合同备案信息，经审核，与供应商联系并办理相关融资事宜。</w:t>
      </w:r>
    </w:p>
    <w:p>
      <w:pPr>
        <w:pStyle w:val="3"/>
        <w:spacing w:before="5"/>
        <w:ind w:left="763"/>
        <w:rPr>
          <w:color w:val="auto"/>
          <w:highlight w:val="none"/>
        </w:rPr>
      </w:pPr>
      <w:r>
        <w:rPr>
          <w:color w:val="auto"/>
          <w:highlight w:val="none"/>
        </w:rPr>
        <w:t>四、注意事项</w:t>
      </w:r>
    </w:p>
    <w:p>
      <w:pPr>
        <w:pStyle w:val="3"/>
        <w:spacing w:before="158" w:line="364" w:lineRule="auto"/>
        <w:ind w:right="414" w:firstLine="480"/>
        <w:rPr>
          <w:color w:val="auto"/>
          <w:highlight w:val="none"/>
        </w:rPr>
      </w:pPr>
      <w:r>
        <w:rPr>
          <w:color w:val="auto"/>
          <w:highlight w:val="none"/>
        </w:rPr>
        <w:t>请各采购单位和采购代理机构积极支持和配合政府采购信用融资工作，在合同备案环节务必请仔细核对收款银行、账号信息等内容，一旦录入将无法修改。</w:t>
      </w:r>
    </w:p>
    <w:sectPr>
      <w:pgSz w:w="11900" w:h="16840"/>
      <w:pgMar w:top="1560" w:right="820" w:bottom="800" w:left="1020" w:header="0" w:footer="6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2"/>
                            <w:rPr>
                              <w:rFonts w:hint="eastAsia"/>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A7TTff&#10;swEAAEoDAAAOAAAAAAAAAAEAIAAAAB8BAABkcnMvZTJvRG9jLnhtbFBLBQYAAAAABgAGAFkBAABE&#10;BQAAAAA=&#10;">
              <v:fill on="f" focussize="0,0"/>
              <v:stroke on="f"/>
              <v:imagedata o:title=""/>
              <o:lock v:ext="edit" aspectratio="f"/>
              <v:textbox inset="0mm,0mm,0mm,0mm" style="mso-fit-shape-to-text:t;">
                <w:txbxContent>
                  <w:p>
                    <w:pPr>
                      <w:pStyle w:val="1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3"/>
      </w:rPr>
    </w:pPr>
    <w:r>
      <mc:AlternateContent>
        <mc:Choice Requires="wps">
          <w:drawing>
            <wp:anchor distT="0" distB="0" distL="114300" distR="114300" simplePos="0" relativeHeight="248738816" behindDoc="1" locked="0" layoutInCell="1" allowOverlap="1">
              <wp:simplePos x="0" y="0"/>
              <wp:positionH relativeFrom="page">
                <wp:posOffset>3286125</wp:posOffset>
              </wp:positionH>
              <wp:positionV relativeFrom="page">
                <wp:posOffset>10166350</wp:posOffset>
              </wp:positionV>
              <wp:extent cx="1090930" cy="16002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09093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7</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1" o:spid="_x0000_s1026" o:spt="202" type="#_x0000_t202" style="position:absolute;left:0pt;margin-left:258.75pt;margin-top:800.5pt;height:12.6pt;width:85.9pt;mso-position-horizontal-relative:page;mso-position-vertical-relative:page;z-index:-254577664;mso-width-relative:page;mso-height-relative:page;" filled="f" stroked="f" coordsize="21600,21600" o:gfxdata="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EuWLTaAAAADQEAAA8AAAAAAAAA&#10;AQAgAAAAIgAAAGRycy9kb3ducmV2LnhtbFBLAQIUABQAAAAIAIdO4kDxD3HhnQEAACQDAAAOAAAA&#10;AAAAAAEAIAAAACkBAABkcnMvZTJvRG9jLnhtbFBLBQYAAAAABgAGAFkBAAA4BQ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7</w:t>
                    </w:r>
                    <w:r>
                      <w:fldChar w:fldCharType="end"/>
                    </w:r>
                    <w:r>
                      <w:rPr>
                        <w:rFonts w:hint="eastAsia" w:ascii="仿宋" w:eastAsia="仿宋"/>
                        <w:sz w:val="21"/>
                      </w:rPr>
                      <w:t xml:space="preserve"> 页 共 63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39840"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10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2" o:spid="_x0000_s1026" o:spt="202" type="#_x0000_t202" style="position:absolute;left:0pt;margin-left:256pt;margin-top:800.5pt;height:12.6pt;width:91.3pt;mso-position-horizontal-relative:page;mso-position-vertical-relative:page;z-index:-254576640;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yp5v2gAAAA0BAAAPAAAAAAAA&#10;AAEAIAAAACIAAABkcnMvZG93bnJldi54bWxQSwECFAAUAAAACACHTuJAopNt0Z4BAAAkAwAADgAA&#10;AAAAAAABACAAAAApAQAAZHJzL2Uyb0RvYy54bWxQSwUGAAAAAAYABgBZAQAAOQU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10</w:t>
                    </w:r>
                    <w:r>
                      <w:fldChar w:fldCharType="end"/>
                    </w:r>
                    <w:r>
                      <w:rPr>
                        <w:rFonts w:hint="eastAsia" w:ascii="仿宋" w:eastAsia="仿宋"/>
                        <w:sz w:val="21"/>
                      </w:rPr>
                      <w:t xml:space="preserve"> 页 共 63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40864"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20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3" o:spid="_x0000_s1026" o:spt="202" type="#_x0000_t202" style="position:absolute;left:0pt;margin-left:256pt;margin-top:800.5pt;height:12.6pt;width:91.3pt;mso-position-horizontal-relative:page;mso-position-vertical-relative:page;z-index:-254575616;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yp5v2gAAAA0BAAAPAAAAAAAA&#10;AAEAIAAAACIAAABkcnMvZG93bnJldi54bWxQSwECFAAUAAAACACHTuJAWuYC3J4BAAAlAwAADgAA&#10;AAAAAAABACAAAAApAQAAZHJzL2Uyb0RvYy54bWxQSwUGAAAAAAYABgBZAQAAOQU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20</w:t>
                    </w:r>
                    <w:r>
                      <w:fldChar w:fldCharType="end"/>
                    </w:r>
                    <w:r>
                      <w:rPr>
                        <w:rFonts w:hint="eastAsia" w:ascii="仿宋" w:eastAsia="仿宋"/>
                        <w:sz w:val="21"/>
                      </w:rPr>
                      <w:t xml:space="preserve"> 页 共 63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41888"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30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4" o:spid="_x0000_s1026" o:spt="202" type="#_x0000_t202" style="position:absolute;left:0pt;margin-left:256pt;margin-top:800.5pt;height:12.6pt;width:91.3pt;mso-position-horizontal-relative:page;mso-position-vertical-relative:page;z-index:-254574592;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yp5v2gAAAA0BAAAPAAAAAAAA&#10;AAEAIAAAACIAAABkcnMvZG93bnJldi54bWxQSwECFAAUAAAACACHTuJAz5BGWp4BAAAlAwAADgAA&#10;AAAAAAABACAAAAApAQAAZHJzL2Uyb0RvYy54bWxQSwUGAAAAAAYABgBZAQAAOQU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30</w:t>
                    </w:r>
                    <w:r>
                      <w:fldChar w:fldCharType="end"/>
                    </w:r>
                    <w:r>
                      <w:rPr>
                        <w:rFonts w:hint="eastAsia" w:ascii="仿宋" w:eastAsia="仿宋"/>
                        <w:sz w:val="21"/>
                      </w:rPr>
                      <w:t xml:space="preserve"> 页 共 63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42912"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40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5" o:spid="_x0000_s1026" o:spt="202" type="#_x0000_t202" style="position:absolute;left:0pt;margin-left:256pt;margin-top:800.5pt;height:12.6pt;width:91.3pt;mso-position-horizontal-relative:page;mso-position-vertical-relative:page;z-index:-254573568;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yp5v2gAAAA0BAAAPAAAAAAAA&#10;AAEAIAAAACIAAABkcnMvZG93bnJldi54bWxQSwECFAAUAAAACACHTuJAui1rWZ4BAAAlAwAADgAA&#10;AAAAAAABACAAAAApAQAAZHJzL2Uyb0RvYy54bWxQSwUGAAAAAAYABgBZAQAAOQU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40</w:t>
                    </w:r>
                    <w:r>
                      <w:fldChar w:fldCharType="end"/>
                    </w:r>
                    <w:r>
                      <w:rPr>
                        <w:rFonts w:hint="eastAsia" w:ascii="仿宋" w:eastAsia="仿宋"/>
                        <w:sz w:val="21"/>
                      </w:rPr>
                      <w:t xml:space="preserve"> 页 共 63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43936"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50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6" o:spid="_x0000_s1026" o:spt="202" type="#_x0000_t202" style="position:absolute;left:0pt;margin-left:256pt;margin-top:800.5pt;height:12.6pt;width:91.3pt;mso-position-horizontal-relative:page;mso-position-vertical-relative:page;z-index:-254572544;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yp5v2gAAAA0BAAAPAAAAAAAA&#10;AAEAIAAAACIAAABkcnMvZG93bnJldi54bWxQSwECFAAUAAAACACHTuJASsjfG54BAAAlAwAADgAA&#10;AAAAAAABACAAAAApAQAAZHJzL2Uyb0RvYy54bWxQSwUGAAAAAAYABgBZAQAAOQU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50</w:t>
                    </w:r>
                    <w:r>
                      <w:fldChar w:fldCharType="end"/>
                    </w:r>
                    <w:r>
                      <w:rPr>
                        <w:rFonts w:hint="eastAsia" w:ascii="仿宋" w:eastAsia="仿宋"/>
                        <w:sz w:val="21"/>
                      </w:rPr>
                      <w:t xml:space="preserve"> 页 共 63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744960" behindDoc="1" locked="0" layoutInCell="1" allowOverlap="1">
              <wp:simplePos x="0" y="0"/>
              <wp:positionH relativeFrom="page">
                <wp:posOffset>3251200</wp:posOffset>
              </wp:positionH>
              <wp:positionV relativeFrom="page">
                <wp:posOffset>10166350</wp:posOffset>
              </wp:positionV>
              <wp:extent cx="1159510" cy="16002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159510" cy="160020"/>
                      </a:xfrm>
                      <a:prstGeom prst="rect">
                        <a:avLst/>
                      </a:prstGeom>
                      <a:noFill/>
                      <a:ln>
                        <a:noFill/>
                      </a:ln>
                    </wps:spPr>
                    <wps:txbx>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60</w:t>
                          </w:r>
                          <w:r>
                            <w:fldChar w:fldCharType="end"/>
                          </w:r>
                          <w:r>
                            <w:rPr>
                              <w:rFonts w:hint="eastAsia" w:ascii="仿宋" w:eastAsia="仿宋"/>
                              <w:sz w:val="21"/>
                            </w:rPr>
                            <w:t xml:space="preserve"> 页 共 63 页</w:t>
                          </w:r>
                        </w:p>
                      </w:txbxContent>
                    </wps:txbx>
                    <wps:bodyPr lIns="0" tIns="0" rIns="0" bIns="0" upright="1"/>
                  </wps:wsp>
                </a:graphicData>
              </a:graphic>
            </wp:anchor>
          </w:drawing>
        </mc:Choice>
        <mc:Fallback>
          <w:pict>
            <v:shape id="文本框 7" o:spid="_x0000_s1026" o:spt="202" type="#_x0000_t202" style="position:absolute;left:0pt;margin-left:256pt;margin-top:800.5pt;height:12.6pt;width:91.3pt;mso-position-horizontal-relative:page;mso-position-vertical-relative:page;z-index:-254571520;mso-width-relative:page;mso-height-relative:page;" filled="f" stroked="f" coordsize="21600,21600" o:gfxdata="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Mqeb9oAAAANAQAADwAAAAAA&#10;AAABACAAAAAiAAAAZHJzL2Rvd25yZXYueG1sUEsBAhQAFAAAAAgAh07iQFBXMF+fAQAAJQMAAA4A&#10;AAAAAAAAAQAgAAAAKQEAAGRycy9lMm9Eb2MueG1sUEsFBgAAAAAGAAYAWQEAADoFAAAAAA==&#10;">
              <v:fill on="f" focussize="0,0"/>
              <v:stroke on="f"/>
              <v:imagedata o:title=""/>
              <o:lock v:ext="edit" aspectratio="f"/>
              <v:textbox inset="0mm,0mm,0mm,0mm">
                <w:txbxContent>
                  <w:p>
                    <w:pPr>
                      <w:spacing w:before="0" w:line="251" w:lineRule="exact"/>
                      <w:ind w:left="20" w:right="0" w:firstLine="0"/>
                      <w:jc w:val="left"/>
                      <w:rPr>
                        <w:rFonts w:hint="eastAsia" w:ascii="仿宋" w:eastAsia="仿宋"/>
                        <w:sz w:val="21"/>
                      </w:rPr>
                    </w:pPr>
                    <w:r>
                      <w:rPr>
                        <w:rFonts w:hint="eastAsia" w:ascii="仿宋" w:eastAsia="仿宋"/>
                        <w:sz w:val="21"/>
                      </w:rPr>
                      <w:t xml:space="preserve">第 </w:t>
                    </w:r>
                    <w:r>
                      <w:fldChar w:fldCharType="begin"/>
                    </w:r>
                    <w:r>
                      <w:rPr>
                        <w:rFonts w:hint="eastAsia" w:ascii="仿宋" w:eastAsia="仿宋"/>
                        <w:sz w:val="21"/>
                      </w:rPr>
                      <w:instrText xml:space="preserve"> PAGE </w:instrText>
                    </w:r>
                    <w:r>
                      <w:fldChar w:fldCharType="separate"/>
                    </w:r>
                    <w:r>
                      <w:t>60</w:t>
                    </w:r>
                    <w:r>
                      <w:fldChar w:fldCharType="end"/>
                    </w:r>
                    <w:r>
                      <w:rPr>
                        <w:rFonts w:hint="eastAsia" w:ascii="仿宋" w:eastAsia="仿宋"/>
                        <w:sz w:val="21"/>
                      </w:rPr>
                      <w:t xml:space="preserve"> 页 共 63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2022年第19届亚运会组委会</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1"/>
      <w:numFmt w:val="decimal"/>
      <w:lvlText w:val="%1."/>
      <w:lvlJc w:val="left"/>
      <w:pPr>
        <w:ind w:left="283"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8" w:hanging="243"/>
      </w:pPr>
      <w:rPr>
        <w:rFonts w:hint="default"/>
        <w:lang w:val="zh-CN" w:eastAsia="zh-CN" w:bidi="zh-CN"/>
      </w:rPr>
    </w:lvl>
    <w:lvl w:ilvl="2" w:tentative="0">
      <w:start w:val="0"/>
      <w:numFmt w:val="bullet"/>
      <w:lvlText w:val="•"/>
      <w:lvlJc w:val="left"/>
      <w:pPr>
        <w:ind w:left="2236" w:hanging="243"/>
      </w:pPr>
      <w:rPr>
        <w:rFonts w:hint="default"/>
        <w:lang w:val="zh-CN" w:eastAsia="zh-CN" w:bidi="zh-CN"/>
      </w:rPr>
    </w:lvl>
    <w:lvl w:ilvl="3" w:tentative="0">
      <w:start w:val="0"/>
      <w:numFmt w:val="bullet"/>
      <w:lvlText w:val="•"/>
      <w:lvlJc w:val="left"/>
      <w:pPr>
        <w:ind w:left="3214" w:hanging="243"/>
      </w:pPr>
      <w:rPr>
        <w:rFonts w:hint="default"/>
        <w:lang w:val="zh-CN" w:eastAsia="zh-CN" w:bidi="zh-CN"/>
      </w:rPr>
    </w:lvl>
    <w:lvl w:ilvl="4" w:tentative="0">
      <w:start w:val="0"/>
      <w:numFmt w:val="bullet"/>
      <w:lvlText w:val="•"/>
      <w:lvlJc w:val="left"/>
      <w:pPr>
        <w:ind w:left="4192" w:hanging="243"/>
      </w:pPr>
      <w:rPr>
        <w:rFonts w:hint="default"/>
        <w:lang w:val="zh-CN" w:eastAsia="zh-CN" w:bidi="zh-CN"/>
      </w:rPr>
    </w:lvl>
    <w:lvl w:ilvl="5" w:tentative="0">
      <w:start w:val="0"/>
      <w:numFmt w:val="bullet"/>
      <w:lvlText w:val="•"/>
      <w:lvlJc w:val="left"/>
      <w:pPr>
        <w:ind w:left="5170" w:hanging="243"/>
      </w:pPr>
      <w:rPr>
        <w:rFonts w:hint="default"/>
        <w:lang w:val="zh-CN" w:eastAsia="zh-CN" w:bidi="zh-CN"/>
      </w:rPr>
    </w:lvl>
    <w:lvl w:ilvl="6" w:tentative="0">
      <w:start w:val="0"/>
      <w:numFmt w:val="bullet"/>
      <w:lvlText w:val="•"/>
      <w:lvlJc w:val="left"/>
      <w:pPr>
        <w:ind w:left="6148" w:hanging="243"/>
      </w:pPr>
      <w:rPr>
        <w:rFonts w:hint="default"/>
        <w:lang w:val="zh-CN" w:eastAsia="zh-CN" w:bidi="zh-CN"/>
      </w:rPr>
    </w:lvl>
    <w:lvl w:ilvl="7" w:tentative="0">
      <w:start w:val="0"/>
      <w:numFmt w:val="bullet"/>
      <w:lvlText w:val="•"/>
      <w:lvlJc w:val="left"/>
      <w:pPr>
        <w:ind w:left="7126" w:hanging="243"/>
      </w:pPr>
      <w:rPr>
        <w:rFonts w:hint="default"/>
        <w:lang w:val="zh-CN" w:eastAsia="zh-CN" w:bidi="zh-CN"/>
      </w:rPr>
    </w:lvl>
    <w:lvl w:ilvl="8" w:tentative="0">
      <w:start w:val="0"/>
      <w:numFmt w:val="bullet"/>
      <w:lvlText w:val="•"/>
      <w:lvlJc w:val="left"/>
      <w:pPr>
        <w:ind w:left="8104" w:hanging="243"/>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88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98" w:hanging="601"/>
      </w:pPr>
      <w:rPr>
        <w:rFonts w:hint="default"/>
        <w:lang w:val="zh-CN" w:eastAsia="zh-CN" w:bidi="zh-CN"/>
      </w:rPr>
    </w:lvl>
    <w:lvl w:ilvl="2" w:tentative="0">
      <w:start w:val="0"/>
      <w:numFmt w:val="bullet"/>
      <w:lvlText w:val="•"/>
      <w:lvlJc w:val="left"/>
      <w:pPr>
        <w:ind w:left="2716" w:hanging="601"/>
      </w:pPr>
      <w:rPr>
        <w:rFonts w:hint="default"/>
        <w:lang w:val="zh-CN" w:eastAsia="zh-CN" w:bidi="zh-CN"/>
      </w:rPr>
    </w:lvl>
    <w:lvl w:ilvl="3" w:tentative="0">
      <w:start w:val="0"/>
      <w:numFmt w:val="bullet"/>
      <w:lvlText w:val="•"/>
      <w:lvlJc w:val="left"/>
      <w:pPr>
        <w:ind w:left="3634" w:hanging="601"/>
      </w:pPr>
      <w:rPr>
        <w:rFonts w:hint="default"/>
        <w:lang w:val="zh-CN" w:eastAsia="zh-CN" w:bidi="zh-CN"/>
      </w:rPr>
    </w:lvl>
    <w:lvl w:ilvl="4" w:tentative="0">
      <w:start w:val="0"/>
      <w:numFmt w:val="bullet"/>
      <w:lvlText w:val="•"/>
      <w:lvlJc w:val="left"/>
      <w:pPr>
        <w:ind w:left="4552" w:hanging="601"/>
      </w:pPr>
      <w:rPr>
        <w:rFonts w:hint="default"/>
        <w:lang w:val="zh-CN" w:eastAsia="zh-CN" w:bidi="zh-CN"/>
      </w:rPr>
    </w:lvl>
    <w:lvl w:ilvl="5" w:tentative="0">
      <w:start w:val="0"/>
      <w:numFmt w:val="bullet"/>
      <w:lvlText w:val="•"/>
      <w:lvlJc w:val="left"/>
      <w:pPr>
        <w:ind w:left="5470" w:hanging="601"/>
      </w:pPr>
      <w:rPr>
        <w:rFonts w:hint="default"/>
        <w:lang w:val="zh-CN" w:eastAsia="zh-CN" w:bidi="zh-CN"/>
      </w:rPr>
    </w:lvl>
    <w:lvl w:ilvl="6" w:tentative="0">
      <w:start w:val="0"/>
      <w:numFmt w:val="bullet"/>
      <w:lvlText w:val="•"/>
      <w:lvlJc w:val="left"/>
      <w:pPr>
        <w:ind w:left="6388" w:hanging="601"/>
      </w:pPr>
      <w:rPr>
        <w:rFonts w:hint="default"/>
        <w:lang w:val="zh-CN" w:eastAsia="zh-CN" w:bidi="zh-CN"/>
      </w:rPr>
    </w:lvl>
    <w:lvl w:ilvl="7" w:tentative="0">
      <w:start w:val="0"/>
      <w:numFmt w:val="bullet"/>
      <w:lvlText w:val="•"/>
      <w:lvlJc w:val="left"/>
      <w:pPr>
        <w:ind w:left="7306" w:hanging="601"/>
      </w:pPr>
      <w:rPr>
        <w:rFonts w:hint="default"/>
        <w:lang w:val="zh-CN" w:eastAsia="zh-CN" w:bidi="zh-CN"/>
      </w:rPr>
    </w:lvl>
    <w:lvl w:ilvl="8" w:tentative="0">
      <w:start w:val="0"/>
      <w:numFmt w:val="bullet"/>
      <w:lvlText w:val="•"/>
      <w:lvlJc w:val="left"/>
      <w:pPr>
        <w:ind w:left="8224" w:hanging="601"/>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123" w:hanging="360"/>
        <w:jc w:val="left"/>
      </w:pPr>
      <w:rPr>
        <w:rFonts w:hint="default"/>
        <w:w w:val="100"/>
        <w:lang w:val="zh-CN" w:eastAsia="zh-CN" w:bidi="zh-CN"/>
      </w:rPr>
    </w:lvl>
    <w:lvl w:ilvl="1" w:tentative="0">
      <w:start w:val="1"/>
      <w:numFmt w:val="decimal"/>
      <w:lvlText w:val="%2."/>
      <w:lvlJc w:val="left"/>
      <w:pPr>
        <w:ind w:left="112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908" w:hanging="241"/>
      </w:pPr>
      <w:rPr>
        <w:rFonts w:hint="default"/>
        <w:lang w:val="zh-CN" w:eastAsia="zh-CN" w:bidi="zh-CN"/>
      </w:rPr>
    </w:lvl>
    <w:lvl w:ilvl="3" w:tentative="0">
      <w:start w:val="0"/>
      <w:numFmt w:val="bullet"/>
      <w:lvlText w:val="•"/>
      <w:lvlJc w:val="left"/>
      <w:pPr>
        <w:ind w:left="3802" w:hanging="241"/>
      </w:pPr>
      <w:rPr>
        <w:rFonts w:hint="default"/>
        <w:lang w:val="zh-CN" w:eastAsia="zh-CN" w:bidi="zh-CN"/>
      </w:rPr>
    </w:lvl>
    <w:lvl w:ilvl="4" w:tentative="0">
      <w:start w:val="0"/>
      <w:numFmt w:val="bullet"/>
      <w:lvlText w:val="•"/>
      <w:lvlJc w:val="left"/>
      <w:pPr>
        <w:ind w:left="4696" w:hanging="241"/>
      </w:pPr>
      <w:rPr>
        <w:rFonts w:hint="default"/>
        <w:lang w:val="zh-CN" w:eastAsia="zh-CN" w:bidi="zh-CN"/>
      </w:rPr>
    </w:lvl>
    <w:lvl w:ilvl="5" w:tentative="0">
      <w:start w:val="0"/>
      <w:numFmt w:val="bullet"/>
      <w:lvlText w:val="•"/>
      <w:lvlJc w:val="left"/>
      <w:pPr>
        <w:ind w:left="5590" w:hanging="241"/>
      </w:pPr>
      <w:rPr>
        <w:rFonts w:hint="default"/>
        <w:lang w:val="zh-CN" w:eastAsia="zh-CN" w:bidi="zh-CN"/>
      </w:rPr>
    </w:lvl>
    <w:lvl w:ilvl="6" w:tentative="0">
      <w:start w:val="0"/>
      <w:numFmt w:val="bullet"/>
      <w:lvlText w:val="•"/>
      <w:lvlJc w:val="left"/>
      <w:pPr>
        <w:ind w:left="6484" w:hanging="241"/>
      </w:pPr>
      <w:rPr>
        <w:rFonts w:hint="default"/>
        <w:lang w:val="zh-CN" w:eastAsia="zh-CN" w:bidi="zh-CN"/>
      </w:rPr>
    </w:lvl>
    <w:lvl w:ilvl="7" w:tentative="0">
      <w:start w:val="0"/>
      <w:numFmt w:val="bullet"/>
      <w:lvlText w:val="•"/>
      <w:lvlJc w:val="left"/>
      <w:pPr>
        <w:ind w:left="7378" w:hanging="241"/>
      </w:pPr>
      <w:rPr>
        <w:rFonts w:hint="default"/>
        <w:lang w:val="zh-CN" w:eastAsia="zh-CN" w:bidi="zh-CN"/>
      </w:rPr>
    </w:lvl>
    <w:lvl w:ilvl="8" w:tentative="0">
      <w:start w:val="0"/>
      <w:numFmt w:val="bullet"/>
      <w:lvlText w:val="•"/>
      <w:lvlJc w:val="left"/>
      <w:pPr>
        <w:ind w:left="8272" w:hanging="241"/>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366" w:hanging="60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230" w:hanging="604"/>
      </w:pPr>
      <w:rPr>
        <w:rFonts w:hint="default"/>
        <w:lang w:val="zh-CN" w:eastAsia="zh-CN" w:bidi="zh-CN"/>
      </w:rPr>
    </w:lvl>
    <w:lvl w:ilvl="2" w:tentative="0">
      <w:start w:val="0"/>
      <w:numFmt w:val="bullet"/>
      <w:lvlText w:val="•"/>
      <w:lvlJc w:val="left"/>
      <w:pPr>
        <w:ind w:left="3100" w:hanging="604"/>
      </w:pPr>
      <w:rPr>
        <w:rFonts w:hint="default"/>
        <w:lang w:val="zh-CN" w:eastAsia="zh-CN" w:bidi="zh-CN"/>
      </w:rPr>
    </w:lvl>
    <w:lvl w:ilvl="3" w:tentative="0">
      <w:start w:val="0"/>
      <w:numFmt w:val="bullet"/>
      <w:lvlText w:val="•"/>
      <w:lvlJc w:val="left"/>
      <w:pPr>
        <w:ind w:left="3970" w:hanging="604"/>
      </w:pPr>
      <w:rPr>
        <w:rFonts w:hint="default"/>
        <w:lang w:val="zh-CN" w:eastAsia="zh-CN" w:bidi="zh-CN"/>
      </w:rPr>
    </w:lvl>
    <w:lvl w:ilvl="4" w:tentative="0">
      <w:start w:val="0"/>
      <w:numFmt w:val="bullet"/>
      <w:lvlText w:val="•"/>
      <w:lvlJc w:val="left"/>
      <w:pPr>
        <w:ind w:left="4840" w:hanging="604"/>
      </w:pPr>
      <w:rPr>
        <w:rFonts w:hint="default"/>
        <w:lang w:val="zh-CN" w:eastAsia="zh-CN" w:bidi="zh-CN"/>
      </w:rPr>
    </w:lvl>
    <w:lvl w:ilvl="5" w:tentative="0">
      <w:start w:val="0"/>
      <w:numFmt w:val="bullet"/>
      <w:lvlText w:val="•"/>
      <w:lvlJc w:val="left"/>
      <w:pPr>
        <w:ind w:left="5710" w:hanging="604"/>
      </w:pPr>
      <w:rPr>
        <w:rFonts w:hint="default"/>
        <w:lang w:val="zh-CN" w:eastAsia="zh-CN" w:bidi="zh-CN"/>
      </w:rPr>
    </w:lvl>
    <w:lvl w:ilvl="6" w:tentative="0">
      <w:start w:val="0"/>
      <w:numFmt w:val="bullet"/>
      <w:lvlText w:val="•"/>
      <w:lvlJc w:val="left"/>
      <w:pPr>
        <w:ind w:left="6580" w:hanging="604"/>
      </w:pPr>
      <w:rPr>
        <w:rFonts w:hint="default"/>
        <w:lang w:val="zh-CN" w:eastAsia="zh-CN" w:bidi="zh-CN"/>
      </w:rPr>
    </w:lvl>
    <w:lvl w:ilvl="7" w:tentative="0">
      <w:start w:val="0"/>
      <w:numFmt w:val="bullet"/>
      <w:lvlText w:val="•"/>
      <w:lvlJc w:val="left"/>
      <w:pPr>
        <w:ind w:left="7450" w:hanging="604"/>
      </w:pPr>
      <w:rPr>
        <w:rFonts w:hint="default"/>
        <w:lang w:val="zh-CN" w:eastAsia="zh-CN" w:bidi="zh-CN"/>
      </w:rPr>
    </w:lvl>
    <w:lvl w:ilvl="8" w:tentative="0">
      <w:start w:val="0"/>
      <w:numFmt w:val="bullet"/>
      <w:lvlText w:val="•"/>
      <w:lvlJc w:val="left"/>
      <w:pPr>
        <w:ind w:left="8320" w:hanging="604"/>
      </w:pPr>
      <w:rPr>
        <w:rFonts w:hint="default"/>
        <w:lang w:val="zh-CN" w:eastAsia="zh-CN" w:bidi="zh-CN"/>
      </w:rPr>
    </w:lvl>
  </w:abstractNum>
  <w:abstractNum w:abstractNumId="4">
    <w:nsid w:val="AC1551ED"/>
    <w:multiLevelType w:val="singleLevel"/>
    <w:tmpl w:val="AC1551ED"/>
    <w:lvl w:ilvl="0" w:tentative="0">
      <w:start w:val="1"/>
      <w:numFmt w:val="decimal"/>
      <w:suff w:val="space"/>
      <w:lvlText w:val="%1."/>
      <w:lvlJc w:val="left"/>
    </w:lvl>
  </w:abstractNum>
  <w:abstractNum w:abstractNumId="5">
    <w:nsid w:val="B5E306ED"/>
    <w:multiLevelType w:val="multilevel"/>
    <w:tmpl w:val="B5E306ED"/>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6">
    <w:nsid w:val="B8CEF35B"/>
    <w:multiLevelType w:val="multilevel"/>
    <w:tmpl w:val="B8CEF35B"/>
    <w:lvl w:ilvl="0" w:tentative="0">
      <w:start w:val="1"/>
      <w:numFmt w:val="decimal"/>
      <w:lvlText w:val="（%1）"/>
      <w:lvlJc w:val="left"/>
      <w:pPr>
        <w:ind w:left="884"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475" w:hanging="648"/>
        <w:jc w:val="left"/>
      </w:pPr>
      <w:rPr>
        <w:rFonts w:hint="default" w:ascii="宋体" w:hAnsi="宋体" w:eastAsia="宋体" w:cs="宋体"/>
        <w:spacing w:val="14"/>
        <w:w w:val="100"/>
        <w:sz w:val="22"/>
        <w:szCs w:val="22"/>
        <w:lang w:val="zh-CN" w:eastAsia="zh-CN" w:bidi="zh-CN"/>
      </w:rPr>
    </w:lvl>
    <w:lvl w:ilvl="2" w:tentative="0">
      <w:start w:val="0"/>
      <w:numFmt w:val="bullet"/>
      <w:lvlText w:val="•"/>
      <w:lvlJc w:val="left"/>
      <w:pPr>
        <w:ind w:left="2433" w:hanging="648"/>
      </w:pPr>
      <w:rPr>
        <w:rFonts w:hint="default"/>
        <w:lang w:val="zh-CN" w:eastAsia="zh-CN" w:bidi="zh-CN"/>
      </w:rPr>
    </w:lvl>
    <w:lvl w:ilvl="3" w:tentative="0">
      <w:start w:val="0"/>
      <w:numFmt w:val="bullet"/>
      <w:lvlText w:val="•"/>
      <w:lvlJc w:val="left"/>
      <w:pPr>
        <w:ind w:left="3386" w:hanging="648"/>
      </w:pPr>
      <w:rPr>
        <w:rFonts w:hint="default"/>
        <w:lang w:val="zh-CN" w:eastAsia="zh-CN" w:bidi="zh-CN"/>
      </w:rPr>
    </w:lvl>
    <w:lvl w:ilvl="4" w:tentative="0">
      <w:start w:val="0"/>
      <w:numFmt w:val="bullet"/>
      <w:lvlText w:val="•"/>
      <w:lvlJc w:val="left"/>
      <w:pPr>
        <w:ind w:left="4340" w:hanging="648"/>
      </w:pPr>
      <w:rPr>
        <w:rFonts w:hint="default"/>
        <w:lang w:val="zh-CN" w:eastAsia="zh-CN" w:bidi="zh-CN"/>
      </w:rPr>
    </w:lvl>
    <w:lvl w:ilvl="5" w:tentative="0">
      <w:start w:val="0"/>
      <w:numFmt w:val="bullet"/>
      <w:lvlText w:val="•"/>
      <w:lvlJc w:val="left"/>
      <w:pPr>
        <w:ind w:left="5293" w:hanging="648"/>
      </w:pPr>
      <w:rPr>
        <w:rFonts w:hint="default"/>
        <w:lang w:val="zh-CN" w:eastAsia="zh-CN" w:bidi="zh-CN"/>
      </w:rPr>
    </w:lvl>
    <w:lvl w:ilvl="6" w:tentative="0">
      <w:start w:val="0"/>
      <w:numFmt w:val="bullet"/>
      <w:lvlText w:val="•"/>
      <w:lvlJc w:val="left"/>
      <w:pPr>
        <w:ind w:left="6246" w:hanging="648"/>
      </w:pPr>
      <w:rPr>
        <w:rFonts w:hint="default"/>
        <w:lang w:val="zh-CN" w:eastAsia="zh-CN" w:bidi="zh-CN"/>
      </w:rPr>
    </w:lvl>
    <w:lvl w:ilvl="7" w:tentative="0">
      <w:start w:val="0"/>
      <w:numFmt w:val="bullet"/>
      <w:lvlText w:val="•"/>
      <w:lvlJc w:val="left"/>
      <w:pPr>
        <w:ind w:left="7200" w:hanging="648"/>
      </w:pPr>
      <w:rPr>
        <w:rFonts w:hint="default"/>
        <w:lang w:val="zh-CN" w:eastAsia="zh-CN" w:bidi="zh-CN"/>
      </w:rPr>
    </w:lvl>
    <w:lvl w:ilvl="8" w:tentative="0">
      <w:start w:val="0"/>
      <w:numFmt w:val="bullet"/>
      <w:lvlText w:val="•"/>
      <w:lvlJc w:val="left"/>
      <w:pPr>
        <w:ind w:left="8153" w:hanging="648"/>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8">
    <w:nsid w:val="C7F36E55"/>
    <w:multiLevelType w:val="singleLevel"/>
    <w:tmpl w:val="C7F36E55"/>
    <w:lvl w:ilvl="0" w:tentative="0">
      <w:start w:val="1"/>
      <w:numFmt w:val="decimal"/>
      <w:suff w:val="space"/>
      <w:lvlText w:val="%1."/>
      <w:lvlJc w:val="left"/>
    </w:lvl>
  </w:abstractNum>
  <w:abstractNum w:abstractNumId="9">
    <w:nsid w:val="C8879AEF"/>
    <w:multiLevelType w:val="multilevel"/>
    <w:tmpl w:val="C8879AEF"/>
    <w:lvl w:ilvl="0" w:tentative="0">
      <w:start w:val="1"/>
      <w:numFmt w:val="decimal"/>
      <w:lvlText w:val="（%1）"/>
      <w:lvlJc w:val="left"/>
      <w:pPr>
        <w:ind w:left="283" w:hanging="620"/>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258" w:hanging="620"/>
      </w:pPr>
      <w:rPr>
        <w:rFonts w:hint="default"/>
        <w:lang w:val="zh-CN" w:eastAsia="zh-CN" w:bidi="zh-CN"/>
      </w:rPr>
    </w:lvl>
    <w:lvl w:ilvl="2" w:tentative="0">
      <w:start w:val="0"/>
      <w:numFmt w:val="bullet"/>
      <w:lvlText w:val="•"/>
      <w:lvlJc w:val="left"/>
      <w:pPr>
        <w:ind w:left="2236" w:hanging="620"/>
      </w:pPr>
      <w:rPr>
        <w:rFonts w:hint="default"/>
        <w:lang w:val="zh-CN" w:eastAsia="zh-CN" w:bidi="zh-CN"/>
      </w:rPr>
    </w:lvl>
    <w:lvl w:ilvl="3" w:tentative="0">
      <w:start w:val="0"/>
      <w:numFmt w:val="bullet"/>
      <w:lvlText w:val="•"/>
      <w:lvlJc w:val="left"/>
      <w:pPr>
        <w:ind w:left="3214" w:hanging="620"/>
      </w:pPr>
      <w:rPr>
        <w:rFonts w:hint="default"/>
        <w:lang w:val="zh-CN" w:eastAsia="zh-CN" w:bidi="zh-CN"/>
      </w:rPr>
    </w:lvl>
    <w:lvl w:ilvl="4" w:tentative="0">
      <w:start w:val="0"/>
      <w:numFmt w:val="bullet"/>
      <w:lvlText w:val="•"/>
      <w:lvlJc w:val="left"/>
      <w:pPr>
        <w:ind w:left="4192" w:hanging="620"/>
      </w:pPr>
      <w:rPr>
        <w:rFonts w:hint="default"/>
        <w:lang w:val="zh-CN" w:eastAsia="zh-CN" w:bidi="zh-CN"/>
      </w:rPr>
    </w:lvl>
    <w:lvl w:ilvl="5" w:tentative="0">
      <w:start w:val="0"/>
      <w:numFmt w:val="bullet"/>
      <w:lvlText w:val="•"/>
      <w:lvlJc w:val="left"/>
      <w:pPr>
        <w:ind w:left="5170" w:hanging="620"/>
      </w:pPr>
      <w:rPr>
        <w:rFonts w:hint="default"/>
        <w:lang w:val="zh-CN" w:eastAsia="zh-CN" w:bidi="zh-CN"/>
      </w:rPr>
    </w:lvl>
    <w:lvl w:ilvl="6" w:tentative="0">
      <w:start w:val="0"/>
      <w:numFmt w:val="bullet"/>
      <w:lvlText w:val="•"/>
      <w:lvlJc w:val="left"/>
      <w:pPr>
        <w:ind w:left="6148" w:hanging="620"/>
      </w:pPr>
      <w:rPr>
        <w:rFonts w:hint="default"/>
        <w:lang w:val="zh-CN" w:eastAsia="zh-CN" w:bidi="zh-CN"/>
      </w:rPr>
    </w:lvl>
    <w:lvl w:ilvl="7" w:tentative="0">
      <w:start w:val="0"/>
      <w:numFmt w:val="bullet"/>
      <w:lvlText w:val="•"/>
      <w:lvlJc w:val="left"/>
      <w:pPr>
        <w:ind w:left="7126" w:hanging="620"/>
      </w:pPr>
      <w:rPr>
        <w:rFonts w:hint="default"/>
        <w:lang w:val="zh-CN" w:eastAsia="zh-CN" w:bidi="zh-CN"/>
      </w:rPr>
    </w:lvl>
    <w:lvl w:ilvl="8" w:tentative="0">
      <w:start w:val="0"/>
      <w:numFmt w:val="bullet"/>
      <w:lvlText w:val="•"/>
      <w:lvlJc w:val="left"/>
      <w:pPr>
        <w:ind w:left="8104" w:hanging="620"/>
      </w:pPr>
      <w:rPr>
        <w:rFonts w:hint="default"/>
        <w:lang w:val="zh-CN" w:eastAsia="zh-CN" w:bidi="zh-CN"/>
      </w:rPr>
    </w:lvl>
  </w:abstractNum>
  <w:abstractNum w:abstractNumId="10">
    <w:nsid w:val="CF092B84"/>
    <w:multiLevelType w:val="multilevel"/>
    <w:tmpl w:val="CF092B84"/>
    <w:lvl w:ilvl="0" w:tentative="0">
      <w:start w:val="1"/>
      <w:numFmt w:val="decimal"/>
      <w:lvlText w:val="（%1）"/>
      <w:lvlJc w:val="left"/>
      <w:pPr>
        <w:ind w:left="87"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963" w:hanging="601"/>
      </w:pPr>
      <w:rPr>
        <w:rFonts w:hint="default"/>
        <w:lang w:val="zh-CN" w:eastAsia="zh-CN" w:bidi="zh-CN"/>
      </w:rPr>
    </w:lvl>
    <w:lvl w:ilvl="2" w:tentative="0">
      <w:start w:val="0"/>
      <w:numFmt w:val="bullet"/>
      <w:lvlText w:val="•"/>
      <w:lvlJc w:val="left"/>
      <w:pPr>
        <w:ind w:left="1846" w:hanging="601"/>
      </w:pPr>
      <w:rPr>
        <w:rFonts w:hint="default"/>
        <w:lang w:val="zh-CN" w:eastAsia="zh-CN" w:bidi="zh-CN"/>
      </w:rPr>
    </w:lvl>
    <w:lvl w:ilvl="3" w:tentative="0">
      <w:start w:val="0"/>
      <w:numFmt w:val="bullet"/>
      <w:lvlText w:val="•"/>
      <w:lvlJc w:val="left"/>
      <w:pPr>
        <w:ind w:left="2729" w:hanging="601"/>
      </w:pPr>
      <w:rPr>
        <w:rFonts w:hint="default"/>
        <w:lang w:val="zh-CN" w:eastAsia="zh-CN" w:bidi="zh-CN"/>
      </w:rPr>
    </w:lvl>
    <w:lvl w:ilvl="4" w:tentative="0">
      <w:start w:val="0"/>
      <w:numFmt w:val="bullet"/>
      <w:lvlText w:val="•"/>
      <w:lvlJc w:val="left"/>
      <w:pPr>
        <w:ind w:left="3613" w:hanging="601"/>
      </w:pPr>
      <w:rPr>
        <w:rFonts w:hint="default"/>
        <w:lang w:val="zh-CN" w:eastAsia="zh-CN" w:bidi="zh-CN"/>
      </w:rPr>
    </w:lvl>
    <w:lvl w:ilvl="5" w:tentative="0">
      <w:start w:val="0"/>
      <w:numFmt w:val="bullet"/>
      <w:lvlText w:val="•"/>
      <w:lvlJc w:val="left"/>
      <w:pPr>
        <w:ind w:left="4496" w:hanging="601"/>
      </w:pPr>
      <w:rPr>
        <w:rFonts w:hint="default"/>
        <w:lang w:val="zh-CN" w:eastAsia="zh-CN" w:bidi="zh-CN"/>
      </w:rPr>
    </w:lvl>
    <w:lvl w:ilvl="6" w:tentative="0">
      <w:start w:val="0"/>
      <w:numFmt w:val="bullet"/>
      <w:lvlText w:val="•"/>
      <w:lvlJc w:val="left"/>
      <w:pPr>
        <w:ind w:left="5379" w:hanging="601"/>
      </w:pPr>
      <w:rPr>
        <w:rFonts w:hint="default"/>
        <w:lang w:val="zh-CN" w:eastAsia="zh-CN" w:bidi="zh-CN"/>
      </w:rPr>
    </w:lvl>
    <w:lvl w:ilvl="7" w:tentative="0">
      <w:start w:val="0"/>
      <w:numFmt w:val="bullet"/>
      <w:lvlText w:val="•"/>
      <w:lvlJc w:val="left"/>
      <w:pPr>
        <w:ind w:left="6262" w:hanging="601"/>
      </w:pPr>
      <w:rPr>
        <w:rFonts w:hint="default"/>
        <w:lang w:val="zh-CN" w:eastAsia="zh-CN" w:bidi="zh-CN"/>
      </w:rPr>
    </w:lvl>
    <w:lvl w:ilvl="8" w:tentative="0">
      <w:start w:val="0"/>
      <w:numFmt w:val="bullet"/>
      <w:lvlText w:val="•"/>
      <w:lvlJc w:val="left"/>
      <w:pPr>
        <w:ind w:left="7146" w:hanging="601"/>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12">
    <w:nsid w:val="DCBA6B53"/>
    <w:multiLevelType w:val="multilevel"/>
    <w:tmpl w:val="DCBA6B53"/>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13">
    <w:nsid w:val="F4B5D9F5"/>
    <w:multiLevelType w:val="multilevel"/>
    <w:tmpl w:val="F4B5D9F5"/>
    <w:lvl w:ilvl="0" w:tentative="0">
      <w:start w:val="22"/>
      <w:numFmt w:val="decimal"/>
      <w:lvlText w:val="%1"/>
      <w:lvlJc w:val="left"/>
      <w:pPr>
        <w:ind w:left="1353" w:hanging="600"/>
        <w:jc w:val="left"/>
      </w:pPr>
      <w:rPr>
        <w:rFonts w:hint="default"/>
        <w:lang w:val="zh-CN" w:eastAsia="zh-CN" w:bidi="zh-CN"/>
      </w:rPr>
    </w:lvl>
    <w:lvl w:ilvl="1" w:tentative="0">
      <w:start w:val="9"/>
      <w:numFmt w:val="decimal"/>
      <w:lvlText w:val="%1.%2"/>
      <w:lvlJc w:val="left"/>
      <w:pPr>
        <w:ind w:left="1353"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00" w:hanging="600"/>
      </w:pPr>
      <w:rPr>
        <w:rFonts w:hint="default"/>
        <w:lang w:val="zh-CN" w:eastAsia="zh-CN" w:bidi="zh-CN"/>
      </w:rPr>
    </w:lvl>
    <w:lvl w:ilvl="3" w:tentative="0">
      <w:start w:val="0"/>
      <w:numFmt w:val="bullet"/>
      <w:lvlText w:val="•"/>
      <w:lvlJc w:val="left"/>
      <w:pPr>
        <w:ind w:left="3970" w:hanging="600"/>
      </w:pPr>
      <w:rPr>
        <w:rFonts w:hint="default"/>
        <w:lang w:val="zh-CN" w:eastAsia="zh-CN" w:bidi="zh-CN"/>
      </w:rPr>
    </w:lvl>
    <w:lvl w:ilvl="4" w:tentative="0">
      <w:start w:val="0"/>
      <w:numFmt w:val="bullet"/>
      <w:lvlText w:val="•"/>
      <w:lvlJc w:val="left"/>
      <w:pPr>
        <w:ind w:left="4840" w:hanging="600"/>
      </w:pPr>
      <w:rPr>
        <w:rFonts w:hint="default"/>
        <w:lang w:val="zh-CN" w:eastAsia="zh-CN" w:bidi="zh-CN"/>
      </w:rPr>
    </w:lvl>
    <w:lvl w:ilvl="5" w:tentative="0">
      <w:start w:val="0"/>
      <w:numFmt w:val="bullet"/>
      <w:lvlText w:val="•"/>
      <w:lvlJc w:val="left"/>
      <w:pPr>
        <w:ind w:left="5710" w:hanging="600"/>
      </w:pPr>
      <w:rPr>
        <w:rFonts w:hint="default"/>
        <w:lang w:val="zh-CN" w:eastAsia="zh-CN" w:bidi="zh-CN"/>
      </w:rPr>
    </w:lvl>
    <w:lvl w:ilvl="6" w:tentative="0">
      <w:start w:val="0"/>
      <w:numFmt w:val="bullet"/>
      <w:lvlText w:val="•"/>
      <w:lvlJc w:val="left"/>
      <w:pPr>
        <w:ind w:left="6580" w:hanging="600"/>
      </w:pPr>
      <w:rPr>
        <w:rFonts w:hint="default"/>
        <w:lang w:val="zh-CN" w:eastAsia="zh-CN" w:bidi="zh-CN"/>
      </w:rPr>
    </w:lvl>
    <w:lvl w:ilvl="7" w:tentative="0">
      <w:start w:val="0"/>
      <w:numFmt w:val="bullet"/>
      <w:lvlText w:val="•"/>
      <w:lvlJc w:val="left"/>
      <w:pPr>
        <w:ind w:left="7450" w:hanging="600"/>
      </w:pPr>
      <w:rPr>
        <w:rFonts w:hint="default"/>
        <w:lang w:val="zh-CN" w:eastAsia="zh-CN" w:bidi="zh-CN"/>
      </w:rPr>
    </w:lvl>
    <w:lvl w:ilvl="8" w:tentative="0">
      <w:start w:val="0"/>
      <w:numFmt w:val="bullet"/>
      <w:lvlText w:val="•"/>
      <w:lvlJc w:val="left"/>
      <w:pPr>
        <w:ind w:left="8320" w:hanging="600"/>
      </w:pPr>
      <w:rPr>
        <w:rFonts w:hint="default"/>
        <w:lang w:val="zh-CN" w:eastAsia="zh-CN" w:bidi="zh-CN"/>
      </w:rPr>
    </w:lvl>
  </w:abstractNum>
  <w:abstractNum w:abstractNumId="14">
    <w:nsid w:val="0053208E"/>
    <w:multiLevelType w:val="multilevel"/>
    <w:tmpl w:val="0053208E"/>
    <w:lvl w:ilvl="0" w:tentative="0">
      <w:start w:val="1"/>
      <w:numFmt w:val="decimal"/>
      <w:lvlText w:val="（%1）"/>
      <w:lvlJc w:val="left"/>
      <w:pPr>
        <w:ind w:left="1003" w:hanging="604"/>
        <w:jc w:val="left"/>
      </w:pPr>
      <w:rPr>
        <w:rFonts w:hint="default"/>
        <w:b/>
        <w:bCs/>
        <w:w w:val="99"/>
        <w:lang w:val="zh-CN" w:eastAsia="zh-CN" w:bidi="zh-CN"/>
      </w:rPr>
    </w:lvl>
    <w:lvl w:ilvl="1" w:tentative="0">
      <w:start w:val="1"/>
      <w:numFmt w:val="lowerLetter"/>
      <w:lvlText w:val="%2."/>
      <w:lvlJc w:val="left"/>
      <w:pPr>
        <w:ind w:left="523"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006" w:hanging="243"/>
      </w:pPr>
      <w:rPr>
        <w:rFonts w:hint="default"/>
        <w:lang w:val="zh-CN" w:eastAsia="zh-CN" w:bidi="zh-CN"/>
      </w:rPr>
    </w:lvl>
    <w:lvl w:ilvl="3" w:tentative="0">
      <w:start w:val="0"/>
      <w:numFmt w:val="bullet"/>
      <w:lvlText w:val="•"/>
      <w:lvlJc w:val="left"/>
      <w:pPr>
        <w:ind w:left="3013" w:hanging="243"/>
      </w:pPr>
      <w:rPr>
        <w:rFonts w:hint="default"/>
        <w:lang w:val="zh-CN" w:eastAsia="zh-CN" w:bidi="zh-CN"/>
      </w:rPr>
    </w:lvl>
    <w:lvl w:ilvl="4" w:tentative="0">
      <w:start w:val="0"/>
      <w:numFmt w:val="bullet"/>
      <w:lvlText w:val="•"/>
      <w:lvlJc w:val="left"/>
      <w:pPr>
        <w:ind w:left="4020" w:hanging="243"/>
      </w:pPr>
      <w:rPr>
        <w:rFonts w:hint="default"/>
        <w:lang w:val="zh-CN" w:eastAsia="zh-CN" w:bidi="zh-CN"/>
      </w:rPr>
    </w:lvl>
    <w:lvl w:ilvl="5" w:tentative="0">
      <w:start w:val="0"/>
      <w:numFmt w:val="bullet"/>
      <w:lvlText w:val="•"/>
      <w:lvlJc w:val="left"/>
      <w:pPr>
        <w:ind w:left="5026" w:hanging="243"/>
      </w:pPr>
      <w:rPr>
        <w:rFonts w:hint="default"/>
        <w:lang w:val="zh-CN" w:eastAsia="zh-CN" w:bidi="zh-CN"/>
      </w:rPr>
    </w:lvl>
    <w:lvl w:ilvl="6" w:tentative="0">
      <w:start w:val="0"/>
      <w:numFmt w:val="bullet"/>
      <w:lvlText w:val="•"/>
      <w:lvlJc w:val="left"/>
      <w:pPr>
        <w:ind w:left="6033" w:hanging="243"/>
      </w:pPr>
      <w:rPr>
        <w:rFonts w:hint="default"/>
        <w:lang w:val="zh-CN" w:eastAsia="zh-CN" w:bidi="zh-CN"/>
      </w:rPr>
    </w:lvl>
    <w:lvl w:ilvl="7" w:tentative="0">
      <w:start w:val="0"/>
      <w:numFmt w:val="bullet"/>
      <w:lvlText w:val="•"/>
      <w:lvlJc w:val="left"/>
      <w:pPr>
        <w:ind w:left="7040" w:hanging="243"/>
      </w:pPr>
      <w:rPr>
        <w:rFonts w:hint="default"/>
        <w:lang w:val="zh-CN" w:eastAsia="zh-CN" w:bidi="zh-CN"/>
      </w:rPr>
    </w:lvl>
    <w:lvl w:ilvl="8" w:tentative="0">
      <w:start w:val="0"/>
      <w:numFmt w:val="bullet"/>
      <w:lvlText w:val="•"/>
      <w:lvlJc w:val="left"/>
      <w:pPr>
        <w:ind w:left="8046" w:hanging="243"/>
      </w:pPr>
      <w:rPr>
        <w:rFonts w:hint="default"/>
        <w:lang w:val="zh-CN" w:eastAsia="zh-CN" w:bidi="zh-CN"/>
      </w:rPr>
    </w:lvl>
  </w:abstractNum>
  <w:abstractNum w:abstractNumId="15">
    <w:nsid w:val="0248C179"/>
    <w:multiLevelType w:val="multilevel"/>
    <w:tmpl w:val="0248C179"/>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17">
    <w:nsid w:val="1ACDE60F"/>
    <w:multiLevelType w:val="multilevel"/>
    <w:tmpl w:val="1ACDE60F"/>
    <w:lvl w:ilvl="0" w:tentative="0">
      <w:start w:val="1"/>
      <w:numFmt w:val="decimal"/>
      <w:lvlText w:val="（%1）"/>
      <w:lvlJc w:val="left"/>
      <w:pPr>
        <w:ind w:left="900" w:hanging="617"/>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816" w:hanging="617"/>
      </w:pPr>
      <w:rPr>
        <w:rFonts w:hint="default"/>
        <w:lang w:val="zh-CN" w:eastAsia="zh-CN" w:bidi="zh-CN"/>
      </w:rPr>
    </w:lvl>
    <w:lvl w:ilvl="2" w:tentative="0">
      <w:start w:val="0"/>
      <w:numFmt w:val="bullet"/>
      <w:lvlText w:val="•"/>
      <w:lvlJc w:val="left"/>
      <w:pPr>
        <w:ind w:left="2732" w:hanging="617"/>
      </w:pPr>
      <w:rPr>
        <w:rFonts w:hint="default"/>
        <w:lang w:val="zh-CN" w:eastAsia="zh-CN" w:bidi="zh-CN"/>
      </w:rPr>
    </w:lvl>
    <w:lvl w:ilvl="3" w:tentative="0">
      <w:start w:val="0"/>
      <w:numFmt w:val="bullet"/>
      <w:lvlText w:val="•"/>
      <w:lvlJc w:val="left"/>
      <w:pPr>
        <w:ind w:left="3648" w:hanging="617"/>
      </w:pPr>
      <w:rPr>
        <w:rFonts w:hint="default"/>
        <w:lang w:val="zh-CN" w:eastAsia="zh-CN" w:bidi="zh-CN"/>
      </w:rPr>
    </w:lvl>
    <w:lvl w:ilvl="4" w:tentative="0">
      <w:start w:val="0"/>
      <w:numFmt w:val="bullet"/>
      <w:lvlText w:val="•"/>
      <w:lvlJc w:val="left"/>
      <w:pPr>
        <w:ind w:left="4564" w:hanging="617"/>
      </w:pPr>
      <w:rPr>
        <w:rFonts w:hint="default"/>
        <w:lang w:val="zh-CN" w:eastAsia="zh-CN" w:bidi="zh-CN"/>
      </w:rPr>
    </w:lvl>
    <w:lvl w:ilvl="5" w:tentative="0">
      <w:start w:val="0"/>
      <w:numFmt w:val="bullet"/>
      <w:lvlText w:val="•"/>
      <w:lvlJc w:val="left"/>
      <w:pPr>
        <w:ind w:left="5480" w:hanging="617"/>
      </w:pPr>
      <w:rPr>
        <w:rFonts w:hint="default"/>
        <w:lang w:val="zh-CN" w:eastAsia="zh-CN" w:bidi="zh-CN"/>
      </w:rPr>
    </w:lvl>
    <w:lvl w:ilvl="6" w:tentative="0">
      <w:start w:val="0"/>
      <w:numFmt w:val="bullet"/>
      <w:lvlText w:val="•"/>
      <w:lvlJc w:val="left"/>
      <w:pPr>
        <w:ind w:left="6396" w:hanging="617"/>
      </w:pPr>
      <w:rPr>
        <w:rFonts w:hint="default"/>
        <w:lang w:val="zh-CN" w:eastAsia="zh-CN" w:bidi="zh-CN"/>
      </w:rPr>
    </w:lvl>
    <w:lvl w:ilvl="7" w:tentative="0">
      <w:start w:val="0"/>
      <w:numFmt w:val="bullet"/>
      <w:lvlText w:val="•"/>
      <w:lvlJc w:val="left"/>
      <w:pPr>
        <w:ind w:left="7312" w:hanging="617"/>
      </w:pPr>
      <w:rPr>
        <w:rFonts w:hint="default"/>
        <w:lang w:val="zh-CN" w:eastAsia="zh-CN" w:bidi="zh-CN"/>
      </w:rPr>
    </w:lvl>
    <w:lvl w:ilvl="8" w:tentative="0">
      <w:start w:val="0"/>
      <w:numFmt w:val="bullet"/>
      <w:lvlText w:val="•"/>
      <w:lvlJc w:val="left"/>
      <w:pPr>
        <w:ind w:left="8228" w:hanging="617"/>
      </w:pPr>
      <w:rPr>
        <w:rFonts w:hint="default"/>
        <w:lang w:val="zh-CN" w:eastAsia="zh-CN" w:bidi="zh-CN"/>
      </w:rPr>
    </w:lvl>
  </w:abstractNum>
  <w:abstractNum w:abstractNumId="18">
    <w:nsid w:val="2292EF25"/>
    <w:multiLevelType w:val="singleLevel"/>
    <w:tmpl w:val="2292EF25"/>
    <w:lvl w:ilvl="0" w:tentative="0">
      <w:start w:val="1"/>
      <w:numFmt w:val="decimal"/>
      <w:suff w:val="space"/>
      <w:lvlText w:val="%1."/>
      <w:lvlJc w:val="left"/>
    </w:lvl>
  </w:abstractNum>
  <w:abstractNum w:abstractNumId="19">
    <w:nsid w:val="2470EC97"/>
    <w:multiLevelType w:val="multilevel"/>
    <w:tmpl w:val="2470EC97"/>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20">
    <w:nsid w:val="25B654F3"/>
    <w:multiLevelType w:val="multilevel"/>
    <w:tmpl w:val="25B654F3"/>
    <w:lvl w:ilvl="0" w:tentative="0">
      <w:start w:val="1"/>
      <w:numFmt w:val="decimal"/>
      <w:lvlText w:val="（%1）"/>
      <w:lvlJc w:val="left"/>
      <w:pPr>
        <w:ind w:left="1366"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22">
    <w:nsid w:val="4D4DC07F"/>
    <w:multiLevelType w:val="multilevel"/>
    <w:tmpl w:val="4D4DC07F"/>
    <w:lvl w:ilvl="0" w:tentative="0">
      <w:start w:val="3"/>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abstractNum w:abstractNumId="23">
    <w:nsid w:val="59ADCABA"/>
    <w:multiLevelType w:val="multilevel"/>
    <w:tmpl w:val="59ADCABA"/>
    <w:lvl w:ilvl="0" w:tentative="0">
      <w:start w:val="1"/>
      <w:numFmt w:val="decimal"/>
      <w:lvlText w:val="%1."/>
      <w:lvlJc w:val="left"/>
      <w:pPr>
        <w:ind w:left="645" w:hanging="363"/>
        <w:jc w:val="left"/>
      </w:pPr>
      <w:rPr>
        <w:rFonts w:hint="default"/>
        <w:b/>
        <w:bCs/>
        <w:w w:val="99"/>
        <w:lang w:val="zh-CN" w:eastAsia="zh-CN" w:bidi="zh-CN"/>
      </w:rPr>
    </w:lvl>
    <w:lvl w:ilvl="1" w:tentative="0">
      <w:start w:val="1"/>
      <w:numFmt w:val="decimal"/>
      <w:lvlText w:val="%1.%2"/>
      <w:lvlJc w:val="left"/>
      <w:pPr>
        <w:ind w:left="1303" w:hanging="540"/>
        <w:jc w:val="left"/>
      </w:pPr>
      <w:rPr>
        <w:rFonts w:hint="default"/>
        <w:w w:val="100"/>
        <w:lang w:val="zh-CN" w:eastAsia="zh-CN" w:bidi="zh-CN"/>
      </w:rPr>
    </w:lvl>
    <w:lvl w:ilvl="2" w:tentative="0">
      <w:start w:val="1"/>
      <w:numFmt w:val="decimal"/>
      <w:lvlText w:val="%1.%2.%3"/>
      <w:lvlJc w:val="left"/>
      <w:pPr>
        <w:ind w:left="283" w:hanging="780"/>
        <w:jc w:val="left"/>
      </w:pPr>
      <w:rPr>
        <w:rFonts w:hint="default"/>
        <w:w w:val="100"/>
        <w:lang w:val="zh-CN" w:eastAsia="zh-CN" w:bidi="zh-CN"/>
      </w:rPr>
    </w:lvl>
    <w:lvl w:ilvl="3" w:tentative="0">
      <w:start w:val="0"/>
      <w:numFmt w:val="bullet"/>
      <w:lvlText w:val="•"/>
      <w:lvlJc w:val="left"/>
      <w:pPr>
        <w:ind w:left="1240" w:hanging="780"/>
      </w:pPr>
      <w:rPr>
        <w:rFonts w:hint="default"/>
        <w:lang w:val="zh-CN" w:eastAsia="zh-CN" w:bidi="zh-CN"/>
      </w:rPr>
    </w:lvl>
    <w:lvl w:ilvl="4" w:tentative="0">
      <w:start w:val="0"/>
      <w:numFmt w:val="bullet"/>
      <w:lvlText w:val="•"/>
      <w:lvlJc w:val="left"/>
      <w:pPr>
        <w:ind w:left="1300" w:hanging="780"/>
      </w:pPr>
      <w:rPr>
        <w:rFonts w:hint="default"/>
        <w:lang w:val="zh-CN" w:eastAsia="zh-CN" w:bidi="zh-CN"/>
      </w:rPr>
    </w:lvl>
    <w:lvl w:ilvl="5" w:tentative="0">
      <w:start w:val="0"/>
      <w:numFmt w:val="bullet"/>
      <w:lvlText w:val="•"/>
      <w:lvlJc w:val="left"/>
      <w:pPr>
        <w:ind w:left="1360" w:hanging="780"/>
      </w:pPr>
      <w:rPr>
        <w:rFonts w:hint="default"/>
        <w:lang w:val="zh-CN" w:eastAsia="zh-CN" w:bidi="zh-CN"/>
      </w:rPr>
    </w:lvl>
    <w:lvl w:ilvl="6" w:tentative="0">
      <w:start w:val="0"/>
      <w:numFmt w:val="bullet"/>
      <w:lvlText w:val="•"/>
      <w:lvlJc w:val="left"/>
      <w:pPr>
        <w:ind w:left="1600" w:hanging="780"/>
      </w:pPr>
      <w:rPr>
        <w:rFonts w:hint="default"/>
        <w:lang w:val="zh-CN" w:eastAsia="zh-CN" w:bidi="zh-CN"/>
      </w:rPr>
    </w:lvl>
    <w:lvl w:ilvl="7" w:tentative="0">
      <w:start w:val="0"/>
      <w:numFmt w:val="bullet"/>
      <w:lvlText w:val="•"/>
      <w:lvlJc w:val="left"/>
      <w:pPr>
        <w:ind w:left="3715" w:hanging="780"/>
      </w:pPr>
      <w:rPr>
        <w:rFonts w:hint="default"/>
        <w:lang w:val="zh-CN" w:eastAsia="zh-CN" w:bidi="zh-CN"/>
      </w:rPr>
    </w:lvl>
    <w:lvl w:ilvl="8" w:tentative="0">
      <w:start w:val="0"/>
      <w:numFmt w:val="bullet"/>
      <w:lvlText w:val="•"/>
      <w:lvlJc w:val="left"/>
      <w:pPr>
        <w:ind w:left="5830" w:hanging="780"/>
      </w:pPr>
      <w:rPr>
        <w:rFonts w:hint="default"/>
        <w:lang w:val="zh-CN" w:eastAsia="zh-CN" w:bidi="zh-CN"/>
      </w:rPr>
    </w:lvl>
  </w:abstractNum>
  <w:abstractNum w:abstractNumId="24">
    <w:nsid w:val="5A241D34"/>
    <w:multiLevelType w:val="multilevel"/>
    <w:tmpl w:val="5A241D34"/>
    <w:lvl w:ilvl="0" w:tentative="0">
      <w:start w:val="1"/>
      <w:numFmt w:val="decimal"/>
      <w:lvlText w:val="（%1）"/>
      <w:lvlJc w:val="left"/>
      <w:pPr>
        <w:ind w:left="283" w:hanging="620"/>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258" w:hanging="620"/>
      </w:pPr>
      <w:rPr>
        <w:rFonts w:hint="default"/>
        <w:lang w:val="zh-CN" w:eastAsia="zh-CN" w:bidi="zh-CN"/>
      </w:rPr>
    </w:lvl>
    <w:lvl w:ilvl="2" w:tentative="0">
      <w:start w:val="0"/>
      <w:numFmt w:val="bullet"/>
      <w:lvlText w:val="•"/>
      <w:lvlJc w:val="left"/>
      <w:pPr>
        <w:ind w:left="2236" w:hanging="620"/>
      </w:pPr>
      <w:rPr>
        <w:rFonts w:hint="default"/>
        <w:lang w:val="zh-CN" w:eastAsia="zh-CN" w:bidi="zh-CN"/>
      </w:rPr>
    </w:lvl>
    <w:lvl w:ilvl="3" w:tentative="0">
      <w:start w:val="0"/>
      <w:numFmt w:val="bullet"/>
      <w:lvlText w:val="•"/>
      <w:lvlJc w:val="left"/>
      <w:pPr>
        <w:ind w:left="3214" w:hanging="620"/>
      </w:pPr>
      <w:rPr>
        <w:rFonts w:hint="default"/>
        <w:lang w:val="zh-CN" w:eastAsia="zh-CN" w:bidi="zh-CN"/>
      </w:rPr>
    </w:lvl>
    <w:lvl w:ilvl="4" w:tentative="0">
      <w:start w:val="0"/>
      <w:numFmt w:val="bullet"/>
      <w:lvlText w:val="•"/>
      <w:lvlJc w:val="left"/>
      <w:pPr>
        <w:ind w:left="4192" w:hanging="620"/>
      </w:pPr>
      <w:rPr>
        <w:rFonts w:hint="default"/>
        <w:lang w:val="zh-CN" w:eastAsia="zh-CN" w:bidi="zh-CN"/>
      </w:rPr>
    </w:lvl>
    <w:lvl w:ilvl="5" w:tentative="0">
      <w:start w:val="0"/>
      <w:numFmt w:val="bullet"/>
      <w:lvlText w:val="•"/>
      <w:lvlJc w:val="left"/>
      <w:pPr>
        <w:ind w:left="5170" w:hanging="620"/>
      </w:pPr>
      <w:rPr>
        <w:rFonts w:hint="default"/>
        <w:lang w:val="zh-CN" w:eastAsia="zh-CN" w:bidi="zh-CN"/>
      </w:rPr>
    </w:lvl>
    <w:lvl w:ilvl="6" w:tentative="0">
      <w:start w:val="0"/>
      <w:numFmt w:val="bullet"/>
      <w:lvlText w:val="•"/>
      <w:lvlJc w:val="left"/>
      <w:pPr>
        <w:ind w:left="6148" w:hanging="620"/>
      </w:pPr>
      <w:rPr>
        <w:rFonts w:hint="default"/>
        <w:lang w:val="zh-CN" w:eastAsia="zh-CN" w:bidi="zh-CN"/>
      </w:rPr>
    </w:lvl>
    <w:lvl w:ilvl="7" w:tentative="0">
      <w:start w:val="0"/>
      <w:numFmt w:val="bullet"/>
      <w:lvlText w:val="•"/>
      <w:lvlJc w:val="left"/>
      <w:pPr>
        <w:ind w:left="7126" w:hanging="620"/>
      </w:pPr>
      <w:rPr>
        <w:rFonts w:hint="default"/>
        <w:lang w:val="zh-CN" w:eastAsia="zh-CN" w:bidi="zh-CN"/>
      </w:rPr>
    </w:lvl>
    <w:lvl w:ilvl="8" w:tentative="0">
      <w:start w:val="0"/>
      <w:numFmt w:val="bullet"/>
      <w:lvlText w:val="•"/>
      <w:lvlJc w:val="left"/>
      <w:pPr>
        <w:ind w:left="8104" w:hanging="620"/>
      </w:pPr>
      <w:rPr>
        <w:rFonts w:hint="default"/>
        <w:lang w:val="zh-CN" w:eastAsia="zh-CN" w:bidi="zh-CN"/>
      </w:rPr>
    </w:lvl>
  </w:abstractNum>
  <w:abstractNum w:abstractNumId="25">
    <w:nsid w:val="5D6F4678"/>
    <w:multiLevelType w:val="singleLevel"/>
    <w:tmpl w:val="5D6F4678"/>
    <w:lvl w:ilvl="0" w:tentative="0">
      <w:start w:val="1"/>
      <w:numFmt w:val="decimal"/>
      <w:suff w:val="space"/>
      <w:lvlText w:val="%1."/>
      <w:lvlJc w:val="left"/>
    </w:lvl>
  </w:abstractNum>
  <w:abstractNum w:abstractNumId="26">
    <w:nsid w:val="5DDE6C6D"/>
    <w:multiLevelType w:val="singleLevel"/>
    <w:tmpl w:val="5DDE6C6D"/>
    <w:lvl w:ilvl="0" w:tentative="0">
      <w:start w:val="1"/>
      <w:numFmt w:val="decimal"/>
      <w:suff w:val="nothing"/>
      <w:lvlText w:val="%1、"/>
      <w:lvlJc w:val="left"/>
    </w:lvl>
  </w:abstractNum>
  <w:abstractNum w:abstractNumId="27">
    <w:nsid w:val="5E29AB5A"/>
    <w:multiLevelType w:val="multilevel"/>
    <w:tmpl w:val="5E29AB5A"/>
    <w:lvl w:ilvl="0" w:tentative="0">
      <w:start w:val="1"/>
      <w:numFmt w:val="decimal"/>
      <w:lvlText w:val="（%1）"/>
      <w:lvlJc w:val="left"/>
      <w:pPr>
        <w:ind w:left="1476" w:hanging="648"/>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2338" w:hanging="648"/>
      </w:pPr>
      <w:rPr>
        <w:rFonts w:hint="default"/>
        <w:lang w:val="zh-CN" w:eastAsia="zh-CN" w:bidi="zh-CN"/>
      </w:rPr>
    </w:lvl>
    <w:lvl w:ilvl="2" w:tentative="0">
      <w:start w:val="0"/>
      <w:numFmt w:val="bullet"/>
      <w:lvlText w:val="•"/>
      <w:lvlJc w:val="left"/>
      <w:pPr>
        <w:ind w:left="3196" w:hanging="648"/>
      </w:pPr>
      <w:rPr>
        <w:rFonts w:hint="default"/>
        <w:lang w:val="zh-CN" w:eastAsia="zh-CN" w:bidi="zh-CN"/>
      </w:rPr>
    </w:lvl>
    <w:lvl w:ilvl="3" w:tentative="0">
      <w:start w:val="0"/>
      <w:numFmt w:val="bullet"/>
      <w:lvlText w:val="•"/>
      <w:lvlJc w:val="left"/>
      <w:pPr>
        <w:ind w:left="4054" w:hanging="648"/>
      </w:pPr>
      <w:rPr>
        <w:rFonts w:hint="default"/>
        <w:lang w:val="zh-CN" w:eastAsia="zh-CN" w:bidi="zh-CN"/>
      </w:rPr>
    </w:lvl>
    <w:lvl w:ilvl="4" w:tentative="0">
      <w:start w:val="0"/>
      <w:numFmt w:val="bullet"/>
      <w:lvlText w:val="•"/>
      <w:lvlJc w:val="left"/>
      <w:pPr>
        <w:ind w:left="4912" w:hanging="648"/>
      </w:pPr>
      <w:rPr>
        <w:rFonts w:hint="default"/>
        <w:lang w:val="zh-CN" w:eastAsia="zh-CN" w:bidi="zh-CN"/>
      </w:rPr>
    </w:lvl>
    <w:lvl w:ilvl="5" w:tentative="0">
      <w:start w:val="0"/>
      <w:numFmt w:val="bullet"/>
      <w:lvlText w:val="•"/>
      <w:lvlJc w:val="left"/>
      <w:pPr>
        <w:ind w:left="5770" w:hanging="648"/>
      </w:pPr>
      <w:rPr>
        <w:rFonts w:hint="default"/>
        <w:lang w:val="zh-CN" w:eastAsia="zh-CN" w:bidi="zh-CN"/>
      </w:rPr>
    </w:lvl>
    <w:lvl w:ilvl="6" w:tentative="0">
      <w:start w:val="0"/>
      <w:numFmt w:val="bullet"/>
      <w:lvlText w:val="•"/>
      <w:lvlJc w:val="left"/>
      <w:pPr>
        <w:ind w:left="6628" w:hanging="648"/>
      </w:pPr>
      <w:rPr>
        <w:rFonts w:hint="default"/>
        <w:lang w:val="zh-CN" w:eastAsia="zh-CN" w:bidi="zh-CN"/>
      </w:rPr>
    </w:lvl>
    <w:lvl w:ilvl="7" w:tentative="0">
      <w:start w:val="0"/>
      <w:numFmt w:val="bullet"/>
      <w:lvlText w:val="•"/>
      <w:lvlJc w:val="left"/>
      <w:pPr>
        <w:ind w:left="7486" w:hanging="648"/>
      </w:pPr>
      <w:rPr>
        <w:rFonts w:hint="default"/>
        <w:lang w:val="zh-CN" w:eastAsia="zh-CN" w:bidi="zh-CN"/>
      </w:rPr>
    </w:lvl>
    <w:lvl w:ilvl="8" w:tentative="0">
      <w:start w:val="0"/>
      <w:numFmt w:val="bullet"/>
      <w:lvlText w:val="•"/>
      <w:lvlJc w:val="left"/>
      <w:pPr>
        <w:ind w:left="8344" w:hanging="648"/>
      </w:pPr>
      <w:rPr>
        <w:rFonts w:hint="default"/>
        <w:lang w:val="zh-CN" w:eastAsia="zh-CN" w:bidi="zh-CN"/>
      </w:rPr>
    </w:lvl>
  </w:abstractNum>
  <w:abstractNum w:abstractNumId="28">
    <w:nsid w:val="72183CF9"/>
    <w:multiLevelType w:val="multilevel"/>
    <w:tmpl w:val="72183CF9"/>
    <w:lvl w:ilvl="0" w:tentative="0">
      <w:start w:val="1"/>
      <w:numFmt w:val="decimal"/>
      <w:lvlText w:val="（%1）"/>
      <w:lvlJc w:val="left"/>
      <w:pPr>
        <w:ind w:left="136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30" w:hanging="601"/>
      </w:pPr>
      <w:rPr>
        <w:rFonts w:hint="default"/>
        <w:lang w:val="zh-CN" w:eastAsia="zh-CN" w:bidi="zh-CN"/>
      </w:rPr>
    </w:lvl>
    <w:lvl w:ilvl="2" w:tentative="0">
      <w:start w:val="0"/>
      <w:numFmt w:val="bullet"/>
      <w:lvlText w:val="•"/>
      <w:lvlJc w:val="left"/>
      <w:pPr>
        <w:ind w:left="3100" w:hanging="601"/>
      </w:pPr>
      <w:rPr>
        <w:rFonts w:hint="default"/>
        <w:lang w:val="zh-CN" w:eastAsia="zh-CN" w:bidi="zh-CN"/>
      </w:rPr>
    </w:lvl>
    <w:lvl w:ilvl="3" w:tentative="0">
      <w:start w:val="0"/>
      <w:numFmt w:val="bullet"/>
      <w:lvlText w:val="•"/>
      <w:lvlJc w:val="left"/>
      <w:pPr>
        <w:ind w:left="3970" w:hanging="601"/>
      </w:pPr>
      <w:rPr>
        <w:rFonts w:hint="default"/>
        <w:lang w:val="zh-CN" w:eastAsia="zh-CN" w:bidi="zh-CN"/>
      </w:rPr>
    </w:lvl>
    <w:lvl w:ilvl="4" w:tentative="0">
      <w:start w:val="0"/>
      <w:numFmt w:val="bullet"/>
      <w:lvlText w:val="•"/>
      <w:lvlJc w:val="left"/>
      <w:pPr>
        <w:ind w:left="4840" w:hanging="601"/>
      </w:pPr>
      <w:rPr>
        <w:rFonts w:hint="default"/>
        <w:lang w:val="zh-CN" w:eastAsia="zh-CN" w:bidi="zh-CN"/>
      </w:rPr>
    </w:lvl>
    <w:lvl w:ilvl="5" w:tentative="0">
      <w:start w:val="0"/>
      <w:numFmt w:val="bullet"/>
      <w:lvlText w:val="•"/>
      <w:lvlJc w:val="left"/>
      <w:pPr>
        <w:ind w:left="5710" w:hanging="601"/>
      </w:pPr>
      <w:rPr>
        <w:rFonts w:hint="default"/>
        <w:lang w:val="zh-CN" w:eastAsia="zh-CN" w:bidi="zh-CN"/>
      </w:rPr>
    </w:lvl>
    <w:lvl w:ilvl="6" w:tentative="0">
      <w:start w:val="0"/>
      <w:numFmt w:val="bullet"/>
      <w:lvlText w:val="•"/>
      <w:lvlJc w:val="left"/>
      <w:pPr>
        <w:ind w:left="6580" w:hanging="601"/>
      </w:pPr>
      <w:rPr>
        <w:rFonts w:hint="default"/>
        <w:lang w:val="zh-CN" w:eastAsia="zh-CN" w:bidi="zh-CN"/>
      </w:rPr>
    </w:lvl>
    <w:lvl w:ilvl="7" w:tentative="0">
      <w:start w:val="0"/>
      <w:numFmt w:val="bullet"/>
      <w:lvlText w:val="•"/>
      <w:lvlJc w:val="left"/>
      <w:pPr>
        <w:ind w:left="7450" w:hanging="601"/>
      </w:pPr>
      <w:rPr>
        <w:rFonts w:hint="default"/>
        <w:lang w:val="zh-CN" w:eastAsia="zh-CN" w:bidi="zh-CN"/>
      </w:rPr>
    </w:lvl>
    <w:lvl w:ilvl="8" w:tentative="0">
      <w:start w:val="0"/>
      <w:numFmt w:val="bullet"/>
      <w:lvlText w:val="•"/>
      <w:lvlJc w:val="left"/>
      <w:pPr>
        <w:ind w:left="8320" w:hanging="601"/>
      </w:pPr>
      <w:rPr>
        <w:rFonts w:hint="default"/>
        <w:lang w:val="zh-CN" w:eastAsia="zh-CN" w:bidi="zh-CN"/>
      </w:rPr>
    </w:lvl>
  </w:abstractNum>
  <w:num w:numId="1">
    <w:abstractNumId w:val="14"/>
  </w:num>
  <w:num w:numId="2">
    <w:abstractNumId w:val="10"/>
  </w:num>
  <w:num w:numId="3">
    <w:abstractNumId w:val="23"/>
  </w:num>
  <w:num w:numId="4">
    <w:abstractNumId w:val="7"/>
  </w:num>
  <w:num w:numId="5">
    <w:abstractNumId w:val="5"/>
  </w:num>
  <w:num w:numId="6">
    <w:abstractNumId w:val="16"/>
  </w:num>
  <w:num w:numId="7">
    <w:abstractNumId w:val="20"/>
  </w:num>
  <w:num w:numId="8">
    <w:abstractNumId w:val="28"/>
  </w:num>
  <w:num w:numId="9">
    <w:abstractNumId w:val="15"/>
  </w:num>
  <w:num w:numId="10">
    <w:abstractNumId w:val="3"/>
  </w:num>
  <w:num w:numId="11">
    <w:abstractNumId w:val="21"/>
  </w:num>
  <w:num w:numId="12">
    <w:abstractNumId w:val="24"/>
  </w:num>
  <w:num w:numId="13">
    <w:abstractNumId w:val="9"/>
  </w:num>
  <w:num w:numId="14">
    <w:abstractNumId w:val="22"/>
  </w:num>
  <w:num w:numId="15">
    <w:abstractNumId w:val="13"/>
  </w:num>
  <w:num w:numId="16">
    <w:abstractNumId w:val="19"/>
  </w:num>
  <w:num w:numId="17">
    <w:abstractNumId w:val="12"/>
  </w:num>
  <w:num w:numId="18">
    <w:abstractNumId w:val="11"/>
  </w:num>
  <w:num w:numId="19">
    <w:abstractNumId w:val="26"/>
  </w:num>
  <w:num w:numId="20">
    <w:abstractNumId w:val="8"/>
  </w:num>
  <w:num w:numId="21">
    <w:abstractNumId w:val="18"/>
  </w:num>
  <w:num w:numId="22">
    <w:abstractNumId w:val="25"/>
  </w:num>
  <w:num w:numId="23">
    <w:abstractNumId w:val="4"/>
  </w:num>
  <w:num w:numId="24">
    <w:abstractNumId w:val="2"/>
  </w:num>
  <w:num w:numId="25">
    <w:abstractNumId w:val="6"/>
  </w:num>
  <w:num w:numId="26">
    <w:abstractNumId w:val="27"/>
  </w:num>
  <w:num w:numId="27">
    <w:abstractNumId w:val="0"/>
  </w:num>
  <w:num w:numId="28">
    <w:abstractNumId w:val="17"/>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7465">
    <w15:presenceInfo w15:providerId="None" w15:userId="47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518DC"/>
    <w:rsid w:val="153D74AB"/>
    <w:rsid w:val="1824318E"/>
    <w:rsid w:val="1AB21A67"/>
    <w:rsid w:val="2F5740CD"/>
    <w:rsid w:val="37A91C7F"/>
    <w:rsid w:val="3F8677A8"/>
    <w:rsid w:val="3FDC76A8"/>
    <w:rsid w:val="4322695F"/>
    <w:rsid w:val="49BF7AE0"/>
    <w:rsid w:val="4A9654EF"/>
    <w:rsid w:val="53E73F3D"/>
    <w:rsid w:val="6C783A42"/>
    <w:rsid w:val="6EB971E8"/>
    <w:rsid w:val="79DC5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36"/>
      <w:ind w:right="23"/>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spacing w:before="38"/>
      <w:ind w:right="28"/>
      <w:jc w:val="left"/>
      <w:outlineLvl w:val="1"/>
    </w:pPr>
    <w:rPr>
      <w:b/>
      <w:bCs/>
      <w:sz w:val="32"/>
      <w:szCs w:val="32"/>
    </w:rPr>
  </w:style>
  <w:style w:type="paragraph" w:styleId="6">
    <w:name w:val="heading 3"/>
    <w:basedOn w:val="1"/>
    <w:next w:val="1"/>
    <w:qFormat/>
    <w:uiPriority w:val="1"/>
    <w:pPr>
      <w:spacing w:before="1"/>
      <w:outlineLvl w:val="3"/>
    </w:pPr>
    <w:rPr>
      <w:rFonts w:ascii="宋体" w:hAnsi="宋体" w:eastAsia="宋体" w:cs="宋体"/>
      <w:b/>
      <w:bCs/>
      <w:sz w:val="30"/>
      <w:szCs w:val="30"/>
      <w:lang w:val="zh-CN" w:eastAsia="zh-CN" w:bidi="zh-CN"/>
    </w:rPr>
  </w:style>
  <w:style w:type="paragraph" w:styleId="7">
    <w:name w:val="heading 4"/>
    <w:basedOn w:val="1"/>
    <w:next w:val="1"/>
    <w:qFormat/>
    <w:uiPriority w:val="1"/>
    <w:pPr>
      <w:spacing w:before="37"/>
      <w:ind w:right="30"/>
      <w:jc w:val="center"/>
      <w:outlineLvl w:val="4"/>
    </w:pPr>
    <w:rPr>
      <w:rFonts w:ascii="宋体" w:hAnsi="宋体" w:eastAsia="宋体" w:cs="宋体"/>
      <w:b/>
      <w:bCs/>
      <w:sz w:val="28"/>
      <w:szCs w:val="28"/>
      <w:lang w:val="zh-CN" w:eastAsia="zh-CN" w:bidi="zh-CN"/>
    </w:rPr>
  </w:style>
  <w:style w:type="paragraph" w:styleId="8">
    <w:name w:val="heading 5"/>
    <w:basedOn w:val="1"/>
    <w:next w:val="1"/>
    <w:qFormat/>
    <w:uiPriority w:val="1"/>
    <w:pPr>
      <w:spacing w:before="37"/>
      <w:ind w:right="78"/>
      <w:jc w:val="center"/>
      <w:outlineLvl w:val="5"/>
    </w:pPr>
    <w:rPr>
      <w:rFonts w:ascii="宋体" w:hAnsi="宋体" w:eastAsia="宋体" w:cs="宋体"/>
      <w:sz w:val="28"/>
      <w:szCs w:val="28"/>
      <w:lang w:val="zh-CN" w:eastAsia="zh-CN" w:bidi="zh-CN"/>
    </w:rPr>
  </w:style>
  <w:style w:type="paragraph" w:styleId="9">
    <w:name w:val="heading 6"/>
    <w:basedOn w:val="1"/>
    <w:next w:val="1"/>
    <w:qFormat/>
    <w:uiPriority w:val="1"/>
    <w:pPr>
      <w:ind w:left="283"/>
      <w:outlineLvl w:val="6"/>
    </w:pPr>
    <w:rPr>
      <w:rFonts w:ascii="宋体" w:hAnsi="宋体" w:eastAsia="宋体" w:cs="宋体"/>
      <w:b/>
      <w:bCs/>
      <w:sz w:val="24"/>
      <w:szCs w:val="24"/>
      <w:lang w:val="zh-CN" w:eastAsia="zh-CN" w:bidi="zh-CN"/>
    </w:rPr>
  </w:style>
  <w:style w:type="character" w:default="1" w:styleId="17">
    <w:name w:val="Default Paragraph Font"/>
    <w:semiHidden/>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qFormat/>
    <w:uiPriority w:val="1"/>
    <w:pPr>
      <w:ind w:left="283"/>
    </w:pPr>
    <w:rPr>
      <w:rFonts w:ascii="宋体" w:hAnsi="宋体" w:eastAsia="宋体" w:cs="宋体"/>
      <w:sz w:val="24"/>
      <w:szCs w:val="24"/>
      <w:lang w:val="zh-CN" w:eastAsia="zh-CN" w:bidi="zh-CN"/>
    </w:rPr>
  </w:style>
  <w:style w:type="paragraph" w:styleId="10">
    <w:name w:val="annotation text"/>
    <w:basedOn w:val="1"/>
    <w:unhideWhenUsed/>
    <w:qFormat/>
    <w:uiPriority w:val="99"/>
    <w:pPr>
      <w:adjustRightInd w:val="0"/>
      <w:jc w:val="left"/>
    </w:pPr>
    <w:rPr>
      <w:rFonts w:asciiTheme="minorHAnsi" w:hAnsiTheme="minorHAnsi" w:eastAsiaTheme="minorEastAsia" w:cstheme="minorBidi"/>
      <w:sz w:val="21"/>
    </w:rPr>
  </w:style>
  <w:style w:type="paragraph" w:styleId="11">
    <w:name w:val="Body Text Indent"/>
    <w:basedOn w:val="1"/>
    <w:qFormat/>
    <w:uiPriority w:val="0"/>
    <w:pPr>
      <w:spacing w:line="200" w:lineRule="atLeast"/>
      <w:ind w:firstLine="301"/>
    </w:pPr>
    <w:rPr>
      <w:rFonts w:ascii="宋体" w:hAnsi="Courier New" w:cs="Times New Roman"/>
      <w:spacing w:val="-4"/>
      <w:sz w:val="18"/>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qFormat/>
    <w:uiPriority w:val="1"/>
    <w:pPr>
      <w:spacing w:before="186"/>
      <w:ind w:right="142"/>
      <w:jc w:val="right"/>
    </w:pPr>
    <w:rPr>
      <w:rFonts w:ascii="宋体" w:hAnsi="宋体" w:eastAsia="宋体" w:cs="宋体"/>
      <w:b/>
      <w:bCs/>
      <w:sz w:val="28"/>
      <w:szCs w:val="28"/>
      <w:lang w:val="zh-CN" w:eastAsia="zh-CN" w:bidi="zh-CN"/>
    </w:rPr>
  </w:style>
  <w:style w:type="paragraph" w:styleId="15">
    <w:name w:val="toc 2"/>
    <w:basedOn w:val="1"/>
    <w:next w:val="1"/>
    <w:qFormat/>
    <w:uiPriority w:val="1"/>
    <w:pPr>
      <w:spacing w:before="186"/>
      <w:ind w:right="139"/>
      <w:jc w:val="right"/>
    </w:pPr>
    <w:rPr>
      <w:rFonts w:ascii="宋体" w:hAnsi="宋体" w:eastAsia="宋体" w:cs="宋体"/>
      <w:sz w:val="28"/>
      <w:szCs w:val="28"/>
      <w:lang w:val="zh-CN" w:eastAsia="zh-CN" w:bidi="zh-CN"/>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83" w:firstLine="48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22">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3">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4">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25">
    <w:name w:val="WPSOffice手动目录 2"/>
    <w:uiPriority w:val="0"/>
    <w:pPr>
      <w:ind w:leftChars="200"/>
    </w:pPr>
    <w:rPr>
      <w:rFonts w:ascii="Calibri" w:hAnsi="Calibri" w:eastAsia="宋体" w:cs="Times New Roman"/>
      <w:sz w:val="20"/>
      <w:szCs w:val="20"/>
    </w:rPr>
  </w:style>
  <w:style w:type="paragraph" w:customStyle="1" w:styleId="26">
    <w:name w:val="WPSOffice手动目录 1"/>
    <w:uiPriority w:val="0"/>
    <w:pPr>
      <w:ind w:leftChars="0"/>
    </w:pPr>
    <w:rPr>
      <w:rFonts w:ascii="Calibri" w:hAnsi="Calibri" w:eastAsia="宋体" w:cs="Times New Roman"/>
      <w:sz w:val="20"/>
      <w:szCs w:val="20"/>
    </w:rPr>
  </w:style>
  <w:style w:type="paragraph" w:customStyle="1" w:styleId="27">
    <w:name w:val="默认段落字体 Para Char Char Char Char Char Char Char Char Char1 Char Char Char Char"/>
    <w:basedOn w:val="1"/>
    <w:qFormat/>
    <w:uiPriority w:val="0"/>
    <w:rPr>
      <w:rFonts w:ascii="Tahoma" w:hAnsi="Tahoma"/>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2019-12-01T03:04:00Z</dcterms:created>
  <dc:creator>vov</dc:creator>
  <cp:lastModifiedBy>47465</cp:lastModifiedBy>
  <dcterms:modified xsi:type="dcterms:W3CDTF">2019-12-01T09:24:17Z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WPS 文字</vt:lpwstr>
  </property>
  <property fmtid="{D5CDD505-2E9C-101B-9397-08002B2CF9AE}" pid="4" name="LastSaved">
    <vt:filetime>2019-12-01T00:00:00Z</vt:filetime>
  </property>
  <property fmtid="{D5CDD505-2E9C-101B-9397-08002B2CF9AE}" pid="5" name="KSOProductBuildVer">
    <vt:lpwstr>2052-11.1.0.9198</vt:lpwstr>
  </property>
</Properties>
</file>